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8425159" w:displacedByCustomXml="next"/>
    <w:bookmarkEnd w:id="0" w:displacedByCustomXml="next"/>
    <w:bookmarkStart w:id="1" w:name="_Toc44305309" w:displacedByCustomXml="next"/>
    <w:sdt>
      <w:sdtPr>
        <w:id w:val="-1998492312"/>
        <w:docPartObj>
          <w:docPartGallery w:val="Cover Pages"/>
          <w:docPartUnique/>
        </w:docPartObj>
      </w:sdtPr>
      <w:sdtContent>
        <w:p w14:paraId="7668952C" w14:textId="77777777" w:rsidR="005051DD" w:rsidRDefault="005051DD" w:rsidP="005051DD">
          <w:pPr>
            <w:spacing w:before="100" w:beforeAutospacing="1" w:after="480"/>
            <w:ind w:left="-1584"/>
          </w:pPr>
          <w:r w:rsidRPr="005A61B6">
            <w:rPr>
              <w:rFonts w:ascii="Times New Roman" w:hAnsi="Times New Roman"/>
              <w:noProof/>
              <w:sz w:val="24"/>
              <w:szCs w:val="20"/>
            </w:rPr>
            <w:drawing>
              <wp:anchor distT="0" distB="0" distL="114300" distR="114300" simplePos="0" relativeHeight="251613696" behindDoc="0" locked="0" layoutInCell="1" allowOverlap="1" wp14:anchorId="16CA6653" wp14:editId="60C66EF7">
                <wp:simplePos x="0" y="0"/>
                <wp:positionH relativeFrom="column">
                  <wp:posOffset>-908998</wp:posOffset>
                </wp:positionH>
                <wp:positionV relativeFrom="paragraph">
                  <wp:posOffset>-920839</wp:posOffset>
                </wp:positionV>
                <wp:extent cx="7784088" cy="10073526"/>
                <wp:effectExtent l="520700" t="444500" r="788670" b="785495"/>
                <wp:wrapNone/>
                <wp:docPr id="26" name="Picture 26" descr="A blue and white banner with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banner with a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252FB0B9" w14:textId="33A2C3E2" w:rsidR="005051DD" w:rsidRDefault="005051DD" w:rsidP="005051DD">
          <w:pPr>
            <w:spacing w:before="100" w:beforeAutospacing="1" w:after="480"/>
            <w:ind w:left="-1584"/>
          </w:pPr>
        </w:p>
        <w:p w14:paraId="319B66E0" w14:textId="76BC5F59" w:rsidR="005051DD" w:rsidRDefault="00CB1AA2" w:rsidP="005051DD">
          <w:pPr>
            <w:spacing w:before="100" w:beforeAutospacing="1" w:after="480"/>
            <w:ind w:left="-1584"/>
          </w:pPr>
          <w:r>
            <w:rPr>
              <w:noProof/>
            </w:rPr>
            <mc:AlternateContent>
              <mc:Choice Requires="wps">
                <w:drawing>
                  <wp:anchor distT="0" distB="0" distL="114300" distR="114300" simplePos="0" relativeHeight="251615744" behindDoc="0" locked="0" layoutInCell="1" allowOverlap="1" wp14:anchorId="197D2D00" wp14:editId="69F8A4B0">
                    <wp:simplePos x="0" y="0"/>
                    <wp:positionH relativeFrom="column">
                      <wp:posOffset>-590550</wp:posOffset>
                    </wp:positionH>
                    <wp:positionV relativeFrom="paragraph">
                      <wp:posOffset>426085</wp:posOffset>
                    </wp:positionV>
                    <wp:extent cx="7248525" cy="5905500"/>
                    <wp:effectExtent l="0" t="0" r="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202B9" w14:textId="77777777" w:rsidR="005051DD" w:rsidRDefault="005051DD" w:rsidP="005051DD">
                                <w:pPr>
                                  <w:spacing w:line="800" w:lineRule="exact"/>
                                  <w:jc w:val="center"/>
                                  <w:rPr>
                                    <w:rFonts w:ascii="Adobe Garamond Pro Bold" w:hAnsi="Adobe Garamond Pro Bold"/>
                                    <w:b/>
                                    <w:color w:val="043064"/>
                                    <w:sz w:val="72"/>
                                    <w:szCs w:val="72"/>
                                  </w:rPr>
                                </w:pPr>
                              </w:p>
                              <w:p w14:paraId="6461A364" w14:textId="77777777" w:rsidR="005051DD" w:rsidRDefault="005051DD" w:rsidP="005051DD">
                                <w:pPr>
                                  <w:spacing w:line="800" w:lineRule="exact"/>
                                  <w:jc w:val="center"/>
                                  <w:rPr>
                                    <w:rFonts w:ascii="Adobe Garamond Pro Bold" w:hAnsi="Adobe Garamond Pro Bold"/>
                                    <w:b/>
                                    <w:color w:val="043064"/>
                                    <w:sz w:val="72"/>
                                    <w:szCs w:val="72"/>
                                  </w:rPr>
                                </w:pPr>
                              </w:p>
                              <w:p w14:paraId="10C61DCC" w14:textId="45BC2964" w:rsidR="005051DD" w:rsidRPr="00283715" w:rsidRDefault="00410E8E" w:rsidP="005051DD">
                                <w:pPr>
                                  <w:spacing w:line="800" w:lineRule="exact"/>
                                  <w:jc w:val="center"/>
                                  <w:rPr>
                                    <w:rFonts w:ascii="Arial" w:hAnsi="Arial" w:cs="Arial"/>
                                    <w:b/>
                                    <w:color w:val="043064"/>
                                    <w:sz w:val="72"/>
                                    <w:szCs w:val="72"/>
                                  </w:rPr>
                                </w:pPr>
                                <w:r w:rsidRPr="00283715">
                                  <w:rPr>
                                    <w:rFonts w:ascii="Arial" w:hAnsi="Arial" w:cs="Arial"/>
                                    <w:b/>
                                    <w:color w:val="043064"/>
                                    <w:sz w:val="72"/>
                                    <w:szCs w:val="72"/>
                                  </w:rPr>
                                  <w:t>Methods, Best Practices, and Standards for Achieving Green and Healthy Schools in the Commonwealth of Massachusetts</w:t>
                                </w:r>
                              </w:p>
                              <w:p w14:paraId="3CF768A1" w14:textId="77777777" w:rsidR="00410E8E" w:rsidRPr="00283715" w:rsidRDefault="00410E8E" w:rsidP="005051DD">
                                <w:pPr>
                                  <w:spacing w:line="800" w:lineRule="exact"/>
                                  <w:jc w:val="center"/>
                                  <w:rPr>
                                    <w:rFonts w:ascii="Arial" w:hAnsi="Arial" w:cs="Arial"/>
                                    <w:b/>
                                    <w:color w:val="043064"/>
                                    <w:sz w:val="72"/>
                                    <w:szCs w:val="72"/>
                                  </w:rPr>
                                </w:pPr>
                              </w:p>
                              <w:p w14:paraId="47B53072" w14:textId="77777777" w:rsidR="00410E8E" w:rsidRPr="00283715" w:rsidRDefault="00410E8E" w:rsidP="005051DD">
                                <w:pPr>
                                  <w:spacing w:line="800" w:lineRule="exact"/>
                                  <w:jc w:val="center"/>
                                  <w:rPr>
                                    <w:rFonts w:ascii="Arial" w:hAnsi="Arial" w:cs="Arial"/>
                                    <w:b/>
                                    <w:color w:val="043064"/>
                                    <w:sz w:val="72"/>
                                    <w:szCs w:val="72"/>
                                  </w:rPr>
                                </w:pPr>
                              </w:p>
                              <w:p w14:paraId="1B71C393" w14:textId="7209DA4C" w:rsidR="005051DD" w:rsidRDefault="00877E1C" w:rsidP="005051DD">
                                <w:pPr>
                                  <w:spacing w:line="800" w:lineRule="exact"/>
                                  <w:jc w:val="center"/>
                                  <w:rPr>
                                    <w:rFonts w:ascii="Adobe Garamond Pro Bold" w:hAnsi="Adobe Garamond Pro Bold"/>
                                    <w:b/>
                                    <w:color w:val="043064"/>
                                    <w:sz w:val="72"/>
                                    <w:szCs w:val="72"/>
                                  </w:rPr>
                                </w:pPr>
                                <w:r>
                                  <w:rPr>
                                    <w:rFonts w:ascii="Arial" w:hAnsi="Arial" w:cs="Arial"/>
                                    <w:b/>
                                    <w:color w:val="043064"/>
                                    <w:sz w:val="48"/>
                                    <w:szCs w:val="18"/>
                                  </w:rPr>
                                  <w:t>March</w:t>
                                </w:r>
                                <w:r w:rsidR="00410E8E" w:rsidRPr="00283715">
                                  <w:rPr>
                                    <w:rFonts w:ascii="Arial" w:hAnsi="Arial" w:cs="Arial"/>
                                    <w:b/>
                                    <w:color w:val="043064"/>
                                    <w:sz w:val="48"/>
                                    <w:szCs w:val="18"/>
                                  </w:rPr>
                                  <w:t xml:space="preserve"> 31, 202</w:t>
                                </w:r>
                                <w:r>
                                  <w:rPr>
                                    <w:rFonts w:ascii="Arial" w:hAnsi="Arial" w:cs="Arial"/>
                                    <w:b/>
                                    <w:color w:val="043064"/>
                                    <w:sz w:val="48"/>
                                    <w:szCs w:val="1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7D2D00" id="_x0000_t202" coordsize="21600,21600" o:spt="202" path="m,l,21600r21600,l21600,xe">
                    <v:stroke joinstyle="miter"/>
                    <v:path gradientshapeok="t" o:connecttype="rect"/>
                  </v:shapetype>
                  <v:shape id="_x0000_s1026" type="#_x0000_t202" alt="&quot;&quot;" style="position:absolute;left:0;text-align:left;margin-left:-46.5pt;margin-top:33.55pt;width:570.75pt;height:46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stroked="f">
                    <v:textbox>
                      <w:txbxContent>
                        <w:p w14:paraId="021202B9" w14:textId="77777777" w:rsidR="005051DD" w:rsidRDefault="005051DD" w:rsidP="005051DD">
                          <w:pPr>
                            <w:spacing w:line="800" w:lineRule="exact"/>
                            <w:jc w:val="center"/>
                            <w:rPr>
                              <w:rFonts w:ascii="Adobe Garamond Pro Bold" w:hAnsi="Adobe Garamond Pro Bold"/>
                              <w:b/>
                              <w:color w:val="043064"/>
                              <w:sz w:val="72"/>
                              <w:szCs w:val="72"/>
                            </w:rPr>
                          </w:pPr>
                        </w:p>
                        <w:p w14:paraId="6461A364" w14:textId="77777777" w:rsidR="005051DD" w:rsidRDefault="005051DD" w:rsidP="005051DD">
                          <w:pPr>
                            <w:spacing w:line="800" w:lineRule="exact"/>
                            <w:jc w:val="center"/>
                            <w:rPr>
                              <w:rFonts w:ascii="Adobe Garamond Pro Bold" w:hAnsi="Adobe Garamond Pro Bold"/>
                              <w:b/>
                              <w:color w:val="043064"/>
                              <w:sz w:val="72"/>
                              <w:szCs w:val="72"/>
                            </w:rPr>
                          </w:pPr>
                        </w:p>
                        <w:p w14:paraId="10C61DCC" w14:textId="45BC2964" w:rsidR="005051DD" w:rsidRPr="00283715" w:rsidRDefault="00410E8E" w:rsidP="005051DD">
                          <w:pPr>
                            <w:spacing w:line="800" w:lineRule="exact"/>
                            <w:jc w:val="center"/>
                            <w:rPr>
                              <w:rFonts w:ascii="Arial" w:hAnsi="Arial" w:cs="Arial"/>
                              <w:b/>
                              <w:color w:val="043064"/>
                              <w:sz w:val="72"/>
                              <w:szCs w:val="72"/>
                            </w:rPr>
                          </w:pPr>
                          <w:r w:rsidRPr="00283715">
                            <w:rPr>
                              <w:rFonts w:ascii="Arial" w:hAnsi="Arial" w:cs="Arial"/>
                              <w:b/>
                              <w:color w:val="043064"/>
                              <w:sz w:val="72"/>
                              <w:szCs w:val="72"/>
                            </w:rPr>
                            <w:t>Methods, Best Practices, and Standards for Achieving Green and Healthy Schools in the Commonwealth of Massachusetts</w:t>
                          </w:r>
                        </w:p>
                        <w:p w14:paraId="3CF768A1" w14:textId="77777777" w:rsidR="00410E8E" w:rsidRPr="00283715" w:rsidRDefault="00410E8E" w:rsidP="005051DD">
                          <w:pPr>
                            <w:spacing w:line="800" w:lineRule="exact"/>
                            <w:jc w:val="center"/>
                            <w:rPr>
                              <w:rFonts w:ascii="Arial" w:hAnsi="Arial" w:cs="Arial"/>
                              <w:b/>
                              <w:color w:val="043064"/>
                              <w:sz w:val="72"/>
                              <w:szCs w:val="72"/>
                            </w:rPr>
                          </w:pPr>
                        </w:p>
                        <w:p w14:paraId="47B53072" w14:textId="77777777" w:rsidR="00410E8E" w:rsidRPr="00283715" w:rsidRDefault="00410E8E" w:rsidP="005051DD">
                          <w:pPr>
                            <w:spacing w:line="800" w:lineRule="exact"/>
                            <w:jc w:val="center"/>
                            <w:rPr>
                              <w:rFonts w:ascii="Arial" w:hAnsi="Arial" w:cs="Arial"/>
                              <w:b/>
                              <w:color w:val="043064"/>
                              <w:sz w:val="72"/>
                              <w:szCs w:val="72"/>
                            </w:rPr>
                          </w:pPr>
                        </w:p>
                        <w:p w14:paraId="1B71C393" w14:textId="7209DA4C" w:rsidR="005051DD" w:rsidRDefault="00877E1C" w:rsidP="005051DD">
                          <w:pPr>
                            <w:spacing w:line="800" w:lineRule="exact"/>
                            <w:jc w:val="center"/>
                            <w:rPr>
                              <w:rFonts w:ascii="Adobe Garamond Pro Bold" w:hAnsi="Adobe Garamond Pro Bold"/>
                              <w:b/>
                              <w:color w:val="043064"/>
                              <w:sz w:val="72"/>
                              <w:szCs w:val="72"/>
                            </w:rPr>
                          </w:pPr>
                          <w:r>
                            <w:rPr>
                              <w:rFonts w:ascii="Arial" w:hAnsi="Arial" w:cs="Arial"/>
                              <w:b/>
                              <w:color w:val="043064"/>
                              <w:sz w:val="48"/>
                              <w:szCs w:val="18"/>
                            </w:rPr>
                            <w:t>March</w:t>
                          </w:r>
                          <w:r w:rsidR="00410E8E" w:rsidRPr="00283715">
                            <w:rPr>
                              <w:rFonts w:ascii="Arial" w:hAnsi="Arial" w:cs="Arial"/>
                              <w:b/>
                              <w:color w:val="043064"/>
                              <w:sz w:val="48"/>
                              <w:szCs w:val="18"/>
                            </w:rPr>
                            <w:t xml:space="preserve"> 31, 202</w:t>
                          </w:r>
                          <w:r>
                            <w:rPr>
                              <w:rFonts w:ascii="Arial" w:hAnsi="Arial" w:cs="Arial"/>
                              <w:b/>
                              <w:color w:val="043064"/>
                              <w:sz w:val="48"/>
                              <w:szCs w:val="18"/>
                            </w:rPr>
                            <w:t>5</w:t>
                          </w:r>
                        </w:p>
                      </w:txbxContent>
                    </v:textbox>
                  </v:shape>
                </w:pict>
              </mc:Fallback>
            </mc:AlternateContent>
          </w:r>
        </w:p>
        <w:p w14:paraId="31C665A9" w14:textId="3C24EBAC" w:rsidR="005051DD" w:rsidRDefault="005051DD" w:rsidP="005051DD">
          <w:pPr>
            <w:spacing w:before="100" w:beforeAutospacing="1" w:after="480"/>
            <w:ind w:left="-1584"/>
          </w:pPr>
        </w:p>
        <w:p w14:paraId="2336C669" w14:textId="16FEF3D7" w:rsidR="005051DD" w:rsidRDefault="005051DD" w:rsidP="005051DD">
          <w:pPr>
            <w:tabs>
              <w:tab w:val="left" w:pos="2913"/>
            </w:tabs>
            <w:spacing w:before="100" w:beforeAutospacing="1" w:after="480"/>
            <w:ind w:left="-1584"/>
          </w:pPr>
          <w:r>
            <w:tab/>
          </w:r>
        </w:p>
        <w:p w14:paraId="07665E99" w14:textId="46888EBC" w:rsidR="005051DD" w:rsidRDefault="005051DD" w:rsidP="005051DD">
          <w:pPr>
            <w:spacing w:before="100" w:beforeAutospacing="1" w:after="480"/>
            <w:ind w:left="-1584"/>
          </w:pPr>
        </w:p>
        <w:p w14:paraId="7D47CCC0" w14:textId="77777777" w:rsidR="005051DD" w:rsidRDefault="005051DD" w:rsidP="005051DD">
          <w:pPr>
            <w:spacing w:before="100" w:beforeAutospacing="1" w:after="480"/>
            <w:ind w:left="-1584"/>
          </w:pPr>
        </w:p>
        <w:p w14:paraId="4686D24B" w14:textId="77777777" w:rsidR="005051DD" w:rsidRDefault="005051DD" w:rsidP="005051DD">
          <w:pPr>
            <w:tabs>
              <w:tab w:val="left" w:pos="3433"/>
            </w:tabs>
            <w:spacing w:before="100" w:beforeAutospacing="1" w:after="480"/>
            <w:ind w:left="-1584"/>
          </w:pPr>
        </w:p>
        <w:p w14:paraId="3D3E5A7E" w14:textId="77777777" w:rsidR="005051DD" w:rsidRDefault="005051DD" w:rsidP="005051DD">
          <w:pPr>
            <w:spacing w:before="100" w:beforeAutospacing="1" w:after="480"/>
            <w:ind w:left="-1584"/>
          </w:pPr>
        </w:p>
        <w:p w14:paraId="1C22660C" w14:textId="77777777" w:rsidR="005051DD" w:rsidRDefault="005051DD" w:rsidP="005051DD">
          <w:pPr>
            <w:spacing w:before="100" w:beforeAutospacing="1" w:after="480"/>
            <w:ind w:left="-1584"/>
          </w:pPr>
        </w:p>
        <w:p w14:paraId="6EB19EC4" w14:textId="77777777" w:rsidR="005051DD" w:rsidRPr="00E02475" w:rsidRDefault="005051DD" w:rsidP="005051DD"/>
        <w:p w14:paraId="2F24BF30" w14:textId="77777777" w:rsidR="005051DD" w:rsidRPr="00890363" w:rsidRDefault="005051DD" w:rsidP="005051DD">
          <w:pPr>
            <w:rPr>
              <w:rFonts w:ascii="Cambria" w:eastAsia="Cambria" w:hAnsi="Cambria" w:cs="Cambria"/>
            </w:rPr>
          </w:pPr>
        </w:p>
        <w:p w14:paraId="2FC76330" w14:textId="77777777" w:rsidR="005051DD" w:rsidRDefault="005051DD" w:rsidP="00A90558">
          <w:pPr>
            <w:pStyle w:val="Heading1"/>
            <w:rPr>
              <w:rFonts w:eastAsia="Cambria"/>
            </w:rPr>
          </w:pPr>
        </w:p>
        <w:p w14:paraId="0F34FE9C" w14:textId="77777777" w:rsidR="005051DD" w:rsidRDefault="005051DD" w:rsidP="00A90558">
          <w:pPr>
            <w:pStyle w:val="Heading1"/>
            <w:rPr>
              <w:rFonts w:eastAsia="Cambria"/>
            </w:rPr>
          </w:pPr>
        </w:p>
        <w:p w14:paraId="7F1855CC" w14:textId="77777777" w:rsidR="005051DD" w:rsidRDefault="005051DD" w:rsidP="00A90558">
          <w:pPr>
            <w:pStyle w:val="Heading1"/>
            <w:rPr>
              <w:rFonts w:eastAsia="Cambria"/>
            </w:rPr>
          </w:pPr>
        </w:p>
        <w:p w14:paraId="79C77567" w14:textId="721B379D" w:rsidR="00A74E4E" w:rsidRPr="005051DD" w:rsidRDefault="005051DD" w:rsidP="005051DD">
          <w:pPr>
            <w:rPr>
              <w:rFonts w:ascii="Cambria" w:eastAsia="Cambria" w:hAnsi="Cambria" w:cs="Cambria"/>
              <w:caps/>
              <w:spacing w:val="14"/>
              <w:sz w:val="26"/>
              <w:szCs w:val="26"/>
            </w:rPr>
          </w:pPr>
          <w:r>
            <w:rPr>
              <w:rFonts w:ascii="Cambria" w:eastAsia="Cambria" w:hAnsi="Cambria" w:cs="Cambria"/>
            </w:rPr>
            <w:br w:type="page"/>
          </w:r>
        </w:p>
      </w:sdtContent>
    </w:sdt>
    <w:p w14:paraId="25C8692D" w14:textId="0E5C27FE" w:rsidR="00624856" w:rsidRDefault="00445118" w:rsidP="00E06AD8">
      <w:pPr>
        <w:pStyle w:val="Heading1NoTOC"/>
      </w:pPr>
      <w:r w:rsidRPr="00C92889">
        <w:lastRenderedPageBreak/>
        <w:t>Table of Contents</w:t>
      </w:r>
    </w:p>
    <w:p w14:paraId="47D81414" w14:textId="0A5BCD87" w:rsidR="002C17C1" w:rsidRDefault="000E189F">
      <w:pPr>
        <w:pStyle w:val="TOC1"/>
        <w:rPr>
          <w:rFonts w:asciiTheme="minorHAnsi" w:eastAsiaTheme="minorEastAsia" w:hAnsiTheme="minorHAnsi" w:cstheme="minorBidi"/>
          <w:kern w:val="2"/>
          <w:szCs w:val="24"/>
          <w14:ligatures w14:val="standardContextual"/>
        </w:rPr>
      </w:pPr>
      <w:r>
        <w:rPr>
          <w:b/>
          <w:bCs/>
        </w:rPr>
        <w:fldChar w:fldCharType="begin"/>
      </w:r>
      <w:r>
        <w:rPr>
          <w:b/>
          <w:bCs/>
        </w:rPr>
        <w:instrText xml:space="preserve"> TOC \h \z \t "Heading 1,1,Heading 2,2,Module Header,1" </w:instrText>
      </w:r>
      <w:r>
        <w:rPr>
          <w:b/>
          <w:bCs/>
        </w:rPr>
        <w:fldChar w:fldCharType="separate"/>
      </w:r>
      <w:hyperlink w:anchor="_Toc193116877" w:history="1">
        <w:r w:rsidR="002C17C1" w:rsidRPr="003C4320">
          <w:rPr>
            <w:rStyle w:val="Hyperlink"/>
          </w:rPr>
          <w:t>Legislative Mandate</w:t>
        </w:r>
        <w:r w:rsidR="002C17C1">
          <w:rPr>
            <w:webHidden/>
          </w:rPr>
          <w:tab/>
        </w:r>
        <w:r w:rsidR="002C17C1">
          <w:rPr>
            <w:webHidden/>
          </w:rPr>
          <w:fldChar w:fldCharType="begin"/>
        </w:r>
        <w:r w:rsidR="002C17C1">
          <w:rPr>
            <w:webHidden/>
          </w:rPr>
          <w:instrText xml:space="preserve"> PAGEREF _Toc193116877 \h </w:instrText>
        </w:r>
        <w:r w:rsidR="002C17C1">
          <w:rPr>
            <w:webHidden/>
          </w:rPr>
        </w:r>
        <w:r w:rsidR="002C17C1">
          <w:rPr>
            <w:webHidden/>
          </w:rPr>
          <w:fldChar w:fldCharType="separate"/>
        </w:r>
        <w:r w:rsidR="002C17C1">
          <w:rPr>
            <w:webHidden/>
          </w:rPr>
          <w:t>1</w:t>
        </w:r>
        <w:r w:rsidR="002C17C1">
          <w:rPr>
            <w:webHidden/>
          </w:rPr>
          <w:fldChar w:fldCharType="end"/>
        </w:r>
      </w:hyperlink>
    </w:p>
    <w:p w14:paraId="47872E90" w14:textId="3A70D5A5" w:rsidR="002C17C1" w:rsidRDefault="002C17C1">
      <w:pPr>
        <w:pStyle w:val="TOC1"/>
        <w:rPr>
          <w:rFonts w:asciiTheme="minorHAnsi" w:eastAsiaTheme="minorEastAsia" w:hAnsiTheme="minorHAnsi" w:cstheme="minorBidi"/>
          <w:kern w:val="2"/>
          <w:szCs w:val="24"/>
          <w14:ligatures w14:val="standardContextual"/>
        </w:rPr>
      </w:pPr>
      <w:hyperlink w:anchor="_Toc193116878" w:history="1">
        <w:r w:rsidRPr="003C4320">
          <w:rPr>
            <w:rStyle w:val="Hyperlink"/>
          </w:rPr>
          <w:t>Executive Summary</w:t>
        </w:r>
        <w:r>
          <w:rPr>
            <w:webHidden/>
          </w:rPr>
          <w:tab/>
        </w:r>
        <w:r>
          <w:rPr>
            <w:webHidden/>
          </w:rPr>
          <w:fldChar w:fldCharType="begin"/>
        </w:r>
        <w:r>
          <w:rPr>
            <w:webHidden/>
          </w:rPr>
          <w:instrText xml:space="preserve"> PAGEREF _Toc193116878 \h </w:instrText>
        </w:r>
        <w:r>
          <w:rPr>
            <w:webHidden/>
          </w:rPr>
        </w:r>
        <w:r>
          <w:rPr>
            <w:webHidden/>
          </w:rPr>
          <w:fldChar w:fldCharType="separate"/>
        </w:r>
        <w:r>
          <w:rPr>
            <w:webHidden/>
          </w:rPr>
          <w:t>2</w:t>
        </w:r>
        <w:r>
          <w:rPr>
            <w:webHidden/>
          </w:rPr>
          <w:fldChar w:fldCharType="end"/>
        </w:r>
      </w:hyperlink>
    </w:p>
    <w:p w14:paraId="28122859" w14:textId="56C90A02" w:rsidR="002C17C1" w:rsidRDefault="002C17C1">
      <w:pPr>
        <w:pStyle w:val="TOC1"/>
        <w:rPr>
          <w:rFonts w:asciiTheme="minorHAnsi" w:eastAsiaTheme="minorEastAsia" w:hAnsiTheme="minorHAnsi" w:cstheme="minorBidi"/>
          <w:kern w:val="2"/>
          <w:szCs w:val="24"/>
          <w14:ligatures w14:val="standardContextual"/>
        </w:rPr>
      </w:pPr>
      <w:hyperlink w:anchor="_Toc193116879" w:history="1">
        <w:r w:rsidRPr="003C4320">
          <w:rPr>
            <w:rStyle w:val="Hyperlink"/>
          </w:rPr>
          <w:t>I. Introduction</w:t>
        </w:r>
        <w:r>
          <w:rPr>
            <w:webHidden/>
          </w:rPr>
          <w:tab/>
        </w:r>
        <w:r>
          <w:rPr>
            <w:webHidden/>
          </w:rPr>
          <w:fldChar w:fldCharType="begin"/>
        </w:r>
        <w:r>
          <w:rPr>
            <w:webHidden/>
          </w:rPr>
          <w:instrText xml:space="preserve"> PAGEREF _Toc193116879 \h </w:instrText>
        </w:r>
        <w:r>
          <w:rPr>
            <w:webHidden/>
          </w:rPr>
        </w:r>
        <w:r>
          <w:rPr>
            <w:webHidden/>
          </w:rPr>
          <w:fldChar w:fldCharType="separate"/>
        </w:r>
        <w:r>
          <w:rPr>
            <w:webHidden/>
          </w:rPr>
          <w:t>3</w:t>
        </w:r>
        <w:r>
          <w:rPr>
            <w:webHidden/>
          </w:rPr>
          <w:fldChar w:fldCharType="end"/>
        </w:r>
      </w:hyperlink>
    </w:p>
    <w:p w14:paraId="5BA2B699" w14:textId="6129BB61"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0" w:history="1">
        <w:r w:rsidRPr="003C4320">
          <w:rPr>
            <w:rStyle w:val="Hyperlink"/>
            <w:noProof/>
          </w:rPr>
          <w:t>Massachusetts Department of Public Health – Our Mission and Vision</w:t>
        </w:r>
        <w:r>
          <w:rPr>
            <w:noProof/>
            <w:webHidden/>
          </w:rPr>
          <w:tab/>
        </w:r>
        <w:r>
          <w:rPr>
            <w:noProof/>
            <w:webHidden/>
          </w:rPr>
          <w:fldChar w:fldCharType="begin"/>
        </w:r>
        <w:r>
          <w:rPr>
            <w:noProof/>
            <w:webHidden/>
          </w:rPr>
          <w:instrText xml:space="preserve"> PAGEREF _Toc193116880 \h </w:instrText>
        </w:r>
        <w:r>
          <w:rPr>
            <w:noProof/>
            <w:webHidden/>
          </w:rPr>
        </w:r>
        <w:r>
          <w:rPr>
            <w:noProof/>
            <w:webHidden/>
          </w:rPr>
          <w:fldChar w:fldCharType="separate"/>
        </w:r>
        <w:r>
          <w:rPr>
            <w:noProof/>
            <w:webHidden/>
          </w:rPr>
          <w:t>3</w:t>
        </w:r>
        <w:r>
          <w:rPr>
            <w:noProof/>
            <w:webHidden/>
          </w:rPr>
          <w:fldChar w:fldCharType="end"/>
        </w:r>
      </w:hyperlink>
    </w:p>
    <w:p w14:paraId="0C43E460" w14:textId="6A84B494"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1" w:history="1">
        <w:r w:rsidRPr="003C4320">
          <w:rPr>
            <w:rStyle w:val="Hyperlink"/>
            <w:noProof/>
          </w:rPr>
          <w:t>Addressing Structural Racism</w:t>
        </w:r>
        <w:r>
          <w:rPr>
            <w:noProof/>
            <w:webHidden/>
          </w:rPr>
          <w:tab/>
        </w:r>
        <w:r>
          <w:rPr>
            <w:noProof/>
            <w:webHidden/>
          </w:rPr>
          <w:fldChar w:fldCharType="begin"/>
        </w:r>
        <w:r>
          <w:rPr>
            <w:noProof/>
            <w:webHidden/>
          </w:rPr>
          <w:instrText xml:space="preserve"> PAGEREF _Toc193116881 \h </w:instrText>
        </w:r>
        <w:r>
          <w:rPr>
            <w:noProof/>
            <w:webHidden/>
          </w:rPr>
        </w:r>
        <w:r>
          <w:rPr>
            <w:noProof/>
            <w:webHidden/>
          </w:rPr>
          <w:fldChar w:fldCharType="separate"/>
        </w:r>
        <w:r>
          <w:rPr>
            <w:noProof/>
            <w:webHidden/>
          </w:rPr>
          <w:t>4</w:t>
        </w:r>
        <w:r>
          <w:rPr>
            <w:noProof/>
            <w:webHidden/>
          </w:rPr>
          <w:fldChar w:fldCharType="end"/>
        </w:r>
      </w:hyperlink>
    </w:p>
    <w:p w14:paraId="239CF3B8" w14:textId="3D36158C"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2" w:history="1">
        <w:r w:rsidRPr="003C4320">
          <w:rPr>
            <w:rStyle w:val="Hyperlink"/>
            <w:noProof/>
          </w:rPr>
          <w:t>Overview of Public Schools in Massachusetts</w:t>
        </w:r>
        <w:r>
          <w:rPr>
            <w:noProof/>
            <w:webHidden/>
          </w:rPr>
          <w:tab/>
        </w:r>
        <w:r>
          <w:rPr>
            <w:noProof/>
            <w:webHidden/>
          </w:rPr>
          <w:fldChar w:fldCharType="begin"/>
        </w:r>
        <w:r>
          <w:rPr>
            <w:noProof/>
            <w:webHidden/>
          </w:rPr>
          <w:instrText xml:space="preserve"> PAGEREF _Toc193116882 \h </w:instrText>
        </w:r>
        <w:r>
          <w:rPr>
            <w:noProof/>
            <w:webHidden/>
          </w:rPr>
        </w:r>
        <w:r>
          <w:rPr>
            <w:noProof/>
            <w:webHidden/>
          </w:rPr>
          <w:fldChar w:fldCharType="separate"/>
        </w:r>
        <w:r>
          <w:rPr>
            <w:noProof/>
            <w:webHidden/>
          </w:rPr>
          <w:t>9</w:t>
        </w:r>
        <w:r>
          <w:rPr>
            <w:noProof/>
            <w:webHidden/>
          </w:rPr>
          <w:fldChar w:fldCharType="end"/>
        </w:r>
      </w:hyperlink>
    </w:p>
    <w:p w14:paraId="573EA033" w14:textId="254C53BB"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3" w:history="1">
        <w:r w:rsidRPr="003C4320">
          <w:rPr>
            <w:rStyle w:val="Hyperlink"/>
            <w:noProof/>
          </w:rPr>
          <w:t>Environmental Differences and Challenges by Location</w:t>
        </w:r>
        <w:r>
          <w:rPr>
            <w:noProof/>
            <w:webHidden/>
          </w:rPr>
          <w:tab/>
        </w:r>
        <w:r>
          <w:rPr>
            <w:noProof/>
            <w:webHidden/>
          </w:rPr>
          <w:fldChar w:fldCharType="begin"/>
        </w:r>
        <w:r>
          <w:rPr>
            <w:noProof/>
            <w:webHidden/>
          </w:rPr>
          <w:instrText xml:space="preserve"> PAGEREF _Toc193116883 \h </w:instrText>
        </w:r>
        <w:r>
          <w:rPr>
            <w:noProof/>
            <w:webHidden/>
          </w:rPr>
        </w:r>
        <w:r>
          <w:rPr>
            <w:noProof/>
            <w:webHidden/>
          </w:rPr>
          <w:fldChar w:fldCharType="separate"/>
        </w:r>
        <w:r>
          <w:rPr>
            <w:noProof/>
            <w:webHidden/>
          </w:rPr>
          <w:t>11</w:t>
        </w:r>
        <w:r>
          <w:rPr>
            <w:noProof/>
            <w:webHidden/>
          </w:rPr>
          <w:fldChar w:fldCharType="end"/>
        </w:r>
      </w:hyperlink>
    </w:p>
    <w:p w14:paraId="1894B3E0" w14:textId="323080DC"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4" w:history="1">
        <w:r w:rsidRPr="003C4320">
          <w:rPr>
            <w:rStyle w:val="Hyperlink"/>
            <w:noProof/>
          </w:rPr>
          <w:t>Massachusetts School Building Authority (MSBA)</w:t>
        </w:r>
        <w:r>
          <w:rPr>
            <w:noProof/>
            <w:webHidden/>
          </w:rPr>
          <w:tab/>
        </w:r>
        <w:r>
          <w:rPr>
            <w:noProof/>
            <w:webHidden/>
          </w:rPr>
          <w:fldChar w:fldCharType="begin"/>
        </w:r>
        <w:r>
          <w:rPr>
            <w:noProof/>
            <w:webHidden/>
          </w:rPr>
          <w:instrText xml:space="preserve"> PAGEREF _Toc193116884 \h </w:instrText>
        </w:r>
        <w:r>
          <w:rPr>
            <w:noProof/>
            <w:webHidden/>
          </w:rPr>
        </w:r>
        <w:r>
          <w:rPr>
            <w:noProof/>
            <w:webHidden/>
          </w:rPr>
          <w:fldChar w:fldCharType="separate"/>
        </w:r>
        <w:r>
          <w:rPr>
            <w:noProof/>
            <w:webHidden/>
          </w:rPr>
          <w:t>13</w:t>
        </w:r>
        <w:r>
          <w:rPr>
            <w:noProof/>
            <w:webHidden/>
          </w:rPr>
          <w:fldChar w:fldCharType="end"/>
        </w:r>
      </w:hyperlink>
    </w:p>
    <w:p w14:paraId="1BC548B5" w14:textId="629ECE75"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5" w:history="1">
        <w:r w:rsidRPr="003C4320">
          <w:rPr>
            <w:rStyle w:val="Hyperlink"/>
            <w:noProof/>
          </w:rPr>
          <w:t>Acts of 2022, Chapter 179, Section 83</w:t>
        </w:r>
        <w:r>
          <w:rPr>
            <w:noProof/>
            <w:webHidden/>
          </w:rPr>
          <w:tab/>
        </w:r>
        <w:r>
          <w:rPr>
            <w:noProof/>
            <w:webHidden/>
          </w:rPr>
          <w:fldChar w:fldCharType="begin"/>
        </w:r>
        <w:r>
          <w:rPr>
            <w:noProof/>
            <w:webHidden/>
          </w:rPr>
          <w:instrText xml:space="preserve"> PAGEREF _Toc193116885 \h </w:instrText>
        </w:r>
        <w:r>
          <w:rPr>
            <w:noProof/>
            <w:webHidden/>
          </w:rPr>
        </w:r>
        <w:r>
          <w:rPr>
            <w:noProof/>
            <w:webHidden/>
          </w:rPr>
          <w:fldChar w:fldCharType="separate"/>
        </w:r>
        <w:r>
          <w:rPr>
            <w:noProof/>
            <w:webHidden/>
          </w:rPr>
          <w:t>16</w:t>
        </w:r>
        <w:r>
          <w:rPr>
            <w:noProof/>
            <w:webHidden/>
          </w:rPr>
          <w:fldChar w:fldCharType="end"/>
        </w:r>
      </w:hyperlink>
    </w:p>
    <w:p w14:paraId="7A83014C" w14:textId="4596AF5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6" w:history="1">
        <w:r w:rsidRPr="003C4320">
          <w:rPr>
            <w:rStyle w:val="Hyperlink"/>
            <w:noProof/>
          </w:rPr>
          <w:t>The Critical Need for Green and Healthy Schools</w:t>
        </w:r>
        <w:r>
          <w:rPr>
            <w:noProof/>
            <w:webHidden/>
          </w:rPr>
          <w:tab/>
        </w:r>
        <w:r>
          <w:rPr>
            <w:noProof/>
            <w:webHidden/>
          </w:rPr>
          <w:fldChar w:fldCharType="begin"/>
        </w:r>
        <w:r>
          <w:rPr>
            <w:noProof/>
            <w:webHidden/>
          </w:rPr>
          <w:instrText xml:space="preserve"> PAGEREF _Toc193116886 \h </w:instrText>
        </w:r>
        <w:r>
          <w:rPr>
            <w:noProof/>
            <w:webHidden/>
          </w:rPr>
        </w:r>
        <w:r>
          <w:rPr>
            <w:noProof/>
            <w:webHidden/>
          </w:rPr>
          <w:fldChar w:fldCharType="separate"/>
        </w:r>
        <w:r>
          <w:rPr>
            <w:noProof/>
            <w:webHidden/>
          </w:rPr>
          <w:t>17</w:t>
        </w:r>
        <w:r>
          <w:rPr>
            <w:noProof/>
            <w:webHidden/>
          </w:rPr>
          <w:fldChar w:fldCharType="end"/>
        </w:r>
      </w:hyperlink>
    </w:p>
    <w:p w14:paraId="0ED5ADA2" w14:textId="59134D80"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7" w:history="1">
        <w:r w:rsidRPr="003C4320">
          <w:rPr>
            <w:rStyle w:val="Hyperlink"/>
            <w:noProof/>
          </w:rPr>
          <w:t>Purpose</w:t>
        </w:r>
        <w:r>
          <w:rPr>
            <w:noProof/>
            <w:webHidden/>
          </w:rPr>
          <w:tab/>
        </w:r>
        <w:r>
          <w:rPr>
            <w:noProof/>
            <w:webHidden/>
          </w:rPr>
          <w:fldChar w:fldCharType="begin"/>
        </w:r>
        <w:r>
          <w:rPr>
            <w:noProof/>
            <w:webHidden/>
          </w:rPr>
          <w:instrText xml:space="preserve"> PAGEREF _Toc193116887 \h </w:instrText>
        </w:r>
        <w:r>
          <w:rPr>
            <w:noProof/>
            <w:webHidden/>
          </w:rPr>
        </w:r>
        <w:r>
          <w:rPr>
            <w:noProof/>
            <w:webHidden/>
          </w:rPr>
          <w:fldChar w:fldCharType="separate"/>
        </w:r>
        <w:r>
          <w:rPr>
            <w:noProof/>
            <w:webHidden/>
          </w:rPr>
          <w:t>18</w:t>
        </w:r>
        <w:r>
          <w:rPr>
            <w:noProof/>
            <w:webHidden/>
          </w:rPr>
          <w:fldChar w:fldCharType="end"/>
        </w:r>
      </w:hyperlink>
    </w:p>
    <w:p w14:paraId="3672DE6B" w14:textId="5166FB9A"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8" w:history="1">
        <w:r w:rsidRPr="003C4320">
          <w:rPr>
            <w:rStyle w:val="Hyperlink"/>
            <w:noProof/>
          </w:rPr>
          <w:t>Scope</w:t>
        </w:r>
        <w:r>
          <w:rPr>
            <w:noProof/>
            <w:webHidden/>
          </w:rPr>
          <w:tab/>
        </w:r>
        <w:r>
          <w:rPr>
            <w:noProof/>
            <w:webHidden/>
          </w:rPr>
          <w:fldChar w:fldCharType="begin"/>
        </w:r>
        <w:r>
          <w:rPr>
            <w:noProof/>
            <w:webHidden/>
          </w:rPr>
          <w:instrText xml:space="preserve"> PAGEREF _Toc193116888 \h </w:instrText>
        </w:r>
        <w:r>
          <w:rPr>
            <w:noProof/>
            <w:webHidden/>
          </w:rPr>
        </w:r>
        <w:r>
          <w:rPr>
            <w:noProof/>
            <w:webHidden/>
          </w:rPr>
          <w:fldChar w:fldCharType="separate"/>
        </w:r>
        <w:r>
          <w:rPr>
            <w:noProof/>
            <w:webHidden/>
          </w:rPr>
          <w:t>18</w:t>
        </w:r>
        <w:r>
          <w:rPr>
            <w:noProof/>
            <w:webHidden/>
          </w:rPr>
          <w:fldChar w:fldCharType="end"/>
        </w:r>
      </w:hyperlink>
    </w:p>
    <w:p w14:paraId="6FCB7C0B" w14:textId="5DF5F6E6"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89" w:history="1">
        <w:r w:rsidRPr="003C4320">
          <w:rPr>
            <w:rStyle w:val="Hyperlink"/>
            <w:noProof/>
          </w:rPr>
          <w:t>Methods</w:t>
        </w:r>
        <w:r>
          <w:rPr>
            <w:noProof/>
            <w:webHidden/>
          </w:rPr>
          <w:tab/>
        </w:r>
        <w:r>
          <w:rPr>
            <w:noProof/>
            <w:webHidden/>
          </w:rPr>
          <w:fldChar w:fldCharType="begin"/>
        </w:r>
        <w:r>
          <w:rPr>
            <w:noProof/>
            <w:webHidden/>
          </w:rPr>
          <w:instrText xml:space="preserve"> PAGEREF _Toc193116889 \h </w:instrText>
        </w:r>
        <w:r>
          <w:rPr>
            <w:noProof/>
            <w:webHidden/>
          </w:rPr>
        </w:r>
        <w:r>
          <w:rPr>
            <w:noProof/>
            <w:webHidden/>
          </w:rPr>
          <w:fldChar w:fldCharType="separate"/>
        </w:r>
        <w:r>
          <w:rPr>
            <w:noProof/>
            <w:webHidden/>
          </w:rPr>
          <w:t>18</w:t>
        </w:r>
        <w:r>
          <w:rPr>
            <w:noProof/>
            <w:webHidden/>
          </w:rPr>
          <w:fldChar w:fldCharType="end"/>
        </w:r>
      </w:hyperlink>
    </w:p>
    <w:p w14:paraId="6C62B5A5" w14:textId="2CB6FE69"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0" w:history="1">
        <w:r w:rsidRPr="003C4320">
          <w:rPr>
            <w:rStyle w:val="Hyperlink"/>
            <w:noProof/>
          </w:rPr>
          <w:t>Organization of Report</w:t>
        </w:r>
        <w:r>
          <w:rPr>
            <w:noProof/>
            <w:webHidden/>
          </w:rPr>
          <w:tab/>
        </w:r>
        <w:r>
          <w:rPr>
            <w:noProof/>
            <w:webHidden/>
          </w:rPr>
          <w:fldChar w:fldCharType="begin"/>
        </w:r>
        <w:r>
          <w:rPr>
            <w:noProof/>
            <w:webHidden/>
          </w:rPr>
          <w:instrText xml:space="preserve"> PAGEREF _Toc193116890 \h </w:instrText>
        </w:r>
        <w:r>
          <w:rPr>
            <w:noProof/>
            <w:webHidden/>
          </w:rPr>
        </w:r>
        <w:r>
          <w:rPr>
            <w:noProof/>
            <w:webHidden/>
          </w:rPr>
          <w:fldChar w:fldCharType="separate"/>
        </w:r>
        <w:r>
          <w:rPr>
            <w:noProof/>
            <w:webHidden/>
          </w:rPr>
          <w:t>20</w:t>
        </w:r>
        <w:r>
          <w:rPr>
            <w:noProof/>
            <w:webHidden/>
          </w:rPr>
          <w:fldChar w:fldCharType="end"/>
        </w:r>
      </w:hyperlink>
    </w:p>
    <w:p w14:paraId="21DF5A54" w14:textId="6C9F84FA"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1" w:history="1">
        <w:r w:rsidRPr="003C4320">
          <w:rPr>
            <w:rStyle w:val="Hyperlink"/>
            <w:noProof/>
          </w:rPr>
          <w:t>Local Public Health Departments as Partners</w:t>
        </w:r>
        <w:r>
          <w:rPr>
            <w:noProof/>
            <w:webHidden/>
          </w:rPr>
          <w:tab/>
        </w:r>
        <w:r>
          <w:rPr>
            <w:noProof/>
            <w:webHidden/>
          </w:rPr>
          <w:fldChar w:fldCharType="begin"/>
        </w:r>
        <w:r>
          <w:rPr>
            <w:noProof/>
            <w:webHidden/>
          </w:rPr>
          <w:instrText xml:space="preserve"> PAGEREF _Toc193116891 \h </w:instrText>
        </w:r>
        <w:r>
          <w:rPr>
            <w:noProof/>
            <w:webHidden/>
          </w:rPr>
        </w:r>
        <w:r>
          <w:rPr>
            <w:noProof/>
            <w:webHidden/>
          </w:rPr>
          <w:fldChar w:fldCharType="separate"/>
        </w:r>
        <w:r>
          <w:rPr>
            <w:noProof/>
            <w:webHidden/>
          </w:rPr>
          <w:t>23</w:t>
        </w:r>
        <w:r>
          <w:rPr>
            <w:noProof/>
            <w:webHidden/>
          </w:rPr>
          <w:fldChar w:fldCharType="end"/>
        </w:r>
      </w:hyperlink>
    </w:p>
    <w:p w14:paraId="109904D6" w14:textId="5CA48A12" w:rsidR="002C17C1" w:rsidRPr="002C17C1" w:rsidRDefault="002C17C1">
      <w:pPr>
        <w:pStyle w:val="TOC1"/>
        <w:rPr>
          <w:rFonts w:asciiTheme="minorHAnsi" w:eastAsiaTheme="minorEastAsia" w:hAnsiTheme="minorHAnsi" w:cstheme="minorBidi"/>
          <w:b/>
          <w:bCs/>
          <w:kern w:val="2"/>
          <w:szCs w:val="24"/>
          <w14:ligatures w14:val="standardContextual"/>
        </w:rPr>
      </w:pPr>
      <w:hyperlink w:anchor="_Toc193116892" w:history="1">
        <w:r w:rsidRPr="002C17C1">
          <w:rPr>
            <w:rStyle w:val="Hyperlink"/>
            <w:b/>
            <w:bCs/>
          </w:rPr>
          <w:t>Module 1: High-Level Overview of Methods and Best Practices</w:t>
        </w:r>
        <w:r w:rsidRPr="002C17C1">
          <w:rPr>
            <w:b/>
            <w:bCs/>
            <w:webHidden/>
          </w:rPr>
          <w:tab/>
        </w:r>
        <w:r w:rsidRPr="002C17C1">
          <w:rPr>
            <w:b/>
            <w:bCs/>
            <w:webHidden/>
          </w:rPr>
          <w:fldChar w:fldCharType="begin"/>
        </w:r>
        <w:r w:rsidRPr="002C17C1">
          <w:rPr>
            <w:b/>
            <w:bCs/>
            <w:webHidden/>
          </w:rPr>
          <w:instrText xml:space="preserve"> PAGEREF _Toc193116892 \h </w:instrText>
        </w:r>
        <w:r w:rsidRPr="002C17C1">
          <w:rPr>
            <w:b/>
            <w:bCs/>
            <w:webHidden/>
          </w:rPr>
        </w:r>
        <w:r w:rsidRPr="002C17C1">
          <w:rPr>
            <w:b/>
            <w:bCs/>
            <w:webHidden/>
          </w:rPr>
          <w:fldChar w:fldCharType="separate"/>
        </w:r>
        <w:r w:rsidRPr="002C17C1">
          <w:rPr>
            <w:b/>
            <w:bCs/>
            <w:webHidden/>
          </w:rPr>
          <w:t>24</w:t>
        </w:r>
        <w:r w:rsidRPr="002C17C1">
          <w:rPr>
            <w:b/>
            <w:bCs/>
            <w:webHidden/>
          </w:rPr>
          <w:fldChar w:fldCharType="end"/>
        </w:r>
      </w:hyperlink>
    </w:p>
    <w:p w14:paraId="595B41AF" w14:textId="4374A15A" w:rsidR="002C17C1" w:rsidRDefault="002C17C1">
      <w:pPr>
        <w:pStyle w:val="TOC1"/>
        <w:rPr>
          <w:rFonts w:asciiTheme="minorHAnsi" w:eastAsiaTheme="minorEastAsia" w:hAnsiTheme="minorHAnsi" w:cstheme="minorBidi"/>
          <w:kern w:val="2"/>
          <w:szCs w:val="24"/>
          <w14:ligatures w14:val="standardContextual"/>
        </w:rPr>
      </w:pPr>
      <w:hyperlink w:anchor="_Toc193116893" w:history="1">
        <w:r w:rsidRPr="003C4320">
          <w:rPr>
            <w:rStyle w:val="Hyperlink"/>
          </w:rPr>
          <w:t>II. Goal 1: Achieve Green Schools</w:t>
        </w:r>
        <w:r>
          <w:rPr>
            <w:webHidden/>
          </w:rPr>
          <w:tab/>
        </w:r>
        <w:r>
          <w:rPr>
            <w:webHidden/>
          </w:rPr>
          <w:fldChar w:fldCharType="begin"/>
        </w:r>
        <w:r>
          <w:rPr>
            <w:webHidden/>
          </w:rPr>
          <w:instrText xml:space="preserve"> PAGEREF _Toc193116893 \h </w:instrText>
        </w:r>
        <w:r>
          <w:rPr>
            <w:webHidden/>
          </w:rPr>
        </w:r>
        <w:r>
          <w:rPr>
            <w:webHidden/>
          </w:rPr>
          <w:fldChar w:fldCharType="separate"/>
        </w:r>
        <w:r>
          <w:rPr>
            <w:webHidden/>
          </w:rPr>
          <w:t>25</w:t>
        </w:r>
        <w:r>
          <w:rPr>
            <w:webHidden/>
          </w:rPr>
          <w:fldChar w:fldCharType="end"/>
        </w:r>
      </w:hyperlink>
    </w:p>
    <w:p w14:paraId="1CF3BC67" w14:textId="575CA365"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4" w:history="1">
        <w:r w:rsidRPr="003C4320">
          <w:rPr>
            <w:rStyle w:val="Hyperlink"/>
            <w:noProof/>
          </w:rPr>
          <w:t>Objective 1a. Decarbonize Buildings</w:t>
        </w:r>
        <w:r>
          <w:rPr>
            <w:noProof/>
            <w:webHidden/>
          </w:rPr>
          <w:tab/>
        </w:r>
        <w:r>
          <w:rPr>
            <w:noProof/>
            <w:webHidden/>
          </w:rPr>
          <w:fldChar w:fldCharType="begin"/>
        </w:r>
        <w:r>
          <w:rPr>
            <w:noProof/>
            <w:webHidden/>
          </w:rPr>
          <w:instrText xml:space="preserve"> PAGEREF _Toc193116894 \h </w:instrText>
        </w:r>
        <w:r>
          <w:rPr>
            <w:noProof/>
            <w:webHidden/>
          </w:rPr>
        </w:r>
        <w:r>
          <w:rPr>
            <w:noProof/>
            <w:webHidden/>
          </w:rPr>
          <w:fldChar w:fldCharType="separate"/>
        </w:r>
        <w:r>
          <w:rPr>
            <w:noProof/>
            <w:webHidden/>
          </w:rPr>
          <w:t>26</w:t>
        </w:r>
        <w:r>
          <w:rPr>
            <w:noProof/>
            <w:webHidden/>
          </w:rPr>
          <w:fldChar w:fldCharType="end"/>
        </w:r>
      </w:hyperlink>
    </w:p>
    <w:p w14:paraId="4D8F8F7D" w14:textId="46801356"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5" w:history="1">
        <w:r w:rsidRPr="003C4320">
          <w:rPr>
            <w:rStyle w:val="Hyperlink"/>
            <w:noProof/>
          </w:rPr>
          <w:t>Objective 1b. Optimize Water Efficiency</w:t>
        </w:r>
        <w:r>
          <w:rPr>
            <w:noProof/>
            <w:webHidden/>
          </w:rPr>
          <w:tab/>
        </w:r>
        <w:r>
          <w:rPr>
            <w:noProof/>
            <w:webHidden/>
          </w:rPr>
          <w:fldChar w:fldCharType="begin"/>
        </w:r>
        <w:r>
          <w:rPr>
            <w:noProof/>
            <w:webHidden/>
          </w:rPr>
          <w:instrText xml:space="preserve"> PAGEREF _Toc193116895 \h </w:instrText>
        </w:r>
        <w:r>
          <w:rPr>
            <w:noProof/>
            <w:webHidden/>
          </w:rPr>
        </w:r>
        <w:r>
          <w:rPr>
            <w:noProof/>
            <w:webHidden/>
          </w:rPr>
          <w:fldChar w:fldCharType="separate"/>
        </w:r>
        <w:r>
          <w:rPr>
            <w:noProof/>
            <w:webHidden/>
          </w:rPr>
          <w:t>30</w:t>
        </w:r>
        <w:r>
          <w:rPr>
            <w:noProof/>
            <w:webHidden/>
          </w:rPr>
          <w:fldChar w:fldCharType="end"/>
        </w:r>
      </w:hyperlink>
    </w:p>
    <w:p w14:paraId="1780809C" w14:textId="518980AB"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6" w:history="1">
        <w:r w:rsidRPr="003C4320">
          <w:rPr>
            <w:rStyle w:val="Hyperlink"/>
            <w:noProof/>
          </w:rPr>
          <w:t>Objective 1c. Optimize Solid Waste Reduction and Diversion</w:t>
        </w:r>
        <w:r>
          <w:rPr>
            <w:noProof/>
            <w:webHidden/>
          </w:rPr>
          <w:tab/>
        </w:r>
        <w:r>
          <w:rPr>
            <w:noProof/>
            <w:webHidden/>
          </w:rPr>
          <w:fldChar w:fldCharType="begin"/>
        </w:r>
        <w:r>
          <w:rPr>
            <w:noProof/>
            <w:webHidden/>
          </w:rPr>
          <w:instrText xml:space="preserve"> PAGEREF _Toc193116896 \h </w:instrText>
        </w:r>
        <w:r>
          <w:rPr>
            <w:noProof/>
            <w:webHidden/>
          </w:rPr>
        </w:r>
        <w:r>
          <w:rPr>
            <w:noProof/>
            <w:webHidden/>
          </w:rPr>
          <w:fldChar w:fldCharType="separate"/>
        </w:r>
        <w:r>
          <w:rPr>
            <w:noProof/>
            <w:webHidden/>
          </w:rPr>
          <w:t>34</w:t>
        </w:r>
        <w:r>
          <w:rPr>
            <w:noProof/>
            <w:webHidden/>
          </w:rPr>
          <w:fldChar w:fldCharType="end"/>
        </w:r>
      </w:hyperlink>
    </w:p>
    <w:p w14:paraId="37D29E1D" w14:textId="53C5F78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7" w:history="1">
        <w:r w:rsidRPr="003C4320">
          <w:rPr>
            <w:rStyle w:val="Hyperlink"/>
            <w:noProof/>
          </w:rPr>
          <w:t>Objective 1d. Electrify School Bus Fleets</w:t>
        </w:r>
        <w:r>
          <w:rPr>
            <w:noProof/>
            <w:webHidden/>
          </w:rPr>
          <w:tab/>
        </w:r>
        <w:r>
          <w:rPr>
            <w:noProof/>
            <w:webHidden/>
          </w:rPr>
          <w:fldChar w:fldCharType="begin"/>
        </w:r>
        <w:r>
          <w:rPr>
            <w:noProof/>
            <w:webHidden/>
          </w:rPr>
          <w:instrText xml:space="preserve"> PAGEREF _Toc193116897 \h </w:instrText>
        </w:r>
        <w:r>
          <w:rPr>
            <w:noProof/>
            <w:webHidden/>
          </w:rPr>
        </w:r>
        <w:r>
          <w:rPr>
            <w:noProof/>
            <w:webHidden/>
          </w:rPr>
          <w:fldChar w:fldCharType="separate"/>
        </w:r>
        <w:r>
          <w:rPr>
            <w:noProof/>
            <w:webHidden/>
          </w:rPr>
          <w:t>37</w:t>
        </w:r>
        <w:r>
          <w:rPr>
            <w:noProof/>
            <w:webHidden/>
          </w:rPr>
          <w:fldChar w:fldCharType="end"/>
        </w:r>
      </w:hyperlink>
    </w:p>
    <w:p w14:paraId="26089647" w14:textId="16DB8EE1"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8" w:history="1">
        <w:r w:rsidRPr="003C4320">
          <w:rPr>
            <w:rStyle w:val="Hyperlink"/>
            <w:noProof/>
          </w:rPr>
          <w:t>Objective 1e. Provide Electric Vehicle Charging Stations for School Staff and Public Use</w:t>
        </w:r>
        <w:r>
          <w:rPr>
            <w:noProof/>
            <w:webHidden/>
          </w:rPr>
          <w:tab/>
        </w:r>
        <w:r>
          <w:rPr>
            <w:noProof/>
            <w:webHidden/>
          </w:rPr>
          <w:fldChar w:fldCharType="begin"/>
        </w:r>
        <w:r>
          <w:rPr>
            <w:noProof/>
            <w:webHidden/>
          </w:rPr>
          <w:instrText xml:space="preserve"> PAGEREF _Toc193116898 \h </w:instrText>
        </w:r>
        <w:r>
          <w:rPr>
            <w:noProof/>
            <w:webHidden/>
          </w:rPr>
        </w:r>
        <w:r>
          <w:rPr>
            <w:noProof/>
            <w:webHidden/>
          </w:rPr>
          <w:fldChar w:fldCharType="separate"/>
        </w:r>
        <w:r>
          <w:rPr>
            <w:noProof/>
            <w:webHidden/>
          </w:rPr>
          <w:t>40</w:t>
        </w:r>
        <w:r>
          <w:rPr>
            <w:noProof/>
            <w:webHidden/>
          </w:rPr>
          <w:fldChar w:fldCharType="end"/>
        </w:r>
      </w:hyperlink>
    </w:p>
    <w:p w14:paraId="3279F02B" w14:textId="3E02FCAA"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899" w:history="1">
        <w:r w:rsidRPr="003C4320">
          <w:rPr>
            <w:rStyle w:val="Hyperlink"/>
            <w:noProof/>
          </w:rPr>
          <w:t>Objective 1f. Enhance Climate Resilience</w:t>
        </w:r>
        <w:r>
          <w:rPr>
            <w:noProof/>
            <w:webHidden/>
          </w:rPr>
          <w:tab/>
        </w:r>
        <w:r>
          <w:rPr>
            <w:noProof/>
            <w:webHidden/>
          </w:rPr>
          <w:fldChar w:fldCharType="begin"/>
        </w:r>
        <w:r>
          <w:rPr>
            <w:noProof/>
            <w:webHidden/>
          </w:rPr>
          <w:instrText xml:space="preserve"> PAGEREF _Toc193116899 \h </w:instrText>
        </w:r>
        <w:r>
          <w:rPr>
            <w:noProof/>
            <w:webHidden/>
          </w:rPr>
        </w:r>
        <w:r>
          <w:rPr>
            <w:noProof/>
            <w:webHidden/>
          </w:rPr>
          <w:fldChar w:fldCharType="separate"/>
        </w:r>
        <w:r>
          <w:rPr>
            <w:noProof/>
            <w:webHidden/>
          </w:rPr>
          <w:t>44</w:t>
        </w:r>
        <w:r>
          <w:rPr>
            <w:noProof/>
            <w:webHidden/>
          </w:rPr>
          <w:fldChar w:fldCharType="end"/>
        </w:r>
      </w:hyperlink>
    </w:p>
    <w:p w14:paraId="0AFF7B50" w14:textId="1B67A4C6" w:rsidR="002C17C1" w:rsidRDefault="002C17C1">
      <w:pPr>
        <w:pStyle w:val="TOC1"/>
        <w:rPr>
          <w:rFonts w:asciiTheme="minorHAnsi" w:eastAsiaTheme="minorEastAsia" w:hAnsiTheme="minorHAnsi" w:cstheme="minorBidi"/>
          <w:kern w:val="2"/>
          <w:szCs w:val="24"/>
          <w14:ligatures w14:val="standardContextual"/>
        </w:rPr>
      </w:pPr>
      <w:hyperlink w:anchor="_Toc193116900" w:history="1">
        <w:r w:rsidRPr="003C4320">
          <w:rPr>
            <w:rStyle w:val="Hyperlink"/>
          </w:rPr>
          <w:t>III. Goal 2: Achieve Healthy Schools</w:t>
        </w:r>
        <w:r>
          <w:rPr>
            <w:webHidden/>
          </w:rPr>
          <w:tab/>
        </w:r>
        <w:r>
          <w:rPr>
            <w:webHidden/>
          </w:rPr>
          <w:fldChar w:fldCharType="begin"/>
        </w:r>
        <w:r>
          <w:rPr>
            <w:webHidden/>
          </w:rPr>
          <w:instrText xml:space="preserve"> PAGEREF _Toc193116900 \h </w:instrText>
        </w:r>
        <w:r>
          <w:rPr>
            <w:webHidden/>
          </w:rPr>
        </w:r>
        <w:r>
          <w:rPr>
            <w:webHidden/>
          </w:rPr>
          <w:fldChar w:fldCharType="separate"/>
        </w:r>
        <w:r>
          <w:rPr>
            <w:webHidden/>
          </w:rPr>
          <w:t>48</w:t>
        </w:r>
        <w:r>
          <w:rPr>
            <w:webHidden/>
          </w:rPr>
          <w:fldChar w:fldCharType="end"/>
        </w:r>
      </w:hyperlink>
    </w:p>
    <w:p w14:paraId="062A6FCD" w14:textId="56093751"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1" w:history="1">
        <w:r w:rsidRPr="003C4320">
          <w:rPr>
            <w:rStyle w:val="Hyperlink"/>
            <w:noProof/>
          </w:rPr>
          <w:t>Objective 2a. Improve Air Quality</w:t>
        </w:r>
        <w:r>
          <w:rPr>
            <w:noProof/>
            <w:webHidden/>
          </w:rPr>
          <w:tab/>
        </w:r>
        <w:r>
          <w:rPr>
            <w:noProof/>
            <w:webHidden/>
          </w:rPr>
          <w:fldChar w:fldCharType="begin"/>
        </w:r>
        <w:r>
          <w:rPr>
            <w:noProof/>
            <w:webHidden/>
          </w:rPr>
          <w:instrText xml:space="preserve"> PAGEREF _Toc193116901 \h </w:instrText>
        </w:r>
        <w:r>
          <w:rPr>
            <w:noProof/>
            <w:webHidden/>
          </w:rPr>
        </w:r>
        <w:r>
          <w:rPr>
            <w:noProof/>
            <w:webHidden/>
          </w:rPr>
          <w:fldChar w:fldCharType="separate"/>
        </w:r>
        <w:r>
          <w:rPr>
            <w:noProof/>
            <w:webHidden/>
          </w:rPr>
          <w:t>49</w:t>
        </w:r>
        <w:r>
          <w:rPr>
            <w:noProof/>
            <w:webHidden/>
          </w:rPr>
          <w:fldChar w:fldCharType="end"/>
        </w:r>
      </w:hyperlink>
    </w:p>
    <w:p w14:paraId="250FC6BE" w14:textId="3CA3A620"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2" w:history="1">
        <w:r w:rsidRPr="003C4320">
          <w:rPr>
            <w:rStyle w:val="Hyperlink"/>
            <w:noProof/>
          </w:rPr>
          <w:t>Objective 2b. Improve Water Quality</w:t>
        </w:r>
        <w:r>
          <w:rPr>
            <w:noProof/>
            <w:webHidden/>
          </w:rPr>
          <w:tab/>
        </w:r>
        <w:r>
          <w:rPr>
            <w:noProof/>
            <w:webHidden/>
          </w:rPr>
          <w:fldChar w:fldCharType="begin"/>
        </w:r>
        <w:r>
          <w:rPr>
            <w:noProof/>
            <w:webHidden/>
          </w:rPr>
          <w:instrText xml:space="preserve"> PAGEREF _Toc193116902 \h </w:instrText>
        </w:r>
        <w:r>
          <w:rPr>
            <w:noProof/>
            <w:webHidden/>
          </w:rPr>
        </w:r>
        <w:r>
          <w:rPr>
            <w:noProof/>
            <w:webHidden/>
          </w:rPr>
          <w:fldChar w:fldCharType="separate"/>
        </w:r>
        <w:r>
          <w:rPr>
            <w:noProof/>
            <w:webHidden/>
          </w:rPr>
          <w:t>66</w:t>
        </w:r>
        <w:r>
          <w:rPr>
            <w:noProof/>
            <w:webHidden/>
          </w:rPr>
          <w:fldChar w:fldCharType="end"/>
        </w:r>
      </w:hyperlink>
    </w:p>
    <w:p w14:paraId="6948347F" w14:textId="5D804AB2"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3" w:history="1">
        <w:r w:rsidRPr="003C4320">
          <w:rPr>
            <w:rStyle w:val="Hyperlink"/>
            <w:noProof/>
          </w:rPr>
          <w:t>Objective 2c. Maintain Thermal Comfort</w:t>
        </w:r>
        <w:r>
          <w:rPr>
            <w:noProof/>
            <w:webHidden/>
          </w:rPr>
          <w:tab/>
        </w:r>
        <w:r>
          <w:rPr>
            <w:noProof/>
            <w:webHidden/>
          </w:rPr>
          <w:fldChar w:fldCharType="begin"/>
        </w:r>
        <w:r>
          <w:rPr>
            <w:noProof/>
            <w:webHidden/>
          </w:rPr>
          <w:instrText xml:space="preserve"> PAGEREF _Toc193116903 \h </w:instrText>
        </w:r>
        <w:r>
          <w:rPr>
            <w:noProof/>
            <w:webHidden/>
          </w:rPr>
        </w:r>
        <w:r>
          <w:rPr>
            <w:noProof/>
            <w:webHidden/>
          </w:rPr>
          <w:fldChar w:fldCharType="separate"/>
        </w:r>
        <w:r>
          <w:rPr>
            <w:noProof/>
            <w:webHidden/>
          </w:rPr>
          <w:t>69</w:t>
        </w:r>
        <w:r>
          <w:rPr>
            <w:noProof/>
            <w:webHidden/>
          </w:rPr>
          <w:fldChar w:fldCharType="end"/>
        </w:r>
      </w:hyperlink>
    </w:p>
    <w:p w14:paraId="1212E54D" w14:textId="57ACA50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4" w:history="1">
        <w:r w:rsidRPr="003C4320">
          <w:rPr>
            <w:rStyle w:val="Hyperlink"/>
            <w:noProof/>
          </w:rPr>
          <w:t>Objective 2d. Use Integrated Pest Management</w:t>
        </w:r>
        <w:r>
          <w:rPr>
            <w:noProof/>
            <w:webHidden/>
          </w:rPr>
          <w:tab/>
        </w:r>
        <w:r>
          <w:rPr>
            <w:noProof/>
            <w:webHidden/>
          </w:rPr>
          <w:fldChar w:fldCharType="begin"/>
        </w:r>
        <w:r>
          <w:rPr>
            <w:noProof/>
            <w:webHidden/>
          </w:rPr>
          <w:instrText xml:space="preserve"> PAGEREF _Toc193116904 \h </w:instrText>
        </w:r>
        <w:r>
          <w:rPr>
            <w:noProof/>
            <w:webHidden/>
          </w:rPr>
        </w:r>
        <w:r>
          <w:rPr>
            <w:noProof/>
            <w:webHidden/>
          </w:rPr>
          <w:fldChar w:fldCharType="separate"/>
        </w:r>
        <w:r>
          <w:rPr>
            <w:noProof/>
            <w:webHidden/>
          </w:rPr>
          <w:t>71</w:t>
        </w:r>
        <w:r>
          <w:rPr>
            <w:noProof/>
            <w:webHidden/>
          </w:rPr>
          <w:fldChar w:fldCharType="end"/>
        </w:r>
      </w:hyperlink>
    </w:p>
    <w:p w14:paraId="79F3636E" w14:textId="4EA95B1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5" w:history="1">
        <w:r w:rsidRPr="003C4320">
          <w:rPr>
            <w:rStyle w:val="Hyperlink"/>
            <w:noProof/>
          </w:rPr>
          <w:t>Objective 2e. Procure and Use Green Cleaning Supplies and Chemicals</w:t>
        </w:r>
        <w:r>
          <w:rPr>
            <w:noProof/>
            <w:webHidden/>
          </w:rPr>
          <w:tab/>
        </w:r>
        <w:r>
          <w:rPr>
            <w:noProof/>
            <w:webHidden/>
          </w:rPr>
          <w:fldChar w:fldCharType="begin"/>
        </w:r>
        <w:r>
          <w:rPr>
            <w:noProof/>
            <w:webHidden/>
          </w:rPr>
          <w:instrText xml:space="preserve"> PAGEREF _Toc193116905 \h </w:instrText>
        </w:r>
        <w:r>
          <w:rPr>
            <w:noProof/>
            <w:webHidden/>
          </w:rPr>
        </w:r>
        <w:r>
          <w:rPr>
            <w:noProof/>
            <w:webHidden/>
          </w:rPr>
          <w:fldChar w:fldCharType="separate"/>
        </w:r>
        <w:r>
          <w:rPr>
            <w:noProof/>
            <w:webHidden/>
          </w:rPr>
          <w:t>73</w:t>
        </w:r>
        <w:r>
          <w:rPr>
            <w:noProof/>
            <w:webHidden/>
          </w:rPr>
          <w:fldChar w:fldCharType="end"/>
        </w:r>
      </w:hyperlink>
    </w:p>
    <w:p w14:paraId="093A7677" w14:textId="1A442F40"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6" w:history="1">
        <w:r w:rsidRPr="003C4320">
          <w:rPr>
            <w:rStyle w:val="Hyperlink"/>
            <w:noProof/>
          </w:rPr>
          <w:t>Objective 2f. Reduce Exposure to Hazardous Substances</w:t>
        </w:r>
        <w:r>
          <w:rPr>
            <w:noProof/>
            <w:webHidden/>
          </w:rPr>
          <w:tab/>
        </w:r>
        <w:r>
          <w:rPr>
            <w:noProof/>
            <w:webHidden/>
          </w:rPr>
          <w:fldChar w:fldCharType="begin"/>
        </w:r>
        <w:r>
          <w:rPr>
            <w:noProof/>
            <w:webHidden/>
          </w:rPr>
          <w:instrText xml:space="preserve"> PAGEREF _Toc193116906 \h </w:instrText>
        </w:r>
        <w:r>
          <w:rPr>
            <w:noProof/>
            <w:webHidden/>
          </w:rPr>
        </w:r>
        <w:r>
          <w:rPr>
            <w:noProof/>
            <w:webHidden/>
          </w:rPr>
          <w:fldChar w:fldCharType="separate"/>
        </w:r>
        <w:r>
          <w:rPr>
            <w:noProof/>
            <w:webHidden/>
          </w:rPr>
          <w:t>75</w:t>
        </w:r>
        <w:r>
          <w:rPr>
            <w:noProof/>
            <w:webHidden/>
          </w:rPr>
          <w:fldChar w:fldCharType="end"/>
        </w:r>
      </w:hyperlink>
    </w:p>
    <w:p w14:paraId="22DF5E51" w14:textId="00F5075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7" w:history="1">
        <w:r w:rsidRPr="003C4320">
          <w:rPr>
            <w:rStyle w:val="Hyperlink"/>
            <w:noProof/>
          </w:rPr>
          <w:t>Objective 2g. Safely Procure, Use, and Dispose of Crumb Rubber</w:t>
        </w:r>
        <w:r>
          <w:rPr>
            <w:noProof/>
            <w:webHidden/>
          </w:rPr>
          <w:tab/>
        </w:r>
        <w:r>
          <w:rPr>
            <w:noProof/>
            <w:webHidden/>
          </w:rPr>
          <w:fldChar w:fldCharType="begin"/>
        </w:r>
        <w:r>
          <w:rPr>
            <w:noProof/>
            <w:webHidden/>
          </w:rPr>
          <w:instrText xml:space="preserve"> PAGEREF _Toc193116907 \h </w:instrText>
        </w:r>
        <w:r>
          <w:rPr>
            <w:noProof/>
            <w:webHidden/>
          </w:rPr>
        </w:r>
        <w:r>
          <w:rPr>
            <w:noProof/>
            <w:webHidden/>
          </w:rPr>
          <w:fldChar w:fldCharType="separate"/>
        </w:r>
        <w:r>
          <w:rPr>
            <w:noProof/>
            <w:webHidden/>
          </w:rPr>
          <w:t>77</w:t>
        </w:r>
        <w:r>
          <w:rPr>
            <w:noProof/>
            <w:webHidden/>
          </w:rPr>
          <w:fldChar w:fldCharType="end"/>
        </w:r>
      </w:hyperlink>
    </w:p>
    <w:p w14:paraId="6E320DE8" w14:textId="3C146BE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8" w:history="1">
        <w:r w:rsidRPr="003C4320">
          <w:rPr>
            <w:rStyle w:val="Hyperlink"/>
            <w:noProof/>
          </w:rPr>
          <w:t>Objective 2h. Create a Safe Environment for Students with Life-Threatening Food Allergies</w:t>
        </w:r>
        <w:r>
          <w:rPr>
            <w:noProof/>
            <w:webHidden/>
          </w:rPr>
          <w:tab/>
        </w:r>
        <w:r>
          <w:rPr>
            <w:noProof/>
            <w:webHidden/>
          </w:rPr>
          <w:fldChar w:fldCharType="begin"/>
        </w:r>
        <w:r>
          <w:rPr>
            <w:noProof/>
            <w:webHidden/>
          </w:rPr>
          <w:instrText xml:space="preserve"> PAGEREF _Toc193116908 \h </w:instrText>
        </w:r>
        <w:r>
          <w:rPr>
            <w:noProof/>
            <w:webHidden/>
          </w:rPr>
        </w:r>
        <w:r>
          <w:rPr>
            <w:noProof/>
            <w:webHidden/>
          </w:rPr>
          <w:fldChar w:fldCharType="separate"/>
        </w:r>
        <w:r>
          <w:rPr>
            <w:noProof/>
            <w:webHidden/>
          </w:rPr>
          <w:t>80</w:t>
        </w:r>
        <w:r>
          <w:rPr>
            <w:noProof/>
            <w:webHidden/>
          </w:rPr>
          <w:fldChar w:fldCharType="end"/>
        </w:r>
      </w:hyperlink>
    </w:p>
    <w:p w14:paraId="114C7E3C" w14:textId="4550D02D"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09" w:history="1">
        <w:r w:rsidRPr="003C4320">
          <w:rPr>
            <w:rStyle w:val="Hyperlink"/>
            <w:noProof/>
          </w:rPr>
          <w:t>Objective 2i. Create a Productive Learning Environment for All Students</w:t>
        </w:r>
        <w:r>
          <w:rPr>
            <w:noProof/>
            <w:webHidden/>
          </w:rPr>
          <w:tab/>
        </w:r>
        <w:r>
          <w:rPr>
            <w:noProof/>
            <w:webHidden/>
          </w:rPr>
          <w:fldChar w:fldCharType="begin"/>
        </w:r>
        <w:r>
          <w:rPr>
            <w:noProof/>
            <w:webHidden/>
          </w:rPr>
          <w:instrText xml:space="preserve"> PAGEREF _Toc193116909 \h </w:instrText>
        </w:r>
        <w:r>
          <w:rPr>
            <w:noProof/>
            <w:webHidden/>
          </w:rPr>
        </w:r>
        <w:r>
          <w:rPr>
            <w:noProof/>
            <w:webHidden/>
          </w:rPr>
          <w:fldChar w:fldCharType="separate"/>
        </w:r>
        <w:r>
          <w:rPr>
            <w:noProof/>
            <w:webHidden/>
          </w:rPr>
          <w:t>82</w:t>
        </w:r>
        <w:r>
          <w:rPr>
            <w:noProof/>
            <w:webHidden/>
          </w:rPr>
          <w:fldChar w:fldCharType="end"/>
        </w:r>
      </w:hyperlink>
    </w:p>
    <w:p w14:paraId="3E938E80" w14:textId="00ADAC5B"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0" w:history="1">
        <w:r w:rsidRPr="003C4320">
          <w:rPr>
            <w:rStyle w:val="Hyperlink"/>
            <w:noProof/>
          </w:rPr>
          <w:t>Objective 2j. Design the Built Environment to Foster a Peaceful School Community</w:t>
        </w:r>
        <w:r>
          <w:rPr>
            <w:noProof/>
            <w:webHidden/>
          </w:rPr>
          <w:tab/>
        </w:r>
        <w:r>
          <w:rPr>
            <w:noProof/>
            <w:webHidden/>
          </w:rPr>
          <w:fldChar w:fldCharType="begin"/>
        </w:r>
        <w:r>
          <w:rPr>
            <w:noProof/>
            <w:webHidden/>
          </w:rPr>
          <w:instrText xml:space="preserve"> PAGEREF _Toc193116910 \h </w:instrText>
        </w:r>
        <w:r>
          <w:rPr>
            <w:noProof/>
            <w:webHidden/>
          </w:rPr>
        </w:r>
        <w:r>
          <w:rPr>
            <w:noProof/>
            <w:webHidden/>
          </w:rPr>
          <w:fldChar w:fldCharType="separate"/>
        </w:r>
        <w:r>
          <w:rPr>
            <w:noProof/>
            <w:webHidden/>
          </w:rPr>
          <w:t>84</w:t>
        </w:r>
        <w:r>
          <w:rPr>
            <w:noProof/>
            <w:webHidden/>
          </w:rPr>
          <w:fldChar w:fldCharType="end"/>
        </w:r>
      </w:hyperlink>
    </w:p>
    <w:p w14:paraId="3DCEA203" w14:textId="407A26E1" w:rsidR="002C17C1" w:rsidRDefault="002C17C1">
      <w:pPr>
        <w:pStyle w:val="TOC1"/>
        <w:rPr>
          <w:rFonts w:asciiTheme="minorHAnsi" w:eastAsiaTheme="minorEastAsia" w:hAnsiTheme="minorHAnsi" w:cstheme="minorBidi"/>
          <w:kern w:val="2"/>
          <w:szCs w:val="24"/>
          <w14:ligatures w14:val="standardContextual"/>
        </w:rPr>
      </w:pPr>
      <w:hyperlink w:anchor="_Toc193116911" w:history="1">
        <w:r w:rsidRPr="003C4320">
          <w:rPr>
            <w:rStyle w:val="Hyperlink"/>
          </w:rPr>
          <w:t>IV. Goal 3: Achieve Equitable Outcomes for All Students</w:t>
        </w:r>
        <w:r>
          <w:rPr>
            <w:webHidden/>
          </w:rPr>
          <w:tab/>
        </w:r>
        <w:r>
          <w:rPr>
            <w:webHidden/>
          </w:rPr>
          <w:fldChar w:fldCharType="begin"/>
        </w:r>
        <w:r>
          <w:rPr>
            <w:webHidden/>
          </w:rPr>
          <w:instrText xml:space="preserve"> PAGEREF _Toc193116911 \h </w:instrText>
        </w:r>
        <w:r>
          <w:rPr>
            <w:webHidden/>
          </w:rPr>
        </w:r>
        <w:r>
          <w:rPr>
            <w:webHidden/>
          </w:rPr>
          <w:fldChar w:fldCharType="separate"/>
        </w:r>
        <w:r>
          <w:rPr>
            <w:webHidden/>
          </w:rPr>
          <w:t>86</w:t>
        </w:r>
        <w:r>
          <w:rPr>
            <w:webHidden/>
          </w:rPr>
          <w:fldChar w:fldCharType="end"/>
        </w:r>
      </w:hyperlink>
    </w:p>
    <w:p w14:paraId="3B2A1AF1" w14:textId="2068C72B"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2" w:history="1">
        <w:r w:rsidRPr="003C4320">
          <w:rPr>
            <w:rStyle w:val="Hyperlink"/>
            <w:noProof/>
          </w:rPr>
          <w:t>Objective 3a. Optimize Space to Equitably Meet Special Education Needs</w:t>
        </w:r>
        <w:r>
          <w:rPr>
            <w:noProof/>
            <w:webHidden/>
          </w:rPr>
          <w:tab/>
        </w:r>
        <w:r>
          <w:rPr>
            <w:noProof/>
            <w:webHidden/>
          </w:rPr>
          <w:fldChar w:fldCharType="begin"/>
        </w:r>
        <w:r>
          <w:rPr>
            <w:noProof/>
            <w:webHidden/>
          </w:rPr>
          <w:instrText xml:space="preserve"> PAGEREF _Toc193116912 \h </w:instrText>
        </w:r>
        <w:r>
          <w:rPr>
            <w:noProof/>
            <w:webHidden/>
          </w:rPr>
        </w:r>
        <w:r>
          <w:rPr>
            <w:noProof/>
            <w:webHidden/>
          </w:rPr>
          <w:fldChar w:fldCharType="separate"/>
        </w:r>
        <w:r>
          <w:rPr>
            <w:noProof/>
            <w:webHidden/>
          </w:rPr>
          <w:t>87</w:t>
        </w:r>
        <w:r>
          <w:rPr>
            <w:noProof/>
            <w:webHidden/>
          </w:rPr>
          <w:fldChar w:fldCharType="end"/>
        </w:r>
      </w:hyperlink>
    </w:p>
    <w:p w14:paraId="59585ED3" w14:textId="02A71003"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3" w:history="1">
        <w:r w:rsidRPr="003C4320">
          <w:rPr>
            <w:rStyle w:val="Hyperlink"/>
            <w:noProof/>
          </w:rPr>
          <w:t>Objective 3b. Prioritize Universal Accessibility</w:t>
        </w:r>
        <w:r>
          <w:rPr>
            <w:noProof/>
            <w:webHidden/>
          </w:rPr>
          <w:tab/>
        </w:r>
        <w:r>
          <w:rPr>
            <w:noProof/>
            <w:webHidden/>
          </w:rPr>
          <w:fldChar w:fldCharType="begin"/>
        </w:r>
        <w:r>
          <w:rPr>
            <w:noProof/>
            <w:webHidden/>
          </w:rPr>
          <w:instrText xml:space="preserve"> PAGEREF _Toc193116913 \h </w:instrText>
        </w:r>
        <w:r>
          <w:rPr>
            <w:noProof/>
            <w:webHidden/>
          </w:rPr>
        </w:r>
        <w:r>
          <w:rPr>
            <w:noProof/>
            <w:webHidden/>
          </w:rPr>
          <w:fldChar w:fldCharType="separate"/>
        </w:r>
        <w:r>
          <w:rPr>
            <w:noProof/>
            <w:webHidden/>
          </w:rPr>
          <w:t>90</w:t>
        </w:r>
        <w:r>
          <w:rPr>
            <w:noProof/>
            <w:webHidden/>
          </w:rPr>
          <w:fldChar w:fldCharType="end"/>
        </w:r>
      </w:hyperlink>
    </w:p>
    <w:p w14:paraId="2E3AA53C" w14:textId="5F0A479B"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4" w:history="1">
        <w:r w:rsidRPr="003C4320">
          <w:rPr>
            <w:rStyle w:val="Hyperlink"/>
            <w:noProof/>
          </w:rPr>
          <w:t>Objective 3c. Use Available Data to Identify and Equitably Prioritize Schools of Greatest Need and Advocate for Additional Funding Priorities</w:t>
        </w:r>
        <w:r>
          <w:rPr>
            <w:noProof/>
            <w:webHidden/>
          </w:rPr>
          <w:tab/>
        </w:r>
        <w:r>
          <w:rPr>
            <w:noProof/>
            <w:webHidden/>
          </w:rPr>
          <w:fldChar w:fldCharType="begin"/>
        </w:r>
        <w:r>
          <w:rPr>
            <w:noProof/>
            <w:webHidden/>
          </w:rPr>
          <w:instrText xml:space="preserve"> PAGEREF _Toc193116914 \h </w:instrText>
        </w:r>
        <w:r>
          <w:rPr>
            <w:noProof/>
            <w:webHidden/>
          </w:rPr>
        </w:r>
        <w:r>
          <w:rPr>
            <w:noProof/>
            <w:webHidden/>
          </w:rPr>
          <w:fldChar w:fldCharType="separate"/>
        </w:r>
        <w:r>
          <w:rPr>
            <w:noProof/>
            <w:webHidden/>
          </w:rPr>
          <w:t>92</w:t>
        </w:r>
        <w:r>
          <w:rPr>
            <w:noProof/>
            <w:webHidden/>
          </w:rPr>
          <w:fldChar w:fldCharType="end"/>
        </w:r>
      </w:hyperlink>
    </w:p>
    <w:p w14:paraId="1AE1CDCF" w14:textId="57F1F85C" w:rsidR="002C17C1" w:rsidRDefault="002C17C1">
      <w:pPr>
        <w:pStyle w:val="TOC1"/>
        <w:rPr>
          <w:rFonts w:asciiTheme="minorHAnsi" w:eastAsiaTheme="minorEastAsia" w:hAnsiTheme="minorHAnsi" w:cstheme="minorBidi"/>
          <w:kern w:val="2"/>
          <w:szCs w:val="24"/>
          <w14:ligatures w14:val="standardContextual"/>
        </w:rPr>
      </w:pPr>
      <w:hyperlink w:anchor="_Toc193116915" w:history="1">
        <w:r w:rsidRPr="003C4320">
          <w:rPr>
            <w:rStyle w:val="Hyperlink"/>
          </w:rPr>
          <w:t>V. Funding Strategies</w:t>
        </w:r>
        <w:r>
          <w:rPr>
            <w:webHidden/>
          </w:rPr>
          <w:tab/>
        </w:r>
        <w:r>
          <w:rPr>
            <w:webHidden/>
          </w:rPr>
          <w:fldChar w:fldCharType="begin"/>
        </w:r>
        <w:r>
          <w:rPr>
            <w:webHidden/>
          </w:rPr>
          <w:instrText xml:space="preserve"> PAGEREF _Toc193116915 \h </w:instrText>
        </w:r>
        <w:r>
          <w:rPr>
            <w:webHidden/>
          </w:rPr>
        </w:r>
        <w:r>
          <w:rPr>
            <w:webHidden/>
          </w:rPr>
          <w:fldChar w:fldCharType="separate"/>
        </w:r>
        <w:r>
          <w:rPr>
            <w:webHidden/>
          </w:rPr>
          <w:t>131</w:t>
        </w:r>
        <w:r>
          <w:rPr>
            <w:webHidden/>
          </w:rPr>
          <w:fldChar w:fldCharType="end"/>
        </w:r>
      </w:hyperlink>
    </w:p>
    <w:p w14:paraId="63A13DF6" w14:textId="1AE929A7"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6" w:history="1">
        <w:r w:rsidRPr="003C4320">
          <w:rPr>
            <w:rStyle w:val="Hyperlink"/>
            <w:rFonts w:eastAsiaTheme="majorEastAsia"/>
            <w:noProof/>
          </w:rPr>
          <w:t>Local Contribution to Municipality’s Foundation Budget</w:t>
        </w:r>
        <w:r>
          <w:rPr>
            <w:noProof/>
            <w:webHidden/>
          </w:rPr>
          <w:tab/>
        </w:r>
        <w:r>
          <w:rPr>
            <w:noProof/>
            <w:webHidden/>
          </w:rPr>
          <w:fldChar w:fldCharType="begin"/>
        </w:r>
        <w:r>
          <w:rPr>
            <w:noProof/>
            <w:webHidden/>
          </w:rPr>
          <w:instrText xml:space="preserve"> PAGEREF _Toc193116916 \h </w:instrText>
        </w:r>
        <w:r>
          <w:rPr>
            <w:noProof/>
            <w:webHidden/>
          </w:rPr>
        </w:r>
        <w:r>
          <w:rPr>
            <w:noProof/>
            <w:webHidden/>
          </w:rPr>
          <w:fldChar w:fldCharType="separate"/>
        </w:r>
        <w:r>
          <w:rPr>
            <w:noProof/>
            <w:webHidden/>
          </w:rPr>
          <w:t>132</w:t>
        </w:r>
        <w:r>
          <w:rPr>
            <w:noProof/>
            <w:webHidden/>
          </w:rPr>
          <w:fldChar w:fldCharType="end"/>
        </w:r>
      </w:hyperlink>
    </w:p>
    <w:p w14:paraId="3BD2F650" w14:textId="61CBF3BC"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7" w:history="1">
        <w:r w:rsidRPr="003C4320">
          <w:rPr>
            <w:rStyle w:val="Hyperlink"/>
            <w:rFonts w:eastAsiaTheme="majorEastAsia"/>
            <w:noProof/>
          </w:rPr>
          <w:t>Chapter 70 State Aid</w:t>
        </w:r>
        <w:r>
          <w:rPr>
            <w:noProof/>
            <w:webHidden/>
          </w:rPr>
          <w:tab/>
        </w:r>
        <w:r>
          <w:rPr>
            <w:noProof/>
            <w:webHidden/>
          </w:rPr>
          <w:fldChar w:fldCharType="begin"/>
        </w:r>
        <w:r>
          <w:rPr>
            <w:noProof/>
            <w:webHidden/>
          </w:rPr>
          <w:instrText xml:space="preserve"> PAGEREF _Toc193116917 \h </w:instrText>
        </w:r>
        <w:r>
          <w:rPr>
            <w:noProof/>
            <w:webHidden/>
          </w:rPr>
        </w:r>
        <w:r>
          <w:rPr>
            <w:noProof/>
            <w:webHidden/>
          </w:rPr>
          <w:fldChar w:fldCharType="separate"/>
        </w:r>
        <w:r>
          <w:rPr>
            <w:noProof/>
            <w:webHidden/>
          </w:rPr>
          <w:t>133</w:t>
        </w:r>
        <w:r>
          <w:rPr>
            <w:noProof/>
            <w:webHidden/>
          </w:rPr>
          <w:fldChar w:fldCharType="end"/>
        </w:r>
      </w:hyperlink>
    </w:p>
    <w:p w14:paraId="27401CC7" w14:textId="765E61B3"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8" w:history="1">
        <w:r w:rsidRPr="003C4320">
          <w:rPr>
            <w:rStyle w:val="Hyperlink"/>
            <w:rFonts w:eastAsiaTheme="majorEastAsia"/>
            <w:noProof/>
          </w:rPr>
          <w:t>Rural School Aid</w:t>
        </w:r>
        <w:r>
          <w:rPr>
            <w:noProof/>
            <w:webHidden/>
          </w:rPr>
          <w:tab/>
        </w:r>
        <w:r>
          <w:rPr>
            <w:noProof/>
            <w:webHidden/>
          </w:rPr>
          <w:fldChar w:fldCharType="begin"/>
        </w:r>
        <w:r>
          <w:rPr>
            <w:noProof/>
            <w:webHidden/>
          </w:rPr>
          <w:instrText xml:space="preserve"> PAGEREF _Toc193116918 \h </w:instrText>
        </w:r>
        <w:r>
          <w:rPr>
            <w:noProof/>
            <w:webHidden/>
          </w:rPr>
        </w:r>
        <w:r>
          <w:rPr>
            <w:noProof/>
            <w:webHidden/>
          </w:rPr>
          <w:fldChar w:fldCharType="separate"/>
        </w:r>
        <w:r>
          <w:rPr>
            <w:noProof/>
            <w:webHidden/>
          </w:rPr>
          <w:t>133</w:t>
        </w:r>
        <w:r>
          <w:rPr>
            <w:noProof/>
            <w:webHidden/>
          </w:rPr>
          <w:fldChar w:fldCharType="end"/>
        </w:r>
      </w:hyperlink>
    </w:p>
    <w:p w14:paraId="619CBD3B" w14:textId="1889D79D"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19" w:history="1">
        <w:r w:rsidRPr="003C4320">
          <w:rPr>
            <w:rStyle w:val="Hyperlink"/>
            <w:rFonts w:eastAsiaTheme="majorEastAsia"/>
            <w:noProof/>
          </w:rPr>
          <w:t>Municipal Debt</w:t>
        </w:r>
        <w:r>
          <w:rPr>
            <w:noProof/>
            <w:webHidden/>
          </w:rPr>
          <w:tab/>
        </w:r>
        <w:r>
          <w:rPr>
            <w:noProof/>
            <w:webHidden/>
          </w:rPr>
          <w:fldChar w:fldCharType="begin"/>
        </w:r>
        <w:r>
          <w:rPr>
            <w:noProof/>
            <w:webHidden/>
          </w:rPr>
          <w:instrText xml:space="preserve"> PAGEREF _Toc193116919 \h </w:instrText>
        </w:r>
        <w:r>
          <w:rPr>
            <w:noProof/>
            <w:webHidden/>
          </w:rPr>
        </w:r>
        <w:r>
          <w:rPr>
            <w:noProof/>
            <w:webHidden/>
          </w:rPr>
          <w:fldChar w:fldCharType="separate"/>
        </w:r>
        <w:r>
          <w:rPr>
            <w:noProof/>
            <w:webHidden/>
          </w:rPr>
          <w:t>133</w:t>
        </w:r>
        <w:r>
          <w:rPr>
            <w:noProof/>
            <w:webHidden/>
          </w:rPr>
          <w:fldChar w:fldCharType="end"/>
        </w:r>
      </w:hyperlink>
    </w:p>
    <w:p w14:paraId="55147073" w14:textId="56EFC715"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0" w:history="1">
        <w:r w:rsidRPr="003C4320">
          <w:rPr>
            <w:rStyle w:val="Hyperlink"/>
            <w:rFonts w:eastAsiaTheme="majorEastAsia"/>
            <w:noProof/>
          </w:rPr>
          <w:t>Grants</w:t>
        </w:r>
        <w:r>
          <w:rPr>
            <w:noProof/>
            <w:webHidden/>
          </w:rPr>
          <w:tab/>
        </w:r>
        <w:r>
          <w:rPr>
            <w:noProof/>
            <w:webHidden/>
          </w:rPr>
          <w:fldChar w:fldCharType="begin"/>
        </w:r>
        <w:r>
          <w:rPr>
            <w:noProof/>
            <w:webHidden/>
          </w:rPr>
          <w:instrText xml:space="preserve"> PAGEREF _Toc193116920 \h </w:instrText>
        </w:r>
        <w:r>
          <w:rPr>
            <w:noProof/>
            <w:webHidden/>
          </w:rPr>
        </w:r>
        <w:r>
          <w:rPr>
            <w:noProof/>
            <w:webHidden/>
          </w:rPr>
          <w:fldChar w:fldCharType="separate"/>
        </w:r>
        <w:r>
          <w:rPr>
            <w:noProof/>
            <w:webHidden/>
          </w:rPr>
          <w:t>133</w:t>
        </w:r>
        <w:r>
          <w:rPr>
            <w:noProof/>
            <w:webHidden/>
          </w:rPr>
          <w:fldChar w:fldCharType="end"/>
        </w:r>
      </w:hyperlink>
    </w:p>
    <w:p w14:paraId="0C2ADAD3" w14:textId="50B6CCC5"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1" w:history="1">
        <w:r w:rsidRPr="003C4320">
          <w:rPr>
            <w:rStyle w:val="Hyperlink"/>
            <w:rFonts w:eastAsiaTheme="majorEastAsia"/>
            <w:noProof/>
          </w:rPr>
          <w:t>No-cost Technical Support</w:t>
        </w:r>
        <w:r>
          <w:rPr>
            <w:noProof/>
            <w:webHidden/>
          </w:rPr>
          <w:tab/>
        </w:r>
        <w:r>
          <w:rPr>
            <w:noProof/>
            <w:webHidden/>
          </w:rPr>
          <w:fldChar w:fldCharType="begin"/>
        </w:r>
        <w:r>
          <w:rPr>
            <w:noProof/>
            <w:webHidden/>
          </w:rPr>
          <w:instrText xml:space="preserve"> PAGEREF _Toc193116921 \h </w:instrText>
        </w:r>
        <w:r>
          <w:rPr>
            <w:noProof/>
            <w:webHidden/>
          </w:rPr>
        </w:r>
        <w:r>
          <w:rPr>
            <w:noProof/>
            <w:webHidden/>
          </w:rPr>
          <w:fldChar w:fldCharType="separate"/>
        </w:r>
        <w:r>
          <w:rPr>
            <w:noProof/>
            <w:webHidden/>
          </w:rPr>
          <w:t>134</w:t>
        </w:r>
        <w:r>
          <w:rPr>
            <w:noProof/>
            <w:webHidden/>
          </w:rPr>
          <w:fldChar w:fldCharType="end"/>
        </w:r>
      </w:hyperlink>
    </w:p>
    <w:p w14:paraId="63198B78" w14:textId="04C642D9"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2" w:history="1">
        <w:r w:rsidRPr="003C4320">
          <w:rPr>
            <w:rStyle w:val="Hyperlink"/>
            <w:rFonts w:eastAsiaTheme="majorEastAsia"/>
            <w:noProof/>
          </w:rPr>
          <w:t>Incentives/Rebates/Tax Credits</w:t>
        </w:r>
        <w:r>
          <w:rPr>
            <w:noProof/>
            <w:webHidden/>
          </w:rPr>
          <w:tab/>
        </w:r>
        <w:r>
          <w:rPr>
            <w:noProof/>
            <w:webHidden/>
          </w:rPr>
          <w:fldChar w:fldCharType="begin"/>
        </w:r>
        <w:r>
          <w:rPr>
            <w:noProof/>
            <w:webHidden/>
          </w:rPr>
          <w:instrText xml:space="preserve"> PAGEREF _Toc193116922 \h </w:instrText>
        </w:r>
        <w:r>
          <w:rPr>
            <w:noProof/>
            <w:webHidden/>
          </w:rPr>
        </w:r>
        <w:r>
          <w:rPr>
            <w:noProof/>
            <w:webHidden/>
          </w:rPr>
          <w:fldChar w:fldCharType="separate"/>
        </w:r>
        <w:r>
          <w:rPr>
            <w:noProof/>
            <w:webHidden/>
          </w:rPr>
          <w:t>135</w:t>
        </w:r>
        <w:r>
          <w:rPr>
            <w:noProof/>
            <w:webHidden/>
          </w:rPr>
          <w:fldChar w:fldCharType="end"/>
        </w:r>
      </w:hyperlink>
    </w:p>
    <w:p w14:paraId="66086AFC" w14:textId="6125716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3" w:history="1">
        <w:r w:rsidRPr="003C4320">
          <w:rPr>
            <w:rStyle w:val="Hyperlink"/>
            <w:noProof/>
          </w:rPr>
          <w:t>Third-Party Financing</w:t>
        </w:r>
        <w:r>
          <w:rPr>
            <w:noProof/>
            <w:webHidden/>
          </w:rPr>
          <w:tab/>
        </w:r>
        <w:r>
          <w:rPr>
            <w:noProof/>
            <w:webHidden/>
          </w:rPr>
          <w:fldChar w:fldCharType="begin"/>
        </w:r>
        <w:r>
          <w:rPr>
            <w:noProof/>
            <w:webHidden/>
          </w:rPr>
          <w:instrText xml:space="preserve"> PAGEREF _Toc193116923 \h </w:instrText>
        </w:r>
        <w:r>
          <w:rPr>
            <w:noProof/>
            <w:webHidden/>
          </w:rPr>
        </w:r>
        <w:r>
          <w:rPr>
            <w:noProof/>
            <w:webHidden/>
          </w:rPr>
          <w:fldChar w:fldCharType="separate"/>
        </w:r>
        <w:r>
          <w:rPr>
            <w:noProof/>
            <w:webHidden/>
          </w:rPr>
          <w:t>136</w:t>
        </w:r>
        <w:r>
          <w:rPr>
            <w:noProof/>
            <w:webHidden/>
          </w:rPr>
          <w:fldChar w:fldCharType="end"/>
        </w:r>
      </w:hyperlink>
    </w:p>
    <w:p w14:paraId="6BFD3111" w14:textId="195F5B42" w:rsidR="002C17C1" w:rsidRPr="002C17C1" w:rsidRDefault="002C17C1">
      <w:pPr>
        <w:pStyle w:val="TOC1"/>
        <w:rPr>
          <w:rFonts w:asciiTheme="minorHAnsi" w:eastAsiaTheme="minorEastAsia" w:hAnsiTheme="minorHAnsi" w:cstheme="minorBidi"/>
          <w:b/>
          <w:bCs/>
          <w:kern w:val="2"/>
          <w:szCs w:val="24"/>
          <w14:ligatures w14:val="standardContextual"/>
        </w:rPr>
      </w:pPr>
      <w:hyperlink w:anchor="_Toc193116924" w:history="1">
        <w:r w:rsidRPr="002C17C1">
          <w:rPr>
            <w:rStyle w:val="Hyperlink"/>
            <w:b/>
            <w:bCs/>
          </w:rPr>
          <w:t>Module 2: In-Depth Discussion of Methods, Best Practices, Statutes, Regulations, Standards, and Relevant Resources</w:t>
        </w:r>
        <w:r w:rsidRPr="002C17C1">
          <w:rPr>
            <w:b/>
            <w:bCs/>
            <w:webHidden/>
          </w:rPr>
          <w:tab/>
        </w:r>
        <w:r w:rsidRPr="002C17C1">
          <w:rPr>
            <w:b/>
            <w:bCs/>
            <w:webHidden/>
          </w:rPr>
          <w:fldChar w:fldCharType="begin"/>
        </w:r>
        <w:r w:rsidRPr="002C17C1">
          <w:rPr>
            <w:b/>
            <w:bCs/>
            <w:webHidden/>
          </w:rPr>
          <w:instrText xml:space="preserve"> PAGEREF _Toc193116924 \h </w:instrText>
        </w:r>
        <w:r w:rsidRPr="002C17C1">
          <w:rPr>
            <w:b/>
            <w:bCs/>
            <w:webHidden/>
          </w:rPr>
        </w:r>
        <w:r w:rsidRPr="002C17C1">
          <w:rPr>
            <w:b/>
            <w:bCs/>
            <w:webHidden/>
          </w:rPr>
          <w:fldChar w:fldCharType="separate"/>
        </w:r>
        <w:r w:rsidRPr="002C17C1">
          <w:rPr>
            <w:b/>
            <w:bCs/>
            <w:webHidden/>
          </w:rPr>
          <w:t>137</w:t>
        </w:r>
        <w:r w:rsidRPr="002C17C1">
          <w:rPr>
            <w:b/>
            <w:bCs/>
            <w:webHidden/>
          </w:rPr>
          <w:fldChar w:fldCharType="end"/>
        </w:r>
      </w:hyperlink>
    </w:p>
    <w:p w14:paraId="6B504C1D" w14:textId="3D6E11A6" w:rsidR="002C17C1" w:rsidRDefault="002C17C1">
      <w:pPr>
        <w:pStyle w:val="TOC1"/>
        <w:rPr>
          <w:rFonts w:asciiTheme="minorHAnsi" w:eastAsiaTheme="minorEastAsia" w:hAnsiTheme="minorHAnsi" w:cstheme="minorBidi"/>
          <w:kern w:val="2"/>
          <w:szCs w:val="24"/>
          <w14:ligatures w14:val="standardContextual"/>
        </w:rPr>
      </w:pPr>
      <w:hyperlink w:anchor="_Toc193116925" w:history="1">
        <w:r w:rsidRPr="003C4320">
          <w:rPr>
            <w:rStyle w:val="Hyperlink"/>
          </w:rPr>
          <w:t>VI. Additional Details Related to Goal 1: Achieve Green Schools</w:t>
        </w:r>
        <w:r>
          <w:rPr>
            <w:webHidden/>
          </w:rPr>
          <w:tab/>
        </w:r>
        <w:r>
          <w:rPr>
            <w:webHidden/>
          </w:rPr>
          <w:fldChar w:fldCharType="begin"/>
        </w:r>
        <w:r>
          <w:rPr>
            <w:webHidden/>
          </w:rPr>
          <w:instrText xml:space="preserve"> PAGEREF _Toc193116925 \h </w:instrText>
        </w:r>
        <w:r>
          <w:rPr>
            <w:webHidden/>
          </w:rPr>
        </w:r>
        <w:r>
          <w:rPr>
            <w:webHidden/>
          </w:rPr>
          <w:fldChar w:fldCharType="separate"/>
        </w:r>
        <w:r>
          <w:rPr>
            <w:webHidden/>
          </w:rPr>
          <w:t>138</w:t>
        </w:r>
        <w:r>
          <w:rPr>
            <w:webHidden/>
          </w:rPr>
          <w:fldChar w:fldCharType="end"/>
        </w:r>
      </w:hyperlink>
    </w:p>
    <w:p w14:paraId="0284E6F4" w14:textId="70194AC2"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6" w:history="1">
        <w:r w:rsidRPr="003C4320">
          <w:rPr>
            <w:rStyle w:val="Hyperlink"/>
            <w:noProof/>
          </w:rPr>
          <w:t>Objective 1a. Decarbonize Buildings</w:t>
        </w:r>
        <w:r>
          <w:rPr>
            <w:noProof/>
            <w:webHidden/>
          </w:rPr>
          <w:tab/>
        </w:r>
        <w:r>
          <w:rPr>
            <w:noProof/>
            <w:webHidden/>
          </w:rPr>
          <w:fldChar w:fldCharType="begin"/>
        </w:r>
        <w:r>
          <w:rPr>
            <w:noProof/>
            <w:webHidden/>
          </w:rPr>
          <w:instrText xml:space="preserve"> PAGEREF _Toc193116926 \h </w:instrText>
        </w:r>
        <w:r>
          <w:rPr>
            <w:noProof/>
            <w:webHidden/>
          </w:rPr>
        </w:r>
        <w:r>
          <w:rPr>
            <w:noProof/>
            <w:webHidden/>
          </w:rPr>
          <w:fldChar w:fldCharType="separate"/>
        </w:r>
        <w:r>
          <w:rPr>
            <w:noProof/>
            <w:webHidden/>
          </w:rPr>
          <w:t>139</w:t>
        </w:r>
        <w:r>
          <w:rPr>
            <w:noProof/>
            <w:webHidden/>
          </w:rPr>
          <w:fldChar w:fldCharType="end"/>
        </w:r>
      </w:hyperlink>
    </w:p>
    <w:p w14:paraId="3F9CE034" w14:textId="476C0671"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7" w:history="1">
        <w:r w:rsidRPr="003C4320">
          <w:rPr>
            <w:rStyle w:val="Hyperlink"/>
            <w:noProof/>
          </w:rPr>
          <w:t>Objective 1b. Optimize Water Efficiency</w:t>
        </w:r>
        <w:r>
          <w:rPr>
            <w:noProof/>
            <w:webHidden/>
          </w:rPr>
          <w:tab/>
        </w:r>
        <w:r>
          <w:rPr>
            <w:noProof/>
            <w:webHidden/>
          </w:rPr>
          <w:fldChar w:fldCharType="begin"/>
        </w:r>
        <w:r>
          <w:rPr>
            <w:noProof/>
            <w:webHidden/>
          </w:rPr>
          <w:instrText xml:space="preserve"> PAGEREF _Toc193116927 \h </w:instrText>
        </w:r>
        <w:r>
          <w:rPr>
            <w:noProof/>
            <w:webHidden/>
          </w:rPr>
        </w:r>
        <w:r>
          <w:rPr>
            <w:noProof/>
            <w:webHidden/>
          </w:rPr>
          <w:fldChar w:fldCharType="separate"/>
        </w:r>
        <w:r>
          <w:rPr>
            <w:noProof/>
            <w:webHidden/>
          </w:rPr>
          <w:t>158</w:t>
        </w:r>
        <w:r>
          <w:rPr>
            <w:noProof/>
            <w:webHidden/>
          </w:rPr>
          <w:fldChar w:fldCharType="end"/>
        </w:r>
      </w:hyperlink>
    </w:p>
    <w:p w14:paraId="00520243" w14:textId="53212052"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8" w:history="1">
        <w:r w:rsidRPr="003C4320">
          <w:rPr>
            <w:rStyle w:val="Hyperlink"/>
            <w:noProof/>
          </w:rPr>
          <w:t>Objective 1c. Optimize Solid Waste Reduction and Diversion</w:t>
        </w:r>
        <w:r>
          <w:rPr>
            <w:noProof/>
            <w:webHidden/>
          </w:rPr>
          <w:tab/>
        </w:r>
        <w:r>
          <w:rPr>
            <w:noProof/>
            <w:webHidden/>
          </w:rPr>
          <w:fldChar w:fldCharType="begin"/>
        </w:r>
        <w:r>
          <w:rPr>
            <w:noProof/>
            <w:webHidden/>
          </w:rPr>
          <w:instrText xml:space="preserve"> PAGEREF _Toc193116928 \h </w:instrText>
        </w:r>
        <w:r>
          <w:rPr>
            <w:noProof/>
            <w:webHidden/>
          </w:rPr>
        </w:r>
        <w:r>
          <w:rPr>
            <w:noProof/>
            <w:webHidden/>
          </w:rPr>
          <w:fldChar w:fldCharType="separate"/>
        </w:r>
        <w:r>
          <w:rPr>
            <w:noProof/>
            <w:webHidden/>
          </w:rPr>
          <w:t>171</w:t>
        </w:r>
        <w:r>
          <w:rPr>
            <w:noProof/>
            <w:webHidden/>
          </w:rPr>
          <w:fldChar w:fldCharType="end"/>
        </w:r>
      </w:hyperlink>
    </w:p>
    <w:p w14:paraId="652D86E0" w14:textId="4E20766F"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29" w:history="1">
        <w:r w:rsidRPr="003C4320">
          <w:rPr>
            <w:rStyle w:val="Hyperlink"/>
            <w:noProof/>
          </w:rPr>
          <w:t>Objective 1d. Electrify School Bus Fleets</w:t>
        </w:r>
        <w:r>
          <w:rPr>
            <w:noProof/>
            <w:webHidden/>
          </w:rPr>
          <w:tab/>
        </w:r>
        <w:r>
          <w:rPr>
            <w:noProof/>
            <w:webHidden/>
          </w:rPr>
          <w:fldChar w:fldCharType="begin"/>
        </w:r>
        <w:r>
          <w:rPr>
            <w:noProof/>
            <w:webHidden/>
          </w:rPr>
          <w:instrText xml:space="preserve"> PAGEREF _Toc193116929 \h </w:instrText>
        </w:r>
        <w:r>
          <w:rPr>
            <w:noProof/>
            <w:webHidden/>
          </w:rPr>
        </w:r>
        <w:r>
          <w:rPr>
            <w:noProof/>
            <w:webHidden/>
          </w:rPr>
          <w:fldChar w:fldCharType="separate"/>
        </w:r>
        <w:r>
          <w:rPr>
            <w:noProof/>
            <w:webHidden/>
          </w:rPr>
          <w:t>181</w:t>
        </w:r>
        <w:r>
          <w:rPr>
            <w:noProof/>
            <w:webHidden/>
          </w:rPr>
          <w:fldChar w:fldCharType="end"/>
        </w:r>
      </w:hyperlink>
    </w:p>
    <w:p w14:paraId="1E9C249B" w14:textId="45F2EC80"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0" w:history="1">
        <w:r w:rsidRPr="003C4320">
          <w:rPr>
            <w:rStyle w:val="Hyperlink"/>
            <w:noProof/>
          </w:rPr>
          <w:t>Objective 1e. Provide Electric Vehicle Charging Stations for School Staff and Public Use</w:t>
        </w:r>
        <w:r>
          <w:rPr>
            <w:noProof/>
            <w:webHidden/>
          </w:rPr>
          <w:tab/>
        </w:r>
        <w:r>
          <w:rPr>
            <w:noProof/>
            <w:webHidden/>
          </w:rPr>
          <w:fldChar w:fldCharType="begin"/>
        </w:r>
        <w:r>
          <w:rPr>
            <w:noProof/>
            <w:webHidden/>
          </w:rPr>
          <w:instrText xml:space="preserve"> PAGEREF _Toc193116930 \h </w:instrText>
        </w:r>
        <w:r>
          <w:rPr>
            <w:noProof/>
            <w:webHidden/>
          </w:rPr>
        </w:r>
        <w:r>
          <w:rPr>
            <w:noProof/>
            <w:webHidden/>
          </w:rPr>
          <w:fldChar w:fldCharType="separate"/>
        </w:r>
        <w:r>
          <w:rPr>
            <w:noProof/>
            <w:webHidden/>
          </w:rPr>
          <w:t>186</w:t>
        </w:r>
        <w:r>
          <w:rPr>
            <w:noProof/>
            <w:webHidden/>
          </w:rPr>
          <w:fldChar w:fldCharType="end"/>
        </w:r>
      </w:hyperlink>
    </w:p>
    <w:p w14:paraId="67351F61" w14:textId="16E7406D"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1" w:history="1">
        <w:r w:rsidRPr="003C4320">
          <w:rPr>
            <w:rStyle w:val="Hyperlink"/>
            <w:noProof/>
          </w:rPr>
          <w:t>Objective 1f. Enhance Climate Resilience</w:t>
        </w:r>
        <w:r>
          <w:rPr>
            <w:noProof/>
            <w:webHidden/>
          </w:rPr>
          <w:tab/>
        </w:r>
        <w:r>
          <w:rPr>
            <w:noProof/>
            <w:webHidden/>
          </w:rPr>
          <w:fldChar w:fldCharType="begin"/>
        </w:r>
        <w:r>
          <w:rPr>
            <w:noProof/>
            <w:webHidden/>
          </w:rPr>
          <w:instrText xml:space="preserve"> PAGEREF _Toc193116931 \h </w:instrText>
        </w:r>
        <w:r>
          <w:rPr>
            <w:noProof/>
            <w:webHidden/>
          </w:rPr>
        </w:r>
        <w:r>
          <w:rPr>
            <w:noProof/>
            <w:webHidden/>
          </w:rPr>
          <w:fldChar w:fldCharType="separate"/>
        </w:r>
        <w:r>
          <w:rPr>
            <w:noProof/>
            <w:webHidden/>
          </w:rPr>
          <w:t>191</w:t>
        </w:r>
        <w:r>
          <w:rPr>
            <w:noProof/>
            <w:webHidden/>
          </w:rPr>
          <w:fldChar w:fldCharType="end"/>
        </w:r>
      </w:hyperlink>
    </w:p>
    <w:p w14:paraId="7C01BA9B" w14:textId="5A3C9FEE" w:rsidR="002C17C1" w:rsidRDefault="002C17C1">
      <w:pPr>
        <w:pStyle w:val="TOC1"/>
        <w:rPr>
          <w:rFonts w:asciiTheme="minorHAnsi" w:eastAsiaTheme="minorEastAsia" w:hAnsiTheme="minorHAnsi" w:cstheme="minorBidi"/>
          <w:kern w:val="2"/>
          <w:szCs w:val="24"/>
          <w14:ligatures w14:val="standardContextual"/>
        </w:rPr>
      </w:pPr>
      <w:hyperlink w:anchor="_Toc193116932" w:history="1">
        <w:r w:rsidRPr="003C4320">
          <w:rPr>
            <w:rStyle w:val="Hyperlink"/>
          </w:rPr>
          <w:t>VII. Additional Details Related to Goal 2: Achieve Healthy Schools</w:t>
        </w:r>
        <w:r>
          <w:rPr>
            <w:webHidden/>
          </w:rPr>
          <w:tab/>
        </w:r>
        <w:r>
          <w:rPr>
            <w:webHidden/>
          </w:rPr>
          <w:fldChar w:fldCharType="begin"/>
        </w:r>
        <w:r>
          <w:rPr>
            <w:webHidden/>
          </w:rPr>
          <w:instrText xml:space="preserve"> PAGEREF _Toc193116932 \h </w:instrText>
        </w:r>
        <w:r>
          <w:rPr>
            <w:webHidden/>
          </w:rPr>
        </w:r>
        <w:r>
          <w:rPr>
            <w:webHidden/>
          </w:rPr>
          <w:fldChar w:fldCharType="separate"/>
        </w:r>
        <w:r>
          <w:rPr>
            <w:webHidden/>
          </w:rPr>
          <w:t>197</w:t>
        </w:r>
        <w:r>
          <w:rPr>
            <w:webHidden/>
          </w:rPr>
          <w:fldChar w:fldCharType="end"/>
        </w:r>
      </w:hyperlink>
    </w:p>
    <w:p w14:paraId="6960BB80" w14:textId="6B6C48E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3" w:history="1">
        <w:r w:rsidRPr="003C4320">
          <w:rPr>
            <w:rStyle w:val="Hyperlink"/>
            <w:noProof/>
          </w:rPr>
          <w:t>Objective 2a. Improve Air Quality</w:t>
        </w:r>
        <w:r>
          <w:rPr>
            <w:noProof/>
            <w:webHidden/>
          </w:rPr>
          <w:tab/>
        </w:r>
        <w:r>
          <w:rPr>
            <w:noProof/>
            <w:webHidden/>
          </w:rPr>
          <w:fldChar w:fldCharType="begin"/>
        </w:r>
        <w:r>
          <w:rPr>
            <w:noProof/>
            <w:webHidden/>
          </w:rPr>
          <w:instrText xml:space="preserve"> PAGEREF _Toc193116933 \h </w:instrText>
        </w:r>
        <w:r>
          <w:rPr>
            <w:noProof/>
            <w:webHidden/>
          </w:rPr>
        </w:r>
        <w:r>
          <w:rPr>
            <w:noProof/>
            <w:webHidden/>
          </w:rPr>
          <w:fldChar w:fldCharType="separate"/>
        </w:r>
        <w:r>
          <w:rPr>
            <w:noProof/>
            <w:webHidden/>
          </w:rPr>
          <w:t>198</w:t>
        </w:r>
        <w:r>
          <w:rPr>
            <w:noProof/>
            <w:webHidden/>
          </w:rPr>
          <w:fldChar w:fldCharType="end"/>
        </w:r>
      </w:hyperlink>
    </w:p>
    <w:p w14:paraId="3F060C9E" w14:textId="63840EEE"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4" w:history="1">
        <w:r w:rsidRPr="003C4320">
          <w:rPr>
            <w:rStyle w:val="Hyperlink"/>
            <w:noProof/>
          </w:rPr>
          <w:t>Objective 2b. Improve Water Quality</w:t>
        </w:r>
        <w:r>
          <w:rPr>
            <w:noProof/>
            <w:webHidden/>
          </w:rPr>
          <w:tab/>
        </w:r>
        <w:r>
          <w:rPr>
            <w:noProof/>
            <w:webHidden/>
          </w:rPr>
          <w:fldChar w:fldCharType="begin"/>
        </w:r>
        <w:r>
          <w:rPr>
            <w:noProof/>
            <w:webHidden/>
          </w:rPr>
          <w:instrText xml:space="preserve"> PAGEREF _Toc193116934 \h </w:instrText>
        </w:r>
        <w:r>
          <w:rPr>
            <w:noProof/>
            <w:webHidden/>
          </w:rPr>
        </w:r>
        <w:r>
          <w:rPr>
            <w:noProof/>
            <w:webHidden/>
          </w:rPr>
          <w:fldChar w:fldCharType="separate"/>
        </w:r>
        <w:r>
          <w:rPr>
            <w:noProof/>
            <w:webHidden/>
          </w:rPr>
          <w:t>232</w:t>
        </w:r>
        <w:r>
          <w:rPr>
            <w:noProof/>
            <w:webHidden/>
          </w:rPr>
          <w:fldChar w:fldCharType="end"/>
        </w:r>
      </w:hyperlink>
    </w:p>
    <w:p w14:paraId="661EF18C" w14:textId="1814A388"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5" w:history="1">
        <w:r w:rsidRPr="003C4320">
          <w:rPr>
            <w:rStyle w:val="Hyperlink"/>
            <w:noProof/>
          </w:rPr>
          <w:t>Objective 2c. Maintain Thermal Comfort</w:t>
        </w:r>
        <w:r>
          <w:rPr>
            <w:noProof/>
            <w:webHidden/>
          </w:rPr>
          <w:tab/>
        </w:r>
        <w:r>
          <w:rPr>
            <w:noProof/>
            <w:webHidden/>
          </w:rPr>
          <w:fldChar w:fldCharType="begin"/>
        </w:r>
        <w:r>
          <w:rPr>
            <w:noProof/>
            <w:webHidden/>
          </w:rPr>
          <w:instrText xml:space="preserve"> PAGEREF _Toc193116935 \h </w:instrText>
        </w:r>
        <w:r>
          <w:rPr>
            <w:noProof/>
            <w:webHidden/>
          </w:rPr>
        </w:r>
        <w:r>
          <w:rPr>
            <w:noProof/>
            <w:webHidden/>
          </w:rPr>
          <w:fldChar w:fldCharType="separate"/>
        </w:r>
        <w:r>
          <w:rPr>
            <w:noProof/>
            <w:webHidden/>
          </w:rPr>
          <w:t>240</w:t>
        </w:r>
        <w:r>
          <w:rPr>
            <w:noProof/>
            <w:webHidden/>
          </w:rPr>
          <w:fldChar w:fldCharType="end"/>
        </w:r>
      </w:hyperlink>
    </w:p>
    <w:p w14:paraId="4C257421" w14:textId="44E0C24C"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6" w:history="1">
        <w:r w:rsidRPr="003C4320">
          <w:rPr>
            <w:rStyle w:val="Hyperlink"/>
            <w:noProof/>
          </w:rPr>
          <w:t>Objective 2d. Use Integrated Pest Management</w:t>
        </w:r>
        <w:r>
          <w:rPr>
            <w:noProof/>
            <w:webHidden/>
          </w:rPr>
          <w:tab/>
        </w:r>
        <w:r>
          <w:rPr>
            <w:noProof/>
            <w:webHidden/>
          </w:rPr>
          <w:fldChar w:fldCharType="begin"/>
        </w:r>
        <w:r>
          <w:rPr>
            <w:noProof/>
            <w:webHidden/>
          </w:rPr>
          <w:instrText xml:space="preserve"> PAGEREF _Toc193116936 \h </w:instrText>
        </w:r>
        <w:r>
          <w:rPr>
            <w:noProof/>
            <w:webHidden/>
          </w:rPr>
        </w:r>
        <w:r>
          <w:rPr>
            <w:noProof/>
            <w:webHidden/>
          </w:rPr>
          <w:fldChar w:fldCharType="separate"/>
        </w:r>
        <w:r>
          <w:rPr>
            <w:noProof/>
            <w:webHidden/>
          </w:rPr>
          <w:t>243</w:t>
        </w:r>
        <w:r>
          <w:rPr>
            <w:noProof/>
            <w:webHidden/>
          </w:rPr>
          <w:fldChar w:fldCharType="end"/>
        </w:r>
      </w:hyperlink>
    </w:p>
    <w:p w14:paraId="53E501E2" w14:textId="72E86279"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7" w:history="1">
        <w:r w:rsidRPr="003C4320">
          <w:rPr>
            <w:rStyle w:val="Hyperlink"/>
            <w:noProof/>
          </w:rPr>
          <w:t>Objective 2e. Procure and Use Green Cleaning Supplies and Chemicals</w:t>
        </w:r>
        <w:r>
          <w:rPr>
            <w:noProof/>
            <w:webHidden/>
          </w:rPr>
          <w:tab/>
        </w:r>
        <w:r>
          <w:rPr>
            <w:noProof/>
            <w:webHidden/>
          </w:rPr>
          <w:fldChar w:fldCharType="begin"/>
        </w:r>
        <w:r>
          <w:rPr>
            <w:noProof/>
            <w:webHidden/>
          </w:rPr>
          <w:instrText xml:space="preserve"> PAGEREF _Toc193116937 \h </w:instrText>
        </w:r>
        <w:r>
          <w:rPr>
            <w:noProof/>
            <w:webHidden/>
          </w:rPr>
        </w:r>
        <w:r>
          <w:rPr>
            <w:noProof/>
            <w:webHidden/>
          </w:rPr>
          <w:fldChar w:fldCharType="separate"/>
        </w:r>
        <w:r>
          <w:rPr>
            <w:noProof/>
            <w:webHidden/>
          </w:rPr>
          <w:t>249</w:t>
        </w:r>
        <w:r>
          <w:rPr>
            <w:noProof/>
            <w:webHidden/>
          </w:rPr>
          <w:fldChar w:fldCharType="end"/>
        </w:r>
      </w:hyperlink>
    </w:p>
    <w:p w14:paraId="13862A86" w14:textId="56C26304"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8" w:history="1">
        <w:r w:rsidRPr="003C4320">
          <w:rPr>
            <w:rStyle w:val="Hyperlink"/>
            <w:noProof/>
          </w:rPr>
          <w:t>Objective 2f. Reduce Exposure to Hazardous Substances</w:t>
        </w:r>
        <w:r>
          <w:rPr>
            <w:noProof/>
            <w:webHidden/>
          </w:rPr>
          <w:tab/>
        </w:r>
        <w:r>
          <w:rPr>
            <w:noProof/>
            <w:webHidden/>
          </w:rPr>
          <w:fldChar w:fldCharType="begin"/>
        </w:r>
        <w:r>
          <w:rPr>
            <w:noProof/>
            <w:webHidden/>
          </w:rPr>
          <w:instrText xml:space="preserve"> PAGEREF _Toc193116938 \h </w:instrText>
        </w:r>
        <w:r>
          <w:rPr>
            <w:noProof/>
            <w:webHidden/>
          </w:rPr>
        </w:r>
        <w:r>
          <w:rPr>
            <w:noProof/>
            <w:webHidden/>
          </w:rPr>
          <w:fldChar w:fldCharType="separate"/>
        </w:r>
        <w:r>
          <w:rPr>
            <w:noProof/>
            <w:webHidden/>
          </w:rPr>
          <w:t>254</w:t>
        </w:r>
        <w:r>
          <w:rPr>
            <w:noProof/>
            <w:webHidden/>
          </w:rPr>
          <w:fldChar w:fldCharType="end"/>
        </w:r>
      </w:hyperlink>
    </w:p>
    <w:p w14:paraId="1D1A0DFB" w14:textId="2338086C"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39" w:history="1">
        <w:r w:rsidRPr="003C4320">
          <w:rPr>
            <w:rStyle w:val="Hyperlink"/>
            <w:noProof/>
          </w:rPr>
          <w:t>Objective 2g. Safely Procure, Use, and Dispose of Crumb Rubber</w:t>
        </w:r>
        <w:r>
          <w:rPr>
            <w:noProof/>
            <w:webHidden/>
          </w:rPr>
          <w:tab/>
        </w:r>
        <w:r>
          <w:rPr>
            <w:noProof/>
            <w:webHidden/>
          </w:rPr>
          <w:fldChar w:fldCharType="begin"/>
        </w:r>
        <w:r>
          <w:rPr>
            <w:noProof/>
            <w:webHidden/>
          </w:rPr>
          <w:instrText xml:space="preserve"> PAGEREF _Toc193116939 \h </w:instrText>
        </w:r>
        <w:r>
          <w:rPr>
            <w:noProof/>
            <w:webHidden/>
          </w:rPr>
        </w:r>
        <w:r>
          <w:rPr>
            <w:noProof/>
            <w:webHidden/>
          </w:rPr>
          <w:fldChar w:fldCharType="separate"/>
        </w:r>
        <w:r>
          <w:rPr>
            <w:noProof/>
            <w:webHidden/>
          </w:rPr>
          <w:t>260</w:t>
        </w:r>
        <w:r>
          <w:rPr>
            <w:noProof/>
            <w:webHidden/>
          </w:rPr>
          <w:fldChar w:fldCharType="end"/>
        </w:r>
      </w:hyperlink>
    </w:p>
    <w:p w14:paraId="0B970B9C" w14:textId="583A05C7"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40" w:history="1">
        <w:r w:rsidRPr="003C4320">
          <w:rPr>
            <w:rStyle w:val="Hyperlink"/>
            <w:noProof/>
          </w:rPr>
          <w:t>Objective 2h. Create a Safe Environment for Students with Life-Threatening Food Allergies</w:t>
        </w:r>
        <w:r>
          <w:rPr>
            <w:noProof/>
            <w:webHidden/>
          </w:rPr>
          <w:tab/>
        </w:r>
        <w:r>
          <w:rPr>
            <w:noProof/>
            <w:webHidden/>
          </w:rPr>
          <w:fldChar w:fldCharType="begin"/>
        </w:r>
        <w:r>
          <w:rPr>
            <w:noProof/>
            <w:webHidden/>
          </w:rPr>
          <w:instrText xml:space="preserve"> PAGEREF _Toc193116940 \h </w:instrText>
        </w:r>
        <w:r>
          <w:rPr>
            <w:noProof/>
            <w:webHidden/>
          </w:rPr>
        </w:r>
        <w:r>
          <w:rPr>
            <w:noProof/>
            <w:webHidden/>
          </w:rPr>
          <w:fldChar w:fldCharType="separate"/>
        </w:r>
        <w:r>
          <w:rPr>
            <w:noProof/>
            <w:webHidden/>
          </w:rPr>
          <w:t>263</w:t>
        </w:r>
        <w:r>
          <w:rPr>
            <w:noProof/>
            <w:webHidden/>
          </w:rPr>
          <w:fldChar w:fldCharType="end"/>
        </w:r>
      </w:hyperlink>
    </w:p>
    <w:p w14:paraId="3CA526B4" w14:textId="4D65BB85"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41" w:history="1">
        <w:r w:rsidRPr="003C4320">
          <w:rPr>
            <w:rStyle w:val="Hyperlink"/>
            <w:noProof/>
          </w:rPr>
          <w:t>Objective 2i. Create a Productive Learning Environment for All Students</w:t>
        </w:r>
        <w:r>
          <w:rPr>
            <w:noProof/>
            <w:webHidden/>
          </w:rPr>
          <w:tab/>
        </w:r>
        <w:r>
          <w:rPr>
            <w:noProof/>
            <w:webHidden/>
          </w:rPr>
          <w:fldChar w:fldCharType="begin"/>
        </w:r>
        <w:r>
          <w:rPr>
            <w:noProof/>
            <w:webHidden/>
          </w:rPr>
          <w:instrText xml:space="preserve"> PAGEREF _Toc193116941 \h </w:instrText>
        </w:r>
        <w:r>
          <w:rPr>
            <w:noProof/>
            <w:webHidden/>
          </w:rPr>
        </w:r>
        <w:r>
          <w:rPr>
            <w:noProof/>
            <w:webHidden/>
          </w:rPr>
          <w:fldChar w:fldCharType="separate"/>
        </w:r>
        <w:r>
          <w:rPr>
            <w:noProof/>
            <w:webHidden/>
          </w:rPr>
          <w:t>267</w:t>
        </w:r>
        <w:r>
          <w:rPr>
            <w:noProof/>
            <w:webHidden/>
          </w:rPr>
          <w:fldChar w:fldCharType="end"/>
        </w:r>
      </w:hyperlink>
    </w:p>
    <w:p w14:paraId="26CAA8B9" w14:textId="3353B702"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42" w:history="1">
        <w:r w:rsidRPr="003C4320">
          <w:rPr>
            <w:rStyle w:val="Hyperlink"/>
            <w:noProof/>
          </w:rPr>
          <w:t>Objective 2j. Design the Built Environment to Foster a Peaceful School Community</w:t>
        </w:r>
        <w:r>
          <w:rPr>
            <w:noProof/>
            <w:webHidden/>
          </w:rPr>
          <w:tab/>
        </w:r>
        <w:r>
          <w:rPr>
            <w:noProof/>
            <w:webHidden/>
          </w:rPr>
          <w:fldChar w:fldCharType="begin"/>
        </w:r>
        <w:r>
          <w:rPr>
            <w:noProof/>
            <w:webHidden/>
          </w:rPr>
          <w:instrText xml:space="preserve"> PAGEREF _Toc193116942 \h </w:instrText>
        </w:r>
        <w:r>
          <w:rPr>
            <w:noProof/>
            <w:webHidden/>
          </w:rPr>
        </w:r>
        <w:r>
          <w:rPr>
            <w:noProof/>
            <w:webHidden/>
          </w:rPr>
          <w:fldChar w:fldCharType="separate"/>
        </w:r>
        <w:r>
          <w:rPr>
            <w:noProof/>
            <w:webHidden/>
          </w:rPr>
          <w:t>270</w:t>
        </w:r>
        <w:r>
          <w:rPr>
            <w:noProof/>
            <w:webHidden/>
          </w:rPr>
          <w:fldChar w:fldCharType="end"/>
        </w:r>
      </w:hyperlink>
    </w:p>
    <w:p w14:paraId="47B7992C" w14:textId="676FEA43" w:rsidR="002C17C1" w:rsidRDefault="002C17C1">
      <w:pPr>
        <w:pStyle w:val="TOC1"/>
        <w:rPr>
          <w:rFonts w:asciiTheme="minorHAnsi" w:eastAsiaTheme="minorEastAsia" w:hAnsiTheme="minorHAnsi" w:cstheme="minorBidi"/>
          <w:kern w:val="2"/>
          <w:szCs w:val="24"/>
          <w14:ligatures w14:val="standardContextual"/>
        </w:rPr>
      </w:pPr>
      <w:hyperlink w:anchor="_Toc193116943" w:history="1">
        <w:r w:rsidRPr="003C4320">
          <w:rPr>
            <w:rStyle w:val="Hyperlink"/>
          </w:rPr>
          <w:t>VIII. Additional Details Related to Goal 3: Achieve Equitable Outcomes for All Students</w:t>
        </w:r>
        <w:r>
          <w:rPr>
            <w:webHidden/>
          </w:rPr>
          <w:tab/>
        </w:r>
        <w:r>
          <w:rPr>
            <w:webHidden/>
          </w:rPr>
          <w:fldChar w:fldCharType="begin"/>
        </w:r>
        <w:r>
          <w:rPr>
            <w:webHidden/>
          </w:rPr>
          <w:instrText xml:space="preserve"> PAGEREF _Toc193116943 \h </w:instrText>
        </w:r>
        <w:r>
          <w:rPr>
            <w:webHidden/>
          </w:rPr>
        </w:r>
        <w:r>
          <w:rPr>
            <w:webHidden/>
          </w:rPr>
          <w:fldChar w:fldCharType="separate"/>
        </w:r>
        <w:r>
          <w:rPr>
            <w:webHidden/>
          </w:rPr>
          <w:t>274</w:t>
        </w:r>
        <w:r>
          <w:rPr>
            <w:webHidden/>
          </w:rPr>
          <w:fldChar w:fldCharType="end"/>
        </w:r>
      </w:hyperlink>
    </w:p>
    <w:p w14:paraId="697C1043" w14:textId="2FB5FBB3"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44" w:history="1">
        <w:r w:rsidRPr="003C4320">
          <w:rPr>
            <w:rStyle w:val="Hyperlink"/>
            <w:noProof/>
          </w:rPr>
          <w:t>Objective 3a. Optimize Space to Equitably Meet Special Education Needs</w:t>
        </w:r>
        <w:r>
          <w:rPr>
            <w:noProof/>
            <w:webHidden/>
          </w:rPr>
          <w:tab/>
        </w:r>
        <w:r>
          <w:rPr>
            <w:noProof/>
            <w:webHidden/>
          </w:rPr>
          <w:fldChar w:fldCharType="begin"/>
        </w:r>
        <w:r>
          <w:rPr>
            <w:noProof/>
            <w:webHidden/>
          </w:rPr>
          <w:instrText xml:space="preserve"> PAGEREF _Toc193116944 \h </w:instrText>
        </w:r>
        <w:r>
          <w:rPr>
            <w:noProof/>
            <w:webHidden/>
          </w:rPr>
        </w:r>
        <w:r>
          <w:rPr>
            <w:noProof/>
            <w:webHidden/>
          </w:rPr>
          <w:fldChar w:fldCharType="separate"/>
        </w:r>
        <w:r>
          <w:rPr>
            <w:noProof/>
            <w:webHidden/>
          </w:rPr>
          <w:t>275</w:t>
        </w:r>
        <w:r>
          <w:rPr>
            <w:noProof/>
            <w:webHidden/>
          </w:rPr>
          <w:fldChar w:fldCharType="end"/>
        </w:r>
      </w:hyperlink>
    </w:p>
    <w:p w14:paraId="5788CE07" w14:textId="51C1C8A4" w:rsidR="002C17C1" w:rsidRDefault="002C17C1">
      <w:pPr>
        <w:pStyle w:val="TOC2"/>
        <w:tabs>
          <w:tab w:val="right" w:leader="dot" w:pos="9350"/>
        </w:tabs>
        <w:rPr>
          <w:rFonts w:asciiTheme="minorHAnsi" w:eastAsiaTheme="minorEastAsia" w:hAnsiTheme="minorHAnsi" w:cstheme="minorBidi"/>
          <w:noProof/>
          <w:kern w:val="2"/>
          <w:szCs w:val="24"/>
          <w14:ligatures w14:val="standardContextual"/>
        </w:rPr>
      </w:pPr>
      <w:hyperlink w:anchor="_Toc193116945" w:history="1">
        <w:r w:rsidRPr="003C4320">
          <w:rPr>
            <w:rStyle w:val="Hyperlink"/>
            <w:noProof/>
          </w:rPr>
          <w:t>Objective 3b. Prioritize Universal Accessibility</w:t>
        </w:r>
        <w:r>
          <w:rPr>
            <w:noProof/>
            <w:webHidden/>
          </w:rPr>
          <w:tab/>
        </w:r>
        <w:r>
          <w:rPr>
            <w:noProof/>
            <w:webHidden/>
          </w:rPr>
          <w:fldChar w:fldCharType="begin"/>
        </w:r>
        <w:r>
          <w:rPr>
            <w:noProof/>
            <w:webHidden/>
          </w:rPr>
          <w:instrText xml:space="preserve"> PAGEREF _Toc193116945 \h </w:instrText>
        </w:r>
        <w:r>
          <w:rPr>
            <w:noProof/>
            <w:webHidden/>
          </w:rPr>
        </w:r>
        <w:r>
          <w:rPr>
            <w:noProof/>
            <w:webHidden/>
          </w:rPr>
          <w:fldChar w:fldCharType="separate"/>
        </w:r>
        <w:r>
          <w:rPr>
            <w:noProof/>
            <w:webHidden/>
          </w:rPr>
          <w:t>280</w:t>
        </w:r>
        <w:r>
          <w:rPr>
            <w:noProof/>
            <w:webHidden/>
          </w:rPr>
          <w:fldChar w:fldCharType="end"/>
        </w:r>
      </w:hyperlink>
    </w:p>
    <w:p w14:paraId="3654CDC4" w14:textId="00436F84" w:rsidR="002C17C1" w:rsidRDefault="002C17C1">
      <w:pPr>
        <w:pStyle w:val="TOC1"/>
        <w:rPr>
          <w:rFonts w:asciiTheme="minorHAnsi" w:eastAsiaTheme="minorEastAsia" w:hAnsiTheme="minorHAnsi" w:cstheme="minorBidi"/>
          <w:kern w:val="2"/>
          <w:szCs w:val="24"/>
          <w14:ligatures w14:val="standardContextual"/>
        </w:rPr>
      </w:pPr>
      <w:hyperlink w:anchor="_Toc193116946" w:history="1">
        <w:r w:rsidRPr="003C4320">
          <w:rPr>
            <w:rStyle w:val="Hyperlink"/>
          </w:rPr>
          <w:t>IX. Conclusion</w:t>
        </w:r>
        <w:r>
          <w:rPr>
            <w:webHidden/>
          </w:rPr>
          <w:tab/>
        </w:r>
        <w:r>
          <w:rPr>
            <w:webHidden/>
          </w:rPr>
          <w:fldChar w:fldCharType="begin"/>
        </w:r>
        <w:r>
          <w:rPr>
            <w:webHidden/>
          </w:rPr>
          <w:instrText xml:space="preserve"> PAGEREF _Toc193116946 \h </w:instrText>
        </w:r>
        <w:r>
          <w:rPr>
            <w:webHidden/>
          </w:rPr>
        </w:r>
        <w:r>
          <w:rPr>
            <w:webHidden/>
          </w:rPr>
          <w:fldChar w:fldCharType="separate"/>
        </w:r>
        <w:r>
          <w:rPr>
            <w:webHidden/>
          </w:rPr>
          <w:t>286</w:t>
        </w:r>
        <w:r>
          <w:rPr>
            <w:webHidden/>
          </w:rPr>
          <w:fldChar w:fldCharType="end"/>
        </w:r>
      </w:hyperlink>
    </w:p>
    <w:p w14:paraId="6E66AF44" w14:textId="00338F97" w:rsidR="002C17C1" w:rsidRDefault="002C17C1">
      <w:pPr>
        <w:pStyle w:val="TOC1"/>
        <w:rPr>
          <w:rFonts w:asciiTheme="minorHAnsi" w:eastAsiaTheme="minorEastAsia" w:hAnsiTheme="minorHAnsi" w:cstheme="minorBidi"/>
          <w:kern w:val="2"/>
          <w:szCs w:val="24"/>
          <w14:ligatures w14:val="standardContextual"/>
        </w:rPr>
      </w:pPr>
      <w:hyperlink w:anchor="_Toc193116947" w:history="1">
        <w:r w:rsidRPr="003C4320">
          <w:rPr>
            <w:rStyle w:val="Hyperlink"/>
          </w:rPr>
          <w:t>Appendix A: References</w:t>
        </w:r>
        <w:r>
          <w:rPr>
            <w:webHidden/>
          </w:rPr>
          <w:tab/>
        </w:r>
        <w:r>
          <w:rPr>
            <w:webHidden/>
          </w:rPr>
          <w:fldChar w:fldCharType="begin"/>
        </w:r>
        <w:r>
          <w:rPr>
            <w:webHidden/>
          </w:rPr>
          <w:instrText xml:space="preserve"> PAGEREF _Toc193116947 \h </w:instrText>
        </w:r>
        <w:r>
          <w:rPr>
            <w:webHidden/>
          </w:rPr>
        </w:r>
        <w:r>
          <w:rPr>
            <w:webHidden/>
          </w:rPr>
          <w:fldChar w:fldCharType="separate"/>
        </w:r>
        <w:r>
          <w:rPr>
            <w:webHidden/>
          </w:rPr>
          <w:t>287</w:t>
        </w:r>
        <w:r>
          <w:rPr>
            <w:webHidden/>
          </w:rPr>
          <w:fldChar w:fldCharType="end"/>
        </w:r>
      </w:hyperlink>
    </w:p>
    <w:p w14:paraId="288A8499" w14:textId="745EC673" w:rsidR="00C94BC6" w:rsidRDefault="000E189F">
      <w:pPr>
        <w:sectPr w:rsidR="00C94BC6" w:rsidSect="00EC0043">
          <w:headerReference w:type="even" r:id="rId12"/>
          <w:headerReference w:type="default" r:id="rId13"/>
          <w:footerReference w:type="default" r:id="rId14"/>
          <w:headerReference w:type="first" r:id="rId15"/>
          <w:pgSz w:w="12240" w:h="15840"/>
          <w:pgMar w:top="1296" w:right="1440" w:bottom="1296" w:left="1440" w:header="720" w:footer="720" w:gutter="0"/>
          <w:pgNumType w:fmt="lowerRoman" w:start="1"/>
          <w:cols w:space="720"/>
          <w:docGrid w:linePitch="360"/>
        </w:sectPr>
      </w:pPr>
      <w:r>
        <w:rPr>
          <w:rFonts w:ascii="Arial" w:hAnsi="Arial" w:cstheme="minorHAnsi"/>
          <w:b/>
          <w:bCs/>
          <w:noProof/>
          <w:sz w:val="24"/>
          <w:szCs w:val="20"/>
        </w:rPr>
        <w:fldChar w:fldCharType="end"/>
      </w:r>
    </w:p>
    <w:p w14:paraId="31FF41C2" w14:textId="6F39DCCD" w:rsidR="00445118" w:rsidRDefault="00445118" w:rsidP="00E06AD8">
      <w:pPr>
        <w:pStyle w:val="Heading1NoTOC"/>
      </w:pPr>
      <w:r w:rsidRPr="00D71694">
        <w:lastRenderedPageBreak/>
        <w:t>Table of Tables</w:t>
      </w:r>
    </w:p>
    <w:p w14:paraId="2689B281" w14:textId="388553A3" w:rsidR="002C17C1" w:rsidRDefault="00523E0F">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\h \z \c "Table" </w:instrText>
      </w:r>
      <w:r>
        <w:fldChar w:fldCharType="separate"/>
      </w:r>
      <w:hyperlink w:anchor="_Toc193116948" w:history="1">
        <w:r w:rsidR="002C17C1" w:rsidRPr="00724BA0">
          <w:rPr>
            <w:rStyle w:val="Hyperlink"/>
            <w:noProof/>
          </w:rPr>
          <w:t>Table 1. 2018–2022 Racial and Poverty Data for 11 Communities of Focus Experiencing the Highest Burden of Asthma Inequities in Massachusetts</w:t>
        </w:r>
        <w:r w:rsidR="002C17C1">
          <w:rPr>
            <w:noProof/>
            <w:webHidden/>
          </w:rPr>
          <w:tab/>
        </w:r>
        <w:r w:rsidR="002C17C1">
          <w:rPr>
            <w:noProof/>
            <w:webHidden/>
          </w:rPr>
          <w:fldChar w:fldCharType="begin"/>
        </w:r>
        <w:r w:rsidR="002C17C1">
          <w:rPr>
            <w:noProof/>
            <w:webHidden/>
          </w:rPr>
          <w:instrText xml:space="preserve"> PAGEREF _Toc193116948 \h </w:instrText>
        </w:r>
        <w:r w:rsidR="002C17C1">
          <w:rPr>
            <w:noProof/>
            <w:webHidden/>
          </w:rPr>
        </w:r>
        <w:r w:rsidR="002C17C1">
          <w:rPr>
            <w:noProof/>
            <w:webHidden/>
          </w:rPr>
          <w:fldChar w:fldCharType="separate"/>
        </w:r>
        <w:r w:rsidR="002C17C1">
          <w:rPr>
            <w:noProof/>
            <w:webHidden/>
          </w:rPr>
          <w:t>7</w:t>
        </w:r>
        <w:r w:rsidR="002C17C1">
          <w:rPr>
            <w:noProof/>
            <w:webHidden/>
          </w:rPr>
          <w:fldChar w:fldCharType="end"/>
        </w:r>
      </w:hyperlink>
    </w:p>
    <w:p w14:paraId="0B91CD2B" w14:textId="2FBC7152"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49" w:history="1">
        <w:r w:rsidRPr="00724BA0">
          <w:rPr>
            <w:rStyle w:val="Hyperlink"/>
            <w:noProof/>
          </w:rPr>
          <w:t>Table 2. Massachusetts Public Schools–A Look at the Numbers</w:t>
        </w:r>
        <w:r>
          <w:rPr>
            <w:noProof/>
            <w:webHidden/>
          </w:rPr>
          <w:tab/>
        </w:r>
        <w:r>
          <w:rPr>
            <w:noProof/>
            <w:webHidden/>
          </w:rPr>
          <w:fldChar w:fldCharType="begin"/>
        </w:r>
        <w:r>
          <w:rPr>
            <w:noProof/>
            <w:webHidden/>
          </w:rPr>
          <w:instrText xml:space="preserve"> PAGEREF _Toc193116949 \h </w:instrText>
        </w:r>
        <w:r>
          <w:rPr>
            <w:noProof/>
            <w:webHidden/>
          </w:rPr>
        </w:r>
        <w:r>
          <w:rPr>
            <w:noProof/>
            <w:webHidden/>
          </w:rPr>
          <w:fldChar w:fldCharType="separate"/>
        </w:r>
        <w:r>
          <w:rPr>
            <w:noProof/>
            <w:webHidden/>
          </w:rPr>
          <w:t>10</w:t>
        </w:r>
        <w:r>
          <w:rPr>
            <w:noProof/>
            <w:webHidden/>
          </w:rPr>
          <w:fldChar w:fldCharType="end"/>
        </w:r>
      </w:hyperlink>
    </w:p>
    <w:p w14:paraId="737896FA" w14:textId="6B90B58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0" w:history="1">
        <w:r w:rsidRPr="00724BA0">
          <w:rPr>
            <w:rStyle w:val="Hyperlink"/>
            <w:noProof/>
          </w:rPr>
          <w:t>Table 3. Office of Management and Budget’s Definition of Rural</w:t>
        </w:r>
        <w:r>
          <w:rPr>
            <w:noProof/>
            <w:webHidden/>
          </w:rPr>
          <w:tab/>
        </w:r>
        <w:r>
          <w:rPr>
            <w:noProof/>
            <w:webHidden/>
          </w:rPr>
          <w:fldChar w:fldCharType="begin"/>
        </w:r>
        <w:r>
          <w:rPr>
            <w:noProof/>
            <w:webHidden/>
          </w:rPr>
          <w:instrText xml:space="preserve"> PAGEREF _Toc193116950 \h </w:instrText>
        </w:r>
        <w:r>
          <w:rPr>
            <w:noProof/>
            <w:webHidden/>
          </w:rPr>
        </w:r>
        <w:r>
          <w:rPr>
            <w:noProof/>
            <w:webHidden/>
          </w:rPr>
          <w:fldChar w:fldCharType="separate"/>
        </w:r>
        <w:r>
          <w:rPr>
            <w:noProof/>
            <w:webHidden/>
          </w:rPr>
          <w:t>12</w:t>
        </w:r>
        <w:r>
          <w:rPr>
            <w:noProof/>
            <w:webHidden/>
          </w:rPr>
          <w:fldChar w:fldCharType="end"/>
        </w:r>
      </w:hyperlink>
    </w:p>
    <w:p w14:paraId="7444E309" w14:textId="65E509E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1" w:history="1">
        <w:r w:rsidRPr="00724BA0">
          <w:rPr>
            <w:rStyle w:val="Hyperlink"/>
            <w:noProof/>
          </w:rPr>
          <w:t>Table 4. Components of Reimbursement Rate for Projects Funded Through the MSBA’s Core Program</w:t>
        </w:r>
        <w:r>
          <w:rPr>
            <w:noProof/>
            <w:webHidden/>
          </w:rPr>
          <w:tab/>
        </w:r>
        <w:r>
          <w:rPr>
            <w:noProof/>
            <w:webHidden/>
          </w:rPr>
          <w:fldChar w:fldCharType="begin"/>
        </w:r>
        <w:r>
          <w:rPr>
            <w:noProof/>
            <w:webHidden/>
          </w:rPr>
          <w:instrText xml:space="preserve"> PAGEREF _Toc193116951 \h </w:instrText>
        </w:r>
        <w:r>
          <w:rPr>
            <w:noProof/>
            <w:webHidden/>
          </w:rPr>
        </w:r>
        <w:r>
          <w:rPr>
            <w:noProof/>
            <w:webHidden/>
          </w:rPr>
          <w:fldChar w:fldCharType="separate"/>
        </w:r>
        <w:r>
          <w:rPr>
            <w:noProof/>
            <w:webHidden/>
          </w:rPr>
          <w:t>16</w:t>
        </w:r>
        <w:r>
          <w:rPr>
            <w:noProof/>
            <w:webHidden/>
          </w:rPr>
          <w:fldChar w:fldCharType="end"/>
        </w:r>
      </w:hyperlink>
    </w:p>
    <w:p w14:paraId="11C6D7F8" w14:textId="39A71D7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2" w:history="1">
        <w:r w:rsidRPr="00724BA0">
          <w:rPr>
            <w:rStyle w:val="Hyperlink"/>
            <w:noProof/>
          </w:rPr>
          <w:t>Table 5. Goal Areas and Objectives Covered in this Report</w:t>
        </w:r>
        <w:r>
          <w:rPr>
            <w:noProof/>
            <w:webHidden/>
          </w:rPr>
          <w:tab/>
        </w:r>
        <w:r>
          <w:rPr>
            <w:noProof/>
            <w:webHidden/>
          </w:rPr>
          <w:fldChar w:fldCharType="begin"/>
        </w:r>
        <w:r>
          <w:rPr>
            <w:noProof/>
            <w:webHidden/>
          </w:rPr>
          <w:instrText xml:space="preserve"> PAGEREF _Toc193116952 \h </w:instrText>
        </w:r>
        <w:r>
          <w:rPr>
            <w:noProof/>
            <w:webHidden/>
          </w:rPr>
        </w:r>
        <w:r>
          <w:rPr>
            <w:noProof/>
            <w:webHidden/>
          </w:rPr>
          <w:fldChar w:fldCharType="separate"/>
        </w:r>
        <w:r>
          <w:rPr>
            <w:noProof/>
            <w:webHidden/>
          </w:rPr>
          <w:t>20</w:t>
        </w:r>
        <w:r>
          <w:rPr>
            <w:noProof/>
            <w:webHidden/>
          </w:rPr>
          <w:fldChar w:fldCharType="end"/>
        </w:r>
      </w:hyperlink>
    </w:p>
    <w:p w14:paraId="1457F6C6" w14:textId="24A12C9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3" w:history="1">
        <w:r w:rsidRPr="00724BA0">
          <w:rPr>
            <w:rStyle w:val="Hyperlink"/>
            <w:noProof/>
          </w:rPr>
          <w:t>Table 6. Methods and Best Practices for Decarbonizing Buildings</w:t>
        </w:r>
        <w:r>
          <w:rPr>
            <w:noProof/>
            <w:webHidden/>
          </w:rPr>
          <w:tab/>
        </w:r>
        <w:r>
          <w:rPr>
            <w:noProof/>
            <w:webHidden/>
          </w:rPr>
          <w:fldChar w:fldCharType="begin"/>
        </w:r>
        <w:r>
          <w:rPr>
            <w:noProof/>
            <w:webHidden/>
          </w:rPr>
          <w:instrText xml:space="preserve"> PAGEREF _Toc193116953 \h </w:instrText>
        </w:r>
        <w:r>
          <w:rPr>
            <w:noProof/>
            <w:webHidden/>
          </w:rPr>
        </w:r>
        <w:r>
          <w:rPr>
            <w:noProof/>
            <w:webHidden/>
          </w:rPr>
          <w:fldChar w:fldCharType="separate"/>
        </w:r>
        <w:r>
          <w:rPr>
            <w:noProof/>
            <w:webHidden/>
          </w:rPr>
          <w:t>29</w:t>
        </w:r>
        <w:r>
          <w:rPr>
            <w:noProof/>
            <w:webHidden/>
          </w:rPr>
          <w:fldChar w:fldCharType="end"/>
        </w:r>
      </w:hyperlink>
    </w:p>
    <w:p w14:paraId="0DA2CDD1" w14:textId="0F99319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4" w:history="1">
        <w:r w:rsidRPr="00724BA0">
          <w:rPr>
            <w:rStyle w:val="Hyperlink"/>
            <w:noProof/>
          </w:rPr>
          <w:t>Table 7. Methods and Best Practices for Optimizing Water Efficiency</w:t>
        </w:r>
        <w:r>
          <w:rPr>
            <w:noProof/>
            <w:webHidden/>
          </w:rPr>
          <w:tab/>
        </w:r>
        <w:r>
          <w:rPr>
            <w:noProof/>
            <w:webHidden/>
          </w:rPr>
          <w:fldChar w:fldCharType="begin"/>
        </w:r>
        <w:r>
          <w:rPr>
            <w:noProof/>
            <w:webHidden/>
          </w:rPr>
          <w:instrText xml:space="preserve"> PAGEREF _Toc193116954 \h </w:instrText>
        </w:r>
        <w:r>
          <w:rPr>
            <w:noProof/>
            <w:webHidden/>
          </w:rPr>
        </w:r>
        <w:r>
          <w:rPr>
            <w:noProof/>
            <w:webHidden/>
          </w:rPr>
          <w:fldChar w:fldCharType="separate"/>
        </w:r>
        <w:r>
          <w:rPr>
            <w:noProof/>
            <w:webHidden/>
          </w:rPr>
          <w:t>33</w:t>
        </w:r>
        <w:r>
          <w:rPr>
            <w:noProof/>
            <w:webHidden/>
          </w:rPr>
          <w:fldChar w:fldCharType="end"/>
        </w:r>
      </w:hyperlink>
    </w:p>
    <w:p w14:paraId="39BE9422" w14:textId="0E5C89F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5" w:history="1">
        <w:r w:rsidRPr="00724BA0">
          <w:rPr>
            <w:rStyle w:val="Hyperlink"/>
            <w:noProof/>
          </w:rPr>
          <w:t>Table 8. Methods and Best Practices for Optimizing Solid Waste Reduction and Diversion</w:t>
        </w:r>
        <w:r>
          <w:rPr>
            <w:noProof/>
            <w:webHidden/>
          </w:rPr>
          <w:tab/>
        </w:r>
        <w:r>
          <w:rPr>
            <w:noProof/>
            <w:webHidden/>
          </w:rPr>
          <w:fldChar w:fldCharType="begin"/>
        </w:r>
        <w:r>
          <w:rPr>
            <w:noProof/>
            <w:webHidden/>
          </w:rPr>
          <w:instrText xml:space="preserve"> PAGEREF _Toc193116955 \h </w:instrText>
        </w:r>
        <w:r>
          <w:rPr>
            <w:noProof/>
            <w:webHidden/>
          </w:rPr>
        </w:r>
        <w:r>
          <w:rPr>
            <w:noProof/>
            <w:webHidden/>
          </w:rPr>
          <w:fldChar w:fldCharType="separate"/>
        </w:r>
        <w:r>
          <w:rPr>
            <w:noProof/>
            <w:webHidden/>
          </w:rPr>
          <w:t>36</w:t>
        </w:r>
        <w:r>
          <w:rPr>
            <w:noProof/>
            <w:webHidden/>
          </w:rPr>
          <w:fldChar w:fldCharType="end"/>
        </w:r>
      </w:hyperlink>
    </w:p>
    <w:p w14:paraId="5F45A195" w14:textId="6CAF9C8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6" w:history="1">
        <w:r w:rsidRPr="00724BA0">
          <w:rPr>
            <w:rStyle w:val="Hyperlink"/>
            <w:noProof/>
          </w:rPr>
          <w:t>Table 9. Methods and Best Practices for Electrifying School Bus Fleets</w:t>
        </w:r>
        <w:r>
          <w:rPr>
            <w:noProof/>
            <w:webHidden/>
          </w:rPr>
          <w:tab/>
        </w:r>
        <w:r>
          <w:rPr>
            <w:noProof/>
            <w:webHidden/>
          </w:rPr>
          <w:fldChar w:fldCharType="begin"/>
        </w:r>
        <w:r>
          <w:rPr>
            <w:noProof/>
            <w:webHidden/>
          </w:rPr>
          <w:instrText xml:space="preserve"> PAGEREF _Toc193116956 \h </w:instrText>
        </w:r>
        <w:r>
          <w:rPr>
            <w:noProof/>
            <w:webHidden/>
          </w:rPr>
        </w:r>
        <w:r>
          <w:rPr>
            <w:noProof/>
            <w:webHidden/>
          </w:rPr>
          <w:fldChar w:fldCharType="separate"/>
        </w:r>
        <w:r>
          <w:rPr>
            <w:noProof/>
            <w:webHidden/>
          </w:rPr>
          <w:t>39</w:t>
        </w:r>
        <w:r>
          <w:rPr>
            <w:noProof/>
            <w:webHidden/>
          </w:rPr>
          <w:fldChar w:fldCharType="end"/>
        </w:r>
      </w:hyperlink>
    </w:p>
    <w:p w14:paraId="0D54CB0A" w14:textId="7805788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7" w:history="1">
        <w:r w:rsidRPr="00724BA0">
          <w:rPr>
            <w:rStyle w:val="Hyperlink"/>
            <w:noProof/>
          </w:rPr>
          <w:t>Table 10. Methods and Best Practices for Providing Electric Vehicle Charging Stations for School Staff and Public Use</w:t>
        </w:r>
        <w:r>
          <w:rPr>
            <w:noProof/>
            <w:webHidden/>
          </w:rPr>
          <w:tab/>
        </w:r>
        <w:r>
          <w:rPr>
            <w:noProof/>
            <w:webHidden/>
          </w:rPr>
          <w:fldChar w:fldCharType="begin"/>
        </w:r>
        <w:r>
          <w:rPr>
            <w:noProof/>
            <w:webHidden/>
          </w:rPr>
          <w:instrText xml:space="preserve"> PAGEREF _Toc193116957 \h </w:instrText>
        </w:r>
        <w:r>
          <w:rPr>
            <w:noProof/>
            <w:webHidden/>
          </w:rPr>
        </w:r>
        <w:r>
          <w:rPr>
            <w:noProof/>
            <w:webHidden/>
          </w:rPr>
          <w:fldChar w:fldCharType="separate"/>
        </w:r>
        <w:r>
          <w:rPr>
            <w:noProof/>
            <w:webHidden/>
          </w:rPr>
          <w:t>42</w:t>
        </w:r>
        <w:r>
          <w:rPr>
            <w:noProof/>
            <w:webHidden/>
          </w:rPr>
          <w:fldChar w:fldCharType="end"/>
        </w:r>
      </w:hyperlink>
    </w:p>
    <w:p w14:paraId="08FE066B" w14:textId="77FE312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8" w:history="1">
        <w:r w:rsidRPr="00724BA0">
          <w:rPr>
            <w:rStyle w:val="Hyperlink"/>
            <w:noProof/>
          </w:rPr>
          <w:t>Table 11. Methods and Best Practices for Enhancing Climate Resilience in Schools</w:t>
        </w:r>
        <w:r>
          <w:rPr>
            <w:noProof/>
            <w:webHidden/>
          </w:rPr>
          <w:tab/>
        </w:r>
        <w:r>
          <w:rPr>
            <w:noProof/>
            <w:webHidden/>
          </w:rPr>
          <w:fldChar w:fldCharType="begin"/>
        </w:r>
        <w:r>
          <w:rPr>
            <w:noProof/>
            <w:webHidden/>
          </w:rPr>
          <w:instrText xml:space="preserve"> PAGEREF _Toc193116958 \h </w:instrText>
        </w:r>
        <w:r>
          <w:rPr>
            <w:noProof/>
            <w:webHidden/>
          </w:rPr>
        </w:r>
        <w:r>
          <w:rPr>
            <w:noProof/>
            <w:webHidden/>
          </w:rPr>
          <w:fldChar w:fldCharType="separate"/>
        </w:r>
        <w:r>
          <w:rPr>
            <w:noProof/>
            <w:webHidden/>
          </w:rPr>
          <w:t>46</w:t>
        </w:r>
        <w:r>
          <w:rPr>
            <w:noProof/>
            <w:webHidden/>
          </w:rPr>
          <w:fldChar w:fldCharType="end"/>
        </w:r>
      </w:hyperlink>
    </w:p>
    <w:p w14:paraId="1448EACD" w14:textId="437933E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59" w:history="1">
        <w:r w:rsidRPr="00724BA0">
          <w:rPr>
            <w:rStyle w:val="Hyperlink"/>
            <w:noProof/>
          </w:rPr>
          <w:t>Table 12. Methods and Best Practices for Reducing Airborne Transmission of Respiratory Disease/Illness</w:t>
        </w:r>
        <w:r>
          <w:rPr>
            <w:noProof/>
            <w:webHidden/>
          </w:rPr>
          <w:tab/>
        </w:r>
        <w:r>
          <w:rPr>
            <w:noProof/>
            <w:webHidden/>
          </w:rPr>
          <w:fldChar w:fldCharType="begin"/>
        </w:r>
        <w:r>
          <w:rPr>
            <w:noProof/>
            <w:webHidden/>
          </w:rPr>
          <w:instrText xml:space="preserve"> PAGEREF _Toc193116959 \h </w:instrText>
        </w:r>
        <w:r>
          <w:rPr>
            <w:noProof/>
            <w:webHidden/>
          </w:rPr>
        </w:r>
        <w:r>
          <w:rPr>
            <w:noProof/>
            <w:webHidden/>
          </w:rPr>
          <w:fldChar w:fldCharType="separate"/>
        </w:r>
        <w:r>
          <w:rPr>
            <w:noProof/>
            <w:webHidden/>
          </w:rPr>
          <w:t>51</w:t>
        </w:r>
        <w:r>
          <w:rPr>
            <w:noProof/>
            <w:webHidden/>
          </w:rPr>
          <w:fldChar w:fldCharType="end"/>
        </w:r>
      </w:hyperlink>
    </w:p>
    <w:p w14:paraId="4C64693A" w14:textId="108B762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0" w:history="1">
        <w:r w:rsidRPr="00724BA0">
          <w:rPr>
            <w:rStyle w:val="Hyperlink"/>
            <w:noProof/>
          </w:rPr>
          <w:t>Table 13. Methods and Best Practices for Preventing Exposure to Asbestos</w:t>
        </w:r>
        <w:r>
          <w:rPr>
            <w:noProof/>
            <w:webHidden/>
          </w:rPr>
          <w:tab/>
        </w:r>
        <w:r>
          <w:rPr>
            <w:noProof/>
            <w:webHidden/>
          </w:rPr>
          <w:fldChar w:fldCharType="begin"/>
        </w:r>
        <w:r>
          <w:rPr>
            <w:noProof/>
            <w:webHidden/>
          </w:rPr>
          <w:instrText xml:space="preserve"> PAGEREF _Toc193116960 \h </w:instrText>
        </w:r>
        <w:r>
          <w:rPr>
            <w:noProof/>
            <w:webHidden/>
          </w:rPr>
        </w:r>
        <w:r>
          <w:rPr>
            <w:noProof/>
            <w:webHidden/>
          </w:rPr>
          <w:fldChar w:fldCharType="separate"/>
        </w:r>
        <w:r>
          <w:rPr>
            <w:noProof/>
            <w:webHidden/>
          </w:rPr>
          <w:t>53</w:t>
        </w:r>
        <w:r>
          <w:rPr>
            <w:noProof/>
            <w:webHidden/>
          </w:rPr>
          <w:fldChar w:fldCharType="end"/>
        </w:r>
      </w:hyperlink>
    </w:p>
    <w:p w14:paraId="4325BD19" w14:textId="29DFC04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1" w:history="1">
        <w:r w:rsidRPr="00724BA0">
          <w:rPr>
            <w:rStyle w:val="Hyperlink"/>
            <w:noProof/>
          </w:rPr>
          <w:t>Table 14. Methods and Best Practices for Reducing Exposure to Carbon Monoxide</w:t>
        </w:r>
        <w:r>
          <w:rPr>
            <w:noProof/>
            <w:webHidden/>
          </w:rPr>
          <w:tab/>
        </w:r>
        <w:r>
          <w:rPr>
            <w:noProof/>
            <w:webHidden/>
          </w:rPr>
          <w:fldChar w:fldCharType="begin"/>
        </w:r>
        <w:r>
          <w:rPr>
            <w:noProof/>
            <w:webHidden/>
          </w:rPr>
          <w:instrText xml:space="preserve"> PAGEREF _Toc193116961 \h </w:instrText>
        </w:r>
        <w:r>
          <w:rPr>
            <w:noProof/>
            <w:webHidden/>
          </w:rPr>
        </w:r>
        <w:r>
          <w:rPr>
            <w:noProof/>
            <w:webHidden/>
          </w:rPr>
          <w:fldChar w:fldCharType="separate"/>
        </w:r>
        <w:r>
          <w:rPr>
            <w:noProof/>
            <w:webHidden/>
          </w:rPr>
          <w:t>56</w:t>
        </w:r>
        <w:r>
          <w:rPr>
            <w:noProof/>
            <w:webHidden/>
          </w:rPr>
          <w:fldChar w:fldCharType="end"/>
        </w:r>
      </w:hyperlink>
    </w:p>
    <w:p w14:paraId="19D4388F" w14:textId="6D704D6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2" w:history="1">
        <w:r w:rsidRPr="00724BA0">
          <w:rPr>
            <w:rStyle w:val="Hyperlink"/>
            <w:noProof/>
          </w:rPr>
          <w:t>Table 15. Methods and Best Practices for Reducing Exposure to Mold</w:t>
        </w:r>
        <w:r>
          <w:rPr>
            <w:noProof/>
            <w:webHidden/>
          </w:rPr>
          <w:tab/>
        </w:r>
        <w:r>
          <w:rPr>
            <w:noProof/>
            <w:webHidden/>
          </w:rPr>
          <w:fldChar w:fldCharType="begin"/>
        </w:r>
        <w:r>
          <w:rPr>
            <w:noProof/>
            <w:webHidden/>
          </w:rPr>
          <w:instrText xml:space="preserve"> PAGEREF _Toc193116962 \h </w:instrText>
        </w:r>
        <w:r>
          <w:rPr>
            <w:noProof/>
            <w:webHidden/>
          </w:rPr>
        </w:r>
        <w:r>
          <w:rPr>
            <w:noProof/>
            <w:webHidden/>
          </w:rPr>
          <w:fldChar w:fldCharType="separate"/>
        </w:r>
        <w:r>
          <w:rPr>
            <w:noProof/>
            <w:webHidden/>
          </w:rPr>
          <w:t>58</w:t>
        </w:r>
        <w:r>
          <w:rPr>
            <w:noProof/>
            <w:webHidden/>
          </w:rPr>
          <w:fldChar w:fldCharType="end"/>
        </w:r>
      </w:hyperlink>
    </w:p>
    <w:p w14:paraId="7D8A7C92" w14:textId="0224132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3" w:history="1">
        <w:r w:rsidRPr="00724BA0">
          <w:rPr>
            <w:rStyle w:val="Hyperlink"/>
            <w:noProof/>
          </w:rPr>
          <w:t>Table 16. Methods and Best Practices for Reducing Exposure to PCBs</w:t>
        </w:r>
        <w:r>
          <w:rPr>
            <w:noProof/>
            <w:webHidden/>
          </w:rPr>
          <w:tab/>
        </w:r>
        <w:r>
          <w:rPr>
            <w:noProof/>
            <w:webHidden/>
          </w:rPr>
          <w:fldChar w:fldCharType="begin"/>
        </w:r>
        <w:r>
          <w:rPr>
            <w:noProof/>
            <w:webHidden/>
          </w:rPr>
          <w:instrText xml:space="preserve"> PAGEREF _Toc193116963 \h </w:instrText>
        </w:r>
        <w:r>
          <w:rPr>
            <w:noProof/>
            <w:webHidden/>
          </w:rPr>
        </w:r>
        <w:r>
          <w:rPr>
            <w:noProof/>
            <w:webHidden/>
          </w:rPr>
          <w:fldChar w:fldCharType="separate"/>
        </w:r>
        <w:r>
          <w:rPr>
            <w:noProof/>
            <w:webHidden/>
          </w:rPr>
          <w:t>60</w:t>
        </w:r>
        <w:r>
          <w:rPr>
            <w:noProof/>
            <w:webHidden/>
          </w:rPr>
          <w:fldChar w:fldCharType="end"/>
        </w:r>
      </w:hyperlink>
    </w:p>
    <w:p w14:paraId="44D9D6D6" w14:textId="5EEE7449"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4" w:history="1">
        <w:r w:rsidRPr="00724BA0">
          <w:rPr>
            <w:rStyle w:val="Hyperlink"/>
            <w:noProof/>
          </w:rPr>
          <w:t>Table 17. Methods and Best Practices for Reducing Exposure to Radon</w:t>
        </w:r>
        <w:r>
          <w:rPr>
            <w:noProof/>
            <w:webHidden/>
          </w:rPr>
          <w:tab/>
        </w:r>
        <w:r>
          <w:rPr>
            <w:noProof/>
            <w:webHidden/>
          </w:rPr>
          <w:fldChar w:fldCharType="begin"/>
        </w:r>
        <w:r>
          <w:rPr>
            <w:noProof/>
            <w:webHidden/>
          </w:rPr>
          <w:instrText xml:space="preserve"> PAGEREF _Toc193116964 \h </w:instrText>
        </w:r>
        <w:r>
          <w:rPr>
            <w:noProof/>
            <w:webHidden/>
          </w:rPr>
        </w:r>
        <w:r>
          <w:rPr>
            <w:noProof/>
            <w:webHidden/>
          </w:rPr>
          <w:fldChar w:fldCharType="separate"/>
        </w:r>
        <w:r>
          <w:rPr>
            <w:noProof/>
            <w:webHidden/>
          </w:rPr>
          <w:t>62</w:t>
        </w:r>
        <w:r>
          <w:rPr>
            <w:noProof/>
            <w:webHidden/>
          </w:rPr>
          <w:fldChar w:fldCharType="end"/>
        </w:r>
      </w:hyperlink>
    </w:p>
    <w:p w14:paraId="7413BBDC" w14:textId="533BC922"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5" w:history="1">
        <w:r w:rsidRPr="00724BA0">
          <w:rPr>
            <w:rStyle w:val="Hyperlink"/>
            <w:noProof/>
          </w:rPr>
          <w:t>Table 18. Methods and Best Practices for Reducing Exposure to Outdoor Air Pollutants</w:t>
        </w:r>
        <w:r>
          <w:rPr>
            <w:noProof/>
            <w:webHidden/>
          </w:rPr>
          <w:tab/>
        </w:r>
        <w:r>
          <w:rPr>
            <w:noProof/>
            <w:webHidden/>
          </w:rPr>
          <w:fldChar w:fldCharType="begin"/>
        </w:r>
        <w:r>
          <w:rPr>
            <w:noProof/>
            <w:webHidden/>
          </w:rPr>
          <w:instrText xml:space="preserve"> PAGEREF _Toc193116965 \h </w:instrText>
        </w:r>
        <w:r>
          <w:rPr>
            <w:noProof/>
            <w:webHidden/>
          </w:rPr>
        </w:r>
        <w:r>
          <w:rPr>
            <w:noProof/>
            <w:webHidden/>
          </w:rPr>
          <w:fldChar w:fldCharType="separate"/>
        </w:r>
        <w:r>
          <w:rPr>
            <w:noProof/>
            <w:webHidden/>
          </w:rPr>
          <w:t>65</w:t>
        </w:r>
        <w:r>
          <w:rPr>
            <w:noProof/>
            <w:webHidden/>
          </w:rPr>
          <w:fldChar w:fldCharType="end"/>
        </w:r>
      </w:hyperlink>
    </w:p>
    <w:p w14:paraId="341AEB3F" w14:textId="7606735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6" w:history="1">
        <w:r w:rsidRPr="00724BA0">
          <w:rPr>
            <w:rStyle w:val="Hyperlink"/>
            <w:noProof/>
          </w:rPr>
          <w:t>Table 19. Methods and Best Practices for Reducing Exposure to Lead in Drinking Water</w:t>
        </w:r>
        <w:r>
          <w:rPr>
            <w:noProof/>
            <w:webHidden/>
          </w:rPr>
          <w:tab/>
        </w:r>
        <w:r>
          <w:rPr>
            <w:noProof/>
            <w:webHidden/>
          </w:rPr>
          <w:fldChar w:fldCharType="begin"/>
        </w:r>
        <w:r>
          <w:rPr>
            <w:noProof/>
            <w:webHidden/>
          </w:rPr>
          <w:instrText xml:space="preserve"> PAGEREF _Toc193116966 \h </w:instrText>
        </w:r>
        <w:r>
          <w:rPr>
            <w:noProof/>
            <w:webHidden/>
          </w:rPr>
        </w:r>
        <w:r>
          <w:rPr>
            <w:noProof/>
            <w:webHidden/>
          </w:rPr>
          <w:fldChar w:fldCharType="separate"/>
        </w:r>
        <w:r>
          <w:rPr>
            <w:noProof/>
            <w:webHidden/>
          </w:rPr>
          <w:t>67</w:t>
        </w:r>
        <w:r>
          <w:rPr>
            <w:noProof/>
            <w:webHidden/>
          </w:rPr>
          <w:fldChar w:fldCharType="end"/>
        </w:r>
      </w:hyperlink>
    </w:p>
    <w:p w14:paraId="07BFA156" w14:textId="3E87F13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7" w:history="1">
        <w:r w:rsidRPr="00724BA0">
          <w:rPr>
            <w:rStyle w:val="Hyperlink"/>
            <w:noProof/>
          </w:rPr>
          <w:t>Table 20. Methods and Best Practices for Reducing Exposure to PFAS in Drinking Water</w:t>
        </w:r>
        <w:r>
          <w:rPr>
            <w:noProof/>
            <w:webHidden/>
          </w:rPr>
          <w:tab/>
        </w:r>
        <w:r>
          <w:rPr>
            <w:noProof/>
            <w:webHidden/>
          </w:rPr>
          <w:fldChar w:fldCharType="begin"/>
        </w:r>
        <w:r>
          <w:rPr>
            <w:noProof/>
            <w:webHidden/>
          </w:rPr>
          <w:instrText xml:space="preserve"> PAGEREF _Toc193116967 \h </w:instrText>
        </w:r>
        <w:r>
          <w:rPr>
            <w:noProof/>
            <w:webHidden/>
          </w:rPr>
        </w:r>
        <w:r>
          <w:rPr>
            <w:noProof/>
            <w:webHidden/>
          </w:rPr>
          <w:fldChar w:fldCharType="separate"/>
        </w:r>
        <w:r>
          <w:rPr>
            <w:noProof/>
            <w:webHidden/>
          </w:rPr>
          <w:t>69</w:t>
        </w:r>
        <w:r>
          <w:rPr>
            <w:noProof/>
            <w:webHidden/>
          </w:rPr>
          <w:fldChar w:fldCharType="end"/>
        </w:r>
      </w:hyperlink>
    </w:p>
    <w:p w14:paraId="5D9D24BA" w14:textId="6407E4F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8" w:history="1">
        <w:r w:rsidRPr="00724BA0">
          <w:rPr>
            <w:rStyle w:val="Hyperlink"/>
            <w:noProof/>
          </w:rPr>
          <w:t>Table 21. Methods and Best Practices for Improving Thermal Comfort</w:t>
        </w:r>
        <w:r>
          <w:rPr>
            <w:noProof/>
            <w:webHidden/>
          </w:rPr>
          <w:tab/>
        </w:r>
        <w:r>
          <w:rPr>
            <w:noProof/>
            <w:webHidden/>
          </w:rPr>
          <w:fldChar w:fldCharType="begin"/>
        </w:r>
        <w:r>
          <w:rPr>
            <w:noProof/>
            <w:webHidden/>
          </w:rPr>
          <w:instrText xml:space="preserve"> PAGEREF _Toc193116968 \h </w:instrText>
        </w:r>
        <w:r>
          <w:rPr>
            <w:noProof/>
            <w:webHidden/>
          </w:rPr>
        </w:r>
        <w:r>
          <w:rPr>
            <w:noProof/>
            <w:webHidden/>
          </w:rPr>
          <w:fldChar w:fldCharType="separate"/>
        </w:r>
        <w:r>
          <w:rPr>
            <w:noProof/>
            <w:webHidden/>
          </w:rPr>
          <w:t>71</w:t>
        </w:r>
        <w:r>
          <w:rPr>
            <w:noProof/>
            <w:webHidden/>
          </w:rPr>
          <w:fldChar w:fldCharType="end"/>
        </w:r>
      </w:hyperlink>
    </w:p>
    <w:p w14:paraId="7096CE28" w14:textId="1BB0823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69" w:history="1">
        <w:r w:rsidRPr="00724BA0">
          <w:rPr>
            <w:rStyle w:val="Hyperlink"/>
            <w:noProof/>
          </w:rPr>
          <w:t>Table 22. Methods and Best Practices for Using Integrated Pest Management</w:t>
        </w:r>
        <w:r>
          <w:rPr>
            <w:noProof/>
            <w:webHidden/>
          </w:rPr>
          <w:tab/>
        </w:r>
        <w:r>
          <w:rPr>
            <w:noProof/>
            <w:webHidden/>
          </w:rPr>
          <w:fldChar w:fldCharType="begin"/>
        </w:r>
        <w:r>
          <w:rPr>
            <w:noProof/>
            <w:webHidden/>
          </w:rPr>
          <w:instrText xml:space="preserve"> PAGEREF _Toc193116969 \h </w:instrText>
        </w:r>
        <w:r>
          <w:rPr>
            <w:noProof/>
            <w:webHidden/>
          </w:rPr>
        </w:r>
        <w:r>
          <w:rPr>
            <w:noProof/>
            <w:webHidden/>
          </w:rPr>
          <w:fldChar w:fldCharType="separate"/>
        </w:r>
        <w:r>
          <w:rPr>
            <w:noProof/>
            <w:webHidden/>
          </w:rPr>
          <w:t>72</w:t>
        </w:r>
        <w:r>
          <w:rPr>
            <w:noProof/>
            <w:webHidden/>
          </w:rPr>
          <w:fldChar w:fldCharType="end"/>
        </w:r>
      </w:hyperlink>
    </w:p>
    <w:p w14:paraId="646FC585" w14:textId="39F48EA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0" w:history="1">
        <w:r w:rsidRPr="00724BA0">
          <w:rPr>
            <w:rStyle w:val="Hyperlink"/>
            <w:noProof/>
          </w:rPr>
          <w:t>Table 23. Methods and Best Practices for Procuring and Using Green Cleaning Supplies/Chemicals</w:t>
        </w:r>
        <w:r>
          <w:rPr>
            <w:noProof/>
            <w:webHidden/>
          </w:rPr>
          <w:tab/>
        </w:r>
        <w:r>
          <w:rPr>
            <w:noProof/>
            <w:webHidden/>
          </w:rPr>
          <w:fldChar w:fldCharType="begin"/>
        </w:r>
        <w:r>
          <w:rPr>
            <w:noProof/>
            <w:webHidden/>
          </w:rPr>
          <w:instrText xml:space="preserve"> PAGEREF _Toc193116970 \h </w:instrText>
        </w:r>
        <w:r>
          <w:rPr>
            <w:noProof/>
            <w:webHidden/>
          </w:rPr>
        </w:r>
        <w:r>
          <w:rPr>
            <w:noProof/>
            <w:webHidden/>
          </w:rPr>
          <w:fldChar w:fldCharType="separate"/>
        </w:r>
        <w:r>
          <w:rPr>
            <w:noProof/>
            <w:webHidden/>
          </w:rPr>
          <w:t>74</w:t>
        </w:r>
        <w:r>
          <w:rPr>
            <w:noProof/>
            <w:webHidden/>
          </w:rPr>
          <w:fldChar w:fldCharType="end"/>
        </w:r>
      </w:hyperlink>
    </w:p>
    <w:p w14:paraId="2EF97C39" w14:textId="020723D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1" w:history="1">
        <w:r w:rsidRPr="00724BA0">
          <w:rPr>
            <w:rStyle w:val="Hyperlink"/>
            <w:noProof/>
          </w:rPr>
          <w:t>Table 24. Methods and Best Practices for Reducing Exposure to Lead in Paint and Soil</w:t>
        </w:r>
        <w:r>
          <w:rPr>
            <w:noProof/>
            <w:webHidden/>
          </w:rPr>
          <w:tab/>
        </w:r>
        <w:r>
          <w:rPr>
            <w:noProof/>
            <w:webHidden/>
          </w:rPr>
          <w:fldChar w:fldCharType="begin"/>
        </w:r>
        <w:r>
          <w:rPr>
            <w:noProof/>
            <w:webHidden/>
          </w:rPr>
          <w:instrText xml:space="preserve"> PAGEREF _Toc193116971 \h </w:instrText>
        </w:r>
        <w:r>
          <w:rPr>
            <w:noProof/>
            <w:webHidden/>
          </w:rPr>
        </w:r>
        <w:r>
          <w:rPr>
            <w:noProof/>
            <w:webHidden/>
          </w:rPr>
          <w:fldChar w:fldCharType="separate"/>
        </w:r>
        <w:r>
          <w:rPr>
            <w:noProof/>
            <w:webHidden/>
          </w:rPr>
          <w:t>75</w:t>
        </w:r>
        <w:r>
          <w:rPr>
            <w:noProof/>
            <w:webHidden/>
          </w:rPr>
          <w:fldChar w:fldCharType="end"/>
        </w:r>
      </w:hyperlink>
    </w:p>
    <w:p w14:paraId="341F68AE" w14:textId="598D35D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2" w:history="1">
        <w:r w:rsidRPr="00724BA0">
          <w:rPr>
            <w:rStyle w:val="Hyperlink"/>
            <w:noProof/>
          </w:rPr>
          <w:t>Table 25. Methods and Best Practices for Reducing Exposure to Mercury</w:t>
        </w:r>
        <w:r>
          <w:rPr>
            <w:noProof/>
            <w:webHidden/>
          </w:rPr>
          <w:tab/>
        </w:r>
        <w:r>
          <w:rPr>
            <w:noProof/>
            <w:webHidden/>
          </w:rPr>
          <w:fldChar w:fldCharType="begin"/>
        </w:r>
        <w:r>
          <w:rPr>
            <w:noProof/>
            <w:webHidden/>
          </w:rPr>
          <w:instrText xml:space="preserve"> PAGEREF _Toc193116972 \h </w:instrText>
        </w:r>
        <w:r>
          <w:rPr>
            <w:noProof/>
            <w:webHidden/>
          </w:rPr>
        </w:r>
        <w:r>
          <w:rPr>
            <w:noProof/>
            <w:webHidden/>
          </w:rPr>
          <w:fldChar w:fldCharType="separate"/>
        </w:r>
        <w:r>
          <w:rPr>
            <w:noProof/>
            <w:webHidden/>
          </w:rPr>
          <w:t>76</w:t>
        </w:r>
        <w:r>
          <w:rPr>
            <w:noProof/>
            <w:webHidden/>
          </w:rPr>
          <w:fldChar w:fldCharType="end"/>
        </w:r>
      </w:hyperlink>
    </w:p>
    <w:p w14:paraId="33FFAA1D" w14:textId="21F9517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3" w:history="1">
        <w:r w:rsidRPr="00724BA0">
          <w:rPr>
            <w:rStyle w:val="Hyperlink"/>
            <w:noProof/>
          </w:rPr>
          <w:t>Table 26. Methods and Best Practices Related to Procuring, Using, and Disposing of Crumb Rubber</w:t>
        </w:r>
        <w:r>
          <w:rPr>
            <w:noProof/>
            <w:webHidden/>
          </w:rPr>
          <w:tab/>
        </w:r>
        <w:r>
          <w:rPr>
            <w:noProof/>
            <w:webHidden/>
          </w:rPr>
          <w:fldChar w:fldCharType="begin"/>
        </w:r>
        <w:r>
          <w:rPr>
            <w:noProof/>
            <w:webHidden/>
          </w:rPr>
          <w:instrText xml:space="preserve"> PAGEREF _Toc193116973 \h </w:instrText>
        </w:r>
        <w:r>
          <w:rPr>
            <w:noProof/>
            <w:webHidden/>
          </w:rPr>
        </w:r>
        <w:r>
          <w:rPr>
            <w:noProof/>
            <w:webHidden/>
          </w:rPr>
          <w:fldChar w:fldCharType="separate"/>
        </w:r>
        <w:r>
          <w:rPr>
            <w:noProof/>
            <w:webHidden/>
          </w:rPr>
          <w:t>79</w:t>
        </w:r>
        <w:r>
          <w:rPr>
            <w:noProof/>
            <w:webHidden/>
          </w:rPr>
          <w:fldChar w:fldCharType="end"/>
        </w:r>
      </w:hyperlink>
    </w:p>
    <w:p w14:paraId="722DD846" w14:textId="0979612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4" w:history="1">
        <w:r w:rsidRPr="00724BA0">
          <w:rPr>
            <w:rStyle w:val="Hyperlink"/>
            <w:noProof/>
          </w:rPr>
          <w:t>Table 27. Methods and Best Practices Related to Creating a Safe Environment for Students with Life-Threatening Food Allergies</w:t>
        </w:r>
        <w:r>
          <w:rPr>
            <w:noProof/>
            <w:webHidden/>
          </w:rPr>
          <w:tab/>
        </w:r>
        <w:r>
          <w:rPr>
            <w:noProof/>
            <w:webHidden/>
          </w:rPr>
          <w:fldChar w:fldCharType="begin"/>
        </w:r>
        <w:r>
          <w:rPr>
            <w:noProof/>
            <w:webHidden/>
          </w:rPr>
          <w:instrText xml:space="preserve"> PAGEREF _Toc193116974 \h </w:instrText>
        </w:r>
        <w:r>
          <w:rPr>
            <w:noProof/>
            <w:webHidden/>
          </w:rPr>
        </w:r>
        <w:r>
          <w:rPr>
            <w:noProof/>
            <w:webHidden/>
          </w:rPr>
          <w:fldChar w:fldCharType="separate"/>
        </w:r>
        <w:r>
          <w:rPr>
            <w:noProof/>
            <w:webHidden/>
          </w:rPr>
          <w:t>81</w:t>
        </w:r>
        <w:r>
          <w:rPr>
            <w:noProof/>
            <w:webHidden/>
          </w:rPr>
          <w:fldChar w:fldCharType="end"/>
        </w:r>
      </w:hyperlink>
    </w:p>
    <w:p w14:paraId="63CEE90B" w14:textId="7E066B1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5" w:history="1">
        <w:r w:rsidRPr="00724BA0">
          <w:rPr>
            <w:rStyle w:val="Hyperlink"/>
            <w:noProof/>
          </w:rPr>
          <w:t>Table 28. Methods and Best Practices Related to Optimizing Lighting</w:t>
        </w:r>
        <w:r>
          <w:rPr>
            <w:noProof/>
            <w:webHidden/>
          </w:rPr>
          <w:tab/>
        </w:r>
        <w:r>
          <w:rPr>
            <w:noProof/>
            <w:webHidden/>
          </w:rPr>
          <w:fldChar w:fldCharType="begin"/>
        </w:r>
        <w:r>
          <w:rPr>
            <w:noProof/>
            <w:webHidden/>
          </w:rPr>
          <w:instrText xml:space="preserve"> PAGEREF _Toc193116975 \h </w:instrText>
        </w:r>
        <w:r>
          <w:rPr>
            <w:noProof/>
            <w:webHidden/>
          </w:rPr>
        </w:r>
        <w:r>
          <w:rPr>
            <w:noProof/>
            <w:webHidden/>
          </w:rPr>
          <w:fldChar w:fldCharType="separate"/>
        </w:r>
        <w:r>
          <w:rPr>
            <w:noProof/>
            <w:webHidden/>
          </w:rPr>
          <w:t>82</w:t>
        </w:r>
        <w:r>
          <w:rPr>
            <w:noProof/>
            <w:webHidden/>
          </w:rPr>
          <w:fldChar w:fldCharType="end"/>
        </w:r>
      </w:hyperlink>
    </w:p>
    <w:p w14:paraId="13CF2F54" w14:textId="6D91C6C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6" w:history="1">
        <w:r w:rsidRPr="00724BA0">
          <w:rPr>
            <w:rStyle w:val="Hyperlink"/>
            <w:noProof/>
          </w:rPr>
          <w:t>Table 29. Methods and Best Practices Related to Optimizing Acoustic Performance</w:t>
        </w:r>
        <w:r>
          <w:rPr>
            <w:noProof/>
            <w:webHidden/>
          </w:rPr>
          <w:tab/>
        </w:r>
        <w:r>
          <w:rPr>
            <w:noProof/>
            <w:webHidden/>
          </w:rPr>
          <w:fldChar w:fldCharType="begin"/>
        </w:r>
        <w:r>
          <w:rPr>
            <w:noProof/>
            <w:webHidden/>
          </w:rPr>
          <w:instrText xml:space="preserve"> PAGEREF _Toc193116976 \h </w:instrText>
        </w:r>
        <w:r>
          <w:rPr>
            <w:noProof/>
            <w:webHidden/>
          </w:rPr>
        </w:r>
        <w:r>
          <w:rPr>
            <w:noProof/>
            <w:webHidden/>
          </w:rPr>
          <w:fldChar w:fldCharType="separate"/>
        </w:r>
        <w:r>
          <w:rPr>
            <w:noProof/>
            <w:webHidden/>
          </w:rPr>
          <w:t>83</w:t>
        </w:r>
        <w:r>
          <w:rPr>
            <w:noProof/>
            <w:webHidden/>
          </w:rPr>
          <w:fldChar w:fldCharType="end"/>
        </w:r>
      </w:hyperlink>
    </w:p>
    <w:p w14:paraId="0E576550" w14:textId="36679AB2"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7" w:history="1">
        <w:r w:rsidRPr="00724BA0">
          <w:rPr>
            <w:rStyle w:val="Hyperlink"/>
            <w:noProof/>
          </w:rPr>
          <w:t>Table 30. Methods and Best Practices Related to Designing the Built Environment to Foster a Peaceful School Community</w:t>
        </w:r>
        <w:r>
          <w:rPr>
            <w:noProof/>
            <w:webHidden/>
          </w:rPr>
          <w:tab/>
        </w:r>
        <w:r>
          <w:rPr>
            <w:noProof/>
            <w:webHidden/>
          </w:rPr>
          <w:fldChar w:fldCharType="begin"/>
        </w:r>
        <w:r>
          <w:rPr>
            <w:noProof/>
            <w:webHidden/>
          </w:rPr>
          <w:instrText xml:space="preserve"> PAGEREF _Toc193116977 \h </w:instrText>
        </w:r>
        <w:r>
          <w:rPr>
            <w:noProof/>
            <w:webHidden/>
          </w:rPr>
        </w:r>
        <w:r>
          <w:rPr>
            <w:noProof/>
            <w:webHidden/>
          </w:rPr>
          <w:fldChar w:fldCharType="separate"/>
        </w:r>
        <w:r>
          <w:rPr>
            <w:noProof/>
            <w:webHidden/>
          </w:rPr>
          <w:t>85</w:t>
        </w:r>
        <w:r>
          <w:rPr>
            <w:noProof/>
            <w:webHidden/>
          </w:rPr>
          <w:fldChar w:fldCharType="end"/>
        </w:r>
      </w:hyperlink>
    </w:p>
    <w:p w14:paraId="49D65F97" w14:textId="4770CD9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8" w:history="1">
        <w:r w:rsidRPr="00724BA0">
          <w:rPr>
            <w:rStyle w:val="Hyperlink"/>
            <w:noProof/>
          </w:rPr>
          <w:t>Table 31. Methods and Best Practices for Optimizing Space to Equitably Meet Special Education Needs</w:t>
        </w:r>
        <w:r>
          <w:rPr>
            <w:noProof/>
            <w:webHidden/>
          </w:rPr>
          <w:tab/>
        </w:r>
        <w:r>
          <w:rPr>
            <w:noProof/>
            <w:webHidden/>
          </w:rPr>
          <w:fldChar w:fldCharType="begin"/>
        </w:r>
        <w:r>
          <w:rPr>
            <w:noProof/>
            <w:webHidden/>
          </w:rPr>
          <w:instrText xml:space="preserve"> PAGEREF _Toc193116978 \h </w:instrText>
        </w:r>
        <w:r>
          <w:rPr>
            <w:noProof/>
            <w:webHidden/>
          </w:rPr>
        </w:r>
        <w:r>
          <w:rPr>
            <w:noProof/>
            <w:webHidden/>
          </w:rPr>
          <w:fldChar w:fldCharType="separate"/>
        </w:r>
        <w:r>
          <w:rPr>
            <w:noProof/>
            <w:webHidden/>
          </w:rPr>
          <w:t>89</w:t>
        </w:r>
        <w:r>
          <w:rPr>
            <w:noProof/>
            <w:webHidden/>
          </w:rPr>
          <w:fldChar w:fldCharType="end"/>
        </w:r>
      </w:hyperlink>
    </w:p>
    <w:p w14:paraId="401E002B" w14:textId="4D322AA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79" w:history="1">
        <w:r w:rsidRPr="00724BA0">
          <w:rPr>
            <w:rStyle w:val="Hyperlink"/>
            <w:noProof/>
          </w:rPr>
          <w:t>Table 32. Methods and Best Practices for Prioritizing Universal Accessibility</w:t>
        </w:r>
        <w:r>
          <w:rPr>
            <w:noProof/>
            <w:webHidden/>
          </w:rPr>
          <w:tab/>
        </w:r>
        <w:r>
          <w:rPr>
            <w:noProof/>
            <w:webHidden/>
          </w:rPr>
          <w:fldChar w:fldCharType="begin"/>
        </w:r>
        <w:r>
          <w:rPr>
            <w:noProof/>
            <w:webHidden/>
          </w:rPr>
          <w:instrText xml:space="preserve"> PAGEREF _Toc193116979 \h </w:instrText>
        </w:r>
        <w:r>
          <w:rPr>
            <w:noProof/>
            <w:webHidden/>
          </w:rPr>
        </w:r>
        <w:r>
          <w:rPr>
            <w:noProof/>
            <w:webHidden/>
          </w:rPr>
          <w:fldChar w:fldCharType="separate"/>
        </w:r>
        <w:r>
          <w:rPr>
            <w:noProof/>
            <w:webHidden/>
          </w:rPr>
          <w:t>91</w:t>
        </w:r>
        <w:r>
          <w:rPr>
            <w:noProof/>
            <w:webHidden/>
          </w:rPr>
          <w:fldChar w:fldCharType="end"/>
        </w:r>
      </w:hyperlink>
    </w:p>
    <w:p w14:paraId="59F94311" w14:textId="27C22B2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0" w:history="1">
        <w:r w:rsidRPr="00724BA0">
          <w:rPr>
            <w:rStyle w:val="Hyperlink"/>
            <w:noProof/>
          </w:rPr>
          <w:t>Table 33. Notable Details and Recommendations for the Evaluation of the MSBA’s 2016 School Survey Report</w:t>
        </w:r>
        <w:r>
          <w:rPr>
            <w:noProof/>
            <w:webHidden/>
          </w:rPr>
          <w:tab/>
        </w:r>
        <w:r>
          <w:rPr>
            <w:noProof/>
            <w:webHidden/>
          </w:rPr>
          <w:fldChar w:fldCharType="begin"/>
        </w:r>
        <w:r>
          <w:rPr>
            <w:noProof/>
            <w:webHidden/>
          </w:rPr>
          <w:instrText xml:space="preserve"> PAGEREF _Toc193116980 \h </w:instrText>
        </w:r>
        <w:r>
          <w:rPr>
            <w:noProof/>
            <w:webHidden/>
          </w:rPr>
        </w:r>
        <w:r>
          <w:rPr>
            <w:noProof/>
            <w:webHidden/>
          </w:rPr>
          <w:fldChar w:fldCharType="separate"/>
        </w:r>
        <w:r>
          <w:rPr>
            <w:noProof/>
            <w:webHidden/>
          </w:rPr>
          <w:t>94</w:t>
        </w:r>
        <w:r>
          <w:rPr>
            <w:noProof/>
            <w:webHidden/>
          </w:rPr>
          <w:fldChar w:fldCharType="end"/>
        </w:r>
      </w:hyperlink>
    </w:p>
    <w:p w14:paraId="4A8ECE06" w14:textId="0BC3B8E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1" w:history="1">
        <w:r w:rsidRPr="00724BA0">
          <w:rPr>
            <w:rStyle w:val="Hyperlink"/>
            <w:noProof/>
          </w:rPr>
          <w:t>Table 34. Notable Details and Recommendations for the Evaluation of the MSBA’s School-Level Summary Reports</w:t>
        </w:r>
        <w:r>
          <w:rPr>
            <w:noProof/>
            <w:webHidden/>
          </w:rPr>
          <w:tab/>
        </w:r>
        <w:r>
          <w:rPr>
            <w:noProof/>
            <w:webHidden/>
          </w:rPr>
          <w:fldChar w:fldCharType="begin"/>
        </w:r>
        <w:r>
          <w:rPr>
            <w:noProof/>
            <w:webHidden/>
          </w:rPr>
          <w:instrText xml:space="preserve"> PAGEREF _Toc193116981 \h </w:instrText>
        </w:r>
        <w:r>
          <w:rPr>
            <w:noProof/>
            <w:webHidden/>
          </w:rPr>
        </w:r>
        <w:r>
          <w:rPr>
            <w:noProof/>
            <w:webHidden/>
          </w:rPr>
          <w:fldChar w:fldCharType="separate"/>
        </w:r>
        <w:r>
          <w:rPr>
            <w:noProof/>
            <w:webHidden/>
          </w:rPr>
          <w:t>97</w:t>
        </w:r>
        <w:r>
          <w:rPr>
            <w:noProof/>
            <w:webHidden/>
          </w:rPr>
          <w:fldChar w:fldCharType="end"/>
        </w:r>
      </w:hyperlink>
    </w:p>
    <w:p w14:paraId="638296C4" w14:textId="641556C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2" w:history="1">
        <w:r w:rsidRPr="00724BA0">
          <w:rPr>
            <w:rStyle w:val="Hyperlink"/>
            <w:noProof/>
          </w:rPr>
          <w:t>Table 35. Notable Details and Recommendations for the Evaluation of the MSBA’s District-Level Summary Reports</w:t>
        </w:r>
        <w:r>
          <w:rPr>
            <w:noProof/>
            <w:webHidden/>
          </w:rPr>
          <w:tab/>
        </w:r>
        <w:r>
          <w:rPr>
            <w:noProof/>
            <w:webHidden/>
          </w:rPr>
          <w:fldChar w:fldCharType="begin"/>
        </w:r>
        <w:r>
          <w:rPr>
            <w:noProof/>
            <w:webHidden/>
          </w:rPr>
          <w:instrText xml:space="preserve"> PAGEREF _Toc193116982 \h </w:instrText>
        </w:r>
        <w:r>
          <w:rPr>
            <w:noProof/>
            <w:webHidden/>
          </w:rPr>
        </w:r>
        <w:r>
          <w:rPr>
            <w:noProof/>
            <w:webHidden/>
          </w:rPr>
          <w:fldChar w:fldCharType="separate"/>
        </w:r>
        <w:r>
          <w:rPr>
            <w:noProof/>
            <w:webHidden/>
          </w:rPr>
          <w:t>102</w:t>
        </w:r>
        <w:r>
          <w:rPr>
            <w:noProof/>
            <w:webHidden/>
          </w:rPr>
          <w:fldChar w:fldCharType="end"/>
        </w:r>
      </w:hyperlink>
    </w:p>
    <w:p w14:paraId="23DECE32" w14:textId="090598A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3" w:history="1">
        <w:r w:rsidRPr="00724BA0">
          <w:rPr>
            <w:rStyle w:val="Hyperlink"/>
            <w:noProof/>
          </w:rPr>
          <w:t>Table 36. Notable Details Supporting the Evaluation of the EPHT’s Pediatric Asthma Prevalence Data</w:t>
        </w:r>
        <w:r>
          <w:rPr>
            <w:noProof/>
            <w:webHidden/>
          </w:rPr>
          <w:tab/>
        </w:r>
        <w:r>
          <w:rPr>
            <w:noProof/>
            <w:webHidden/>
          </w:rPr>
          <w:fldChar w:fldCharType="begin"/>
        </w:r>
        <w:r>
          <w:rPr>
            <w:noProof/>
            <w:webHidden/>
          </w:rPr>
          <w:instrText xml:space="preserve"> PAGEREF _Toc193116983 \h </w:instrText>
        </w:r>
        <w:r>
          <w:rPr>
            <w:noProof/>
            <w:webHidden/>
          </w:rPr>
        </w:r>
        <w:r>
          <w:rPr>
            <w:noProof/>
            <w:webHidden/>
          </w:rPr>
          <w:fldChar w:fldCharType="separate"/>
        </w:r>
        <w:r>
          <w:rPr>
            <w:noProof/>
            <w:webHidden/>
          </w:rPr>
          <w:t>104</w:t>
        </w:r>
        <w:r>
          <w:rPr>
            <w:noProof/>
            <w:webHidden/>
          </w:rPr>
          <w:fldChar w:fldCharType="end"/>
        </w:r>
      </w:hyperlink>
    </w:p>
    <w:p w14:paraId="35992AB5" w14:textId="1B4230F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4" w:history="1">
        <w:r w:rsidRPr="00724BA0">
          <w:rPr>
            <w:rStyle w:val="Hyperlink"/>
            <w:noProof/>
          </w:rPr>
          <w:t>Table 37. Notable Details Supporting the Evaluation of DESE’s Enrollment by Race/Gender Report</w:t>
        </w:r>
        <w:r>
          <w:rPr>
            <w:noProof/>
            <w:webHidden/>
          </w:rPr>
          <w:tab/>
        </w:r>
        <w:r>
          <w:rPr>
            <w:noProof/>
            <w:webHidden/>
          </w:rPr>
          <w:fldChar w:fldCharType="begin"/>
        </w:r>
        <w:r>
          <w:rPr>
            <w:noProof/>
            <w:webHidden/>
          </w:rPr>
          <w:instrText xml:space="preserve"> PAGEREF _Toc193116984 \h </w:instrText>
        </w:r>
        <w:r>
          <w:rPr>
            <w:noProof/>
            <w:webHidden/>
          </w:rPr>
        </w:r>
        <w:r>
          <w:rPr>
            <w:noProof/>
            <w:webHidden/>
          </w:rPr>
          <w:fldChar w:fldCharType="separate"/>
        </w:r>
        <w:r>
          <w:rPr>
            <w:noProof/>
            <w:webHidden/>
          </w:rPr>
          <w:t>110</w:t>
        </w:r>
        <w:r>
          <w:rPr>
            <w:noProof/>
            <w:webHidden/>
          </w:rPr>
          <w:fldChar w:fldCharType="end"/>
        </w:r>
      </w:hyperlink>
    </w:p>
    <w:p w14:paraId="500833BA" w14:textId="76A9D67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5" w:history="1">
        <w:r w:rsidRPr="00724BA0">
          <w:rPr>
            <w:rStyle w:val="Hyperlink"/>
            <w:noProof/>
          </w:rPr>
          <w:t>Table 38. Notable Details Supporting Evaluation of the DESE’s Selected Populations Report</w:t>
        </w:r>
        <w:r>
          <w:rPr>
            <w:noProof/>
            <w:webHidden/>
          </w:rPr>
          <w:tab/>
        </w:r>
        <w:r>
          <w:rPr>
            <w:noProof/>
            <w:webHidden/>
          </w:rPr>
          <w:fldChar w:fldCharType="begin"/>
        </w:r>
        <w:r>
          <w:rPr>
            <w:noProof/>
            <w:webHidden/>
          </w:rPr>
          <w:instrText xml:space="preserve"> PAGEREF _Toc193116985 \h </w:instrText>
        </w:r>
        <w:r>
          <w:rPr>
            <w:noProof/>
            <w:webHidden/>
          </w:rPr>
        </w:r>
        <w:r>
          <w:rPr>
            <w:noProof/>
            <w:webHidden/>
          </w:rPr>
          <w:fldChar w:fldCharType="separate"/>
        </w:r>
        <w:r>
          <w:rPr>
            <w:noProof/>
            <w:webHidden/>
          </w:rPr>
          <w:t>111</w:t>
        </w:r>
        <w:r>
          <w:rPr>
            <w:noProof/>
            <w:webHidden/>
          </w:rPr>
          <w:fldChar w:fldCharType="end"/>
        </w:r>
      </w:hyperlink>
    </w:p>
    <w:p w14:paraId="65B53578" w14:textId="7C4EEC62"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6" w:history="1">
        <w:r w:rsidRPr="00724BA0">
          <w:rPr>
            <w:rStyle w:val="Hyperlink"/>
            <w:noProof/>
          </w:rPr>
          <w:t>Table 39. Notable Details Supporting the Evaluation of DESE’s Graduation Rate Report</w:t>
        </w:r>
        <w:r>
          <w:rPr>
            <w:noProof/>
            <w:webHidden/>
          </w:rPr>
          <w:tab/>
        </w:r>
        <w:r>
          <w:rPr>
            <w:noProof/>
            <w:webHidden/>
          </w:rPr>
          <w:fldChar w:fldCharType="begin"/>
        </w:r>
        <w:r>
          <w:rPr>
            <w:noProof/>
            <w:webHidden/>
          </w:rPr>
          <w:instrText xml:space="preserve"> PAGEREF _Toc193116986 \h </w:instrText>
        </w:r>
        <w:r>
          <w:rPr>
            <w:noProof/>
            <w:webHidden/>
          </w:rPr>
        </w:r>
        <w:r>
          <w:rPr>
            <w:noProof/>
            <w:webHidden/>
          </w:rPr>
          <w:fldChar w:fldCharType="separate"/>
        </w:r>
        <w:r>
          <w:rPr>
            <w:noProof/>
            <w:webHidden/>
          </w:rPr>
          <w:t>112</w:t>
        </w:r>
        <w:r>
          <w:rPr>
            <w:noProof/>
            <w:webHidden/>
          </w:rPr>
          <w:fldChar w:fldCharType="end"/>
        </w:r>
      </w:hyperlink>
    </w:p>
    <w:p w14:paraId="73D120B2" w14:textId="57F3468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7" w:history="1">
        <w:r w:rsidRPr="00724BA0">
          <w:rPr>
            <w:rStyle w:val="Hyperlink"/>
            <w:noProof/>
          </w:rPr>
          <w:t>Table 40. Notable Details and Recommendations for the Evaluation of Data in the Massachusetts Health Data Tool</w:t>
        </w:r>
        <w:r>
          <w:rPr>
            <w:noProof/>
            <w:webHidden/>
          </w:rPr>
          <w:tab/>
        </w:r>
        <w:r>
          <w:rPr>
            <w:noProof/>
            <w:webHidden/>
          </w:rPr>
          <w:fldChar w:fldCharType="begin"/>
        </w:r>
        <w:r>
          <w:rPr>
            <w:noProof/>
            <w:webHidden/>
          </w:rPr>
          <w:instrText xml:space="preserve"> PAGEREF _Toc193116987 \h </w:instrText>
        </w:r>
        <w:r>
          <w:rPr>
            <w:noProof/>
            <w:webHidden/>
          </w:rPr>
        </w:r>
        <w:r>
          <w:rPr>
            <w:noProof/>
            <w:webHidden/>
          </w:rPr>
          <w:fldChar w:fldCharType="separate"/>
        </w:r>
        <w:r>
          <w:rPr>
            <w:noProof/>
            <w:webHidden/>
          </w:rPr>
          <w:t>115</w:t>
        </w:r>
        <w:r>
          <w:rPr>
            <w:noProof/>
            <w:webHidden/>
          </w:rPr>
          <w:fldChar w:fldCharType="end"/>
        </w:r>
      </w:hyperlink>
    </w:p>
    <w:p w14:paraId="38E04047" w14:textId="30E6678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8" w:history="1">
        <w:r w:rsidRPr="00724BA0">
          <w:rPr>
            <w:rStyle w:val="Hyperlink"/>
            <w:noProof/>
          </w:rPr>
          <w:t>Table 41. Notable Details Supporting the Evaluation of the EPHT’s Blood Lead Level Data</w:t>
        </w:r>
        <w:r>
          <w:rPr>
            <w:noProof/>
            <w:webHidden/>
          </w:rPr>
          <w:tab/>
        </w:r>
        <w:r>
          <w:rPr>
            <w:noProof/>
            <w:webHidden/>
          </w:rPr>
          <w:fldChar w:fldCharType="begin"/>
        </w:r>
        <w:r>
          <w:rPr>
            <w:noProof/>
            <w:webHidden/>
          </w:rPr>
          <w:instrText xml:space="preserve"> PAGEREF _Toc193116988 \h </w:instrText>
        </w:r>
        <w:r>
          <w:rPr>
            <w:noProof/>
            <w:webHidden/>
          </w:rPr>
        </w:r>
        <w:r>
          <w:rPr>
            <w:noProof/>
            <w:webHidden/>
          </w:rPr>
          <w:fldChar w:fldCharType="separate"/>
        </w:r>
        <w:r>
          <w:rPr>
            <w:noProof/>
            <w:webHidden/>
          </w:rPr>
          <w:t>124</w:t>
        </w:r>
        <w:r>
          <w:rPr>
            <w:noProof/>
            <w:webHidden/>
          </w:rPr>
          <w:fldChar w:fldCharType="end"/>
        </w:r>
      </w:hyperlink>
    </w:p>
    <w:p w14:paraId="0E0EC820" w14:textId="4A8E6F8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89" w:history="1">
        <w:r w:rsidRPr="00724BA0">
          <w:rPr>
            <w:rStyle w:val="Hyperlink"/>
            <w:noProof/>
          </w:rPr>
          <w:t>Table 42. Notable Details Supporting Evaluation of DESE’s Dropout Report</w:t>
        </w:r>
        <w:r>
          <w:rPr>
            <w:noProof/>
            <w:webHidden/>
          </w:rPr>
          <w:tab/>
        </w:r>
        <w:r>
          <w:rPr>
            <w:noProof/>
            <w:webHidden/>
          </w:rPr>
          <w:fldChar w:fldCharType="begin"/>
        </w:r>
        <w:r>
          <w:rPr>
            <w:noProof/>
            <w:webHidden/>
          </w:rPr>
          <w:instrText xml:space="preserve"> PAGEREF _Toc193116989 \h </w:instrText>
        </w:r>
        <w:r>
          <w:rPr>
            <w:noProof/>
            <w:webHidden/>
          </w:rPr>
        </w:r>
        <w:r>
          <w:rPr>
            <w:noProof/>
            <w:webHidden/>
          </w:rPr>
          <w:fldChar w:fldCharType="separate"/>
        </w:r>
        <w:r>
          <w:rPr>
            <w:noProof/>
            <w:webHidden/>
          </w:rPr>
          <w:t>128</w:t>
        </w:r>
        <w:r>
          <w:rPr>
            <w:noProof/>
            <w:webHidden/>
          </w:rPr>
          <w:fldChar w:fldCharType="end"/>
        </w:r>
      </w:hyperlink>
    </w:p>
    <w:p w14:paraId="68202F6A" w14:textId="63B6743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0" w:history="1">
        <w:r w:rsidRPr="00724BA0">
          <w:rPr>
            <w:rStyle w:val="Hyperlink"/>
            <w:noProof/>
          </w:rPr>
          <w:t>Table 43. Notable Details Supporting the Evaluation of DESE’s Graduates Attending Institutes of Higher Education Report</w:t>
        </w:r>
        <w:r>
          <w:rPr>
            <w:noProof/>
            <w:webHidden/>
          </w:rPr>
          <w:tab/>
        </w:r>
        <w:r>
          <w:rPr>
            <w:noProof/>
            <w:webHidden/>
          </w:rPr>
          <w:fldChar w:fldCharType="begin"/>
        </w:r>
        <w:r>
          <w:rPr>
            <w:noProof/>
            <w:webHidden/>
          </w:rPr>
          <w:instrText xml:space="preserve"> PAGEREF _Toc193116990 \h </w:instrText>
        </w:r>
        <w:r>
          <w:rPr>
            <w:noProof/>
            <w:webHidden/>
          </w:rPr>
        </w:r>
        <w:r>
          <w:rPr>
            <w:noProof/>
            <w:webHidden/>
          </w:rPr>
          <w:fldChar w:fldCharType="separate"/>
        </w:r>
        <w:r>
          <w:rPr>
            <w:noProof/>
            <w:webHidden/>
          </w:rPr>
          <w:t>129</w:t>
        </w:r>
        <w:r>
          <w:rPr>
            <w:noProof/>
            <w:webHidden/>
          </w:rPr>
          <w:fldChar w:fldCharType="end"/>
        </w:r>
      </w:hyperlink>
    </w:p>
    <w:p w14:paraId="35C7F3C3" w14:textId="1877F95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1" w:history="1">
        <w:r w:rsidRPr="00724BA0">
          <w:rPr>
            <w:rStyle w:val="Hyperlink"/>
            <w:noProof/>
          </w:rPr>
          <w:t>Table 44. EUI Targets for Massachusetts Schools</w:t>
        </w:r>
        <w:r>
          <w:rPr>
            <w:noProof/>
            <w:webHidden/>
          </w:rPr>
          <w:tab/>
        </w:r>
        <w:r>
          <w:rPr>
            <w:noProof/>
            <w:webHidden/>
          </w:rPr>
          <w:fldChar w:fldCharType="begin"/>
        </w:r>
        <w:r>
          <w:rPr>
            <w:noProof/>
            <w:webHidden/>
          </w:rPr>
          <w:instrText xml:space="preserve"> PAGEREF _Toc193116991 \h </w:instrText>
        </w:r>
        <w:r>
          <w:rPr>
            <w:noProof/>
            <w:webHidden/>
          </w:rPr>
        </w:r>
        <w:r>
          <w:rPr>
            <w:noProof/>
            <w:webHidden/>
          </w:rPr>
          <w:fldChar w:fldCharType="separate"/>
        </w:r>
        <w:r>
          <w:rPr>
            <w:noProof/>
            <w:webHidden/>
          </w:rPr>
          <w:t>145</w:t>
        </w:r>
        <w:r>
          <w:rPr>
            <w:noProof/>
            <w:webHidden/>
          </w:rPr>
          <w:fldChar w:fldCharType="end"/>
        </w:r>
      </w:hyperlink>
    </w:p>
    <w:p w14:paraId="52DF5C27" w14:textId="7DAE2CA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2" w:history="1">
        <w:r w:rsidRPr="00724BA0">
          <w:rPr>
            <w:rStyle w:val="Hyperlink"/>
            <w:noProof/>
          </w:rPr>
          <w:t>Table 45. Statutory/Regulatory Framework and Notable Standards for Decarbonizing Buildings</w:t>
        </w:r>
        <w:r>
          <w:rPr>
            <w:noProof/>
            <w:webHidden/>
          </w:rPr>
          <w:tab/>
        </w:r>
        <w:r>
          <w:rPr>
            <w:noProof/>
            <w:webHidden/>
          </w:rPr>
          <w:fldChar w:fldCharType="begin"/>
        </w:r>
        <w:r>
          <w:rPr>
            <w:noProof/>
            <w:webHidden/>
          </w:rPr>
          <w:instrText xml:space="preserve"> PAGEREF _Toc193116992 \h </w:instrText>
        </w:r>
        <w:r>
          <w:rPr>
            <w:noProof/>
            <w:webHidden/>
          </w:rPr>
        </w:r>
        <w:r>
          <w:rPr>
            <w:noProof/>
            <w:webHidden/>
          </w:rPr>
          <w:fldChar w:fldCharType="separate"/>
        </w:r>
        <w:r>
          <w:rPr>
            <w:noProof/>
            <w:webHidden/>
          </w:rPr>
          <w:t>157</w:t>
        </w:r>
        <w:r>
          <w:rPr>
            <w:noProof/>
            <w:webHidden/>
          </w:rPr>
          <w:fldChar w:fldCharType="end"/>
        </w:r>
      </w:hyperlink>
    </w:p>
    <w:p w14:paraId="5DDF159D" w14:textId="62FC031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3" w:history="1">
        <w:r w:rsidRPr="00724BA0">
          <w:rPr>
            <w:rStyle w:val="Hyperlink"/>
            <w:noProof/>
          </w:rPr>
          <w:t>Table 46. Resources for Decarbonizing School Buildings</w:t>
        </w:r>
        <w:r>
          <w:rPr>
            <w:noProof/>
            <w:webHidden/>
          </w:rPr>
          <w:tab/>
        </w:r>
        <w:r>
          <w:rPr>
            <w:noProof/>
            <w:webHidden/>
          </w:rPr>
          <w:fldChar w:fldCharType="begin"/>
        </w:r>
        <w:r>
          <w:rPr>
            <w:noProof/>
            <w:webHidden/>
          </w:rPr>
          <w:instrText xml:space="preserve"> PAGEREF _Toc193116993 \h </w:instrText>
        </w:r>
        <w:r>
          <w:rPr>
            <w:noProof/>
            <w:webHidden/>
          </w:rPr>
        </w:r>
        <w:r>
          <w:rPr>
            <w:noProof/>
            <w:webHidden/>
          </w:rPr>
          <w:fldChar w:fldCharType="separate"/>
        </w:r>
        <w:r>
          <w:rPr>
            <w:noProof/>
            <w:webHidden/>
          </w:rPr>
          <w:t>158</w:t>
        </w:r>
        <w:r>
          <w:rPr>
            <w:noProof/>
            <w:webHidden/>
          </w:rPr>
          <w:fldChar w:fldCharType="end"/>
        </w:r>
      </w:hyperlink>
    </w:p>
    <w:p w14:paraId="524D12E2" w14:textId="270EEEA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4" w:history="1">
        <w:r w:rsidRPr="00724BA0">
          <w:rPr>
            <w:rStyle w:val="Hyperlink"/>
            <w:noProof/>
          </w:rPr>
          <w:t>Table 47. Statutory/Regulatory Framework and Notable Standards for Optimizing Water Efficiency in Schools</w:t>
        </w:r>
        <w:r>
          <w:rPr>
            <w:noProof/>
            <w:webHidden/>
          </w:rPr>
          <w:tab/>
        </w:r>
        <w:r>
          <w:rPr>
            <w:noProof/>
            <w:webHidden/>
          </w:rPr>
          <w:fldChar w:fldCharType="begin"/>
        </w:r>
        <w:r>
          <w:rPr>
            <w:noProof/>
            <w:webHidden/>
          </w:rPr>
          <w:instrText xml:space="preserve"> PAGEREF _Toc193116994 \h </w:instrText>
        </w:r>
        <w:r>
          <w:rPr>
            <w:noProof/>
            <w:webHidden/>
          </w:rPr>
        </w:r>
        <w:r>
          <w:rPr>
            <w:noProof/>
            <w:webHidden/>
          </w:rPr>
          <w:fldChar w:fldCharType="separate"/>
        </w:r>
        <w:r>
          <w:rPr>
            <w:noProof/>
            <w:webHidden/>
          </w:rPr>
          <w:t>170</w:t>
        </w:r>
        <w:r>
          <w:rPr>
            <w:noProof/>
            <w:webHidden/>
          </w:rPr>
          <w:fldChar w:fldCharType="end"/>
        </w:r>
      </w:hyperlink>
    </w:p>
    <w:p w14:paraId="71DA42B0" w14:textId="0E2B78C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5" w:history="1">
        <w:r w:rsidRPr="00724BA0">
          <w:rPr>
            <w:rStyle w:val="Hyperlink"/>
            <w:noProof/>
          </w:rPr>
          <w:t>Table 48. Resources for Optimizing Water Efficiency in Schools</w:t>
        </w:r>
        <w:r>
          <w:rPr>
            <w:noProof/>
            <w:webHidden/>
          </w:rPr>
          <w:tab/>
        </w:r>
        <w:r>
          <w:rPr>
            <w:noProof/>
            <w:webHidden/>
          </w:rPr>
          <w:fldChar w:fldCharType="begin"/>
        </w:r>
        <w:r>
          <w:rPr>
            <w:noProof/>
            <w:webHidden/>
          </w:rPr>
          <w:instrText xml:space="preserve"> PAGEREF _Toc193116995 \h </w:instrText>
        </w:r>
        <w:r>
          <w:rPr>
            <w:noProof/>
            <w:webHidden/>
          </w:rPr>
        </w:r>
        <w:r>
          <w:rPr>
            <w:noProof/>
            <w:webHidden/>
          </w:rPr>
          <w:fldChar w:fldCharType="separate"/>
        </w:r>
        <w:r>
          <w:rPr>
            <w:noProof/>
            <w:webHidden/>
          </w:rPr>
          <w:t>171</w:t>
        </w:r>
        <w:r>
          <w:rPr>
            <w:noProof/>
            <w:webHidden/>
          </w:rPr>
          <w:fldChar w:fldCharType="end"/>
        </w:r>
      </w:hyperlink>
    </w:p>
    <w:p w14:paraId="5D3D4AEE" w14:textId="76E419C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6" w:history="1">
        <w:r w:rsidRPr="00724BA0">
          <w:rPr>
            <w:rStyle w:val="Hyperlink"/>
            <w:noProof/>
          </w:rPr>
          <w:t>Table 49. Example of Effective Bin Color and Label Selection</w:t>
        </w:r>
        <w:r>
          <w:rPr>
            <w:noProof/>
            <w:webHidden/>
          </w:rPr>
          <w:tab/>
        </w:r>
        <w:r>
          <w:rPr>
            <w:noProof/>
            <w:webHidden/>
          </w:rPr>
          <w:fldChar w:fldCharType="begin"/>
        </w:r>
        <w:r>
          <w:rPr>
            <w:noProof/>
            <w:webHidden/>
          </w:rPr>
          <w:instrText xml:space="preserve"> PAGEREF _Toc193116996 \h </w:instrText>
        </w:r>
        <w:r>
          <w:rPr>
            <w:noProof/>
            <w:webHidden/>
          </w:rPr>
        </w:r>
        <w:r>
          <w:rPr>
            <w:noProof/>
            <w:webHidden/>
          </w:rPr>
          <w:fldChar w:fldCharType="separate"/>
        </w:r>
        <w:r>
          <w:rPr>
            <w:noProof/>
            <w:webHidden/>
          </w:rPr>
          <w:t>176</w:t>
        </w:r>
        <w:r>
          <w:rPr>
            <w:noProof/>
            <w:webHidden/>
          </w:rPr>
          <w:fldChar w:fldCharType="end"/>
        </w:r>
      </w:hyperlink>
    </w:p>
    <w:p w14:paraId="13706302" w14:textId="60F34B2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7" w:history="1">
        <w:r w:rsidRPr="00724BA0">
          <w:rPr>
            <w:rStyle w:val="Hyperlink"/>
            <w:noProof/>
          </w:rPr>
          <w:t>Table 50. Statutory/Regulatory Framework and Notable Standards for Optimizing Solid Waste Reduction and Diversion</w:t>
        </w:r>
        <w:r>
          <w:rPr>
            <w:noProof/>
            <w:webHidden/>
          </w:rPr>
          <w:tab/>
        </w:r>
        <w:r>
          <w:rPr>
            <w:noProof/>
            <w:webHidden/>
          </w:rPr>
          <w:fldChar w:fldCharType="begin"/>
        </w:r>
        <w:r>
          <w:rPr>
            <w:noProof/>
            <w:webHidden/>
          </w:rPr>
          <w:instrText xml:space="preserve"> PAGEREF _Toc193116997 \h </w:instrText>
        </w:r>
        <w:r>
          <w:rPr>
            <w:noProof/>
            <w:webHidden/>
          </w:rPr>
        </w:r>
        <w:r>
          <w:rPr>
            <w:noProof/>
            <w:webHidden/>
          </w:rPr>
          <w:fldChar w:fldCharType="separate"/>
        </w:r>
        <w:r>
          <w:rPr>
            <w:noProof/>
            <w:webHidden/>
          </w:rPr>
          <w:t>178</w:t>
        </w:r>
        <w:r>
          <w:rPr>
            <w:noProof/>
            <w:webHidden/>
          </w:rPr>
          <w:fldChar w:fldCharType="end"/>
        </w:r>
      </w:hyperlink>
    </w:p>
    <w:p w14:paraId="5992EF55" w14:textId="031ED83E"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8" w:history="1">
        <w:r w:rsidRPr="00724BA0">
          <w:rPr>
            <w:rStyle w:val="Hyperlink"/>
            <w:noProof/>
          </w:rPr>
          <w:t>Table 51. Resources for Optimizing Solid Waste Reduction and Diversion in Schools</w:t>
        </w:r>
        <w:r>
          <w:rPr>
            <w:noProof/>
            <w:webHidden/>
          </w:rPr>
          <w:tab/>
        </w:r>
        <w:r>
          <w:rPr>
            <w:noProof/>
            <w:webHidden/>
          </w:rPr>
          <w:fldChar w:fldCharType="begin"/>
        </w:r>
        <w:r>
          <w:rPr>
            <w:noProof/>
            <w:webHidden/>
          </w:rPr>
          <w:instrText xml:space="preserve"> PAGEREF _Toc193116998 \h </w:instrText>
        </w:r>
        <w:r>
          <w:rPr>
            <w:noProof/>
            <w:webHidden/>
          </w:rPr>
        </w:r>
        <w:r>
          <w:rPr>
            <w:noProof/>
            <w:webHidden/>
          </w:rPr>
          <w:fldChar w:fldCharType="separate"/>
        </w:r>
        <w:r>
          <w:rPr>
            <w:noProof/>
            <w:webHidden/>
          </w:rPr>
          <w:t>180</w:t>
        </w:r>
        <w:r>
          <w:rPr>
            <w:noProof/>
            <w:webHidden/>
          </w:rPr>
          <w:fldChar w:fldCharType="end"/>
        </w:r>
      </w:hyperlink>
    </w:p>
    <w:p w14:paraId="74F48524" w14:textId="2CAAB05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6999" w:history="1">
        <w:r w:rsidRPr="00724BA0">
          <w:rPr>
            <w:rStyle w:val="Hyperlink"/>
            <w:noProof/>
          </w:rPr>
          <w:t>Table 52. Statutory/Regulatory Framework and Notable Standards for Electrifying School Bus Fleets</w:t>
        </w:r>
        <w:r>
          <w:rPr>
            <w:noProof/>
            <w:webHidden/>
          </w:rPr>
          <w:tab/>
        </w:r>
        <w:r>
          <w:rPr>
            <w:noProof/>
            <w:webHidden/>
          </w:rPr>
          <w:fldChar w:fldCharType="begin"/>
        </w:r>
        <w:r>
          <w:rPr>
            <w:noProof/>
            <w:webHidden/>
          </w:rPr>
          <w:instrText xml:space="preserve"> PAGEREF _Toc193116999 \h </w:instrText>
        </w:r>
        <w:r>
          <w:rPr>
            <w:noProof/>
            <w:webHidden/>
          </w:rPr>
        </w:r>
        <w:r>
          <w:rPr>
            <w:noProof/>
            <w:webHidden/>
          </w:rPr>
          <w:fldChar w:fldCharType="separate"/>
        </w:r>
        <w:r>
          <w:rPr>
            <w:noProof/>
            <w:webHidden/>
          </w:rPr>
          <w:t>185</w:t>
        </w:r>
        <w:r>
          <w:rPr>
            <w:noProof/>
            <w:webHidden/>
          </w:rPr>
          <w:fldChar w:fldCharType="end"/>
        </w:r>
      </w:hyperlink>
    </w:p>
    <w:p w14:paraId="63A49A2E" w14:textId="708CE19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0" w:history="1">
        <w:r w:rsidRPr="00724BA0">
          <w:rPr>
            <w:rStyle w:val="Hyperlink"/>
            <w:noProof/>
          </w:rPr>
          <w:t>Table 53. Resources for Electrifying School Bus Fleets</w:t>
        </w:r>
        <w:r>
          <w:rPr>
            <w:noProof/>
            <w:webHidden/>
          </w:rPr>
          <w:tab/>
        </w:r>
        <w:r>
          <w:rPr>
            <w:noProof/>
            <w:webHidden/>
          </w:rPr>
          <w:fldChar w:fldCharType="begin"/>
        </w:r>
        <w:r>
          <w:rPr>
            <w:noProof/>
            <w:webHidden/>
          </w:rPr>
          <w:instrText xml:space="preserve"> PAGEREF _Toc193117000 \h </w:instrText>
        </w:r>
        <w:r>
          <w:rPr>
            <w:noProof/>
            <w:webHidden/>
          </w:rPr>
        </w:r>
        <w:r>
          <w:rPr>
            <w:noProof/>
            <w:webHidden/>
          </w:rPr>
          <w:fldChar w:fldCharType="separate"/>
        </w:r>
        <w:r>
          <w:rPr>
            <w:noProof/>
            <w:webHidden/>
          </w:rPr>
          <w:t>186</w:t>
        </w:r>
        <w:r>
          <w:rPr>
            <w:noProof/>
            <w:webHidden/>
          </w:rPr>
          <w:fldChar w:fldCharType="end"/>
        </w:r>
      </w:hyperlink>
    </w:p>
    <w:p w14:paraId="3CBBCA53" w14:textId="7B7AEC8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1" w:history="1">
        <w:r w:rsidRPr="00724BA0">
          <w:rPr>
            <w:rStyle w:val="Hyperlink"/>
            <w:noProof/>
          </w:rPr>
          <w:t>Table 54. Statutory/Regulatory Framework and Notable Standards for Providing Electric Vehicle Charging Stations for School Staff and Public Use</w:t>
        </w:r>
        <w:r>
          <w:rPr>
            <w:noProof/>
            <w:webHidden/>
          </w:rPr>
          <w:tab/>
        </w:r>
        <w:r>
          <w:rPr>
            <w:noProof/>
            <w:webHidden/>
          </w:rPr>
          <w:fldChar w:fldCharType="begin"/>
        </w:r>
        <w:r>
          <w:rPr>
            <w:noProof/>
            <w:webHidden/>
          </w:rPr>
          <w:instrText xml:space="preserve"> PAGEREF _Toc193117001 \h </w:instrText>
        </w:r>
        <w:r>
          <w:rPr>
            <w:noProof/>
            <w:webHidden/>
          </w:rPr>
        </w:r>
        <w:r>
          <w:rPr>
            <w:noProof/>
            <w:webHidden/>
          </w:rPr>
          <w:fldChar w:fldCharType="separate"/>
        </w:r>
        <w:r>
          <w:rPr>
            <w:noProof/>
            <w:webHidden/>
          </w:rPr>
          <w:t>191</w:t>
        </w:r>
        <w:r>
          <w:rPr>
            <w:noProof/>
            <w:webHidden/>
          </w:rPr>
          <w:fldChar w:fldCharType="end"/>
        </w:r>
      </w:hyperlink>
    </w:p>
    <w:p w14:paraId="0B4DB669" w14:textId="7B4A094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2" w:history="1">
        <w:r w:rsidRPr="00724BA0">
          <w:rPr>
            <w:rStyle w:val="Hyperlink"/>
            <w:noProof/>
          </w:rPr>
          <w:t>Table 55. Resources for Providing Electric Vehicle Charging Stations for School Staff and Public Use</w:t>
        </w:r>
        <w:r>
          <w:rPr>
            <w:noProof/>
            <w:webHidden/>
          </w:rPr>
          <w:tab/>
        </w:r>
        <w:r>
          <w:rPr>
            <w:noProof/>
            <w:webHidden/>
          </w:rPr>
          <w:fldChar w:fldCharType="begin"/>
        </w:r>
        <w:r>
          <w:rPr>
            <w:noProof/>
            <w:webHidden/>
          </w:rPr>
          <w:instrText xml:space="preserve"> PAGEREF _Toc193117002 \h </w:instrText>
        </w:r>
        <w:r>
          <w:rPr>
            <w:noProof/>
            <w:webHidden/>
          </w:rPr>
        </w:r>
        <w:r>
          <w:rPr>
            <w:noProof/>
            <w:webHidden/>
          </w:rPr>
          <w:fldChar w:fldCharType="separate"/>
        </w:r>
        <w:r>
          <w:rPr>
            <w:noProof/>
            <w:webHidden/>
          </w:rPr>
          <w:t>191</w:t>
        </w:r>
        <w:r>
          <w:rPr>
            <w:noProof/>
            <w:webHidden/>
          </w:rPr>
          <w:fldChar w:fldCharType="end"/>
        </w:r>
      </w:hyperlink>
    </w:p>
    <w:p w14:paraId="3F5B8EF8" w14:textId="7D97507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3" w:history="1">
        <w:r w:rsidRPr="00724BA0">
          <w:rPr>
            <w:rStyle w:val="Hyperlink"/>
            <w:noProof/>
          </w:rPr>
          <w:t xml:space="preserve">Table 56. Statutory/Regulatory Framework and Notable Standards for </w:t>
        </w:r>
        <w:r w:rsidRPr="00724BA0">
          <w:rPr>
            <w:rStyle w:val="Hyperlink"/>
            <w:rFonts w:cs="Arial"/>
            <w:noProof/>
          </w:rPr>
          <w:t>Enhancing Climate Resilience at Schools</w:t>
        </w:r>
        <w:r>
          <w:rPr>
            <w:noProof/>
            <w:webHidden/>
          </w:rPr>
          <w:tab/>
        </w:r>
        <w:r>
          <w:rPr>
            <w:noProof/>
            <w:webHidden/>
          </w:rPr>
          <w:fldChar w:fldCharType="begin"/>
        </w:r>
        <w:r>
          <w:rPr>
            <w:noProof/>
            <w:webHidden/>
          </w:rPr>
          <w:instrText xml:space="preserve"> PAGEREF _Toc193117003 \h </w:instrText>
        </w:r>
        <w:r>
          <w:rPr>
            <w:noProof/>
            <w:webHidden/>
          </w:rPr>
        </w:r>
        <w:r>
          <w:rPr>
            <w:noProof/>
            <w:webHidden/>
          </w:rPr>
          <w:fldChar w:fldCharType="separate"/>
        </w:r>
        <w:r>
          <w:rPr>
            <w:noProof/>
            <w:webHidden/>
          </w:rPr>
          <w:t>195</w:t>
        </w:r>
        <w:r>
          <w:rPr>
            <w:noProof/>
            <w:webHidden/>
          </w:rPr>
          <w:fldChar w:fldCharType="end"/>
        </w:r>
      </w:hyperlink>
    </w:p>
    <w:p w14:paraId="36889C1B" w14:textId="2E2708F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4" w:history="1">
        <w:r w:rsidRPr="00724BA0">
          <w:rPr>
            <w:rStyle w:val="Hyperlink"/>
            <w:noProof/>
          </w:rPr>
          <w:t>Table 57. Resources for Enhancing Climate Resilience in Schools</w:t>
        </w:r>
        <w:r>
          <w:rPr>
            <w:noProof/>
            <w:webHidden/>
          </w:rPr>
          <w:tab/>
        </w:r>
        <w:r>
          <w:rPr>
            <w:noProof/>
            <w:webHidden/>
          </w:rPr>
          <w:fldChar w:fldCharType="begin"/>
        </w:r>
        <w:r>
          <w:rPr>
            <w:noProof/>
            <w:webHidden/>
          </w:rPr>
          <w:instrText xml:space="preserve"> PAGEREF _Toc193117004 \h </w:instrText>
        </w:r>
        <w:r>
          <w:rPr>
            <w:noProof/>
            <w:webHidden/>
          </w:rPr>
        </w:r>
        <w:r>
          <w:rPr>
            <w:noProof/>
            <w:webHidden/>
          </w:rPr>
          <w:fldChar w:fldCharType="separate"/>
        </w:r>
        <w:r>
          <w:rPr>
            <w:noProof/>
            <w:webHidden/>
          </w:rPr>
          <w:t>195</w:t>
        </w:r>
        <w:r>
          <w:rPr>
            <w:noProof/>
            <w:webHidden/>
          </w:rPr>
          <w:fldChar w:fldCharType="end"/>
        </w:r>
      </w:hyperlink>
    </w:p>
    <w:p w14:paraId="31D993BF" w14:textId="380D2B5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5" w:history="1">
        <w:r w:rsidRPr="00724BA0">
          <w:rPr>
            <w:rStyle w:val="Hyperlink"/>
            <w:noProof/>
          </w:rPr>
          <w:t>Table 58. Statutory/Regulatory Framework and Notable Standards for Reducing Airborne Transmission of Respiratory Disease/Illness</w:t>
        </w:r>
        <w:r>
          <w:rPr>
            <w:noProof/>
            <w:webHidden/>
          </w:rPr>
          <w:tab/>
        </w:r>
        <w:r>
          <w:rPr>
            <w:noProof/>
            <w:webHidden/>
          </w:rPr>
          <w:fldChar w:fldCharType="begin"/>
        </w:r>
        <w:r>
          <w:rPr>
            <w:noProof/>
            <w:webHidden/>
          </w:rPr>
          <w:instrText xml:space="preserve"> PAGEREF _Toc193117005 \h </w:instrText>
        </w:r>
        <w:r>
          <w:rPr>
            <w:noProof/>
            <w:webHidden/>
          </w:rPr>
        </w:r>
        <w:r>
          <w:rPr>
            <w:noProof/>
            <w:webHidden/>
          </w:rPr>
          <w:fldChar w:fldCharType="separate"/>
        </w:r>
        <w:r>
          <w:rPr>
            <w:noProof/>
            <w:webHidden/>
          </w:rPr>
          <w:t>201</w:t>
        </w:r>
        <w:r>
          <w:rPr>
            <w:noProof/>
            <w:webHidden/>
          </w:rPr>
          <w:fldChar w:fldCharType="end"/>
        </w:r>
      </w:hyperlink>
    </w:p>
    <w:p w14:paraId="0305DB5C" w14:textId="79B4254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6" w:history="1">
        <w:r w:rsidRPr="00724BA0">
          <w:rPr>
            <w:rStyle w:val="Hyperlink"/>
            <w:noProof/>
          </w:rPr>
          <w:t>Table 59. Resources for Reducing Airborne Transmission of Disease/Illness</w:t>
        </w:r>
        <w:r>
          <w:rPr>
            <w:noProof/>
            <w:webHidden/>
          </w:rPr>
          <w:tab/>
        </w:r>
        <w:r>
          <w:rPr>
            <w:noProof/>
            <w:webHidden/>
          </w:rPr>
          <w:fldChar w:fldCharType="begin"/>
        </w:r>
        <w:r>
          <w:rPr>
            <w:noProof/>
            <w:webHidden/>
          </w:rPr>
          <w:instrText xml:space="preserve"> PAGEREF _Toc193117006 \h </w:instrText>
        </w:r>
        <w:r>
          <w:rPr>
            <w:noProof/>
            <w:webHidden/>
          </w:rPr>
        </w:r>
        <w:r>
          <w:rPr>
            <w:noProof/>
            <w:webHidden/>
          </w:rPr>
          <w:fldChar w:fldCharType="separate"/>
        </w:r>
        <w:r>
          <w:rPr>
            <w:noProof/>
            <w:webHidden/>
          </w:rPr>
          <w:t>201</w:t>
        </w:r>
        <w:r>
          <w:rPr>
            <w:noProof/>
            <w:webHidden/>
          </w:rPr>
          <w:fldChar w:fldCharType="end"/>
        </w:r>
      </w:hyperlink>
    </w:p>
    <w:p w14:paraId="12BD0B27" w14:textId="43153C0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7" w:history="1">
        <w:r w:rsidRPr="00724BA0">
          <w:rPr>
            <w:rStyle w:val="Hyperlink"/>
            <w:noProof/>
          </w:rPr>
          <w:t>Table 60. Statutory/Regulatory Framework and Notable Standards for Preventing Exposure to Asbestos</w:t>
        </w:r>
        <w:r>
          <w:rPr>
            <w:noProof/>
            <w:webHidden/>
          </w:rPr>
          <w:tab/>
        </w:r>
        <w:r>
          <w:rPr>
            <w:noProof/>
            <w:webHidden/>
          </w:rPr>
          <w:fldChar w:fldCharType="begin"/>
        </w:r>
        <w:r>
          <w:rPr>
            <w:noProof/>
            <w:webHidden/>
          </w:rPr>
          <w:instrText xml:space="preserve"> PAGEREF _Toc193117007 \h </w:instrText>
        </w:r>
        <w:r>
          <w:rPr>
            <w:noProof/>
            <w:webHidden/>
          </w:rPr>
        </w:r>
        <w:r>
          <w:rPr>
            <w:noProof/>
            <w:webHidden/>
          </w:rPr>
          <w:fldChar w:fldCharType="separate"/>
        </w:r>
        <w:r>
          <w:rPr>
            <w:noProof/>
            <w:webHidden/>
          </w:rPr>
          <w:t>205</w:t>
        </w:r>
        <w:r>
          <w:rPr>
            <w:noProof/>
            <w:webHidden/>
          </w:rPr>
          <w:fldChar w:fldCharType="end"/>
        </w:r>
      </w:hyperlink>
    </w:p>
    <w:p w14:paraId="79618985" w14:textId="696E9A6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8" w:history="1">
        <w:r w:rsidRPr="00724BA0">
          <w:rPr>
            <w:rStyle w:val="Hyperlink"/>
            <w:noProof/>
          </w:rPr>
          <w:t>Table 61. Resources for Preventing Asbestos Exposure</w:t>
        </w:r>
        <w:r>
          <w:rPr>
            <w:noProof/>
            <w:webHidden/>
          </w:rPr>
          <w:tab/>
        </w:r>
        <w:r>
          <w:rPr>
            <w:noProof/>
            <w:webHidden/>
          </w:rPr>
          <w:fldChar w:fldCharType="begin"/>
        </w:r>
        <w:r>
          <w:rPr>
            <w:noProof/>
            <w:webHidden/>
          </w:rPr>
          <w:instrText xml:space="preserve"> PAGEREF _Toc193117008 \h </w:instrText>
        </w:r>
        <w:r>
          <w:rPr>
            <w:noProof/>
            <w:webHidden/>
          </w:rPr>
        </w:r>
        <w:r>
          <w:rPr>
            <w:noProof/>
            <w:webHidden/>
          </w:rPr>
          <w:fldChar w:fldCharType="separate"/>
        </w:r>
        <w:r>
          <w:rPr>
            <w:noProof/>
            <w:webHidden/>
          </w:rPr>
          <w:t>205</w:t>
        </w:r>
        <w:r>
          <w:rPr>
            <w:noProof/>
            <w:webHidden/>
          </w:rPr>
          <w:fldChar w:fldCharType="end"/>
        </w:r>
      </w:hyperlink>
    </w:p>
    <w:p w14:paraId="2DE5A68F" w14:textId="382F3EE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09" w:history="1">
        <w:r w:rsidRPr="00724BA0">
          <w:rPr>
            <w:rStyle w:val="Hyperlink"/>
            <w:noProof/>
          </w:rPr>
          <w:t>Table 62. Statutory/Regulatory Framework and Notable Standards for Reducing Exposure to Carbon Monoxide</w:t>
        </w:r>
        <w:r>
          <w:rPr>
            <w:noProof/>
            <w:webHidden/>
          </w:rPr>
          <w:tab/>
        </w:r>
        <w:r>
          <w:rPr>
            <w:noProof/>
            <w:webHidden/>
          </w:rPr>
          <w:fldChar w:fldCharType="begin"/>
        </w:r>
        <w:r>
          <w:rPr>
            <w:noProof/>
            <w:webHidden/>
          </w:rPr>
          <w:instrText xml:space="preserve"> PAGEREF _Toc193117009 \h </w:instrText>
        </w:r>
        <w:r>
          <w:rPr>
            <w:noProof/>
            <w:webHidden/>
          </w:rPr>
        </w:r>
        <w:r>
          <w:rPr>
            <w:noProof/>
            <w:webHidden/>
          </w:rPr>
          <w:fldChar w:fldCharType="separate"/>
        </w:r>
        <w:r>
          <w:rPr>
            <w:noProof/>
            <w:webHidden/>
          </w:rPr>
          <w:t>208</w:t>
        </w:r>
        <w:r>
          <w:rPr>
            <w:noProof/>
            <w:webHidden/>
          </w:rPr>
          <w:fldChar w:fldCharType="end"/>
        </w:r>
      </w:hyperlink>
    </w:p>
    <w:p w14:paraId="5E337D83" w14:textId="37BD15C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0" w:history="1">
        <w:r w:rsidRPr="00724BA0">
          <w:rPr>
            <w:rStyle w:val="Hyperlink"/>
            <w:noProof/>
          </w:rPr>
          <w:t>Table 63. Resources for Reducing Carbon Monoxide Exposure in Schools</w:t>
        </w:r>
        <w:r>
          <w:rPr>
            <w:noProof/>
            <w:webHidden/>
          </w:rPr>
          <w:tab/>
        </w:r>
        <w:r>
          <w:rPr>
            <w:noProof/>
            <w:webHidden/>
          </w:rPr>
          <w:fldChar w:fldCharType="begin"/>
        </w:r>
        <w:r>
          <w:rPr>
            <w:noProof/>
            <w:webHidden/>
          </w:rPr>
          <w:instrText xml:space="preserve"> PAGEREF _Toc193117010 \h </w:instrText>
        </w:r>
        <w:r>
          <w:rPr>
            <w:noProof/>
            <w:webHidden/>
          </w:rPr>
        </w:r>
        <w:r>
          <w:rPr>
            <w:noProof/>
            <w:webHidden/>
          </w:rPr>
          <w:fldChar w:fldCharType="separate"/>
        </w:r>
        <w:r>
          <w:rPr>
            <w:noProof/>
            <w:webHidden/>
          </w:rPr>
          <w:t>209</w:t>
        </w:r>
        <w:r>
          <w:rPr>
            <w:noProof/>
            <w:webHidden/>
          </w:rPr>
          <w:fldChar w:fldCharType="end"/>
        </w:r>
      </w:hyperlink>
    </w:p>
    <w:p w14:paraId="7862E1F4" w14:textId="6B85F2A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1" w:history="1">
        <w:r w:rsidRPr="00724BA0">
          <w:rPr>
            <w:rStyle w:val="Hyperlink"/>
            <w:noProof/>
          </w:rPr>
          <w:t>Table 64. Resources for Reducing Exposure to Mold</w:t>
        </w:r>
        <w:r>
          <w:rPr>
            <w:noProof/>
            <w:webHidden/>
          </w:rPr>
          <w:tab/>
        </w:r>
        <w:r>
          <w:rPr>
            <w:noProof/>
            <w:webHidden/>
          </w:rPr>
          <w:fldChar w:fldCharType="begin"/>
        </w:r>
        <w:r>
          <w:rPr>
            <w:noProof/>
            <w:webHidden/>
          </w:rPr>
          <w:instrText xml:space="preserve"> PAGEREF _Toc193117011 \h </w:instrText>
        </w:r>
        <w:r>
          <w:rPr>
            <w:noProof/>
            <w:webHidden/>
          </w:rPr>
        </w:r>
        <w:r>
          <w:rPr>
            <w:noProof/>
            <w:webHidden/>
          </w:rPr>
          <w:fldChar w:fldCharType="separate"/>
        </w:r>
        <w:r>
          <w:rPr>
            <w:noProof/>
            <w:webHidden/>
          </w:rPr>
          <w:t>213</w:t>
        </w:r>
        <w:r>
          <w:rPr>
            <w:noProof/>
            <w:webHidden/>
          </w:rPr>
          <w:fldChar w:fldCharType="end"/>
        </w:r>
      </w:hyperlink>
    </w:p>
    <w:p w14:paraId="048345E8" w14:textId="26D2ADD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2" w:history="1">
        <w:r w:rsidRPr="00724BA0">
          <w:rPr>
            <w:rStyle w:val="Hyperlink"/>
            <w:noProof/>
          </w:rPr>
          <w:t>Table 65. Exposure Levels for Evaluating PCBs in School Indoor Air by Age</w:t>
        </w:r>
        <w:r>
          <w:rPr>
            <w:noProof/>
            <w:webHidden/>
          </w:rPr>
          <w:tab/>
        </w:r>
        <w:r>
          <w:rPr>
            <w:noProof/>
            <w:webHidden/>
          </w:rPr>
          <w:fldChar w:fldCharType="begin"/>
        </w:r>
        <w:r>
          <w:rPr>
            <w:noProof/>
            <w:webHidden/>
          </w:rPr>
          <w:instrText xml:space="preserve"> PAGEREF _Toc193117012 \h </w:instrText>
        </w:r>
        <w:r>
          <w:rPr>
            <w:noProof/>
            <w:webHidden/>
          </w:rPr>
        </w:r>
        <w:r>
          <w:rPr>
            <w:noProof/>
            <w:webHidden/>
          </w:rPr>
          <w:fldChar w:fldCharType="separate"/>
        </w:r>
        <w:r>
          <w:rPr>
            <w:noProof/>
            <w:webHidden/>
          </w:rPr>
          <w:t>220</w:t>
        </w:r>
        <w:r>
          <w:rPr>
            <w:noProof/>
            <w:webHidden/>
          </w:rPr>
          <w:fldChar w:fldCharType="end"/>
        </w:r>
      </w:hyperlink>
    </w:p>
    <w:p w14:paraId="3B1D76ED" w14:textId="3D5A7D7E"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3" w:history="1">
        <w:r w:rsidRPr="00724BA0">
          <w:rPr>
            <w:rStyle w:val="Hyperlink"/>
            <w:noProof/>
          </w:rPr>
          <w:t>Table 66. Statutory/Regulatory Framework and Notable Standards for Reducing Exposure to PCBs</w:t>
        </w:r>
        <w:r>
          <w:rPr>
            <w:noProof/>
            <w:webHidden/>
          </w:rPr>
          <w:tab/>
        </w:r>
        <w:r>
          <w:rPr>
            <w:noProof/>
            <w:webHidden/>
          </w:rPr>
          <w:fldChar w:fldCharType="begin"/>
        </w:r>
        <w:r>
          <w:rPr>
            <w:noProof/>
            <w:webHidden/>
          </w:rPr>
          <w:instrText xml:space="preserve"> PAGEREF _Toc193117013 \h </w:instrText>
        </w:r>
        <w:r>
          <w:rPr>
            <w:noProof/>
            <w:webHidden/>
          </w:rPr>
        </w:r>
        <w:r>
          <w:rPr>
            <w:noProof/>
            <w:webHidden/>
          </w:rPr>
          <w:fldChar w:fldCharType="separate"/>
        </w:r>
        <w:r>
          <w:rPr>
            <w:noProof/>
            <w:webHidden/>
          </w:rPr>
          <w:t>221</w:t>
        </w:r>
        <w:r>
          <w:rPr>
            <w:noProof/>
            <w:webHidden/>
          </w:rPr>
          <w:fldChar w:fldCharType="end"/>
        </w:r>
      </w:hyperlink>
    </w:p>
    <w:p w14:paraId="74682AED" w14:textId="71F280C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4" w:history="1">
        <w:r w:rsidRPr="00724BA0">
          <w:rPr>
            <w:rStyle w:val="Hyperlink"/>
            <w:noProof/>
          </w:rPr>
          <w:t>Table 67. Resources for Reducing Exposure to PCBs</w:t>
        </w:r>
        <w:r>
          <w:rPr>
            <w:noProof/>
            <w:webHidden/>
          </w:rPr>
          <w:tab/>
        </w:r>
        <w:r>
          <w:rPr>
            <w:noProof/>
            <w:webHidden/>
          </w:rPr>
          <w:fldChar w:fldCharType="begin"/>
        </w:r>
        <w:r>
          <w:rPr>
            <w:noProof/>
            <w:webHidden/>
          </w:rPr>
          <w:instrText xml:space="preserve"> PAGEREF _Toc193117014 \h </w:instrText>
        </w:r>
        <w:r>
          <w:rPr>
            <w:noProof/>
            <w:webHidden/>
          </w:rPr>
        </w:r>
        <w:r>
          <w:rPr>
            <w:noProof/>
            <w:webHidden/>
          </w:rPr>
          <w:fldChar w:fldCharType="separate"/>
        </w:r>
        <w:r>
          <w:rPr>
            <w:noProof/>
            <w:webHidden/>
          </w:rPr>
          <w:t>221</w:t>
        </w:r>
        <w:r>
          <w:rPr>
            <w:noProof/>
            <w:webHidden/>
          </w:rPr>
          <w:fldChar w:fldCharType="end"/>
        </w:r>
      </w:hyperlink>
    </w:p>
    <w:p w14:paraId="5B43B537" w14:textId="7B95DA6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5" w:history="1">
        <w:r w:rsidRPr="00724BA0">
          <w:rPr>
            <w:rStyle w:val="Hyperlink"/>
            <w:noProof/>
          </w:rPr>
          <w:t>Table 68. Statutory/Regulatory Framework and Notable Standards for Reducing Exposure to Radon</w:t>
        </w:r>
        <w:r>
          <w:rPr>
            <w:noProof/>
            <w:webHidden/>
          </w:rPr>
          <w:tab/>
        </w:r>
        <w:r>
          <w:rPr>
            <w:noProof/>
            <w:webHidden/>
          </w:rPr>
          <w:fldChar w:fldCharType="begin"/>
        </w:r>
        <w:r>
          <w:rPr>
            <w:noProof/>
            <w:webHidden/>
          </w:rPr>
          <w:instrText xml:space="preserve"> PAGEREF _Toc193117015 \h </w:instrText>
        </w:r>
        <w:r>
          <w:rPr>
            <w:noProof/>
            <w:webHidden/>
          </w:rPr>
        </w:r>
        <w:r>
          <w:rPr>
            <w:noProof/>
            <w:webHidden/>
          </w:rPr>
          <w:fldChar w:fldCharType="separate"/>
        </w:r>
        <w:r>
          <w:rPr>
            <w:noProof/>
            <w:webHidden/>
          </w:rPr>
          <w:t>226</w:t>
        </w:r>
        <w:r>
          <w:rPr>
            <w:noProof/>
            <w:webHidden/>
          </w:rPr>
          <w:fldChar w:fldCharType="end"/>
        </w:r>
      </w:hyperlink>
    </w:p>
    <w:p w14:paraId="4F8BE735" w14:textId="62B4714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6" w:history="1">
        <w:r w:rsidRPr="00724BA0">
          <w:rPr>
            <w:rStyle w:val="Hyperlink"/>
            <w:noProof/>
          </w:rPr>
          <w:t>Table 69. Resources for Reducing Radon Exposure in Schools</w:t>
        </w:r>
        <w:r>
          <w:rPr>
            <w:noProof/>
            <w:webHidden/>
          </w:rPr>
          <w:tab/>
        </w:r>
        <w:r>
          <w:rPr>
            <w:noProof/>
            <w:webHidden/>
          </w:rPr>
          <w:fldChar w:fldCharType="begin"/>
        </w:r>
        <w:r>
          <w:rPr>
            <w:noProof/>
            <w:webHidden/>
          </w:rPr>
          <w:instrText xml:space="preserve"> PAGEREF _Toc193117016 \h </w:instrText>
        </w:r>
        <w:r>
          <w:rPr>
            <w:noProof/>
            <w:webHidden/>
          </w:rPr>
        </w:r>
        <w:r>
          <w:rPr>
            <w:noProof/>
            <w:webHidden/>
          </w:rPr>
          <w:fldChar w:fldCharType="separate"/>
        </w:r>
        <w:r>
          <w:rPr>
            <w:noProof/>
            <w:webHidden/>
          </w:rPr>
          <w:t>226</w:t>
        </w:r>
        <w:r>
          <w:rPr>
            <w:noProof/>
            <w:webHidden/>
          </w:rPr>
          <w:fldChar w:fldCharType="end"/>
        </w:r>
      </w:hyperlink>
    </w:p>
    <w:p w14:paraId="4531A921" w14:textId="0A8A764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7" w:history="1">
        <w:r w:rsidRPr="00724BA0">
          <w:rPr>
            <w:rStyle w:val="Hyperlink"/>
            <w:noProof/>
          </w:rPr>
          <w:t>Table 70. Statutory/Regulatory Framework and Notable Standards for Reducing Exposure to Outdoor Air Pollutants</w:t>
        </w:r>
        <w:r>
          <w:rPr>
            <w:noProof/>
            <w:webHidden/>
          </w:rPr>
          <w:tab/>
        </w:r>
        <w:r>
          <w:rPr>
            <w:noProof/>
            <w:webHidden/>
          </w:rPr>
          <w:fldChar w:fldCharType="begin"/>
        </w:r>
        <w:r>
          <w:rPr>
            <w:noProof/>
            <w:webHidden/>
          </w:rPr>
          <w:instrText xml:space="preserve"> PAGEREF _Toc193117017 \h </w:instrText>
        </w:r>
        <w:r>
          <w:rPr>
            <w:noProof/>
            <w:webHidden/>
          </w:rPr>
        </w:r>
        <w:r>
          <w:rPr>
            <w:noProof/>
            <w:webHidden/>
          </w:rPr>
          <w:fldChar w:fldCharType="separate"/>
        </w:r>
        <w:r>
          <w:rPr>
            <w:noProof/>
            <w:webHidden/>
          </w:rPr>
          <w:t>230</w:t>
        </w:r>
        <w:r>
          <w:rPr>
            <w:noProof/>
            <w:webHidden/>
          </w:rPr>
          <w:fldChar w:fldCharType="end"/>
        </w:r>
      </w:hyperlink>
    </w:p>
    <w:p w14:paraId="1D323EC4" w14:textId="6F8F36C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8" w:history="1">
        <w:r w:rsidRPr="00724BA0">
          <w:rPr>
            <w:rStyle w:val="Hyperlink"/>
            <w:noProof/>
          </w:rPr>
          <w:t>Table 71. Resources for Reducing Exposure to Outdoor Air Pollutants</w:t>
        </w:r>
        <w:r>
          <w:rPr>
            <w:noProof/>
            <w:webHidden/>
          </w:rPr>
          <w:tab/>
        </w:r>
        <w:r>
          <w:rPr>
            <w:noProof/>
            <w:webHidden/>
          </w:rPr>
          <w:fldChar w:fldCharType="begin"/>
        </w:r>
        <w:r>
          <w:rPr>
            <w:noProof/>
            <w:webHidden/>
          </w:rPr>
          <w:instrText xml:space="preserve"> PAGEREF _Toc193117018 \h </w:instrText>
        </w:r>
        <w:r>
          <w:rPr>
            <w:noProof/>
            <w:webHidden/>
          </w:rPr>
        </w:r>
        <w:r>
          <w:rPr>
            <w:noProof/>
            <w:webHidden/>
          </w:rPr>
          <w:fldChar w:fldCharType="separate"/>
        </w:r>
        <w:r>
          <w:rPr>
            <w:noProof/>
            <w:webHidden/>
          </w:rPr>
          <w:t>231</w:t>
        </w:r>
        <w:r>
          <w:rPr>
            <w:noProof/>
            <w:webHidden/>
          </w:rPr>
          <w:fldChar w:fldCharType="end"/>
        </w:r>
      </w:hyperlink>
    </w:p>
    <w:p w14:paraId="2B9EAEA2" w14:textId="5F096A1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19" w:history="1">
        <w:r w:rsidRPr="00724BA0">
          <w:rPr>
            <w:rStyle w:val="Hyperlink"/>
            <w:noProof/>
          </w:rPr>
          <w:t>Table 72. Statutory/Regulatory Framework and Notable Standards for Reducing Exposure to Lead in Drinking Water</w:t>
        </w:r>
        <w:r>
          <w:rPr>
            <w:noProof/>
            <w:webHidden/>
          </w:rPr>
          <w:tab/>
        </w:r>
        <w:r>
          <w:rPr>
            <w:noProof/>
            <w:webHidden/>
          </w:rPr>
          <w:fldChar w:fldCharType="begin"/>
        </w:r>
        <w:r>
          <w:rPr>
            <w:noProof/>
            <w:webHidden/>
          </w:rPr>
          <w:instrText xml:space="preserve"> PAGEREF _Toc193117019 \h </w:instrText>
        </w:r>
        <w:r>
          <w:rPr>
            <w:noProof/>
            <w:webHidden/>
          </w:rPr>
        </w:r>
        <w:r>
          <w:rPr>
            <w:noProof/>
            <w:webHidden/>
          </w:rPr>
          <w:fldChar w:fldCharType="separate"/>
        </w:r>
        <w:r>
          <w:rPr>
            <w:noProof/>
            <w:webHidden/>
          </w:rPr>
          <w:t>235</w:t>
        </w:r>
        <w:r>
          <w:rPr>
            <w:noProof/>
            <w:webHidden/>
          </w:rPr>
          <w:fldChar w:fldCharType="end"/>
        </w:r>
      </w:hyperlink>
    </w:p>
    <w:p w14:paraId="019E56FF" w14:textId="6C20B1C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0" w:history="1">
        <w:r w:rsidRPr="00724BA0">
          <w:rPr>
            <w:rStyle w:val="Hyperlink"/>
            <w:noProof/>
          </w:rPr>
          <w:t>Table 73. Resources for Reducing Exposure to Lead in Drinking Water</w:t>
        </w:r>
        <w:r>
          <w:rPr>
            <w:noProof/>
            <w:webHidden/>
          </w:rPr>
          <w:tab/>
        </w:r>
        <w:r>
          <w:rPr>
            <w:noProof/>
            <w:webHidden/>
          </w:rPr>
          <w:fldChar w:fldCharType="begin"/>
        </w:r>
        <w:r>
          <w:rPr>
            <w:noProof/>
            <w:webHidden/>
          </w:rPr>
          <w:instrText xml:space="preserve"> PAGEREF _Toc193117020 \h </w:instrText>
        </w:r>
        <w:r>
          <w:rPr>
            <w:noProof/>
            <w:webHidden/>
          </w:rPr>
        </w:r>
        <w:r>
          <w:rPr>
            <w:noProof/>
            <w:webHidden/>
          </w:rPr>
          <w:fldChar w:fldCharType="separate"/>
        </w:r>
        <w:r>
          <w:rPr>
            <w:noProof/>
            <w:webHidden/>
          </w:rPr>
          <w:t>235</w:t>
        </w:r>
        <w:r>
          <w:rPr>
            <w:noProof/>
            <w:webHidden/>
          </w:rPr>
          <w:fldChar w:fldCharType="end"/>
        </w:r>
      </w:hyperlink>
    </w:p>
    <w:p w14:paraId="327C1575" w14:textId="6412695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1" w:history="1">
        <w:r w:rsidRPr="00724BA0">
          <w:rPr>
            <w:rStyle w:val="Hyperlink"/>
            <w:noProof/>
          </w:rPr>
          <w:t>Table 74. Statutory/Regulatory Framework and Notable Standards for Reducing Exposure to PFAS in Drinking Water</w:t>
        </w:r>
        <w:r>
          <w:rPr>
            <w:noProof/>
            <w:webHidden/>
          </w:rPr>
          <w:tab/>
        </w:r>
        <w:r>
          <w:rPr>
            <w:noProof/>
            <w:webHidden/>
          </w:rPr>
          <w:fldChar w:fldCharType="begin"/>
        </w:r>
        <w:r>
          <w:rPr>
            <w:noProof/>
            <w:webHidden/>
          </w:rPr>
          <w:instrText xml:space="preserve"> PAGEREF _Toc193117021 \h </w:instrText>
        </w:r>
        <w:r>
          <w:rPr>
            <w:noProof/>
            <w:webHidden/>
          </w:rPr>
        </w:r>
        <w:r>
          <w:rPr>
            <w:noProof/>
            <w:webHidden/>
          </w:rPr>
          <w:fldChar w:fldCharType="separate"/>
        </w:r>
        <w:r>
          <w:rPr>
            <w:noProof/>
            <w:webHidden/>
          </w:rPr>
          <w:t>239</w:t>
        </w:r>
        <w:r>
          <w:rPr>
            <w:noProof/>
            <w:webHidden/>
          </w:rPr>
          <w:fldChar w:fldCharType="end"/>
        </w:r>
      </w:hyperlink>
    </w:p>
    <w:p w14:paraId="5D4FF269" w14:textId="579279A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2" w:history="1">
        <w:r w:rsidRPr="00724BA0">
          <w:rPr>
            <w:rStyle w:val="Hyperlink"/>
            <w:noProof/>
          </w:rPr>
          <w:t>Table 75. Resources for Reducing Exposure to PFAS in Drinking Water</w:t>
        </w:r>
        <w:r>
          <w:rPr>
            <w:noProof/>
            <w:webHidden/>
          </w:rPr>
          <w:tab/>
        </w:r>
        <w:r>
          <w:rPr>
            <w:noProof/>
            <w:webHidden/>
          </w:rPr>
          <w:fldChar w:fldCharType="begin"/>
        </w:r>
        <w:r>
          <w:rPr>
            <w:noProof/>
            <w:webHidden/>
          </w:rPr>
          <w:instrText xml:space="preserve"> PAGEREF _Toc193117022 \h </w:instrText>
        </w:r>
        <w:r>
          <w:rPr>
            <w:noProof/>
            <w:webHidden/>
          </w:rPr>
        </w:r>
        <w:r>
          <w:rPr>
            <w:noProof/>
            <w:webHidden/>
          </w:rPr>
          <w:fldChar w:fldCharType="separate"/>
        </w:r>
        <w:r>
          <w:rPr>
            <w:noProof/>
            <w:webHidden/>
          </w:rPr>
          <w:t>239</w:t>
        </w:r>
        <w:r>
          <w:rPr>
            <w:noProof/>
            <w:webHidden/>
          </w:rPr>
          <w:fldChar w:fldCharType="end"/>
        </w:r>
      </w:hyperlink>
    </w:p>
    <w:p w14:paraId="5F13815E" w14:textId="2DA9CBC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3" w:history="1">
        <w:r w:rsidRPr="00724BA0">
          <w:rPr>
            <w:rStyle w:val="Hyperlink"/>
            <w:noProof/>
          </w:rPr>
          <w:t>Table 76. Statutory/Regulatory Framework and Notable Standards for Improving Thermal Comfort</w:t>
        </w:r>
        <w:r>
          <w:rPr>
            <w:noProof/>
            <w:webHidden/>
          </w:rPr>
          <w:tab/>
        </w:r>
        <w:r>
          <w:rPr>
            <w:noProof/>
            <w:webHidden/>
          </w:rPr>
          <w:fldChar w:fldCharType="begin"/>
        </w:r>
        <w:r>
          <w:rPr>
            <w:noProof/>
            <w:webHidden/>
          </w:rPr>
          <w:instrText xml:space="preserve"> PAGEREF _Toc193117023 \h </w:instrText>
        </w:r>
        <w:r>
          <w:rPr>
            <w:noProof/>
            <w:webHidden/>
          </w:rPr>
        </w:r>
        <w:r>
          <w:rPr>
            <w:noProof/>
            <w:webHidden/>
          </w:rPr>
          <w:fldChar w:fldCharType="separate"/>
        </w:r>
        <w:r>
          <w:rPr>
            <w:noProof/>
            <w:webHidden/>
          </w:rPr>
          <w:t>242</w:t>
        </w:r>
        <w:r>
          <w:rPr>
            <w:noProof/>
            <w:webHidden/>
          </w:rPr>
          <w:fldChar w:fldCharType="end"/>
        </w:r>
      </w:hyperlink>
    </w:p>
    <w:p w14:paraId="0A56E5CB" w14:textId="0B08089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4" w:history="1">
        <w:r w:rsidRPr="00724BA0">
          <w:rPr>
            <w:rStyle w:val="Hyperlink"/>
            <w:noProof/>
          </w:rPr>
          <w:t>Table 77. Resources for Improving Thermal Comfort</w:t>
        </w:r>
        <w:r>
          <w:rPr>
            <w:noProof/>
            <w:webHidden/>
          </w:rPr>
          <w:tab/>
        </w:r>
        <w:r>
          <w:rPr>
            <w:noProof/>
            <w:webHidden/>
          </w:rPr>
          <w:fldChar w:fldCharType="begin"/>
        </w:r>
        <w:r>
          <w:rPr>
            <w:noProof/>
            <w:webHidden/>
          </w:rPr>
          <w:instrText xml:space="preserve"> PAGEREF _Toc193117024 \h </w:instrText>
        </w:r>
        <w:r>
          <w:rPr>
            <w:noProof/>
            <w:webHidden/>
          </w:rPr>
        </w:r>
        <w:r>
          <w:rPr>
            <w:noProof/>
            <w:webHidden/>
          </w:rPr>
          <w:fldChar w:fldCharType="separate"/>
        </w:r>
        <w:r>
          <w:rPr>
            <w:noProof/>
            <w:webHidden/>
          </w:rPr>
          <w:t>243</w:t>
        </w:r>
        <w:r>
          <w:rPr>
            <w:noProof/>
            <w:webHidden/>
          </w:rPr>
          <w:fldChar w:fldCharType="end"/>
        </w:r>
      </w:hyperlink>
    </w:p>
    <w:p w14:paraId="42BA4CC6" w14:textId="3D40840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5" w:history="1">
        <w:r w:rsidRPr="00724BA0">
          <w:rPr>
            <w:rStyle w:val="Hyperlink"/>
            <w:noProof/>
          </w:rPr>
          <w:t>Table 78. Recommended Elements of a Pest Inspection</w:t>
        </w:r>
        <w:r>
          <w:rPr>
            <w:noProof/>
            <w:webHidden/>
          </w:rPr>
          <w:tab/>
        </w:r>
        <w:r>
          <w:rPr>
            <w:noProof/>
            <w:webHidden/>
          </w:rPr>
          <w:fldChar w:fldCharType="begin"/>
        </w:r>
        <w:r>
          <w:rPr>
            <w:noProof/>
            <w:webHidden/>
          </w:rPr>
          <w:instrText xml:space="preserve"> PAGEREF _Toc193117025 \h </w:instrText>
        </w:r>
        <w:r>
          <w:rPr>
            <w:noProof/>
            <w:webHidden/>
          </w:rPr>
        </w:r>
        <w:r>
          <w:rPr>
            <w:noProof/>
            <w:webHidden/>
          </w:rPr>
          <w:fldChar w:fldCharType="separate"/>
        </w:r>
        <w:r>
          <w:rPr>
            <w:noProof/>
            <w:webHidden/>
          </w:rPr>
          <w:t>246</w:t>
        </w:r>
        <w:r>
          <w:rPr>
            <w:noProof/>
            <w:webHidden/>
          </w:rPr>
          <w:fldChar w:fldCharType="end"/>
        </w:r>
      </w:hyperlink>
    </w:p>
    <w:p w14:paraId="00203255" w14:textId="1E5705F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6" w:history="1">
        <w:r w:rsidRPr="00724BA0">
          <w:rPr>
            <w:rStyle w:val="Hyperlink"/>
            <w:noProof/>
          </w:rPr>
          <w:t>Table 79. Statutory/Regulatory Framework and Notable Standards for Using Integrated Pest Management</w:t>
        </w:r>
        <w:r>
          <w:rPr>
            <w:noProof/>
            <w:webHidden/>
          </w:rPr>
          <w:tab/>
        </w:r>
        <w:r>
          <w:rPr>
            <w:noProof/>
            <w:webHidden/>
          </w:rPr>
          <w:fldChar w:fldCharType="begin"/>
        </w:r>
        <w:r>
          <w:rPr>
            <w:noProof/>
            <w:webHidden/>
          </w:rPr>
          <w:instrText xml:space="preserve"> PAGEREF _Toc193117026 \h </w:instrText>
        </w:r>
        <w:r>
          <w:rPr>
            <w:noProof/>
            <w:webHidden/>
          </w:rPr>
        </w:r>
        <w:r>
          <w:rPr>
            <w:noProof/>
            <w:webHidden/>
          </w:rPr>
          <w:fldChar w:fldCharType="separate"/>
        </w:r>
        <w:r>
          <w:rPr>
            <w:noProof/>
            <w:webHidden/>
          </w:rPr>
          <w:t>249</w:t>
        </w:r>
        <w:r>
          <w:rPr>
            <w:noProof/>
            <w:webHidden/>
          </w:rPr>
          <w:fldChar w:fldCharType="end"/>
        </w:r>
      </w:hyperlink>
    </w:p>
    <w:p w14:paraId="6E3797A8" w14:textId="7AB8CA6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7" w:history="1">
        <w:r w:rsidRPr="00724BA0">
          <w:rPr>
            <w:rStyle w:val="Hyperlink"/>
            <w:noProof/>
          </w:rPr>
          <w:t>Table 80. Resources for Using Integrated Pest Management</w:t>
        </w:r>
        <w:r>
          <w:rPr>
            <w:noProof/>
            <w:webHidden/>
          </w:rPr>
          <w:tab/>
        </w:r>
        <w:r>
          <w:rPr>
            <w:noProof/>
            <w:webHidden/>
          </w:rPr>
          <w:fldChar w:fldCharType="begin"/>
        </w:r>
        <w:r>
          <w:rPr>
            <w:noProof/>
            <w:webHidden/>
          </w:rPr>
          <w:instrText xml:space="preserve"> PAGEREF _Toc193117027 \h </w:instrText>
        </w:r>
        <w:r>
          <w:rPr>
            <w:noProof/>
            <w:webHidden/>
          </w:rPr>
        </w:r>
        <w:r>
          <w:rPr>
            <w:noProof/>
            <w:webHidden/>
          </w:rPr>
          <w:fldChar w:fldCharType="separate"/>
        </w:r>
        <w:r>
          <w:rPr>
            <w:noProof/>
            <w:webHidden/>
          </w:rPr>
          <w:t>249</w:t>
        </w:r>
        <w:r>
          <w:rPr>
            <w:noProof/>
            <w:webHidden/>
          </w:rPr>
          <w:fldChar w:fldCharType="end"/>
        </w:r>
      </w:hyperlink>
    </w:p>
    <w:p w14:paraId="65C1EB63" w14:textId="5E11E73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8" w:history="1">
        <w:r w:rsidRPr="00724BA0">
          <w:rPr>
            <w:rStyle w:val="Hyperlink"/>
            <w:noProof/>
          </w:rPr>
          <w:t>Table 81. Statutory/Regulatory Framework and Notable Standards for Procuring and Using Green Cleaning Supplies/Chemicals</w:t>
        </w:r>
        <w:r>
          <w:rPr>
            <w:noProof/>
            <w:webHidden/>
          </w:rPr>
          <w:tab/>
        </w:r>
        <w:r>
          <w:rPr>
            <w:noProof/>
            <w:webHidden/>
          </w:rPr>
          <w:fldChar w:fldCharType="begin"/>
        </w:r>
        <w:r>
          <w:rPr>
            <w:noProof/>
            <w:webHidden/>
          </w:rPr>
          <w:instrText xml:space="preserve"> PAGEREF _Toc193117028 \h </w:instrText>
        </w:r>
        <w:r>
          <w:rPr>
            <w:noProof/>
            <w:webHidden/>
          </w:rPr>
        </w:r>
        <w:r>
          <w:rPr>
            <w:noProof/>
            <w:webHidden/>
          </w:rPr>
          <w:fldChar w:fldCharType="separate"/>
        </w:r>
        <w:r>
          <w:rPr>
            <w:noProof/>
            <w:webHidden/>
          </w:rPr>
          <w:t>253</w:t>
        </w:r>
        <w:r>
          <w:rPr>
            <w:noProof/>
            <w:webHidden/>
          </w:rPr>
          <w:fldChar w:fldCharType="end"/>
        </w:r>
      </w:hyperlink>
    </w:p>
    <w:p w14:paraId="5B7017A5" w14:textId="01DE30B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29" w:history="1">
        <w:r w:rsidRPr="00724BA0">
          <w:rPr>
            <w:rStyle w:val="Hyperlink"/>
            <w:noProof/>
          </w:rPr>
          <w:t>Table 82. Resources for Procuring and Using Green Cleaning Supplies/Chemicals</w:t>
        </w:r>
        <w:r>
          <w:rPr>
            <w:noProof/>
            <w:webHidden/>
          </w:rPr>
          <w:tab/>
        </w:r>
        <w:r>
          <w:rPr>
            <w:noProof/>
            <w:webHidden/>
          </w:rPr>
          <w:fldChar w:fldCharType="begin"/>
        </w:r>
        <w:r>
          <w:rPr>
            <w:noProof/>
            <w:webHidden/>
          </w:rPr>
          <w:instrText xml:space="preserve"> PAGEREF _Toc193117029 \h </w:instrText>
        </w:r>
        <w:r>
          <w:rPr>
            <w:noProof/>
            <w:webHidden/>
          </w:rPr>
        </w:r>
        <w:r>
          <w:rPr>
            <w:noProof/>
            <w:webHidden/>
          </w:rPr>
          <w:fldChar w:fldCharType="separate"/>
        </w:r>
        <w:r>
          <w:rPr>
            <w:noProof/>
            <w:webHidden/>
          </w:rPr>
          <w:t>253</w:t>
        </w:r>
        <w:r>
          <w:rPr>
            <w:noProof/>
            <w:webHidden/>
          </w:rPr>
          <w:fldChar w:fldCharType="end"/>
        </w:r>
      </w:hyperlink>
    </w:p>
    <w:p w14:paraId="7647F73F" w14:textId="567CFD1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0" w:history="1">
        <w:r w:rsidRPr="00724BA0">
          <w:rPr>
            <w:rStyle w:val="Hyperlink"/>
            <w:noProof/>
          </w:rPr>
          <w:t>Table 83. Statutory/Regulatory Framework and Notable Standards for Reducing Exposure to Lead in Paint and Soils</w:t>
        </w:r>
        <w:r>
          <w:rPr>
            <w:noProof/>
            <w:webHidden/>
          </w:rPr>
          <w:tab/>
        </w:r>
        <w:r>
          <w:rPr>
            <w:noProof/>
            <w:webHidden/>
          </w:rPr>
          <w:fldChar w:fldCharType="begin"/>
        </w:r>
        <w:r>
          <w:rPr>
            <w:noProof/>
            <w:webHidden/>
          </w:rPr>
          <w:instrText xml:space="preserve"> PAGEREF _Toc193117030 \h </w:instrText>
        </w:r>
        <w:r>
          <w:rPr>
            <w:noProof/>
            <w:webHidden/>
          </w:rPr>
        </w:r>
        <w:r>
          <w:rPr>
            <w:noProof/>
            <w:webHidden/>
          </w:rPr>
          <w:fldChar w:fldCharType="separate"/>
        </w:r>
        <w:r>
          <w:rPr>
            <w:noProof/>
            <w:webHidden/>
          </w:rPr>
          <w:t>255</w:t>
        </w:r>
        <w:r>
          <w:rPr>
            <w:noProof/>
            <w:webHidden/>
          </w:rPr>
          <w:fldChar w:fldCharType="end"/>
        </w:r>
      </w:hyperlink>
    </w:p>
    <w:p w14:paraId="41E511B7" w14:textId="4B7C9DA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1" w:history="1">
        <w:r w:rsidRPr="00724BA0">
          <w:rPr>
            <w:rStyle w:val="Hyperlink"/>
            <w:noProof/>
          </w:rPr>
          <w:t>Table 84. Resources for Reducing Exposure to Lead in Paint and Soil</w:t>
        </w:r>
        <w:r>
          <w:rPr>
            <w:noProof/>
            <w:webHidden/>
          </w:rPr>
          <w:tab/>
        </w:r>
        <w:r>
          <w:rPr>
            <w:noProof/>
            <w:webHidden/>
          </w:rPr>
          <w:fldChar w:fldCharType="begin"/>
        </w:r>
        <w:r>
          <w:rPr>
            <w:noProof/>
            <w:webHidden/>
          </w:rPr>
          <w:instrText xml:space="preserve"> PAGEREF _Toc193117031 \h </w:instrText>
        </w:r>
        <w:r>
          <w:rPr>
            <w:noProof/>
            <w:webHidden/>
          </w:rPr>
        </w:r>
        <w:r>
          <w:rPr>
            <w:noProof/>
            <w:webHidden/>
          </w:rPr>
          <w:fldChar w:fldCharType="separate"/>
        </w:r>
        <w:r>
          <w:rPr>
            <w:noProof/>
            <w:webHidden/>
          </w:rPr>
          <w:t>255</w:t>
        </w:r>
        <w:r>
          <w:rPr>
            <w:noProof/>
            <w:webHidden/>
          </w:rPr>
          <w:fldChar w:fldCharType="end"/>
        </w:r>
      </w:hyperlink>
    </w:p>
    <w:p w14:paraId="0BE56DA1" w14:textId="1D58A56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2" w:history="1">
        <w:r w:rsidRPr="00724BA0">
          <w:rPr>
            <w:rStyle w:val="Hyperlink"/>
            <w:noProof/>
          </w:rPr>
          <w:t>Table 85. Statutory/Regulatory Framework and Notable Standards for Reducing Exposure to Mercury</w:t>
        </w:r>
        <w:r>
          <w:rPr>
            <w:noProof/>
            <w:webHidden/>
          </w:rPr>
          <w:tab/>
        </w:r>
        <w:r>
          <w:rPr>
            <w:noProof/>
            <w:webHidden/>
          </w:rPr>
          <w:fldChar w:fldCharType="begin"/>
        </w:r>
        <w:r>
          <w:rPr>
            <w:noProof/>
            <w:webHidden/>
          </w:rPr>
          <w:instrText xml:space="preserve"> PAGEREF _Toc193117032 \h </w:instrText>
        </w:r>
        <w:r>
          <w:rPr>
            <w:noProof/>
            <w:webHidden/>
          </w:rPr>
        </w:r>
        <w:r>
          <w:rPr>
            <w:noProof/>
            <w:webHidden/>
          </w:rPr>
          <w:fldChar w:fldCharType="separate"/>
        </w:r>
        <w:r>
          <w:rPr>
            <w:noProof/>
            <w:webHidden/>
          </w:rPr>
          <w:t>259</w:t>
        </w:r>
        <w:r>
          <w:rPr>
            <w:noProof/>
            <w:webHidden/>
          </w:rPr>
          <w:fldChar w:fldCharType="end"/>
        </w:r>
      </w:hyperlink>
    </w:p>
    <w:p w14:paraId="7BAB6C49" w14:textId="15B864B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3" w:history="1">
        <w:r w:rsidRPr="00724BA0">
          <w:rPr>
            <w:rStyle w:val="Hyperlink"/>
            <w:noProof/>
          </w:rPr>
          <w:t>Table 86. Resources for Reducing Exposure to Mercury</w:t>
        </w:r>
        <w:r>
          <w:rPr>
            <w:noProof/>
            <w:webHidden/>
          </w:rPr>
          <w:tab/>
        </w:r>
        <w:r>
          <w:rPr>
            <w:noProof/>
            <w:webHidden/>
          </w:rPr>
          <w:fldChar w:fldCharType="begin"/>
        </w:r>
        <w:r>
          <w:rPr>
            <w:noProof/>
            <w:webHidden/>
          </w:rPr>
          <w:instrText xml:space="preserve"> PAGEREF _Toc193117033 \h </w:instrText>
        </w:r>
        <w:r>
          <w:rPr>
            <w:noProof/>
            <w:webHidden/>
          </w:rPr>
        </w:r>
        <w:r>
          <w:rPr>
            <w:noProof/>
            <w:webHidden/>
          </w:rPr>
          <w:fldChar w:fldCharType="separate"/>
        </w:r>
        <w:r>
          <w:rPr>
            <w:noProof/>
            <w:webHidden/>
          </w:rPr>
          <w:t>259</w:t>
        </w:r>
        <w:r>
          <w:rPr>
            <w:noProof/>
            <w:webHidden/>
          </w:rPr>
          <w:fldChar w:fldCharType="end"/>
        </w:r>
      </w:hyperlink>
    </w:p>
    <w:p w14:paraId="7A663290" w14:textId="34FC0B19"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4" w:history="1">
        <w:r w:rsidRPr="00724BA0">
          <w:rPr>
            <w:rStyle w:val="Hyperlink"/>
            <w:noProof/>
          </w:rPr>
          <w:t>Table 87. Resources Related to Procuring, Using, and Disposing of Crumb Rubber</w:t>
        </w:r>
        <w:r>
          <w:rPr>
            <w:noProof/>
            <w:webHidden/>
          </w:rPr>
          <w:tab/>
        </w:r>
        <w:r>
          <w:rPr>
            <w:noProof/>
            <w:webHidden/>
          </w:rPr>
          <w:fldChar w:fldCharType="begin"/>
        </w:r>
        <w:r>
          <w:rPr>
            <w:noProof/>
            <w:webHidden/>
          </w:rPr>
          <w:instrText xml:space="preserve"> PAGEREF _Toc193117034 \h </w:instrText>
        </w:r>
        <w:r>
          <w:rPr>
            <w:noProof/>
            <w:webHidden/>
          </w:rPr>
        </w:r>
        <w:r>
          <w:rPr>
            <w:noProof/>
            <w:webHidden/>
          </w:rPr>
          <w:fldChar w:fldCharType="separate"/>
        </w:r>
        <w:r>
          <w:rPr>
            <w:noProof/>
            <w:webHidden/>
          </w:rPr>
          <w:t>262</w:t>
        </w:r>
        <w:r>
          <w:rPr>
            <w:noProof/>
            <w:webHidden/>
          </w:rPr>
          <w:fldChar w:fldCharType="end"/>
        </w:r>
      </w:hyperlink>
    </w:p>
    <w:p w14:paraId="3DAEBCDE" w14:textId="11A54DB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5" w:history="1">
        <w:r w:rsidRPr="00724BA0">
          <w:rPr>
            <w:rStyle w:val="Hyperlink"/>
            <w:noProof/>
          </w:rPr>
          <w:t>Table 88. Statutory/Regulatory Framework and Notable Standards Related to Creating a Safe Environment for Students with Life-Threatening Food Allergies</w:t>
        </w:r>
        <w:r>
          <w:rPr>
            <w:noProof/>
            <w:webHidden/>
          </w:rPr>
          <w:tab/>
        </w:r>
        <w:r>
          <w:rPr>
            <w:noProof/>
            <w:webHidden/>
          </w:rPr>
          <w:fldChar w:fldCharType="begin"/>
        </w:r>
        <w:r>
          <w:rPr>
            <w:noProof/>
            <w:webHidden/>
          </w:rPr>
          <w:instrText xml:space="preserve"> PAGEREF _Toc193117035 \h </w:instrText>
        </w:r>
        <w:r>
          <w:rPr>
            <w:noProof/>
            <w:webHidden/>
          </w:rPr>
        </w:r>
        <w:r>
          <w:rPr>
            <w:noProof/>
            <w:webHidden/>
          </w:rPr>
          <w:fldChar w:fldCharType="separate"/>
        </w:r>
        <w:r>
          <w:rPr>
            <w:noProof/>
            <w:webHidden/>
          </w:rPr>
          <w:t>266</w:t>
        </w:r>
        <w:r>
          <w:rPr>
            <w:noProof/>
            <w:webHidden/>
          </w:rPr>
          <w:fldChar w:fldCharType="end"/>
        </w:r>
      </w:hyperlink>
    </w:p>
    <w:p w14:paraId="7390628B" w14:textId="79E2C81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6" w:history="1">
        <w:r w:rsidRPr="00724BA0">
          <w:rPr>
            <w:rStyle w:val="Hyperlink"/>
            <w:noProof/>
          </w:rPr>
          <w:t>Table 89. Resources Related to Creating a Safe Environment for Students with Life-Threatening Food Allergies</w:t>
        </w:r>
        <w:r>
          <w:rPr>
            <w:noProof/>
            <w:webHidden/>
          </w:rPr>
          <w:tab/>
        </w:r>
        <w:r>
          <w:rPr>
            <w:noProof/>
            <w:webHidden/>
          </w:rPr>
          <w:fldChar w:fldCharType="begin"/>
        </w:r>
        <w:r>
          <w:rPr>
            <w:noProof/>
            <w:webHidden/>
          </w:rPr>
          <w:instrText xml:space="preserve"> PAGEREF _Toc193117036 \h </w:instrText>
        </w:r>
        <w:r>
          <w:rPr>
            <w:noProof/>
            <w:webHidden/>
          </w:rPr>
        </w:r>
        <w:r>
          <w:rPr>
            <w:noProof/>
            <w:webHidden/>
          </w:rPr>
          <w:fldChar w:fldCharType="separate"/>
        </w:r>
        <w:r>
          <w:rPr>
            <w:noProof/>
            <w:webHidden/>
          </w:rPr>
          <w:t>267</w:t>
        </w:r>
        <w:r>
          <w:rPr>
            <w:noProof/>
            <w:webHidden/>
          </w:rPr>
          <w:fldChar w:fldCharType="end"/>
        </w:r>
      </w:hyperlink>
    </w:p>
    <w:p w14:paraId="05215CCB" w14:textId="0CF18DB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7" w:history="1">
        <w:r w:rsidRPr="00724BA0">
          <w:rPr>
            <w:rStyle w:val="Hyperlink"/>
            <w:noProof/>
          </w:rPr>
          <w:t>Table 90. Statutory/Regulatory Framework and Notable Standards Related to Optimizing Lighting</w:t>
        </w:r>
        <w:r>
          <w:rPr>
            <w:noProof/>
            <w:webHidden/>
          </w:rPr>
          <w:tab/>
        </w:r>
        <w:r>
          <w:rPr>
            <w:noProof/>
            <w:webHidden/>
          </w:rPr>
          <w:fldChar w:fldCharType="begin"/>
        </w:r>
        <w:r>
          <w:rPr>
            <w:noProof/>
            <w:webHidden/>
          </w:rPr>
          <w:instrText xml:space="preserve"> PAGEREF _Toc193117037 \h </w:instrText>
        </w:r>
        <w:r>
          <w:rPr>
            <w:noProof/>
            <w:webHidden/>
          </w:rPr>
        </w:r>
        <w:r>
          <w:rPr>
            <w:noProof/>
            <w:webHidden/>
          </w:rPr>
          <w:fldChar w:fldCharType="separate"/>
        </w:r>
        <w:r>
          <w:rPr>
            <w:noProof/>
            <w:webHidden/>
          </w:rPr>
          <w:t>269</w:t>
        </w:r>
        <w:r>
          <w:rPr>
            <w:noProof/>
            <w:webHidden/>
          </w:rPr>
          <w:fldChar w:fldCharType="end"/>
        </w:r>
      </w:hyperlink>
    </w:p>
    <w:p w14:paraId="6BF1999B" w14:textId="22E4AC2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8" w:history="1">
        <w:r w:rsidRPr="00724BA0">
          <w:rPr>
            <w:rStyle w:val="Hyperlink"/>
            <w:noProof/>
          </w:rPr>
          <w:t>Table 91. Resources Related to Optimizing Lighting</w:t>
        </w:r>
        <w:r>
          <w:rPr>
            <w:noProof/>
            <w:webHidden/>
          </w:rPr>
          <w:tab/>
        </w:r>
        <w:r>
          <w:rPr>
            <w:noProof/>
            <w:webHidden/>
          </w:rPr>
          <w:fldChar w:fldCharType="begin"/>
        </w:r>
        <w:r>
          <w:rPr>
            <w:noProof/>
            <w:webHidden/>
          </w:rPr>
          <w:instrText xml:space="preserve"> PAGEREF _Toc193117038 \h </w:instrText>
        </w:r>
        <w:r>
          <w:rPr>
            <w:noProof/>
            <w:webHidden/>
          </w:rPr>
        </w:r>
        <w:r>
          <w:rPr>
            <w:noProof/>
            <w:webHidden/>
          </w:rPr>
          <w:fldChar w:fldCharType="separate"/>
        </w:r>
        <w:r>
          <w:rPr>
            <w:noProof/>
            <w:webHidden/>
          </w:rPr>
          <w:t>269</w:t>
        </w:r>
        <w:r>
          <w:rPr>
            <w:noProof/>
            <w:webHidden/>
          </w:rPr>
          <w:fldChar w:fldCharType="end"/>
        </w:r>
      </w:hyperlink>
    </w:p>
    <w:p w14:paraId="2E9EC28D" w14:textId="4FD936E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39" w:history="1">
        <w:r w:rsidRPr="00724BA0">
          <w:rPr>
            <w:rStyle w:val="Hyperlink"/>
            <w:noProof/>
          </w:rPr>
          <w:t>Table 92. Statutory/Regulatory Framework and Notable Standards Related to Optimizing Acoustic Performance</w:t>
        </w:r>
        <w:r>
          <w:rPr>
            <w:noProof/>
            <w:webHidden/>
          </w:rPr>
          <w:tab/>
        </w:r>
        <w:r>
          <w:rPr>
            <w:noProof/>
            <w:webHidden/>
          </w:rPr>
          <w:fldChar w:fldCharType="begin"/>
        </w:r>
        <w:r>
          <w:rPr>
            <w:noProof/>
            <w:webHidden/>
          </w:rPr>
          <w:instrText xml:space="preserve"> PAGEREF _Toc193117039 \h </w:instrText>
        </w:r>
        <w:r>
          <w:rPr>
            <w:noProof/>
            <w:webHidden/>
          </w:rPr>
        </w:r>
        <w:r>
          <w:rPr>
            <w:noProof/>
            <w:webHidden/>
          </w:rPr>
          <w:fldChar w:fldCharType="separate"/>
        </w:r>
        <w:r>
          <w:rPr>
            <w:noProof/>
            <w:webHidden/>
          </w:rPr>
          <w:t>270</w:t>
        </w:r>
        <w:r>
          <w:rPr>
            <w:noProof/>
            <w:webHidden/>
          </w:rPr>
          <w:fldChar w:fldCharType="end"/>
        </w:r>
      </w:hyperlink>
    </w:p>
    <w:p w14:paraId="1B9A5CCA" w14:textId="6C3C1CA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0" w:history="1">
        <w:r w:rsidRPr="00724BA0">
          <w:rPr>
            <w:rStyle w:val="Hyperlink"/>
            <w:noProof/>
          </w:rPr>
          <w:t>Table 93. Resources Related to Designing the Built Environment to Foster a Peaceful School Community</w:t>
        </w:r>
        <w:r>
          <w:rPr>
            <w:noProof/>
            <w:webHidden/>
          </w:rPr>
          <w:tab/>
        </w:r>
        <w:r>
          <w:rPr>
            <w:noProof/>
            <w:webHidden/>
          </w:rPr>
          <w:fldChar w:fldCharType="begin"/>
        </w:r>
        <w:r>
          <w:rPr>
            <w:noProof/>
            <w:webHidden/>
          </w:rPr>
          <w:instrText xml:space="preserve"> PAGEREF _Toc193117040 \h </w:instrText>
        </w:r>
        <w:r>
          <w:rPr>
            <w:noProof/>
            <w:webHidden/>
          </w:rPr>
        </w:r>
        <w:r>
          <w:rPr>
            <w:noProof/>
            <w:webHidden/>
          </w:rPr>
          <w:fldChar w:fldCharType="separate"/>
        </w:r>
        <w:r>
          <w:rPr>
            <w:noProof/>
            <w:webHidden/>
          </w:rPr>
          <w:t>273</w:t>
        </w:r>
        <w:r>
          <w:rPr>
            <w:noProof/>
            <w:webHidden/>
          </w:rPr>
          <w:fldChar w:fldCharType="end"/>
        </w:r>
      </w:hyperlink>
    </w:p>
    <w:p w14:paraId="0BE66264" w14:textId="65615FA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1" w:history="1">
        <w:r w:rsidRPr="00724BA0">
          <w:rPr>
            <w:rStyle w:val="Hyperlink"/>
            <w:noProof/>
          </w:rPr>
          <w:t>Table 94. Statutory/Regulatory Framework and Notable Standards for Optimizing Space to Equitably Meet Special Education Needs</w:t>
        </w:r>
        <w:r>
          <w:rPr>
            <w:noProof/>
            <w:webHidden/>
          </w:rPr>
          <w:tab/>
        </w:r>
        <w:r>
          <w:rPr>
            <w:noProof/>
            <w:webHidden/>
          </w:rPr>
          <w:fldChar w:fldCharType="begin"/>
        </w:r>
        <w:r>
          <w:rPr>
            <w:noProof/>
            <w:webHidden/>
          </w:rPr>
          <w:instrText xml:space="preserve"> PAGEREF _Toc193117041 \h </w:instrText>
        </w:r>
        <w:r>
          <w:rPr>
            <w:noProof/>
            <w:webHidden/>
          </w:rPr>
        </w:r>
        <w:r>
          <w:rPr>
            <w:noProof/>
            <w:webHidden/>
          </w:rPr>
          <w:fldChar w:fldCharType="separate"/>
        </w:r>
        <w:r>
          <w:rPr>
            <w:noProof/>
            <w:webHidden/>
          </w:rPr>
          <w:t>279</w:t>
        </w:r>
        <w:r>
          <w:rPr>
            <w:noProof/>
            <w:webHidden/>
          </w:rPr>
          <w:fldChar w:fldCharType="end"/>
        </w:r>
      </w:hyperlink>
    </w:p>
    <w:p w14:paraId="205941DD" w14:textId="79E51C7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2" w:history="1">
        <w:r w:rsidRPr="00724BA0">
          <w:rPr>
            <w:rStyle w:val="Hyperlink"/>
            <w:noProof/>
          </w:rPr>
          <w:t>Table 95. Resources for Optimizing Space to Equitably Meet Special Education Needs</w:t>
        </w:r>
        <w:r>
          <w:rPr>
            <w:noProof/>
            <w:webHidden/>
          </w:rPr>
          <w:tab/>
        </w:r>
        <w:r>
          <w:rPr>
            <w:noProof/>
            <w:webHidden/>
          </w:rPr>
          <w:fldChar w:fldCharType="begin"/>
        </w:r>
        <w:r>
          <w:rPr>
            <w:noProof/>
            <w:webHidden/>
          </w:rPr>
          <w:instrText xml:space="preserve"> PAGEREF _Toc193117042 \h </w:instrText>
        </w:r>
        <w:r>
          <w:rPr>
            <w:noProof/>
            <w:webHidden/>
          </w:rPr>
        </w:r>
        <w:r>
          <w:rPr>
            <w:noProof/>
            <w:webHidden/>
          </w:rPr>
          <w:fldChar w:fldCharType="separate"/>
        </w:r>
        <w:r>
          <w:rPr>
            <w:noProof/>
            <w:webHidden/>
          </w:rPr>
          <w:t>279</w:t>
        </w:r>
        <w:r>
          <w:rPr>
            <w:noProof/>
            <w:webHidden/>
          </w:rPr>
          <w:fldChar w:fldCharType="end"/>
        </w:r>
      </w:hyperlink>
    </w:p>
    <w:p w14:paraId="1B408338" w14:textId="4004E39C"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3" w:history="1">
        <w:r w:rsidRPr="00724BA0">
          <w:rPr>
            <w:rStyle w:val="Hyperlink"/>
            <w:noProof/>
          </w:rPr>
          <w:t>Table 96. Statutory/Regulatory Framework and Notable Standards for Prioritizing Universal Accessibility</w:t>
        </w:r>
        <w:r>
          <w:rPr>
            <w:noProof/>
            <w:webHidden/>
          </w:rPr>
          <w:tab/>
        </w:r>
        <w:r>
          <w:rPr>
            <w:noProof/>
            <w:webHidden/>
          </w:rPr>
          <w:fldChar w:fldCharType="begin"/>
        </w:r>
        <w:r>
          <w:rPr>
            <w:noProof/>
            <w:webHidden/>
          </w:rPr>
          <w:instrText xml:space="preserve"> PAGEREF _Toc193117043 \h </w:instrText>
        </w:r>
        <w:r>
          <w:rPr>
            <w:noProof/>
            <w:webHidden/>
          </w:rPr>
        </w:r>
        <w:r>
          <w:rPr>
            <w:noProof/>
            <w:webHidden/>
          </w:rPr>
          <w:fldChar w:fldCharType="separate"/>
        </w:r>
        <w:r>
          <w:rPr>
            <w:noProof/>
            <w:webHidden/>
          </w:rPr>
          <w:t>285</w:t>
        </w:r>
        <w:r>
          <w:rPr>
            <w:noProof/>
            <w:webHidden/>
          </w:rPr>
          <w:fldChar w:fldCharType="end"/>
        </w:r>
      </w:hyperlink>
    </w:p>
    <w:p w14:paraId="14F6BD35" w14:textId="1872C8F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4" w:history="1">
        <w:r w:rsidRPr="00724BA0">
          <w:rPr>
            <w:rStyle w:val="Hyperlink"/>
            <w:noProof/>
          </w:rPr>
          <w:t>Table 97. Resources for Ensuring Universal Access</w:t>
        </w:r>
        <w:r>
          <w:rPr>
            <w:noProof/>
            <w:webHidden/>
          </w:rPr>
          <w:tab/>
        </w:r>
        <w:r>
          <w:rPr>
            <w:noProof/>
            <w:webHidden/>
          </w:rPr>
          <w:fldChar w:fldCharType="begin"/>
        </w:r>
        <w:r>
          <w:rPr>
            <w:noProof/>
            <w:webHidden/>
          </w:rPr>
          <w:instrText xml:space="preserve"> PAGEREF _Toc193117044 \h </w:instrText>
        </w:r>
        <w:r>
          <w:rPr>
            <w:noProof/>
            <w:webHidden/>
          </w:rPr>
        </w:r>
        <w:r>
          <w:rPr>
            <w:noProof/>
            <w:webHidden/>
          </w:rPr>
          <w:fldChar w:fldCharType="separate"/>
        </w:r>
        <w:r>
          <w:rPr>
            <w:noProof/>
            <w:webHidden/>
          </w:rPr>
          <w:t>285</w:t>
        </w:r>
        <w:r>
          <w:rPr>
            <w:noProof/>
            <w:webHidden/>
          </w:rPr>
          <w:fldChar w:fldCharType="end"/>
        </w:r>
      </w:hyperlink>
    </w:p>
    <w:p w14:paraId="11C5BF74" w14:textId="58C56721" w:rsidR="00445118" w:rsidRDefault="00523E0F">
      <w:r>
        <w:fldChar w:fldCharType="end"/>
      </w:r>
    </w:p>
    <w:p w14:paraId="2977C60C" w14:textId="77777777" w:rsidR="00523E0F" w:rsidRDefault="00523E0F"/>
    <w:p w14:paraId="630D89A7" w14:textId="77777777" w:rsidR="00445118" w:rsidRDefault="00445118">
      <w:pPr>
        <w:sectPr w:rsidR="00445118" w:rsidSect="00BA518D">
          <w:pgSz w:w="12240" w:h="15840"/>
          <w:pgMar w:top="1440" w:right="1440" w:bottom="1440" w:left="1440" w:header="720" w:footer="720" w:gutter="0"/>
          <w:pgNumType w:fmt="lowerRoman"/>
          <w:cols w:space="720"/>
          <w:docGrid w:linePitch="360"/>
        </w:sectPr>
      </w:pPr>
    </w:p>
    <w:p w14:paraId="49231C9D" w14:textId="4D3F1707" w:rsidR="00445118" w:rsidRDefault="00445118" w:rsidP="00E06AD8">
      <w:pPr>
        <w:pStyle w:val="Heading1NoTOC"/>
      </w:pPr>
      <w:r w:rsidRPr="00A046EF">
        <w:lastRenderedPageBreak/>
        <w:t>Table of Figures</w:t>
      </w:r>
    </w:p>
    <w:p w14:paraId="5FD40E43" w14:textId="07631295" w:rsidR="002C17C1" w:rsidRDefault="00B64618">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\h \z \c "Figure" </w:instrText>
      </w:r>
      <w:r>
        <w:fldChar w:fldCharType="separate"/>
      </w:r>
      <w:hyperlink w:anchor="_Toc193117045" w:history="1">
        <w:r w:rsidR="002C17C1" w:rsidRPr="004E3614">
          <w:rPr>
            <w:rStyle w:val="Hyperlink"/>
            <w:noProof/>
          </w:rPr>
          <w:t>Figure 1. 11 Communities of Focus Experiencing the Highest Burden of Asthma Inequities in Massachusetts in 2020</w:t>
        </w:r>
        <w:r w:rsidR="002C17C1">
          <w:rPr>
            <w:noProof/>
            <w:webHidden/>
          </w:rPr>
          <w:tab/>
        </w:r>
        <w:r w:rsidR="002C17C1">
          <w:rPr>
            <w:noProof/>
            <w:webHidden/>
          </w:rPr>
          <w:fldChar w:fldCharType="begin"/>
        </w:r>
        <w:r w:rsidR="002C17C1">
          <w:rPr>
            <w:noProof/>
            <w:webHidden/>
          </w:rPr>
          <w:instrText xml:space="preserve"> PAGEREF _Toc193117045 \h </w:instrText>
        </w:r>
        <w:r w:rsidR="002C17C1">
          <w:rPr>
            <w:noProof/>
            <w:webHidden/>
          </w:rPr>
        </w:r>
        <w:r w:rsidR="002C17C1">
          <w:rPr>
            <w:noProof/>
            <w:webHidden/>
          </w:rPr>
          <w:fldChar w:fldCharType="separate"/>
        </w:r>
        <w:r w:rsidR="002C17C1">
          <w:rPr>
            <w:noProof/>
            <w:webHidden/>
          </w:rPr>
          <w:t>6</w:t>
        </w:r>
        <w:r w:rsidR="002C17C1">
          <w:rPr>
            <w:noProof/>
            <w:webHidden/>
          </w:rPr>
          <w:fldChar w:fldCharType="end"/>
        </w:r>
      </w:hyperlink>
    </w:p>
    <w:p w14:paraId="653419CC" w14:textId="79A0959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6" w:history="1">
        <w:r w:rsidRPr="004E3614">
          <w:rPr>
            <w:rStyle w:val="Hyperlink"/>
            <w:noProof/>
          </w:rPr>
          <w:t>Figure 2. Example Pathway to Decarbonizing School Buildings</w:t>
        </w:r>
        <w:r>
          <w:rPr>
            <w:noProof/>
            <w:webHidden/>
          </w:rPr>
          <w:tab/>
        </w:r>
        <w:r>
          <w:rPr>
            <w:noProof/>
            <w:webHidden/>
          </w:rPr>
          <w:fldChar w:fldCharType="begin"/>
        </w:r>
        <w:r>
          <w:rPr>
            <w:noProof/>
            <w:webHidden/>
          </w:rPr>
          <w:instrText xml:space="preserve"> PAGEREF _Toc193117046 \h </w:instrText>
        </w:r>
        <w:r>
          <w:rPr>
            <w:noProof/>
            <w:webHidden/>
          </w:rPr>
        </w:r>
        <w:r>
          <w:rPr>
            <w:noProof/>
            <w:webHidden/>
          </w:rPr>
          <w:fldChar w:fldCharType="separate"/>
        </w:r>
        <w:r>
          <w:rPr>
            <w:noProof/>
            <w:webHidden/>
          </w:rPr>
          <w:t>28</w:t>
        </w:r>
        <w:r>
          <w:rPr>
            <w:noProof/>
            <w:webHidden/>
          </w:rPr>
          <w:fldChar w:fldCharType="end"/>
        </w:r>
      </w:hyperlink>
    </w:p>
    <w:p w14:paraId="1ACE91CF" w14:textId="7D9C0AF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7" w:history="1">
        <w:r w:rsidRPr="004E3614">
          <w:rPr>
            <w:rStyle w:val="Hyperlink"/>
            <w:noProof/>
          </w:rPr>
          <w:t>Figure 3. Massachusetts Percentage of Area in U.S. Drought Monitor Categories,       2000 to 2024</w:t>
        </w:r>
        <w:r>
          <w:rPr>
            <w:noProof/>
            <w:webHidden/>
          </w:rPr>
          <w:tab/>
        </w:r>
        <w:r>
          <w:rPr>
            <w:noProof/>
            <w:webHidden/>
          </w:rPr>
          <w:fldChar w:fldCharType="begin"/>
        </w:r>
        <w:r>
          <w:rPr>
            <w:noProof/>
            <w:webHidden/>
          </w:rPr>
          <w:instrText xml:space="preserve"> PAGEREF _Toc193117047 \h </w:instrText>
        </w:r>
        <w:r>
          <w:rPr>
            <w:noProof/>
            <w:webHidden/>
          </w:rPr>
        </w:r>
        <w:r>
          <w:rPr>
            <w:noProof/>
            <w:webHidden/>
          </w:rPr>
          <w:fldChar w:fldCharType="separate"/>
        </w:r>
        <w:r>
          <w:rPr>
            <w:noProof/>
            <w:webHidden/>
          </w:rPr>
          <w:t>31</w:t>
        </w:r>
        <w:r>
          <w:rPr>
            <w:noProof/>
            <w:webHidden/>
          </w:rPr>
          <w:fldChar w:fldCharType="end"/>
        </w:r>
      </w:hyperlink>
    </w:p>
    <w:p w14:paraId="01BC7EDB" w14:textId="3B19264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8" w:history="1">
        <w:r w:rsidRPr="004E3614">
          <w:rPr>
            <w:rStyle w:val="Hyperlink"/>
            <w:noProof/>
          </w:rPr>
          <w:t>Figure 4. Ranking the Magnitude of Consequences from Climate Hazards</w:t>
        </w:r>
        <w:r>
          <w:rPr>
            <w:noProof/>
            <w:webHidden/>
          </w:rPr>
          <w:tab/>
        </w:r>
        <w:r>
          <w:rPr>
            <w:noProof/>
            <w:webHidden/>
          </w:rPr>
          <w:fldChar w:fldCharType="begin"/>
        </w:r>
        <w:r>
          <w:rPr>
            <w:noProof/>
            <w:webHidden/>
          </w:rPr>
          <w:instrText xml:space="preserve"> PAGEREF _Toc193117048 \h </w:instrText>
        </w:r>
        <w:r>
          <w:rPr>
            <w:noProof/>
            <w:webHidden/>
          </w:rPr>
        </w:r>
        <w:r>
          <w:rPr>
            <w:noProof/>
            <w:webHidden/>
          </w:rPr>
          <w:fldChar w:fldCharType="separate"/>
        </w:r>
        <w:r>
          <w:rPr>
            <w:noProof/>
            <w:webHidden/>
          </w:rPr>
          <w:t>45</w:t>
        </w:r>
        <w:r>
          <w:rPr>
            <w:noProof/>
            <w:webHidden/>
          </w:rPr>
          <w:fldChar w:fldCharType="end"/>
        </w:r>
      </w:hyperlink>
    </w:p>
    <w:p w14:paraId="375B4411" w14:textId="6DA2198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49" w:history="1">
        <w:r w:rsidRPr="004E3614">
          <w:rPr>
            <w:rStyle w:val="Hyperlink"/>
            <w:noProof/>
          </w:rPr>
          <w:t>Figure 5. Screenshot of Sampling of 2016 School Survey Summary Findings</w:t>
        </w:r>
        <w:r>
          <w:rPr>
            <w:noProof/>
            <w:webHidden/>
          </w:rPr>
          <w:tab/>
        </w:r>
        <w:r>
          <w:rPr>
            <w:noProof/>
            <w:webHidden/>
          </w:rPr>
          <w:fldChar w:fldCharType="begin"/>
        </w:r>
        <w:r>
          <w:rPr>
            <w:noProof/>
            <w:webHidden/>
          </w:rPr>
          <w:instrText xml:space="preserve"> PAGEREF _Toc193117049 \h </w:instrText>
        </w:r>
        <w:r>
          <w:rPr>
            <w:noProof/>
            <w:webHidden/>
          </w:rPr>
        </w:r>
        <w:r>
          <w:rPr>
            <w:noProof/>
            <w:webHidden/>
          </w:rPr>
          <w:fldChar w:fldCharType="separate"/>
        </w:r>
        <w:r>
          <w:rPr>
            <w:noProof/>
            <w:webHidden/>
          </w:rPr>
          <w:t>96</w:t>
        </w:r>
        <w:r>
          <w:rPr>
            <w:noProof/>
            <w:webHidden/>
          </w:rPr>
          <w:fldChar w:fldCharType="end"/>
        </w:r>
      </w:hyperlink>
    </w:p>
    <w:p w14:paraId="434F15F9" w14:textId="04CE96EB"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0" w:history="1">
        <w:r w:rsidRPr="004E3614">
          <w:rPr>
            <w:rStyle w:val="Hyperlink"/>
            <w:noProof/>
          </w:rPr>
          <w:t>Figure 6. Screenshot from Sample MSBA School-Level Summary Report Illustrating Year Built and Addition/Renovation Details</w:t>
        </w:r>
        <w:r>
          <w:rPr>
            <w:noProof/>
            <w:webHidden/>
          </w:rPr>
          <w:tab/>
        </w:r>
        <w:r>
          <w:rPr>
            <w:noProof/>
            <w:webHidden/>
          </w:rPr>
          <w:fldChar w:fldCharType="begin"/>
        </w:r>
        <w:r>
          <w:rPr>
            <w:noProof/>
            <w:webHidden/>
          </w:rPr>
          <w:instrText xml:space="preserve"> PAGEREF _Toc193117050 \h </w:instrText>
        </w:r>
        <w:r>
          <w:rPr>
            <w:noProof/>
            <w:webHidden/>
          </w:rPr>
        </w:r>
        <w:r>
          <w:rPr>
            <w:noProof/>
            <w:webHidden/>
          </w:rPr>
          <w:fldChar w:fldCharType="separate"/>
        </w:r>
        <w:r>
          <w:rPr>
            <w:noProof/>
            <w:webHidden/>
          </w:rPr>
          <w:t>98</w:t>
        </w:r>
        <w:r>
          <w:rPr>
            <w:noProof/>
            <w:webHidden/>
          </w:rPr>
          <w:fldChar w:fldCharType="end"/>
        </w:r>
      </w:hyperlink>
    </w:p>
    <w:p w14:paraId="4C0ABB1C" w14:textId="7932AA4E"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1" w:history="1">
        <w:r w:rsidRPr="004E3614">
          <w:rPr>
            <w:rStyle w:val="Hyperlink"/>
            <w:noProof/>
          </w:rPr>
          <w:t>Figure 7. Screenshot from Sample MSBA School-Level Summary Report Illustrating Asset-Level Data in “Building Systems” Section</w:t>
        </w:r>
        <w:r>
          <w:rPr>
            <w:noProof/>
            <w:webHidden/>
          </w:rPr>
          <w:tab/>
        </w:r>
        <w:r>
          <w:rPr>
            <w:noProof/>
            <w:webHidden/>
          </w:rPr>
          <w:fldChar w:fldCharType="begin"/>
        </w:r>
        <w:r>
          <w:rPr>
            <w:noProof/>
            <w:webHidden/>
          </w:rPr>
          <w:instrText xml:space="preserve"> PAGEREF _Toc193117051 \h </w:instrText>
        </w:r>
        <w:r>
          <w:rPr>
            <w:noProof/>
            <w:webHidden/>
          </w:rPr>
        </w:r>
        <w:r>
          <w:rPr>
            <w:noProof/>
            <w:webHidden/>
          </w:rPr>
          <w:fldChar w:fldCharType="separate"/>
        </w:r>
        <w:r>
          <w:rPr>
            <w:noProof/>
            <w:webHidden/>
          </w:rPr>
          <w:t>99</w:t>
        </w:r>
        <w:r>
          <w:rPr>
            <w:noProof/>
            <w:webHidden/>
          </w:rPr>
          <w:fldChar w:fldCharType="end"/>
        </w:r>
      </w:hyperlink>
    </w:p>
    <w:p w14:paraId="52B91037" w14:textId="21387E48"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2" w:history="1">
        <w:r w:rsidRPr="004E3614">
          <w:rPr>
            <w:rStyle w:val="Hyperlink"/>
            <w:noProof/>
          </w:rPr>
          <w:t>Figure 8. Screenshot from Sample MSBA School-Level Summary Report Illustrating Asset-Level Data in “Building Systems” Section (Continued)</w:t>
        </w:r>
        <w:r>
          <w:rPr>
            <w:noProof/>
            <w:webHidden/>
          </w:rPr>
          <w:tab/>
        </w:r>
        <w:r>
          <w:rPr>
            <w:noProof/>
            <w:webHidden/>
          </w:rPr>
          <w:fldChar w:fldCharType="begin"/>
        </w:r>
        <w:r>
          <w:rPr>
            <w:noProof/>
            <w:webHidden/>
          </w:rPr>
          <w:instrText xml:space="preserve"> PAGEREF _Toc193117052 \h </w:instrText>
        </w:r>
        <w:r>
          <w:rPr>
            <w:noProof/>
            <w:webHidden/>
          </w:rPr>
        </w:r>
        <w:r>
          <w:rPr>
            <w:noProof/>
            <w:webHidden/>
          </w:rPr>
          <w:fldChar w:fldCharType="separate"/>
        </w:r>
        <w:r>
          <w:rPr>
            <w:noProof/>
            <w:webHidden/>
          </w:rPr>
          <w:t>100</w:t>
        </w:r>
        <w:r>
          <w:rPr>
            <w:noProof/>
            <w:webHidden/>
          </w:rPr>
          <w:fldChar w:fldCharType="end"/>
        </w:r>
      </w:hyperlink>
    </w:p>
    <w:p w14:paraId="20AFEF2A" w14:textId="3740B24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3" w:history="1">
        <w:r w:rsidRPr="004E3614">
          <w:rPr>
            <w:rStyle w:val="Hyperlink"/>
            <w:noProof/>
          </w:rPr>
          <w:t>Figure 9. Screenshot from Sample MSBA School-Level Summary Report Illustrating Asset-Level Data in “Building Systems” Section (Continued)</w:t>
        </w:r>
        <w:r>
          <w:rPr>
            <w:noProof/>
            <w:webHidden/>
          </w:rPr>
          <w:tab/>
        </w:r>
        <w:r>
          <w:rPr>
            <w:noProof/>
            <w:webHidden/>
          </w:rPr>
          <w:fldChar w:fldCharType="begin"/>
        </w:r>
        <w:r>
          <w:rPr>
            <w:noProof/>
            <w:webHidden/>
          </w:rPr>
          <w:instrText xml:space="preserve"> PAGEREF _Toc193117053 \h </w:instrText>
        </w:r>
        <w:r>
          <w:rPr>
            <w:noProof/>
            <w:webHidden/>
          </w:rPr>
        </w:r>
        <w:r>
          <w:rPr>
            <w:noProof/>
            <w:webHidden/>
          </w:rPr>
          <w:fldChar w:fldCharType="separate"/>
        </w:r>
        <w:r>
          <w:rPr>
            <w:noProof/>
            <w:webHidden/>
          </w:rPr>
          <w:t>101</w:t>
        </w:r>
        <w:r>
          <w:rPr>
            <w:noProof/>
            <w:webHidden/>
          </w:rPr>
          <w:fldChar w:fldCharType="end"/>
        </w:r>
      </w:hyperlink>
    </w:p>
    <w:p w14:paraId="1876E84A" w14:textId="33A3C96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4" w:history="1">
        <w:r w:rsidRPr="004E3614">
          <w:rPr>
            <w:rStyle w:val="Hyperlink"/>
            <w:noProof/>
          </w:rPr>
          <w:t>Figure 10. Screenshot from Sample MSBA District-Level Summary Report Illustrating Qualitative Data in the “Non-School Building List” and “Shared Campus Notes” Sections</w:t>
        </w:r>
        <w:r>
          <w:rPr>
            <w:noProof/>
            <w:webHidden/>
          </w:rPr>
          <w:tab/>
        </w:r>
        <w:r>
          <w:rPr>
            <w:noProof/>
            <w:webHidden/>
          </w:rPr>
          <w:fldChar w:fldCharType="begin"/>
        </w:r>
        <w:r>
          <w:rPr>
            <w:noProof/>
            <w:webHidden/>
          </w:rPr>
          <w:instrText xml:space="preserve"> PAGEREF _Toc193117054 \h </w:instrText>
        </w:r>
        <w:r>
          <w:rPr>
            <w:noProof/>
            <w:webHidden/>
          </w:rPr>
        </w:r>
        <w:r>
          <w:rPr>
            <w:noProof/>
            <w:webHidden/>
          </w:rPr>
          <w:fldChar w:fldCharType="separate"/>
        </w:r>
        <w:r>
          <w:rPr>
            <w:noProof/>
            <w:webHidden/>
          </w:rPr>
          <w:t>102</w:t>
        </w:r>
        <w:r>
          <w:rPr>
            <w:noProof/>
            <w:webHidden/>
          </w:rPr>
          <w:fldChar w:fldCharType="end"/>
        </w:r>
      </w:hyperlink>
    </w:p>
    <w:p w14:paraId="24BA240B" w14:textId="339572F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5" w:history="1">
        <w:r w:rsidRPr="004E3614">
          <w:rPr>
            <w:rStyle w:val="Hyperlink"/>
            <w:noProof/>
          </w:rPr>
          <w:t>Figure 11. Communities Identified as High Risk for Childhood Lead Poisoning     in 2023</w:t>
        </w:r>
        <w:r>
          <w:rPr>
            <w:noProof/>
            <w:webHidden/>
          </w:rPr>
          <w:tab/>
        </w:r>
        <w:r>
          <w:rPr>
            <w:noProof/>
            <w:webHidden/>
          </w:rPr>
          <w:fldChar w:fldCharType="begin"/>
        </w:r>
        <w:r>
          <w:rPr>
            <w:noProof/>
            <w:webHidden/>
          </w:rPr>
          <w:instrText xml:space="preserve"> PAGEREF _Toc193117055 \h </w:instrText>
        </w:r>
        <w:r>
          <w:rPr>
            <w:noProof/>
            <w:webHidden/>
          </w:rPr>
        </w:r>
        <w:r>
          <w:rPr>
            <w:noProof/>
            <w:webHidden/>
          </w:rPr>
          <w:fldChar w:fldCharType="separate"/>
        </w:r>
        <w:r>
          <w:rPr>
            <w:noProof/>
            <w:webHidden/>
          </w:rPr>
          <w:t>104</w:t>
        </w:r>
        <w:r>
          <w:rPr>
            <w:noProof/>
            <w:webHidden/>
          </w:rPr>
          <w:fldChar w:fldCharType="end"/>
        </w:r>
      </w:hyperlink>
    </w:p>
    <w:p w14:paraId="14058693" w14:textId="74A4268F"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6" w:history="1">
        <w:r w:rsidRPr="004E3614">
          <w:rPr>
            <w:rStyle w:val="Hyperlink"/>
            <w:noProof/>
          </w:rPr>
          <w:t>Figure 12. EPHT Query Parameters for Pediatric Asthma Prevalence by Community and School</w:t>
        </w:r>
        <w:r>
          <w:rPr>
            <w:noProof/>
            <w:webHidden/>
          </w:rPr>
          <w:tab/>
        </w:r>
        <w:r>
          <w:rPr>
            <w:noProof/>
            <w:webHidden/>
          </w:rPr>
          <w:fldChar w:fldCharType="begin"/>
        </w:r>
        <w:r>
          <w:rPr>
            <w:noProof/>
            <w:webHidden/>
          </w:rPr>
          <w:instrText xml:space="preserve"> PAGEREF _Toc193117056 \h </w:instrText>
        </w:r>
        <w:r>
          <w:rPr>
            <w:noProof/>
            <w:webHidden/>
          </w:rPr>
        </w:r>
        <w:r>
          <w:rPr>
            <w:noProof/>
            <w:webHidden/>
          </w:rPr>
          <w:fldChar w:fldCharType="separate"/>
        </w:r>
        <w:r>
          <w:rPr>
            <w:noProof/>
            <w:webHidden/>
          </w:rPr>
          <w:t>105</w:t>
        </w:r>
        <w:r>
          <w:rPr>
            <w:noProof/>
            <w:webHidden/>
          </w:rPr>
          <w:fldChar w:fldCharType="end"/>
        </w:r>
      </w:hyperlink>
    </w:p>
    <w:p w14:paraId="3308814E" w14:textId="50D31C5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7" w:history="1">
        <w:r w:rsidRPr="004E3614">
          <w:rPr>
            <w:rStyle w:val="Hyperlink"/>
            <w:noProof/>
          </w:rPr>
          <w:t>Figure 13. EPHT’s Map View Output of Pediatric Asthma Prevalence Data</w:t>
        </w:r>
        <w:r>
          <w:rPr>
            <w:noProof/>
            <w:webHidden/>
          </w:rPr>
          <w:tab/>
        </w:r>
        <w:r>
          <w:rPr>
            <w:noProof/>
            <w:webHidden/>
          </w:rPr>
          <w:fldChar w:fldCharType="begin"/>
        </w:r>
        <w:r>
          <w:rPr>
            <w:noProof/>
            <w:webHidden/>
          </w:rPr>
          <w:instrText xml:space="preserve"> PAGEREF _Toc193117057 \h </w:instrText>
        </w:r>
        <w:r>
          <w:rPr>
            <w:noProof/>
            <w:webHidden/>
          </w:rPr>
        </w:r>
        <w:r>
          <w:rPr>
            <w:noProof/>
            <w:webHidden/>
          </w:rPr>
          <w:fldChar w:fldCharType="separate"/>
        </w:r>
        <w:r>
          <w:rPr>
            <w:noProof/>
            <w:webHidden/>
          </w:rPr>
          <w:t>106</w:t>
        </w:r>
        <w:r>
          <w:rPr>
            <w:noProof/>
            <w:webHidden/>
          </w:rPr>
          <w:fldChar w:fldCharType="end"/>
        </w:r>
      </w:hyperlink>
    </w:p>
    <w:p w14:paraId="6855673F" w14:textId="14B7841E"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8" w:history="1">
        <w:r w:rsidRPr="004E3614">
          <w:rPr>
            <w:rStyle w:val="Hyperlink"/>
            <w:noProof/>
          </w:rPr>
          <w:t>Figure 14. EPHT’s Table View Output of Pediatric Asthma Prevalence Data</w:t>
        </w:r>
        <w:r>
          <w:rPr>
            <w:noProof/>
            <w:webHidden/>
          </w:rPr>
          <w:tab/>
        </w:r>
        <w:r>
          <w:rPr>
            <w:noProof/>
            <w:webHidden/>
          </w:rPr>
          <w:fldChar w:fldCharType="begin"/>
        </w:r>
        <w:r>
          <w:rPr>
            <w:noProof/>
            <w:webHidden/>
          </w:rPr>
          <w:instrText xml:space="preserve"> PAGEREF _Toc193117058 \h </w:instrText>
        </w:r>
        <w:r>
          <w:rPr>
            <w:noProof/>
            <w:webHidden/>
          </w:rPr>
        </w:r>
        <w:r>
          <w:rPr>
            <w:noProof/>
            <w:webHidden/>
          </w:rPr>
          <w:fldChar w:fldCharType="separate"/>
        </w:r>
        <w:r>
          <w:rPr>
            <w:noProof/>
            <w:webHidden/>
          </w:rPr>
          <w:t>107</w:t>
        </w:r>
        <w:r>
          <w:rPr>
            <w:noProof/>
            <w:webHidden/>
          </w:rPr>
          <w:fldChar w:fldCharType="end"/>
        </w:r>
      </w:hyperlink>
    </w:p>
    <w:p w14:paraId="2F66DAE4" w14:textId="548A3945"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59" w:history="1">
        <w:r w:rsidRPr="004E3614">
          <w:rPr>
            <w:rStyle w:val="Hyperlink"/>
            <w:noProof/>
          </w:rPr>
          <w:t>Figure 15. EPHT’s Chart View Output of Pediatric Asthma Prevalence Data</w:t>
        </w:r>
        <w:r>
          <w:rPr>
            <w:noProof/>
            <w:webHidden/>
          </w:rPr>
          <w:tab/>
        </w:r>
        <w:r>
          <w:rPr>
            <w:noProof/>
            <w:webHidden/>
          </w:rPr>
          <w:fldChar w:fldCharType="begin"/>
        </w:r>
        <w:r>
          <w:rPr>
            <w:noProof/>
            <w:webHidden/>
          </w:rPr>
          <w:instrText xml:space="preserve"> PAGEREF _Toc193117059 \h </w:instrText>
        </w:r>
        <w:r>
          <w:rPr>
            <w:noProof/>
            <w:webHidden/>
          </w:rPr>
        </w:r>
        <w:r>
          <w:rPr>
            <w:noProof/>
            <w:webHidden/>
          </w:rPr>
          <w:fldChar w:fldCharType="separate"/>
        </w:r>
        <w:r>
          <w:rPr>
            <w:noProof/>
            <w:webHidden/>
          </w:rPr>
          <w:t>108</w:t>
        </w:r>
        <w:r>
          <w:rPr>
            <w:noProof/>
            <w:webHidden/>
          </w:rPr>
          <w:fldChar w:fldCharType="end"/>
        </w:r>
      </w:hyperlink>
    </w:p>
    <w:p w14:paraId="17E83219" w14:textId="1E6BCA10"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0" w:history="1">
        <w:r w:rsidRPr="004E3614">
          <w:rPr>
            <w:rStyle w:val="Hyperlink"/>
            <w:noProof/>
          </w:rPr>
          <w:t>Figure 16. Screenshot of Sample Export of Pediatric Asthma Prevalence Data from the EPHT</w:t>
        </w:r>
        <w:r>
          <w:rPr>
            <w:noProof/>
            <w:webHidden/>
          </w:rPr>
          <w:tab/>
        </w:r>
        <w:r>
          <w:rPr>
            <w:noProof/>
            <w:webHidden/>
          </w:rPr>
          <w:fldChar w:fldCharType="begin"/>
        </w:r>
        <w:r>
          <w:rPr>
            <w:noProof/>
            <w:webHidden/>
          </w:rPr>
          <w:instrText xml:space="preserve"> PAGEREF _Toc193117060 \h </w:instrText>
        </w:r>
        <w:r>
          <w:rPr>
            <w:noProof/>
            <w:webHidden/>
          </w:rPr>
        </w:r>
        <w:r>
          <w:rPr>
            <w:noProof/>
            <w:webHidden/>
          </w:rPr>
          <w:fldChar w:fldCharType="separate"/>
        </w:r>
        <w:r>
          <w:rPr>
            <w:noProof/>
            <w:webHidden/>
          </w:rPr>
          <w:t>108</w:t>
        </w:r>
        <w:r>
          <w:rPr>
            <w:noProof/>
            <w:webHidden/>
          </w:rPr>
          <w:fldChar w:fldCharType="end"/>
        </w:r>
      </w:hyperlink>
    </w:p>
    <w:p w14:paraId="41D6B7AF" w14:textId="636EE11A"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1" w:history="1">
        <w:r w:rsidRPr="004E3614">
          <w:rPr>
            <w:rStyle w:val="Hyperlink"/>
            <w:noProof/>
          </w:rPr>
          <w:t>Figure 17. Screenshot of a Sample Community Profile from EPHT</w:t>
        </w:r>
        <w:r>
          <w:rPr>
            <w:noProof/>
            <w:webHidden/>
          </w:rPr>
          <w:tab/>
        </w:r>
        <w:r>
          <w:rPr>
            <w:noProof/>
            <w:webHidden/>
          </w:rPr>
          <w:fldChar w:fldCharType="begin"/>
        </w:r>
        <w:r>
          <w:rPr>
            <w:noProof/>
            <w:webHidden/>
          </w:rPr>
          <w:instrText xml:space="preserve"> PAGEREF _Toc193117061 \h </w:instrText>
        </w:r>
        <w:r>
          <w:rPr>
            <w:noProof/>
            <w:webHidden/>
          </w:rPr>
        </w:r>
        <w:r>
          <w:rPr>
            <w:noProof/>
            <w:webHidden/>
          </w:rPr>
          <w:fldChar w:fldCharType="separate"/>
        </w:r>
        <w:r>
          <w:rPr>
            <w:noProof/>
            <w:webHidden/>
          </w:rPr>
          <w:t>109</w:t>
        </w:r>
        <w:r>
          <w:rPr>
            <w:noProof/>
            <w:webHidden/>
          </w:rPr>
          <w:fldChar w:fldCharType="end"/>
        </w:r>
      </w:hyperlink>
    </w:p>
    <w:p w14:paraId="65517CCE" w14:textId="646A43B1"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2" w:history="1">
        <w:r w:rsidRPr="004E3614">
          <w:rPr>
            <w:rStyle w:val="Hyperlink"/>
            <w:noProof/>
          </w:rPr>
          <w:t>Figure 18. Screenshot of the DESE’s Enrollment by Race/Gender Report</w:t>
        </w:r>
        <w:r>
          <w:rPr>
            <w:noProof/>
            <w:webHidden/>
          </w:rPr>
          <w:tab/>
        </w:r>
        <w:r>
          <w:rPr>
            <w:noProof/>
            <w:webHidden/>
          </w:rPr>
          <w:fldChar w:fldCharType="begin"/>
        </w:r>
        <w:r>
          <w:rPr>
            <w:noProof/>
            <w:webHidden/>
          </w:rPr>
          <w:instrText xml:space="preserve"> PAGEREF _Toc193117062 \h </w:instrText>
        </w:r>
        <w:r>
          <w:rPr>
            <w:noProof/>
            <w:webHidden/>
          </w:rPr>
        </w:r>
        <w:r>
          <w:rPr>
            <w:noProof/>
            <w:webHidden/>
          </w:rPr>
          <w:fldChar w:fldCharType="separate"/>
        </w:r>
        <w:r>
          <w:rPr>
            <w:noProof/>
            <w:webHidden/>
          </w:rPr>
          <w:t>111</w:t>
        </w:r>
        <w:r>
          <w:rPr>
            <w:noProof/>
            <w:webHidden/>
          </w:rPr>
          <w:fldChar w:fldCharType="end"/>
        </w:r>
      </w:hyperlink>
    </w:p>
    <w:p w14:paraId="022DC893" w14:textId="0360FD99"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3" w:history="1">
        <w:r w:rsidRPr="004E3614">
          <w:rPr>
            <w:rStyle w:val="Hyperlink"/>
            <w:noProof/>
          </w:rPr>
          <w:t>Figure 19. Screenshot of DESE’s Selected Populations Report</w:t>
        </w:r>
        <w:r>
          <w:rPr>
            <w:noProof/>
            <w:webHidden/>
          </w:rPr>
          <w:tab/>
        </w:r>
        <w:r>
          <w:rPr>
            <w:noProof/>
            <w:webHidden/>
          </w:rPr>
          <w:fldChar w:fldCharType="begin"/>
        </w:r>
        <w:r>
          <w:rPr>
            <w:noProof/>
            <w:webHidden/>
          </w:rPr>
          <w:instrText xml:space="preserve"> PAGEREF _Toc193117063 \h </w:instrText>
        </w:r>
        <w:r>
          <w:rPr>
            <w:noProof/>
            <w:webHidden/>
          </w:rPr>
        </w:r>
        <w:r>
          <w:rPr>
            <w:noProof/>
            <w:webHidden/>
          </w:rPr>
          <w:fldChar w:fldCharType="separate"/>
        </w:r>
        <w:r>
          <w:rPr>
            <w:noProof/>
            <w:webHidden/>
          </w:rPr>
          <w:t>112</w:t>
        </w:r>
        <w:r>
          <w:rPr>
            <w:noProof/>
            <w:webHidden/>
          </w:rPr>
          <w:fldChar w:fldCharType="end"/>
        </w:r>
      </w:hyperlink>
    </w:p>
    <w:p w14:paraId="31746BCC" w14:textId="45B23FD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4" w:history="1">
        <w:r w:rsidRPr="004E3614">
          <w:rPr>
            <w:rStyle w:val="Hyperlink"/>
            <w:noProof/>
          </w:rPr>
          <w:t>Figure 20. Screenshot of DESE’s Graduation Rate Report</w:t>
        </w:r>
        <w:r>
          <w:rPr>
            <w:noProof/>
            <w:webHidden/>
          </w:rPr>
          <w:tab/>
        </w:r>
        <w:r>
          <w:rPr>
            <w:noProof/>
            <w:webHidden/>
          </w:rPr>
          <w:fldChar w:fldCharType="begin"/>
        </w:r>
        <w:r>
          <w:rPr>
            <w:noProof/>
            <w:webHidden/>
          </w:rPr>
          <w:instrText xml:space="preserve"> PAGEREF _Toc193117064 \h </w:instrText>
        </w:r>
        <w:r>
          <w:rPr>
            <w:noProof/>
            <w:webHidden/>
          </w:rPr>
        </w:r>
        <w:r>
          <w:rPr>
            <w:noProof/>
            <w:webHidden/>
          </w:rPr>
          <w:fldChar w:fldCharType="separate"/>
        </w:r>
        <w:r>
          <w:rPr>
            <w:noProof/>
            <w:webHidden/>
          </w:rPr>
          <w:t>113</w:t>
        </w:r>
        <w:r>
          <w:rPr>
            <w:noProof/>
            <w:webHidden/>
          </w:rPr>
          <w:fldChar w:fldCharType="end"/>
        </w:r>
      </w:hyperlink>
    </w:p>
    <w:p w14:paraId="5A583405" w14:textId="3DEBCF0E"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5" w:history="1">
        <w:r w:rsidRPr="004E3614">
          <w:rPr>
            <w:rStyle w:val="Hyperlink"/>
            <w:noProof/>
          </w:rPr>
          <w:t>Figure 21. Health Equity Framework</w:t>
        </w:r>
        <w:r>
          <w:rPr>
            <w:noProof/>
            <w:webHidden/>
          </w:rPr>
          <w:tab/>
        </w:r>
        <w:r>
          <w:rPr>
            <w:noProof/>
            <w:webHidden/>
          </w:rPr>
          <w:fldChar w:fldCharType="begin"/>
        </w:r>
        <w:r>
          <w:rPr>
            <w:noProof/>
            <w:webHidden/>
          </w:rPr>
          <w:instrText xml:space="preserve"> PAGEREF _Toc193117065 \h </w:instrText>
        </w:r>
        <w:r>
          <w:rPr>
            <w:noProof/>
            <w:webHidden/>
          </w:rPr>
        </w:r>
        <w:r>
          <w:rPr>
            <w:noProof/>
            <w:webHidden/>
          </w:rPr>
          <w:fldChar w:fldCharType="separate"/>
        </w:r>
        <w:r>
          <w:rPr>
            <w:noProof/>
            <w:webHidden/>
          </w:rPr>
          <w:t>114</w:t>
        </w:r>
        <w:r>
          <w:rPr>
            <w:noProof/>
            <w:webHidden/>
          </w:rPr>
          <w:fldChar w:fldCharType="end"/>
        </w:r>
      </w:hyperlink>
    </w:p>
    <w:p w14:paraId="04D09C88" w14:textId="5AF58E2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6" w:history="1">
        <w:r w:rsidRPr="004E3614">
          <w:rPr>
            <w:rStyle w:val="Hyperlink"/>
            <w:noProof/>
          </w:rPr>
          <w:t>Figure 22. EPHT Query Parameters for Blood Lead Level Data</w:t>
        </w:r>
        <w:r>
          <w:rPr>
            <w:noProof/>
            <w:webHidden/>
          </w:rPr>
          <w:tab/>
        </w:r>
        <w:r>
          <w:rPr>
            <w:noProof/>
            <w:webHidden/>
          </w:rPr>
          <w:fldChar w:fldCharType="begin"/>
        </w:r>
        <w:r>
          <w:rPr>
            <w:noProof/>
            <w:webHidden/>
          </w:rPr>
          <w:instrText xml:space="preserve"> PAGEREF _Toc193117066 \h </w:instrText>
        </w:r>
        <w:r>
          <w:rPr>
            <w:noProof/>
            <w:webHidden/>
          </w:rPr>
        </w:r>
        <w:r>
          <w:rPr>
            <w:noProof/>
            <w:webHidden/>
          </w:rPr>
          <w:fldChar w:fldCharType="separate"/>
        </w:r>
        <w:r>
          <w:rPr>
            <w:noProof/>
            <w:webHidden/>
          </w:rPr>
          <w:t>125</w:t>
        </w:r>
        <w:r>
          <w:rPr>
            <w:noProof/>
            <w:webHidden/>
          </w:rPr>
          <w:fldChar w:fldCharType="end"/>
        </w:r>
      </w:hyperlink>
    </w:p>
    <w:p w14:paraId="5211B26C" w14:textId="1C582947"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7" w:history="1">
        <w:r w:rsidRPr="004E3614">
          <w:rPr>
            <w:rStyle w:val="Hyperlink"/>
            <w:noProof/>
          </w:rPr>
          <w:t>Figure 23. EPHT’s Map View Output of Blood Lead Level Data</w:t>
        </w:r>
        <w:r>
          <w:rPr>
            <w:noProof/>
            <w:webHidden/>
          </w:rPr>
          <w:tab/>
        </w:r>
        <w:r>
          <w:rPr>
            <w:noProof/>
            <w:webHidden/>
          </w:rPr>
          <w:fldChar w:fldCharType="begin"/>
        </w:r>
        <w:r>
          <w:rPr>
            <w:noProof/>
            <w:webHidden/>
          </w:rPr>
          <w:instrText xml:space="preserve"> PAGEREF _Toc193117067 \h </w:instrText>
        </w:r>
        <w:r>
          <w:rPr>
            <w:noProof/>
            <w:webHidden/>
          </w:rPr>
        </w:r>
        <w:r>
          <w:rPr>
            <w:noProof/>
            <w:webHidden/>
          </w:rPr>
          <w:fldChar w:fldCharType="separate"/>
        </w:r>
        <w:r>
          <w:rPr>
            <w:noProof/>
            <w:webHidden/>
          </w:rPr>
          <w:t>126</w:t>
        </w:r>
        <w:r>
          <w:rPr>
            <w:noProof/>
            <w:webHidden/>
          </w:rPr>
          <w:fldChar w:fldCharType="end"/>
        </w:r>
      </w:hyperlink>
    </w:p>
    <w:p w14:paraId="0BF6A8BD" w14:textId="1C5F2F76"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8" w:history="1">
        <w:r w:rsidRPr="004E3614">
          <w:rPr>
            <w:rStyle w:val="Hyperlink"/>
            <w:noProof/>
          </w:rPr>
          <w:t>Figure 24. EPHT’s Table View Output of Blood Lead Level Data</w:t>
        </w:r>
        <w:r>
          <w:rPr>
            <w:noProof/>
            <w:webHidden/>
          </w:rPr>
          <w:tab/>
        </w:r>
        <w:r>
          <w:rPr>
            <w:noProof/>
            <w:webHidden/>
          </w:rPr>
          <w:fldChar w:fldCharType="begin"/>
        </w:r>
        <w:r>
          <w:rPr>
            <w:noProof/>
            <w:webHidden/>
          </w:rPr>
          <w:instrText xml:space="preserve"> PAGEREF _Toc193117068 \h </w:instrText>
        </w:r>
        <w:r>
          <w:rPr>
            <w:noProof/>
            <w:webHidden/>
          </w:rPr>
        </w:r>
        <w:r>
          <w:rPr>
            <w:noProof/>
            <w:webHidden/>
          </w:rPr>
          <w:fldChar w:fldCharType="separate"/>
        </w:r>
        <w:r>
          <w:rPr>
            <w:noProof/>
            <w:webHidden/>
          </w:rPr>
          <w:t>127</w:t>
        </w:r>
        <w:r>
          <w:rPr>
            <w:noProof/>
            <w:webHidden/>
          </w:rPr>
          <w:fldChar w:fldCharType="end"/>
        </w:r>
      </w:hyperlink>
    </w:p>
    <w:p w14:paraId="10B4036D" w14:textId="7FA766F3"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69" w:history="1">
        <w:r w:rsidRPr="004E3614">
          <w:rPr>
            <w:rStyle w:val="Hyperlink"/>
            <w:noProof/>
          </w:rPr>
          <w:t>Figure 25. Screenshot of Sample Export of Blood Lead Level Data from EPHT</w:t>
        </w:r>
        <w:r>
          <w:rPr>
            <w:noProof/>
            <w:webHidden/>
          </w:rPr>
          <w:tab/>
        </w:r>
        <w:r>
          <w:rPr>
            <w:noProof/>
            <w:webHidden/>
          </w:rPr>
          <w:fldChar w:fldCharType="begin"/>
        </w:r>
        <w:r>
          <w:rPr>
            <w:noProof/>
            <w:webHidden/>
          </w:rPr>
          <w:instrText xml:space="preserve"> PAGEREF _Toc193117069 \h </w:instrText>
        </w:r>
        <w:r>
          <w:rPr>
            <w:noProof/>
            <w:webHidden/>
          </w:rPr>
        </w:r>
        <w:r>
          <w:rPr>
            <w:noProof/>
            <w:webHidden/>
          </w:rPr>
          <w:fldChar w:fldCharType="separate"/>
        </w:r>
        <w:r>
          <w:rPr>
            <w:noProof/>
            <w:webHidden/>
          </w:rPr>
          <w:t>128</w:t>
        </w:r>
        <w:r>
          <w:rPr>
            <w:noProof/>
            <w:webHidden/>
          </w:rPr>
          <w:fldChar w:fldCharType="end"/>
        </w:r>
      </w:hyperlink>
    </w:p>
    <w:p w14:paraId="64F418E1" w14:textId="0CFC773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70" w:history="1">
        <w:r w:rsidRPr="004E3614">
          <w:rPr>
            <w:rStyle w:val="Hyperlink"/>
            <w:noProof/>
          </w:rPr>
          <w:t>Figure 26. Screenshot of DESE’s Dropout Report</w:t>
        </w:r>
        <w:r>
          <w:rPr>
            <w:noProof/>
            <w:webHidden/>
          </w:rPr>
          <w:tab/>
        </w:r>
        <w:r>
          <w:rPr>
            <w:noProof/>
            <w:webHidden/>
          </w:rPr>
          <w:fldChar w:fldCharType="begin"/>
        </w:r>
        <w:r>
          <w:rPr>
            <w:noProof/>
            <w:webHidden/>
          </w:rPr>
          <w:instrText xml:space="preserve"> PAGEREF _Toc193117070 \h </w:instrText>
        </w:r>
        <w:r>
          <w:rPr>
            <w:noProof/>
            <w:webHidden/>
          </w:rPr>
        </w:r>
        <w:r>
          <w:rPr>
            <w:noProof/>
            <w:webHidden/>
          </w:rPr>
          <w:fldChar w:fldCharType="separate"/>
        </w:r>
        <w:r>
          <w:rPr>
            <w:noProof/>
            <w:webHidden/>
          </w:rPr>
          <w:t>129</w:t>
        </w:r>
        <w:r>
          <w:rPr>
            <w:noProof/>
            <w:webHidden/>
          </w:rPr>
          <w:fldChar w:fldCharType="end"/>
        </w:r>
      </w:hyperlink>
    </w:p>
    <w:p w14:paraId="036B56FE" w14:textId="5DB1070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71" w:history="1">
        <w:r w:rsidRPr="004E3614">
          <w:rPr>
            <w:rStyle w:val="Hyperlink"/>
            <w:noProof/>
          </w:rPr>
          <w:t>Figure 27. Screenshot of DESE’s Graduates Attending Institutes of Higher Education Report</w:t>
        </w:r>
        <w:r>
          <w:rPr>
            <w:noProof/>
            <w:webHidden/>
          </w:rPr>
          <w:tab/>
        </w:r>
        <w:r>
          <w:rPr>
            <w:noProof/>
            <w:webHidden/>
          </w:rPr>
          <w:fldChar w:fldCharType="begin"/>
        </w:r>
        <w:r>
          <w:rPr>
            <w:noProof/>
            <w:webHidden/>
          </w:rPr>
          <w:instrText xml:space="preserve"> PAGEREF _Toc193117071 \h </w:instrText>
        </w:r>
        <w:r>
          <w:rPr>
            <w:noProof/>
            <w:webHidden/>
          </w:rPr>
        </w:r>
        <w:r>
          <w:rPr>
            <w:noProof/>
            <w:webHidden/>
          </w:rPr>
          <w:fldChar w:fldCharType="separate"/>
        </w:r>
        <w:r>
          <w:rPr>
            <w:noProof/>
            <w:webHidden/>
          </w:rPr>
          <w:t>130</w:t>
        </w:r>
        <w:r>
          <w:rPr>
            <w:noProof/>
            <w:webHidden/>
          </w:rPr>
          <w:fldChar w:fldCharType="end"/>
        </w:r>
      </w:hyperlink>
    </w:p>
    <w:p w14:paraId="47F50D4A" w14:textId="75A1B684"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72" w:history="1">
        <w:r w:rsidRPr="004E3614">
          <w:rPr>
            <w:rStyle w:val="Hyperlink"/>
            <w:noProof/>
          </w:rPr>
          <w:t>Figure 28. User Interface in MEI to Help Users Identify Appropriate Buildings to Target</w:t>
        </w:r>
        <w:r>
          <w:rPr>
            <w:noProof/>
            <w:webHidden/>
          </w:rPr>
          <w:tab/>
        </w:r>
        <w:r>
          <w:rPr>
            <w:noProof/>
            <w:webHidden/>
          </w:rPr>
          <w:fldChar w:fldCharType="begin"/>
        </w:r>
        <w:r>
          <w:rPr>
            <w:noProof/>
            <w:webHidden/>
          </w:rPr>
          <w:instrText xml:space="preserve"> PAGEREF _Toc193117072 \h </w:instrText>
        </w:r>
        <w:r>
          <w:rPr>
            <w:noProof/>
            <w:webHidden/>
          </w:rPr>
        </w:r>
        <w:r>
          <w:rPr>
            <w:noProof/>
            <w:webHidden/>
          </w:rPr>
          <w:fldChar w:fldCharType="separate"/>
        </w:r>
        <w:r>
          <w:rPr>
            <w:noProof/>
            <w:webHidden/>
          </w:rPr>
          <w:t>140</w:t>
        </w:r>
        <w:r>
          <w:rPr>
            <w:noProof/>
            <w:webHidden/>
          </w:rPr>
          <w:fldChar w:fldCharType="end"/>
        </w:r>
      </w:hyperlink>
    </w:p>
    <w:p w14:paraId="1F0BA082" w14:textId="0179BF2D" w:rsidR="002C17C1" w:rsidRDefault="002C17C1">
      <w:pPr>
        <w:pStyle w:val="TableofFigures"/>
        <w:tabs>
          <w:tab w:val="right" w:leader="dot" w:pos="9350"/>
        </w:tabs>
        <w:rPr>
          <w:rFonts w:asciiTheme="minorHAnsi" w:eastAsiaTheme="minorEastAsia" w:hAnsiTheme="minorHAnsi" w:cstheme="minorBidi"/>
          <w:noProof/>
          <w:kern w:val="2"/>
          <w14:ligatures w14:val="standardContextual"/>
        </w:rPr>
      </w:pPr>
      <w:hyperlink w:anchor="_Toc193117073" w:history="1">
        <w:r w:rsidRPr="004E3614">
          <w:rPr>
            <w:rStyle w:val="Hyperlink"/>
            <w:noProof/>
          </w:rPr>
          <w:t>Figure 29. Example Method for Categorizing Buildings</w:t>
        </w:r>
        <w:r>
          <w:rPr>
            <w:noProof/>
            <w:webHidden/>
          </w:rPr>
          <w:tab/>
        </w:r>
        <w:r>
          <w:rPr>
            <w:noProof/>
            <w:webHidden/>
          </w:rPr>
          <w:fldChar w:fldCharType="begin"/>
        </w:r>
        <w:r>
          <w:rPr>
            <w:noProof/>
            <w:webHidden/>
          </w:rPr>
          <w:instrText xml:space="preserve"> PAGEREF _Toc193117073 \h </w:instrText>
        </w:r>
        <w:r>
          <w:rPr>
            <w:noProof/>
            <w:webHidden/>
          </w:rPr>
        </w:r>
        <w:r>
          <w:rPr>
            <w:noProof/>
            <w:webHidden/>
          </w:rPr>
          <w:fldChar w:fldCharType="separate"/>
        </w:r>
        <w:r>
          <w:rPr>
            <w:noProof/>
            <w:webHidden/>
          </w:rPr>
          <w:t>143</w:t>
        </w:r>
        <w:r>
          <w:rPr>
            <w:noProof/>
            <w:webHidden/>
          </w:rPr>
          <w:fldChar w:fldCharType="end"/>
        </w:r>
      </w:hyperlink>
    </w:p>
    <w:p w14:paraId="66F36166" w14:textId="1C195FCA" w:rsidR="00B64618" w:rsidRDefault="00B64618">
      <w:r>
        <w:fldChar w:fldCharType="end"/>
      </w:r>
    </w:p>
    <w:p w14:paraId="63ECA348" w14:textId="77777777" w:rsidR="00445118" w:rsidRDefault="00445118">
      <w:pPr>
        <w:sectPr w:rsidR="00445118" w:rsidSect="00BA518D">
          <w:pgSz w:w="12240" w:h="15840"/>
          <w:pgMar w:top="1440" w:right="1440" w:bottom="1440" w:left="1440" w:header="720" w:footer="720" w:gutter="0"/>
          <w:pgNumType w:fmt="lowerRoman"/>
          <w:cols w:space="720"/>
          <w:docGrid w:linePitch="360"/>
        </w:sectPr>
      </w:pPr>
    </w:p>
    <w:p w14:paraId="66F86FF9" w14:textId="30529AB9" w:rsidR="00445118" w:rsidRDefault="5E73C2A9" w:rsidP="00E06AD8">
      <w:pPr>
        <w:pStyle w:val="Heading1NoTOC"/>
      </w:pPr>
      <w:r>
        <w:lastRenderedPageBreak/>
        <w:t>Abbreviations and Acronyms</w:t>
      </w:r>
    </w:p>
    <w:p w14:paraId="7C0DA465" w14:textId="0A18A190" w:rsidR="00014953" w:rsidRDefault="00014953" w:rsidP="00F165EF">
      <w:pPr>
        <w:rPr>
          <w:rFonts w:ascii="Arial" w:hAnsi="Arial" w:cs="Arial"/>
          <w:sz w:val="24"/>
        </w:rPr>
      </w:pPr>
      <w:r>
        <w:rPr>
          <w:rFonts w:ascii="Arial" w:hAnsi="Arial" w:cs="Arial"/>
          <w:sz w:val="24"/>
        </w:rPr>
        <w:t>A/E</w:t>
      </w:r>
      <w:r>
        <w:rPr>
          <w:rFonts w:ascii="Arial" w:hAnsi="Arial" w:cs="Arial"/>
          <w:sz w:val="24"/>
        </w:rPr>
        <w:tab/>
      </w:r>
      <w:r>
        <w:rPr>
          <w:rFonts w:ascii="Arial" w:hAnsi="Arial" w:cs="Arial"/>
          <w:sz w:val="24"/>
        </w:rPr>
        <w:tab/>
        <w:t>Architecture</w:t>
      </w:r>
      <w:r w:rsidR="00712593">
        <w:rPr>
          <w:rFonts w:ascii="Arial" w:hAnsi="Arial" w:cs="Arial"/>
          <w:sz w:val="24"/>
        </w:rPr>
        <w:t xml:space="preserve"> and e</w:t>
      </w:r>
      <w:r>
        <w:rPr>
          <w:rFonts w:ascii="Arial" w:hAnsi="Arial" w:cs="Arial"/>
          <w:sz w:val="24"/>
        </w:rPr>
        <w:t>ngineering</w:t>
      </w:r>
    </w:p>
    <w:p w14:paraId="0E1CCB45" w14:textId="0CA6F4E5" w:rsidR="00376CA8" w:rsidRDefault="00376CA8" w:rsidP="00F165EF">
      <w:pPr>
        <w:rPr>
          <w:rFonts w:ascii="Arial" w:hAnsi="Arial" w:cs="Arial"/>
          <w:sz w:val="24"/>
        </w:rPr>
      </w:pPr>
      <w:r>
        <w:rPr>
          <w:rFonts w:ascii="Arial" w:hAnsi="Arial" w:cs="Arial"/>
          <w:sz w:val="24"/>
        </w:rPr>
        <w:t>AARST</w:t>
      </w:r>
      <w:r>
        <w:rPr>
          <w:rFonts w:ascii="Arial" w:hAnsi="Arial" w:cs="Arial"/>
          <w:sz w:val="24"/>
        </w:rPr>
        <w:tab/>
      </w:r>
      <w:r w:rsidRPr="00376CA8">
        <w:rPr>
          <w:rFonts w:ascii="Arial" w:hAnsi="Arial" w:cs="Arial"/>
          <w:sz w:val="24"/>
        </w:rPr>
        <w:t>American Association of Radon Scientists and Technologists</w:t>
      </w:r>
    </w:p>
    <w:p w14:paraId="6EC57867" w14:textId="70EC4D1F" w:rsidR="000D2FFC" w:rsidRDefault="000D2FFC" w:rsidP="00F165EF">
      <w:pPr>
        <w:rPr>
          <w:rFonts w:ascii="Arial" w:hAnsi="Arial" w:cs="Arial"/>
          <w:sz w:val="24"/>
        </w:rPr>
      </w:pPr>
      <w:r>
        <w:rPr>
          <w:rFonts w:ascii="Arial" w:hAnsi="Arial" w:cs="Arial"/>
          <w:sz w:val="24"/>
        </w:rPr>
        <w:t>AC</w:t>
      </w:r>
      <w:r>
        <w:tab/>
      </w:r>
      <w:r>
        <w:tab/>
      </w:r>
      <w:r w:rsidR="00805FF3">
        <w:rPr>
          <w:rFonts w:ascii="Arial" w:hAnsi="Arial" w:cs="Arial"/>
          <w:sz w:val="24"/>
        </w:rPr>
        <w:t>A</w:t>
      </w:r>
      <w:r>
        <w:rPr>
          <w:rFonts w:ascii="Arial" w:hAnsi="Arial" w:cs="Arial"/>
          <w:sz w:val="24"/>
        </w:rPr>
        <w:t>ir conditioning</w:t>
      </w:r>
    </w:p>
    <w:p w14:paraId="1419AEDB" w14:textId="7EAA8537" w:rsidR="008B170F" w:rsidRDefault="008B170F" w:rsidP="00F165EF">
      <w:pPr>
        <w:rPr>
          <w:rFonts w:ascii="Arial" w:hAnsi="Arial" w:cs="Arial"/>
          <w:sz w:val="24"/>
        </w:rPr>
      </w:pPr>
      <w:r>
        <w:rPr>
          <w:rFonts w:ascii="Arial" w:hAnsi="Arial" w:cs="Arial"/>
          <w:sz w:val="24"/>
        </w:rPr>
        <w:t>ACCA</w:t>
      </w:r>
      <w:r>
        <w:rPr>
          <w:rFonts w:ascii="Arial" w:hAnsi="Arial" w:cs="Arial"/>
          <w:sz w:val="24"/>
        </w:rPr>
        <w:tab/>
      </w:r>
      <w:r>
        <w:rPr>
          <w:rFonts w:ascii="Arial" w:hAnsi="Arial" w:cs="Arial"/>
          <w:sz w:val="24"/>
        </w:rPr>
        <w:tab/>
        <w:t>Air Conditioning Contractors of America</w:t>
      </w:r>
    </w:p>
    <w:p w14:paraId="0E37CA56" w14:textId="254FF373" w:rsidR="00CB3F57" w:rsidRDefault="00CB3F57" w:rsidP="00F165EF">
      <w:pPr>
        <w:rPr>
          <w:rFonts w:ascii="Arial" w:hAnsi="Arial" w:cs="Arial"/>
          <w:sz w:val="24"/>
        </w:rPr>
      </w:pPr>
      <w:r>
        <w:rPr>
          <w:rFonts w:ascii="Arial" w:hAnsi="Arial" w:cs="Arial"/>
          <w:sz w:val="24"/>
        </w:rPr>
        <w:t>ACGIH</w:t>
      </w:r>
      <w:r>
        <w:rPr>
          <w:rFonts w:ascii="Arial" w:hAnsi="Arial" w:cs="Arial"/>
          <w:sz w:val="24"/>
        </w:rPr>
        <w:tab/>
      </w:r>
      <w:r w:rsidRPr="00CB3F57">
        <w:rPr>
          <w:rFonts w:ascii="Arial" w:hAnsi="Arial" w:cs="Arial"/>
          <w:sz w:val="24"/>
        </w:rPr>
        <w:t>American Conference of Governmental Industrial Hygienists</w:t>
      </w:r>
    </w:p>
    <w:p w14:paraId="1B4D0201" w14:textId="502FE68B" w:rsidR="00CB3F57" w:rsidRDefault="00CB3F57" w:rsidP="00F165EF">
      <w:pPr>
        <w:rPr>
          <w:rFonts w:ascii="Arial" w:hAnsi="Arial" w:cs="Arial"/>
          <w:sz w:val="24"/>
        </w:rPr>
      </w:pPr>
      <w:r>
        <w:rPr>
          <w:rFonts w:ascii="Arial" w:hAnsi="Arial" w:cs="Arial"/>
          <w:sz w:val="24"/>
        </w:rPr>
        <w:t>ACM</w:t>
      </w:r>
      <w:r>
        <w:tab/>
      </w:r>
      <w:r>
        <w:tab/>
      </w:r>
      <w:r w:rsidR="00805FF3">
        <w:rPr>
          <w:rFonts w:ascii="Arial" w:hAnsi="Arial" w:cs="Arial"/>
          <w:sz w:val="24"/>
        </w:rPr>
        <w:t>A</w:t>
      </w:r>
      <w:r>
        <w:rPr>
          <w:rFonts w:ascii="Arial" w:hAnsi="Arial" w:cs="Arial"/>
          <w:sz w:val="24"/>
        </w:rPr>
        <w:t>sbestos-containing material</w:t>
      </w:r>
    </w:p>
    <w:p w14:paraId="47B5DF33" w14:textId="1ACF3C67" w:rsidR="00F165EF" w:rsidRPr="00F165EF" w:rsidRDefault="00F165EF" w:rsidP="00F165EF">
      <w:pPr>
        <w:rPr>
          <w:rFonts w:ascii="Arial" w:hAnsi="Arial" w:cs="Arial"/>
          <w:sz w:val="24"/>
        </w:rPr>
      </w:pPr>
      <w:r w:rsidRPr="00F165EF">
        <w:rPr>
          <w:rFonts w:ascii="Arial" w:hAnsi="Arial" w:cs="Arial"/>
          <w:sz w:val="24"/>
        </w:rPr>
        <w:t>ACT</w:t>
      </w:r>
      <w:r w:rsidRPr="00F165EF">
        <w:rPr>
          <w:rFonts w:ascii="Arial" w:hAnsi="Arial" w:cs="Arial"/>
          <w:sz w:val="24"/>
        </w:rPr>
        <w:tab/>
      </w:r>
      <w:r w:rsidRPr="00F165EF">
        <w:rPr>
          <w:rFonts w:ascii="Arial" w:hAnsi="Arial" w:cs="Arial"/>
          <w:sz w:val="24"/>
        </w:rPr>
        <w:tab/>
        <w:t>Accelerating Clean Transportation</w:t>
      </w:r>
    </w:p>
    <w:p w14:paraId="70B101D6" w14:textId="27407322" w:rsidR="000D080F" w:rsidRDefault="00F165EF" w:rsidP="00F165EF">
      <w:pPr>
        <w:rPr>
          <w:rFonts w:ascii="Arial" w:hAnsi="Arial" w:cs="Arial"/>
          <w:sz w:val="24"/>
        </w:rPr>
      </w:pPr>
      <w:r w:rsidRPr="00F165EF">
        <w:rPr>
          <w:rFonts w:ascii="Arial" w:hAnsi="Arial" w:cs="Arial"/>
          <w:sz w:val="24"/>
        </w:rPr>
        <w:t>ADA</w:t>
      </w:r>
      <w:r w:rsidRPr="00F165EF">
        <w:rPr>
          <w:rFonts w:ascii="Arial" w:hAnsi="Arial" w:cs="Arial"/>
          <w:sz w:val="24"/>
        </w:rPr>
        <w:tab/>
      </w:r>
      <w:r w:rsidRPr="00F165EF">
        <w:rPr>
          <w:rFonts w:ascii="Arial" w:hAnsi="Arial" w:cs="Arial"/>
          <w:sz w:val="24"/>
        </w:rPr>
        <w:tab/>
        <w:t>Americans with Disabilities Act</w:t>
      </w:r>
    </w:p>
    <w:p w14:paraId="29DCD7A1" w14:textId="139C0E5A" w:rsidR="00DC6FA9" w:rsidRDefault="00DC6FA9" w:rsidP="00F57F09">
      <w:pPr>
        <w:rPr>
          <w:rFonts w:ascii="Arial" w:hAnsi="Arial" w:cs="Arial"/>
          <w:sz w:val="24"/>
        </w:rPr>
      </w:pPr>
      <w:r>
        <w:rPr>
          <w:rFonts w:ascii="Arial" w:hAnsi="Arial" w:cs="Arial"/>
          <w:sz w:val="24"/>
        </w:rPr>
        <w:t>AHEM</w:t>
      </w:r>
      <w:r>
        <w:rPr>
          <w:rFonts w:ascii="Arial" w:hAnsi="Arial" w:cs="Arial"/>
          <w:sz w:val="24"/>
        </w:rPr>
        <w:tab/>
      </w:r>
      <w:r>
        <w:rPr>
          <w:rFonts w:ascii="Arial" w:hAnsi="Arial" w:cs="Arial"/>
          <w:sz w:val="24"/>
        </w:rPr>
        <w:tab/>
      </w:r>
      <w:r w:rsidR="008D04E7" w:rsidRPr="008D04E7">
        <w:rPr>
          <w:rFonts w:ascii="Arial" w:hAnsi="Arial" w:cs="Arial"/>
          <w:sz w:val="24"/>
        </w:rPr>
        <w:t xml:space="preserve">Advancing Health Equity in </w:t>
      </w:r>
      <w:r w:rsidR="008F4AD7">
        <w:rPr>
          <w:rFonts w:ascii="Arial" w:hAnsi="Arial" w:cs="Arial"/>
          <w:sz w:val="24"/>
        </w:rPr>
        <w:t>MA</w:t>
      </w:r>
    </w:p>
    <w:p w14:paraId="269D5497" w14:textId="6156D522" w:rsidR="00382A4D" w:rsidRDefault="00382A4D" w:rsidP="00F57F09">
      <w:pPr>
        <w:rPr>
          <w:rFonts w:ascii="Arial" w:hAnsi="Arial" w:cs="Arial"/>
          <w:sz w:val="24"/>
        </w:rPr>
      </w:pPr>
      <w:r>
        <w:rPr>
          <w:rFonts w:ascii="Arial" w:hAnsi="Arial" w:cs="Arial"/>
          <w:sz w:val="24"/>
        </w:rPr>
        <w:t>AHERA</w:t>
      </w:r>
      <w:r>
        <w:rPr>
          <w:rFonts w:ascii="Arial" w:hAnsi="Arial" w:cs="Arial"/>
          <w:sz w:val="24"/>
        </w:rPr>
        <w:tab/>
      </w:r>
      <w:r w:rsidRPr="00382A4D">
        <w:rPr>
          <w:rFonts w:ascii="Arial" w:hAnsi="Arial" w:cs="Arial"/>
          <w:sz w:val="24"/>
        </w:rPr>
        <w:t>Asbestos Hazard Emergency Response Act</w:t>
      </w:r>
    </w:p>
    <w:p w14:paraId="47E0CA42" w14:textId="587FC7F9" w:rsidR="00382A4D" w:rsidRDefault="00382A4D" w:rsidP="00F57F09">
      <w:pPr>
        <w:rPr>
          <w:rFonts w:ascii="Arial" w:hAnsi="Arial" w:cs="Arial"/>
          <w:sz w:val="24"/>
        </w:rPr>
      </w:pPr>
      <w:r>
        <w:rPr>
          <w:rFonts w:ascii="Arial" w:hAnsi="Arial" w:cs="Arial"/>
          <w:sz w:val="24"/>
        </w:rPr>
        <w:t>AMI</w:t>
      </w:r>
      <w:r>
        <w:tab/>
      </w:r>
      <w:r>
        <w:tab/>
      </w:r>
      <w:r w:rsidR="00805FF3">
        <w:rPr>
          <w:rFonts w:ascii="Arial" w:hAnsi="Arial" w:cs="Arial"/>
          <w:sz w:val="24"/>
        </w:rPr>
        <w:t>A</w:t>
      </w:r>
      <w:r>
        <w:rPr>
          <w:rFonts w:ascii="Arial" w:hAnsi="Arial" w:cs="Arial"/>
          <w:sz w:val="24"/>
        </w:rPr>
        <w:t xml:space="preserve">dvanced metering </w:t>
      </w:r>
      <w:r w:rsidR="00601A94">
        <w:rPr>
          <w:rFonts w:ascii="Arial" w:hAnsi="Arial" w:cs="Arial"/>
          <w:sz w:val="24"/>
        </w:rPr>
        <w:t>infrastructure</w:t>
      </w:r>
    </w:p>
    <w:p w14:paraId="239B5DEA" w14:textId="4C87223C" w:rsidR="001440BA" w:rsidRDefault="001440BA" w:rsidP="00F57F09">
      <w:pPr>
        <w:rPr>
          <w:rFonts w:ascii="Arial" w:hAnsi="Arial" w:cs="Arial"/>
          <w:sz w:val="24"/>
        </w:rPr>
      </w:pPr>
      <w:r>
        <w:rPr>
          <w:rFonts w:ascii="Arial" w:hAnsi="Arial" w:cs="Arial"/>
          <w:sz w:val="24"/>
        </w:rPr>
        <w:t>AMP</w:t>
      </w:r>
      <w:r>
        <w:rPr>
          <w:rFonts w:ascii="Arial" w:hAnsi="Arial" w:cs="Arial"/>
          <w:sz w:val="24"/>
        </w:rPr>
        <w:tab/>
      </w:r>
      <w:r>
        <w:rPr>
          <w:rFonts w:ascii="Arial" w:hAnsi="Arial" w:cs="Arial"/>
          <w:sz w:val="24"/>
        </w:rPr>
        <w:tab/>
        <w:t>Asbestos Management Plan</w:t>
      </w:r>
    </w:p>
    <w:p w14:paraId="4876EB70" w14:textId="2B1C8DFD" w:rsidR="00E660A6" w:rsidRDefault="00E660A6" w:rsidP="00F57F09">
      <w:pPr>
        <w:rPr>
          <w:rFonts w:ascii="Arial" w:hAnsi="Arial" w:cs="Arial"/>
          <w:sz w:val="24"/>
        </w:rPr>
      </w:pPr>
      <w:r>
        <w:rPr>
          <w:rFonts w:ascii="Arial" w:hAnsi="Arial" w:cs="Arial"/>
          <w:sz w:val="24"/>
        </w:rPr>
        <w:t>ANSI</w:t>
      </w:r>
      <w:r w:rsidR="009139DA">
        <w:rPr>
          <w:rFonts w:ascii="Arial" w:hAnsi="Arial" w:cs="Arial"/>
          <w:sz w:val="24"/>
        </w:rPr>
        <w:tab/>
      </w:r>
      <w:r w:rsidR="009139DA">
        <w:rPr>
          <w:rFonts w:ascii="Arial" w:hAnsi="Arial" w:cs="Arial"/>
          <w:sz w:val="24"/>
        </w:rPr>
        <w:tab/>
      </w:r>
      <w:r w:rsidR="009139DA" w:rsidRPr="009139DA">
        <w:rPr>
          <w:rFonts w:ascii="Arial" w:hAnsi="Arial" w:cs="Arial"/>
          <w:sz w:val="24"/>
        </w:rPr>
        <w:t>American National Standards Institute</w:t>
      </w:r>
    </w:p>
    <w:p w14:paraId="0682AFC7" w14:textId="1C0C25F3" w:rsidR="006E68E8" w:rsidRDefault="006E68E8" w:rsidP="00F57F09">
      <w:pPr>
        <w:rPr>
          <w:rFonts w:ascii="Arial" w:hAnsi="Arial" w:cs="Arial"/>
          <w:sz w:val="24"/>
        </w:rPr>
      </w:pPr>
      <w:r>
        <w:rPr>
          <w:rFonts w:ascii="Arial" w:hAnsi="Arial" w:cs="Arial"/>
          <w:sz w:val="24"/>
        </w:rPr>
        <w:t>APCP</w:t>
      </w:r>
      <w:r>
        <w:rPr>
          <w:rFonts w:ascii="Arial" w:hAnsi="Arial" w:cs="Arial"/>
          <w:sz w:val="24"/>
        </w:rPr>
        <w:tab/>
      </w:r>
      <w:r>
        <w:rPr>
          <w:rFonts w:ascii="Arial" w:hAnsi="Arial" w:cs="Arial"/>
          <w:sz w:val="24"/>
        </w:rPr>
        <w:tab/>
      </w:r>
      <w:r w:rsidRPr="006E68E8">
        <w:rPr>
          <w:rFonts w:ascii="Arial" w:hAnsi="Arial" w:cs="Arial"/>
          <w:sz w:val="24"/>
        </w:rPr>
        <w:t>Asthma Prevention and Control Program</w:t>
      </w:r>
      <w:r>
        <w:rPr>
          <w:rFonts w:ascii="Arial" w:hAnsi="Arial" w:cs="Arial"/>
          <w:sz w:val="24"/>
        </w:rPr>
        <w:t>, MA Department of Public Health</w:t>
      </w:r>
    </w:p>
    <w:p w14:paraId="604ACDC0" w14:textId="153DFF95" w:rsidR="00E660A6" w:rsidRDefault="00E660A6" w:rsidP="00F57F09">
      <w:pPr>
        <w:rPr>
          <w:rFonts w:ascii="Arial" w:hAnsi="Arial" w:cs="Arial"/>
          <w:sz w:val="24"/>
        </w:rPr>
      </w:pPr>
      <w:r>
        <w:rPr>
          <w:rFonts w:ascii="Arial" w:hAnsi="Arial" w:cs="Arial"/>
          <w:sz w:val="24"/>
        </w:rPr>
        <w:t>ASABE</w:t>
      </w:r>
      <w:r w:rsidR="009139DA">
        <w:rPr>
          <w:rFonts w:ascii="Arial" w:hAnsi="Arial" w:cs="Arial"/>
          <w:sz w:val="24"/>
        </w:rPr>
        <w:tab/>
      </w:r>
      <w:r w:rsidR="009139DA" w:rsidRPr="009139DA">
        <w:rPr>
          <w:rFonts w:ascii="Arial" w:hAnsi="Arial" w:cs="Arial"/>
          <w:sz w:val="24"/>
        </w:rPr>
        <w:t>American Society of Agricultural and Biological Engineers</w:t>
      </w:r>
    </w:p>
    <w:p w14:paraId="1539FBA3" w14:textId="3AEB250A" w:rsidR="00E660A6" w:rsidRDefault="00E660A6" w:rsidP="009B3638">
      <w:pPr>
        <w:ind w:left="1440" w:hanging="1440"/>
        <w:rPr>
          <w:rFonts w:ascii="Arial" w:hAnsi="Arial" w:cs="Arial"/>
          <w:sz w:val="24"/>
        </w:rPr>
      </w:pPr>
      <w:r>
        <w:rPr>
          <w:rFonts w:ascii="Arial" w:hAnsi="Arial" w:cs="Arial"/>
          <w:sz w:val="24"/>
        </w:rPr>
        <w:t>ASHRAE</w:t>
      </w:r>
      <w:r w:rsidR="009B3638">
        <w:rPr>
          <w:rFonts w:ascii="Arial" w:hAnsi="Arial" w:cs="Arial"/>
          <w:sz w:val="24"/>
        </w:rPr>
        <w:tab/>
      </w:r>
      <w:r w:rsidR="009B3638" w:rsidRPr="009B3638">
        <w:rPr>
          <w:rFonts w:ascii="Arial" w:hAnsi="Arial" w:cs="Arial"/>
          <w:sz w:val="24"/>
        </w:rPr>
        <w:t>American Society of Heating, Refrigeration and Air-Conditioning Engineers</w:t>
      </w:r>
    </w:p>
    <w:p w14:paraId="61886429" w14:textId="420E364B" w:rsidR="00E660A6" w:rsidRDefault="00E660A6" w:rsidP="007E0E0A">
      <w:pPr>
        <w:tabs>
          <w:tab w:val="left" w:pos="720"/>
          <w:tab w:val="left" w:pos="1440"/>
          <w:tab w:val="left" w:pos="2160"/>
          <w:tab w:val="left" w:pos="2880"/>
          <w:tab w:val="left" w:pos="3600"/>
          <w:tab w:val="left" w:pos="4320"/>
          <w:tab w:val="left" w:pos="5040"/>
          <w:tab w:val="left" w:pos="5760"/>
          <w:tab w:val="right" w:pos="9360"/>
        </w:tabs>
        <w:rPr>
          <w:rFonts w:ascii="Arial" w:hAnsi="Arial" w:cs="Arial"/>
          <w:sz w:val="24"/>
        </w:rPr>
      </w:pPr>
      <w:r>
        <w:rPr>
          <w:rFonts w:ascii="Arial" w:hAnsi="Arial" w:cs="Arial"/>
          <w:sz w:val="24"/>
        </w:rPr>
        <w:t>ASTM</w:t>
      </w:r>
      <w:r w:rsidR="009B3638">
        <w:rPr>
          <w:rFonts w:ascii="Arial" w:hAnsi="Arial" w:cs="Arial"/>
          <w:sz w:val="24"/>
        </w:rPr>
        <w:tab/>
      </w:r>
      <w:r w:rsidR="009B3638">
        <w:rPr>
          <w:rFonts w:ascii="Arial" w:hAnsi="Arial" w:cs="Arial"/>
          <w:sz w:val="24"/>
        </w:rPr>
        <w:tab/>
      </w:r>
      <w:r w:rsidR="009B3638" w:rsidRPr="009B3638">
        <w:rPr>
          <w:rFonts w:ascii="Arial" w:hAnsi="Arial" w:cs="Arial"/>
          <w:sz w:val="24"/>
        </w:rPr>
        <w:t>American Society for Testing and Materials</w:t>
      </w:r>
    </w:p>
    <w:p w14:paraId="2BFDA0C9" w14:textId="6B14DA72" w:rsidR="00385A1B" w:rsidRDefault="00385A1B" w:rsidP="00F57F09">
      <w:pPr>
        <w:rPr>
          <w:rFonts w:ascii="Arial" w:hAnsi="Arial" w:cs="Arial"/>
          <w:sz w:val="24"/>
        </w:rPr>
      </w:pPr>
      <w:r>
        <w:rPr>
          <w:rFonts w:ascii="Arial" w:hAnsi="Arial" w:cs="Arial"/>
          <w:sz w:val="24"/>
        </w:rPr>
        <w:t>ATF</w:t>
      </w:r>
      <w:r>
        <w:rPr>
          <w:rFonts w:ascii="Arial" w:hAnsi="Arial" w:cs="Arial"/>
          <w:sz w:val="24"/>
        </w:rPr>
        <w:tab/>
      </w:r>
      <w:r>
        <w:rPr>
          <w:rFonts w:ascii="Arial" w:hAnsi="Arial" w:cs="Arial"/>
          <w:sz w:val="24"/>
        </w:rPr>
        <w:tab/>
        <w:t>Artificial turf field</w:t>
      </w:r>
    </w:p>
    <w:p w14:paraId="0B8B2D76" w14:textId="7D89D6AD" w:rsidR="0052791E" w:rsidRDefault="0052791E" w:rsidP="00F57F09">
      <w:pPr>
        <w:rPr>
          <w:rFonts w:ascii="Arial" w:hAnsi="Arial" w:cs="Arial"/>
          <w:sz w:val="24"/>
        </w:rPr>
      </w:pPr>
      <w:r>
        <w:rPr>
          <w:rFonts w:ascii="Arial" w:hAnsi="Arial" w:cs="Arial"/>
          <w:sz w:val="24"/>
        </w:rPr>
        <w:t>BABA</w:t>
      </w:r>
      <w:r>
        <w:rPr>
          <w:rFonts w:ascii="Arial" w:hAnsi="Arial" w:cs="Arial"/>
          <w:sz w:val="24"/>
        </w:rPr>
        <w:tab/>
      </w:r>
      <w:r w:rsidR="00171049">
        <w:rPr>
          <w:rFonts w:ascii="Arial" w:hAnsi="Arial" w:cs="Arial"/>
          <w:sz w:val="24"/>
        </w:rPr>
        <w:tab/>
      </w:r>
      <w:r w:rsidR="00171049" w:rsidRPr="00171049">
        <w:rPr>
          <w:rFonts w:ascii="Arial" w:hAnsi="Arial" w:cs="Arial"/>
          <w:sz w:val="24"/>
        </w:rPr>
        <w:t>Build America</w:t>
      </w:r>
      <w:r w:rsidR="00171049">
        <w:rPr>
          <w:rFonts w:ascii="Arial" w:hAnsi="Arial" w:cs="Arial"/>
          <w:sz w:val="24"/>
        </w:rPr>
        <w:t>,</w:t>
      </w:r>
      <w:r w:rsidR="00171049" w:rsidRPr="00171049">
        <w:rPr>
          <w:rFonts w:ascii="Arial" w:hAnsi="Arial" w:cs="Arial"/>
          <w:sz w:val="24"/>
        </w:rPr>
        <w:t xml:space="preserve"> Buy America</w:t>
      </w:r>
    </w:p>
    <w:p w14:paraId="5308CBB4" w14:textId="2179061F" w:rsidR="006301F3" w:rsidRDefault="006301F3" w:rsidP="00F57F09">
      <w:pPr>
        <w:rPr>
          <w:rFonts w:ascii="Arial" w:hAnsi="Arial" w:cs="Arial"/>
          <w:sz w:val="24"/>
        </w:rPr>
      </w:pPr>
      <w:r w:rsidRPr="006301F3">
        <w:rPr>
          <w:rFonts w:ascii="Arial" w:hAnsi="Arial" w:cs="Arial"/>
          <w:sz w:val="24"/>
        </w:rPr>
        <w:t>BAS</w:t>
      </w:r>
      <w:r>
        <w:tab/>
      </w:r>
      <w:r>
        <w:tab/>
      </w:r>
      <w:r w:rsidR="00805FF3">
        <w:rPr>
          <w:rFonts w:ascii="Arial" w:hAnsi="Arial" w:cs="Arial"/>
          <w:sz w:val="24"/>
        </w:rPr>
        <w:t>B</w:t>
      </w:r>
      <w:r w:rsidR="1C22E77B" w:rsidRPr="16545032">
        <w:rPr>
          <w:rFonts w:ascii="Arial" w:hAnsi="Arial" w:cs="Arial"/>
          <w:sz w:val="24"/>
        </w:rPr>
        <w:t>uilding</w:t>
      </w:r>
      <w:r w:rsidRPr="006301F3">
        <w:rPr>
          <w:rFonts w:ascii="Arial" w:hAnsi="Arial" w:cs="Arial"/>
          <w:sz w:val="24"/>
        </w:rPr>
        <w:t xml:space="preserve"> automation system</w:t>
      </w:r>
    </w:p>
    <w:p w14:paraId="3FB75963" w14:textId="5D3F4359" w:rsidR="00F57F09" w:rsidRPr="00FB5EAE" w:rsidRDefault="00F57F09" w:rsidP="007D481B">
      <w:pPr>
        <w:ind w:left="1440" w:hanging="1440"/>
        <w:rPr>
          <w:rFonts w:ascii="Arial" w:hAnsi="Arial" w:cs="Arial"/>
          <w:sz w:val="24"/>
        </w:rPr>
      </w:pPr>
      <w:r w:rsidRPr="00FB5EAE">
        <w:rPr>
          <w:rFonts w:ascii="Arial" w:hAnsi="Arial" w:cs="Arial"/>
          <w:sz w:val="24"/>
        </w:rPr>
        <w:t>BCEH</w:t>
      </w:r>
      <w:r>
        <w:tab/>
      </w:r>
      <w:r w:rsidRPr="00FB5EAE">
        <w:rPr>
          <w:rFonts w:ascii="Arial" w:hAnsi="Arial" w:cs="Arial"/>
          <w:sz w:val="24"/>
        </w:rPr>
        <w:t xml:space="preserve">Bureau of Climate and Environmental Health, </w:t>
      </w:r>
      <w:r w:rsidR="5564591F" w:rsidRPr="16545032">
        <w:rPr>
          <w:rFonts w:ascii="Arial" w:hAnsi="Arial" w:cs="Arial"/>
          <w:sz w:val="24"/>
        </w:rPr>
        <w:t xml:space="preserve">MA </w:t>
      </w:r>
      <w:r w:rsidRPr="00FB5EAE">
        <w:rPr>
          <w:rFonts w:ascii="Arial" w:hAnsi="Arial" w:cs="Arial"/>
          <w:sz w:val="24"/>
        </w:rPr>
        <w:t>Department of Public Health</w:t>
      </w:r>
    </w:p>
    <w:p w14:paraId="6689AB72" w14:textId="14EBB3E0" w:rsidR="008079DE" w:rsidRDefault="008079DE" w:rsidP="00F57F09">
      <w:pPr>
        <w:rPr>
          <w:rFonts w:ascii="Arial" w:hAnsi="Arial" w:cs="Arial"/>
          <w:sz w:val="24"/>
        </w:rPr>
      </w:pPr>
      <w:r>
        <w:rPr>
          <w:rFonts w:ascii="Arial" w:hAnsi="Arial" w:cs="Arial"/>
          <w:sz w:val="24"/>
        </w:rPr>
        <w:t>BESS</w:t>
      </w:r>
      <w:r>
        <w:rPr>
          <w:rFonts w:ascii="Arial" w:hAnsi="Arial" w:cs="Arial"/>
          <w:sz w:val="24"/>
        </w:rPr>
        <w:tab/>
      </w:r>
      <w:r>
        <w:rPr>
          <w:rFonts w:ascii="Arial" w:hAnsi="Arial" w:cs="Arial"/>
          <w:sz w:val="24"/>
        </w:rPr>
        <w:tab/>
        <w:t xml:space="preserve">Battery </w:t>
      </w:r>
      <w:r w:rsidR="00AF4E63">
        <w:rPr>
          <w:rFonts w:ascii="Arial" w:hAnsi="Arial" w:cs="Arial"/>
          <w:sz w:val="24"/>
        </w:rPr>
        <w:t>e</w:t>
      </w:r>
      <w:r>
        <w:rPr>
          <w:rFonts w:ascii="Arial" w:hAnsi="Arial" w:cs="Arial"/>
          <w:sz w:val="24"/>
        </w:rPr>
        <w:t xml:space="preserve">nergy </w:t>
      </w:r>
      <w:r w:rsidR="00AF4E63">
        <w:rPr>
          <w:rFonts w:ascii="Arial" w:hAnsi="Arial" w:cs="Arial"/>
          <w:sz w:val="24"/>
        </w:rPr>
        <w:t>s</w:t>
      </w:r>
      <w:r>
        <w:rPr>
          <w:rFonts w:ascii="Arial" w:hAnsi="Arial" w:cs="Arial"/>
          <w:sz w:val="24"/>
        </w:rPr>
        <w:t xml:space="preserve">torage </w:t>
      </w:r>
      <w:r w:rsidR="00AF4E63">
        <w:rPr>
          <w:rFonts w:ascii="Arial" w:hAnsi="Arial" w:cs="Arial"/>
          <w:sz w:val="24"/>
        </w:rPr>
        <w:t>s</w:t>
      </w:r>
      <w:r>
        <w:rPr>
          <w:rFonts w:ascii="Arial" w:hAnsi="Arial" w:cs="Arial"/>
          <w:sz w:val="24"/>
        </w:rPr>
        <w:t>ystems</w:t>
      </w:r>
    </w:p>
    <w:p w14:paraId="0DBF9B4C" w14:textId="604D1FDB" w:rsidR="007B667D" w:rsidRPr="001E607A" w:rsidRDefault="007B667D" w:rsidP="00F57F09">
      <w:pPr>
        <w:rPr>
          <w:rFonts w:ascii="Arial" w:eastAsia="Arial" w:hAnsi="Arial" w:cs="Arial"/>
          <w:sz w:val="24"/>
        </w:rPr>
      </w:pPr>
      <w:r w:rsidRPr="007B667D">
        <w:rPr>
          <w:rFonts w:ascii="Arial" w:hAnsi="Arial" w:cs="Arial"/>
          <w:sz w:val="24"/>
        </w:rPr>
        <w:t>BPS</w:t>
      </w:r>
      <w:r>
        <w:tab/>
      </w:r>
      <w:r>
        <w:tab/>
      </w:r>
      <w:r w:rsidRPr="003702D9">
        <w:rPr>
          <w:rFonts w:ascii="Arial" w:hAnsi="Arial" w:cs="Arial"/>
          <w:sz w:val="24"/>
        </w:rPr>
        <w:t>B</w:t>
      </w:r>
      <w:r w:rsidR="208B8C2C" w:rsidRPr="001E607A">
        <w:rPr>
          <w:rFonts w:ascii="Arial" w:hAnsi="Arial" w:cs="Arial"/>
          <w:sz w:val="24"/>
        </w:rPr>
        <w:t>uilding</w:t>
      </w:r>
      <w:r w:rsidRPr="001E607A">
        <w:rPr>
          <w:rFonts w:ascii="Arial" w:eastAsia="Arial" w:hAnsi="Arial" w:cs="Arial"/>
          <w:sz w:val="24"/>
        </w:rPr>
        <w:t xml:space="preserve"> performance standards</w:t>
      </w:r>
    </w:p>
    <w:p w14:paraId="36E1D3CC" w14:textId="4158C7A3" w:rsidR="005B0494" w:rsidRPr="001E607A" w:rsidRDefault="005B0494" w:rsidP="00586631">
      <w:pPr>
        <w:rPr>
          <w:rFonts w:ascii="Arial" w:eastAsia="Arial" w:hAnsi="Arial" w:cs="Arial"/>
          <w:sz w:val="24"/>
        </w:rPr>
      </w:pPr>
      <w:r w:rsidRPr="001E607A">
        <w:rPr>
          <w:rFonts w:ascii="Arial" w:eastAsia="Arial" w:hAnsi="Arial" w:cs="Arial"/>
          <w:sz w:val="24"/>
        </w:rPr>
        <w:t>CAN</w:t>
      </w:r>
      <w:r>
        <w:tab/>
      </w:r>
      <w:r>
        <w:tab/>
      </w:r>
      <w:r w:rsidR="003702D9">
        <w:rPr>
          <w:rFonts w:ascii="Arial" w:eastAsia="Arial" w:hAnsi="Arial" w:cs="Arial"/>
          <w:sz w:val="24"/>
        </w:rPr>
        <w:t>S</w:t>
      </w:r>
      <w:r w:rsidRPr="001E607A">
        <w:rPr>
          <w:rFonts w:ascii="Arial" w:hAnsi="Arial" w:cs="Arial"/>
          <w:sz w:val="24"/>
        </w:rPr>
        <w:t xml:space="preserve">horthand for </w:t>
      </w:r>
      <w:r w:rsidR="001E607A">
        <w:rPr>
          <w:rFonts w:ascii="Arial" w:eastAsia="Arial" w:hAnsi="Arial" w:cs="Arial"/>
          <w:sz w:val="24"/>
        </w:rPr>
        <w:t>a</w:t>
      </w:r>
      <w:r>
        <w:rPr>
          <w:rFonts w:ascii="Arial" w:eastAsia="Arial" w:hAnsi="Arial" w:cs="Arial"/>
          <w:sz w:val="24"/>
        </w:rPr>
        <w:t xml:space="preserve"> </w:t>
      </w:r>
      <w:r w:rsidRPr="001E607A">
        <w:rPr>
          <w:rFonts w:ascii="Arial" w:eastAsia="Arial" w:hAnsi="Arial" w:cs="Arial"/>
          <w:sz w:val="24"/>
        </w:rPr>
        <w:t>standard developed by Canadian Standards Association</w:t>
      </w:r>
    </w:p>
    <w:p w14:paraId="3EFD0D1F" w14:textId="2C292D11" w:rsidR="00BA0CA2" w:rsidRDefault="00BA0CA2" w:rsidP="00586631">
      <w:pPr>
        <w:rPr>
          <w:rFonts w:ascii="Arial" w:hAnsi="Arial" w:cs="Arial"/>
          <w:sz w:val="24"/>
        </w:rPr>
      </w:pPr>
      <w:r>
        <w:rPr>
          <w:rFonts w:ascii="Arial" w:hAnsi="Arial" w:cs="Arial"/>
          <w:sz w:val="24"/>
        </w:rPr>
        <w:t>CDC</w:t>
      </w:r>
      <w:r w:rsidR="009026B3">
        <w:tab/>
      </w:r>
      <w:r w:rsidR="009026B3">
        <w:tab/>
      </w:r>
      <w:r w:rsidR="1A8913FA">
        <w:rPr>
          <w:rFonts w:ascii="Arial" w:eastAsia="Arial" w:hAnsi="Arial" w:cs="Arial"/>
          <w:sz w:val="24"/>
        </w:rPr>
        <w:t xml:space="preserve">U.S. </w:t>
      </w:r>
      <w:r w:rsidR="702C4DFC">
        <w:rPr>
          <w:rFonts w:ascii="Arial" w:eastAsia="Arial" w:hAnsi="Arial" w:cs="Arial"/>
          <w:sz w:val="24"/>
        </w:rPr>
        <w:t>C</w:t>
      </w:r>
      <w:r w:rsidR="702C4DFC" w:rsidRPr="16545032">
        <w:rPr>
          <w:rFonts w:ascii="Arial" w:hAnsi="Arial" w:cs="Arial"/>
          <w:sz w:val="24"/>
        </w:rPr>
        <w:t>enter</w:t>
      </w:r>
      <w:r w:rsidR="303DCC69" w:rsidRPr="16545032">
        <w:rPr>
          <w:rFonts w:ascii="Arial" w:hAnsi="Arial" w:cs="Arial"/>
          <w:sz w:val="24"/>
        </w:rPr>
        <w:t>s</w:t>
      </w:r>
      <w:r w:rsidR="009026B3">
        <w:rPr>
          <w:rFonts w:ascii="Arial" w:hAnsi="Arial" w:cs="Arial"/>
          <w:sz w:val="24"/>
        </w:rPr>
        <w:t xml:space="preserve"> for Disease Control</w:t>
      </w:r>
      <w:r w:rsidR="1B682109" w:rsidRPr="16545032">
        <w:rPr>
          <w:rFonts w:ascii="Arial" w:hAnsi="Arial" w:cs="Arial"/>
          <w:sz w:val="24"/>
        </w:rPr>
        <w:t xml:space="preserve"> and Prevention</w:t>
      </w:r>
    </w:p>
    <w:p w14:paraId="24DF12ED" w14:textId="12FEA0F5" w:rsidR="00BA0CA2" w:rsidRDefault="00BA0CA2" w:rsidP="00586631">
      <w:pPr>
        <w:rPr>
          <w:rFonts w:ascii="Arial" w:hAnsi="Arial" w:cs="Arial"/>
          <w:sz w:val="24"/>
        </w:rPr>
      </w:pPr>
      <w:r>
        <w:rPr>
          <w:rFonts w:ascii="Arial" w:hAnsi="Arial" w:cs="Arial"/>
          <w:sz w:val="24"/>
        </w:rPr>
        <w:t>CFI</w:t>
      </w:r>
      <w:r w:rsidR="008960E8">
        <w:rPr>
          <w:rFonts w:ascii="Arial" w:hAnsi="Arial" w:cs="Arial"/>
          <w:sz w:val="24"/>
        </w:rPr>
        <w:tab/>
      </w:r>
      <w:r w:rsidR="008960E8">
        <w:rPr>
          <w:rFonts w:ascii="Arial" w:hAnsi="Arial" w:cs="Arial"/>
          <w:sz w:val="24"/>
        </w:rPr>
        <w:tab/>
        <w:t>Charging and Fueling Infrastructure</w:t>
      </w:r>
    </w:p>
    <w:p w14:paraId="2256FDF3" w14:textId="70A65810" w:rsidR="009026B3" w:rsidRDefault="009026B3" w:rsidP="00586631">
      <w:pPr>
        <w:rPr>
          <w:rFonts w:ascii="Arial" w:hAnsi="Arial" w:cs="Arial"/>
          <w:sz w:val="24"/>
        </w:rPr>
      </w:pPr>
      <w:r>
        <w:rPr>
          <w:rFonts w:ascii="Arial" w:hAnsi="Arial" w:cs="Arial"/>
          <w:sz w:val="24"/>
        </w:rPr>
        <w:t>CFR</w:t>
      </w:r>
      <w:r w:rsidR="008960E8">
        <w:rPr>
          <w:rFonts w:ascii="Arial" w:hAnsi="Arial" w:cs="Arial"/>
          <w:sz w:val="24"/>
        </w:rPr>
        <w:tab/>
      </w:r>
      <w:r w:rsidR="008960E8">
        <w:rPr>
          <w:rFonts w:ascii="Arial" w:hAnsi="Arial" w:cs="Arial"/>
          <w:sz w:val="24"/>
        </w:rPr>
        <w:tab/>
        <w:t>Code of Federal Regulations</w:t>
      </w:r>
    </w:p>
    <w:p w14:paraId="6BFA874D" w14:textId="406FF6AC" w:rsidR="00586631" w:rsidRPr="00586631" w:rsidRDefault="00586631" w:rsidP="00586631">
      <w:pPr>
        <w:rPr>
          <w:rFonts w:ascii="Arial" w:hAnsi="Arial" w:cs="Arial"/>
          <w:sz w:val="24"/>
        </w:rPr>
      </w:pPr>
      <w:r w:rsidRPr="00586631">
        <w:rPr>
          <w:rFonts w:ascii="Arial" w:hAnsi="Arial" w:cs="Arial"/>
          <w:sz w:val="24"/>
        </w:rPr>
        <w:t>CHDV</w:t>
      </w:r>
      <w:r w:rsidRPr="00586631">
        <w:rPr>
          <w:rFonts w:ascii="Arial" w:hAnsi="Arial" w:cs="Arial"/>
          <w:sz w:val="24"/>
        </w:rPr>
        <w:tab/>
      </w:r>
      <w:r w:rsidRPr="00586631">
        <w:rPr>
          <w:rFonts w:ascii="Arial" w:hAnsi="Arial" w:cs="Arial"/>
          <w:sz w:val="24"/>
        </w:rPr>
        <w:tab/>
        <w:t>Clean Heavy Duty Vehicle</w:t>
      </w:r>
    </w:p>
    <w:p w14:paraId="680F81C2" w14:textId="46EF82AF" w:rsidR="009026B3" w:rsidRDefault="009026B3" w:rsidP="00586631">
      <w:pPr>
        <w:rPr>
          <w:rFonts w:ascii="Arial" w:hAnsi="Arial" w:cs="Arial"/>
          <w:sz w:val="24"/>
        </w:rPr>
      </w:pPr>
      <w:r>
        <w:rPr>
          <w:rFonts w:ascii="Arial" w:hAnsi="Arial" w:cs="Arial"/>
          <w:sz w:val="24"/>
        </w:rPr>
        <w:t>CHPS</w:t>
      </w:r>
      <w:r w:rsidR="008960E8">
        <w:rPr>
          <w:rFonts w:ascii="Arial" w:hAnsi="Arial" w:cs="Arial"/>
          <w:sz w:val="24"/>
        </w:rPr>
        <w:tab/>
      </w:r>
      <w:r w:rsidR="008960E8">
        <w:rPr>
          <w:rFonts w:ascii="Arial" w:hAnsi="Arial" w:cs="Arial"/>
          <w:sz w:val="24"/>
        </w:rPr>
        <w:tab/>
      </w:r>
      <w:r w:rsidR="008960E8" w:rsidRPr="008960E8">
        <w:rPr>
          <w:rFonts w:ascii="Arial" w:hAnsi="Arial" w:cs="Arial"/>
          <w:sz w:val="24"/>
        </w:rPr>
        <w:t>Collaborative for High Performance Schools</w:t>
      </w:r>
    </w:p>
    <w:p w14:paraId="6AD19088" w14:textId="5E5C6818" w:rsidR="009026B3" w:rsidRPr="00B932D5" w:rsidRDefault="009026B3" w:rsidP="00586631">
      <w:pPr>
        <w:rPr>
          <w:rFonts w:ascii="Arial" w:eastAsia="Arial" w:hAnsi="Arial" w:cs="Arial"/>
          <w:sz w:val="24"/>
        </w:rPr>
      </w:pPr>
      <w:r>
        <w:rPr>
          <w:rFonts w:ascii="Arial" w:hAnsi="Arial" w:cs="Arial"/>
          <w:sz w:val="24"/>
        </w:rPr>
        <w:t>CMR</w:t>
      </w:r>
      <w:r w:rsidR="007A47C6" w:rsidRPr="007A47C6">
        <w:t xml:space="preserve"> </w:t>
      </w:r>
      <w:r w:rsidR="007A47C6">
        <w:tab/>
      </w:r>
      <w:r w:rsidR="007A47C6">
        <w:tab/>
      </w:r>
      <w:r w:rsidR="007A47C6" w:rsidRPr="00B932D5">
        <w:rPr>
          <w:rFonts w:ascii="Arial" w:eastAsia="Arial" w:hAnsi="Arial" w:cs="Arial"/>
          <w:sz w:val="24"/>
        </w:rPr>
        <w:t>Code of Massachusetts Regulations</w:t>
      </w:r>
    </w:p>
    <w:p w14:paraId="2C0EF016" w14:textId="1FE3376A" w:rsidR="00586631" w:rsidRPr="00B932D5" w:rsidRDefault="00586631" w:rsidP="00586631">
      <w:pPr>
        <w:rPr>
          <w:rFonts w:ascii="Arial" w:eastAsia="Arial" w:hAnsi="Arial" w:cs="Arial"/>
          <w:sz w:val="24"/>
        </w:rPr>
      </w:pPr>
      <w:r w:rsidRPr="00B932D5">
        <w:rPr>
          <w:rFonts w:ascii="Arial" w:eastAsia="Arial" w:hAnsi="Arial" w:cs="Arial"/>
          <w:sz w:val="24"/>
        </w:rPr>
        <w:t>CSB</w:t>
      </w:r>
      <w:r>
        <w:tab/>
      </w:r>
      <w:r>
        <w:tab/>
      </w:r>
      <w:r w:rsidRPr="00B932D5">
        <w:rPr>
          <w:rFonts w:ascii="Arial" w:eastAsia="Arial" w:hAnsi="Arial" w:cs="Arial"/>
          <w:sz w:val="24"/>
        </w:rPr>
        <w:t>Clean School Bus</w:t>
      </w:r>
    </w:p>
    <w:p w14:paraId="4EE90432" w14:textId="6DC8301B" w:rsidR="00BD2D39" w:rsidRDefault="00BD2D39" w:rsidP="00F57F09">
      <w:pPr>
        <w:rPr>
          <w:rFonts w:ascii="Arial" w:hAnsi="Arial" w:cs="Arial"/>
          <w:sz w:val="24"/>
        </w:rPr>
      </w:pPr>
      <w:r w:rsidRPr="00B932D5">
        <w:rPr>
          <w:rFonts w:ascii="Arial" w:eastAsia="Arial" w:hAnsi="Arial" w:cs="Arial"/>
          <w:sz w:val="24"/>
        </w:rPr>
        <w:t>DC</w:t>
      </w:r>
      <w:r>
        <w:tab/>
      </w:r>
      <w:r>
        <w:tab/>
      </w:r>
      <w:r w:rsidR="001E6E49">
        <w:rPr>
          <w:rFonts w:ascii="Arial" w:hAnsi="Arial" w:cs="Arial"/>
          <w:sz w:val="24"/>
        </w:rPr>
        <w:t>D</w:t>
      </w:r>
      <w:r w:rsidRPr="00B932D5">
        <w:rPr>
          <w:rFonts w:ascii="Arial" w:hAnsi="Arial" w:cs="Arial"/>
          <w:sz w:val="24"/>
        </w:rPr>
        <w:t>irect</w:t>
      </w:r>
      <w:r w:rsidRPr="00B932D5">
        <w:rPr>
          <w:rFonts w:ascii="Arial" w:eastAsia="Arial" w:hAnsi="Arial" w:cs="Arial"/>
          <w:sz w:val="24"/>
        </w:rPr>
        <w:t xml:space="preserve"> </w:t>
      </w:r>
      <w:r>
        <w:rPr>
          <w:rFonts w:ascii="Arial" w:hAnsi="Arial" w:cs="Arial"/>
          <w:sz w:val="24"/>
        </w:rPr>
        <w:t>current</w:t>
      </w:r>
    </w:p>
    <w:p w14:paraId="2B48D7DA" w14:textId="53234A0B" w:rsidR="00196660" w:rsidRDefault="00196660" w:rsidP="00F57F09">
      <w:pPr>
        <w:rPr>
          <w:rFonts w:ascii="Arial" w:hAnsi="Arial" w:cs="Arial"/>
          <w:sz w:val="24"/>
        </w:rPr>
      </w:pPr>
      <w:r>
        <w:rPr>
          <w:rFonts w:ascii="Arial" w:hAnsi="Arial" w:cs="Arial"/>
          <w:sz w:val="24"/>
        </w:rPr>
        <w:t>DERA</w:t>
      </w:r>
      <w:r>
        <w:rPr>
          <w:rFonts w:ascii="Arial" w:hAnsi="Arial" w:cs="Arial"/>
          <w:sz w:val="24"/>
        </w:rPr>
        <w:tab/>
      </w:r>
      <w:r>
        <w:rPr>
          <w:rFonts w:ascii="Arial" w:hAnsi="Arial" w:cs="Arial"/>
          <w:sz w:val="24"/>
        </w:rPr>
        <w:tab/>
      </w:r>
      <w:r w:rsidR="00DD7490" w:rsidRPr="00DD7490">
        <w:rPr>
          <w:rFonts w:ascii="Arial" w:hAnsi="Arial" w:cs="Arial"/>
          <w:sz w:val="24"/>
        </w:rPr>
        <w:t>Diesel Emission Reduction Act</w:t>
      </w:r>
    </w:p>
    <w:p w14:paraId="77ECFAFC" w14:textId="4466538D" w:rsidR="00F57F09" w:rsidRPr="00FB5EAE" w:rsidRDefault="00F57F09" w:rsidP="00F57F09">
      <w:pPr>
        <w:rPr>
          <w:rFonts w:ascii="Arial" w:hAnsi="Arial" w:cs="Arial"/>
          <w:sz w:val="24"/>
        </w:rPr>
      </w:pPr>
      <w:r w:rsidRPr="00FB5EAE">
        <w:rPr>
          <w:rFonts w:ascii="Arial" w:hAnsi="Arial" w:cs="Arial"/>
          <w:sz w:val="24"/>
        </w:rPr>
        <w:t>DESE</w:t>
      </w:r>
      <w:r>
        <w:tab/>
      </w:r>
      <w:r>
        <w:tab/>
      </w:r>
      <w:r w:rsidR="26D01ECA">
        <w:rPr>
          <w:rFonts w:ascii="Arial" w:eastAsia="Arial" w:hAnsi="Arial" w:cs="Arial"/>
          <w:sz w:val="24"/>
        </w:rPr>
        <w:t>M</w:t>
      </w:r>
      <w:r w:rsidR="758D3566">
        <w:rPr>
          <w:rFonts w:ascii="Arial" w:eastAsia="Arial" w:hAnsi="Arial" w:cs="Arial"/>
          <w:sz w:val="24"/>
        </w:rPr>
        <w:t>A</w:t>
      </w:r>
      <w:r w:rsidR="26D01ECA">
        <w:rPr>
          <w:rFonts w:ascii="Arial" w:hAnsi="Arial" w:cs="Arial"/>
          <w:sz w:val="24"/>
        </w:rPr>
        <w:t xml:space="preserve"> </w:t>
      </w:r>
      <w:r w:rsidRPr="00FB5EAE">
        <w:rPr>
          <w:rFonts w:ascii="Arial" w:hAnsi="Arial" w:cs="Arial"/>
          <w:sz w:val="24"/>
        </w:rPr>
        <w:t>Department of Elementary and Secondary Education</w:t>
      </w:r>
    </w:p>
    <w:p w14:paraId="73DBC099" w14:textId="576305CC" w:rsidR="00E42CFF" w:rsidRDefault="00E42CFF" w:rsidP="00F57F09">
      <w:pPr>
        <w:rPr>
          <w:rFonts w:ascii="Arial" w:hAnsi="Arial" w:cs="Arial"/>
          <w:sz w:val="24"/>
        </w:rPr>
      </w:pPr>
      <w:r w:rsidRPr="00E42CFF">
        <w:rPr>
          <w:rFonts w:ascii="Arial" w:hAnsi="Arial" w:cs="Arial"/>
          <w:sz w:val="24"/>
        </w:rPr>
        <w:t>DOE</w:t>
      </w:r>
      <w:r w:rsidRPr="00E42CFF">
        <w:rPr>
          <w:rFonts w:ascii="Arial" w:hAnsi="Arial" w:cs="Arial"/>
          <w:sz w:val="24"/>
        </w:rPr>
        <w:tab/>
      </w:r>
      <w:r w:rsidRPr="00E42CFF">
        <w:rPr>
          <w:rFonts w:ascii="Arial" w:hAnsi="Arial" w:cs="Arial"/>
          <w:sz w:val="24"/>
        </w:rPr>
        <w:tab/>
        <w:t>U.S. Department of Energy</w:t>
      </w:r>
    </w:p>
    <w:p w14:paraId="4B76B759" w14:textId="4557DED0" w:rsidR="003A239E" w:rsidRDefault="003A239E" w:rsidP="00F57F09">
      <w:pPr>
        <w:rPr>
          <w:rFonts w:ascii="Arial" w:hAnsi="Arial" w:cs="Arial"/>
          <w:sz w:val="24"/>
        </w:rPr>
      </w:pPr>
      <w:r>
        <w:rPr>
          <w:rFonts w:ascii="Arial" w:hAnsi="Arial" w:cs="Arial"/>
          <w:sz w:val="24"/>
        </w:rPr>
        <w:t>DLS</w:t>
      </w:r>
      <w:r>
        <w:rPr>
          <w:rFonts w:ascii="Arial" w:hAnsi="Arial" w:cs="Arial"/>
          <w:sz w:val="24"/>
        </w:rPr>
        <w:tab/>
      </w:r>
      <w:r w:rsidR="00D5185A">
        <w:rPr>
          <w:rFonts w:ascii="Arial" w:hAnsi="Arial" w:cs="Arial"/>
          <w:sz w:val="24"/>
        </w:rPr>
        <w:tab/>
        <w:t>MA Department of Labor Standards</w:t>
      </w:r>
    </w:p>
    <w:p w14:paraId="59659573" w14:textId="5BFE7260" w:rsidR="00F57F09" w:rsidRPr="00FB5EAE" w:rsidRDefault="00F57F09" w:rsidP="00F57F09">
      <w:pPr>
        <w:rPr>
          <w:rFonts w:ascii="Arial" w:hAnsi="Arial" w:cs="Arial"/>
          <w:sz w:val="24"/>
        </w:rPr>
      </w:pPr>
      <w:r w:rsidRPr="00FB5EAE">
        <w:rPr>
          <w:rFonts w:ascii="Arial" w:hAnsi="Arial" w:cs="Arial"/>
          <w:sz w:val="24"/>
        </w:rPr>
        <w:t>DOER</w:t>
      </w:r>
      <w:r>
        <w:tab/>
      </w:r>
      <w:r>
        <w:tab/>
      </w:r>
      <w:r w:rsidR="6EF385DD">
        <w:rPr>
          <w:rFonts w:ascii="Arial" w:eastAsia="Arial" w:hAnsi="Arial" w:cs="Arial"/>
          <w:sz w:val="24"/>
        </w:rPr>
        <w:t>M</w:t>
      </w:r>
      <w:r w:rsidR="5DFFED53">
        <w:rPr>
          <w:rFonts w:ascii="Arial" w:eastAsia="Arial" w:hAnsi="Arial" w:cs="Arial"/>
          <w:sz w:val="24"/>
        </w:rPr>
        <w:t>A</w:t>
      </w:r>
      <w:r w:rsidR="6EF385DD">
        <w:rPr>
          <w:rFonts w:ascii="Arial" w:hAnsi="Arial" w:cs="Arial"/>
          <w:sz w:val="24"/>
        </w:rPr>
        <w:t xml:space="preserve"> </w:t>
      </w:r>
      <w:r w:rsidRPr="00FB5EAE">
        <w:rPr>
          <w:rFonts w:ascii="Arial" w:hAnsi="Arial" w:cs="Arial"/>
          <w:sz w:val="24"/>
        </w:rPr>
        <w:t>Department of Energy Resources</w:t>
      </w:r>
    </w:p>
    <w:p w14:paraId="40B523A1" w14:textId="5682F9BB" w:rsidR="001E79C0" w:rsidRDefault="001E79C0" w:rsidP="00F57F09">
      <w:pPr>
        <w:rPr>
          <w:rFonts w:ascii="Arial" w:hAnsi="Arial" w:cs="Arial"/>
          <w:sz w:val="24"/>
        </w:rPr>
      </w:pPr>
      <w:r>
        <w:rPr>
          <w:rFonts w:ascii="Arial" w:hAnsi="Arial" w:cs="Arial"/>
          <w:sz w:val="24"/>
        </w:rPr>
        <w:t>DOR DLS</w:t>
      </w:r>
      <w:r>
        <w:tab/>
      </w:r>
      <w:r w:rsidR="00AE3B24">
        <w:rPr>
          <w:rFonts w:ascii="Arial" w:hAnsi="Arial" w:cs="Arial"/>
          <w:sz w:val="24"/>
        </w:rPr>
        <w:t>MA</w:t>
      </w:r>
      <w:r w:rsidRPr="001E79C0">
        <w:rPr>
          <w:rFonts w:ascii="Arial" w:hAnsi="Arial" w:cs="Arial"/>
          <w:sz w:val="24"/>
        </w:rPr>
        <w:t xml:space="preserve"> Department of </w:t>
      </w:r>
      <w:r w:rsidR="61B429FB" w:rsidRPr="16545032">
        <w:rPr>
          <w:rFonts w:ascii="Arial" w:hAnsi="Arial" w:cs="Arial"/>
          <w:sz w:val="24"/>
        </w:rPr>
        <w:t>Revenue</w:t>
      </w:r>
      <w:r w:rsidR="2250CB9D" w:rsidRPr="16545032">
        <w:rPr>
          <w:rFonts w:ascii="Arial" w:hAnsi="Arial" w:cs="Arial"/>
          <w:sz w:val="24"/>
        </w:rPr>
        <w:t>,</w:t>
      </w:r>
      <w:r w:rsidRPr="001E79C0">
        <w:rPr>
          <w:rFonts w:ascii="Arial" w:hAnsi="Arial" w:cs="Arial"/>
          <w:sz w:val="24"/>
        </w:rPr>
        <w:t xml:space="preserve"> Division of Local Services</w:t>
      </w:r>
    </w:p>
    <w:p w14:paraId="5357BC51" w14:textId="3618A6EC" w:rsidR="00B472A1" w:rsidRDefault="00B472A1" w:rsidP="00F57F09">
      <w:pPr>
        <w:rPr>
          <w:rFonts w:ascii="Arial" w:hAnsi="Arial" w:cs="Arial"/>
          <w:sz w:val="24"/>
        </w:rPr>
      </w:pPr>
      <w:r>
        <w:rPr>
          <w:rFonts w:ascii="Arial" w:hAnsi="Arial" w:cs="Arial"/>
          <w:sz w:val="24"/>
        </w:rPr>
        <w:t>DPH</w:t>
      </w:r>
      <w:r>
        <w:rPr>
          <w:rFonts w:ascii="Arial" w:hAnsi="Arial" w:cs="Arial"/>
          <w:sz w:val="24"/>
        </w:rPr>
        <w:tab/>
      </w:r>
      <w:r>
        <w:tab/>
      </w:r>
      <w:r w:rsidRPr="16545032">
        <w:rPr>
          <w:rFonts w:ascii="Arial" w:hAnsi="Arial" w:cs="Arial"/>
          <w:sz w:val="24"/>
        </w:rPr>
        <w:t>MA</w:t>
      </w:r>
      <w:r>
        <w:rPr>
          <w:rFonts w:ascii="Arial" w:hAnsi="Arial" w:cs="Arial"/>
          <w:sz w:val="24"/>
        </w:rPr>
        <w:t xml:space="preserve"> </w:t>
      </w:r>
      <w:r w:rsidRPr="00FB5EAE">
        <w:rPr>
          <w:rFonts w:ascii="Arial" w:hAnsi="Arial" w:cs="Arial"/>
          <w:sz w:val="24"/>
        </w:rPr>
        <w:t>Department of Public Health</w:t>
      </w:r>
    </w:p>
    <w:p w14:paraId="4DE6AA2D" w14:textId="60F287FC" w:rsidR="00085C07" w:rsidRDefault="00BC1471" w:rsidP="00F57F09">
      <w:pPr>
        <w:rPr>
          <w:rFonts w:ascii="Arial" w:hAnsi="Arial" w:cs="Arial"/>
          <w:sz w:val="24"/>
        </w:rPr>
      </w:pPr>
      <w:r>
        <w:rPr>
          <w:rFonts w:ascii="Arial" w:hAnsi="Arial" w:cs="Arial"/>
          <w:sz w:val="24"/>
        </w:rPr>
        <w:t>EEA</w:t>
      </w:r>
      <w:r>
        <w:tab/>
      </w:r>
      <w:r>
        <w:tab/>
      </w:r>
      <w:r w:rsidR="02587600">
        <w:rPr>
          <w:rFonts w:ascii="Arial" w:eastAsia="Arial" w:hAnsi="Arial" w:cs="Arial"/>
          <w:sz w:val="24"/>
        </w:rPr>
        <w:t>M</w:t>
      </w:r>
      <w:r w:rsidR="4177266C">
        <w:rPr>
          <w:rFonts w:ascii="Arial" w:eastAsia="Arial" w:hAnsi="Arial" w:cs="Arial"/>
          <w:sz w:val="24"/>
        </w:rPr>
        <w:t>A</w:t>
      </w:r>
      <w:r w:rsidR="02587600">
        <w:rPr>
          <w:rFonts w:ascii="Arial" w:eastAsia="Arial" w:hAnsi="Arial" w:cs="Arial"/>
          <w:sz w:val="24"/>
        </w:rPr>
        <w:t xml:space="preserve"> </w:t>
      </w:r>
      <w:r w:rsidR="00452089" w:rsidRPr="00452089">
        <w:rPr>
          <w:rFonts w:ascii="Arial" w:hAnsi="Arial" w:cs="Arial"/>
          <w:sz w:val="24"/>
        </w:rPr>
        <w:t>Executive Office of Energy and Environmental Affairs</w:t>
      </w:r>
    </w:p>
    <w:p w14:paraId="04D81AC8" w14:textId="03670EA6" w:rsidR="00515757" w:rsidRDefault="00515757" w:rsidP="00F57F09">
      <w:pPr>
        <w:rPr>
          <w:rFonts w:ascii="Arial" w:hAnsi="Arial" w:cs="Arial"/>
          <w:sz w:val="24"/>
        </w:rPr>
      </w:pPr>
      <w:r>
        <w:rPr>
          <w:rFonts w:ascii="Arial" w:hAnsi="Arial" w:cs="Arial"/>
          <w:sz w:val="24"/>
        </w:rPr>
        <w:t>EECFs</w:t>
      </w:r>
      <w:r>
        <w:rPr>
          <w:rFonts w:ascii="Arial" w:hAnsi="Arial" w:cs="Arial"/>
          <w:sz w:val="24"/>
        </w:rPr>
        <w:tab/>
        <w:t>E</w:t>
      </w:r>
      <w:r w:rsidRPr="00515757">
        <w:rPr>
          <w:rFonts w:ascii="Arial" w:hAnsi="Arial" w:cs="Arial"/>
          <w:sz w:val="24"/>
        </w:rPr>
        <w:t>arly education and care facilities</w:t>
      </w:r>
    </w:p>
    <w:p w14:paraId="22959E06" w14:textId="72227584" w:rsidR="00385A1B" w:rsidRDefault="00385A1B" w:rsidP="00F57F09">
      <w:pPr>
        <w:rPr>
          <w:rFonts w:ascii="Arial" w:hAnsi="Arial" w:cs="Arial"/>
          <w:sz w:val="24"/>
        </w:rPr>
      </w:pPr>
      <w:r>
        <w:rPr>
          <w:rFonts w:ascii="Arial" w:hAnsi="Arial" w:cs="Arial"/>
          <w:sz w:val="24"/>
        </w:rPr>
        <w:t>EMIS</w:t>
      </w:r>
      <w:r>
        <w:rPr>
          <w:rFonts w:ascii="Arial" w:hAnsi="Arial" w:cs="Arial"/>
          <w:sz w:val="24"/>
        </w:rPr>
        <w:tab/>
      </w:r>
      <w:r>
        <w:rPr>
          <w:rFonts w:ascii="Arial" w:hAnsi="Arial" w:cs="Arial"/>
          <w:sz w:val="24"/>
        </w:rPr>
        <w:tab/>
        <w:t xml:space="preserve">Energy </w:t>
      </w:r>
      <w:r w:rsidR="007244C3">
        <w:rPr>
          <w:rFonts w:ascii="Arial" w:hAnsi="Arial" w:cs="Arial"/>
          <w:sz w:val="24"/>
        </w:rPr>
        <w:t>M</w:t>
      </w:r>
      <w:r>
        <w:rPr>
          <w:rFonts w:ascii="Arial" w:hAnsi="Arial" w:cs="Arial"/>
          <w:sz w:val="24"/>
        </w:rPr>
        <w:t xml:space="preserve">anagement </w:t>
      </w:r>
      <w:r w:rsidR="007244C3">
        <w:rPr>
          <w:rFonts w:ascii="Arial" w:hAnsi="Arial" w:cs="Arial"/>
          <w:sz w:val="24"/>
        </w:rPr>
        <w:t>I</w:t>
      </w:r>
      <w:r>
        <w:rPr>
          <w:rFonts w:ascii="Arial" w:hAnsi="Arial" w:cs="Arial"/>
          <w:sz w:val="24"/>
        </w:rPr>
        <w:t xml:space="preserve">nformation </w:t>
      </w:r>
      <w:r w:rsidR="007244C3">
        <w:rPr>
          <w:rFonts w:ascii="Arial" w:hAnsi="Arial" w:cs="Arial"/>
          <w:sz w:val="24"/>
        </w:rPr>
        <w:t>S</w:t>
      </w:r>
      <w:r>
        <w:rPr>
          <w:rFonts w:ascii="Arial" w:hAnsi="Arial" w:cs="Arial"/>
          <w:sz w:val="24"/>
        </w:rPr>
        <w:t>ystems</w:t>
      </w:r>
    </w:p>
    <w:p w14:paraId="4A131F72" w14:textId="06E537AD" w:rsidR="004B0865" w:rsidRDefault="58B82DFB" w:rsidP="00F57F09">
      <w:pPr>
        <w:rPr>
          <w:rFonts w:ascii="Arial" w:hAnsi="Arial" w:cs="Arial"/>
          <w:sz w:val="24"/>
        </w:rPr>
      </w:pPr>
      <w:r w:rsidRPr="16545032">
        <w:rPr>
          <w:rFonts w:ascii="Arial" w:hAnsi="Arial" w:cs="Arial"/>
          <w:sz w:val="24"/>
        </w:rPr>
        <w:lastRenderedPageBreak/>
        <w:t>EMS</w:t>
      </w:r>
      <w:r w:rsidR="004B0865">
        <w:tab/>
      </w:r>
      <w:r w:rsidR="004B0865">
        <w:tab/>
      </w:r>
      <w:r w:rsidRPr="16545032">
        <w:rPr>
          <w:rFonts w:ascii="Arial" w:hAnsi="Arial" w:cs="Arial"/>
          <w:sz w:val="24"/>
        </w:rPr>
        <w:t xml:space="preserve">Energy </w:t>
      </w:r>
      <w:r w:rsidR="681282B5" w:rsidRPr="16545032">
        <w:rPr>
          <w:rFonts w:ascii="Arial" w:hAnsi="Arial" w:cs="Arial"/>
          <w:sz w:val="24"/>
        </w:rPr>
        <w:t>M</w:t>
      </w:r>
      <w:r w:rsidRPr="16545032">
        <w:rPr>
          <w:rFonts w:ascii="Arial" w:hAnsi="Arial" w:cs="Arial"/>
          <w:sz w:val="24"/>
        </w:rPr>
        <w:t xml:space="preserve">anagement </w:t>
      </w:r>
      <w:r w:rsidR="2D782CF0" w:rsidRPr="16545032">
        <w:rPr>
          <w:rFonts w:ascii="Arial" w:hAnsi="Arial" w:cs="Arial"/>
          <w:sz w:val="24"/>
        </w:rPr>
        <w:t>S</w:t>
      </w:r>
      <w:r w:rsidRPr="16545032">
        <w:rPr>
          <w:rFonts w:ascii="Arial" w:hAnsi="Arial" w:cs="Arial"/>
          <w:sz w:val="24"/>
        </w:rPr>
        <w:t>ervices</w:t>
      </w:r>
    </w:p>
    <w:p w14:paraId="6DE6AB55" w14:textId="2B20A0E9" w:rsidR="00402A92" w:rsidRDefault="00402A92" w:rsidP="00F57F09">
      <w:pPr>
        <w:rPr>
          <w:rFonts w:ascii="Arial" w:hAnsi="Arial" w:cs="Arial"/>
          <w:sz w:val="24"/>
        </w:rPr>
      </w:pPr>
      <w:r>
        <w:rPr>
          <w:rFonts w:ascii="Arial" w:hAnsi="Arial" w:cs="Arial"/>
          <w:sz w:val="24"/>
        </w:rPr>
        <w:t>EOHHS</w:t>
      </w:r>
      <w:r>
        <w:tab/>
      </w:r>
      <w:r w:rsidR="1522B5DF" w:rsidRPr="16545032">
        <w:rPr>
          <w:rFonts w:ascii="Arial" w:hAnsi="Arial" w:cs="Arial"/>
          <w:sz w:val="24"/>
        </w:rPr>
        <w:t>M</w:t>
      </w:r>
      <w:r w:rsidR="768EB8D3" w:rsidRPr="16545032">
        <w:rPr>
          <w:rFonts w:ascii="Arial" w:hAnsi="Arial" w:cs="Arial"/>
          <w:sz w:val="24"/>
        </w:rPr>
        <w:t>A</w:t>
      </w:r>
      <w:r w:rsidR="1522B5DF" w:rsidRPr="16545032">
        <w:rPr>
          <w:rFonts w:ascii="Arial" w:hAnsi="Arial" w:cs="Arial"/>
          <w:sz w:val="24"/>
        </w:rPr>
        <w:t xml:space="preserve"> </w:t>
      </w:r>
      <w:r w:rsidR="00756E27" w:rsidRPr="00756E27">
        <w:rPr>
          <w:rFonts w:ascii="Arial" w:hAnsi="Arial" w:cs="Arial"/>
          <w:sz w:val="24"/>
        </w:rPr>
        <w:t>Executive Office of Health and Human Services</w:t>
      </w:r>
    </w:p>
    <w:p w14:paraId="3F35B19D" w14:textId="6312426E" w:rsidR="00F442DB" w:rsidRDefault="00F442DB" w:rsidP="00F57F09">
      <w:pPr>
        <w:rPr>
          <w:rFonts w:ascii="Arial" w:hAnsi="Arial" w:cs="Arial"/>
          <w:sz w:val="24"/>
        </w:rPr>
      </w:pPr>
      <w:r w:rsidRPr="00F442DB">
        <w:rPr>
          <w:rFonts w:ascii="Arial" w:hAnsi="Arial" w:cs="Arial"/>
          <w:sz w:val="24"/>
        </w:rPr>
        <w:t>EPA</w:t>
      </w:r>
      <w:r w:rsidRPr="00F442DB">
        <w:rPr>
          <w:rFonts w:ascii="Arial" w:hAnsi="Arial" w:cs="Arial"/>
          <w:sz w:val="24"/>
        </w:rPr>
        <w:tab/>
      </w:r>
      <w:r w:rsidRPr="00F442DB">
        <w:rPr>
          <w:rFonts w:ascii="Arial" w:hAnsi="Arial" w:cs="Arial"/>
          <w:sz w:val="24"/>
        </w:rPr>
        <w:tab/>
        <w:t>U.S. Environmental Protection Agency</w:t>
      </w:r>
    </w:p>
    <w:p w14:paraId="1B05C0C6" w14:textId="380E4DDF" w:rsidR="005C31D5" w:rsidRDefault="005C31D5" w:rsidP="00F57F09">
      <w:pPr>
        <w:rPr>
          <w:rFonts w:ascii="Arial" w:hAnsi="Arial" w:cs="Arial"/>
          <w:sz w:val="24"/>
        </w:rPr>
      </w:pPr>
      <w:r>
        <w:rPr>
          <w:rFonts w:ascii="Arial" w:hAnsi="Arial" w:cs="Arial"/>
          <w:sz w:val="24"/>
        </w:rPr>
        <w:t>EPHT</w:t>
      </w:r>
      <w:r>
        <w:tab/>
      </w:r>
      <w:r>
        <w:tab/>
      </w:r>
      <w:r w:rsidR="49F05B34" w:rsidRPr="16545032">
        <w:rPr>
          <w:rFonts w:ascii="Arial" w:hAnsi="Arial" w:cs="Arial"/>
          <w:sz w:val="24"/>
        </w:rPr>
        <w:t>M</w:t>
      </w:r>
      <w:r w:rsidR="536D597C" w:rsidRPr="16545032">
        <w:rPr>
          <w:rFonts w:ascii="Arial" w:hAnsi="Arial" w:cs="Arial"/>
          <w:sz w:val="24"/>
        </w:rPr>
        <w:t>A</w:t>
      </w:r>
      <w:r w:rsidRPr="005C31D5">
        <w:rPr>
          <w:rFonts w:ascii="Arial" w:hAnsi="Arial" w:cs="Arial"/>
          <w:sz w:val="24"/>
        </w:rPr>
        <w:t xml:space="preserve"> Environmental Public Health Tracking Tool</w:t>
      </w:r>
    </w:p>
    <w:p w14:paraId="0656FA9F" w14:textId="6E144772" w:rsidR="00FC6ABD" w:rsidRDefault="00FC6ABD" w:rsidP="00F57F09">
      <w:pPr>
        <w:rPr>
          <w:rFonts w:ascii="Arial" w:hAnsi="Arial" w:cs="Arial"/>
          <w:sz w:val="24"/>
        </w:rPr>
      </w:pPr>
      <w:r>
        <w:rPr>
          <w:rFonts w:ascii="Arial" w:hAnsi="Arial" w:cs="Arial"/>
          <w:sz w:val="24"/>
        </w:rPr>
        <w:t>ERG</w:t>
      </w:r>
      <w:r>
        <w:rPr>
          <w:rFonts w:ascii="Arial" w:hAnsi="Arial" w:cs="Arial"/>
          <w:sz w:val="24"/>
        </w:rPr>
        <w:tab/>
      </w:r>
      <w:r>
        <w:rPr>
          <w:rFonts w:ascii="Arial" w:hAnsi="Arial" w:cs="Arial"/>
          <w:sz w:val="24"/>
        </w:rPr>
        <w:tab/>
        <w:t>Eastern Research Group, Inc.</w:t>
      </w:r>
    </w:p>
    <w:p w14:paraId="4120C251" w14:textId="3AB72CD6" w:rsidR="00D047D9" w:rsidRDefault="00D047D9" w:rsidP="00F57F09">
      <w:pPr>
        <w:rPr>
          <w:rFonts w:ascii="Arial" w:hAnsi="Arial" w:cs="Arial"/>
          <w:sz w:val="24"/>
        </w:rPr>
      </w:pPr>
      <w:r>
        <w:rPr>
          <w:rFonts w:ascii="Arial" w:hAnsi="Arial" w:cs="Arial"/>
          <w:sz w:val="24"/>
        </w:rPr>
        <w:t>ERM</w:t>
      </w:r>
      <w:r>
        <w:tab/>
      </w:r>
      <w:r>
        <w:tab/>
      </w:r>
      <w:r w:rsidRPr="16545032">
        <w:rPr>
          <w:rFonts w:ascii="Arial" w:hAnsi="Arial" w:cs="Arial"/>
          <w:sz w:val="24"/>
        </w:rPr>
        <w:t>E</w:t>
      </w:r>
      <w:r w:rsidR="6EFF5A46" w:rsidRPr="16545032">
        <w:rPr>
          <w:rFonts w:ascii="Arial" w:hAnsi="Arial" w:cs="Arial"/>
          <w:sz w:val="24"/>
        </w:rPr>
        <w:t>missions</w:t>
      </w:r>
      <w:r>
        <w:rPr>
          <w:rFonts w:ascii="Arial" w:hAnsi="Arial" w:cs="Arial"/>
          <w:sz w:val="24"/>
        </w:rPr>
        <w:t xml:space="preserve"> reduction measure</w:t>
      </w:r>
    </w:p>
    <w:p w14:paraId="251F86DB" w14:textId="030AA0CE" w:rsidR="00F70763" w:rsidRDefault="00F70763" w:rsidP="00F57F09">
      <w:pPr>
        <w:rPr>
          <w:rFonts w:ascii="Arial" w:hAnsi="Arial" w:cs="Arial"/>
          <w:sz w:val="24"/>
        </w:rPr>
      </w:pPr>
      <w:r>
        <w:rPr>
          <w:rFonts w:ascii="Arial" w:hAnsi="Arial" w:cs="Arial"/>
          <w:sz w:val="24"/>
        </w:rPr>
        <w:t>ERP</w:t>
      </w:r>
      <w:r w:rsidR="00873BD1">
        <w:rPr>
          <w:rFonts w:ascii="Arial" w:hAnsi="Arial" w:cs="Arial"/>
          <w:sz w:val="24"/>
        </w:rPr>
        <w:tab/>
      </w:r>
      <w:r w:rsidR="00873BD1">
        <w:rPr>
          <w:rFonts w:ascii="Arial" w:hAnsi="Arial" w:cs="Arial"/>
          <w:sz w:val="24"/>
        </w:rPr>
        <w:tab/>
      </w:r>
      <w:r w:rsidR="00124851">
        <w:rPr>
          <w:rFonts w:ascii="Arial" w:hAnsi="Arial" w:cs="Arial"/>
          <w:sz w:val="24"/>
        </w:rPr>
        <w:t>E</w:t>
      </w:r>
      <w:r w:rsidR="00873BD1">
        <w:rPr>
          <w:rFonts w:ascii="Arial" w:hAnsi="Arial" w:cs="Arial"/>
          <w:sz w:val="24"/>
        </w:rPr>
        <w:t>missions reduction plan</w:t>
      </w:r>
    </w:p>
    <w:p w14:paraId="0180A7DC" w14:textId="76A2A08A" w:rsidR="0024577D" w:rsidRDefault="0024577D" w:rsidP="00F57F09">
      <w:pPr>
        <w:rPr>
          <w:rFonts w:ascii="Arial" w:hAnsi="Arial" w:cs="Arial"/>
          <w:sz w:val="24"/>
        </w:rPr>
      </w:pPr>
      <w:r w:rsidRPr="0024577D">
        <w:rPr>
          <w:rFonts w:ascii="Arial" w:hAnsi="Arial" w:cs="Arial"/>
          <w:sz w:val="24"/>
        </w:rPr>
        <w:t>ESB</w:t>
      </w:r>
      <w:r w:rsidRPr="0024577D">
        <w:rPr>
          <w:rFonts w:ascii="Arial" w:hAnsi="Arial" w:cs="Arial"/>
          <w:sz w:val="24"/>
        </w:rPr>
        <w:tab/>
      </w:r>
      <w:r w:rsidRPr="0024577D">
        <w:rPr>
          <w:rFonts w:ascii="Arial" w:hAnsi="Arial" w:cs="Arial"/>
          <w:sz w:val="24"/>
        </w:rPr>
        <w:tab/>
      </w:r>
      <w:r w:rsidR="00011631">
        <w:rPr>
          <w:rFonts w:ascii="Arial" w:hAnsi="Arial" w:cs="Arial"/>
          <w:sz w:val="24"/>
        </w:rPr>
        <w:t>E</w:t>
      </w:r>
      <w:r w:rsidRPr="0024577D">
        <w:rPr>
          <w:rFonts w:ascii="Arial" w:hAnsi="Arial" w:cs="Arial"/>
          <w:sz w:val="24"/>
        </w:rPr>
        <w:t>lectric school bus</w:t>
      </w:r>
    </w:p>
    <w:p w14:paraId="215B6FAE" w14:textId="000D2FA5" w:rsidR="0088263B" w:rsidRDefault="0088263B" w:rsidP="00F57F09">
      <w:pPr>
        <w:rPr>
          <w:rFonts w:ascii="Arial" w:hAnsi="Arial" w:cs="Arial"/>
          <w:sz w:val="24"/>
        </w:rPr>
      </w:pPr>
      <w:r>
        <w:rPr>
          <w:rFonts w:ascii="Arial" w:hAnsi="Arial" w:cs="Arial"/>
          <w:sz w:val="24"/>
        </w:rPr>
        <w:t>ESCO</w:t>
      </w:r>
      <w:r>
        <w:rPr>
          <w:rFonts w:ascii="Arial" w:hAnsi="Arial" w:cs="Arial"/>
          <w:sz w:val="24"/>
        </w:rPr>
        <w:tab/>
      </w:r>
      <w:r>
        <w:rPr>
          <w:rFonts w:ascii="Arial" w:hAnsi="Arial" w:cs="Arial"/>
          <w:sz w:val="24"/>
        </w:rPr>
        <w:tab/>
      </w:r>
      <w:r w:rsidR="00011631">
        <w:rPr>
          <w:rFonts w:ascii="Arial" w:hAnsi="Arial" w:cs="Arial"/>
          <w:sz w:val="24"/>
        </w:rPr>
        <w:t>E</w:t>
      </w:r>
      <w:r>
        <w:rPr>
          <w:rFonts w:ascii="Arial" w:hAnsi="Arial" w:cs="Arial"/>
          <w:sz w:val="24"/>
        </w:rPr>
        <w:t>nergy services company</w:t>
      </w:r>
    </w:p>
    <w:p w14:paraId="3215D168" w14:textId="5A2C4FA7" w:rsidR="0088263B" w:rsidRDefault="0088263B" w:rsidP="00F57F09">
      <w:pPr>
        <w:rPr>
          <w:rFonts w:ascii="Arial" w:hAnsi="Arial" w:cs="Arial"/>
          <w:sz w:val="24"/>
        </w:rPr>
      </w:pPr>
      <w:r>
        <w:rPr>
          <w:rFonts w:ascii="Arial" w:hAnsi="Arial" w:cs="Arial"/>
          <w:sz w:val="24"/>
        </w:rPr>
        <w:t>ESPC</w:t>
      </w:r>
      <w:r>
        <w:rPr>
          <w:rFonts w:ascii="Arial" w:hAnsi="Arial" w:cs="Arial"/>
          <w:sz w:val="24"/>
        </w:rPr>
        <w:tab/>
      </w:r>
      <w:r>
        <w:rPr>
          <w:rFonts w:ascii="Arial" w:hAnsi="Arial" w:cs="Arial"/>
          <w:sz w:val="24"/>
        </w:rPr>
        <w:tab/>
      </w:r>
      <w:r w:rsidR="00011631">
        <w:rPr>
          <w:rFonts w:ascii="Arial" w:hAnsi="Arial" w:cs="Arial"/>
          <w:sz w:val="24"/>
        </w:rPr>
        <w:t>E</w:t>
      </w:r>
      <w:r>
        <w:rPr>
          <w:rFonts w:ascii="Arial" w:hAnsi="Arial" w:cs="Arial"/>
          <w:sz w:val="24"/>
        </w:rPr>
        <w:t>nergy savings performance contract</w:t>
      </w:r>
    </w:p>
    <w:p w14:paraId="0C82E433" w14:textId="6F94949A" w:rsidR="00132701" w:rsidRDefault="00132701" w:rsidP="00F57F09">
      <w:pPr>
        <w:rPr>
          <w:rFonts w:ascii="Arial" w:hAnsi="Arial" w:cs="Arial"/>
          <w:sz w:val="24"/>
        </w:rPr>
      </w:pPr>
      <w:r w:rsidRPr="00132701">
        <w:rPr>
          <w:rFonts w:ascii="Arial" w:hAnsi="Arial" w:cs="Arial"/>
          <w:sz w:val="24"/>
        </w:rPr>
        <w:t>ESPM</w:t>
      </w:r>
      <w:r w:rsidRPr="00132701">
        <w:rPr>
          <w:rFonts w:ascii="Arial" w:hAnsi="Arial" w:cs="Arial"/>
          <w:sz w:val="24"/>
        </w:rPr>
        <w:tab/>
      </w:r>
      <w:r w:rsidRPr="00132701">
        <w:rPr>
          <w:rFonts w:ascii="Arial" w:hAnsi="Arial" w:cs="Arial"/>
          <w:sz w:val="24"/>
        </w:rPr>
        <w:tab/>
        <w:t>ENERGYSTAR Portfolio Manager</w:t>
      </w:r>
    </w:p>
    <w:p w14:paraId="30350F0F" w14:textId="1BE48349" w:rsidR="00873BD1" w:rsidRDefault="00873BD1" w:rsidP="009E6C8A">
      <w:pPr>
        <w:rPr>
          <w:rFonts w:ascii="Arial" w:hAnsi="Arial" w:cs="Arial"/>
          <w:sz w:val="24"/>
        </w:rPr>
      </w:pPr>
      <w:r>
        <w:rPr>
          <w:rFonts w:ascii="Arial" w:hAnsi="Arial" w:cs="Arial"/>
          <w:sz w:val="24"/>
        </w:rPr>
        <w:t>EUI</w:t>
      </w:r>
      <w:r>
        <w:rPr>
          <w:rFonts w:ascii="Arial" w:hAnsi="Arial" w:cs="Arial"/>
          <w:sz w:val="24"/>
        </w:rPr>
        <w:tab/>
      </w:r>
      <w:r>
        <w:rPr>
          <w:rFonts w:ascii="Arial" w:hAnsi="Arial" w:cs="Arial"/>
          <w:sz w:val="24"/>
        </w:rPr>
        <w:tab/>
      </w:r>
      <w:r w:rsidR="00E1226A">
        <w:rPr>
          <w:rFonts w:ascii="Arial" w:hAnsi="Arial" w:cs="Arial"/>
          <w:sz w:val="24"/>
        </w:rPr>
        <w:t>E</w:t>
      </w:r>
      <w:r>
        <w:rPr>
          <w:rFonts w:ascii="Arial" w:hAnsi="Arial" w:cs="Arial"/>
          <w:sz w:val="24"/>
        </w:rPr>
        <w:t>nergy use intensity</w:t>
      </w:r>
    </w:p>
    <w:p w14:paraId="13A3BF57" w14:textId="2403EB2C" w:rsidR="009E6C8A" w:rsidRPr="009E6C8A" w:rsidRDefault="009E6C8A" w:rsidP="009E6C8A">
      <w:pPr>
        <w:rPr>
          <w:rFonts w:ascii="Arial" w:hAnsi="Arial" w:cs="Arial"/>
          <w:sz w:val="24"/>
        </w:rPr>
      </w:pPr>
      <w:r w:rsidRPr="009E6C8A">
        <w:rPr>
          <w:rFonts w:ascii="Arial" w:hAnsi="Arial" w:cs="Arial"/>
          <w:sz w:val="24"/>
        </w:rPr>
        <w:t>EV</w:t>
      </w:r>
      <w:r w:rsidRPr="009E6C8A">
        <w:rPr>
          <w:rFonts w:ascii="Arial" w:hAnsi="Arial" w:cs="Arial"/>
          <w:sz w:val="24"/>
        </w:rPr>
        <w:tab/>
      </w:r>
      <w:r w:rsidRPr="009E6C8A">
        <w:rPr>
          <w:rFonts w:ascii="Arial" w:hAnsi="Arial" w:cs="Arial"/>
          <w:sz w:val="24"/>
        </w:rPr>
        <w:tab/>
      </w:r>
      <w:r w:rsidR="00E1226A">
        <w:rPr>
          <w:rFonts w:ascii="Arial" w:hAnsi="Arial" w:cs="Arial"/>
          <w:sz w:val="24"/>
        </w:rPr>
        <w:t>E</w:t>
      </w:r>
      <w:r w:rsidRPr="009E6C8A">
        <w:rPr>
          <w:rFonts w:ascii="Arial" w:hAnsi="Arial" w:cs="Arial"/>
          <w:sz w:val="24"/>
        </w:rPr>
        <w:t>lectric vehicle</w:t>
      </w:r>
    </w:p>
    <w:p w14:paraId="389CFFBB" w14:textId="47DC2F9B" w:rsidR="006F0163" w:rsidRDefault="006F0163" w:rsidP="009E6C8A">
      <w:pPr>
        <w:rPr>
          <w:rFonts w:ascii="Arial" w:hAnsi="Arial" w:cs="Arial"/>
          <w:sz w:val="24"/>
        </w:rPr>
      </w:pPr>
      <w:r>
        <w:rPr>
          <w:rFonts w:ascii="Arial" w:hAnsi="Arial" w:cs="Arial"/>
          <w:sz w:val="24"/>
        </w:rPr>
        <w:t>EVIP</w:t>
      </w:r>
      <w:r>
        <w:rPr>
          <w:rFonts w:ascii="Arial" w:hAnsi="Arial" w:cs="Arial"/>
          <w:sz w:val="24"/>
        </w:rPr>
        <w:tab/>
      </w:r>
      <w:r w:rsidR="008C6802">
        <w:rPr>
          <w:rFonts w:ascii="Arial" w:hAnsi="Arial" w:cs="Arial"/>
          <w:sz w:val="24"/>
        </w:rPr>
        <w:tab/>
      </w:r>
      <w:r w:rsidR="008C6802" w:rsidRPr="008C6802">
        <w:rPr>
          <w:rFonts w:ascii="Arial" w:hAnsi="Arial" w:cs="Arial"/>
          <w:sz w:val="24"/>
        </w:rPr>
        <w:t>Electric Vehicle Incentive Program</w:t>
      </w:r>
    </w:p>
    <w:p w14:paraId="0F94330A" w14:textId="08DA4530" w:rsidR="00B70C60" w:rsidRDefault="00B70C60" w:rsidP="009E6C8A">
      <w:pPr>
        <w:rPr>
          <w:rFonts w:ascii="Arial" w:hAnsi="Arial" w:cs="Arial"/>
          <w:sz w:val="24"/>
        </w:rPr>
      </w:pPr>
      <w:r w:rsidRPr="00B70C60">
        <w:rPr>
          <w:rFonts w:ascii="Arial" w:hAnsi="Arial" w:cs="Arial"/>
          <w:sz w:val="24"/>
        </w:rPr>
        <w:t>EVITP</w:t>
      </w:r>
      <w:r w:rsidRPr="00B70C60">
        <w:rPr>
          <w:rFonts w:ascii="Arial" w:hAnsi="Arial" w:cs="Arial"/>
          <w:sz w:val="24"/>
        </w:rPr>
        <w:tab/>
      </w:r>
      <w:r w:rsidRPr="00B70C60">
        <w:rPr>
          <w:rFonts w:ascii="Arial" w:hAnsi="Arial" w:cs="Arial"/>
          <w:sz w:val="24"/>
        </w:rPr>
        <w:tab/>
        <w:t>Electric Vehicle Infrastructure Training Program</w:t>
      </w:r>
    </w:p>
    <w:p w14:paraId="39022078" w14:textId="2BFE98EC" w:rsidR="009E6C8A" w:rsidRDefault="009E6C8A" w:rsidP="009E6C8A">
      <w:pPr>
        <w:rPr>
          <w:rFonts w:ascii="Arial" w:hAnsi="Arial" w:cs="Arial"/>
          <w:sz w:val="24"/>
        </w:rPr>
      </w:pPr>
      <w:r w:rsidRPr="009E6C8A">
        <w:rPr>
          <w:rFonts w:ascii="Arial" w:hAnsi="Arial" w:cs="Arial"/>
          <w:sz w:val="24"/>
        </w:rPr>
        <w:t>EVSE</w:t>
      </w:r>
      <w:r w:rsidRPr="009E6C8A">
        <w:rPr>
          <w:rFonts w:ascii="Arial" w:hAnsi="Arial" w:cs="Arial"/>
          <w:sz w:val="24"/>
        </w:rPr>
        <w:tab/>
      </w:r>
      <w:r w:rsidRPr="009E6C8A">
        <w:rPr>
          <w:rFonts w:ascii="Arial" w:hAnsi="Arial" w:cs="Arial"/>
          <w:sz w:val="24"/>
        </w:rPr>
        <w:tab/>
      </w:r>
      <w:r w:rsidR="0005459F">
        <w:rPr>
          <w:rFonts w:ascii="Arial" w:hAnsi="Arial" w:cs="Arial"/>
          <w:sz w:val="24"/>
        </w:rPr>
        <w:t>E</w:t>
      </w:r>
      <w:r w:rsidRPr="009E6C8A">
        <w:rPr>
          <w:rFonts w:ascii="Arial" w:hAnsi="Arial" w:cs="Arial"/>
          <w:sz w:val="24"/>
        </w:rPr>
        <w:t>lectric vehicle supply equipment</w:t>
      </w:r>
    </w:p>
    <w:p w14:paraId="4BCFCF32" w14:textId="49ABEB2B" w:rsidR="00E5140D" w:rsidRDefault="00E5140D" w:rsidP="00F57F09">
      <w:pPr>
        <w:rPr>
          <w:rFonts w:ascii="Arial" w:hAnsi="Arial" w:cs="Arial"/>
          <w:sz w:val="24"/>
        </w:rPr>
      </w:pPr>
      <w:r>
        <w:rPr>
          <w:rFonts w:ascii="Arial" w:hAnsi="Arial" w:cs="Arial"/>
          <w:sz w:val="24"/>
        </w:rPr>
        <w:t>FAPE</w:t>
      </w:r>
      <w:r>
        <w:rPr>
          <w:rFonts w:ascii="Arial" w:hAnsi="Arial" w:cs="Arial"/>
          <w:sz w:val="24"/>
        </w:rPr>
        <w:tab/>
      </w:r>
      <w:r>
        <w:rPr>
          <w:rFonts w:ascii="Arial" w:hAnsi="Arial" w:cs="Arial"/>
          <w:sz w:val="24"/>
        </w:rPr>
        <w:tab/>
      </w:r>
      <w:r w:rsidR="00F056EE">
        <w:rPr>
          <w:rFonts w:ascii="Arial" w:hAnsi="Arial" w:cs="Arial"/>
          <w:sz w:val="24"/>
        </w:rPr>
        <w:t>F</w:t>
      </w:r>
      <w:r w:rsidRPr="00E5140D">
        <w:rPr>
          <w:rFonts w:ascii="Arial" w:hAnsi="Arial" w:cs="Arial"/>
          <w:sz w:val="24"/>
        </w:rPr>
        <w:t>ree and appropriate public education</w:t>
      </w:r>
    </w:p>
    <w:p w14:paraId="5E69C323" w14:textId="55BB01A5" w:rsidR="00385A1B" w:rsidRDefault="00385A1B" w:rsidP="00F57F09">
      <w:pPr>
        <w:rPr>
          <w:rFonts w:ascii="Arial" w:hAnsi="Arial" w:cs="Arial"/>
          <w:sz w:val="24"/>
        </w:rPr>
      </w:pPr>
      <w:r>
        <w:rPr>
          <w:rFonts w:ascii="Arial" w:hAnsi="Arial" w:cs="Arial"/>
          <w:sz w:val="24"/>
        </w:rPr>
        <w:t>F</w:t>
      </w:r>
      <w:r>
        <w:rPr>
          <w:rFonts w:ascii="Arial" w:hAnsi="Arial" w:cs="Arial"/>
          <w:sz w:val="24"/>
        </w:rPr>
        <w:tab/>
      </w:r>
      <w:r>
        <w:rPr>
          <w:rFonts w:ascii="Arial" w:hAnsi="Arial" w:cs="Arial"/>
          <w:sz w:val="24"/>
        </w:rPr>
        <w:tab/>
        <w:t>Fa</w:t>
      </w:r>
      <w:r w:rsidR="00B37171">
        <w:rPr>
          <w:rFonts w:ascii="Arial" w:hAnsi="Arial" w:cs="Arial"/>
          <w:sz w:val="24"/>
        </w:rPr>
        <w:t>h</w:t>
      </w:r>
      <w:r>
        <w:rPr>
          <w:rFonts w:ascii="Arial" w:hAnsi="Arial" w:cs="Arial"/>
          <w:sz w:val="24"/>
        </w:rPr>
        <w:t>renheit</w:t>
      </w:r>
    </w:p>
    <w:p w14:paraId="4A8D7BFC" w14:textId="668383F2" w:rsidR="008C6802" w:rsidRDefault="008C6802" w:rsidP="00F57F09">
      <w:pPr>
        <w:rPr>
          <w:rFonts w:ascii="Arial" w:hAnsi="Arial" w:cs="Arial"/>
          <w:sz w:val="24"/>
        </w:rPr>
      </w:pPr>
      <w:r>
        <w:rPr>
          <w:rFonts w:ascii="Arial" w:hAnsi="Arial" w:cs="Arial"/>
          <w:sz w:val="24"/>
        </w:rPr>
        <w:t>FAQ</w:t>
      </w:r>
      <w:r>
        <w:rPr>
          <w:rFonts w:ascii="Arial" w:hAnsi="Arial" w:cs="Arial"/>
          <w:sz w:val="24"/>
        </w:rPr>
        <w:tab/>
      </w:r>
      <w:r>
        <w:rPr>
          <w:rFonts w:ascii="Arial" w:hAnsi="Arial" w:cs="Arial"/>
          <w:sz w:val="24"/>
        </w:rPr>
        <w:tab/>
      </w:r>
      <w:r w:rsidR="00F056EE">
        <w:rPr>
          <w:rFonts w:ascii="Arial" w:hAnsi="Arial" w:cs="Arial"/>
          <w:sz w:val="24"/>
        </w:rPr>
        <w:t>F</w:t>
      </w:r>
      <w:r>
        <w:rPr>
          <w:rFonts w:ascii="Arial" w:hAnsi="Arial" w:cs="Arial"/>
          <w:sz w:val="24"/>
        </w:rPr>
        <w:t>requently asked question</w:t>
      </w:r>
    </w:p>
    <w:p w14:paraId="5920A3BB" w14:textId="630307D0" w:rsidR="005A022B" w:rsidRDefault="005A022B" w:rsidP="00F57F09">
      <w:pPr>
        <w:rPr>
          <w:rFonts w:ascii="Arial" w:hAnsi="Arial" w:cs="Arial"/>
          <w:sz w:val="24"/>
        </w:rPr>
      </w:pPr>
      <w:r>
        <w:rPr>
          <w:rFonts w:ascii="Arial" w:hAnsi="Arial" w:cs="Arial"/>
          <w:sz w:val="24"/>
        </w:rPr>
        <w:t>FCA</w:t>
      </w:r>
      <w:r>
        <w:rPr>
          <w:rFonts w:ascii="Arial" w:hAnsi="Arial" w:cs="Arial"/>
          <w:sz w:val="24"/>
        </w:rPr>
        <w:tab/>
      </w:r>
      <w:r>
        <w:rPr>
          <w:rFonts w:ascii="Arial" w:hAnsi="Arial" w:cs="Arial"/>
          <w:sz w:val="24"/>
        </w:rPr>
        <w:tab/>
      </w:r>
      <w:r w:rsidR="00F056EE">
        <w:rPr>
          <w:rFonts w:ascii="Arial" w:hAnsi="Arial" w:cs="Arial"/>
          <w:sz w:val="24"/>
        </w:rPr>
        <w:t>F</w:t>
      </w:r>
      <w:r>
        <w:rPr>
          <w:rFonts w:ascii="Arial" w:hAnsi="Arial" w:cs="Arial"/>
          <w:sz w:val="24"/>
        </w:rPr>
        <w:t>acility condition assessment</w:t>
      </w:r>
    </w:p>
    <w:p w14:paraId="206AD4A7" w14:textId="12760235" w:rsidR="00452089" w:rsidRDefault="00452089" w:rsidP="00F57F09">
      <w:pPr>
        <w:rPr>
          <w:rFonts w:ascii="Arial" w:hAnsi="Arial" w:cs="Arial"/>
          <w:sz w:val="24"/>
        </w:rPr>
      </w:pPr>
      <w:r>
        <w:rPr>
          <w:rFonts w:ascii="Arial" w:hAnsi="Arial" w:cs="Arial"/>
          <w:sz w:val="24"/>
        </w:rPr>
        <w:t>FCU</w:t>
      </w:r>
      <w:r>
        <w:rPr>
          <w:rFonts w:ascii="Arial" w:hAnsi="Arial" w:cs="Arial"/>
          <w:sz w:val="24"/>
        </w:rPr>
        <w:tab/>
      </w:r>
      <w:r>
        <w:rPr>
          <w:rFonts w:ascii="Arial" w:hAnsi="Arial" w:cs="Arial"/>
          <w:sz w:val="24"/>
        </w:rPr>
        <w:tab/>
      </w:r>
      <w:r w:rsidR="00F056EE">
        <w:rPr>
          <w:rFonts w:ascii="Arial" w:hAnsi="Arial" w:cs="Arial"/>
          <w:sz w:val="24"/>
        </w:rPr>
        <w:t>F</w:t>
      </w:r>
      <w:r>
        <w:rPr>
          <w:rFonts w:ascii="Arial" w:hAnsi="Arial" w:cs="Arial"/>
          <w:sz w:val="24"/>
        </w:rPr>
        <w:t>an coil unit</w:t>
      </w:r>
    </w:p>
    <w:p w14:paraId="0817A1AF" w14:textId="3C946E1F" w:rsidR="005A022B" w:rsidRDefault="005A022B" w:rsidP="00F57F09">
      <w:pPr>
        <w:rPr>
          <w:rFonts w:ascii="Arial" w:hAnsi="Arial" w:cs="Arial"/>
          <w:sz w:val="24"/>
        </w:rPr>
      </w:pPr>
      <w:r>
        <w:rPr>
          <w:rFonts w:ascii="Arial" w:hAnsi="Arial" w:cs="Arial"/>
          <w:sz w:val="24"/>
        </w:rPr>
        <w:t>FEMA</w:t>
      </w:r>
      <w:r w:rsidR="00904927">
        <w:rPr>
          <w:rFonts w:ascii="Arial" w:hAnsi="Arial" w:cs="Arial"/>
          <w:sz w:val="24"/>
        </w:rPr>
        <w:tab/>
      </w:r>
      <w:r w:rsidR="00904927">
        <w:rPr>
          <w:rFonts w:ascii="Arial" w:hAnsi="Arial" w:cs="Arial"/>
          <w:sz w:val="24"/>
        </w:rPr>
        <w:tab/>
      </w:r>
      <w:r w:rsidR="003A2FFB">
        <w:rPr>
          <w:rFonts w:ascii="Arial" w:hAnsi="Arial" w:cs="Arial"/>
          <w:sz w:val="24"/>
        </w:rPr>
        <w:t xml:space="preserve">U.S. </w:t>
      </w:r>
      <w:r w:rsidR="00904927" w:rsidRPr="00904927">
        <w:rPr>
          <w:rFonts w:ascii="Arial" w:hAnsi="Arial" w:cs="Arial"/>
          <w:sz w:val="24"/>
        </w:rPr>
        <w:t>Federal Emergency Management Agency</w:t>
      </w:r>
    </w:p>
    <w:p w14:paraId="00580460" w14:textId="0142DCE3" w:rsidR="00BB0EED" w:rsidRDefault="00BB0EED" w:rsidP="00F57F09">
      <w:pPr>
        <w:rPr>
          <w:rFonts w:ascii="Arial" w:hAnsi="Arial" w:cs="Arial"/>
          <w:sz w:val="24"/>
        </w:rPr>
      </w:pPr>
      <w:r>
        <w:rPr>
          <w:rFonts w:ascii="Arial" w:hAnsi="Arial" w:cs="Arial"/>
          <w:sz w:val="24"/>
        </w:rPr>
        <w:t>FEMP</w:t>
      </w:r>
      <w:r>
        <w:rPr>
          <w:rFonts w:ascii="Arial" w:hAnsi="Arial" w:cs="Arial"/>
          <w:sz w:val="24"/>
        </w:rPr>
        <w:tab/>
      </w:r>
      <w:r>
        <w:rPr>
          <w:rFonts w:ascii="Arial" w:hAnsi="Arial" w:cs="Arial"/>
          <w:sz w:val="24"/>
        </w:rPr>
        <w:tab/>
        <w:t>Federal Energy Management Program</w:t>
      </w:r>
    </w:p>
    <w:p w14:paraId="66B7A807" w14:textId="6C237B2D" w:rsidR="00BB0EED" w:rsidRDefault="00BB0EED" w:rsidP="00F57F09">
      <w:pPr>
        <w:rPr>
          <w:rFonts w:ascii="Arial" w:hAnsi="Arial" w:cs="Arial"/>
          <w:sz w:val="24"/>
        </w:rPr>
      </w:pPr>
      <w:r>
        <w:rPr>
          <w:rFonts w:ascii="Arial" w:hAnsi="Arial" w:cs="Arial"/>
          <w:sz w:val="24"/>
        </w:rPr>
        <w:t>FLB</w:t>
      </w:r>
      <w:r w:rsidR="00D7181D">
        <w:rPr>
          <w:rFonts w:ascii="Arial" w:hAnsi="Arial" w:cs="Arial"/>
          <w:sz w:val="24"/>
        </w:rPr>
        <w:tab/>
      </w:r>
      <w:r w:rsidR="00D7181D">
        <w:rPr>
          <w:rFonts w:ascii="Arial" w:hAnsi="Arial" w:cs="Arial"/>
          <w:sz w:val="24"/>
        </w:rPr>
        <w:tab/>
      </w:r>
      <w:r w:rsidR="00131D21">
        <w:rPr>
          <w:rFonts w:ascii="Arial" w:hAnsi="Arial" w:cs="Arial"/>
          <w:sz w:val="24"/>
        </w:rPr>
        <w:t>F</w:t>
      </w:r>
      <w:r w:rsidR="00D7181D" w:rsidRPr="00D7181D">
        <w:rPr>
          <w:rFonts w:ascii="Arial" w:hAnsi="Arial" w:cs="Arial"/>
          <w:sz w:val="24"/>
        </w:rPr>
        <w:t>luorescent light ballast</w:t>
      </w:r>
    </w:p>
    <w:p w14:paraId="474F18EF" w14:textId="5BB5C0F0" w:rsidR="00F57F09" w:rsidRPr="00FB5EAE" w:rsidRDefault="00F57F09" w:rsidP="00F57F09">
      <w:pPr>
        <w:rPr>
          <w:rFonts w:ascii="Arial" w:hAnsi="Arial" w:cs="Arial"/>
          <w:sz w:val="24"/>
        </w:rPr>
      </w:pPr>
      <w:r w:rsidRPr="00FB5EAE">
        <w:rPr>
          <w:rFonts w:ascii="Arial" w:hAnsi="Arial" w:cs="Arial"/>
          <w:sz w:val="24"/>
        </w:rPr>
        <w:t>GHG</w:t>
      </w:r>
      <w:r w:rsidRPr="00FB5EAE">
        <w:rPr>
          <w:rFonts w:ascii="Arial" w:hAnsi="Arial" w:cs="Arial"/>
          <w:sz w:val="24"/>
        </w:rPr>
        <w:tab/>
      </w:r>
      <w:r w:rsidRPr="00FB5EAE">
        <w:rPr>
          <w:rFonts w:ascii="Arial" w:hAnsi="Arial" w:cs="Arial"/>
          <w:sz w:val="24"/>
        </w:rPr>
        <w:tab/>
        <w:t>Greenhouse gas</w:t>
      </w:r>
    </w:p>
    <w:p w14:paraId="03DFA837" w14:textId="76A00E17" w:rsidR="00556980" w:rsidRPr="00556980" w:rsidRDefault="00556980" w:rsidP="00556980">
      <w:pPr>
        <w:rPr>
          <w:rFonts w:ascii="Arial" w:hAnsi="Arial" w:cs="Arial"/>
          <w:sz w:val="24"/>
        </w:rPr>
      </w:pPr>
      <w:r w:rsidRPr="00556980">
        <w:rPr>
          <w:rFonts w:ascii="Arial" w:hAnsi="Arial" w:cs="Arial"/>
          <w:sz w:val="24"/>
        </w:rPr>
        <w:t>gpm</w:t>
      </w:r>
      <w:r w:rsidRPr="00556980">
        <w:rPr>
          <w:rFonts w:ascii="Arial" w:hAnsi="Arial" w:cs="Arial"/>
          <w:sz w:val="24"/>
        </w:rPr>
        <w:tab/>
      </w:r>
      <w:r w:rsidRPr="00556980">
        <w:rPr>
          <w:rFonts w:ascii="Arial" w:hAnsi="Arial" w:cs="Arial"/>
          <w:sz w:val="24"/>
        </w:rPr>
        <w:tab/>
      </w:r>
      <w:r w:rsidR="004B7D67">
        <w:rPr>
          <w:rFonts w:ascii="Arial" w:hAnsi="Arial" w:cs="Arial"/>
          <w:sz w:val="24"/>
        </w:rPr>
        <w:t>G</w:t>
      </w:r>
      <w:r w:rsidRPr="00556980">
        <w:rPr>
          <w:rFonts w:ascii="Arial" w:hAnsi="Arial" w:cs="Arial"/>
          <w:sz w:val="24"/>
        </w:rPr>
        <w:t>allons per minute</w:t>
      </w:r>
    </w:p>
    <w:p w14:paraId="361CB4E6" w14:textId="39F47388" w:rsidR="00330B65" w:rsidRDefault="00330B65" w:rsidP="00556980">
      <w:pPr>
        <w:rPr>
          <w:rFonts w:ascii="Arial" w:hAnsi="Arial" w:cs="Arial"/>
          <w:sz w:val="24"/>
        </w:rPr>
      </w:pPr>
      <w:r>
        <w:rPr>
          <w:rFonts w:ascii="Arial" w:hAnsi="Arial" w:cs="Arial"/>
          <w:sz w:val="24"/>
        </w:rPr>
        <w:t>GSHP</w:t>
      </w:r>
      <w:r>
        <w:rPr>
          <w:rFonts w:ascii="Arial" w:hAnsi="Arial" w:cs="Arial"/>
          <w:sz w:val="24"/>
        </w:rPr>
        <w:tab/>
      </w:r>
      <w:r>
        <w:rPr>
          <w:rFonts w:ascii="Arial" w:hAnsi="Arial" w:cs="Arial"/>
          <w:sz w:val="24"/>
        </w:rPr>
        <w:tab/>
      </w:r>
      <w:r w:rsidR="004B7D67">
        <w:rPr>
          <w:rFonts w:ascii="Arial" w:hAnsi="Arial" w:cs="Arial"/>
          <w:sz w:val="24"/>
        </w:rPr>
        <w:t>G</w:t>
      </w:r>
      <w:r w:rsidRPr="00330B65">
        <w:rPr>
          <w:rFonts w:ascii="Arial" w:hAnsi="Arial" w:cs="Arial"/>
          <w:sz w:val="24"/>
        </w:rPr>
        <w:t>round-source heat pump</w:t>
      </w:r>
    </w:p>
    <w:p w14:paraId="0E282DF6" w14:textId="7FF43552" w:rsidR="00330B65" w:rsidRDefault="00330B65" w:rsidP="00556980">
      <w:pPr>
        <w:rPr>
          <w:rFonts w:ascii="Arial" w:hAnsi="Arial" w:cs="Arial"/>
          <w:sz w:val="24"/>
        </w:rPr>
      </w:pPr>
      <w:r>
        <w:rPr>
          <w:rFonts w:ascii="Arial" w:hAnsi="Arial" w:cs="Arial"/>
          <w:sz w:val="24"/>
        </w:rPr>
        <w:t>HEPA</w:t>
      </w:r>
      <w:r>
        <w:rPr>
          <w:rFonts w:ascii="Arial" w:hAnsi="Arial" w:cs="Arial"/>
          <w:sz w:val="24"/>
        </w:rPr>
        <w:tab/>
      </w:r>
      <w:r>
        <w:rPr>
          <w:rFonts w:ascii="Arial" w:hAnsi="Arial" w:cs="Arial"/>
          <w:sz w:val="24"/>
        </w:rPr>
        <w:tab/>
      </w:r>
      <w:r w:rsidR="004B7D67">
        <w:rPr>
          <w:rFonts w:ascii="Arial" w:hAnsi="Arial" w:cs="Arial"/>
          <w:sz w:val="24"/>
        </w:rPr>
        <w:t>H</w:t>
      </w:r>
      <w:r w:rsidR="00294308" w:rsidRPr="00294308">
        <w:rPr>
          <w:rFonts w:ascii="Arial" w:hAnsi="Arial" w:cs="Arial"/>
          <w:sz w:val="24"/>
        </w:rPr>
        <w:t>igh-efficiency particulate air</w:t>
      </w:r>
    </w:p>
    <w:p w14:paraId="7BB8E739" w14:textId="77EB1972" w:rsidR="0063289E" w:rsidRPr="0015466A" w:rsidRDefault="0063289E" w:rsidP="00556980">
      <w:pPr>
        <w:rPr>
          <w:rFonts w:ascii="Arial" w:hAnsi="Arial" w:cs="Arial"/>
          <w:sz w:val="24"/>
          <w:lang w:val="es-419"/>
        </w:rPr>
      </w:pPr>
      <w:r w:rsidRPr="0015466A">
        <w:rPr>
          <w:rFonts w:ascii="Arial" w:hAnsi="Arial" w:cs="Arial"/>
          <w:sz w:val="24"/>
          <w:lang w:val="es-419"/>
        </w:rPr>
        <w:t>HFPO-DA</w:t>
      </w:r>
      <w:r w:rsidRPr="0015466A">
        <w:rPr>
          <w:rFonts w:ascii="Arial" w:hAnsi="Arial" w:cs="Arial"/>
          <w:sz w:val="24"/>
          <w:lang w:val="es-419"/>
        </w:rPr>
        <w:tab/>
        <w:t>Hexafluoropropylene oxide dimer acid</w:t>
      </w:r>
    </w:p>
    <w:p w14:paraId="4A691725" w14:textId="3CA632F5" w:rsidR="00230875" w:rsidRDefault="00230875" w:rsidP="00556980">
      <w:pPr>
        <w:rPr>
          <w:rFonts w:ascii="Arial" w:hAnsi="Arial" w:cs="Arial"/>
          <w:sz w:val="24"/>
        </w:rPr>
      </w:pPr>
      <w:r>
        <w:rPr>
          <w:rFonts w:ascii="Arial" w:hAnsi="Arial" w:cs="Arial"/>
          <w:sz w:val="24"/>
        </w:rPr>
        <w:t>HP</w:t>
      </w:r>
      <w:r>
        <w:rPr>
          <w:rFonts w:ascii="Arial" w:hAnsi="Arial" w:cs="Arial"/>
          <w:sz w:val="24"/>
        </w:rPr>
        <w:tab/>
      </w:r>
      <w:r>
        <w:rPr>
          <w:rFonts w:ascii="Arial" w:hAnsi="Arial" w:cs="Arial"/>
          <w:sz w:val="24"/>
        </w:rPr>
        <w:tab/>
      </w:r>
      <w:r w:rsidR="004B7D67">
        <w:rPr>
          <w:rFonts w:ascii="Arial" w:hAnsi="Arial" w:cs="Arial"/>
          <w:sz w:val="24"/>
        </w:rPr>
        <w:t>H</w:t>
      </w:r>
      <w:r>
        <w:rPr>
          <w:rFonts w:ascii="Arial" w:hAnsi="Arial" w:cs="Arial"/>
          <w:sz w:val="24"/>
        </w:rPr>
        <w:t>eat pump</w:t>
      </w:r>
    </w:p>
    <w:p w14:paraId="246909FD" w14:textId="1A974137" w:rsidR="00452089" w:rsidRDefault="00452089" w:rsidP="00556980">
      <w:pPr>
        <w:rPr>
          <w:rFonts w:ascii="Arial" w:hAnsi="Arial" w:cs="Arial"/>
          <w:sz w:val="24"/>
        </w:rPr>
      </w:pPr>
      <w:r>
        <w:rPr>
          <w:rFonts w:ascii="Arial" w:hAnsi="Arial" w:cs="Arial"/>
          <w:sz w:val="24"/>
        </w:rPr>
        <w:t>HPWH</w:t>
      </w:r>
      <w:r>
        <w:rPr>
          <w:rFonts w:ascii="Arial" w:hAnsi="Arial" w:cs="Arial"/>
          <w:sz w:val="24"/>
        </w:rPr>
        <w:tab/>
      </w:r>
      <w:r w:rsidR="009D3828">
        <w:rPr>
          <w:rFonts w:ascii="Arial" w:hAnsi="Arial" w:cs="Arial"/>
          <w:sz w:val="24"/>
        </w:rPr>
        <w:t>H</w:t>
      </w:r>
      <w:r>
        <w:rPr>
          <w:rFonts w:ascii="Arial" w:hAnsi="Arial" w:cs="Arial"/>
          <w:sz w:val="24"/>
        </w:rPr>
        <w:t>eat pump water heater</w:t>
      </w:r>
    </w:p>
    <w:p w14:paraId="36AF459D" w14:textId="39D9E82C" w:rsidR="00B21405" w:rsidRDefault="00B21405" w:rsidP="00556980">
      <w:pPr>
        <w:rPr>
          <w:rFonts w:ascii="Arial" w:hAnsi="Arial" w:cs="Arial"/>
          <w:sz w:val="24"/>
        </w:rPr>
      </w:pPr>
      <w:r>
        <w:rPr>
          <w:rFonts w:ascii="Arial" w:hAnsi="Arial" w:cs="Arial"/>
          <w:sz w:val="24"/>
        </w:rPr>
        <w:t>HVAC</w:t>
      </w:r>
      <w:r>
        <w:rPr>
          <w:rFonts w:ascii="Arial" w:hAnsi="Arial" w:cs="Arial"/>
          <w:sz w:val="24"/>
        </w:rPr>
        <w:tab/>
      </w:r>
      <w:r>
        <w:rPr>
          <w:rFonts w:ascii="Arial" w:hAnsi="Arial" w:cs="Arial"/>
          <w:sz w:val="24"/>
        </w:rPr>
        <w:tab/>
      </w:r>
      <w:r w:rsidR="009D3828">
        <w:rPr>
          <w:rFonts w:ascii="Arial" w:hAnsi="Arial" w:cs="Arial"/>
          <w:sz w:val="24"/>
        </w:rPr>
        <w:t>H</w:t>
      </w:r>
      <w:r>
        <w:rPr>
          <w:rFonts w:ascii="Arial" w:hAnsi="Arial" w:cs="Arial"/>
          <w:sz w:val="24"/>
        </w:rPr>
        <w:t>eating, ventilation, and air conditioning</w:t>
      </w:r>
    </w:p>
    <w:p w14:paraId="6A4ACC23" w14:textId="28DDD72E" w:rsidR="00B21405" w:rsidRDefault="00B21405" w:rsidP="00556980">
      <w:pPr>
        <w:rPr>
          <w:rFonts w:ascii="Arial" w:hAnsi="Arial" w:cs="Arial"/>
          <w:sz w:val="24"/>
        </w:rPr>
      </w:pPr>
      <w:r>
        <w:rPr>
          <w:rFonts w:ascii="Arial" w:hAnsi="Arial" w:cs="Arial"/>
          <w:sz w:val="24"/>
        </w:rPr>
        <w:t>IAQ</w:t>
      </w:r>
      <w:r>
        <w:rPr>
          <w:rFonts w:ascii="Arial" w:hAnsi="Arial" w:cs="Arial"/>
          <w:sz w:val="24"/>
        </w:rPr>
        <w:tab/>
      </w:r>
      <w:r>
        <w:rPr>
          <w:rFonts w:ascii="Arial" w:hAnsi="Arial" w:cs="Arial"/>
          <w:sz w:val="24"/>
        </w:rPr>
        <w:tab/>
      </w:r>
      <w:r w:rsidR="009D3828">
        <w:rPr>
          <w:rFonts w:ascii="Arial" w:hAnsi="Arial" w:cs="Arial"/>
          <w:sz w:val="24"/>
        </w:rPr>
        <w:t>I</w:t>
      </w:r>
      <w:r>
        <w:rPr>
          <w:rFonts w:ascii="Arial" w:hAnsi="Arial" w:cs="Arial"/>
          <w:sz w:val="24"/>
        </w:rPr>
        <w:t>ndoor air quality</w:t>
      </w:r>
    </w:p>
    <w:p w14:paraId="04F139A1" w14:textId="7804BD35" w:rsidR="00556980" w:rsidRDefault="00556980" w:rsidP="00556980">
      <w:pPr>
        <w:rPr>
          <w:rFonts w:ascii="Arial" w:hAnsi="Arial" w:cs="Arial"/>
          <w:sz w:val="24"/>
        </w:rPr>
      </w:pPr>
      <w:r w:rsidRPr="00556980">
        <w:rPr>
          <w:rFonts w:ascii="Arial" w:hAnsi="Arial" w:cs="Arial"/>
          <w:sz w:val="24"/>
        </w:rPr>
        <w:t>ICE</w:t>
      </w:r>
      <w:r w:rsidRPr="00556980">
        <w:rPr>
          <w:rFonts w:ascii="Arial" w:hAnsi="Arial" w:cs="Arial"/>
          <w:sz w:val="24"/>
        </w:rPr>
        <w:tab/>
      </w:r>
      <w:r w:rsidRPr="00556980">
        <w:rPr>
          <w:rFonts w:ascii="Arial" w:hAnsi="Arial" w:cs="Arial"/>
          <w:sz w:val="24"/>
        </w:rPr>
        <w:tab/>
      </w:r>
      <w:r w:rsidR="009D3828">
        <w:rPr>
          <w:rFonts w:ascii="Arial" w:hAnsi="Arial" w:cs="Arial"/>
          <w:sz w:val="24"/>
        </w:rPr>
        <w:t>I</w:t>
      </w:r>
      <w:r w:rsidRPr="00556980">
        <w:rPr>
          <w:rFonts w:ascii="Arial" w:hAnsi="Arial" w:cs="Arial"/>
          <w:sz w:val="24"/>
        </w:rPr>
        <w:t>nternal combustion engine</w:t>
      </w:r>
    </w:p>
    <w:p w14:paraId="151902F3" w14:textId="1181BEBB" w:rsidR="00AA5368" w:rsidRDefault="00AA5368" w:rsidP="00F57F09">
      <w:pPr>
        <w:rPr>
          <w:rFonts w:ascii="Arial" w:hAnsi="Arial" w:cs="Arial"/>
          <w:sz w:val="24"/>
        </w:rPr>
      </w:pPr>
      <w:r>
        <w:rPr>
          <w:rFonts w:ascii="Arial" w:hAnsi="Arial" w:cs="Arial"/>
          <w:sz w:val="24"/>
        </w:rPr>
        <w:t>IEP</w:t>
      </w:r>
      <w:r>
        <w:rPr>
          <w:rFonts w:ascii="Arial" w:hAnsi="Arial" w:cs="Arial"/>
          <w:sz w:val="24"/>
        </w:rPr>
        <w:tab/>
      </w:r>
      <w:r>
        <w:rPr>
          <w:rFonts w:ascii="Arial" w:hAnsi="Arial" w:cs="Arial"/>
          <w:sz w:val="24"/>
        </w:rPr>
        <w:tab/>
      </w:r>
      <w:r w:rsidR="009D3828">
        <w:rPr>
          <w:rFonts w:ascii="Arial" w:hAnsi="Arial" w:cs="Arial"/>
          <w:sz w:val="24"/>
        </w:rPr>
        <w:t>I</w:t>
      </w:r>
      <w:r w:rsidRPr="00AA5368">
        <w:rPr>
          <w:rFonts w:ascii="Arial" w:hAnsi="Arial" w:cs="Arial"/>
          <w:sz w:val="24"/>
        </w:rPr>
        <w:t>ndividualized education plan</w:t>
      </w:r>
    </w:p>
    <w:p w14:paraId="2DB93383" w14:textId="5C515193" w:rsidR="00553E8A" w:rsidRDefault="00553E8A" w:rsidP="00F57F09">
      <w:pPr>
        <w:rPr>
          <w:rFonts w:ascii="Arial" w:hAnsi="Arial" w:cs="Arial"/>
          <w:sz w:val="24"/>
        </w:rPr>
      </w:pPr>
      <w:r>
        <w:rPr>
          <w:rFonts w:ascii="Arial" w:hAnsi="Arial" w:cs="Arial"/>
          <w:sz w:val="24"/>
        </w:rPr>
        <w:t>IPM</w:t>
      </w:r>
      <w:r w:rsidR="008343E3">
        <w:rPr>
          <w:rFonts w:ascii="Arial" w:hAnsi="Arial" w:cs="Arial"/>
          <w:sz w:val="24"/>
        </w:rPr>
        <w:tab/>
      </w:r>
      <w:r w:rsidR="008343E3">
        <w:rPr>
          <w:rFonts w:ascii="Arial" w:hAnsi="Arial" w:cs="Arial"/>
          <w:sz w:val="24"/>
        </w:rPr>
        <w:tab/>
      </w:r>
      <w:r w:rsidR="009D3828">
        <w:rPr>
          <w:rFonts w:ascii="Arial" w:hAnsi="Arial" w:cs="Arial"/>
          <w:sz w:val="24"/>
        </w:rPr>
        <w:t>I</w:t>
      </w:r>
      <w:r w:rsidR="008343E3" w:rsidRPr="008343E3">
        <w:rPr>
          <w:rFonts w:ascii="Arial" w:hAnsi="Arial" w:cs="Arial"/>
          <w:sz w:val="24"/>
        </w:rPr>
        <w:t>ntegrated pest management</w:t>
      </w:r>
    </w:p>
    <w:p w14:paraId="631E7BB7" w14:textId="601128B1" w:rsidR="0090527E" w:rsidRDefault="0090527E" w:rsidP="00F57F09">
      <w:pPr>
        <w:rPr>
          <w:rFonts w:ascii="Arial" w:hAnsi="Arial" w:cs="Arial"/>
          <w:sz w:val="24"/>
        </w:rPr>
      </w:pPr>
      <w:r>
        <w:rPr>
          <w:rFonts w:ascii="Arial" w:hAnsi="Arial" w:cs="Arial"/>
          <w:sz w:val="24"/>
        </w:rPr>
        <w:t>IRA</w:t>
      </w:r>
      <w:r>
        <w:rPr>
          <w:rFonts w:ascii="Arial" w:hAnsi="Arial" w:cs="Arial"/>
          <w:sz w:val="24"/>
        </w:rPr>
        <w:tab/>
      </w:r>
      <w:r>
        <w:rPr>
          <w:rFonts w:ascii="Arial" w:hAnsi="Arial" w:cs="Arial"/>
          <w:sz w:val="24"/>
        </w:rPr>
        <w:tab/>
      </w:r>
      <w:r w:rsidRPr="0090527E">
        <w:rPr>
          <w:rFonts w:ascii="Arial" w:hAnsi="Arial" w:cs="Arial"/>
          <w:sz w:val="24"/>
        </w:rPr>
        <w:t>Inflation Reduction Act</w:t>
      </w:r>
    </w:p>
    <w:p w14:paraId="122E34BE" w14:textId="1D01DE6E" w:rsidR="00393375" w:rsidRDefault="00393375" w:rsidP="00F57F09">
      <w:pPr>
        <w:rPr>
          <w:rFonts w:ascii="Arial" w:hAnsi="Arial" w:cs="Arial"/>
          <w:sz w:val="24"/>
        </w:rPr>
      </w:pPr>
      <w:r w:rsidRPr="00393375">
        <w:rPr>
          <w:rFonts w:ascii="Arial" w:hAnsi="Arial" w:cs="Arial"/>
          <w:sz w:val="24"/>
        </w:rPr>
        <w:t>IRS</w:t>
      </w:r>
      <w:r>
        <w:tab/>
      </w:r>
      <w:r>
        <w:tab/>
      </w:r>
      <w:r w:rsidR="73D8C669" w:rsidRPr="003A2FFB">
        <w:rPr>
          <w:rFonts w:ascii="Arial" w:eastAsia="Arial" w:hAnsi="Arial" w:cs="Arial"/>
          <w:sz w:val="24"/>
        </w:rPr>
        <w:t xml:space="preserve">U.S. </w:t>
      </w:r>
      <w:r w:rsidRPr="00F478A8">
        <w:rPr>
          <w:rFonts w:ascii="Arial" w:eastAsia="Arial" w:hAnsi="Arial" w:cs="Arial"/>
          <w:sz w:val="24"/>
        </w:rPr>
        <w:t>In</w:t>
      </w:r>
      <w:r w:rsidRPr="00393375">
        <w:rPr>
          <w:rFonts w:ascii="Arial" w:hAnsi="Arial" w:cs="Arial"/>
          <w:sz w:val="24"/>
        </w:rPr>
        <w:t>ternal Revenue Service</w:t>
      </w:r>
    </w:p>
    <w:p w14:paraId="69E7867E" w14:textId="28A726A8" w:rsidR="0090527E" w:rsidRDefault="0090527E" w:rsidP="00F57F09">
      <w:pPr>
        <w:rPr>
          <w:rFonts w:ascii="Arial" w:hAnsi="Arial" w:cs="Arial"/>
          <w:sz w:val="24"/>
        </w:rPr>
      </w:pPr>
      <w:r>
        <w:rPr>
          <w:rFonts w:ascii="Arial" w:hAnsi="Arial" w:cs="Arial"/>
          <w:sz w:val="24"/>
        </w:rPr>
        <w:t>ITC</w:t>
      </w:r>
      <w:r>
        <w:rPr>
          <w:rFonts w:ascii="Arial" w:hAnsi="Arial" w:cs="Arial"/>
          <w:sz w:val="24"/>
        </w:rPr>
        <w:tab/>
      </w:r>
      <w:r>
        <w:rPr>
          <w:rFonts w:ascii="Arial" w:hAnsi="Arial" w:cs="Arial"/>
          <w:sz w:val="24"/>
        </w:rPr>
        <w:tab/>
      </w:r>
      <w:r w:rsidRPr="0090527E">
        <w:rPr>
          <w:rFonts w:ascii="Arial" w:hAnsi="Arial" w:cs="Arial"/>
          <w:sz w:val="24"/>
        </w:rPr>
        <w:t>Investment Tax Credit</w:t>
      </w:r>
    </w:p>
    <w:p w14:paraId="1083DE8B" w14:textId="355C31FD" w:rsidR="008B13EF" w:rsidRDefault="008B13EF" w:rsidP="00F57F09">
      <w:pPr>
        <w:rPr>
          <w:rFonts w:ascii="Arial" w:hAnsi="Arial" w:cs="Arial"/>
          <w:sz w:val="24"/>
        </w:rPr>
      </w:pPr>
      <w:r>
        <w:rPr>
          <w:rFonts w:ascii="Arial" w:hAnsi="Arial" w:cs="Arial"/>
          <w:sz w:val="24"/>
        </w:rPr>
        <w:t>LCCA</w:t>
      </w:r>
      <w:r>
        <w:rPr>
          <w:rFonts w:ascii="Arial" w:hAnsi="Arial" w:cs="Arial"/>
          <w:sz w:val="24"/>
        </w:rPr>
        <w:tab/>
      </w:r>
      <w:r>
        <w:rPr>
          <w:rFonts w:ascii="Arial" w:hAnsi="Arial" w:cs="Arial"/>
          <w:sz w:val="24"/>
        </w:rPr>
        <w:tab/>
      </w:r>
      <w:r w:rsidRPr="008B13EF">
        <w:rPr>
          <w:rFonts w:ascii="Arial" w:hAnsi="Arial" w:cs="Arial"/>
          <w:sz w:val="24"/>
        </w:rPr>
        <w:t>L</w:t>
      </w:r>
      <w:r w:rsidR="003463DA">
        <w:rPr>
          <w:rFonts w:ascii="Arial" w:hAnsi="Arial" w:cs="Arial"/>
          <w:sz w:val="24"/>
        </w:rPr>
        <w:t>ead</w:t>
      </w:r>
      <w:r w:rsidRPr="008B13EF">
        <w:rPr>
          <w:rFonts w:ascii="Arial" w:hAnsi="Arial" w:cs="Arial"/>
          <w:sz w:val="24"/>
        </w:rPr>
        <w:t xml:space="preserve"> Contamination Control Act</w:t>
      </w:r>
    </w:p>
    <w:p w14:paraId="67F80D55" w14:textId="055E5F8A" w:rsidR="00486FBE" w:rsidRDefault="00486FBE" w:rsidP="00F57F09">
      <w:pPr>
        <w:rPr>
          <w:rFonts w:ascii="Arial" w:hAnsi="Arial" w:cs="Arial"/>
          <w:sz w:val="24"/>
        </w:rPr>
      </w:pPr>
      <w:r>
        <w:rPr>
          <w:rFonts w:ascii="Arial" w:hAnsi="Arial" w:cs="Arial"/>
          <w:sz w:val="24"/>
        </w:rPr>
        <w:t>LEA</w:t>
      </w:r>
      <w:r>
        <w:rPr>
          <w:rFonts w:ascii="Arial" w:hAnsi="Arial" w:cs="Arial"/>
          <w:sz w:val="24"/>
        </w:rPr>
        <w:tab/>
      </w:r>
      <w:r>
        <w:rPr>
          <w:rFonts w:ascii="Arial" w:hAnsi="Arial" w:cs="Arial"/>
          <w:sz w:val="24"/>
        </w:rPr>
        <w:tab/>
      </w:r>
      <w:r w:rsidRPr="00486FBE">
        <w:rPr>
          <w:rFonts w:ascii="Arial" w:hAnsi="Arial" w:cs="Arial"/>
          <w:sz w:val="24"/>
        </w:rPr>
        <w:t>Local Education Agency</w:t>
      </w:r>
    </w:p>
    <w:p w14:paraId="3B4D0C01" w14:textId="58CDBDD2" w:rsidR="00FF6D38" w:rsidRDefault="00FF6D38" w:rsidP="00F57F09">
      <w:pPr>
        <w:rPr>
          <w:rFonts w:ascii="Arial" w:hAnsi="Arial" w:cs="Arial"/>
          <w:sz w:val="24"/>
        </w:rPr>
      </w:pPr>
      <w:r>
        <w:rPr>
          <w:rFonts w:ascii="Arial" w:hAnsi="Arial" w:cs="Arial"/>
          <w:sz w:val="24"/>
        </w:rPr>
        <w:t>LEED</w:t>
      </w:r>
      <w:r>
        <w:rPr>
          <w:rFonts w:ascii="Arial" w:hAnsi="Arial" w:cs="Arial"/>
          <w:sz w:val="24"/>
        </w:rPr>
        <w:tab/>
      </w:r>
      <w:r>
        <w:rPr>
          <w:rFonts w:ascii="Arial" w:hAnsi="Arial" w:cs="Arial"/>
          <w:sz w:val="24"/>
        </w:rPr>
        <w:tab/>
        <w:t>Leadership in Energy and Environmental Design</w:t>
      </w:r>
    </w:p>
    <w:p w14:paraId="2519401D" w14:textId="08406798" w:rsidR="007755D4" w:rsidRDefault="007755D4" w:rsidP="00F57F09">
      <w:pPr>
        <w:rPr>
          <w:rFonts w:ascii="Arial" w:hAnsi="Arial" w:cs="Arial"/>
          <w:sz w:val="24"/>
        </w:rPr>
      </w:pPr>
      <w:r>
        <w:rPr>
          <w:rFonts w:ascii="Arial" w:hAnsi="Arial" w:cs="Arial"/>
          <w:sz w:val="24"/>
        </w:rPr>
        <w:t>LED</w:t>
      </w:r>
      <w:r>
        <w:rPr>
          <w:rFonts w:ascii="Arial" w:hAnsi="Arial" w:cs="Arial"/>
          <w:sz w:val="24"/>
        </w:rPr>
        <w:tab/>
      </w:r>
      <w:r>
        <w:rPr>
          <w:rFonts w:ascii="Arial" w:hAnsi="Arial" w:cs="Arial"/>
          <w:sz w:val="24"/>
        </w:rPr>
        <w:tab/>
        <w:t>Light-emitting diode</w:t>
      </w:r>
    </w:p>
    <w:p w14:paraId="4AFA7F77" w14:textId="163C5F1B" w:rsidR="00DB1986" w:rsidRDefault="00DB1986" w:rsidP="00F57F09">
      <w:pPr>
        <w:rPr>
          <w:rFonts w:ascii="Arial" w:hAnsi="Arial" w:cs="Arial"/>
          <w:sz w:val="24"/>
        </w:rPr>
      </w:pPr>
      <w:r>
        <w:rPr>
          <w:rFonts w:ascii="Arial" w:hAnsi="Arial" w:cs="Arial"/>
          <w:sz w:val="24"/>
        </w:rPr>
        <w:t>LRE</w:t>
      </w:r>
      <w:r>
        <w:rPr>
          <w:rFonts w:ascii="Arial" w:hAnsi="Arial" w:cs="Arial"/>
          <w:sz w:val="24"/>
        </w:rPr>
        <w:tab/>
      </w:r>
      <w:r>
        <w:rPr>
          <w:rFonts w:ascii="Arial" w:hAnsi="Arial" w:cs="Arial"/>
          <w:sz w:val="24"/>
        </w:rPr>
        <w:tab/>
      </w:r>
      <w:r w:rsidR="00F478A8">
        <w:rPr>
          <w:rFonts w:ascii="Arial" w:hAnsi="Arial" w:cs="Arial"/>
          <w:sz w:val="24"/>
        </w:rPr>
        <w:t>L</w:t>
      </w:r>
      <w:r w:rsidRPr="00DB1986">
        <w:rPr>
          <w:rFonts w:ascii="Arial" w:hAnsi="Arial" w:cs="Arial"/>
          <w:sz w:val="24"/>
        </w:rPr>
        <w:t>east restrictive environment</w:t>
      </w:r>
    </w:p>
    <w:p w14:paraId="4E68C9B1" w14:textId="7AA8B112" w:rsidR="00490B42" w:rsidRDefault="00490B42" w:rsidP="00F57F09">
      <w:pPr>
        <w:rPr>
          <w:rFonts w:ascii="Arial" w:hAnsi="Arial" w:cs="Arial"/>
          <w:sz w:val="24"/>
        </w:rPr>
      </w:pPr>
      <w:r>
        <w:rPr>
          <w:rFonts w:ascii="Arial" w:hAnsi="Arial" w:cs="Arial"/>
          <w:sz w:val="24"/>
        </w:rPr>
        <w:t>MAAP</w:t>
      </w:r>
      <w:r>
        <w:rPr>
          <w:rFonts w:ascii="Arial" w:hAnsi="Arial" w:cs="Arial"/>
          <w:sz w:val="24"/>
        </w:rPr>
        <w:tab/>
      </w:r>
      <w:r>
        <w:rPr>
          <w:rFonts w:ascii="Arial" w:hAnsi="Arial" w:cs="Arial"/>
          <w:sz w:val="24"/>
        </w:rPr>
        <w:tab/>
      </w:r>
      <w:r w:rsidRPr="00490B42">
        <w:rPr>
          <w:rFonts w:ascii="Arial" w:hAnsi="Arial" w:cs="Arial"/>
          <w:sz w:val="24"/>
        </w:rPr>
        <w:t>Massachusetts Asthma Action Partnership</w:t>
      </w:r>
    </w:p>
    <w:p w14:paraId="1127F43F" w14:textId="57576273" w:rsidR="008B13EF" w:rsidRDefault="008B13EF" w:rsidP="00F57F09">
      <w:pPr>
        <w:rPr>
          <w:rFonts w:ascii="Arial" w:hAnsi="Arial" w:cs="Arial"/>
          <w:sz w:val="24"/>
        </w:rPr>
      </w:pPr>
      <w:r>
        <w:rPr>
          <w:rFonts w:ascii="Arial" w:hAnsi="Arial" w:cs="Arial"/>
          <w:sz w:val="24"/>
        </w:rPr>
        <w:t>MAPC</w:t>
      </w:r>
      <w:r>
        <w:rPr>
          <w:rFonts w:ascii="Arial" w:hAnsi="Arial" w:cs="Arial"/>
          <w:sz w:val="24"/>
        </w:rPr>
        <w:tab/>
      </w:r>
      <w:r>
        <w:rPr>
          <w:rFonts w:ascii="Arial" w:hAnsi="Arial" w:cs="Arial"/>
          <w:sz w:val="24"/>
        </w:rPr>
        <w:tab/>
      </w:r>
      <w:r w:rsidRPr="008B13EF">
        <w:rPr>
          <w:rFonts w:ascii="Arial" w:hAnsi="Arial" w:cs="Arial"/>
          <w:sz w:val="24"/>
        </w:rPr>
        <w:t>Metropolitan Area Planning Council</w:t>
      </w:r>
    </w:p>
    <w:p w14:paraId="677AA2A9" w14:textId="0E1ED07C" w:rsidR="008B13EF" w:rsidRDefault="008B13EF" w:rsidP="00F57F09">
      <w:pPr>
        <w:rPr>
          <w:rFonts w:ascii="Arial" w:hAnsi="Arial" w:cs="Arial"/>
          <w:sz w:val="24"/>
        </w:rPr>
      </w:pPr>
      <w:r>
        <w:rPr>
          <w:rFonts w:ascii="Arial" w:hAnsi="Arial" w:cs="Arial"/>
          <w:sz w:val="24"/>
        </w:rPr>
        <w:lastRenderedPageBreak/>
        <w:t>MassCEC</w:t>
      </w:r>
      <w:r>
        <w:tab/>
      </w:r>
      <w:r w:rsidR="51AA403F" w:rsidRPr="16545032">
        <w:rPr>
          <w:rFonts w:ascii="Arial" w:hAnsi="Arial" w:cs="Arial"/>
          <w:sz w:val="24"/>
        </w:rPr>
        <w:t>M</w:t>
      </w:r>
      <w:r w:rsidR="09B426F6" w:rsidRPr="16545032">
        <w:rPr>
          <w:rFonts w:ascii="Arial" w:hAnsi="Arial" w:cs="Arial"/>
          <w:sz w:val="24"/>
        </w:rPr>
        <w:t>A</w:t>
      </w:r>
      <w:r w:rsidR="00046326" w:rsidRPr="00046326">
        <w:rPr>
          <w:rFonts w:ascii="Arial" w:hAnsi="Arial" w:cs="Arial"/>
          <w:sz w:val="24"/>
        </w:rPr>
        <w:t xml:space="preserve"> Clean Energy Center</w:t>
      </w:r>
    </w:p>
    <w:p w14:paraId="5B8154C0" w14:textId="5592B624" w:rsidR="00142FE0" w:rsidRPr="00FB5EAE" w:rsidRDefault="00142FE0" w:rsidP="00F57F09">
      <w:pPr>
        <w:rPr>
          <w:rFonts w:ascii="Arial" w:hAnsi="Arial" w:cs="Arial"/>
          <w:sz w:val="24"/>
        </w:rPr>
      </w:pPr>
      <w:r w:rsidRPr="00FB5EAE">
        <w:rPr>
          <w:rFonts w:ascii="Arial" w:hAnsi="Arial" w:cs="Arial"/>
          <w:sz w:val="24"/>
        </w:rPr>
        <w:t>MassDEP</w:t>
      </w:r>
      <w:r>
        <w:tab/>
      </w:r>
      <w:r w:rsidR="74D19A16" w:rsidRPr="16545032">
        <w:rPr>
          <w:rFonts w:ascii="Arial" w:hAnsi="Arial" w:cs="Arial"/>
          <w:sz w:val="24"/>
        </w:rPr>
        <w:t>M</w:t>
      </w:r>
      <w:r w:rsidR="77F70348" w:rsidRPr="16545032">
        <w:rPr>
          <w:rFonts w:ascii="Arial" w:hAnsi="Arial" w:cs="Arial"/>
          <w:sz w:val="24"/>
        </w:rPr>
        <w:t>A</w:t>
      </w:r>
      <w:r w:rsidRPr="00FB5EAE">
        <w:rPr>
          <w:rFonts w:ascii="Arial" w:hAnsi="Arial" w:cs="Arial"/>
          <w:sz w:val="24"/>
        </w:rPr>
        <w:t xml:space="preserve"> Department of Environmental Protection</w:t>
      </w:r>
    </w:p>
    <w:p w14:paraId="5D8AB278" w14:textId="0D755570" w:rsidR="00E06AD8" w:rsidRDefault="00E06AD8" w:rsidP="00F57F09">
      <w:pPr>
        <w:rPr>
          <w:rFonts w:ascii="Arial" w:hAnsi="Arial" w:cs="Arial"/>
          <w:sz w:val="24"/>
        </w:rPr>
      </w:pPr>
      <w:r>
        <w:rPr>
          <w:rFonts w:ascii="Arial" w:hAnsi="Arial" w:cs="Arial"/>
          <w:sz w:val="24"/>
        </w:rPr>
        <w:t>MassEVIP</w:t>
      </w:r>
      <w:r>
        <w:rPr>
          <w:rFonts w:ascii="Arial" w:hAnsi="Arial" w:cs="Arial"/>
          <w:sz w:val="24"/>
        </w:rPr>
        <w:tab/>
        <w:t>Massachusetts Electric Vehicle Incentive Program</w:t>
      </w:r>
    </w:p>
    <w:p w14:paraId="016CFCF0" w14:textId="2D6A2E9B" w:rsidR="00046326" w:rsidRDefault="00046326" w:rsidP="00F57F09">
      <w:pPr>
        <w:rPr>
          <w:rFonts w:ascii="Arial" w:hAnsi="Arial" w:cs="Arial"/>
          <w:sz w:val="24"/>
        </w:rPr>
      </w:pPr>
      <w:r>
        <w:rPr>
          <w:rFonts w:ascii="Arial" w:hAnsi="Arial" w:cs="Arial"/>
          <w:sz w:val="24"/>
        </w:rPr>
        <w:t>MCL</w:t>
      </w:r>
      <w:r>
        <w:rPr>
          <w:rFonts w:ascii="Arial" w:hAnsi="Arial" w:cs="Arial"/>
          <w:sz w:val="24"/>
        </w:rPr>
        <w:tab/>
      </w:r>
      <w:r>
        <w:rPr>
          <w:rFonts w:ascii="Arial" w:hAnsi="Arial" w:cs="Arial"/>
          <w:sz w:val="24"/>
        </w:rPr>
        <w:tab/>
      </w:r>
      <w:r w:rsidR="00757E1E">
        <w:rPr>
          <w:rFonts w:ascii="Arial" w:hAnsi="Arial" w:cs="Arial"/>
          <w:sz w:val="24"/>
        </w:rPr>
        <w:t>M</w:t>
      </w:r>
      <w:r w:rsidRPr="00046326">
        <w:rPr>
          <w:rFonts w:ascii="Arial" w:hAnsi="Arial" w:cs="Arial"/>
          <w:sz w:val="24"/>
        </w:rPr>
        <w:t>aximum contaminant level</w:t>
      </w:r>
    </w:p>
    <w:p w14:paraId="5B142546" w14:textId="7FEC03C1" w:rsidR="00F91F11" w:rsidRDefault="00F91F11" w:rsidP="00F57F09">
      <w:pPr>
        <w:rPr>
          <w:rFonts w:ascii="Arial" w:hAnsi="Arial" w:cs="Arial"/>
          <w:sz w:val="24"/>
        </w:rPr>
      </w:pPr>
      <w:r>
        <w:rPr>
          <w:rFonts w:ascii="Arial" w:hAnsi="Arial" w:cs="Arial"/>
          <w:sz w:val="24"/>
        </w:rPr>
        <w:t>MCLG</w:t>
      </w:r>
      <w:r>
        <w:rPr>
          <w:rFonts w:ascii="Arial" w:hAnsi="Arial" w:cs="Arial"/>
          <w:sz w:val="24"/>
        </w:rPr>
        <w:tab/>
      </w:r>
      <w:r>
        <w:rPr>
          <w:rFonts w:ascii="Arial" w:hAnsi="Arial" w:cs="Arial"/>
          <w:sz w:val="24"/>
        </w:rPr>
        <w:tab/>
        <w:t>M</w:t>
      </w:r>
      <w:r w:rsidRPr="00F91F11">
        <w:rPr>
          <w:rFonts w:ascii="Arial" w:hAnsi="Arial" w:cs="Arial"/>
          <w:sz w:val="24"/>
        </w:rPr>
        <w:t>aximum contaminant level goals</w:t>
      </w:r>
    </w:p>
    <w:p w14:paraId="728B8138" w14:textId="45B20FC7" w:rsidR="00197608" w:rsidRDefault="00197608" w:rsidP="00F57F09">
      <w:pPr>
        <w:rPr>
          <w:rFonts w:ascii="Arial" w:hAnsi="Arial" w:cs="Arial"/>
          <w:sz w:val="24"/>
        </w:rPr>
      </w:pPr>
      <w:r>
        <w:rPr>
          <w:rFonts w:ascii="Arial" w:hAnsi="Arial" w:cs="Arial"/>
          <w:sz w:val="24"/>
        </w:rPr>
        <w:t>MDAR</w:t>
      </w:r>
      <w:r>
        <w:tab/>
      </w:r>
      <w:r>
        <w:tab/>
      </w:r>
      <w:r w:rsidR="715C1B80" w:rsidRPr="16545032">
        <w:rPr>
          <w:rFonts w:ascii="Arial" w:hAnsi="Arial" w:cs="Arial"/>
          <w:sz w:val="24"/>
        </w:rPr>
        <w:t>M</w:t>
      </w:r>
      <w:r w:rsidR="4BD53D8E" w:rsidRPr="16545032">
        <w:rPr>
          <w:rFonts w:ascii="Arial" w:hAnsi="Arial" w:cs="Arial"/>
          <w:sz w:val="24"/>
        </w:rPr>
        <w:t>A</w:t>
      </w:r>
      <w:r w:rsidRPr="00197608">
        <w:rPr>
          <w:rFonts w:ascii="Arial" w:hAnsi="Arial" w:cs="Arial"/>
          <w:sz w:val="24"/>
        </w:rPr>
        <w:t xml:space="preserve"> Department of Agricultural Resources</w:t>
      </w:r>
    </w:p>
    <w:p w14:paraId="2768C54D" w14:textId="30F64395" w:rsidR="005F2750" w:rsidRDefault="005F2750" w:rsidP="00F57F09">
      <w:pPr>
        <w:rPr>
          <w:rFonts w:ascii="Arial" w:hAnsi="Arial" w:cs="Arial"/>
          <w:sz w:val="24"/>
        </w:rPr>
      </w:pPr>
      <w:r w:rsidRPr="005F2750">
        <w:rPr>
          <w:rFonts w:ascii="Arial" w:hAnsi="Arial" w:cs="Arial"/>
          <w:sz w:val="24"/>
        </w:rPr>
        <w:t>MEI</w:t>
      </w:r>
      <w:r w:rsidRPr="005F2750">
        <w:rPr>
          <w:rFonts w:ascii="Arial" w:hAnsi="Arial" w:cs="Arial"/>
          <w:sz w:val="24"/>
        </w:rPr>
        <w:tab/>
      </w:r>
      <w:r w:rsidRPr="005F2750">
        <w:rPr>
          <w:rFonts w:ascii="Arial" w:hAnsi="Arial" w:cs="Arial"/>
          <w:sz w:val="24"/>
        </w:rPr>
        <w:tab/>
        <w:t>MassEnergyInsight</w:t>
      </w:r>
    </w:p>
    <w:p w14:paraId="6DF39E1F" w14:textId="55D0BBF0" w:rsidR="00452089" w:rsidRDefault="00452089" w:rsidP="00F57F09">
      <w:pPr>
        <w:rPr>
          <w:rFonts w:ascii="Arial" w:hAnsi="Arial" w:cs="Arial"/>
          <w:sz w:val="24"/>
        </w:rPr>
      </w:pPr>
      <w:r>
        <w:rPr>
          <w:rFonts w:ascii="Arial" w:hAnsi="Arial" w:cs="Arial"/>
          <w:sz w:val="24"/>
        </w:rPr>
        <w:t>MEMA</w:t>
      </w:r>
      <w:r>
        <w:tab/>
      </w:r>
      <w:r w:rsidR="53070938" w:rsidRPr="16545032">
        <w:rPr>
          <w:rFonts w:ascii="Arial" w:hAnsi="Arial" w:cs="Arial"/>
          <w:sz w:val="24"/>
        </w:rPr>
        <w:t>M</w:t>
      </w:r>
      <w:r w:rsidR="07399BCC" w:rsidRPr="16545032">
        <w:rPr>
          <w:rFonts w:ascii="Arial" w:hAnsi="Arial" w:cs="Arial"/>
          <w:sz w:val="24"/>
        </w:rPr>
        <w:t>A</w:t>
      </w:r>
      <w:r w:rsidR="000733F4" w:rsidRPr="000733F4">
        <w:rPr>
          <w:rFonts w:ascii="Arial" w:hAnsi="Arial" w:cs="Arial"/>
          <w:sz w:val="24"/>
        </w:rPr>
        <w:t xml:space="preserve"> Emergency Management Agency</w:t>
      </w:r>
    </w:p>
    <w:p w14:paraId="0EE4E27F" w14:textId="0A3693F1" w:rsidR="008F72A6" w:rsidRDefault="008F72A6" w:rsidP="00F57F09">
      <w:pPr>
        <w:rPr>
          <w:rFonts w:ascii="Arial" w:hAnsi="Arial" w:cs="Arial"/>
          <w:sz w:val="24"/>
        </w:rPr>
      </w:pPr>
      <w:r>
        <w:rPr>
          <w:rFonts w:ascii="Arial" w:hAnsi="Arial" w:cs="Arial"/>
          <w:sz w:val="24"/>
        </w:rPr>
        <w:t>MERV</w:t>
      </w:r>
      <w:r w:rsidR="00B90872" w:rsidRPr="00B90872">
        <w:t xml:space="preserve"> </w:t>
      </w:r>
      <w:r w:rsidR="00B90872">
        <w:tab/>
      </w:r>
      <w:r w:rsidR="00757E1E">
        <w:rPr>
          <w:rFonts w:ascii="Arial" w:hAnsi="Arial" w:cs="Arial"/>
          <w:sz w:val="24"/>
        </w:rPr>
        <w:t>M</w:t>
      </w:r>
      <w:r w:rsidR="00B90872" w:rsidRPr="00B90872">
        <w:rPr>
          <w:rFonts w:ascii="Arial" w:hAnsi="Arial" w:cs="Arial"/>
          <w:sz w:val="24"/>
        </w:rPr>
        <w:t>inimum efficiency reporting value</w:t>
      </w:r>
    </w:p>
    <w:p w14:paraId="0BF08FEA" w14:textId="3F725C6B" w:rsidR="00A279F2" w:rsidRDefault="00A279F2" w:rsidP="00F57F09">
      <w:pPr>
        <w:rPr>
          <w:rFonts w:ascii="Arial" w:hAnsi="Arial" w:cs="Arial"/>
          <w:sz w:val="24"/>
        </w:rPr>
      </w:pPr>
      <w:r>
        <w:rPr>
          <w:rFonts w:ascii="Arial" w:hAnsi="Arial" w:cs="Arial"/>
          <w:sz w:val="24"/>
        </w:rPr>
        <w:t>M.G.L.</w:t>
      </w:r>
      <w:r>
        <w:tab/>
      </w:r>
      <w:r w:rsidR="08BD1327" w:rsidRPr="16545032">
        <w:rPr>
          <w:rFonts w:ascii="Arial" w:hAnsi="Arial" w:cs="Arial"/>
          <w:sz w:val="24"/>
        </w:rPr>
        <w:t>M</w:t>
      </w:r>
      <w:r w:rsidR="2325499D" w:rsidRPr="16545032">
        <w:rPr>
          <w:rFonts w:ascii="Arial" w:hAnsi="Arial" w:cs="Arial"/>
          <w:sz w:val="24"/>
        </w:rPr>
        <w:t>A</w:t>
      </w:r>
      <w:r>
        <w:rPr>
          <w:rFonts w:ascii="Arial" w:hAnsi="Arial" w:cs="Arial"/>
          <w:sz w:val="24"/>
        </w:rPr>
        <w:t xml:space="preserve"> General Law</w:t>
      </w:r>
    </w:p>
    <w:p w14:paraId="1236CF42" w14:textId="3CF25856" w:rsidR="006536BB" w:rsidRDefault="006536BB" w:rsidP="00F57F09">
      <w:pPr>
        <w:rPr>
          <w:rFonts w:ascii="Arial" w:hAnsi="Arial" w:cs="Arial"/>
          <w:sz w:val="24"/>
        </w:rPr>
      </w:pPr>
      <w:r w:rsidRPr="006536BB">
        <w:rPr>
          <w:rFonts w:ascii="Arial" w:hAnsi="Arial" w:cs="Arial"/>
          <w:sz w:val="24"/>
        </w:rPr>
        <w:t>MMTCO2e</w:t>
      </w:r>
      <w:r w:rsidRPr="006536BB">
        <w:rPr>
          <w:rFonts w:ascii="Arial" w:hAnsi="Arial" w:cs="Arial"/>
          <w:sz w:val="24"/>
        </w:rPr>
        <w:tab/>
      </w:r>
      <w:r w:rsidR="00757E1E">
        <w:rPr>
          <w:rFonts w:ascii="Arial" w:hAnsi="Arial" w:cs="Arial"/>
          <w:sz w:val="24"/>
        </w:rPr>
        <w:t>M</w:t>
      </w:r>
      <w:r w:rsidRPr="006536BB">
        <w:rPr>
          <w:rFonts w:ascii="Arial" w:hAnsi="Arial" w:cs="Arial"/>
          <w:sz w:val="24"/>
        </w:rPr>
        <w:t>illion metric tons of carbon dioxide equivalent</w:t>
      </w:r>
    </w:p>
    <w:p w14:paraId="48BA147E" w14:textId="11D1901C" w:rsidR="00B90872" w:rsidRDefault="00B90872" w:rsidP="00F57F09">
      <w:pPr>
        <w:rPr>
          <w:rFonts w:ascii="Arial" w:hAnsi="Arial" w:cs="Arial"/>
          <w:sz w:val="24"/>
        </w:rPr>
      </w:pPr>
      <w:r>
        <w:rPr>
          <w:rFonts w:ascii="Arial" w:hAnsi="Arial" w:cs="Arial"/>
          <w:sz w:val="24"/>
        </w:rPr>
        <w:t>MOR-EV</w:t>
      </w:r>
      <w:r>
        <w:tab/>
      </w:r>
      <w:r w:rsidR="7FA2094A" w:rsidRPr="16545032">
        <w:rPr>
          <w:rFonts w:ascii="Arial" w:hAnsi="Arial" w:cs="Arial"/>
          <w:sz w:val="24"/>
        </w:rPr>
        <w:t>M</w:t>
      </w:r>
      <w:r w:rsidR="23B7BADC" w:rsidRPr="16545032">
        <w:rPr>
          <w:rFonts w:ascii="Arial" w:hAnsi="Arial" w:cs="Arial"/>
          <w:sz w:val="24"/>
        </w:rPr>
        <w:t>A</w:t>
      </w:r>
      <w:r w:rsidRPr="00B90872">
        <w:rPr>
          <w:rFonts w:ascii="Arial" w:hAnsi="Arial" w:cs="Arial"/>
          <w:sz w:val="24"/>
        </w:rPr>
        <w:t xml:space="preserve"> Offers Rebates for Electric Vehicles</w:t>
      </w:r>
    </w:p>
    <w:p w14:paraId="6E5825C9" w14:textId="1B4E68A6" w:rsidR="00F57F09" w:rsidRDefault="00F57F09" w:rsidP="00F57F09">
      <w:pPr>
        <w:rPr>
          <w:rFonts w:ascii="Arial" w:hAnsi="Arial" w:cs="Arial"/>
          <w:sz w:val="24"/>
        </w:rPr>
      </w:pPr>
      <w:r w:rsidRPr="00FB5EAE">
        <w:rPr>
          <w:rFonts w:ascii="Arial" w:hAnsi="Arial" w:cs="Arial"/>
          <w:sz w:val="24"/>
        </w:rPr>
        <w:t>MSBA</w:t>
      </w:r>
      <w:r>
        <w:tab/>
      </w:r>
      <w:r>
        <w:tab/>
      </w:r>
      <w:r w:rsidR="478F38A8" w:rsidRPr="16545032">
        <w:rPr>
          <w:rFonts w:ascii="Arial" w:hAnsi="Arial" w:cs="Arial"/>
          <w:sz w:val="24"/>
        </w:rPr>
        <w:t>M</w:t>
      </w:r>
      <w:r w:rsidR="7636EB81" w:rsidRPr="16545032">
        <w:rPr>
          <w:rFonts w:ascii="Arial" w:hAnsi="Arial" w:cs="Arial"/>
          <w:sz w:val="24"/>
        </w:rPr>
        <w:t>A</w:t>
      </w:r>
      <w:r w:rsidRPr="00FB5EAE">
        <w:rPr>
          <w:rFonts w:ascii="Arial" w:hAnsi="Arial" w:cs="Arial"/>
          <w:sz w:val="24"/>
        </w:rPr>
        <w:t xml:space="preserve"> School Building Authority</w:t>
      </w:r>
    </w:p>
    <w:p w14:paraId="65E714A0" w14:textId="66820E19" w:rsidR="00B90872" w:rsidRDefault="00B90872" w:rsidP="009E3DF9">
      <w:pPr>
        <w:rPr>
          <w:rFonts w:ascii="Arial" w:hAnsi="Arial" w:cs="Arial"/>
          <w:sz w:val="24"/>
        </w:rPr>
      </w:pPr>
      <w:r>
        <w:rPr>
          <w:rFonts w:ascii="Arial" w:hAnsi="Arial" w:cs="Arial"/>
          <w:sz w:val="24"/>
        </w:rPr>
        <w:t>MSBC</w:t>
      </w:r>
      <w:r>
        <w:tab/>
      </w:r>
      <w:r>
        <w:tab/>
      </w:r>
      <w:r w:rsidR="2C1868BB" w:rsidRPr="16545032">
        <w:rPr>
          <w:rFonts w:ascii="Arial" w:hAnsi="Arial" w:cs="Arial"/>
          <w:sz w:val="24"/>
        </w:rPr>
        <w:t>M</w:t>
      </w:r>
      <w:r w:rsidR="235FA9E7" w:rsidRPr="16545032">
        <w:rPr>
          <w:rFonts w:ascii="Arial" w:hAnsi="Arial" w:cs="Arial"/>
          <w:sz w:val="24"/>
        </w:rPr>
        <w:t>A</w:t>
      </w:r>
      <w:r w:rsidR="00CC3DC7" w:rsidRPr="00CC3DC7">
        <w:rPr>
          <w:rFonts w:ascii="Arial" w:hAnsi="Arial" w:cs="Arial"/>
          <w:sz w:val="24"/>
        </w:rPr>
        <w:t xml:space="preserve"> State Building Code</w:t>
      </w:r>
    </w:p>
    <w:p w14:paraId="390B18FC" w14:textId="6C679179" w:rsidR="00CC3DC7" w:rsidRDefault="00CC3DC7" w:rsidP="009E3DF9">
      <w:pPr>
        <w:rPr>
          <w:rFonts w:ascii="Arial" w:hAnsi="Arial" w:cs="Arial"/>
          <w:sz w:val="24"/>
        </w:rPr>
      </w:pPr>
      <w:r>
        <w:rPr>
          <w:rFonts w:ascii="Arial" w:hAnsi="Arial" w:cs="Arial"/>
          <w:sz w:val="24"/>
        </w:rPr>
        <w:t>MSDS</w:t>
      </w:r>
      <w:r>
        <w:rPr>
          <w:rFonts w:ascii="Arial" w:hAnsi="Arial" w:cs="Arial"/>
          <w:sz w:val="24"/>
        </w:rPr>
        <w:tab/>
      </w:r>
      <w:r>
        <w:rPr>
          <w:rFonts w:ascii="Arial" w:hAnsi="Arial" w:cs="Arial"/>
          <w:sz w:val="24"/>
        </w:rPr>
        <w:tab/>
      </w:r>
      <w:r w:rsidR="00757E1E">
        <w:rPr>
          <w:rFonts w:ascii="Arial" w:hAnsi="Arial" w:cs="Arial"/>
          <w:sz w:val="24"/>
        </w:rPr>
        <w:t>M</w:t>
      </w:r>
      <w:r w:rsidRPr="00CC3DC7">
        <w:rPr>
          <w:rFonts w:ascii="Arial" w:hAnsi="Arial" w:cs="Arial"/>
          <w:sz w:val="24"/>
        </w:rPr>
        <w:t>aterial safety data sheet</w:t>
      </w:r>
    </w:p>
    <w:p w14:paraId="040866B4" w14:textId="6383240E" w:rsidR="000733F4" w:rsidRDefault="000733F4" w:rsidP="009E3DF9">
      <w:pPr>
        <w:rPr>
          <w:rFonts w:ascii="Arial" w:hAnsi="Arial" w:cs="Arial"/>
          <w:sz w:val="24"/>
        </w:rPr>
      </w:pPr>
      <w:r>
        <w:rPr>
          <w:rFonts w:ascii="Arial" w:hAnsi="Arial" w:cs="Arial"/>
          <w:sz w:val="24"/>
        </w:rPr>
        <w:t>MVP</w:t>
      </w:r>
      <w:r>
        <w:rPr>
          <w:rFonts w:ascii="Arial" w:hAnsi="Arial" w:cs="Arial"/>
          <w:sz w:val="24"/>
        </w:rPr>
        <w:tab/>
      </w:r>
      <w:r>
        <w:rPr>
          <w:rFonts w:ascii="Arial" w:hAnsi="Arial" w:cs="Arial"/>
          <w:sz w:val="24"/>
        </w:rPr>
        <w:tab/>
      </w:r>
      <w:r w:rsidR="00657032" w:rsidRPr="00657032">
        <w:rPr>
          <w:rFonts w:ascii="Arial" w:hAnsi="Arial" w:cs="Arial"/>
          <w:sz w:val="24"/>
        </w:rPr>
        <w:t>Municipal Vulnerability Preparedness</w:t>
      </w:r>
    </w:p>
    <w:p w14:paraId="3090215C" w14:textId="516AE09E" w:rsidR="00CC3DC7" w:rsidRDefault="00CC3DC7" w:rsidP="009E3DF9">
      <w:pPr>
        <w:rPr>
          <w:rFonts w:ascii="Arial" w:hAnsi="Arial" w:cs="Arial"/>
          <w:sz w:val="24"/>
        </w:rPr>
      </w:pPr>
      <w:r>
        <w:rPr>
          <w:rFonts w:ascii="Arial" w:hAnsi="Arial" w:cs="Arial"/>
          <w:sz w:val="24"/>
        </w:rPr>
        <w:t>NAAQS</w:t>
      </w:r>
      <w:r w:rsidR="009A2CD8">
        <w:rPr>
          <w:rFonts w:ascii="Arial" w:hAnsi="Arial" w:cs="Arial"/>
          <w:sz w:val="24"/>
        </w:rPr>
        <w:tab/>
      </w:r>
      <w:r w:rsidR="009A2CD8" w:rsidRPr="009A2CD8">
        <w:rPr>
          <w:rFonts w:ascii="Arial" w:hAnsi="Arial" w:cs="Arial"/>
          <w:sz w:val="24"/>
        </w:rPr>
        <w:t>National Ambient Air Quality Standards</w:t>
      </w:r>
    </w:p>
    <w:p w14:paraId="53F82903" w14:textId="158410F5" w:rsidR="00657032" w:rsidRDefault="00657032" w:rsidP="009E3DF9">
      <w:pPr>
        <w:rPr>
          <w:rFonts w:ascii="Arial" w:hAnsi="Arial" w:cs="Arial"/>
          <w:sz w:val="24"/>
        </w:rPr>
      </w:pPr>
      <w:r>
        <w:rPr>
          <w:rFonts w:ascii="Arial" w:hAnsi="Arial" w:cs="Arial"/>
          <w:sz w:val="24"/>
        </w:rPr>
        <w:t>NE</w:t>
      </w:r>
      <w:r w:rsidR="00EC53CA">
        <w:rPr>
          <w:rFonts w:ascii="Arial" w:hAnsi="Arial" w:cs="Arial"/>
          <w:sz w:val="24"/>
        </w:rPr>
        <w:t>-</w:t>
      </w:r>
      <w:r>
        <w:rPr>
          <w:rFonts w:ascii="Arial" w:hAnsi="Arial" w:cs="Arial"/>
          <w:sz w:val="24"/>
        </w:rPr>
        <w:t>CHPS</w:t>
      </w:r>
      <w:r w:rsidR="00AE3A19">
        <w:rPr>
          <w:rFonts w:ascii="Arial" w:hAnsi="Arial" w:cs="Arial"/>
          <w:sz w:val="24"/>
        </w:rPr>
        <w:tab/>
      </w:r>
      <w:r w:rsidR="00AE3A19" w:rsidRPr="00AE3A19">
        <w:rPr>
          <w:rFonts w:ascii="Arial" w:hAnsi="Arial" w:cs="Arial"/>
          <w:sz w:val="24"/>
        </w:rPr>
        <w:t>Northeast Collaborative for High Performance Schools</w:t>
      </w:r>
    </w:p>
    <w:p w14:paraId="09181CDF" w14:textId="449DBF07" w:rsidR="00A54D7D" w:rsidRDefault="00A54D7D" w:rsidP="009E3DF9">
      <w:pPr>
        <w:rPr>
          <w:rFonts w:ascii="Arial" w:hAnsi="Arial" w:cs="Arial"/>
          <w:sz w:val="24"/>
        </w:rPr>
      </w:pPr>
      <w:r>
        <w:rPr>
          <w:rFonts w:ascii="Arial" w:hAnsi="Arial" w:cs="Arial"/>
          <w:sz w:val="24"/>
        </w:rPr>
        <w:t>NEEP</w:t>
      </w:r>
      <w:r w:rsidR="009A2CD8">
        <w:rPr>
          <w:rFonts w:ascii="Arial" w:hAnsi="Arial" w:cs="Arial"/>
          <w:sz w:val="24"/>
        </w:rPr>
        <w:tab/>
      </w:r>
      <w:r w:rsidR="009A2CD8">
        <w:rPr>
          <w:rFonts w:ascii="Arial" w:hAnsi="Arial" w:cs="Arial"/>
          <w:sz w:val="24"/>
        </w:rPr>
        <w:tab/>
      </w:r>
      <w:r w:rsidR="009A2CD8" w:rsidRPr="009A2CD8">
        <w:rPr>
          <w:rFonts w:ascii="Arial" w:hAnsi="Arial" w:cs="Arial"/>
          <w:sz w:val="24"/>
        </w:rPr>
        <w:t>Northeast Energy Efficiency Partnership</w:t>
      </w:r>
    </w:p>
    <w:p w14:paraId="72520D00" w14:textId="73D02BE4" w:rsidR="00A54D7D" w:rsidRDefault="00A54D7D" w:rsidP="009E3DF9">
      <w:pPr>
        <w:rPr>
          <w:rFonts w:ascii="Arial" w:hAnsi="Arial" w:cs="Arial"/>
          <w:sz w:val="24"/>
        </w:rPr>
      </w:pPr>
      <w:r>
        <w:rPr>
          <w:rFonts w:ascii="Arial" w:hAnsi="Arial" w:cs="Arial"/>
          <w:sz w:val="24"/>
        </w:rPr>
        <w:t>NESHAP</w:t>
      </w:r>
      <w:r w:rsidR="00933125">
        <w:rPr>
          <w:rFonts w:ascii="Arial" w:hAnsi="Arial" w:cs="Arial"/>
          <w:sz w:val="24"/>
        </w:rPr>
        <w:tab/>
      </w:r>
      <w:r w:rsidR="00933125" w:rsidRPr="00933125">
        <w:rPr>
          <w:rFonts w:ascii="Arial" w:hAnsi="Arial" w:cs="Arial"/>
          <w:sz w:val="24"/>
        </w:rPr>
        <w:t>National Emission Standards for Hazardous Air Pollutants</w:t>
      </w:r>
    </w:p>
    <w:p w14:paraId="1C1EEE13" w14:textId="351A9790" w:rsidR="00A54D7D" w:rsidRDefault="00A54D7D" w:rsidP="009E3DF9">
      <w:pPr>
        <w:rPr>
          <w:rFonts w:ascii="Arial" w:hAnsi="Arial" w:cs="Arial"/>
          <w:sz w:val="24"/>
        </w:rPr>
      </w:pPr>
      <w:r>
        <w:rPr>
          <w:rFonts w:ascii="Arial" w:hAnsi="Arial" w:cs="Arial"/>
          <w:sz w:val="24"/>
        </w:rPr>
        <w:t>NEVI</w:t>
      </w:r>
      <w:r w:rsidR="00933125">
        <w:rPr>
          <w:rFonts w:ascii="Arial" w:hAnsi="Arial" w:cs="Arial"/>
          <w:sz w:val="24"/>
        </w:rPr>
        <w:tab/>
      </w:r>
      <w:r w:rsidR="00933125">
        <w:rPr>
          <w:rFonts w:ascii="Arial" w:hAnsi="Arial" w:cs="Arial"/>
          <w:sz w:val="24"/>
        </w:rPr>
        <w:tab/>
      </w:r>
      <w:r w:rsidR="00933125" w:rsidRPr="00933125">
        <w:rPr>
          <w:rFonts w:ascii="Arial" w:hAnsi="Arial" w:cs="Arial"/>
          <w:sz w:val="24"/>
        </w:rPr>
        <w:t>National Electric Vehicle Infrastructure</w:t>
      </w:r>
    </w:p>
    <w:p w14:paraId="3DF2FEF9" w14:textId="4E43B937" w:rsidR="00A54D7D" w:rsidRDefault="00A54D7D" w:rsidP="009E3DF9">
      <w:pPr>
        <w:rPr>
          <w:rFonts w:ascii="Arial" w:hAnsi="Arial" w:cs="Arial"/>
          <w:sz w:val="24"/>
        </w:rPr>
      </w:pPr>
      <w:r>
        <w:rPr>
          <w:rFonts w:ascii="Arial" w:hAnsi="Arial" w:cs="Arial"/>
          <w:sz w:val="24"/>
        </w:rPr>
        <w:t>NIOSH</w:t>
      </w:r>
      <w:r w:rsidR="00933125">
        <w:rPr>
          <w:rFonts w:ascii="Arial" w:hAnsi="Arial" w:cs="Arial"/>
          <w:sz w:val="24"/>
        </w:rPr>
        <w:tab/>
      </w:r>
      <w:r w:rsidR="00933125" w:rsidRPr="00933125">
        <w:rPr>
          <w:rFonts w:ascii="Arial" w:hAnsi="Arial" w:cs="Arial"/>
          <w:sz w:val="24"/>
        </w:rPr>
        <w:t>National Institute for Occupational Safety and Health</w:t>
      </w:r>
    </w:p>
    <w:p w14:paraId="2E865C16" w14:textId="43D5226F" w:rsidR="00A54D7D" w:rsidRDefault="00A54D7D" w:rsidP="009E3DF9">
      <w:pPr>
        <w:rPr>
          <w:rFonts w:ascii="Arial" w:hAnsi="Arial" w:cs="Arial"/>
          <w:sz w:val="24"/>
        </w:rPr>
      </w:pPr>
      <w:r>
        <w:rPr>
          <w:rFonts w:ascii="Arial" w:hAnsi="Arial" w:cs="Arial"/>
          <w:sz w:val="24"/>
        </w:rPr>
        <w:t>NREL</w:t>
      </w:r>
      <w:r w:rsidR="00933125">
        <w:rPr>
          <w:rFonts w:ascii="Arial" w:hAnsi="Arial" w:cs="Arial"/>
          <w:sz w:val="24"/>
        </w:rPr>
        <w:tab/>
      </w:r>
      <w:r w:rsidR="00933125">
        <w:rPr>
          <w:rFonts w:ascii="Arial" w:hAnsi="Arial" w:cs="Arial"/>
          <w:sz w:val="24"/>
        </w:rPr>
        <w:tab/>
      </w:r>
      <w:r w:rsidR="00933125" w:rsidRPr="00933125">
        <w:rPr>
          <w:rFonts w:ascii="Arial" w:hAnsi="Arial" w:cs="Arial"/>
          <w:sz w:val="24"/>
        </w:rPr>
        <w:t>National Renewable Energy Laboratory</w:t>
      </w:r>
    </w:p>
    <w:p w14:paraId="654BC508" w14:textId="3C5650BE" w:rsidR="00A54D7D" w:rsidRDefault="00A54D7D" w:rsidP="009E3DF9">
      <w:pPr>
        <w:rPr>
          <w:rFonts w:ascii="Arial" w:hAnsi="Arial" w:cs="Arial"/>
          <w:sz w:val="24"/>
        </w:rPr>
      </w:pPr>
      <w:r>
        <w:rPr>
          <w:rFonts w:ascii="Arial" w:hAnsi="Arial" w:cs="Arial"/>
          <w:sz w:val="24"/>
        </w:rPr>
        <w:t>NRPP</w:t>
      </w:r>
      <w:r w:rsidR="00CC4769">
        <w:rPr>
          <w:rFonts w:ascii="Arial" w:hAnsi="Arial" w:cs="Arial"/>
          <w:sz w:val="24"/>
        </w:rPr>
        <w:tab/>
      </w:r>
      <w:r w:rsidR="00CC4769">
        <w:rPr>
          <w:rFonts w:ascii="Arial" w:hAnsi="Arial" w:cs="Arial"/>
          <w:sz w:val="24"/>
        </w:rPr>
        <w:tab/>
      </w:r>
      <w:r w:rsidR="00CC4769" w:rsidRPr="00CC4769">
        <w:rPr>
          <w:rFonts w:ascii="Arial" w:hAnsi="Arial" w:cs="Arial"/>
          <w:sz w:val="24"/>
        </w:rPr>
        <w:t>National Radon Proficiency Program</w:t>
      </w:r>
    </w:p>
    <w:p w14:paraId="030FD70A" w14:textId="41608883" w:rsidR="00A54D7D" w:rsidRDefault="00A54D7D" w:rsidP="009E3DF9">
      <w:pPr>
        <w:rPr>
          <w:rFonts w:ascii="Arial" w:hAnsi="Arial" w:cs="Arial"/>
          <w:sz w:val="24"/>
        </w:rPr>
      </w:pPr>
      <w:r>
        <w:rPr>
          <w:rFonts w:ascii="Arial" w:hAnsi="Arial" w:cs="Arial"/>
          <w:sz w:val="24"/>
        </w:rPr>
        <w:t>NRSB</w:t>
      </w:r>
      <w:r w:rsidR="00CC4769">
        <w:rPr>
          <w:rFonts w:ascii="Arial" w:hAnsi="Arial" w:cs="Arial"/>
          <w:sz w:val="24"/>
        </w:rPr>
        <w:tab/>
      </w:r>
      <w:r w:rsidR="00CC4769">
        <w:rPr>
          <w:rFonts w:ascii="Arial" w:hAnsi="Arial" w:cs="Arial"/>
          <w:sz w:val="24"/>
        </w:rPr>
        <w:tab/>
      </w:r>
      <w:r w:rsidR="00CC4769" w:rsidRPr="00CC4769">
        <w:rPr>
          <w:rFonts w:ascii="Arial" w:hAnsi="Arial" w:cs="Arial"/>
          <w:sz w:val="24"/>
        </w:rPr>
        <w:t>National Radon Safety Board</w:t>
      </w:r>
    </w:p>
    <w:p w14:paraId="2ED3F0F1" w14:textId="57FC1A97" w:rsidR="00A54D7D" w:rsidRDefault="00A54D7D" w:rsidP="009E3DF9">
      <w:pPr>
        <w:rPr>
          <w:rFonts w:ascii="Arial" w:hAnsi="Arial" w:cs="Arial"/>
          <w:sz w:val="24"/>
        </w:rPr>
      </w:pPr>
      <w:r>
        <w:rPr>
          <w:rFonts w:ascii="Arial" w:hAnsi="Arial" w:cs="Arial"/>
          <w:sz w:val="24"/>
        </w:rPr>
        <w:t>NSF</w:t>
      </w:r>
      <w:r w:rsidR="00CC4769">
        <w:rPr>
          <w:rFonts w:ascii="Arial" w:hAnsi="Arial" w:cs="Arial"/>
          <w:sz w:val="24"/>
        </w:rPr>
        <w:tab/>
      </w:r>
      <w:r w:rsidR="00CC4769">
        <w:rPr>
          <w:rFonts w:ascii="Arial" w:hAnsi="Arial" w:cs="Arial"/>
          <w:sz w:val="24"/>
        </w:rPr>
        <w:tab/>
      </w:r>
      <w:r w:rsidR="00CC4769" w:rsidRPr="00CC4769">
        <w:rPr>
          <w:rFonts w:ascii="Arial" w:hAnsi="Arial" w:cs="Arial"/>
          <w:sz w:val="24"/>
        </w:rPr>
        <w:t>National Sanitation Foundation</w:t>
      </w:r>
    </w:p>
    <w:p w14:paraId="4D82C571" w14:textId="0819809E" w:rsidR="002B351B" w:rsidRDefault="002B351B" w:rsidP="009E3DF9">
      <w:pPr>
        <w:rPr>
          <w:rFonts w:ascii="Arial" w:hAnsi="Arial" w:cs="Arial"/>
          <w:sz w:val="24"/>
        </w:rPr>
      </w:pPr>
      <w:r>
        <w:rPr>
          <w:rFonts w:ascii="Arial" w:hAnsi="Arial" w:cs="Arial"/>
          <w:sz w:val="24"/>
        </w:rPr>
        <w:t>NZE</w:t>
      </w:r>
      <w:r>
        <w:rPr>
          <w:rFonts w:ascii="Arial" w:hAnsi="Arial" w:cs="Arial"/>
          <w:sz w:val="24"/>
        </w:rPr>
        <w:tab/>
      </w:r>
      <w:r>
        <w:rPr>
          <w:rFonts w:ascii="Arial" w:hAnsi="Arial" w:cs="Arial"/>
          <w:sz w:val="24"/>
        </w:rPr>
        <w:tab/>
        <w:t>Net zero emissions</w:t>
      </w:r>
    </w:p>
    <w:p w14:paraId="054B65C2" w14:textId="3AC25D51" w:rsidR="00AE3A19" w:rsidRDefault="00AE3A19" w:rsidP="009E3DF9">
      <w:pPr>
        <w:rPr>
          <w:rFonts w:ascii="Arial" w:hAnsi="Arial" w:cs="Arial"/>
          <w:sz w:val="24"/>
        </w:rPr>
      </w:pPr>
      <w:r>
        <w:rPr>
          <w:rFonts w:ascii="Arial" w:hAnsi="Arial" w:cs="Arial"/>
          <w:sz w:val="24"/>
        </w:rPr>
        <w:t>O&amp;M</w:t>
      </w:r>
      <w:r>
        <w:rPr>
          <w:rFonts w:ascii="Arial" w:hAnsi="Arial" w:cs="Arial"/>
          <w:sz w:val="24"/>
        </w:rPr>
        <w:tab/>
      </w:r>
      <w:r>
        <w:rPr>
          <w:rFonts w:ascii="Arial" w:hAnsi="Arial" w:cs="Arial"/>
          <w:sz w:val="24"/>
        </w:rPr>
        <w:tab/>
      </w:r>
      <w:r w:rsidR="00565E3D">
        <w:rPr>
          <w:rFonts w:ascii="Arial" w:hAnsi="Arial" w:cs="Arial"/>
          <w:sz w:val="24"/>
        </w:rPr>
        <w:t>O</w:t>
      </w:r>
      <w:r>
        <w:rPr>
          <w:rFonts w:ascii="Arial" w:hAnsi="Arial" w:cs="Arial"/>
          <w:sz w:val="24"/>
        </w:rPr>
        <w:t>perations and maintenance</w:t>
      </w:r>
    </w:p>
    <w:p w14:paraId="7DA99628" w14:textId="61EFF189" w:rsidR="009A2CD8" w:rsidRDefault="009A2CD8" w:rsidP="009E3DF9">
      <w:pPr>
        <w:rPr>
          <w:rFonts w:ascii="Arial" w:hAnsi="Arial" w:cs="Arial"/>
          <w:sz w:val="24"/>
        </w:rPr>
      </w:pPr>
      <w:r>
        <w:rPr>
          <w:rFonts w:ascii="Arial" w:hAnsi="Arial" w:cs="Arial"/>
          <w:sz w:val="24"/>
        </w:rPr>
        <w:t>OCPP</w:t>
      </w:r>
      <w:r w:rsidR="00CC4769">
        <w:rPr>
          <w:rFonts w:ascii="Arial" w:hAnsi="Arial" w:cs="Arial"/>
          <w:sz w:val="24"/>
        </w:rPr>
        <w:tab/>
      </w:r>
      <w:r w:rsidR="00CC4769">
        <w:rPr>
          <w:rFonts w:ascii="Arial" w:hAnsi="Arial" w:cs="Arial"/>
          <w:sz w:val="24"/>
        </w:rPr>
        <w:tab/>
      </w:r>
      <w:r w:rsidR="00CC4769" w:rsidRPr="00CC4769">
        <w:rPr>
          <w:rFonts w:ascii="Arial" w:hAnsi="Arial" w:cs="Arial"/>
          <w:sz w:val="24"/>
        </w:rPr>
        <w:t>Open Charge Point Protocol</w:t>
      </w:r>
    </w:p>
    <w:p w14:paraId="76442692" w14:textId="7600445C" w:rsidR="009E3DF9" w:rsidRPr="009E3DF9" w:rsidRDefault="009E3DF9" w:rsidP="009E3DF9">
      <w:pPr>
        <w:rPr>
          <w:rFonts w:ascii="Arial" w:hAnsi="Arial" w:cs="Arial"/>
          <w:sz w:val="24"/>
        </w:rPr>
      </w:pPr>
      <w:r w:rsidRPr="009E3DF9">
        <w:rPr>
          <w:rFonts w:ascii="Arial" w:hAnsi="Arial" w:cs="Arial"/>
          <w:sz w:val="24"/>
        </w:rPr>
        <w:t>OEM</w:t>
      </w:r>
      <w:r w:rsidRPr="009E3DF9">
        <w:rPr>
          <w:rFonts w:ascii="Arial" w:hAnsi="Arial" w:cs="Arial"/>
          <w:sz w:val="24"/>
        </w:rPr>
        <w:tab/>
      </w:r>
      <w:r w:rsidRPr="009E3DF9">
        <w:rPr>
          <w:rFonts w:ascii="Arial" w:hAnsi="Arial" w:cs="Arial"/>
          <w:sz w:val="24"/>
        </w:rPr>
        <w:tab/>
      </w:r>
      <w:r w:rsidR="00565E3D">
        <w:rPr>
          <w:rFonts w:ascii="Arial" w:hAnsi="Arial" w:cs="Arial"/>
          <w:sz w:val="24"/>
        </w:rPr>
        <w:t>O</w:t>
      </w:r>
      <w:r w:rsidRPr="009E3DF9">
        <w:rPr>
          <w:rFonts w:ascii="Arial" w:hAnsi="Arial" w:cs="Arial"/>
          <w:sz w:val="24"/>
        </w:rPr>
        <w:t>riginal equipment manufacturer</w:t>
      </w:r>
    </w:p>
    <w:p w14:paraId="2E9E0E7A" w14:textId="3C4D24AE" w:rsidR="009A2CD8" w:rsidRDefault="009A2CD8" w:rsidP="009E3DF9">
      <w:pPr>
        <w:rPr>
          <w:rFonts w:ascii="Arial" w:hAnsi="Arial" w:cs="Arial"/>
          <w:sz w:val="24"/>
        </w:rPr>
      </w:pPr>
      <w:r>
        <w:rPr>
          <w:rFonts w:ascii="Arial" w:hAnsi="Arial" w:cs="Arial"/>
          <w:sz w:val="24"/>
        </w:rPr>
        <w:t>OSHA</w:t>
      </w:r>
      <w:r w:rsidR="00CC4769">
        <w:rPr>
          <w:rFonts w:ascii="Arial" w:hAnsi="Arial" w:cs="Arial"/>
          <w:sz w:val="24"/>
        </w:rPr>
        <w:tab/>
      </w:r>
      <w:r w:rsidR="00CC4769">
        <w:rPr>
          <w:rFonts w:ascii="Arial" w:hAnsi="Arial" w:cs="Arial"/>
          <w:sz w:val="24"/>
        </w:rPr>
        <w:tab/>
      </w:r>
      <w:r w:rsidR="00565E3D">
        <w:rPr>
          <w:rFonts w:ascii="Arial" w:hAnsi="Arial" w:cs="Arial"/>
          <w:sz w:val="24"/>
        </w:rPr>
        <w:t xml:space="preserve">U.S. </w:t>
      </w:r>
      <w:r w:rsidR="00CC4769" w:rsidRPr="00CC4769">
        <w:rPr>
          <w:rFonts w:ascii="Arial" w:hAnsi="Arial" w:cs="Arial"/>
          <w:sz w:val="24"/>
        </w:rPr>
        <w:t>Occupational Safety and Health Administration</w:t>
      </w:r>
    </w:p>
    <w:p w14:paraId="2F88B4CA" w14:textId="56E87359" w:rsidR="009E3DF9" w:rsidRPr="009E3DF9" w:rsidRDefault="009E3DF9" w:rsidP="009E3DF9">
      <w:pPr>
        <w:rPr>
          <w:rFonts w:ascii="Arial" w:hAnsi="Arial" w:cs="Arial"/>
          <w:sz w:val="24"/>
        </w:rPr>
      </w:pPr>
      <w:r w:rsidRPr="009E3DF9">
        <w:rPr>
          <w:rFonts w:ascii="Arial" w:hAnsi="Arial" w:cs="Arial"/>
          <w:sz w:val="24"/>
        </w:rPr>
        <w:t>OVS</w:t>
      </w:r>
      <w:r w:rsidRPr="009E3DF9">
        <w:rPr>
          <w:rFonts w:ascii="Arial" w:hAnsi="Arial" w:cs="Arial"/>
          <w:sz w:val="24"/>
        </w:rPr>
        <w:tab/>
      </w:r>
      <w:r w:rsidRPr="009E3DF9">
        <w:rPr>
          <w:rFonts w:ascii="Arial" w:hAnsi="Arial" w:cs="Arial"/>
          <w:sz w:val="24"/>
        </w:rPr>
        <w:tab/>
        <w:t>Offer versus Serve</w:t>
      </w:r>
    </w:p>
    <w:p w14:paraId="5161109E" w14:textId="50C04223" w:rsidR="00BE5181" w:rsidRDefault="00BE5181" w:rsidP="009E3DF9">
      <w:pPr>
        <w:rPr>
          <w:rFonts w:ascii="Arial" w:hAnsi="Arial" w:cs="Arial"/>
          <w:sz w:val="24"/>
        </w:rPr>
      </w:pPr>
      <w:r>
        <w:rPr>
          <w:rFonts w:ascii="Arial" w:hAnsi="Arial" w:cs="Arial"/>
          <w:sz w:val="24"/>
        </w:rPr>
        <w:t>PCB</w:t>
      </w:r>
      <w:r w:rsidR="0069147A">
        <w:rPr>
          <w:rFonts w:ascii="Arial" w:hAnsi="Arial" w:cs="Arial"/>
          <w:sz w:val="24"/>
        </w:rPr>
        <w:t>s</w:t>
      </w:r>
      <w:r w:rsidR="0069147A">
        <w:tab/>
      </w:r>
      <w:r w:rsidR="0069147A">
        <w:tab/>
      </w:r>
      <w:r w:rsidRPr="16545032">
        <w:rPr>
          <w:rFonts w:ascii="Arial" w:hAnsi="Arial" w:cs="Arial"/>
          <w:sz w:val="24"/>
        </w:rPr>
        <w:t>P</w:t>
      </w:r>
      <w:r w:rsidR="050B19F5" w:rsidRPr="16545032">
        <w:rPr>
          <w:rFonts w:ascii="Arial" w:hAnsi="Arial" w:cs="Arial"/>
          <w:sz w:val="24"/>
        </w:rPr>
        <w:t>olychlorinated</w:t>
      </w:r>
      <w:r w:rsidR="0069147A" w:rsidRPr="0069147A">
        <w:rPr>
          <w:rFonts w:ascii="Arial" w:hAnsi="Arial" w:cs="Arial"/>
          <w:sz w:val="24"/>
        </w:rPr>
        <w:t xml:space="preserve"> biphenyls</w:t>
      </w:r>
    </w:p>
    <w:p w14:paraId="395B200A" w14:textId="15EE2D41" w:rsidR="00385A1B" w:rsidRDefault="00385A1B" w:rsidP="009E3DF9">
      <w:pPr>
        <w:rPr>
          <w:rFonts w:ascii="Arial" w:hAnsi="Arial" w:cs="Arial"/>
          <w:sz w:val="24"/>
        </w:rPr>
      </w:pPr>
      <w:r>
        <w:rPr>
          <w:rFonts w:ascii="Arial" w:hAnsi="Arial" w:cs="Arial"/>
          <w:sz w:val="24"/>
        </w:rPr>
        <w:t>pCi/L</w:t>
      </w:r>
      <w:r>
        <w:rPr>
          <w:rFonts w:ascii="Arial" w:hAnsi="Arial" w:cs="Arial"/>
          <w:sz w:val="24"/>
        </w:rPr>
        <w:tab/>
      </w:r>
      <w:r>
        <w:rPr>
          <w:rFonts w:ascii="Arial" w:hAnsi="Arial" w:cs="Arial"/>
          <w:sz w:val="24"/>
        </w:rPr>
        <w:tab/>
      </w:r>
      <w:r w:rsidR="00916BC2">
        <w:rPr>
          <w:rFonts w:ascii="Arial" w:hAnsi="Arial" w:cs="Arial"/>
          <w:sz w:val="24"/>
        </w:rPr>
        <w:t>P</w:t>
      </w:r>
      <w:r>
        <w:rPr>
          <w:rFonts w:ascii="Arial" w:hAnsi="Arial" w:cs="Arial"/>
          <w:sz w:val="24"/>
        </w:rPr>
        <w:t>icocuries per liter</w:t>
      </w:r>
    </w:p>
    <w:p w14:paraId="70BE7122" w14:textId="4F84EBE9" w:rsidR="0069147A" w:rsidRDefault="0069147A" w:rsidP="009E3DF9">
      <w:pPr>
        <w:rPr>
          <w:rFonts w:ascii="Arial" w:hAnsi="Arial" w:cs="Arial"/>
          <w:sz w:val="24"/>
        </w:rPr>
      </w:pPr>
      <w:r>
        <w:rPr>
          <w:rFonts w:ascii="Arial" w:hAnsi="Arial" w:cs="Arial"/>
          <w:sz w:val="24"/>
        </w:rPr>
        <w:t>PEL</w:t>
      </w:r>
      <w:r>
        <w:rPr>
          <w:rFonts w:ascii="Arial" w:hAnsi="Arial" w:cs="Arial"/>
          <w:sz w:val="24"/>
        </w:rPr>
        <w:tab/>
      </w:r>
      <w:r>
        <w:rPr>
          <w:rFonts w:ascii="Arial" w:hAnsi="Arial" w:cs="Arial"/>
          <w:sz w:val="24"/>
        </w:rPr>
        <w:tab/>
      </w:r>
      <w:r w:rsidR="00F62B1E">
        <w:rPr>
          <w:rFonts w:ascii="Arial" w:hAnsi="Arial" w:cs="Arial"/>
          <w:sz w:val="24"/>
        </w:rPr>
        <w:t>P</w:t>
      </w:r>
      <w:r w:rsidR="00103C2D" w:rsidRPr="00103C2D">
        <w:rPr>
          <w:rFonts w:ascii="Arial" w:hAnsi="Arial" w:cs="Arial"/>
          <w:sz w:val="24"/>
        </w:rPr>
        <w:t>ermissible exposure level</w:t>
      </w:r>
    </w:p>
    <w:p w14:paraId="425E895E" w14:textId="14A5D5E7" w:rsidR="009E3DF9" w:rsidRDefault="009E3DF9" w:rsidP="009E3DF9">
      <w:pPr>
        <w:rPr>
          <w:rFonts w:ascii="Arial" w:hAnsi="Arial" w:cs="Arial"/>
          <w:sz w:val="24"/>
        </w:rPr>
      </w:pPr>
      <w:r w:rsidRPr="009E3DF9">
        <w:rPr>
          <w:rFonts w:ascii="Arial" w:hAnsi="Arial" w:cs="Arial"/>
          <w:sz w:val="24"/>
        </w:rPr>
        <w:t>PFAS</w:t>
      </w:r>
      <w:r>
        <w:tab/>
      </w:r>
      <w:r>
        <w:tab/>
      </w:r>
      <w:r w:rsidRPr="16545032">
        <w:rPr>
          <w:rFonts w:ascii="Arial" w:hAnsi="Arial" w:cs="Arial"/>
          <w:sz w:val="24"/>
        </w:rPr>
        <w:t>P</w:t>
      </w:r>
      <w:r w:rsidR="6DCDE633" w:rsidRPr="16545032">
        <w:rPr>
          <w:rFonts w:ascii="Arial" w:hAnsi="Arial" w:cs="Arial"/>
          <w:sz w:val="24"/>
        </w:rPr>
        <w:t>er</w:t>
      </w:r>
      <w:r w:rsidRPr="009E3DF9">
        <w:rPr>
          <w:rFonts w:ascii="Arial" w:hAnsi="Arial" w:cs="Arial"/>
          <w:sz w:val="24"/>
        </w:rPr>
        <w:t>- and polyfluoroalkyl substances</w:t>
      </w:r>
    </w:p>
    <w:p w14:paraId="00AA26E7" w14:textId="620684A8" w:rsidR="00103C2D" w:rsidRDefault="00103C2D" w:rsidP="00F57F09">
      <w:pPr>
        <w:rPr>
          <w:rFonts w:ascii="Arial" w:hAnsi="Arial" w:cs="Arial"/>
          <w:sz w:val="24"/>
        </w:rPr>
      </w:pPr>
      <w:r>
        <w:rPr>
          <w:rFonts w:ascii="Arial" w:hAnsi="Arial" w:cs="Arial"/>
          <w:sz w:val="24"/>
        </w:rPr>
        <w:t>PFBS</w:t>
      </w:r>
      <w:r>
        <w:tab/>
      </w:r>
      <w:r>
        <w:tab/>
      </w:r>
      <w:r w:rsidRPr="16545032">
        <w:rPr>
          <w:rFonts w:ascii="Arial" w:hAnsi="Arial" w:cs="Arial"/>
          <w:sz w:val="24"/>
        </w:rPr>
        <w:t>P</w:t>
      </w:r>
      <w:r w:rsidR="6608C74B" w:rsidRPr="16545032">
        <w:rPr>
          <w:rFonts w:ascii="Arial" w:hAnsi="Arial" w:cs="Arial"/>
          <w:sz w:val="24"/>
        </w:rPr>
        <w:t>erfluorobutane</w:t>
      </w:r>
      <w:r w:rsidRPr="00103C2D">
        <w:rPr>
          <w:rFonts w:ascii="Arial" w:hAnsi="Arial" w:cs="Arial"/>
          <w:sz w:val="24"/>
        </w:rPr>
        <w:t xml:space="preserve"> sulfonate</w:t>
      </w:r>
    </w:p>
    <w:p w14:paraId="6B3CDD3F" w14:textId="648AD29D" w:rsidR="006F6642" w:rsidRDefault="1FB79167" w:rsidP="00F57F09">
      <w:pPr>
        <w:rPr>
          <w:rFonts w:ascii="Arial" w:hAnsi="Arial" w:cs="Arial"/>
          <w:sz w:val="24"/>
        </w:rPr>
      </w:pPr>
      <w:r w:rsidRPr="16545032">
        <w:rPr>
          <w:rFonts w:ascii="Arial" w:hAnsi="Arial" w:cs="Arial"/>
          <w:sz w:val="24"/>
        </w:rPr>
        <w:t>PFHxS</w:t>
      </w:r>
      <w:r w:rsidR="006F6642">
        <w:tab/>
      </w:r>
      <w:r w:rsidR="006F6642" w:rsidRPr="16545032">
        <w:rPr>
          <w:rFonts w:ascii="Arial" w:hAnsi="Arial" w:cs="Arial"/>
          <w:sz w:val="24"/>
        </w:rPr>
        <w:t>P</w:t>
      </w:r>
      <w:r w:rsidRPr="16545032">
        <w:rPr>
          <w:rFonts w:ascii="Arial" w:hAnsi="Arial" w:cs="Arial"/>
          <w:sz w:val="24"/>
        </w:rPr>
        <w:t>erfluorohexanesulfonic acid</w:t>
      </w:r>
    </w:p>
    <w:p w14:paraId="4DFC554E" w14:textId="1E390491" w:rsidR="006F6642" w:rsidRDefault="006F6642" w:rsidP="00F57F09">
      <w:pPr>
        <w:rPr>
          <w:rFonts w:ascii="Arial" w:hAnsi="Arial" w:cs="Arial"/>
          <w:sz w:val="24"/>
        </w:rPr>
      </w:pPr>
      <w:r>
        <w:rPr>
          <w:rFonts w:ascii="Arial" w:hAnsi="Arial" w:cs="Arial"/>
          <w:sz w:val="24"/>
        </w:rPr>
        <w:t>PFNA</w:t>
      </w:r>
      <w:r>
        <w:tab/>
      </w:r>
      <w:r>
        <w:tab/>
      </w:r>
      <w:r w:rsidRPr="16545032">
        <w:rPr>
          <w:rFonts w:ascii="Arial" w:hAnsi="Arial" w:cs="Arial"/>
          <w:sz w:val="24"/>
        </w:rPr>
        <w:t>P</w:t>
      </w:r>
      <w:r w:rsidR="1FB79167" w:rsidRPr="16545032">
        <w:rPr>
          <w:rFonts w:ascii="Arial" w:hAnsi="Arial" w:cs="Arial"/>
          <w:sz w:val="24"/>
        </w:rPr>
        <w:t>erfluorononanoic</w:t>
      </w:r>
      <w:r w:rsidRPr="006F6642">
        <w:rPr>
          <w:rFonts w:ascii="Arial" w:hAnsi="Arial" w:cs="Arial"/>
          <w:sz w:val="24"/>
        </w:rPr>
        <w:t xml:space="preserve"> acid</w:t>
      </w:r>
    </w:p>
    <w:p w14:paraId="0969F9A0" w14:textId="15417280" w:rsidR="00235A9F" w:rsidRDefault="00235A9F" w:rsidP="00F57F09">
      <w:pPr>
        <w:rPr>
          <w:rFonts w:ascii="Arial" w:hAnsi="Arial" w:cs="Arial"/>
          <w:sz w:val="24"/>
        </w:rPr>
      </w:pPr>
      <w:r>
        <w:rPr>
          <w:rFonts w:ascii="Arial" w:hAnsi="Arial" w:cs="Arial"/>
          <w:sz w:val="24"/>
        </w:rPr>
        <w:t>PFOA</w:t>
      </w:r>
      <w:r w:rsidR="007A7250">
        <w:tab/>
      </w:r>
      <w:r w:rsidR="007A7250">
        <w:tab/>
      </w:r>
      <w:r w:rsidRPr="16545032">
        <w:rPr>
          <w:rFonts w:ascii="Arial" w:hAnsi="Arial" w:cs="Arial"/>
          <w:sz w:val="24"/>
        </w:rPr>
        <w:t>P</w:t>
      </w:r>
      <w:r w:rsidR="324BB7E9" w:rsidRPr="16545032">
        <w:rPr>
          <w:rFonts w:ascii="Arial" w:hAnsi="Arial" w:cs="Arial"/>
          <w:sz w:val="24"/>
        </w:rPr>
        <w:t>erfluorooctanoic</w:t>
      </w:r>
      <w:r w:rsidR="007A7250" w:rsidRPr="007A7250">
        <w:rPr>
          <w:rFonts w:ascii="Arial" w:hAnsi="Arial" w:cs="Arial"/>
          <w:sz w:val="24"/>
        </w:rPr>
        <w:t xml:space="preserve"> acid</w:t>
      </w:r>
    </w:p>
    <w:p w14:paraId="6BADBF9A" w14:textId="0880EC3E" w:rsidR="00235A9F" w:rsidRDefault="00235A9F" w:rsidP="00F57F09">
      <w:pPr>
        <w:rPr>
          <w:rFonts w:ascii="Arial" w:hAnsi="Arial" w:cs="Arial"/>
          <w:sz w:val="24"/>
        </w:rPr>
      </w:pPr>
      <w:r>
        <w:rPr>
          <w:rFonts w:ascii="Arial" w:hAnsi="Arial" w:cs="Arial"/>
          <w:sz w:val="24"/>
        </w:rPr>
        <w:t>PFOS</w:t>
      </w:r>
      <w:r w:rsidR="007A7250">
        <w:tab/>
      </w:r>
      <w:r w:rsidR="007A7250">
        <w:tab/>
      </w:r>
      <w:r w:rsidRPr="16545032">
        <w:rPr>
          <w:rFonts w:ascii="Arial" w:hAnsi="Arial" w:cs="Arial"/>
          <w:sz w:val="24"/>
        </w:rPr>
        <w:t>P</w:t>
      </w:r>
      <w:r w:rsidR="324BB7E9" w:rsidRPr="16545032">
        <w:rPr>
          <w:rFonts w:ascii="Arial" w:hAnsi="Arial" w:cs="Arial"/>
          <w:sz w:val="24"/>
        </w:rPr>
        <w:t>erfluorooctane</w:t>
      </w:r>
      <w:r w:rsidR="007A7250" w:rsidRPr="007A7250">
        <w:rPr>
          <w:rFonts w:ascii="Arial" w:hAnsi="Arial" w:cs="Arial"/>
          <w:sz w:val="24"/>
        </w:rPr>
        <w:t xml:space="preserve"> sulfonic acid</w:t>
      </w:r>
    </w:p>
    <w:p w14:paraId="4A08DFC4" w14:textId="4450D143" w:rsidR="00A90687" w:rsidRDefault="00A90687" w:rsidP="00F57F09">
      <w:pPr>
        <w:rPr>
          <w:rFonts w:ascii="Arial" w:hAnsi="Arial" w:cs="Arial"/>
          <w:sz w:val="24"/>
        </w:rPr>
      </w:pPr>
      <w:r>
        <w:rPr>
          <w:rFonts w:ascii="Arial" w:hAnsi="Arial" w:cs="Arial"/>
          <w:sz w:val="24"/>
        </w:rPr>
        <w:t>PM</w:t>
      </w:r>
      <w:r w:rsidR="0060088C">
        <w:tab/>
      </w:r>
      <w:r w:rsidR="0060088C">
        <w:tab/>
      </w:r>
      <w:r w:rsidRPr="16545032">
        <w:rPr>
          <w:rFonts w:ascii="Arial" w:hAnsi="Arial" w:cs="Arial"/>
          <w:sz w:val="24"/>
        </w:rPr>
        <w:t>P</w:t>
      </w:r>
      <w:r w:rsidR="09337944" w:rsidRPr="16545032">
        <w:rPr>
          <w:rFonts w:ascii="Arial" w:hAnsi="Arial" w:cs="Arial"/>
          <w:sz w:val="24"/>
        </w:rPr>
        <w:t>articulate</w:t>
      </w:r>
      <w:r w:rsidR="0060088C" w:rsidRPr="0060088C">
        <w:rPr>
          <w:rFonts w:ascii="Arial" w:hAnsi="Arial" w:cs="Arial"/>
          <w:sz w:val="24"/>
        </w:rPr>
        <w:t xml:space="preserve"> matter</w:t>
      </w:r>
    </w:p>
    <w:p w14:paraId="41C71A30" w14:textId="716E22CD" w:rsidR="00A90687" w:rsidRDefault="00A90687" w:rsidP="00F57F09">
      <w:pPr>
        <w:rPr>
          <w:rFonts w:ascii="Arial" w:hAnsi="Arial" w:cs="Arial"/>
          <w:sz w:val="24"/>
        </w:rPr>
      </w:pPr>
      <w:r>
        <w:rPr>
          <w:rFonts w:ascii="Arial" w:hAnsi="Arial" w:cs="Arial"/>
          <w:sz w:val="24"/>
        </w:rPr>
        <w:t>PM</w:t>
      </w:r>
      <w:r w:rsidRPr="00A90687">
        <w:rPr>
          <w:rFonts w:ascii="Arial" w:hAnsi="Arial" w:cs="Arial"/>
          <w:sz w:val="24"/>
          <w:vertAlign w:val="subscript"/>
        </w:rPr>
        <w:t>2.5</w:t>
      </w:r>
      <w:r w:rsidR="0060088C">
        <w:tab/>
      </w:r>
      <w:r w:rsidR="0060088C">
        <w:tab/>
      </w:r>
      <w:r w:rsidRPr="16545032">
        <w:rPr>
          <w:rFonts w:ascii="Arial" w:hAnsi="Arial" w:cs="Arial"/>
          <w:sz w:val="24"/>
        </w:rPr>
        <w:t>F</w:t>
      </w:r>
      <w:r w:rsidR="09337944" w:rsidRPr="16545032">
        <w:rPr>
          <w:rFonts w:ascii="Arial" w:hAnsi="Arial" w:cs="Arial"/>
          <w:sz w:val="24"/>
        </w:rPr>
        <w:t>ine</w:t>
      </w:r>
      <w:r w:rsidR="0060088C" w:rsidRPr="0060088C">
        <w:rPr>
          <w:rFonts w:ascii="Arial" w:hAnsi="Arial" w:cs="Arial"/>
          <w:sz w:val="24"/>
        </w:rPr>
        <w:t xml:space="preserve"> particulate matter</w:t>
      </w:r>
    </w:p>
    <w:p w14:paraId="0B134130" w14:textId="016AA343" w:rsidR="00A90687" w:rsidRDefault="00A90687" w:rsidP="00F57F09">
      <w:pPr>
        <w:rPr>
          <w:rFonts w:ascii="Arial" w:hAnsi="Arial" w:cs="Arial"/>
          <w:sz w:val="24"/>
        </w:rPr>
      </w:pPr>
      <w:r>
        <w:rPr>
          <w:rFonts w:ascii="Arial" w:hAnsi="Arial" w:cs="Arial"/>
          <w:sz w:val="24"/>
        </w:rPr>
        <w:t>PPE</w:t>
      </w:r>
      <w:r w:rsidR="0060088C">
        <w:rPr>
          <w:rFonts w:ascii="Arial" w:hAnsi="Arial" w:cs="Arial"/>
          <w:sz w:val="24"/>
        </w:rPr>
        <w:tab/>
      </w:r>
      <w:r w:rsidR="0060088C">
        <w:rPr>
          <w:rFonts w:ascii="Arial" w:hAnsi="Arial" w:cs="Arial"/>
          <w:sz w:val="24"/>
        </w:rPr>
        <w:tab/>
      </w:r>
      <w:r w:rsidR="009A74DC">
        <w:rPr>
          <w:rFonts w:ascii="Arial" w:hAnsi="Arial" w:cs="Arial"/>
          <w:sz w:val="24"/>
        </w:rPr>
        <w:t>P</w:t>
      </w:r>
      <w:r w:rsidR="0060088C" w:rsidRPr="0060088C">
        <w:rPr>
          <w:rFonts w:ascii="Arial" w:hAnsi="Arial" w:cs="Arial"/>
          <w:sz w:val="24"/>
        </w:rPr>
        <w:t>ersonal protective equipment</w:t>
      </w:r>
    </w:p>
    <w:p w14:paraId="6D80A34F" w14:textId="76DCE16C" w:rsidR="00577625" w:rsidRDefault="00577625" w:rsidP="00F57F09">
      <w:pPr>
        <w:rPr>
          <w:rFonts w:ascii="Arial" w:hAnsi="Arial" w:cs="Arial"/>
          <w:sz w:val="24"/>
        </w:rPr>
      </w:pPr>
      <w:r>
        <w:rPr>
          <w:rFonts w:ascii="Arial" w:hAnsi="Arial" w:cs="Arial"/>
          <w:sz w:val="24"/>
        </w:rPr>
        <w:t>ppb</w:t>
      </w:r>
      <w:r>
        <w:rPr>
          <w:rFonts w:ascii="Arial" w:hAnsi="Arial" w:cs="Arial"/>
          <w:sz w:val="24"/>
        </w:rPr>
        <w:tab/>
      </w:r>
      <w:r>
        <w:rPr>
          <w:rFonts w:ascii="Arial" w:hAnsi="Arial" w:cs="Arial"/>
          <w:sz w:val="24"/>
        </w:rPr>
        <w:tab/>
        <w:t>Parts per billion</w:t>
      </w:r>
    </w:p>
    <w:p w14:paraId="6B042EB9" w14:textId="671D638A" w:rsidR="00AE3A19" w:rsidRDefault="00AE3A19" w:rsidP="00F57F09">
      <w:pPr>
        <w:rPr>
          <w:rFonts w:ascii="Arial" w:hAnsi="Arial" w:cs="Arial"/>
          <w:sz w:val="24"/>
        </w:rPr>
      </w:pPr>
      <w:r>
        <w:rPr>
          <w:rFonts w:ascii="Arial" w:hAnsi="Arial" w:cs="Arial"/>
          <w:sz w:val="24"/>
        </w:rPr>
        <w:t>ppm</w:t>
      </w:r>
      <w:r>
        <w:rPr>
          <w:rFonts w:ascii="Arial" w:hAnsi="Arial" w:cs="Arial"/>
          <w:sz w:val="24"/>
        </w:rPr>
        <w:tab/>
      </w:r>
      <w:r>
        <w:rPr>
          <w:rFonts w:ascii="Arial" w:hAnsi="Arial" w:cs="Arial"/>
          <w:sz w:val="24"/>
        </w:rPr>
        <w:tab/>
      </w:r>
      <w:r w:rsidR="009A74DC">
        <w:rPr>
          <w:rFonts w:ascii="Arial" w:hAnsi="Arial" w:cs="Arial"/>
          <w:sz w:val="24"/>
        </w:rPr>
        <w:t>P</w:t>
      </w:r>
      <w:r>
        <w:rPr>
          <w:rFonts w:ascii="Arial" w:hAnsi="Arial" w:cs="Arial"/>
          <w:sz w:val="24"/>
        </w:rPr>
        <w:t>arts per million</w:t>
      </w:r>
    </w:p>
    <w:p w14:paraId="32692003" w14:textId="28A074F1" w:rsidR="00A90687" w:rsidRDefault="00A90687" w:rsidP="00F57F09">
      <w:pPr>
        <w:rPr>
          <w:rFonts w:ascii="Arial" w:hAnsi="Arial" w:cs="Arial"/>
          <w:sz w:val="24"/>
        </w:rPr>
      </w:pPr>
      <w:r>
        <w:rPr>
          <w:rFonts w:ascii="Arial" w:hAnsi="Arial" w:cs="Arial"/>
          <w:sz w:val="24"/>
        </w:rPr>
        <w:lastRenderedPageBreak/>
        <w:t>PV</w:t>
      </w:r>
      <w:r w:rsidR="0060088C">
        <w:rPr>
          <w:rFonts w:ascii="Arial" w:hAnsi="Arial" w:cs="Arial"/>
          <w:sz w:val="24"/>
        </w:rPr>
        <w:tab/>
      </w:r>
      <w:r w:rsidR="0060088C">
        <w:rPr>
          <w:rFonts w:ascii="Arial" w:hAnsi="Arial" w:cs="Arial"/>
          <w:sz w:val="24"/>
        </w:rPr>
        <w:tab/>
      </w:r>
      <w:r w:rsidR="009A74DC">
        <w:rPr>
          <w:rFonts w:ascii="Arial" w:hAnsi="Arial" w:cs="Arial"/>
          <w:sz w:val="24"/>
        </w:rPr>
        <w:t>P</w:t>
      </w:r>
      <w:r w:rsidR="0060088C" w:rsidRPr="0060088C">
        <w:rPr>
          <w:rFonts w:ascii="Arial" w:hAnsi="Arial" w:cs="Arial"/>
          <w:sz w:val="24"/>
        </w:rPr>
        <w:t>hotovoltaic</w:t>
      </w:r>
    </w:p>
    <w:p w14:paraId="50DF0553" w14:textId="5782E6C1" w:rsidR="00A90687" w:rsidRDefault="00A90687" w:rsidP="00F57F09">
      <w:pPr>
        <w:rPr>
          <w:rFonts w:ascii="Arial" w:hAnsi="Arial" w:cs="Arial"/>
          <w:sz w:val="24"/>
        </w:rPr>
      </w:pPr>
      <w:r>
        <w:rPr>
          <w:rFonts w:ascii="Arial" w:hAnsi="Arial" w:cs="Arial"/>
          <w:sz w:val="24"/>
        </w:rPr>
        <w:t>RAU</w:t>
      </w:r>
      <w:r w:rsidR="005E6DD7">
        <w:rPr>
          <w:rFonts w:ascii="Arial" w:hAnsi="Arial" w:cs="Arial"/>
          <w:sz w:val="24"/>
        </w:rPr>
        <w:tab/>
      </w:r>
      <w:r w:rsidR="005E6DD7">
        <w:rPr>
          <w:rFonts w:ascii="Arial" w:hAnsi="Arial" w:cs="Arial"/>
          <w:sz w:val="24"/>
        </w:rPr>
        <w:tab/>
      </w:r>
      <w:r w:rsidR="005E6DD7" w:rsidRPr="005E6DD7">
        <w:rPr>
          <w:rFonts w:ascii="Arial" w:hAnsi="Arial" w:cs="Arial"/>
          <w:sz w:val="24"/>
        </w:rPr>
        <w:t>Radon Assessment Unit</w:t>
      </w:r>
    </w:p>
    <w:p w14:paraId="1DAFB2CD" w14:textId="5160D71F" w:rsidR="00A90687" w:rsidRDefault="00A90687" w:rsidP="00F57F09">
      <w:pPr>
        <w:rPr>
          <w:rFonts w:ascii="Arial" w:hAnsi="Arial" w:cs="Arial"/>
          <w:sz w:val="24"/>
        </w:rPr>
      </w:pPr>
      <w:r>
        <w:rPr>
          <w:rFonts w:ascii="Arial" w:hAnsi="Arial" w:cs="Arial"/>
          <w:sz w:val="24"/>
        </w:rPr>
        <w:t>RCRA</w:t>
      </w:r>
      <w:r w:rsidR="005E6DD7">
        <w:rPr>
          <w:rFonts w:ascii="Arial" w:hAnsi="Arial" w:cs="Arial"/>
          <w:sz w:val="24"/>
        </w:rPr>
        <w:tab/>
      </w:r>
      <w:r w:rsidR="005E6DD7">
        <w:rPr>
          <w:rFonts w:ascii="Arial" w:hAnsi="Arial" w:cs="Arial"/>
          <w:sz w:val="24"/>
        </w:rPr>
        <w:tab/>
      </w:r>
      <w:r w:rsidR="005E6DD7" w:rsidRPr="005E6DD7">
        <w:rPr>
          <w:rFonts w:ascii="Arial" w:hAnsi="Arial" w:cs="Arial"/>
          <w:sz w:val="24"/>
        </w:rPr>
        <w:t>Resource Conservation and Recovery Act</w:t>
      </w:r>
    </w:p>
    <w:p w14:paraId="4CA259DE" w14:textId="5254717C" w:rsidR="00385A1B" w:rsidRDefault="00385A1B" w:rsidP="00F57F09">
      <w:pPr>
        <w:rPr>
          <w:rFonts w:ascii="Arial" w:hAnsi="Arial" w:cs="Arial"/>
          <w:sz w:val="24"/>
        </w:rPr>
      </w:pPr>
      <w:r>
        <w:rPr>
          <w:rFonts w:ascii="Arial" w:hAnsi="Arial" w:cs="Arial"/>
          <w:sz w:val="24"/>
        </w:rPr>
        <w:t>RCx</w:t>
      </w:r>
      <w:r>
        <w:rPr>
          <w:rFonts w:ascii="Arial" w:hAnsi="Arial" w:cs="Arial"/>
          <w:sz w:val="24"/>
        </w:rPr>
        <w:tab/>
      </w:r>
      <w:r>
        <w:rPr>
          <w:rFonts w:ascii="Arial" w:hAnsi="Arial" w:cs="Arial"/>
          <w:sz w:val="24"/>
        </w:rPr>
        <w:tab/>
      </w:r>
      <w:r w:rsidR="007F5B64">
        <w:rPr>
          <w:rFonts w:ascii="Arial" w:hAnsi="Arial" w:cs="Arial"/>
          <w:sz w:val="24"/>
        </w:rPr>
        <w:t>Re-commissioning/r</w:t>
      </w:r>
      <w:r>
        <w:rPr>
          <w:rFonts w:ascii="Arial" w:hAnsi="Arial" w:cs="Arial"/>
          <w:sz w:val="24"/>
        </w:rPr>
        <w:t>etro-commissioning</w:t>
      </w:r>
    </w:p>
    <w:p w14:paraId="05636886" w14:textId="03E6E9C2" w:rsidR="007A7250" w:rsidRDefault="007A7250" w:rsidP="00F57F09">
      <w:pPr>
        <w:rPr>
          <w:rFonts w:ascii="Arial" w:hAnsi="Arial" w:cs="Arial"/>
          <w:sz w:val="24"/>
        </w:rPr>
      </w:pPr>
      <w:r>
        <w:rPr>
          <w:rFonts w:ascii="Arial" w:hAnsi="Arial" w:cs="Arial"/>
          <w:sz w:val="24"/>
        </w:rPr>
        <w:t>REL</w:t>
      </w:r>
      <w:r w:rsidR="005E6DD7">
        <w:rPr>
          <w:rFonts w:ascii="Arial" w:hAnsi="Arial" w:cs="Arial"/>
          <w:sz w:val="24"/>
        </w:rPr>
        <w:tab/>
      </w:r>
      <w:r w:rsidR="005E6DD7">
        <w:rPr>
          <w:rFonts w:ascii="Arial" w:hAnsi="Arial" w:cs="Arial"/>
          <w:sz w:val="24"/>
        </w:rPr>
        <w:tab/>
      </w:r>
      <w:r w:rsidR="009A74DC">
        <w:rPr>
          <w:rFonts w:ascii="Arial" w:hAnsi="Arial" w:cs="Arial"/>
          <w:sz w:val="24"/>
        </w:rPr>
        <w:t>R</w:t>
      </w:r>
      <w:r w:rsidR="005E6DD7" w:rsidRPr="005E6DD7">
        <w:rPr>
          <w:rFonts w:ascii="Arial" w:hAnsi="Arial" w:cs="Arial"/>
          <w:sz w:val="24"/>
        </w:rPr>
        <w:t>ecommended exposure limit</w:t>
      </w:r>
    </w:p>
    <w:p w14:paraId="512D4B08" w14:textId="6989DDA0" w:rsidR="009A1053" w:rsidRDefault="009A1053" w:rsidP="00F57F09">
      <w:pPr>
        <w:rPr>
          <w:rFonts w:ascii="Arial" w:hAnsi="Arial" w:cs="Arial"/>
          <w:sz w:val="24"/>
        </w:rPr>
      </w:pPr>
      <w:r>
        <w:rPr>
          <w:rFonts w:ascii="Arial" w:hAnsi="Arial" w:cs="Arial"/>
          <w:sz w:val="24"/>
        </w:rPr>
        <w:t>RfD</w:t>
      </w:r>
      <w:r>
        <w:rPr>
          <w:rFonts w:ascii="Arial" w:hAnsi="Arial" w:cs="Arial"/>
          <w:sz w:val="24"/>
        </w:rPr>
        <w:tab/>
      </w:r>
      <w:r>
        <w:rPr>
          <w:rFonts w:ascii="Arial" w:hAnsi="Arial" w:cs="Arial"/>
          <w:sz w:val="24"/>
        </w:rPr>
        <w:tab/>
      </w:r>
      <w:r w:rsidR="009A74DC">
        <w:rPr>
          <w:rFonts w:ascii="Arial" w:hAnsi="Arial" w:cs="Arial"/>
          <w:sz w:val="24"/>
        </w:rPr>
        <w:t>R</w:t>
      </w:r>
      <w:r w:rsidRPr="009A1053">
        <w:rPr>
          <w:rFonts w:ascii="Arial" w:hAnsi="Arial" w:cs="Arial"/>
          <w:sz w:val="24"/>
        </w:rPr>
        <w:t>eference dose</w:t>
      </w:r>
    </w:p>
    <w:p w14:paraId="049541AD" w14:textId="329A5884" w:rsidR="007A7250" w:rsidRDefault="007A7250" w:rsidP="00F57F09">
      <w:pPr>
        <w:rPr>
          <w:rFonts w:ascii="Arial" w:hAnsi="Arial" w:cs="Arial"/>
          <w:sz w:val="24"/>
        </w:rPr>
      </w:pPr>
      <w:r>
        <w:rPr>
          <w:rFonts w:ascii="Arial" w:hAnsi="Arial" w:cs="Arial"/>
          <w:sz w:val="24"/>
        </w:rPr>
        <w:t>RFP</w:t>
      </w:r>
      <w:r w:rsidR="005E6DD7">
        <w:rPr>
          <w:rFonts w:ascii="Arial" w:hAnsi="Arial" w:cs="Arial"/>
          <w:sz w:val="24"/>
        </w:rPr>
        <w:tab/>
      </w:r>
      <w:r w:rsidR="005E6DD7">
        <w:rPr>
          <w:rFonts w:ascii="Arial" w:hAnsi="Arial" w:cs="Arial"/>
          <w:sz w:val="24"/>
        </w:rPr>
        <w:tab/>
      </w:r>
      <w:r w:rsidR="009A74DC">
        <w:rPr>
          <w:rFonts w:ascii="Arial" w:hAnsi="Arial" w:cs="Arial"/>
          <w:sz w:val="24"/>
        </w:rPr>
        <w:t>R</w:t>
      </w:r>
      <w:r w:rsidR="005E6DD7" w:rsidRPr="005E6DD7">
        <w:rPr>
          <w:rFonts w:ascii="Arial" w:hAnsi="Arial" w:cs="Arial"/>
          <w:sz w:val="24"/>
        </w:rPr>
        <w:t>equest for proposal</w:t>
      </w:r>
    </w:p>
    <w:p w14:paraId="762A0550" w14:textId="64AADAC0" w:rsidR="007A7250" w:rsidRDefault="007A7250" w:rsidP="00F57F09">
      <w:pPr>
        <w:rPr>
          <w:rFonts w:ascii="Arial" w:hAnsi="Arial" w:cs="Arial"/>
          <w:sz w:val="24"/>
        </w:rPr>
      </w:pPr>
      <w:r>
        <w:rPr>
          <w:rFonts w:ascii="Arial" w:hAnsi="Arial" w:cs="Arial"/>
          <w:sz w:val="24"/>
        </w:rPr>
        <w:t>RPS</w:t>
      </w:r>
      <w:r w:rsidR="005E6DD7">
        <w:rPr>
          <w:rFonts w:ascii="Arial" w:hAnsi="Arial" w:cs="Arial"/>
          <w:sz w:val="24"/>
        </w:rPr>
        <w:tab/>
      </w:r>
      <w:r w:rsidR="005E6DD7">
        <w:rPr>
          <w:rFonts w:ascii="Arial" w:hAnsi="Arial" w:cs="Arial"/>
          <w:sz w:val="24"/>
        </w:rPr>
        <w:tab/>
        <w:t>R</w:t>
      </w:r>
      <w:r w:rsidR="005E6DD7" w:rsidRPr="005E6DD7">
        <w:rPr>
          <w:rFonts w:ascii="Arial" w:hAnsi="Arial" w:cs="Arial"/>
          <w:sz w:val="24"/>
        </w:rPr>
        <w:t xml:space="preserve">enewable </w:t>
      </w:r>
      <w:r w:rsidR="005E6DD7">
        <w:rPr>
          <w:rFonts w:ascii="Arial" w:hAnsi="Arial" w:cs="Arial"/>
          <w:sz w:val="24"/>
        </w:rPr>
        <w:t>E</w:t>
      </w:r>
      <w:r w:rsidR="005E6DD7" w:rsidRPr="005E6DD7">
        <w:rPr>
          <w:rFonts w:ascii="Arial" w:hAnsi="Arial" w:cs="Arial"/>
          <w:sz w:val="24"/>
        </w:rPr>
        <w:t xml:space="preserve">nergy </w:t>
      </w:r>
      <w:r w:rsidR="005E6DD7">
        <w:rPr>
          <w:rFonts w:ascii="Arial" w:hAnsi="Arial" w:cs="Arial"/>
          <w:sz w:val="24"/>
        </w:rPr>
        <w:t>P</w:t>
      </w:r>
      <w:r w:rsidR="005E6DD7" w:rsidRPr="005E6DD7">
        <w:rPr>
          <w:rFonts w:ascii="Arial" w:hAnsi="Arial" w:cs="Arial"/>
          <w:sz w:val="24"/>
        </w:rPr>
        <w:t xml:space="preserve">ortfolio </w:t>
      </w:r>
      <w:r w:rsidR="005E6DD7">
        <w:rPr>
          <w:rFonts w:ascii="Arial" w:hAnsi="Arial" w:cs="Arial"/>
          <w:sz w:val="24"/>
        </w:rPr>
        <w:t>S</w:t>
      </w:r>
      <w:r w:rsidR="005E6DD7" w:rsidRPr="005E6DD7">
        <w:rPr>
          <w:rFonts w:ascii="Arial" w:hAnsi="Arial" w:cs="Arial"/>
          <w:sz w:val="24"/>
        </w:rPr>
        <w:t>tandard</w:t>
      </w:r>
    </w:p>
    <w:p w14:paraId="7CC0F764" w14:textId="5E297024" w:rsidR="00AE3A19" w:rsidRDefault="00AE3A19" w:rsidP="00F57F09">
      <w:pPr>
        <w:rPr>
          <w:rFonts w:ascii="Arial" w:hAnsi="Arial" w:cs="Arial"/>
          <w:sz w:val="24"/>
        </w:rPr>
      </w:pPr>
      <w:r>
        <w:rPr>
          <w:rFonts w:ascii="Arial" w:hAnsi="Arial" w:cs="Arial"/>
          <w:sz w:val="24"/>
        </w:rPr>
        <w:t>RTU</w:t>
      </w:r>
      <w:r>
        <w:rPr>
          <w:rFonts w:ascii="Arial" w:hAnsi="Arial" w:cs="Arial"/>
          <w:sz w:val="24"/>
        </w:rPr>
        <w:tab/>
      </w:r>
      <w:r>
        <w:rPr>
          <w:rFonts w:ascii="Arial" w:hAnsi="Arial" w:cs="Arial"/>
          <w:sz w:val="24"/>
        </w:rPr>
        <w:tab/>
      </w:r>
      <w:r w:rsidR="009A74DC">
        <w:rPr>
          <w:rFonts w:ascii="Arial" w:hAnsi="Arial" w:cs="Arial"/>
          <w:sz w:val="24"/>
        </w:rPr>
        <w:t>R</w:t>
      </w:r>
      <w:r>
        <w:rPr>
          <w:rFonts w:ascii="Arial" w:hAnsi="Arial" w:cs="Arial"/>
          <w:sz w:val="24"/>
        </w:rPr>
        <w:t>ooftop unit</w:t>
      </w:r>
    </w:p>
    <w:p w14:paraId="5E5DAFB3" w14:textId="14E96D8A" w:rsidR="00976224" w:rsidRDefault="00976224" w:rsidP="00F57F09">
      <w:pPr>
        <w:rPr>
          <w:rFonts w:ascii="Arial" w:hAnsi="Arial" w:cs="Arial"/>
          <w:sz w:val="24"/>
        </w:rPr>
      </w:pPr>
      <w:r>
        <w:rPr>
          <w:rFonts w:ascii="Arial" w:hAnsi="Arial" w:cs="Arial"/>
          <w:sz w:val="24"/>
        </w:rPr>
        <w:t>SDOH</w:t>
      </w:r>
      <w:r>
        <w:rPr>
          <w:rFonts w:ascii="Arial" w:hAnsi="Arial" w:cs="Arial"/>
          <w:sz w:val="24"/>
        </w:rPr>
        <w:tab/>
      </w:r>
      <w:r>
        <w:rPr>
          <w:rFonts w:ascii="Arial" w:hAnsi="Arial" w:cs="Arial"/>
          <w:sz w:val="24"/>
        </w:rPr>
        <w:tab/>
      </w:r>
      <w:r w:rsidRPr="00976224">
        <w:rPr>
          <w:rFonts w:ascii="Arial" w:hAnsi="Arial" w:cs="Arial"/>
          <w:sz w:val="24"/>
        </w:rPr>
        <w:t>Social determinants of health</w:t>
      </w:r>
    </w:p>
    <w:p w14:paraId="724DC4D6" w14:textId="68BE0F4B" w:rsidR="00FF76EB" w:rsidRDefault="00FF76EB" w:rsidP="00F57F09">
      <w:pPr>
        <w:rPr>
          <w:rFonts w:ascii="Arial" w:hAnsi="Arial" w:cs="Arial"/>
          <w:sz w:val="24"/>
        </w:rPr>
      </w:pPr>
      <w:r>
        <w:rPr>
          <w:rFonts w:ascii="Arial" w:hAnsi="Arial" w:cs="Arial"/>
          <w:sz w:val="24"/>
        </w:rPr>
        <w:t>SDWA</w:t>
      </w:r>
      <w:r w:rsidR="0079789D">
        <w:tab/>
      </w:r>
      <w:r w:rsidR="0079789D">
        <w:rPr>
          <w:rFonts w:ascii="Arial" w:hAnsi="Arial" w:cs="Arial"/>
          <w:sz w:val="24"/>
        </w:rPr>
        <w:t>Safe Drinking Water Act</w:t>
      </w:r>
    </w:p>
    <w:p w14:paraId="12A380B9" w14:textId="4868648C" w:rsidR="00BE4CC3" w:rsidRDefault="5DF6EA74" w:rsidP="62E2E3B4">
      <w:pPr>
        <w:rPr>
          <w:rFonts w:ascii="Arial" w:hAnsi="Arial" w:cs="Arial"/>
          <w:sz w:val="24"/>
        </w:rPr>
      </w:pPr>
      <w:r w:rsidRPr="62E2E3B4">
        <w:rPr>
          <w:rFonts w:ascii="Arial" w:hAnsi="Arial" w:cs="Arial"/>
          <w:sz w:val="24"/>
        </w:rPr>
        <w:t>SOI</w:t>
      </w:r>
      <w:r w:rsidR="3F8409DF">
        <w:tab/>
      </w:r>
      <w:r w:rsidR="3F8409DF">
        <w:tab/>
      </w:r>
      <w:r w:rsidR="3EF11A02" w:rsidRPr="62E2E3B4">
        <w:rPr>
          <w:rFonts w:ascii="Arial" w:hAnsi="Arial" w:cs="Arial"/>
          <w:sz w:val="24"/>
        </w:rPr>
        <w:t>S</w:t>
      </w:r>
      <w:r w:rsidRPr="62E2E3B4">
        <w:rPr>
          <w:rFonts w:ascii="Arial" w:hAnsi="Arial" w:cs="Arial"/>
          <w:sz w:val="24"/>
        </w:rPr>
        <w:t>tatement of</w:t>
      </w:r>
      <w:r w:rsidR="3EF11A02" w:rsidRPr="62E2E3B4">
        <w:rPr>
          <w:rFonts w:ascii="Arial" w:hAnsi="Arial" w:cs="Arial"/>
          <w:sz w:val="24"/>
        </w:rPr>
        <w:t xml:space="preserve"> I</w:t>
      </w:r>
      <w:r w:rsidRPr="62E2E3B4">
        <w:rPr>
          <w:rFonts w:ascii="Arial" w:hAnsi="Arial" w:cs="Arial"/>
          <w:sz w:val="24"/>
        </w:rPr>
        <w:t>nterest</w:t>
      </w:r>
    </w:p>
    <w:p w14:paraId="2BE258F2" w14:textId="11914DEE" w:rsidR="007A11D4" w:rsidRDefault="007A11D4" w:rsidP="005627D0">
      <w:pPr>
        <w:rPr>
          <w:rFonts w:ascii="Arial" w:hAnsi="Arial" w:cs="Arial"/>
          <w:sz w:val="24"/>
        </w:rPr>
      </w:pPr>
      <w:r>
        <w:rPr>
          <w:rFonts w:ascii="Arial" w:hAnsi="Arial" w:cs="Arial"/>
          <w:sz w:val="24"/>
        </w:rPr>
        <w:t>SVOC</w:t>
      </w:r>
      <w:r w:rsidR="009744D7">
        <w:rPr>
          <w:rFonts w:ascii="Arial" w:hAnsi="Arial" w:cs="Arial"/>
          <w:sz w:val="24"/>
        </w:rPr>
        <w:t>s</w:t>
      </w:r>
      <w:r>
        <w:rPr>
          <w:rFonts w:ascii="Arial" w:hAnsi="Arial" w:cs="Arial"/>
          <w:sz w:val="24"/>
        </w:rPr>
        <w:tab/>
      </w:r>
      <w:r w:rsidR="00587423">
        <w:rPr>
          <w:rFonts w:ascii="Arial" w:hAnsi="Arial" w:cs="Arial"/>
          <w:sz w:val="24"/>
        </w:rPr>
        <w:t>S</w:t>
      </w:r>
      <w:r w:rsidRPr="007A11D4">
        <w:rPr>
          <w:rFonts w:ascii="Arial" w:hAnsi="Arial" w:cs="Arial"/>
          <w:sz w:val="24"/>
        </w:rPr>
        <w:t>emi-volatile organic compound</w:t>
      </w:r>
      <w:r w:rsidR="009744D7">
        <w:rPr>
          <w:rFonts w:ascii="Arial" w:hAnsi="Arial" w:cs="Arial"/>
          <w:sz w:val="24"/>
        </w:rPr>
        <w:t>s</w:t>
      </w:r>
    </w:p>
    <w:p w14:paraId="6B14A8C5" w14:textId="1EC1FA11" w:rsidR="007A745E" w:rsidRDefault="007A745E" w:rsidP="005627D0">
      <w:pPr>
        <w:rPr>
          <w:rFonts w:ascii="Arial" w:hAnsi="Arial" w:cs="Arial"/>
          <w:sz w:val="24"/>
        </w:rPr>
      </w:pPr>
      <w:r>
        <w:rPr>
          <w:rFonts w:ascii="Arial" w:hAnsi="Arial" w:cs="Arial"/>
          <w:sz w:val="24"/>
        </w:rPr>
        <w:t>SWIG</w:t>
      </w:r>
      <w:r>
        <w:rPr>
          <w:rFonts w:ascii="Arial" w:hAnsi="Arial" w:cs="Arial"/>
          <w:sz w:val="24"/>
        </w:rPr>
        <w:tab/>
      </w:r>
      <w:r>
        <w:rPr>
          <w:rFonts w:ascii="Arial" w:hAnsi="Arial" w:cs="Arial"/>
          <w:sz w:val="24"/>
        </w:rPr>
        <w:tab/>
      </w:r>
      <w:r w:rsidRPr="007A745E">
        <w:rPr>
          <w:rFonts w:ascii="Arial" w:hAnsi="Arial" w:cs="Arial"/>
          <w:sz w:val="24"/>
        </w:rPr>
        <w:t>School Water Improvement Grants</w:t>
      </w:r>
    </w:p>
    <w:p w14:paraId="0CA27F36" w14:textId="2B7CBABD" w:rsidR="00FF76EB" w:rsidRDefault="00FF76EB" w:rsidP="005627D0">
      <w:pPr>
        <w:rPr>
          <w:rFonts w:ascii="Arial" w:hAnsi="Arial" w:cs="Arial"/>
          <w:sz w:val="24"/>
        </w:rPr>
      </w:pPr>
      <w:r>
        <w:rPr>
          <w:rFonts w:ascii="Arial" w:hAnsi="Arial" w:cs="Arial"/>
          <w:sz w:val="24"/>
        </w:rPr>
        <w:t>TCLP</w:t>
      </w:r>
      <w:r w:rsidR="0079789D">
        <w:rPr>
          <w:rFonts w:ascii="Arial" w:hAnsi="Arial" w:cs="Arial"/>
          <w:sz w:val="24"/>
        </w:rPr>
        <w:tab/>
      </w:r>
      <w:r w:rsidR="0079789D">
        <w:rPr>
          <w:rFonts w:ascii="Arial" w:hAnsi="Arial" w:cs="Arial"/>
          <w:sz w:val="24"/>
        </w:rPr>
        <w:tab/>
      </w:r>
      <w:r w:rsidR="007D35E1" w:rsidRPr="007D35E1">
        <w:rPr>
          <w:rFonts w:ascii="Arial" w:hAnsi="Arial" w:cs="Arial"/>
          <w:sz w:val="24"/>
        </w:rPr>
        <w:t>Toxicity Characteristic Leaching Procedure</w:t>
      </w:r>
    </w:p>
    <w:p w14:paraId="3547AF1D" w14:textId="56C35710" w:rsidR="005627D0" w:rsidRPr="005627D0" w:rsidRDefault="005627D0" w:rsidP="005627D0">
      <w:pPr>
        <w:rPr>
          <w:rFonts w:ascii="Arial" w:hAnsi="Arial" w:cs="Arial"/>
          <w:sz w:val="24"/>
        </w:rPr>
      </w:pPr>
      <w:r w:rsidRPr="005627D0">
        <w:rPr>
          <w:rFonts w:ascii="Arial" w:hAnsi="Arial" w:cs="Arial"/>
          <w:sz w:val="24"/>
        </w:rPr>
        <w:t>TDS</w:t>
      </w:r>
      <w:r w:rsidRPr="005627D0">
        <w:rPr>
          <w:rFonts w:ascii="Arial" w:hAnsi="Arial" w:cs="Arial"/>
          <w:sz w:val="24"/>
        </w:rPr>
        <w:tab/>
      </w:r>
      <w:r w:rsidRPr="005627D0">
        <w:rPr>
          <w:rFonts w:ascii="Arial" w:hAnsi="Arial" w:cs="Arial"/>
          <w:sz w:val="24"/>
        </w:rPr>
        <w:tab/>
      </w:r>
      <w:r w:rsidR="006456F8">
        <w:rPr>
          <w:rFonts w:ascii="Arial" w:hAnsi="Arial" w:cs="Arial"/>
          <w:sz w:val="24"/>
        </w:rPr>
        <w:t>T</w:t>
      </w:r>
      <w:r w:rsidRPr="005627D0">
        <w:rPr>
          <w:rFonts w:ascii="Arial" w:hAnsi="Arial" w:cs="Arial"/>
          <w:sz w:val="24"/>
        </w:rPr>
        <w:t>otal dissolved solids</w:t>
      </w:r>
    </w:p>
    <w:p w14:paraId="0B6B9CB7" w14:textId="6DC2FA43" w:rsidR="00F423F2" w:rsidRDefault="00F423F2" w:rsidP="005627D0">
      <w:pPr>
        <w:rPr>
          <w:rFonts w:ascii="Arial" w:hAnsi="Arial" w:cs="Arial"/>
          <w:sz w:val="24"/>
        </w:rPr>
      </w:pPr>
      <w:r>
        <w:rPr>
          <w:rFonts w:ascii="Arial" w:hAnsi="Arial" w:cs="Arial"/>
          <w:sz w:val="24"/>
        </w:rPr>
        <w:t>TLV</w:t>
      </w:r>
      <w:r>
        <w:rPr>
          <w:rFonts w:ascii="Arial" w:hAnsi="Arial" w:cs="Arial"/>
          <w:sz w:val="24"/>
        </w:rPr>
        <w:tab/>
      </w:r>
      <w:r>
        <w:rPr>
          <w:rFonts w:ascii="Arial" w:hAnsi="Arial" w:cs="Arial"/>
          <w:sz w:val="24"/>
        </w:rPr>
        <w:tab/>
      </w:r>
      <w:r w:rsidR="006456F8">
        <w:rPr>
          <w:rFonts w:ascii="Arial" w:hAnsi="Arial" w:cs="Arial"/>
          <w:sz w:val="24"/>
        </w:rPr>
        <w:t>T</w:t>
      </w:r>
      <w:r w:rsidRPr="00F423F2">
        <w:rPr>
          <w:rFonts w:ascii="Arial" w:hAnsi="Arial" w:cs="Arial"/>
          <w:sz w:val="24"/>
        </w:rPr>
        <w:t>hreshold limit value</w:t>
      </w:r>
    </w:p>
    <w:p w14:paraId="2C33242C" w14:textId="08C76784" w:rsidR="007D35E1" w:rsidRDefault="007D35E1" w:rsidP="005627D0">
      <w:pPr>
        <w:rPr>
          <w:rFonts w:ascii="Arial" w:hAnsi="Arial" w:cs="Arial"/>
          <w:sz w:val="24"/>
        </w:rPr>
      </w:pPr>
      <w:r>
        <w:rPr>
          <w:rFonts w:ascii="Arial" w:hAnsi="Arial" w:cs="Arial"/>
          <w:sz w:val="24"/>
        </w:rPr>
        <w:t>TSCA</w:t>
      </w:r>
      <w:r>
        <w:rPr>
          <w:rFonts w:ascii="Arial" w:hAnsi="Arial" w:cs="Arial"/>
          <w:sz w:val="24"/>
        </w:rPr>
        <w:tab/>
      </w:r>
      <w:r>
        <w:rPr>
          <w:rFonts w:ascii="Arial" w:hAnsi="Arial" w:cs="Arial"/>
          <w:sz w:val="24"/>
        </w:rPr>
        <w:tab/>
      </w:r>
      <w:r w:rsidRPr="007D35E1">
        <w:rPr>
          <w:rFonts w:ascii="Arial" w:hAnsi="Arial" w:cs="Arial"/>
          <w:sz w:val="24"/>
        </w:rPr>
        <w:t>Toxic Substances Control Act</w:t>
      </w:r>
    </w:p>
    <w:p w14:paraId="7C338129" w14:textId="0F96EDF2" w:rsidR="005627D0" w:rsidRDefault="005627D0" w:rsidP="005627D0">
      <w:pPr>
        <w:rPr>
          <w:rFonts w:ascii="Arial" w:hAnsi="Arial" w:cs="Arial"/>
          <w:sz w:val="24"/>
        </w:rPr>
      </w:pPr>
      <w:r w:rsidRPr="005627D0">
        <w:rPr>
          <w:rFonts w:ascii="Arial" w:hAnsi="Arial" w:cs="Arial"/>
          <w:sz w:val="24"/>
        </w:rPr>
        <w:t>USDA</w:t>
      </w:r>
      <w:r w:rsidRPr="005627D0">
        <w:rPr>
          <w:rFonts w:ascii="Arial" w:hAnsi="Arial" w:cs="Arial"/>
          <w:sz w:val="24"/>
        </w:rPr>
        <w:tab/>
      </w:r>
      <w:r w:rsidRPr="005627D0">
        <w:rPr>
          <w:rFonts w:ascii="Arial" w:hAnsi="Arial" w:cs="Arial"/>
          <w:sz w:val="24"/>
        </w:rPr>
        <w:tab/>
        <w:t>U.S. Department of Agriculture</w:t>
      </w:r>
    </w:p>
    <w:p w14:paraId="56705882" w14:textId="25018E58" w:rsidR="00301967" w:rsidRDefault="00301967" w:rsidP="00E73766">
      <w:pPr>
        <w:rPr>
          <w:rFonts w:ascii="Arial" w:hAnsi="Arial" w:cs="Arial"/>
          <w:sz w:val="24"/>
        </w:rPr>
      </w:pPr>
      <w:r>
        <w:rPr>
          <w:rFonts w:ascii="Arial" w:hAnsi="Arial" w:cs="Arial"/>
          <w:sz w:val="24"/>
        </w:rPr>
        <w:t>USGCRP</w:t>
      </w:r>
      <w:r>
        <w:rPr>
          <w:rFonts w:ascii="Arial" w:hAnsi="Arial" w:cs="Arial"/>
          <w:sz w:val="24"/>
        </w:rPr>
        <w:tab/>
      </w:r>
      <w:r w:rsidRPr="00301967">
        <w:rPr>
          <w:rFonts w:ascii="Arial" w:hAnsi="Arial" w:cs="Arial"/>
          <w:sz w:val="24"/>
        </w:rPr>
        <w:t>U.S. Global Change Research Program</w:t>
      </w:r>
    </w:p>
    <w:p w14:paraId="54B60F85" w14:textId="7E0D11C9" w:rsidR="004443C0" w:rsidRDefault="004443C0" w:rsidP="00E73766">
      <w:pPr>
        <w:rPr>
          <w:rFonts w:ascii="Arial" w:hAnsi="Arial" w:cs="Arial"/>
          <w:sz w:val="24"/>
        </w:rPr>
      </w:pPr>
      <w:r>
        <w:rPr>
          <w:rFonts w:ascii="Arial" w:hAnsi="Arial" w:cs="Arial"/>
          <w:sz w:val="24"/>
        </w:rPr>
        <w:t>UD</w:t>
      </w:r>
      <w:r>
        <w:rPr>
          <w:rFonts w:ascii="Arial" w:hAnsi="Arial" w:cs="Arial"/>
          <w:sz w:val="24"/>
        </w:rPr>
        <w:tab/>
      </w:r>
      <w:r>
        <w:rPr>
          <w:rFonts w:ascii="Arial" w:hAnsi="Arial" w:cs="Arial"/>
          <w:sz w:val="24"/>
        </w:rPr>
        <w:tab/>
      </w:r>
      <w:r w:rsidR="006456F8">
        <w:rPr>
          <w:rFonts w:ascii="Arial" w:hAnsi="Arial" w:cs="Arial"/>
          <w:sz w:val="24"/>
        </w:rPr>
        <w:t>U</w:t>
      </w:r>
      <w:r>
        <w:rPr>
          <w:rFonts w:ascii="Arial" w:hAnsi="Arial" w:cs="Arial"/>
          <w:sz w:val="24"/>
        </w:rPr>
        <w:t>niversal design</w:t>
      </w:r>
    </w:p>
    <w:p w14:paraId="2046BD2F" w14:textId="39198768" w:rsidR="001F16B4" w:rsidRDefault="001F16B4" w:rsidP="00E73766">
      <w:pPr>
        <w:rPr>
          <w:rFonts w:ascii="Arial" w:hAnsi="Arial" w:cs="Arial"/>
          <w:sz w:val="24"/>
        </w:rPr>
      </w:pPr>
      <w:r>
        <w:rPr>
          <w:rFonts w:ascii="Arial" w:hAnsi="Arial" w:cs="Arial"/>
          <w:sz w:val="24"/>
        </w:rPr>
        <w:t>UDL</w:t>
      </w:r>
      <w:r>
        <w:rPr>
          <w:rFonts w:ascii="Arial" w:hAnsi="Arial" w:cs="Arial"/>
          <w:sz w:val="24"/>
        </w:rPr>
        <w:tab/>
      </w:r>
      <w:r>
        <w:rPr>
          <w:rFonts w:ascii="Arial" w:hAnsi="Arial" w:cs="Arial"/>
          <w:sz w:val="24"/>
        </w:rPr>
        <w:tab/>
      </w:r>
      <w:r w:rsidR="006456F8">
        <w:rPr>
          <w:rFonts w:ascii="Arial" w:hAnsi="Arial" w:cs="Arial"/>
          <w:sz w:val="24"/>
        </w:rPr>
        <w:t>U</w:t>
      </w:r>
      <w:r w:rsidRPr="001F16B4">
        <w:rPr>
          <w:rFonts w:ascii="Arial" w:hAnsi="Arial" w:cs="Arial"/>
          <w:sz w:val="24"/>
        </w:rPr>
        <w:t>niversal design in learning</w:t>
      </w:r>
    </w:p>
    <w:p w14:paraId="7B9B82F7" w14:textId="04302CF4" w:rsidR="007D35E1" w:rsidRDefault="007D35E1" w:rsidP="00E73766">
      <w:pPr>
        <w:rPr>
          <w:rFonts w:ascii="Arial" w:hAnsi="Arial" w:cs="Arial"/>
          <w:sz w:val="24"/>
        </w:rPr>
      </w:pPr>
      <w:r>
        <w:rPr>
          <w:rFonts w:ascii="Arial" w:hAnsi="Arial" w:cs="Arial"/>
          <w:sz w:val="24"/>
        </w:rPr>
        <w:t>USGBC</w:t>
      </w:r>
      <w:r>
        <w:rPr>
          <w:rFonts w:ascii="Arial" w:hAnsi="Arial" w:cs="Arial"/>
          <w:sz w:val="24"/>
        </w:rPr>
        <w:tab/>
      </w:r>
      <w:r w:rsidRPr="007D35E1">
        <w:rPr>
          <w:rFonts w:ascii="Arial" w:hAnsi="Arial" w:cs="Arial"/>
          <w:sz w:val="24"/>
        </w:rPr>
        <w:t>U.S. Green Building Council</w:t>
      </w:r>
    </w:p>
    <w:p w14:paraId="17612200" w14:textId="61224AC6" w:rsidR="00E73766" w:rsidRPr="00E73766" w:rsidRDefault="00E73766" w:rsidP="00E73766">
      <w:pPr>
        <w:rPr>
          <w:rFonts w:ascii="Arial" w:hAnsi="Arial" w:cs="Arial"/>
          <w:sz w:val="24"/>
        </w:rPr>
      </w:pPr>
      <w:r w:rsidRPr="00E73766">
        <w:rPr>
          <w:rFonts w:ascii="Arial" w:hAnsi="Arial" w:cs="Arial"/>
          <w:sz w:val="24"/>
        </w:rPr>
        <w:t>V2G</w:t>
      </w:r>
      <w:r w:rsidRPr="00E73766">
        <w:rPr>
          <w:rFonts w:ascii="Arial" w:hAnsi="Arial" w:cs="Arial"/>
          <w:sz w:val="24"/>
        </w:rPr>
        <w:tab/>
      </w:r>
      <w:r w:rsidRPr="00E73766">
        <w:rPr>
          <w:rFonts w:ascii="Arial" w:hAnsi="Arial" w:cs="Arial"/>
          <w:sz w:val="24"/>
        </w:rPr>
        <w:tab/>
        <w:t>Vehicle</w:t>
      </w:r>
      <w:r w:rsidR="00B70C68">
        <w:rPr>
          <w:rFonts w:ascii="Arial" w:hAnsi="Arial" w:cs="Arial"/>
          <w:sz w:val="24"/>
        </w:rPr>
        <w:t>-</w:t>
      </w:r>
      <w:r w:rsidRPr="00E73766">
        <w:rPr>
          <w:rFonts w:ascii="Arial" w:hAnsi="Arial" w:cs="Arial"/>
          <w:sz w:val="24"/>
        </w:rPr>
        <w:t>to</w:t>
      </w:r>
      <w:r w:rsidR="00B70C68">
        <w:rPr>
          <w:rFonts w:ascii="Arial" w:hAnsi="Arial" w:cs="Arial"/>
          <w:sz w:val="24"/>
        </w:rPr>
        <w:t>-</w:t>
      </w:r>
      <w:r w:rsidRPr="00E73766">
        <w:rPr>
          <w:rFonts w:ascii="Arial" w:hAnsi="Arial" w:cs="Arial"/>
          <w:sz w:val="24"/>
        </w:rPr>
        <w:t>Grid</w:t>
      </w:r>
    </w:p>
    <w:p w14:paraId="45BA4EBC" w14:textId="0A6B5859" w:rsidR="00E73766" w:rsidRDefault="00E73766" w:rsidP="00E73766">
      <w:pPr>
        <w:rPr>
          <w:rFonts w:ascii="Arial" w:hAnsi="Arial" w:cs="Arial"/>
          <w:sz w:val="24"/>
        </w:rPr>
      </w:pPr>
      <w:r w:rsidRPr="00E73766">
        <w:rPr>
          <w:rFonts w:ascii="Arial" w:hAnsi="Arial" w:cs="Arial"/>
          <w:sz w:val="24"/>
        </w:rPr>
        <w:t>V2L</w:t>
      </w:r>
      <w:r w:rsidRPr="00E73766">
        <w:rPr>
          <w:rFonts w:ascii="Arial" w:hAnsi="Arial" w:cs="Arial"/>
          <w:sz w:val="24"/>
        </w:rPr>
        <w:tab/>
      </w:r>
      <w:r w:rsidRPr="00E73766">
        <w:rPr>
          <w:rFonts w:ascii="Arial" w:hAnsi="Arial" w:cs="Arial"/>
          <w:sz w:val="24"/>
        </w:rPr>
        <w:tab/>
        <w:t>Vehicle</w:t>
      </w:r>
      <w:r w:rsidR="00B70C68">
        <w:rPr>
          <w:rFonts w:ascii="Arial" w:hAnsi="Arial" w:cs="Arial"/>
          <w:sz w:val="24"/>
        </w:rPr>
        <w:t>-to-</w:t>
      </w:r>
      <w:r w:rsidRPr="00E73766">
        <w:rPr>
          <w:rFonts w:ascii="Arial" w:hAnsi="Arial" w:cs="Arial"/>
          <w:sz w:val="24"/>
        </w:rPr>
        <w:t>Load</w:t>
      </w:r>
    </w:p>
    <w:p w14:paraId="2BFF449A" w14:textId="7D90090D" w:rsidR="00042892" w:rsidRDefault="00042892" w:rsidP="00E73766">
      <w:pPr>
        <w:rPr>
          <w:rFonts w:ascii="Arial" w:hAnsi="Arial" w:cs="Arial"/>
          <w:sz w:val="24"/>
        </w:rPr>
      </w:pPr>
      <w:r>
        <w:rPr>
          <w:rFonts w:ascii="Arial" w:hAnsi="Arial" w:cs="Arial"/>
          <w:sz w:val="24"/>
        </w:rPr>
        <w:t>VOC</w:t>
      </w:r>
      <w:r w:rsidR="009744D7">
        <w:rPr>
          <w:rFonts w:ascii="Arial" w:hAnsi="Arial" w:cs="Arial"/>
          <w:sz w:val="24"/>
        </w:rPr>
        <w:t>s</w:t>
      </w:r>
      <w:r>
        <w:rPr>
          <w:rFonts w:ascii="Arial" w:hAnsi="Arial" w:cs="Arial"/>
          <w:sz w:val="24"/>
        </w:rPr>
        <w:tab/>
      </w:r>
      <w:r>
        <w:rPr>
          <w:rFonts w:ascii="Arial" w:hAnsi="Arial" w:cs="Arial"/>
          <w:sz w:val="24"/>
        </w:rPr>
        <w:tab/>
      </w:r>
      <w:r w:rsidR="006456F8">
        <w:rPr>
          <w:rFonts w:ascii="Arial" w:hAnsi="Arial" w:cs="Arial"/>
          <w:sz w:val="24"/>
        </w:rPr>
        <w:t>V</w:t>
      </w:r>
      <w:r w:rsidRPr="00042892">
        <w:rPr>
          <w:rFonts w:ascii="Arial" w:hAnsi="Arial" w:cs="Arial"/>
          <w:sz w:val="24"/>
        </w:rPr>
        <w:t>olatile organic compound</w:t>
      </w:r>
      <w:r w:rsidR="009744D7">
        <w:rPr>
          <w:rFonts w:ascii="Arial" w:hAnsi="Arial" w:cs="Arial"/>
          <w:sz w:val="24"/>
        </w:rPr>
        <w:t>s</w:t>
      </w:r>
    </w:p>
    <w:p w14:paraId="0037F1FE" w14:textId="2EB9375E" w:rsidR="001E7885" w:rsidRDefault="001E7885" w:rsidP="00E73766">
      <w:pPr>
        <w:rPr>
          <w:rFonts w:ascii="Arial" w:hAnsi="Arial" w:cs="Arial"/>
          <w:sz w:val="24"/>
        </w:rPr>
      </w:pPr>
      <w:r>
        <w:rPr>
          <w:rFonts w:ascii="Arial" w:hAnsi="Arial" w:cs="Arial"/>
          <w:sz w:val="24"/>
        </w:rPr>
        <w:t>VRF</w:t>
      </w:r>
      <w:r>
        <w:rPr>
          <w:rFonts w:ascii="Arial" w:hAnsi="Arial" w:cs="Arial"/>
          <w:sz w:val="24"/>
        </w:rPr>
        <w:tab/>
      </w:r>
      <w:r>
        <w:rPr>
          <w:rFonts w:ascii="Arial" w:hAnsi="Arial" w:cs="Arial"/>
          <w:sz w:val="24"/>
        </w:rPr>
        <w:tab/>
      </w:r>
      <w:r w:rsidR="006456F8">
        <w:rPr>
          <w:rFonts w:ascii="Arial" w:hAnsi="Arial" w:cs="Arial"/>
          <w:sz w:val="24"/>
        </w:rPr>
        <w:t>V</w:t>
      </w:r>
      <w:r>
        <w:rPr>
          <w:rFonts w:ascii="Arial" w:hAnsi="Arial" w:cs="Arial"/>
          <w:sz w:val="24"/>
        </w:rPr>
        <w:t>ariable refrigerant flow</w:t>
      </w:r>
    </w:p>
    <w:p w14:paraId="6D8BB9C1" w14:textId="0B693C47" w:rsidR="00042892" w:rsidRDefault="00042892" w:rsidP="00E73766">
      <w:pPr>
        <w:rPr>
          <w:rFonts w:ascii="Arial" w:hAnsi="Arial" w:cs="Arial"/>
          <w:sz w:val="24"/>
        </w:rPr>
      </w:pPr>
      <w:r>
        <w:rPr>
          <w:rFonts w:ascii="Arial" w:hAnsi="Arial" w:cs="Arial"/>
          <w:sz w:val="24"/>
        </w:rPr>
        <w:t>WUI</w:t>
      </w:r>
      <w:r>
        <w:rPr>
          <w:rFonts w:ascii="Arial" w:hAnsi="Arial" w:cs="Arial"/>
          <w:sz w:val="24"/>
        </w:rPr>
        <w:tab/>
      </w:r>
      <w:r>
        <w:rPr>
          <w:rFonts w:ascii="Arial" w:hAnsi="Arial" w:cs="Arial"/>
          <w:sz w:val="24"/>
        </w:rPr>
        <w:tab/>
      </w:r>
      <w:r w:rsidR="006456F8">
        <w:rPr>
          <w:rFonts w:ascii="Arial" w:hAnsi="Arial" w:cs="Arial"/>
          <w:sz w:val="24"/>
        </w:rPr>
        <w:t>W</w:t>
      </w:r>
      <w:r>
        <w:rPr>
          <w:rFonts w:ascii="Arial" w:hAnsi="Arial" w:cs="Arial"/>
          <w:sz w:val="24"/>
        </w:rPr>
        <w:t>ater use intensity</w:t>
      </w:r>
    </w:p>
    <w:p w14:paraId="7685A85F" w14:textId="1FF62D35" w:rsidR="00F03F86" w:rsidRDefault="00F03F86" w:rsidP="00E73766">
      <w:pPr>
        <w:rPr>
          <w:rFonts w:ascii="Arial" w:hAnsi="Arial" w:cs="Arial"/>
          <w:sz w:val="24"/>
        </w:rPr>
      </w:pPr>
      <w:r>
        <w:rPr>
          <w:rFonts w:ascii="Arial" w:hAnsi="Arial" w:cs="Arial"/>
          <w:sz w:val="24"/>
        </w:rPr>
        <w:t>ZEV</w:t>
      </w:r>
      <w:r>
        <w:rPr>
          <w:rFonts w:ascii="Arial" w:hAnsi="Arial" w:cs="Arial"/>
          <w:sz w:val="24"/>
        </w:rPr>
        <w:tab/>
      </w:r>
      <w:r>
        <w:rPr>
          <w:rFonts w:ascii="Arial" w:hAnsi="Arial" w:cs="Arial"/>
          <w:sz w:val="24"/>
        </w:rPr>
        <w:tab/>
        <w:t>Zero Emission Vehicle</w:t>
      </w:r>
    </w:p>
    <w:p w14:paraId="17FC70A9" w14:textId="50D608DA" w:rsidR="005627D0" w:rsidRDefault="005627D0" w:rsidP="00F57F09"/>
    <w:p w14:paraId="247AD4F4" w14:textId="31B2C20A" w:rsidR="00445118" w:rsidRDefault="00445118"/>
    <w:p w14:paraId="46901987" w14:textId="77777777" w:rsidR="00142FE0" w:rsidRDefault="00142FE0">
      <w:pPr>
        <w:sectPr w:rsidR="00142FE0" w:rsidSect="00BA518D">
          <w:pgSz w:w="12240" w:h="15840"/>
          <w:pgMar w:top="1440" w:right="1440" w:bottom="1440" w:left="1440" w:header="720" w:footer="720" w:gutter="0"/>
          <w:pgNumType w:fmt="lowerRoman"/>
          <w:cols w:space="720"/>
          <w:docGrid w:linePitch="360"/>
        </w:sectPr>
      </w:pPr>
    </w:p>
    <w:p w14:paraId="21C01FE7" w14:textId="0D5705C0" w:rsidR="00624856" w:rsidRDefault="000F75A6" w:rsidP="00A90558">
      <w:pPr>
        <w:pStyle w:val="Heading1"/>
      </w:pPr>
      <w:bookmarkStart w:id="2" w:name="_Toc171518347"/>
      <w:bookmarkStart w:id="3" w:name="_Toc171519300"/>
      <w:bookmarkStart w:id="4" w:name="_Toc193116877"/>
      <w:r>
        <w:lastRenderedPageBreak/>
        <w:t>Legislative Mandate</w:t>
      </w:r>
      <w:bookmarkEnd w:id="2"/>
      <w:bookmarkEnd w:id="3"/>
      <w:bookmarkEnd w:id="4"/>
    </w:p>
    <w:p w14:paraId="34CFE53E" w14:textId="25DF6046" w:rsidR="00D87B65" w:rsidRDefault="00D87B65" w:rsidP="006D7DE6">
      <w:pPr>
        <w:pStyle w:val="BodyTextFirstIndent"/>
      </w:pPr>
      <w:r>
        <w:t xml:space="preserve">The following report is hereby issued pursuant to Chapter </w:t>
      </w:r>
      <w:r w:rsidR="000B27E6">
        <w:t>179</w:t>
      </w:r>
      <w:r>
        <w:t xml:space="preserve"> of the Acts of </w:t>
      </w:r>
      <w:r w:rsidR="00A36AC5">
        <w:t>2022, Section 83</w:t>
      </w:r>
      <w:r>
        <w:t xml:space="preserve"> as follows: </w:t>
      </w:r>
    </w:p>
    <w:p w14:paraId="6224DA2F" w14:textId="77777777" w:rsidR="00DF2B6D" w:rsidRDefault="00DF2B6D" w:rsidP="006D7DE6">
      <w:pPr>
        <w:pStyle w:val="BodyTextFirstIndent"/>
      </w:pPr>
      <w:r>
        <w:t>SECTION 83. (a) The Massachusetts School Building Authority shall conduct an assessment of elementary and secondary school buildings relative to energy efficiency, building conditions, safety, and public health. The assessment shall include cataloging the age and condition of any building systems relying on the on-site combustion of fossil fuels. The assessment shall be conducted in coordination with ongoing assessments or surveys of the authority. The authority shall determine the means of conducting the assessment which may include a representative sample of schools. In planning said assessment, the authority shall consult with the department of public health, the department of elementary and secondary education and the department of energy resources.</w:t>
      </w:r>
    </w:p>
    <w:p w14:paraId="3BFC398B" w14:textId="77578797" w:rsidR="00DF2B6D" w:rsidRDefault="00DF2B6D" w:rsidP="006D7DE6">
      <w:pPr>
        <w:pStyle w:val="BodyTextFirstIndent"/>
      </w:pPr>
      <w:r>
        <w:t xml:space="preserve">Following completion of the assessment, the department of public health, in consultation with the Massachusetts School Building Authority, the department of elementary and secondary education, and the department of energy resources, shall develop, and report on, methods, best practices, and standards for achieving green and healthy schools strategies to for </w:t>
      </w:r>
      <w:r w:rsidR="003050E7">
        <w:t xml:space="preserve">(sic) </w:t>
      </w:r>
      <w:r>
        <w:t>the students of the commonwealth. Methods, best practices, and standards may involve, but shall not be limited to: (i) increasing energy efficiency, increasing electrification, and shifting to fossil-free fuels; (ii) efficiently using resources, including, but not limited to, low flow water fixtures; (iii) improving water and air quality, ventilation, and air circulation systems; (iv) maintaining thermal comfort, humidity, and temperature controls; and (v) taking other actions the department may determine.</w:t>
      </w:r>
    </w:p>
    <w:p w14:paraId="56385399" w14:textId="6A70C021" w:rsidR="00DF2B6D" w:rsidRDefault="01C2BFC8" w:rsidP="006D7DE6">
      <w:pPr>
        <w:pStyle w:val="BodyTextFirstIndent"/>
      </w:pPr>
      <w:r>
        <w:t>The department of public health shall issue a report on the methods, best practices and standards and may include recommendations to prioritize schools with the greatest needs, consider the unique environmental differences of schools located in urban, industrial, rural and other areas facing site challenges, and consider the need to address historic patterns of inequity in education and schools including, but not limited to, patterns of inequity involving students in special education programs. The report shall include a projected cost estimates</w:t>
      </w:r>
      <w:r w:rsidR="70F17E5C">
        <w:t xml:space="preserve"> (sic)</w:t>
      </w:r>
      <w:r>
        <w:t xml:space="preserve"> for implementing its recommendations in a cost-effective manner.</w:t>
      </w:r>
    </w:p>
    <w:p w14:paraId="49EC0712" w14:textId="77777777" w:rsidR="00DF2B6D" w:rsidRDefault="00DF2B6D" w:rsidP="006D7DE6">
      <w:pPr>
        <w:pStyle w:val="BodyTextFirstIndent"/>
      </w:pPr>
      <w:r>
        <w:t>(b)  The report shall be published on the website of the department of public health and submitted to the house and senate committees on ways and means, the joint committee on telecommunications, utilities and energy, the joint committee on public health, and the joint committee on education not later than December 31, 2024.</w:t>
      </w:r>
    </w:p>
    <w:p w14:paraId="46278793" w14:textId="12F2B351" w:rsidR="00D87B65" w:rsidRDefault="00DF2B6D" w:rsidP="006D7DE6">
      <w:pPr>
        <w:pStyle w:val="BodyTextFirstIndent"/>
      </w:pPr>
      <w:r>
        <w:t>(c)  Any findings or recommendations may be used to guide the department of elementary and secondary education in its implementation of item 1599-2055 of section 2A of chapter 102 of the acts of 2021</w:t>
      </w:r>
      <w:r w:rsidR="00F70CFF">
        <w:t>.</w:t>
      </w:r>
    </w:p>
    <w:p w14:paraId="206EEAA4" w14:textId="77777777" w:rsidR="000F75A6" w:rsidRDefault="000F75A6">
      <w:pPr>
        <w:sectPr w:rsidR="000F75A6" w:rsidSect="00F7345F">
          <w:headerReference w:type="even" r:id="rId16"/>
          <w:headerReference w:type="default" r:id="rId17"/>
          <w:headerReference w:type="first" r:id="rId18"/>
          <w:pgSz w:w="12240" w:h="15840"/>
          <w:pgMar w:top="1440" w:right="1440" w:bottom="1440" w:left="1440" w:header="720" w:footer="720" w:gutter="0"/>
          <w:pgNumType w:start="1"/>
          <w:cols w:space="720"/>
          <w:docGrid w:linePitch="360"/>
        </w:sectPr>
      </w:pPr>
    </w:p>
    <w:p w14:paraId="5142B9EE" w14:textId="5D852AA3" w:rsidR="00D23E09" w:rsidRDefault="3449164F" w:rsidP="00A90558">
      <w:pPr>
        <w:pStyle w:val="Heading1"/>
      </w:pPr>
      <w:bookmarkStart w:id="5" w:name="_Toc171518348"/>
      <w:bookmarkStart w:id="6" w:name="_Toc171519301"/>
      <w:bookmarkStart w:id="7" w:name="_Toc193116878"/>
      <w:r>
        <w:lastRenderedPageBreak/>
        <w:t>Executive Summary</w:t>
      </w:r>
      <w:bookmarkEnd w:id="1"/>
      <w:bookmarkEnd w:id="5"/>
      <w:bookmarkEnd w:id="6"/>
      <w:bookmarkEnd w:id="7"/>
    </w:p>
    <w:p w14:paraId="141FDD19" w14:textId="4168D6C2" w:rsidR="00F92B7A" w:rsidRDefault="00604C84" w:rsidP="006D7DE6">
      <w:pPr>
        <w:pStyle w:val="BodyTextFirstIndent"/>
      </w:pPr>
      <w:r>
        <w:t xml:space="preserve">As the oldest </w:t>
      </w:r>
      <w:r w:rsidR="003F111A">
        <w:t>public school system in the United States</w:t>
      </w:r>
      <w:r w:rsidR="00B74FAF">
        <w:t xml:space="preserve">, </w:t>
      </w:r>
      <w:r w:rsidR="00863401">
        <w:t xml:space="preserve">the Commonwealth of </w:t>
      </w:r>
      <w:r w:rsidR="00B74FAF">
        <w:t>Massachusetts has a unique histor</w:t>
      </w:r>
      <w:r w:rsidR="00D21258">
        <w:t>y</w:t>
      </w:r>
      <w:r w:rsidR="00830495">
        <w:t xml:space="preserve"> </w:t>
      </w:r>
      <w:r w:rsidR="003C4AB9">
        <w:t xml:space="preserve">that </w:t>
      </w:r>
      <w:r w:rsidR="000E29A3">
        <w:t xml:space="preserve">helped </w:t>
      </w:r>
      <w:r w:rsidR="003C4AB9">
        <w:t>establish</w:t>
      </w:r>
      <w:r w:rsidR="000E29A3">
        <w:t xml:space="preserve"> </w:t>
      </w:r>
      <w:r w:rsidR="00C06D15" w:rsidRPr="00C06D15">
        <w:t xml:space="preserve">the fundamental basis for </w:t>
      </w:r>
      <w:r w:rsidR="001E5E08">
        <w:t xml:space="preserve">the </w:t>
      </w:r>
      <w:r w:rsidR="00C06D15" w:rsidRPr="00C06D15">
        <w:t xml:space="preserve">current universal public education system across the </w:t>
      </w:r>
      <w:r w:rsidR="001E5E08">
        <w:t>United States</w:t>
      </w:r>
      <w:r w:rsidR="00927A40">
        <w:t>.</w:t>
      </w:r>
      <w:r w:rsidR="001E5E08">
        <w:t xml:space="preserve"> </w:t>
      </w:r>
      <w:r w:rsidR="00830495">
        <w:t>This history is incomplete without also acknowledging the</w:t>
      </w:r>
      <w:r w:rsidR="00B74FAF">
        <w:t xml:space="preserve"> legacy of </w:t>
      </w:r>
      <w:r w:rsidR="00D21258" w:rsidRPr="00D21258">
        <w:t>profound injustices based on race and ethnicity, gender, abilities, faith/spirituality, and more.</w:t>
      </w:r>
      <w:r w:rsidR="004347BB">
        <w:t xml:space="preserve"> </w:t>
      </w:r>
    </w:p>
    <w:p w14:paraId="58B81C59" w14:textId="129D0D62" w:rsidR="00C314F6" w:rsidRDefault="00927A40" w:rsidP="006D7DE6">
      <w:pPr>
        <w:pStyle w:val="BodyTextFirstIndent"/>
      </w:pPr>
      <w:r w:rsidRPr="00927A40">
        <w:t>Chapter 179 of the Acts of 2022, Section 83</w:t>
      </w:r>
      <w:r w:rsidR="004A6546">
        <w:t>,</w:t>
      </w:r>
      <w:r w:rsidR="004347BB">
        <w:t xml:space="preserve"> charged the Massachusetts Department of Public Health</w:t>
      </w:r>
      <w:r w:rsidR="008024BD">
        <w:t xml:space="preserve"> (DPH)</w:t>
      </w:r>
      <w:r w:rsidR="00D21258" w:rsidRPr="00D21258">
        <w:t xml:space="preserve"> </w:t>
      </w:r>
      <w:r w:rsidR="00742347">
        <w:t xml:space="preserve">with identifying </w:t>
      </w:r>
      <w:r w:rsidR="006372FA">
        <w:t>methods, best practices, and standards</w:t>
      </w:r>
      <w:r w:rsidR="00F92B7A">
        <w:t xml:space="preserve"> for achieving green and healthy schools across the Commonwealth.</w:t>
      </w:r>
      <w:r w:rsidR="00DB4C5D">
        <w:t xml:space="preserve"> </w:t>
      </w:r>
      <w:r w:rsidR="00C314F6">
        <w:t>Given its mission and vision</w:t>
      </w:r>
      <w:r w:rsidR="00AC780B">
        <w:t xml:space="preserve"> statement</w:t>
      </w:r>
      <w:r w:rsidR="00C314F6">
        <w:t xml:space="preserve">, DPH </w:t>
      </w:r>
      <w:r w:rsidR="00AC780B">
        <w:t>ha</w:t>
      </w:r>
      <w:r w:rsidR="00AD531F">
        <w:t xml:space="preserve">s </w:t>
      </w:r>
      <w:r w:rsidR="00C314F6">
        <w:t>included a specific focus on equity</w:t>
      </w:r>
      <w:r w:rsidR="00AD531F">
        <w:t xml:space="preserve"> </w:t>
      </w:r>
      <w:r w:rsidR="00CD2A9E">
        <w:t>so</w:t>
      </w:r>
      <w:r w:rsidR="00AD531F">
        <w:t xml:space="preserve"> </w:t>
      </w:r>
      <w:r w:rsidR="004A6546">
        <w:t xml:space="preserve">that </w:t>
      </w:r>
      <w:r w:rsidR="00AD531F">
        <w:t xml:space="preserve">all students </w:t>
      </w:r>
      <w:r w:rsidR="005E3F2C">
        <w:t xml:space="preserve">can access and </w:t>
      </w:r>
      <w:r w:rsidR="00A33319">
        <w:t xml:space="preserve">fully </w:t>
      </w:r>
      <w:r w:rsidR="005E3F2C">
        <w:t xml:space="preserve">appreciate the </w:t>
      </w:r>
      <w:r w:rsidR="00AF39B6">
        <w:t>numerous</w:t>
      </w:r>
      <w:r w:rsidR="007153E9">
        <w:t xml:space="preserve"> and far-reaching</w:t>
      </w:r>
      <w:r w:rsidR="00AF39B6">
        <w:t xml:space="preserve"> benefits associated with green and healthy schools</w:t>
      </w:r>
      <w:r w:rsidR="00E134BE">
        <w:t>—regardless of their race</w:t>
      </w:r>
      <w:r w:rsidR="00BC228A">
        <w:t xml:space="preserve"> and ethnicity,</w:t>
      </w:r>
      <w:r w:rsidR="00E134BE">
        <w:t xml:space="preserve"> gender</w:t>
      </w:r>
      <w:r w:rsidR="00BC228A">
        <w:t>, abilities, faith/spiri</w:t>
      </w:r>
      <w:r w:rsidR="0095685D">
        <w:t xml:space="preserve">tuality, and </w:t>
      </w:r>
      <w:r w:rsidR="002C244E">
        <w:t>family income.</w:t>
      </w:r>
      <w:r w:rsidR="00304096">
        <w:t xml:space="preserve"> </w:t>
      </w:r>
    </w:p>
    <w:p w14:paraId="1FAAA714" w14:textId="3EDB197F" w:rsidR="004A0AF5" w:rsidRDefault="00A4374A" w:rsidP="006D7DE6">
      <w:pPr>
        <w:pStyle w:val="BodyTextFirstIndent"/>
      </w:pPr>
      <w:r w:rsidRPr="00A4374A">
        <w:t xml:space="preserve">DPH developed this report to serve as a resource for individual schools, school districts, municipalities, and others who share a goal of implementing cost-effective strategies that create sustainable, healthy, and equitable learning environments for all students across the Commonwealth. </w:t>
      </w:r>
      <w:r w:rsidR="00107A53" w:rsidRPr="00E1268D">
        <w:t xml:space="preserve">This report outlines strategies to help Massachusetts schools incorporate sustainable design, construction, and operations and provide a healthy learning environment for all students. </w:t>
      </w:r>
      <w:r w:rsidR="00677E0E">
        <w:t xml:space="preserve">One recurring theme throughout the report is </w:t>
      </w:r>
      <w:r w:rsidR="007727DD">
        <w:t>the ability of certain</w:t>
      </w:r>
      <w:r w:rsidR="001405E7">
        <w:t xml:space="preserve"> strategies to produce co-benefits </w:t>
      </w:r>
      <w:r w:rsidR="00E43683">
        <w:t xml:space="preserve">that </w:t>
      </w:r>
      <w:r w:rsidR="001405E7">
        <w:t xml:space="preserve">cut across numerous </w:t>
      </w:r>
      <w:r w:rsidR="00E2347B">
        <w:t xml:space="preserve">objectives. </w:t>
      </w:r>
      <w:r w:rsidR="000C366A">
        <w:t>For example</w:t>
      </w:r>
      <w:r w:rsidR="00E2347B">
        <w:t xml:space="preserve">, the installation and optimization of </w:t>
      </w:r>
      <w:r w:rsidR="00B440BC">
        <w:t>heating, ventilation, and air conditioning</w:t>
      </w:r>
      <w:r w:rsidR="000A4C58">
        <w:t xml:space="preserve"> (HVAC)</w:t>
      </w:r>
      <w:r w:rsidR="00B440BC">
        <w:t xml:space="preserve"> systems</w:t>
      </w:r>
      <w:r w:rsidR="00E468B6">
        <w:t xml:space="preserve"> </w:t>
      </w:r>
      <w:r w:rsidR="00B440BC">
        <w:t>enable</w:t>
      </w:r>
      <w:r w:rsidR="00CC2492">
        <w:t>s</w:t>
      </w:r>
      <w:r w:rsidR="00B440BC">
        <w:t xml:space="preserve"> schools to </w:t>
      </w:r>
      <w:r w:rsidR="00095DB4">
        <w:t>improve energy efficiency</w:t>
      </w:r>
      <w:r w:rsidR="00B5007C">
        <w:t xml:space="preserve">, enhance thermal comfort and </w:t>
      </w:r>
      <w:r w:rsidR="00CC2492">
        <w:t xml:space="preserve">climate </w:t>
      </w:r>
      <w:r w:rsidR="00B5007C">
        <w:t>resilience</w:t>
      </w:r>
      <w:r w:rsidR="002B0601">
        <w:t xml:space="preserve">, and </w:t>
      </w:r>
      <w:r w:rsidR="005224D5">
        <w:t xml:space="preserve">provide </w:t>
      </w:r>
      <w:r w:rsidR="00CC2492">
        <w:t>h</w:t>
      </w:r>
      <w:r w:rsidR="005224D5">
        <w:t>ealth</w:t>
      </w:r>
      <w:r w:rsidR="00CC2492">
        <w:t>ier</w:t>
      </w:r>
      <w:r w:rsidR="005224D5">
        <w:t xml:space="preserve"> learning environments through improved indoor air quality.</w:t>
      </w:r>
      <w:r w:rsidR="007727DD">
        <w:t xml:space="preserve"> </w:t>
      </w:r>
      <w:r w:rsidR="004A0AF5" w:rsidRPr="004A0AF5">
        <w:t xml:space="preserve">Another cross-cutting best practice is to incorporate health equity and environmental justice principles and data into </w:t>
      </w:r>
      <w:r w:rsidR="004A6546" w:rsidRPr="004A0AF5">
        <w:t>decision</w:t>
      </w:r>
      <w:r w:rsidR="00FB3E75">
        <w:t xml:space="preserve"> </w:t>
      </w:r>
      <w:r w:rsidR="004A0AF5" w:rsidRPr="004A0AF5">
        <w:t>making to address disease, race, economic, and environmental burdens in the schools and communities</w:t>
      </w:r>
      <w:r w:rsidR="00482127">
        <w:t>.</w:t>
      </w:r>
    </w:p>
    <w:p w14:paraId="163D006D" w14:textId="1B923502" w:rsidR="00BF29AF" w:rsidRDefault="00107A53" w:rsidP="006D7DE6">
      <w:pPr>
        <w:pStyle w:val="BodyTextFirstIndent"/>
      </w:pPr>
      <w:r w:rsidRPr="00E1268D">
        <w:t xml:space="preserve">Implementing the strategies </w:t>
      </w:r>
      <w:r w:rsidR="008F7724">
        <w:t xml:space="preserve">in this report </w:t>
      </w:r>
      <w:r w:rsidRPr="00E1268D">
        <w:t xml:space="preserve">requires </w:t>
      </w:r>
      <w:r w:rsidR="008F7724">
        <w:t xml:space="preserve">both </w:t>
      </w:r>
      <w:r w:rsidRPr="00E1268D">
        <w:t xml:space="preserve">financial and human resources. While many can be implemented at </w:t>
      </w:r>
      <w:r w:rsidR="008F7724">
        <w:t xml:space="preserve">relatively </w:t>
      </w:r>
      <w:r w:rsidRPr="00E1268D">
        <w:t xml:space="preserve">low cost, others </w:t>
      </w:r>
      <w:r w:rsidR="004A6546">
        <w:t xml:space="preserve">would </w:t>
      </w:r>
      <w:r w:rsidRPr="00E1268D">
        <w:t>require large capital improvement projects</w:t>
      </w:r>
      <w:r>
        <w:t xml:space="preserve"> </w:t>
      </w:r>
      <w:r w:rsidRPr="00E1268D">
        <w:t>and significant funding and human resources to champion, initiate, plan, and manage</w:t>
      </w:r>
      <w:r w:rsidR="001E6BA8">
        <w:t>.</w:t>
      </w:r>
      <w:r w:rsidR="00541BF4">
        <w:t xml:space="preserve"> </w:t>
      </w:r>
      <w:r w:rsidR="00BF29AF" w:rsidRPr="00BF29AF">
        <w:t>School districts could use additional resources for items such as professional environmental building assessments and capital improvement projects for HVAC systems, workforce training, technical assistance to prepare grant applications or develop Statements of Interest for Massachusetts School Building Authority funding, hazard removal, building envelope/window repairs, vehicle electrification, and other building energy efficiency improvements. Similarly, cities and towns may benefit from outdoor air quality monitoring to determine how to improve indoor air quality in schools and</w:t>
      </w:r>
      <w:r w:rsidR="004A6546">
        <w:t>, consequently,</w:t>
      </w:r>
      <w:r w:rsidR="00BF29AF" w:rsidRPr="00BF29AF">
        <w:t xml:space="preserve"> the health of staff and students in those buildings</w:t>
      </w:r>
      <w:r w:rsidR="00BF29AF">
        <w:t>.</w:t>
      </w:r>
    </w:p>
    <w:p w14:paraId="49DCE6B7" w14:textId="77777777" w:rsidR="00961E24" w:rsidRDefault="00961E24" w:rsidP="006D7DE6">
      <w:pPr>
        <w:pStyle w:val="BodyTextFirstIndent"/>
        <w:sectPr w:rsidR="00961E24" w:rsidSect="00F7345F">
          <w:pgSz w:w="12240" w:h="15840"/>
          <w:pgMar w:top="1440" w:right="1440" w:bottom="1440" w:left="1440" w:header="720" w:footer="720" w:gutter="0"/>
          <w:cols w:space="720"/>
          <w:docGrid w:linePitch="360"/>
        </w:sectPr>
      </w:pPr>
    </w:p>
    <w:p w14:paraId="6EA1FF29" w14:textId="059744F5" w:rsidR="008F6CE0" w:rsidRDefault="000F789A" w:rsidP="00A90558">
      <w:pPr>
        <w:pStyle w:val="Heading1"/>
      </w:pPr>
      <w:bookmarkStart w:id="8" w:name="Introduction"/>
      <w:bookmarkStart w:id="9" w:name="_Toc44305314"/>
      <w:bookmarkStart w:id="10" w:name="_Toc171518352"/>
      <w:bookmarkStart w:id="11" w:name="_Toc171519305"/>
      <w:bookmarkStart w:id="12" w:name="_Toc193116879"/>
      <w:bookmarkEnd w:id="8"/>
      <w:r>
        <w:lastRenderedPageBreak/>
        <w:t xml:space="preserve">I. </w:t>
      </w:r>
      <w:r w:rsidR="003E681F">
        <w:t>I</w:t>
      </w:r>
      <w:r w:rsidR="005717D1">
        <w:t>ntroduction</w:t>
      </w:r>
      <w:bookmarkEnd w:id="9"/>
      <w:bookmarkEnd w:id="10"/>
      <w:bookmarkEnd w:id="11"/>
      <w:bookmarkEnd w:id="12"/>
    </w:p>
    <w:p w14:paraId="7367F23A" w14:textId="7E6059E6" w:rsidR="00483C8E" w:rsidRDefault="00483C8E" w:rsidP="001C7888">
      <w:pPr>
        <w:pStyle w:val="Heading2"/>
      </w:pPr>
      <w:bookmarkStart w:id="13" w:name="_Toc193116880"/>
      <w:bookmarkStart w:id="14" w:name="_Toc171518353"/>
      <w:bookmarkStart w:id="15" w:name="_Toc171519306"/>
      <w:r>
        <w:t>Massachusetts Department of Public Health – Our Mission and Vision</w:t>
      </w:r>
      <w:bookmarkEnd w:id="13"/>
    </w:p>
    <w:p w14:paraId="6E6E968C" w14:textId="57C607C6" w:rsidR="004933CC" w:rsidRDefault="004933CC" w:rsidP="006D7DE6">
      <w:pPr>
        <w:pStyle w:val="BodyTextFirstIndent"/>
      </w:pPr>
      <w:r>
        <w:t>The mission of the Massachusetts Department of Public Health (DPH) is to promote and protect health and wellness and prevent injury and illness for all people</w:t>
      </w:r>
      <w:r w:rsidR="00803DD8">
        <w:t xml:space="preserve">. DPH prioritizes </w:t>
      </w:r>
      <w:r>
        <w:t>racial equity in health by improving equitable access to quality public health and health care services and partnering with communities most impacted by health inequities and structural racism.</w:t>
      </w:r>
      <w:r w:rsidR="00420CE0">
        <w:fldChar w:fldCharType="begin"/>
      </w:r>
      <w:r w:rsidR="0078099A">
        <w:instrText xml:space="preserve"> ADDIN ZOTERO_ITEM CSL_CITATION {"citationID":"a10m9ro7pe","properties":{"formattedCitation":"\\super 1\\nosupersub{}","plainCitation":"1","noteIndex":0},"citationItems":[{"id":1059,"uris":["http://zotero.org/groups/5563646/items/JRZ5MDZ5"],"itemData":{"id":1059,"type":"webpage","abstract":"Learn about the Department of Public Health (DPH) mission and vision, strategic priorities, and organizational structure.","language":"en","title":"About the Department of Public Health","URL":"https://www.mass.gov/info-details/about-the-department-of-public-health","author":[{"family":"Massachusetts Department of Public Health","given":""}],"accessed":{"date-parts":[["2024",8,8]]}}}],"schema":"https://github.com/citation-style-language/schema/raw/master/csl-citation.json"} </w:instrText>
      </w:r>
      <w:r w:rsidR="00420CE0">
        <w:fldChar w:fldCharType="separate"/>
      </w:r>
      <w:r w:rsidR="0043305C" w:rsidRPr="0043305C">
        <w:rPr>
          <w:rFonts w:cs="Arial"/>
          <w:vertAlign w:val="superscript"/>
        </w:rPr>
        <w:t>1</w:t>
      </w:r>
      <w:r w:rsidR="00420CE0">
        <w:fldChar w:fldCharType="end"/>
      </w:r>
      <w:r>
        <w:t xml:space="preserve"> </w:t>
      </w:r>
    </w:p>
    <w:p w14:paraId="32FD8ABC" w14:textId="7B71804C" w:rsidR="004D70C2" w:rsidRDefault="004933CC" w:rsidP="006D7DE6">
      <w:pPr>
        <w:pStyle w:val="BodyTextFirstIndent"/>
      </w:pPr>
      <w:r>
        <w:t>DPH envisions a Commonwealth with an equitable and just public health system that supports optimal well-being for all people in Massachusetts, centering those with systemically and culturally oppressed identities and circumstances</w:t>
      </w:r>
      <w:r w:rsidR="004D0888">
        <w:t>.</w:t>
      </w:r>
    </w:p>
    <w:p w14:paraId="402056D5" w14:textId="5C39DDC4" w:rsidR="00483C8E" w:rsidRPr="00483C8E" w:rsidRDefault="004D70C2" w:rsidP="006D7DE6">
      <w:pPr>
        <w:pStyle w:val="BodyTextFirstIndent"/>
      </w:pPr>
      <w:r w:rsidRPr="004D70C2">
        <w:rPr>
          <w:noProof/>
        </w:rPr>
        <w:t xml:space="preserve"> </w:t>
      </w:r>
      <w:r>
        <w:rPr>
          <w:noProof/>
        </w:rPr>
        <mc:AlternateContent>
          <mc:Choice Requires="wps">
            <w:drawing>
              <wp:inline distT="0" distB="0" distL="0" distR="0" wp14:anchorId="4D1CD66C" wp14:editId="59323BEC">
                <wp:extent cx="5955527" cy="3692106"/>
                <wp:effectExtent l="0" t="0" r="26670" b="22860"/>
                <wp:docPr id="1092115372" name="Text Box 2"/>
                <wp:cNvGraphicFramePr/>
                <a:graphic xmlns:a="http://schemas.openxmlformats.org/drawingml/2006/main">
                  <a:graphicData uri="http://schemas.microsoft.com/office/word/2010/wordprocessingShape">
                    <wps:wsp>
                      <wps:cNvSpPr txBox="1"/>
                      <wps:spPr bwMode="auto">
                        <a:xfrm>
                          <a:off x="0" y="0"/>
                          <a:ext cx="5955527" cy="3692106"/>
                        </a:xfrm>
                        <a:prstGeom prst="rect">
                          <a:avLst/>
                        </a:prstGeom>
                        <a:solidFill>
                          <a:schemeClr val="accent1">
                            <a:lumMod val="20000"/>
                            <a:lumOff val="80000"/>
                          </a:schemeClr>
                        </a:solidFill>
                        <a:ln w="9525">
                          <a:solidFill>
                            <a:schemeClr val="tx1"/>
                          </a:solidFill>
                          <a:miter lim="800000"/>
                          <a:headEnd/>
                          <a:tailEnd/>
                        </a:ln>
                      </wps:spPr>
                      <wps:txbx>
                        <w:txbxContent>
                          <w:p w14:paraId="2A7C708D" w14:textId="77777777" w:rsidR="004D70C2" w:rsidRDefault="004D70C2" w:rsidP="004D70C2">
                            <w:pPr>
                              <w:pStyle w:val="TextBoxTitle"/>
                            </w:pPr>
                            <w:r>
                              <w:t>DPH Resources for Schools</w:t>
                            </w:r>
                          </w:p>
                          <w:p w14:paraId="02F68E4B" w14:textId="7456D13D" w:rsidR="004D70C2" w:rsidRDefault="004D70C2" w:rsidP="004D70C2">
                            <w:pPr>
                              <w:pStyle w:val="TextBoxText"/>
                            </w:pPr>
                            <w:r>
                              <w:t xml:space="preserve">DPH </w:t>
                            </w:r>
                            <w:r w:rsidR="00E364CE">
                              <w:t>has subject matter</w:t>
                            </w:r>
                            <w:r w:rsidR="009E7F7D">
                              <w:t xml:space="preserve"> and </w:t>
                            </w:r>
                            <w:r>
                              <w:t xml:space="preserve">inspectional </w:t>
                            </w:r>
                            <w:r w:rsidR="009E7F7D">
                              <w:t>expertise as well as data resources for</w:t>
                            </w:r>
                            <w:r>
                              <w:t xml:space="preserve"> numerous topic areas covered in this report, including indoor air quality, lead, and radon. DPH </w:t>
                            </w:r>
                            <w:r w:rsidR="00E12FEA">
                              <w:t xml:space="preserve">manages and maintains </w:t>
                            </w:r>
                            <w:r>
                              <w:t>numerous programs and resources to ensure and promote healthy learning environments across the Commonwealth, including the following</w:t>
                            </w:r>
                            <w:r w:rsidR="00696600">
                              <w:t>:</w:t>
                            </w:r>
                          </w:p>
                          <w:p w14:paraId="4651C521" w14:textId="0EB0E1BA" w:rsidR="00356EE7" w:rsidRDefault="00356EE7" w:rsidP="00696600">
                            <w:pPr>
                              <w:pStyle w:val="TextBoxBullet"/>
                            </w:pPr>
                            <w:hyperlink r:id="rId19" w:history="1">
                              <w:r w:rsidRPr="00356EE7">
                                <w:rPr>
                                  <w:rStyle w:val="Hyperlink"/>
                                </w:rPr>
                                <w:t>2022–2026 Strategic Plan for Asthma in Massachusetts</w:t>
                              </w:r>
                            </w:hyperlink>
                          </w:p>
                          <w:p w14:paraId="08CCE821" w14:textId="307CFF10" w:rsidR="00C51733" w:rsidRDefault="00C51733" w:rsidP="00696600">
                            <w:pPr>
                              <w:pStyle w:val="TextBoxBullet"/>
                            </w:pPr>
                            <w:hyperlink r:id="rId20" w:history="1">
                              <w:r w:rsidRPr="00890989">
                                <w:rPr>
                                  <w:rStyle w:val="Hyperlink"/>
                                </w:rPr>
                                <w:t>Asthma Prevention and Control Program</w:t>
                              </w:r>
                            </w:hyperlink>
                          </w:p>
                          <w:p w14:paraId="04FDA14A" w14:textId="5547DDBA" w:rsidR="00D253B7" w:rsidRDefault="00D253B7" w:rsidP="00696600">
                            <w:pPr>
                              <w:pStyle w:val="TextBoxBullet"/>
                            </w:pPr>
                            <w:hyperlink r:id="rId21" w:history="1">
                              <w:r w:rsidRPr="00D253B7">
                                <w:rPr>
                                  <w:rStyle w:val="Hyperlink"/>
                                </w:rPr>
                                <w:t>Childhood Lead Poisoning Prevention Program</w:t>
                              </w:r>
                            </w:hyperlink>
                          </w:p>
                          <w:p w14:paraId="36DB9DC8" w14:textId="1C94C649" w:rsidR="004958DF" w:rsidRDefault="004958DF" w:rsidP="00696600">
                            <w:pPr>
                              <w:pStyle w:val="TextBoxBullet"/>
                            </w:pPr>
                            <w:hyperlink r:id="rId22" w:history="1">
                              <w:r w:rsidRPr="004958DF">
                                <w:rPr>
                                  <w:rStyle w:val="Hyperlink"/>
                                </w:rPr>
                                <w:t>Environmental Toxicology Program</w:t>
                              </w:r>
                            </w:hyperlink>
                          </w:p>
                          <w:p w14:paraId="4CAD96D3" w14:textId="6FD09C0E" w:rsidR="00083261" w:rsidRDefault="00083261" w:rsidP="00696600">
                            <w:pPr>
                              <w:pStyle w:val="TextBoxBullet"/>
                            </w:pPr>
                            <w:hyperlink r:id="rId23" w:history="1">
                              <w:r w:rsidRPr="00083261">
                                <w:rPr>
                                  <w:rStyle w:val="Hyperlink"/>
                                </w:rPr>
                                <w:t>Food Protection Program</w:t>
                              </w:r>
                            </w:hyperlink>
                          </w:p>
                          <w:p w14:paraId="5D954594" w14:textId="5750C396" w:rsidR="00952E07" w:rsidRDefault="00952E07" w:rsidP="00696600">
                            <w:pPr>
                              <w:pStyle w:val="TextBoxBullet"/>
                            </w:pPr>
                            <w:hyperlink r:id="rId24" w:history="1">
                              <w:r w:rsidRPr="00952E07">
                                <w:rPr>
                                  <w:rStyle w:val="Hyperlink"/>
                                </w:rPr>
                                <w:t>Indoor Air Quality Program</w:t>
                              </w:r>
                            </w:hyperlink>
                          </w:p>
                          <w:p w14:paraId="0C046023" w14:textId="02B74A64" w:rsidR="00D253B7" w:rsidRDefault="00D253B7" w:rsidP="00696600">
                            <w:pPr>
                              <w:pStyle w:val="TextBoxBullet"/>
                            </w:pPr>
                            <w:hyperlink r:id="rId25" w:history="1">
                              <w:r w:rsidRPr="004F2ABC">
                                <w:rPr>
                                  <w:rStyle w:val="Hyperlink"/>
                                </w:rPr>
                                <w:t>Occupational Health Surveillance Program</w:t>
                              </w:r>
                            </w:hyperlink>
                          </w:p>
                          <w:p w14:paraId="40687C3F" w14:textId="3358BA51" w:rsidR="001A62BA" w:rsidRDefault="001A62BA" w:rsidP="001A62BA">
                            <w:pPr>
                              <w:pStyle w:val="TextBoxBullet"/>
                            </w:pPr>
                            <w:hyperlink r:id="rId26" w:history="1">
                              <w:r w:rsidRPr="00C51020">
                                <w:rPr>
                                  <w:rStyle w:val="Hyperlink"/>
                                </w:rPr>
                                <w:t>Massachusetts Environmental Public Health Tracking Tool</w:t>
                              </w:r>
                            </w:hyperlink>
                          </w:p>
                          <w:p w14:paraId="7F241521" w14:textId="0F4F65AA" w:rsidR="001A62BA" w:rsidRDefault="00A37346" w:rsidP="001A62BA">
                            <w:pPr>
                              <w:pStyle w:val="TextBoxBullet"/>
                            </w:pPr>
                            <w:hyperlink r:id="rId27" w:history="1">
                              <w:r w:rsidRPr="00A37346">
                                <w:rPr>
                                  <w:rStyle w:val="Hyperlink"/>
                                </w:rPr>
                                <w:t>Population Health Information</w:t>
                              </w:r>
                              <w:r w:rsidR="001A62BA" w:rsidRPr="00A37346">
                                <w:rPr>
                                  <w:rStyle w:val="Hyperlink"/>
                                </w:rPr>
                                <w:t xml:space="preserve"> Tool</w:t>
                              </w:r>
                            </w:hyperlink>
                          </w:p>
                          <w:p w14:paraId="6C28A97A" w14:textId="2461362F" w:rsidR="004F2ABC" w:rsidRDefault="00696600" w:rsidP="001A62BA">
                            <w:pPr>
                              <w:pStyle w:val="TextBoxBullet"/>
                            </w:pPr>
                            <w:hyperlink r:id="rId28" w:history="1">
                              <w:r w:rsidRPr="00890989">
                                <w:rPr>
                                  <w:rStyle w:val="Hyperlink"/>
                                </w:rPr>
                                <w:t>School Health Services</w:t>
                              </w:r>
                            </w:hyperlink>
                          </w:p>
                          <w:p w14:paraId="62267B40" w14:textId="77777777" w:rsidR="00356EE7" w:rsidRDefault="00356EE7" w:rsidP="00356EE7">
                            <w:pPr>
                              <w:pStyle w:val="TextBoxText"/>
                            </w:pPr>
                          </w:p>
                          <w:p w14:paraId="093FA9D2" w14:textId="0DA9B9DF" w:rsidR="00356EE7" w:rsidRPr="00EC5C42" w:rsidRDefault="00356EE7" w:rsidP="00356EE7">
                            <w:pPr>
                              <w:pStyle w:val="TextBoxText"/>
                            </w:pPr>
                            <w:r>
                              <w:t xml:space="preserve">Many of these programs and resources are </w:t>
                            </w:r>
                            <w:r w:rsidR="007915C0">
                              <w:t>discussed in greater detail in subsequent sections of this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1CD66C" id="Text Box 2" o:spid="_x0000_s1027" type="#_x0000_t202" style="width:468.95pt;height:2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" fillcolor="#dbe5f1 [660]" strokecolor="black [3213]">
                <v:textbox>
                  <w:txbxContent>
                    <w:p w14:paraId="2A7C708D" w14:textId="77777777" w:rsidR="004D70C2" w:rsidRDefault="004D70C2" w:rsidP="004D70C2">
                      <w:pPr>
                        <w:pStyle w:val="TextBoxTitle"/>
                      </w:pPr>
                      <w:r>
                        <w:t>DPH Resources for Schools</w:t>
                      </w:r>
                    </w:p>
                    <w:p w14:paraId="02F68E4B" w14:textId="7456D13D" w:rsidR="004D70C2" w:rsidRDefault="004D70C2" w:rsidP="004D70C2">
                      <w:pPr>
                        <w:pStyle w:val="TextBoxText"/>
                      </w:pPr>
                      <w:r>
                        <w:t xml:space="preserve">DPH </w:t>
                      </w:r>
                      <w:r w:rsidR="00E364CE">
                        <w:t>has subject matter</w:t>
                      </w:r>
                      <w:r w:rsidR="009E7F7D">
                        <w:t xml:space="preserve"> and </w:t>
                      </w:r>
                      <w:r>
                        <w:t xml:space="preserve">inspectional </w:t>
                      </w:r>
                      <w:r w:rsidR="009E7F7D">
                        <w:t>expertise as well as data resources for</w:t>
                      </w:r>
                      <w:r>
                        <w:t xml:space="preserve"> numerous topic areas covered in this report, including indoor air quality, lead, and radon. DPH </w:t>
                      </w:r>
                      <w:r w:rsidR="00E12FEA">
                        <w:t xml:space="preserve">manages and maintains </w:t>
                      </w:r>
                      <w:r>
                        <w:t>numerous programs and resources to ensure and promote healthy learning environments across the Commonwealth, including the following</w:t>
                      </w:r>
                      <w:r w:rsidR="00696600">
                        <w:t>:</w:t>
                      </w:r>
                    </w:p>
                    <w:p w14:paraId="4651C521" w14:textId="0EB0E1BA" w:rsidR="00356EE7" w:rsidRDefault="00356EE7" w:rsidP="00696600">
                      <w:pPr>
                        <w:pStyle w:val="TextBoxBullet"/>
                      </w:pPr>
                      <w:hyperlink r:id="rId29" w:history="1">
                        <w:r w:rsidRPr="00356EE7">
                          <w:rPr>
                            <w:rStyle w:val="Hyperlink"/>
                          </w:rPr>
                          <w:t>2022–2026 Strategic Plan for Asthma in Massachusetts</w:t>
                        </w:r>
                      </w:hyperlink>
                    </w:p>
                    <w:p w14:paraId="08CCE821" w14:textId="307CFF10" w:rsidR="00C51733" w:rsidRDefault="00C51733" w:rsidP="00696600">
                      <w:pPr>
                        <w:pStyle w:val="TextBoxBullet"/>
                      </w:pPr>
                      <w:hyperlink r:id="rId30" w:history="1">
                        <w:r w:rsidRPr="00890989">
                          <w:rPr>
                            <w:rStyle w:val="Hyperlink"/>
                          </w:rPr>
                          <w:t>Asthma Prevention and Control Program</w:t>
                        </w:r>
                      </w:hyperlink>
                    </w:p>
                    <w:p w14:paraId="04FDA14A" w14:textId="5547DDBA" w:rsidR="00D253B7" w:rsidRDefault="00D253B7" w:rsidP="00696600">
                      <w:pPr>
                        <w:pStyle w:val="TextBoxBullet"/>
                      </w:pPr>
                      <w:hyperlink r:id="rId31" w:history="1">
                        <w:r w:rsidRPr="00D253B7">
                          <w:rPr>
                            <w:rStyle w:val="Hyperlink"/>
                          </w:rPr>
                          <w:t>Childhood Lead Poisoning Prevention Program</w:t>
                        </w:r>
                      </w:hyperlink>
                    </w:p>
                    <w:p w14:paraId="36DB9DC8" w14:textId="1C94C649" w:rsidR="004958DF" w:rsidRDefault="004958DF" w:rsidP="00696600">
                      <w:pPr>
                        <w:pStyle w:val="TextBoxBullet"/>
                      </w:pPr>
                      <w:hyperlink r:id="rId32" w:history="1">
                        <w:r w:rsidRPr="004958DF">
                          <w:rPr>
                            <w:rStyle w:val="Hyperlink"/>
                          </w:rPr>
                          <w:t>Environmental Toxicology Program</w:t>
                        </w:r>
                      </w:hyperlink>
                    </w:p>
                    <w:p w14:paraId="4CAD96D3" w14:textId="6FD09C0E" w:rsidR="00083261" w:rsidRDefault="00083261" w:rsidP="00696600">
                      <w:pPr>
                        <w:pStyle w:val="TextBoxBullet"/>
                      </w:pPr>
                      <w:hyperlink r:id="rId33" w:history="1">
                        <w:r w:rsidRPr="00083261">
                          <w:rPr>
                            <w:rStyle w:val="Hyperlink"/>
                          </w:rPr>
                          <w:t>Food Protection Program</w:t>
                        </w:r>
                      </w:hyperlink>
                    </w:p>
                    <w:p w14:paraId="5D954594" w14:textId="5750C396" w:rsidR="00952E07" w:rsidRDefault="00952E07" w:rsidP="00696600">
                      <w:pPr>
                        <w:pStyle w:val="TextBoxBullet"/>
                      </w:pPr>
                      <w:hyperlink r:id="rId34" w:history="1">
                        <w:r w:rsidRPr="00952E07">
                          <w:rPr>
                            <w:rStyle w:val="Hyperlink"/>
                          </w:rPr>
                          <w:t>Indoor Air Quality Program</w:t>
                        </w:r>
                      </w:hyperlink>
                    </w:p>
                    <w:p w14:paraId="0C046023" w14:textId="02B74A64" w:rsidR="00D253B7" w:rsidRDefault="00D253B7" w:rsidP="00696600">
                      <w:pPr>
                        <w:pStyle w:val="TextBoxBullet"/>
                      </w:pPr>
                      <w:hyperlink r:id="rId35" w:history="1">
                        <w:r w:rsidRPr="004F2ABC">
                          <w:rPr>
                            <w:rStyle w:val="Hyperlink"/>
                          </w:rPr>
                          <w:t>Occupational Health Surveillance Program</w:t>
                        </w:r>
                      </w:hyperlink>
                    </w:p>
                    <w:p w14:paraId="40687C3F" w14:textId="3358BA51" w:rsidR="001A62BA" w:rsidRDefault="001A62BA" w:rsidP="001A62BA">
                      <w:pPr>
                        <w:pStyle w:val="TextBoxBullet"/>
                      </w:pPr>
                      <w:hyperlink r:id="rId36" w:history="1">
                        <w:r w:rsidRPr="00C51020">
                          <w:rPr>
                            <w:rStyle w:val="Hyperlink"/>
                          </w:rPr>
                          <w:t>Massachusetts Environmental Public Health Tracking Tool</w:t>
                        </w:r>
                      </w:hyperlink>
                    </w:p>
                    <w:p w14:paraId="7F241521" w14:textId="0F4F65AA" w:rsidR="001A62BA" w:rsidRDefault="00A37346" w:rsidP="001A62BA">
                      <w:pPr>
                        <w:pStyle w:val="TextBoxBullet"/>
                      </w:pPr>
                      <w:hyperlink r:id="rId37" w:history="1">
                        <w:r w:rsidRPr="00A37346">
                          <w:rPr>
                            <w:rStyle w:val="Hyperlink"/>
                          </w:rPr>
                          <w:t>Population Health Information</w:t>
                        </w:r>
                        <w:r w:rsidR="001A62BA" w:rsidRPr="00A37346">
                          <w:rPr>
                            <w:rStyle w:val="Hyperlink"/>
                          </w:rPr>
                          <w:t xml:space="preserve"> Tool</w:t>
                        </w:r>
                      </w:hyperlink>
                    </w:p>
                    <w:p w14:paraId="6C28A97A" w14:textId="2461362F" w:rsidR="004F2ABC" w:rsidRDefault="00696600" w:rsidP="001A62BA">
                      <w:pPr>
                        <w:pStyle w:val="TextBoxBullet"/>
                      </w:pPr>
                      <w:hyperlink r:id="rId38" w:history="1">
                        <w:r w:rsidRPr="00890989">
                          <w:rPr>
                            <w:rStyle w:val="Hyperlink"/>
                          </w:rPr>
                          <w:t>School Health Services</w:t>
                        </w:r>
                      </w:hyperlink>
                    </w:p>
                    <w:p w14:paraId="62267B40" w14:textId="77777777" w:rsidR="00356EE7" w:rsidRDefault="00356EE7" w:rsidP="00356EE7">
                      <w:pPr>
                        <w:pStyle w:val="TextBoxText"/>
                      </w:pPr>
                    </w:p>
                    <w:p w14:paraId="093FA9D2" w14:textId="0DA9B9DF" w:rsidR="00356EE7" w:rsidRPr="00EC5C42" w:rsidRDefault="00356EE7" w:rsidP="00356EE7">
                      <w:pPr>
                        <w:pStyle w:val="TextBoxText"/>
                      </w:pPr>
                      <w:r>
                        <w:t xml:space="preserve">Many of these programs and resources are </w:t>
                      </w:r>
                      <w:r w:rsidR="007915C0">
                        <w:t>discussed in greater detail in subsequent sections of this report.</w:t>
                      </w:r>
                    </w:p>
                  </w:txbxContent>
                </v:textbox>
                <w10:anchorlock/>
              </v:shape>
            </w:pict>
          </mc:Fallback>
        </mc:AlternateContent>
      </w:r>
    </w:p>
    <w:p w14:paraId="3A7A49FD" w14:textId="243173EC" w:rsidR="00CB524A" w:rsidRDefault="00CB524A" w:rsidP="001C7888">
      <w:pPr>
        <w:pStyle w:val="Heading2"/>
      </w:pPr>
      <w:bookmarkStart w:id="16" w:name="Structural_Rac"/>
      <w:bookmarkStart w:id="17" w:name="_Toc193116881"/>
      <w:r>
        <w:lastRenderedPageBreak/>
        <w:t>Addressing Structural Racism</w:t>
      </w:r>
      <w:bookmarkEnd w:id="16"/>
      <w:bookmarkEnd w:id="17"/>
    </w:p>
    <w:p w14:paraId="0075465B" w14:textId="7A1A9E06" w:rsidR="00CB524A" w:rsidRDefault="00771E57" w:rsidP="006D7DE6">
      <w:pPr>
        <w:pStyle w:val="BodyTextFirstIndent"/>
      </w:pPr>
      <w:r>
        <w:rPr>
          <w:noProof/>
        </w:rPr>
        <mc:AlternateContent>
          <mc:Choice Requires="wps">
            <w:drawing>
              <wp:anchor distT="0" distB="0" distL="114300" distR="114300" simplePos="0" relativeHeight="251713024" behindDoc="0" locked="0" layoutInCell="1" allowOverlap="1" wp14:anchorId="2E18C390" wp14:editId="745124B3">
                <wp:simplePos x="0" y="0"/>
                <wp:positionH relativeFrom="margin">
                  <wp:align>left</wp:align>
                </wp:positionH>
                <wp:positionV relativeFrom="paragraph">
                  <wp:posOffset>2295718</wp:posOffset>
                </wp:positionV>
                <wp:extent cx="3689350" cy="3204210"/>
                <wp:effectExtent l="0" t="0" r="25400" b="15240"/>
                <wp:wrapSquare wrapText="bothSides"/>
                <wp:docPr id="1884838180" name="Text Box 2"/>
                <wp:cNvGraphicFramePr/>
                <a:graphic xmlns:a="http://schemas.openxmlformats.org/drawingml/2006/main">
                  <a:graphicData uri="http://schemas.microsoft.com/office/word/2010/wordprocessingShape">
                    <wps:wsp>
                      <wps:cNvSpPr txBox="1"/>
                      <wps:spPr bwMode="auto">
                        <a:xfrm>
                          <a:off x="0" y="0"/>
                          <a:ext cx="3689350" cy="3204210"/>
                        </a:xfrm>
                        <a:prstGeom prst="rect">
                          <a:avLst/>
                        </a:prstGeom>
                        <a:solidFill>
                          <a:schemeClr val="accent1">
                            <a:lumMod val="20000"/>
                            <a:lumOff val="80000"/>
                          </a:schemeClr>
                        </a:solidFill>
                        <a:ln w="9525">
                          <a:solidFill>
                            <a:schemeClr val="tx1"/>
                          </a:solidFill>
                          <a:miter lim="800000"/>
                          <a:headEnd/>
                          <a:tailEnd/>
                        </a:ln>
                      </wps:spPr>
                      <wps:txbx>
                        <w:txbxContent>
                          <w:p w14:paraId="54741684" w14:textId="77777777" w:rsidR="00CB524A" w:rsidRDefault="00CB524A" w:rsidP="00CB524A">
                            <w:pPr>
                              <w:pStyle w:val="TextBoxTitle"/>
                            </w:pPr>
                            <w:r>
                              <w:t>Systemic Racism Exacerbates Climate Impacts on Human Health</w:t>
                            </w:r>
                          </w:p>
                          <w:p w14:paraId="04909A40" w14:textId="12F03DC7" w:rsidR="00CB524A" w:rsidRPr="00303DA4" w:rsidRDefault="00CB524A" w:rsidP="00CB524A">
                            <w:pPr>
                              <w:pStyle w:val="TextBoxText"/>
                            </w:pPr>
                            <w:r>
                              <w:t xml:space="preserve">Established by Congress in 1990, the U.S. Global Change Research Program (USGCRP) coordinates federal research to increase our understanding of and inform our responses to global environmental change. USGCRP is mandated to produce and deliver to Congress and the President a National Climate Assessment not less frequently than every four years. In the </w:t>
                            </w:r>
                            <w:hyperlink r:id="rId39" w:history="1">
                              <w:r w:rsidRPr="004C2737">
                                <w:rPr>
                                  <w:rStyle w:val="Hyperlink"/>
                                </w:rPr>
                                <w:t>Human Health Chapter of the Fifth National Climate Assessment</w:t>
                              </w:r>
                            </w:hyperlink>
                            <w:r>
                              <w:t xml:space="preserve">, USGCRP concluded that the impacts from climate change “disproportionally harm communities and people who have been marginalized,” and “structural racism and discrimination against groups that have been marginalized play a direct role in health inequities and are public health crises.”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18C390" id="_x0000_s1028" type="#_x0000_t202" style="position:absolute;margin-left:0;margin-top:180.75pt;width:290.5pt;height:252.3pt;z-index:25171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" fillcolor="#dbe5f1 [660]" strokecolor="black [3213]">
                <v:textbox>
                  <w:txbxContent>
                    <w:p w14:paraId="54741684" w14:textId="77777777" w:rsidR="00CB524A" w:rsidRDefault="00CB524A" w:rsidP="00CB524A">
                      <w:pPr>
                        <w:pStyle w:val="TextBoxTitle"/>
                      </w:pPr>
                      <w:r>
                        <w:t>Systemic Racism Exacerbates Climate Impacts on Human Health</w:t>
                      </w:r>
                    </w:p>
                    <w:p w14:paraId="04909A40" w14:textId="12F03DC7" w:rsidR="00CB524A" w:rsidRPr="00303DA4" w:rsidRDefault="00CB524A" w:rsidP="00CB524A">
                      <w:pPr>
                        <w:pStyle w:val="TextBoxText"/>
                      </w:pPr>
                      <w:r>
                        <w:t xml:space="preserve">Established by Congress in 1990, the U.S. Global Change Research Program (USGCRP) coordinates federal research to increase our understanding of and inform our responses to global environmental change. USGCRP is mandated to produce and deliver to Congress and the President a National Climate Assessment not less frequently than every four years. In the </w:t>
                      </w:r>
                      <w:hyperlink r:id="rId40" w:history="1">
                        <w:r w:rsidRPr="004C2737">
                          <w:rPr>
                            <w:rStyle w:val="Hyperlink"/>
                          </w:rPr>
                          <w:t>Human Health Chapter of the Fifth National Climate Assessment</w:t>
                        </w:r>
                      </w:hyperlink>
                      <w:r>
                        <w:t xml:space="preserve">, USGCRP concluded that the impacts from climate change “disproportionally harm communities and people who have been marginalized,” and “structural racism and discrimination against groups that have been marginalized play a direct role in health inequities and are public health crises.” </w:t>
                      </w:r>
                    </w:p>
                  </w:txbxContent>
                </v:textbox>
                <w10:wrap type="square" anchorx="margin"/>
              </v:shape>
            </w:pict>
          </mc:Fallback>
        </mc:AlternateContent>
      </w:r>
      <w:r w:rsidRPr="00771E57">
        <w:t>DPH</w:t>
      </w:r>
      <w:r w:rsidR="00C56168">
        <w:t>’s</w:t>
      </w:r>
      <w:r w:rsidRPr="00771E57">
        <w:t xml:space="preserve"> </w:t>
      </w:r>
      <w:hyperlink r:id="rId41" w:history="1">
        <w:r w:rsidRPr="003D7977">
          <w:rPr>
            <w:rStyle w:val="Hyperlink"/>
          </w:rPr>
          <w:t>Strategic Plan to Advance Racial Equity</w:t>
        </w:r>
      </w:hyperlink>
      <w:r w:rsidRPr="00771E57">
        <w:t xml:space="preserve"> </w:t>
      </w:r>
      <w:r w:rsidR="003D7977">
        <w:t>acknowledges</w:t>
      </w:r>
      <w:r w:rsidRPr="00771E57">
        <w:t xml:space="preserve"> that to advance health equity, DPH must use an intersectional, equity-centered lens to focus on addressing the persistent racial inequities impacting the health access, treatment, outcomes, and overall well-being of people across the Commonwealth, specifically those who identify as Black, Indigenous, Hispanic/Latino, and/or Asian/Pacific Islander. The COVID-19 pandemic brought into painful, undeniable public view the clear, present, and ongoing health inequities perpetuated by systemic racial inequities across </w:t>
      </w:r>
      <w:r w:rsidR="00341A59">
        <w:t xml:space="preserve">the </w:t>
      </w:r>
      <w:r w:rsidRPr="00771E57">
        <w:t>public health infrastructure, health care delivery systems, and social determinants of health</w:t>
      </w:r>
      <w:r w:rsidR="00711930">
        <w:t xml:space="preserve"> (SDOH)</w:t>
      </w:r>
      <w:r w:rsidRPr="00771E57">
        <w:t xml:space="preserve"> in Massachusetts. Understanding the ways that systems of oppression create and perpetuate structural inequities supports DPH in making system-level changes to advance health equity. DPH seeks to understand </w:t>
      </w:r>
      <w:r w:rsidR="00D860C5">
        <w:t>how</w:t>
      </w:r>
      <w:r w:rsidRPr="00771E57">
        <w:t xml:space="preserve"> the structures it designs, operates, and builds perpetuate inequities. By embracing an understanding of the ways that state and national public service systems have been built upon racialized policies, practices, and institutions, DPH aims to lead health equity efforts across the agency, the secretariat, and the Commonwealth using a structural analysis of how systemic racism works. In leading racial-equity-centered change, DPH notes the imperative for a shared approach to equity across all public agencies </w:t>
      </w:r>
      <w:r w:rsidR="009669E8">
        <w:t>since</w:t>
      </w:r>
      <w:r w:rsidR="009669E8" w:rsidRPr="00771E57">
        <w:t xml:space="preserve"> </w:t>
      </w:r>
      <w:r w:rsidRPr="00771E57">
        <w:t>racial inequities are also replicated in educational systems, housing and built environments, carceral systems, economic systems, climate response, and public workforce systems.</w:t>
      </w:r>
    </w:p>
    <w:p w14:paraId="74B38A1C" w14:textId="1F26684E" w:rsidR="00FA3966" w:rsidRDefault="00FA3966" w:rsidP="006D7DE6">
      <w:pPr>
        <w:pStyle w:val="BodyTextFirstIndent"/>
      </w:pPr>
      <w:r>
        <w:t xml:space="preserve">The Healey Administration’s Advancing Health Equity in Massachusetts (AHEM) initiative has two initial key focus areas: maternal health and SDOH that impact cardiometabolic disease. </w:t>
      </w:r>
      <w:r w:rsidRPr="00AE1424">
        <w:t>SDOH</w:t>
      </w:r>
      <w:r w:rsidRPr="00CA201A">
        <w:rPr>
          <w:b/>
          <w:bCs/>
        </w:rPr>
        <w:t xml:space="preserve"> </w:t>
      </w:r>
      <w:r>
        <w:t>are nonmedical factors</w:t>
      </w:r>
      <w:r>
        <w:rPr>
          <w:rFonts w:cs="Arial"/>
        </w:rPr>
        <w:t>—</w:t>
      </w:r>
      <w:r w:rsidR="003005BB">
        <w:rPr>
          <w:rFonts w:cs="Arial"/>
        </w:rPr>
        <w:t xml:space="preserve">i.e., </w:t>
      </w:r>
      <w:r>
        <w:t>conditions in which people are born, grow, work, live, and age</w:t>
      </w:r>
      <w:r>
        <w:rPr>
          <w:rFonts w:cs="Arial"/>
        </w:rPr>
        <w:t>—</w:t>
      </w:r>
      <w:r>
        <w:t>that influence health outcomes and may make a person more vulnerable to diseases. SDOH are a key priority area for the U.S. Department of Health and Human Service</w:t>
      </w:r>
      <w:r w:rsidR="009669E8">
        <w:t>s</w:t>
      </w:r>
      <w:r>
        <w:t xml:space="preserve">’ </w:t>
      </w:r>
      <w:hyperlink r:id="rId42">
        <w:r w:rsidRPr="4858CCE5">
          <w:rPr>
            <w:rStyle w:val="Hyperlink"/>
          </w:rPr>
          <w:t>Healthy People 2030</w:t>
        </w:r>
      </w:hyperlink>
      <w:r>
        <w:t>, with objectives to set data-driven policy within the areas of health</w:t>
      </w:r>
      <w:r w:rsidR="009669E8">
        <w:t xml:space="preserve"> </w:t>
      </w:r>
      <w:r>
        <w:t>care access and quality, education access and quality, social and community context, economic stability, and neighborhood and built environment</w:t>
      </w:r>
      <w:r w:rsidR="009669E8">
        <w:t>s</w:t>
      </w:r>
      <w:r>
        <w:t xml:space="preserve">. While more research is needed, asthma in young people has been linked to </w:t>
      </w:r>
      <w:r w:rsidR="009669E8">
        <w:t xml:space="preserve">an </w:t>
      </w:r>
      <w:r>
        <w:t>increased risk of cardiovascular disease.</w:t>
      </w:r>
      <w:r>
        <w:fldChar w:fldCharType="begin"/>
      </w:r>
      <w:r w:rsidR="00223023">
        <w:instrText xml:space="preserve"> ADDIN ZOTERO_ITEM CSL_CITATION {"citationID":"a8990be0jn","properties":{"formattedCitation":"\\super 2\\nosupersub{}","plainCitation":"2","noteIndex":0},"citationItems":[{"id":1119,"uris":["http://zotero.org/groups/5563646/items/BHGTY5ME"],"itemData":{"id":1119,"type":"article-journal","abstract":"Introduction: Asthma as a chronic inflammatory disorder has been suggested as a risk factor for endothelial dysfunction (ED), but studies on the association between asthma and cardiovascular disease (CVD) risk are limited. Background: We assessed ...","container-title":"Biomedicines","DOI":"10.3390/biomedicines10102614","issue":"10","language":"en","note":"PMID: 36289876","page":"2614","source":"pmc.ncbi.nlm.nih.gov","title":"Bronchial Asthma as a Cardiovascular Risk Factor: A Prospective Observational Study","title-short":"Bronchial Asthma as a Cardiovascular Risk Factor","volume":"10","author":[{"family":"Kreslová","given":"Marcela"},{"family":"Kirchnerová","given":"Olga"},{"family":"Rajdl","given":"Daniel"},{"family":"Sudová","given":"Vendula"},{"family":"Blažek","given":"Jiří"},{"family":"Sýkorová","given":"Aneta"},{"family":"Jehlička","given":"Petr"},{"family":"Trefil","given":"Ladislav"},{"family":"Schwarz","given":"Jan"},{"family":"Pomahačová","given":"Renata"},{"family":"Sýkora","given":"Josef"}],"issued":{"date-parts":[["2022",10,18]]}}}],"schema":"https://github.com/citation-style-language/schema/raw/master/csl-citation.json"} </w:instrText>
      </w:r>
      <w:r>
        <w:fldChar w:fldCharType="separate"/>
      </w:r>
      <w:r w:rsidR="00223023" w:rsidRPr="00223023">
        <w:rPr>
          <w:rFonts w:cs="Arial"/>
          <w:vertAlign w:val="superscript"/>
        </w:rPr>
        <w:t>2</w:t>
      </w:r>
      <w:r>
        <w:fldChar w:fldCharType="end"/>
      </w:r>
    </w:p>
    <w:p w14:paraId="26C63F52" w14:textId="6734A586" w:rsidR="00FA3966" w:rsidRDefault="00FC059F" w:rsidP="006D7DE6">
      <w:pPr>
        <w:pStyle w:val="BodyTextFirstIndent"/>
      </w:pPr>
      <w:r>
        <w:rPr>
          <w:noProof/>
        </w:rPr>
        <w:lastRenderedPageBreak/>
        <mc:AlternateContent>
          <mc:Choice Requires="wps">
            <w:drawing>
              <wp:anchor distT="0" distB="0" distL="114300" distR="114300" simplePos="0" relativeHeight="251716096" behindDoc="0" locked="0" layoutInCell="1" allowOverlap="1" wp14:anchorId="7C6BCC14" wp14:editId="105941B3">
                <wp:simplePos x="0" y="0"/>
                <wp:positionH relativeFrom="margin">
                  <wp:align>right</wp:align>
                </wp:positionH>
                <wp:positionV relativeFrom="paragraph">
                  <wp:posOffset>866052</wp:posOffset>
                </wp:positionV>
                <wp:extent cx="5951855" cy="4253865"/>
                <wp:effectExtent l="0" t="0" r="10795" b="13335"/>
                <wp:wrapSquare wrapText="bothSides"/>
                <wp:docPr id="1473273056" name="Text Box 2"/>
                <wp:cNvGraphicFramePr/>
                <a:graphic xmlns:a="http://schemas.openxmlformats.org/drawingml/2006/main">
                  <a:graphicData uri="http://schemas.microsoft.com/office/word/2010/wordprocessingShape">
                    <wps:wsp>
                      <wps:cNvSpPr txBox="1"/>
                      <wps:spPr bwMode="auto">
                        <a:xfrm>
                          <a:off x="0" y="0"/>
                          <a:ext cx="5951855" cy="4253948"/>
                        </a:xfrm>
                        <a:prstGeom prst="rect">
                          <a:avLst/>
                        </a:prstGeom>
                        <a:solidFill>
                          <a:schemeClr val="accent1">
                            <a:lumMod val="20000"/>
                            <a:lumOff val="80000"/>
                          </a:schemeClr>
                        </a:solidFill>
                        <a:ln w="9525">
                          <a:solidFill>
                            <a:schemeClr val="tx1"/>
                          </a:solidFill>
                          <a:miter lim="800000"/>
                          <a:headEnd/>
                          <a:tailEnd/>
                        </a:ln>
                      </wps:spPr>
                      <wps:txbx>
                        <w:txbxContent>
                          <w:p w14:paraId="1850D8C6" w14:textId="77777777" w:rsidR="00FA3966" w:rsidRDefault="00FA3966" w:rsidP="00FA3966">
                            <w:pPr>
                              <w:pStyle w:val="TextBoxTitle"/>
                            </w:pPr>
                            <w:r>
                              <w:t>Inequities in Asthma Burden in Massachusetts</w:t>
                            </w:r>
                          </w:p>
                          <w:p w14:paraId="7098DBC0" w14:textId="77777777" w:rsidR="00FA3966" w:rsidRDefault="00FA3966" w:rsidP="00FA3966">
                            <w:pPr>
                              <w:pStyle w:val="TextBoxText"/>
                            </w:pPr>
                            <w:r>
                              <w:t>Like many other New England States, Massachusetts has a high prevalence of asthma compared to national rates. Among those living with asthma in the Commonwealth, there are significant disparities in asthma outcomes by race/ethnicity. Following are notable details contributing to and related to these disparities:</w:t>
                            </w:r>
                          </w:p>
                          <w:p w14:paraId="33333AF4" w14:textId="77777777" w:rsidR="00FA3966" w:rsidRDefault="00FA3966" w:rsidP="00FA3966">
                            <w:pPr>
                              <w:pStyle w:val="TextBoxText"/>
                            </w:pPr>
                          </w:p>
                          <w:p w14:paraId="4F697330" w14:textId="77777777" w:rsidR="00FA3966" w:rsidRDefault="00FA3966" w:rsidP="00FA3966">
                            <w:pPr>
                              <w:pStyle w:val="TextBoxBullet"/>
                            </w:pPr>
                            <w:r w:rsidRPr="00D865A1">
                              <w:t xml:space="preserve">Various forms of discrimination and racism have created long-standing </w:t>
                            </w:r>
                            <w:r>
                              <w:t xml:space="preserve">structural </w:t>
                            </w:r>
                            <w:r w:rsidRPr="00D865A1">
                              <w:t>health inequities for people of color and lower-income individuals. These populations have historically been excluded from meaningful participation in decisions that impact their communities’ environmental health.</w:t>
                            </w:r>
                            <w:r>
                              <w:t xml:space="preserve"> For example,</w:t>
                            </w:r>
                            <w:r w:rsidRPr="00F27B03">
                              <w:t xml:space="preserve"> </w:t>
                            </w:r>
                            <w:r>
                              <w:t>p</w:t>
                            </w:r>
                            <w:r w:rsidRPr="00F27B03">
                              <w:t xml:space="preserve">eople of color and people with limited incomes are more likely to live near toxic waste sites, in areas with high air pollution, and in low-quality housing because of the inequitable distribution of </w:t>
                            </w:r>
                            <w:r>
                              <w:t xml:space="preserve">these </w:t>
                            </w:r>
                            <w:r w:rsidRPr="00F27B03">
                              <w:t>high</w:t>
                            </w:r>
                            <w:r>
                              <w:t>-</w:t>
                            </w:r>
                            <w:r w:rsidRPr="00F27B03">
                              <w:t>polluti</w:t>
                            </w:r>
                            <w:r>
                              <w:t>ng</w:t>
                            </w:r>
                            <w:r w:rsidRPr="00F27B03">
                              <w:t xml:space="preserve"> sites</w:t>
                            </w:r>
                            <w:r>
                              <w:t xml:space="preserve">. </w:t>
                            </w:r>
                          </w:p>
                          <w:p w14:paraId="1B74DC65" w14:textId="77777777" w:rsidR="00FA3966" w:rsidRDefault="00FA3966" w:rsidP="00FA3966">
                            <w:pPr>
                              <w:pStyle w:val="TextBoxBullet"/>
                            </w:pPr>
                            <w:r w:rsidRPr="00910190">
                              <w:t xml:space="preserve">Structural inequities result in fewer health care providers, limited access to transportation options, and limited access to </w:t>
                            </w:r>
                            <w:r>
                              <w:t xml:space="preserve">community </w:t>
                            </w:r>
                            <w:r w:rsidRPr="00910190">
                              <w:t>health information due to inaccessible health communications and lack of access for non-English speakers.</w:t>
                            </w:r>
                          </w:p>
                          <w:p w14:paraId="6D37CE01" w14:textId="77777777" w:rsidR="00FA3966" w:rsidRDefault="00FA3966" w:rsidP="00FA3966">
                            <w:pPr>
                              <w:pStyle w:val="TextBoxBullet"/>
                            </w:pPr>
                            <w:r>
                              <w:t xml:space="preserve">As of 2020, </w:t>
                            </w:r>
                            <w:r w:rsidRPr="00385130">
                              <w:t>th</w:t>
                            </w:r>
                            <w:r>
                              <w:t>e</w:t>
                            </w:r>
                            <w:r w:rsidRPr="00385130">
                              <w:t xml:space="preserve"> rates of asthma</w:t>
                            </w:r>
                            <w:r>
                              <w:t>-</w:t>
                            </w:r>
                            <w:r w:rsidRPr="00385130">
                              <w:t xml:space="preserve">related </w:t>
                            </w:r>
                            <w:r w:rsidRPr="00A52FA0">
                              <w:rPr>
                                <w:b/>
                                <w:bCs/>
                                <w:i/>
                                <w:iCs/>
                              </w:rPr>
                              <w:t>hospitalization</w:t>
                            </w:r>
                            <w:r w:rsidRPr="00385130">
                              <w:t xml:space="preserve"> and </w:t>
                            </w:r>
                            <w:r w:rsidRPr="00A52FA0">
                              <w:rPr>
                                <w:b/>
                                <w:bCs/>
                                <w:i/>
                                <w:iCs/>
                              </w:rPr>
                              <w:t>emergency department visits</w:t>
                            </w:r>
                            <w:r w:rsidRPr="00385130">
                              <w:t xml:space="preserve"> for Black non-Hispanic and Hispanic residents are three</w:t>
                            </w:r>
                            <w:r>
                              <w:t>-</w:t>
                            </w:r>
                            <w:r w:rsidRPr="00385130">
                              <w:t>to</w:t>
                            </w:r>
                            <w:r>
                              <w:t>-</w:t>
                            </w:r>
                            <w:r w:rsidRPr="00385130">
                              <w:t>four times higher than those of White non-Hispanic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6BCC14" id="_x0000_s1029" type="#_x0000_t202" style="position:absolute;margin-left:417.45pt;margin-top:68.2pt;width:468.65pt;height:334.95pt;z-index:251716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" fillcolor="#dbe5f1 [660]" strokecolor="black [3213]">
                <v:textbox>
                  <w:txbxContent>
                    <w:p w14:paraId="1850D8C6" w14:textId="77777777" w:rsidR="00FA3966" w:rsidRDefault="00FA3966" w:rsidP="00FA3966">
                      <w:pPr>
                        <w:pStyle w:val="TextBoxTitle"/>
                      </w:pPr>
                      <w:r>
                        <w:t>Inequities in Asthma Burden in Massachusetts</w:t>
                      </w:r>
                    </w:p>
                    <w:p w14:paraId="7098DBC0" w14:textId="77777777" w:rsidR="00FA3966" w:rsidRDefault="00FA3966" w:rsidP="00FA3966">
                      <w:pPr>
                        <w:pStyle w:val="TextBoxText"/>
                      </w:pPr>
                      <w:r>
                        <w:t>Like many other New England States, Massachusetts has a high prevalence of asthma compared to national rates. Among those living with asthma in the Commonwealth, there are significant disparities in asthma outcomes by race/ethnicity. Following are notable details contributing to and related to these disparities:</w:t>
                      </w:r>
                    </w:p>
                    <w:p w14:paraId="33333AF4" w14:textId="77777777" w:rsidR="00FA3966" w:rsidRDefault="00FA3966" w:rsidP="00FA3966">
                      <w:pPr>
                        <w:pStyle w:val="TextBoxText"/>
                      </w:pPr>
                    </w:p>
                    <w:p w14:paraId="4F697330" w14:textId="77777777" w:rsidR="00FA3966" w:rsidRDefault="00FA3966" w:rsidP="00FA3966">
                      <w:pPr>
                        <w:pStyle w:val="TextBoxBullet"/>
                      </w:pPr>
                      <w:r w:rsidRPr="00D865A1">
                        <w:t xml:space="preserve">Various forms of discrimination and racism have created long-standing </w:t>
                      </w:r>
                      <w:r>
                        <w:t xml:space="preserve">structural </w:t>
                      </w:r>
                      <w:r w:rsidRPr="00D865A1">
                        <w:t>health inequities for people of color and lower-income individuals. These populations have historically been excluded from meaningful participation in decisions that impact their communities’ environmental health.</w:t>
                      </w:r>
                      <w:r>
                        <w:t xml:space="preserve"> For example,</w:t>
                      </w:r>
                      <w:r w:rsidRPr="00F27B03">
                        <w:t xml:space="preserve"> </w:t>
                      </w:r>
                      <w:r>
                        <w:t>p</w:t>
                      </w:r>
                      <w:r w:rsidRPr="00F27B03">
                        <w:t xml:space="preserve">eople of color and people with limited incomes are more likely to live near toxic waste sites, in areas with high air pollution, and in low-quality housing because of the inequitable distribution of </w:t>
                      </w:r>
                      <w:r>
                        <w:t xml:space="preserve">these </w:t>
                      </w:r>
                      <w:r w:rsidRPr="00F27B03">
                        <w:t>high</w:t>
                      </w:r>
                      <w:r>
                        <w:t>-</w:t>
                      </w:r>
                      <w:r w:rsidRPr="00F27B03">
                        <w:t>polluti</w:t>
                      </w:r>
                      <w:r>
                        <w:t>ng</w:t>
                      </w:r>
                      <w:r w:rsidRPr="00F27B03">
                        <w:t xml:space="preserve"> sites</w:t>
                      </w:r>
                      <w:r>
                        <w:t xml:space="preserve">. </w:t>
                      </w:r>
                    </w:p>
                    <w:p w14:paraId="1B74DC65" w14:textId="77777777" w:rsidR="00FA3966" w:rsidRDefault="00FA3966" w:rsidP="00FA3966">
                      <w:pPr>
                        <w:pStyle w:val="TextBoxBullet"/>
                      </w:pPr>
                      <w:r w:rsidRPr="00910190">
                        <w:t xml:space="preserve">Structural inequities result in fewer health care providers, limited access to transportation options, and limited access to </w:t>
                      </w:r>
                      <w:r>
                        <w:t xml:space="preserve">community </w:t>
                      </w:r>
                      <w:r w:rsidRPr="00910190">
                        <w:t>health information due to inaccessible health communications and lack of access for non-English speakers.</w:t>
                      </w:r>
                    </w:p>
                    <w:p w14:paraId="6D37CE01" w14:textId="77777777" w:rsidR="00FA3966" w:rsidRDefault="00FA3966" w:rsidP="00FA3966">
                      <w:pPr>
                        <w:pStyle w:val="TextBoxBullet"/>
                      </w:pPr>
                      <w:r>
                        <w:t xml:space="preserve">As of 2020, </w:t>
                      </w:r>
                      <w:r w:rsidRPr="00385130">
                        <w:t>th</w:t>
                      </w:r>
                      <w:r>
                        <w:t>e</w:t>
                      </w:r>
                      <w:r w:rsidRPr="00385130">
                        <w:t xml:space="preserve"> rates of asthma</w:t>
                      </w:r>
                      <w:r>
                        <w:t>-</w:t>
                      </w:r>
                      <w:r w:rsidRPr="00385130">
                        <w:t xml:space="preserve">related </w:t>
                      </w:r>
                      <w:r w:rsidRPr="00A52FA0">
                        <w:rPr>
                          <w:b/>
                          <w:bCs/>
                          <w:i/>
                          <w:iCs/>
                        </w:rPr>
                        <w:t>hospitalization</w:t>
                      </w:r>
                      <w:r w:rsidRPr="00385130">
                        <w:t xml:space="preserve"> and </w:t>
                      </w:r>
                      <w:r w:rsidRPr="00A52FA0">
                        <w:rPr>
                          <w:b/>
                          <w:bCs/>
                          <w:i/>
                          <w:iCs/>
                        </w:rPr>
                        <w:t>emergency department visits</w:t>
                      </w:r>
                      <w:r w:rsidRPr="00385130">
                        <w:t xml:space="preserve"> for Black non-Hispanic and Hispanic residents are three</w:t>
                      </w:r>
                      <w:r>
                        <w:t>-</w:t>
                      </w:r>
                      <w:r w:rsidRPr="00385130">
                        <w:t>to</w:t>
                      </w:r>
                      <w:r>
                        <w:t>-</w:t>
                      </w:r>
                      <w:r w:rsidRPr="00385130">
                        <w:t>four times higher than those of White non-Hispanic residents.</w:t>
                      </w:r>
                    </w:p>
                  </w:txbxContent>
                </v:textbox>
                <w10:wrap type="square" anchorx="margin"/>
              </v:shape>
            </w:pict>
          </mc:Fallback>
        </mc:AlternateContent>
      </w:r>
      <w:r w:rsidR="00FA3966">
        <w:t xml:space="preserve">In our country, </w:t>
      </w:r>
      <w:r w:rsidR="00FA3966" w:rsidRPr="00EE2CC1">
        <w:rPr>
          <w:b/>
          <w:bCs/>
        </w:rPr>
        <w:t>a person’s zip code is more predictive of one's life expectancy than one’s own genetic code</w:t>
      </w:r>
      <w:r w:rsidR="00FA3966">
        <w:t xml:space="preserve">. As a result, around the country, credible, serious efforts to address health disparities have all prioritized developing a granular, “place-based” understanding of where disparities in the community are most profound. </w:t>
      </w:r>
    </w:p>
    <w:p w14:paraId="7C3330B6" w14:textId="736AD189" w:rsidR="00FA3966" w:rsidRDefault="00FA3966" w:rsidP="0023018C">
      <w:pPr>
        <w:pStyle w:val="SourceCaption"/>
      </w:pPr>
      <w:r>
        <w:t xml:space="preserve">  Source: DPH</w:t>
      </w:r>
      <w:r w:rsidR="008418DE">
        <w:t xml:space="preserve"> </w:t>
      </w:r>
      <w:r>
        <w:fldChar w:fldCharType="begin"/>
      </w:r>
      <w:r w:rsidR="00223023">
        <w:instrText xml:space="preserve"> ADDIN ZOTERO_ITEM CSL_CITATION {"citationID":"a1bj60psvjm","properties":{"formattedCitation":"\\super 3\\nosupersub{}","plainCitation":"3","noteIndex":0},"citationItems":[{"id":944,"uris":["http://zotero.org/groups/5563646/items/VBZCD3GS"],"itemData":{"id":944,"type":"document","title":"2022–2026 Strategic Plan for Asthma in Massachusetts","URL":"https://www.mass.gov/doc/strategic-plan-for-asthma-in-massachusetts-2022-2026/download","author":[{"family":"Massachusetts Department of Public Health","given":""}],"accessed":{"date-parts":[["2024",7,25]]}}}],"schema":"https://github.com/citation-style-language/schema/raw/master/csl-citation.json"} </w:instrText>
      </w:r>
      <w:r>
        <w:fldChar w:fldCharType="separate"/>
      </w:r>
      <w:r w:rsidR="00223023" w:rsidRPr="00223023">
        <w:rPr>
          <w:rFonts w:cs="Arial"/>
          <w:vertAlign w:val="superscript"/>
        </w:rPr>
        <w:t>3</w:t>
      </w:r>
      <w:r>
        <w:fldChar w:fldCharType="end"/>
      </w:r>
    </w:p>
    <w:p w14:paraId="103E0ADE" w14:textId="54483756" w:rsidR="00FA3966" w:rsidRDefault="00FA3966" w:rsidP="006D7DE6">
      <w:pPr>
        <w:pStyle w:val="BodyTextFirstIndent"/>
      </w:pPr>
      <w:r w:rsidRPr="00380B5E">
        <w:t xml:space="preserve">Acknowledging the SDOH and the broader structural factors that have led to historic disinvestment in communities of color, DPH’s </w:t>
      </w:r>
      <w:hyperlink r:id="rId43" w:history="1">
        <w:r w:rsidRPr="00460BA9">
          <w:rPr>
            <w:rStyle w:val="Hyperlink"/>
          </w:rPr>
          <w:t>2022–2026 Strategic Plan for Asthma in Massachusetts</w:t>
        </w:r>
      </w:hyperlink>
      <w:r>
        <w:t xml:space="preserve"> strives to address the significant racial disparities in asthma burden that exist in Massachusetts through the </w:t>
      </w:r>
      <w:r w:rsidR="009669E8">
        <w:t>“</w:t>
      </w:r>
      <w:r>
        <w:t>leading with race and racism explicitly but not exclusively</w:t>
      </w:r>
      <w:r w:rsidR="009669E8">
        <w:t>”</w:t>
      </w:r>
      <w:r>
        <w:t xml:space="preserve"> framework. </w:t>
      </w:r>
      <w:r w:rsidRPr="008863B1">
        <w:t>The 2022–2026 Strategic Plan for Asthma in Massachusetts is the result of a comprehensive planning process undertaken virtually in the summer and fall of 2020</w:t>
      </w:r>
      <w:r w:rsidR="00BE1BF5">
        <w:t>,</w:t>
      </w:r>
      <w:r w:rsidRPr="008863B1">
        <w:t xml:space="preserve"> in accordance with the COVID-19 guidance at the time, by the DPH</w:t>
      </w:r>
      <w:r>
        <w:t>’s</w:t>
      </w:r>
      <w:r w:rsidRPr="008863B1">
        <w:t xml:space="preserve"> Asthma Prevention and Control Program</w:t>
      </w:r>
      <w:r>
        <w:t xml:space="preserve"> (APCP)</w:t>
      </w:r>
      <w:r w:rsidRPr="008863B1">
        <w:t xml:space="preserve"> and the Massachusetts Asthma Action Partnership (MAAP)</w:t>
      </w:r>
      <w:r w:rsidR="00794303">
        <w:t>,</w:t>
      </w:r>
      <w:r w:rsidRPr="008863B1">
        <w:t xml:space="preserve"> in collaboration with asthma partners, stakeholders</w:t>
      </w:r>
      <w:r>
        <w:t>,</w:t>
      </w:r>
      <w:r w:rsidRPr="008863B1">
        <w:t xml:space="preserve"> and thought leaders across Massachusetts. It is meant to highlight opportunities for cross-collaboration and collective impact in how programs and organizations address asthma, specifically the inequitable burden of asthma across the Commonwealth of Massachusetts </w:t>
      </w:r>
      <w:r w:rsidR="00BE1BF5">
        <w:t xml:space="preserve">and </w:t>
      </w:r>
      <w:r w:rsidRPr="008863B1">
        <w:t xml:space="preserve">identified </w:t>
      </w:r>
      <w:r w:rsidR="00BE1BF5">
        <w:t>priority</w:t>
      </w:r>
      <w:r w:rsidR="00BE1BF5" w:rsidRPr="008863B1">
        <w:t xml:space="preserve"> </w:t>
      </w:r>
      <w:r w:rsidRPr="008863B1">
        <w:t xml:space="preserve">areas of </w:t>
      </w:r>
      <w:r>
        <w:t>s</w:t>
      </w:r>
      <w:r w:rsidRPr="008863B1">
        <w:t xml:space="preserve">chools, </w:t>
      </w:r>
      <w:r>
        <w:t>h</w:t>
      </w:r>
      <w:r w:rsidRPr="008863B1">
        <w:t xml:space="preserve">ousing, </w:t>
      </w:r>
      <w:r>
        <w:t>c</w:t>
      </w:r>
      <w:r w:rsidRPr="008863B1">
        <w:t xml:space="preserve">ommunity and </w:t>
      </w:r>
      <w:r>
        <w:t>c</w:t>
      </w:r>
      <w:r w:rsidRPr="008863B1">
        <w:t xml:space="preserve">linical </w:t>
      </w:r>
      <w:r>
        <w:t>c</w:t>
      </w:r>
      <w:r w:rsidRPr="008863B1">
        <w:t>oordination</w:t>
      </w:r>
      <w:r>
        <w:t>,</w:t>
      </w:r>
      <w:r w:rsidRPr="008863B1">
        <w:t xml:space="preserve"> and </w:t>
      </w:r>
      <w:r>
        <w:t>o</w:t>
      </w:r>
      <w:r w:rsidRPr="008863B1">
        <w:t xml:space="preserve">utdoor </w:t>
      </w:r>
      <w:r>
        <w:t>a</w:t>
      </w:r>
      <w:r w:rsidRPr="008863B1">
        <w:t xml:space="preserve">ir </w:t>
      </w:r>
      <w:r>
        <w:t>q</w:t>
      </w:r>
      <w:r w:rsidRPr="008863B1">
        <w:t xml:space="preserve">uality. </w:t>
      </w:r>
      <w:r>
        <w:t xml:space="preserve">The 2022–2026 Strategic Plan for Asthma in Massachusetts is also grounded in the principles of environmental justice and equitable </w:t>
      </w:r>
      <w:r>
        <w:lastRenderedPageBreak/>
        <w:t>distribution of environmental benefits—that all people have a right to be protected from environmental pollution and live in and enjoy a clean environment. It is within this context that it specifically identifies air quality and pollution as asthma triggers that disproportionately exist in underserved communities and affect people of color. The data-driven Strategic Plan for Asthma makes a commitment to center asthma efforts within the 11 communities of focus that DPH identified as experiencing the highest burden of asthma inequities in Massachusetts at the time of the development of the Strategic Plan in 2020.</w:t>
      </w:r>
    </w:p>
    <w:p w14:paraId="3733AFC8" w14:textId="1B4829E4" w:rsidR="00FA3966" w:rsidRDefault="00FA3966" w:rsidP="006D7DE6">
      <w:pPr>
        <w:pStyle w:val="BodyTextFirstIndent"/>
      </w:pPr>
      <w:r>
        <w:t>DPH identified 11 communities of focus based on the following indicators of asthma burden:</w:t>
      </w:r>
    </w:p>
    <w:p w14:paraId="54EB49EC" w14:textId="77777777" w:rsidR="00FA3966" w:rsidRDefault="00FA3966" w:rsidP="008131EB">
      <w:pPr>
        <w:pStyle w:val="ListBullet"/>
      </w:pPr>
      <w:r>
        <w:t>Asthma hospitalization rates that are significantly higher than the state average (all ages)</w:t>
      </w:r>
    </w:p>
    <w:p w14:paraId="617FBA66" w14:textId="77777777" w:rsidR="00FA3966" w:rsidRDefault="00FA3966" w:rsidP="008131EB">
      <w:pPr>
        <w:pStyle w:val="ListBullet"/>
      </w:pPr>
      <w:r>
        <w:t>Asthma emergency department rates that are significantly higher than the state average (all ages)</w:t>
      </w:r>
    </w:p>
    <w:p w14:paraId="7C1EC8D2" w14:textId="35CA9F0E" w:rsidR="00FA3966" w:rsidRDefault="00FA3966" w:rsidP="008131EB">
      <w:pPr>
        <w:pStyle w:val="ListBullet"/>
      </w:pPr>
      <w:r>
        <w:t xml:space="preserve">Index of the Concentration at the Extremes score </w:t>
      </w:r>
      <w:r w:rsidR="00F841D1">
        <w:t xml:space="preserve">that </w:t>
      </w:r>
      <w:r w:rsidR="003735CC">
        <w:t xml:space="preserve">is </w:t>
      </w:r>
      <w:r>
        <w:t>lower than the state average, a measure of privilege and disadvantage examining both racial/ethnic and economic segregation</w:t>
      </w:r>
    </w:p>
    <w:p w14:paraId="440B2476" w14:textId="3F8E6073" w:rsidR="00FA3966" w:rsidRDefault="00FA3966" w:rsidP="006D7DE6">
      <w:pPr>
        <w:pStyle w:val="BodyTextFirstIndent"/>
      </w:pPr>
      <w:r>
        <w:t xml:space="preserve">See </w:t>
      </w:r>
      <w:r>
        <w:fldChar w:fldCharType="begin"/>
      </w:r>
      <w:r>
        <w:instrText xml:space="preserve"> REF _Ref172820381 \h </w:instrText>
      </w:r>
      <w:r>
        <w:fldChar w:fldCharType="separate"/>
      </w:r>
      <w:r w:rsidR="00307850">
        <w:t xml:space="preserve">Figure </w:t>
      </w:r>
      <w:r w:rsidR="00307850">
        <w:rPr>
          <w:noProof/>
        </w:rPr>
        <w:t>1</w:t>
      </w:r>
      <w:r>
        <w:fldChar w:fldCharType="end"/>
      </w:r>
      <w:r>
        <w:t xml:space="preserve"> for a map illustrating the 11 communities of focus. </w:t>
      </w:r>
    </w:p>
    <w:p w14:paraId="7A82AC96" w14:textId="1412FC4E" w:rsidR="00FA3966" w:rsidRDefault="00FA3966" w:rsidP="00B30C96">
      <w:pPr>
        <w:pStyle w:val="FigureTitle"/>
      </w:pPr>
      <w:bookmarkStart w:id="18" w:name="_Ref172820381"/>
      <w:bookmarkStart w:id="19" w:name="_Toc193112288"/>
      <w:bookmarkStart w:id="20" w:name="_Toc193117045"/>
      <w:r>
        <w:t xml:space="preserve">Figure </w:t>
      </w:r>
      <w:fldSimple w:instr=" SEQ Figure \* ARABIC ">
        <w:r w:rsidR="00307850">
          <w:rPr>
            <w:noProof/>
          </w:rPr>
          <w:t>1</w:t>
        </w:r>
      </w:fldSimple>
      <w:bookmarkEnd w:id="18"/>
      <w:r>
        <w:t xml:space="preserve">. </w:t>
      </w:r>
      <w:r w:rsidRPr="00E93C0F">
        <w:t>1</w:t>
      </w:r>
      <w:r>
        <w:t xml:space="preserve">1 Communities of Focus Experiencing the Highest Burden of </w:t>
      </w:r>
      <w:r w:rsidR="00D137CF">
        <w:t>A</w:t>
      </w:r>
      <w:r>
        <w:t xml:space="preserve">sthma </w:t>
      </w:r>
      <w:r w:rsidR="00D137CF">
        <w:t>I</w:t>
      </w:r>
      <w:r>
        <w:t>nequities in Massachusetts in 2020</w:t>
      </w:r>
      <w:bookmarkEnd w:id="19"/>
      <w:bookmarkEnd w:id="20"/>
    </w:p>
    <w:p w14:paraId="02240203" w14:textId="77777777" w:rsidR="00FA3966" w:rsidRDefault="00FA3966" w:rsidP="008418DE">
      <w:pPr>
        <w:pStyle w:val="BodyTextFirstIndent"/>
        <w:jc w:val="center"/>
      </w:pPr>
      <w:r w:rsidRPr="005D6B1C">
        <w:rPr>
          <w:noProof/>
        </w:rPr>
        <w:drawing>
          <wp:inline distT="0" distB="0" distL="0" distR="0" wp14:anchorId="477DF991" wp14:editId="47638C54">
            <wp:extent cx="4753699" cy="2945668"/>
            <wp:effectExtent l="19050" t="19050" r="8890" b="26670"/>
            <wp:docPr id="421578016" name="Picture 1" descr="Map of the Commonwealth of Massachusetts showing the location of the following 11 communities of focus experiencing the highest burden of asthma inequities in Massachusetts in 2020: Boston, Brockton, Chelsea, Holyoke, Lawrence, Lowell, Lynn, New Bedford, Southbridge, Springfield, and Worc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78016" name="Picture 1" descr="Map of the Commonwealth of Massachusetts showing the location of the following 11 communities of focus experiencing the highest burden of asthma inequities in Massachusetts in 2020: Boston, Brockton, Chelsea, Holyoke, Lawrence, Lowell, Lynn, New Bedford, Southbridge, Springfield, and Worcester."/>
                    <pic:cNvPicPr/>
                  </pic:nvPicPr>
                  <pic:blipFill>
                    <a:blip r:embed="rId44"/>
                    <a:stretch>
                      <a:fillRect/>
                    </a:stretch>
                  </pic:blipFill>
                  <pic:spPr>
                    <a:xfrm>
                      <a:off x="0" y="0"/>
                      <a:ext cx="4756866" cy="2947630"/>
                    </a:xfrm>
                    <a:prstGeom prst="rect">
                      <a:avLst/>
                    </a:prstGeom>
                    <a:ln>
                      <a:solidFill>
                        <a:schemeClr val="tx1"/>
                      </a:solidFill>
                    </a:ln>
                  </pic:spPr>
                </pic:pic>
              </a:graphicData>
            </a:graphic>
          </wp:inline>
        </w:drawing>
      </w:r>
    </w:p>
    <w:p w14:paraId="3A6DE8F5" w14:textId="3B1265EE" w:rsidR="00FA3966" w:rsidRPr="00EC529A" w:rsidRDefault="00FA3966" w:rsidP="006D7DE6">
      <w:pPr>
        <w:pStyle w:val="BodyTextFirstIndent"/>
        <w:rPr>
          <w:b/>
          <w:color w:val="1F497D" w:themeColor="text2"/>
        </w:rPr>
      </w:pPr>
      <w:r>
        <w:rPr>
          <w:rFonts w:asciiTheme="minorHAnsi" w:eastAsia="Times New Roman" w:hAnsiTheme="minorHAnsi" w:cs="Times New Roman"/>
          <w:sz w:val="22"/>
        </w:rPr>
        <w:fldChar w:fldCharType="begin"/>
      </w:r>
      <w:r>
        <w:instrText xml:space="preserve"> REF _Ref178957628 \h  \* MERGEFORMAT </w:instrText>
      </w:r>
      <w:r>
        <w:rPr>
          <w:rFonts w:asciiTheme="minorHAnsi" w:eastAsia="Times New Roman" w:hAnsiTheme="minorHAnsi" w:cs="Times New Roman"/>
          <w:sz w:val="22"/>
        </w:rPr>
      </w:r>
      <w:r>
        <w:rPr>
          <w:rFonts w:asciiTheme="minorHAnsi" w:eastAsia="Times New Roman" w:hAnsiTheme="minorHAnsi" w:cs="Times New Roman"/>
          <w:sz w:val="22"/>
        </w:rPr>
        <w:fldChar w:fldCharType="separate"/>
      </w:r>
      <w:r w:rsidR="00307850">
        <w:t xml:space="preserve">Table </w:t>
      </w:r>
      <w:r w:rsidR="00307850">
        <w:rPr>
          <w:noProof/>
        </w:rPr>
        <w:t>1</w:t>
      </w:r>
      <w:r>
        <w:fldChar w:fldCharType="end"/>
      </w:r>
      <w:r>
        <w:t xml:space="preserve"> presents racial and income data for the 11 communities of focus based on data from the Massachusetts Health Data Tool.</w:t>
      </w:r>
      <w:r>
        <w:fldChar w:fldCharType="begin"/>
      </w:r>
      <w:r w:rsidR="00223023">
        <w:instrText xml:space="preserve"> ADDIN ZOTERO_ITEM CSL_CITATION {"citationID":"a1j1f7vea31","properties":{"formattedCitation":"\\super 4\\nosupersub{}","plainCitation":"4","noteIndex":0},"citationItems":[{"id":1114,"uris":["http://zotero.org/groups/5563646/items/LS83A7KS"],"itemData":{"id":1114,"type":"webpage","language":"en-US","title":"Massachusetts Health Data Tool","URL":"https://healthdatatool.mass.gov/","author":[{"family":"Massachusetts Department of Public Health","given":""}],"accessed":{"date-parts":[["2024",10,4]]},"issued":{"date-parts":[["2023"]]}}}],"schema":"https://github.com/citation-style-language/schema/raw/master/csl-citation.json"} </w:instrText>
      </w:r>
      <w:r>
        <w:fldChar w:fldCharType="separate"/>
      </w:r>
      <w:r w:rsidR="00223023" w:rsidRPr="00223023">
        <w:rPr>
          <w:rFonts w:cs="Arial"/>
          <w:vertAlign w:val="superscript"/>
        </w:rPr>
        <w:t>4</w:t>
      </w:r>
      <w:r>
        <w:fldChar w:fldCharType="end"/>
      </w:r>
      <w:r>
        <w:t xml:space="preserve"> An overwhelming majority of these communities have higher percentages of their populations who are Black non-Hispanic, </w:t>
      </w:r>
      <w:r>
        <w:lastRenderedPageBreak/>
        <w:t xml:space="preserve">Hispanic or Latino, and living below the federal poverty rate as compared to the statewide percentages.  </w:t>
      </w:r>
    </w:p>
    <w:p w14:paraId="74E2567A" w14:textId="4D5CBD18" w:rsidR="00FA3966" w:rsidRDefault="00FA3966" w:rsidP="00B30C96">
      <w:pPr>
        <w:pStyle w:val="Caption"/>
      </w:pPr>
      <w:bookmarkStart w:id="21" w:name="_Ref178957628"/>
      <w:bookmarkStart w:id="22" w:name="_Toc192711667"/>
      <w:bookmarkStart w:id="23" w:name="_Toc193112549"/>
      <w:bookmarkStart w:id="24" w:name="_Toc193116948"/>
      <w:r>
        <w:t xml:space="preserve">Table </w:t>
      </w:r>
      <w:fldSimple w:instr=" SEQ Table \* ARABIC ">
        <w:r w:rsidR="00307850">
          <w:rPr>
            <w:noProof/>
          </w:rPr>
          <w:t>1</w:t>
        </w:r>
      </w:fldSimple>
      <w:bookmarkEnd w:id="21"/>
      <w:r>
        <w:t>. 2018</w:t>
      </w:r>
      <w:r w:rsidR="00907226">
        <w:t>–</w:t>
      </w:r>
      <w:r>
        <w:t xml:space="preserve">2022 Racial and </w:t>
      </w:r>
      <w:r w:rsidR="00D137CF">
        <w:t>P</w:t>
      </w:r>
      <w:r w:rsidR="008077D1">
        <w:t xml:space="preserve">overty </w:t>
      </w:r>
      <w:r w:rsidR="00D137CF">
        <w:t>D</w:t>
      </w:r>
      <w:r>
        <w:t xml:space="preserve">ata for 11 </w:t>
      </w:r>
      <w:r w:rsidR="00D137CF">
        <w:t>C</w:t>
      </w:r>
      <w:r>
        <w:t xml:space="preserve">ommunities of </w:t>
      </w:r>
      <w:r w:rsidR="00D137CF">
        <w:t>F</w:t>
      </w:r>
      <w:r w:rsidR="008077D1">
        <w:t xml:space="preserve">ocus </w:t>
      </w:r>
      <w:r w:rsidR="00D137CF">
        <w:t>E</w:t>
      </w:r>
      <w:r>
        <w:t xml:space="preserve">xperiencing the </w:t>
      </w:r>
      <w:r w:rsidR="00D137CF">
        <w:t>H</w:t>
      </w:r>
      <w:r>
        <w:t xml:space="preserve">ighest </w:t>
      </w:r>
      <w:r w:rsidR="00D137CF">
        <w:t>B</w:t>
      </w:r>
      <w:r>
        <w:t xml:space="preserve">urden of </w:t>
      </w:r>
      <w:r w:rsidR="00D137CF">
        <w:t>A</w:t>
      </w:r>
      <w:r>
        <w:t xml:space="preserve">sthma </w:t>
      </w:r>
      <w:r w:rsidR="00D137CF">
        <w:t>I</w:t>
      </w:r>
      <w:r>
        <w:t>nequities in Massachusetts</w:t>
      </w:r>
      <w:bookmarkEnd w:id="22"/>
      <w:bookmarkEnd w:id="23"/>
      <w:bookmarkEnd w:id="24"/>
    </w:p>
    <w:tbl>
      <w:tblPr>
        <w:tblStyle w:val="TableGrid"/>
        <w:tblW w:w="5000" w:type="pct"/>
        <w:tblLook w:val="04A0" w:firstRow="1" w:lastRow="0" w:firstColumn="1" w:lastColumn="0" w:noHBand="0" w:noVBand="1"/>
        <w:tblDescription w:val="Table listing the poverty rate and percentage of the population that is Black Non-Hispanic and Hispanic or Latino across different Massachusetts cities."/>
      </w:tblPr>
      <w:tblGrid>
        <w:gridCol w:w="3373"/>
        <w:gridCol w:w="1992"/>
        <w:gridCol w:w="1992"/>
        <w:gridCol w:w="1993"/>
      </w:tblGrid>
      <w:tr w:rsidR="00FA3966" w14:paraId="4B722B05" w14:textId="77777777" w:rsidTr="00BF7024">
        <w:trPr>
          <w:tblHeader/>
        </w:trPr>
        <w:tc>
          <w:tcPr>
            <w:tcW w:w="1804" w:type="pct"/>
            <w:shd w:val="clear" w:color="auto" w:fill="C6D9F1" w:themeFill="text2" w:themeFillTint="33"/>
            <w:vAlign w:val="center"/>
          </w:tcPr>
          <w:p w14:paraId="2A1C7571" w14:textId="77777777" w:rsidR="00FA3966" w:rsidRPr="009B2CFF" w:rsidRDefault="00FA3966" w:rsidP="00BF7024">
            <w:pPr>
              <w:pStyle w:val="TableText"/>
              <w:jc w:val="center"/>
              <w:rPr>
                <w:b/>
                <w:bCs/>
              </w:rPr>
            </w:pPr>
            <w:r w:rsidRPr="009B2CFF">
              <w:rPr>
                <w:b/>
                <w:bCs/>
              </w:rPr>
              <w:t>State/Community</w:t>
            </w:r>
          </w:p>
        </w:tc>
        <w:tc>
          <w:tcPr>
            <w:tcW w:w="1065" w:type="pct"/>
            <w:shd w:val="clear" w:color="auto" w:fill="C6D9F1" w:themeFill="text2" w:themeFillTint="33"/>
            <w:vAlign w:val="center"/>
          </w:tcPr>
          <w:p w14:paraId="20D231EA" w14:textId="77777777" w:rsidR="00FA3966" w:rsidRPr="009B2CFF" w:rsidRDefault="00FA3966" w:rsidP="00BF7024">
            <w:pPr>
              <w:pStyle w:val="TableText"/>
              <w:jc w:val="center"/>
              <w:rPr>
                <w:b/>
                <w:bCs/>
              </w:rPr>
            </w:pPr>
            <w:r w:rsidRPr="009B2CFF">
              <w:rPr>
                <w:b/>
                <w:bCs/>
              </w:rPr>
              <w:t>Percent of Total Population:</w:t>
            </w:r>
          </w:p>
          <w:p w14:paraId="3AD1AAE3" w14:textId="77777777" w:rsidR="00FA3966" w:rsidRPr="009B2CFF" w:rsidRDefault="00FA3966" w:rsidP="00BF7024">
            <w:pPr>
              <w:pStyle w:val="TableText"/>
              <w:jc w:val="center"/>
              <w:rPr>
                <w:b/>
                <w:bCs/>
              </w:rPr>
            </w:pPr>
            <w:r w:rsidRPr="009B2CFF">
              <w:rPr>
                <w:b/>
                <w:bCs/>
              </w:rPr>
              <w:t>Black Non-Hispanic</w:t>
            </w:r>
          </w:p>
        </w:tc>
        <w:tc>
          <w:tcPr>
            <w:tcW w:w="1065" w:type="pct"/>
            <w:shd w:val="clear" w:color="auto" w:fill="C6D9F1" w:themeFill="text2" w:themeFillTint="33"/>
            <w:vAlign w:val="center"/>
          </w:tcPr>
          <w:p w14:paraId="189587E1" w14:textId="77777777" w:rsidR="00FA3966" w:rsidRPr="009B2CFF" w:rsidRDefault="00FA3966" w:rsidP="00BF7024">
            <w:pPr>
              <w:pStyle w:val="TableText"/>
              <w:jc w:val="center"/>
              <w:rPr>
                <w:b/>
                <w:bCs/>
              </w:rPr>
            </w:pPr>
            <w:r w:rsidRPr="009B2CFF">
              <w:rPr>
                <w:b/>
                <w:bCs/>
              </w:rPr>
              <w:t>Percent of Total Population:</w:t>
            </w:r>
          </w:p>
          <w:p w14:paraId="3B8A8C2B" w14:textId="77777777" w:rsidR="00FA3966" w:rsidRPr="009B2CFF" w:rsidRDefault="00FA3966" w:rsidP="00BF7024">
            <w:pPr>
              <w:pStyle w:val="TableText"/>
              <w:jc w:val="center"/>
              <w:rPr>
                <w:b/>
                <w:bCs/>
              </w:rPr>
            </w:pPr>
            <w:r w:rsidRPr="009B2CFF">
              <w:rPr>
                <w:b/>
                <w:bCs/>
              </w:rPr>
              <w:t>Hispanic or Latino</w:t>
            </w:r>
          </w:p>
        </w:tc>
        <w:tc>
          <w:tcPr>
            <w:tcW w:w="1066" w:type="pct"/>
            <w:shd w:val="clear" w:color="auto" w:fill="C6D9F1" w:themeFill="text2" w:themeFillTint="33"/>
            <w:vAlign w:val="center"/>
          </w:tcPr>
          <w:p w14:paraId="4D3027C2" w14:textId="77777777" w:rsidR="00FA3966" w:rsidRPr="009B2CFF" w:rsidRDefault="00FA3966" w:rsidP="00BF7024">
            <w:pPr>
              <w:pStyle w:val="TableText"/>
              <w:jc w:val="center"/>
              <w:rPr>
                <w:b/>
                <w:bCs/>
              </w:rPr>
            </w:pPr>
            <w:r w:rsidRPr="009B2CFF">
              <w:rPr>
                <w:b/>
                <w:bCs/>
              </w:rPr>
              <w:t xml:space="preserve">Percent of Total Population: Living </w:t>
            </w:r>
            <w:r>
              <w:rPr>
                <w:b/>
                <w:bCs/>
              </w:rPr>
              <w:t xml:space="preserve">Under the Federal </w:t>
            </w:r>
            <w:r w:rsidRPr="009B2CFF">
              <w:rPr>
                <w:b/>
                <w:bCs/>
              </w:rPr>
              <w:t>Poverty</w:t>
            </w:r>
            <w:r>
              <w:rPr>
                <w:b/>
                <w:bCs/>
              </w:rPr>
              <w:t xml:space="preserve"> Rate</w:t>
            </w:r>
          </w:p>
        </w:tc>
      </w:tr>
      <w:tr w:rsidR="00FA3966" w14:paraId="4A37C363" w14:textId="77777777" w:rsidTr="00BF7024">
        <w:tc>
          <w:tcPr>
            <w:tcW w:w="1804" w:type="pct"/>
          </w:tcPr>
          <w:p w14:paraId="75E94E15" w14:textId="77777777" w:rsidR="00FA3966" w:rsidRDefault="00FA3966" w:rsidP="00BF7024">
            <w:pPr>
              <w:pStyle w:val="TableText"/>
            </w:pPr>
            <w:r>
              <w:t>Massachusetts</w:t>
            </w:r>
          </w:p>
        </w:tc>
        <w:tc>
          <w:tcPr>
            <w:tcW w:w="1065" w:type="pct"/>
          </w:tcPr>
          <w:p w14:paraId="126571B8" w14:textId="77777777" w:rsidR="00FA3966" w:rsidRDefault="00FA3966" w:rsidP="00BF7024">
            <w:pPr>
              <w:pStyle w:val="TableText"/>
              <w:jc w:val="right"/>
            </w:pPr>
            <w:r>
              <w:t>9.92%</w:t>
            </w:r>
          </w:p>
        </w:tc>
        <w:tc>
          <w:tcPr>
            <w:tcW w:w="1065" w:type="pct"/>
          </w:tcPr>
          <w:p w14:paraId="58C85D82" w14:textId="77777777" w:rsidR="00FA3966" w:rsidRDefault="00FA3966" w:rsidP="00BF7024">
            <w:pPr>
              <w:pStyle w:val="TableText"/>
              <w:jc w:val="right"/>
            </w:pPr>
            <w:r>
              <w:t>12.59%</w:t>
            </w:r>
          </w:p>
        </w:tc>
        <w:tc>
          <w:tcPr>
            <w:tcW w:w="1066" w:type="pct"/>
          </w:tcPr>
          <w:p w14:paraId="19B830E0" w14:textId="77777777" w:rsidR="00FA3966" w:rsidRDefault="00FA3966" w:rsidP="00BF7024">
            <w:pPr>
              <w:pStyle w:val="TableText"/>
              <w:jc w:val="right"/>
            </w:pPr>
            <w:r>
              <w:t>9.93%</w:t>
            </w:r>
          </w:p>
        </w:tc>
      </w:tr>
      <w:tr w:rsidR="00FA3966" w14:paraId="1F6EEE6B" w14:textId="77777777" w:rsidTr="00BF7024">
        <w:tc>
          <w:tcPr>
            <w:tcW w:w="1804" w:type="pct"/>
          </w:tcPr>
          <w:p w14:paraId="584F87C7" w14:textId="77777777" w:rsidR="00FA3966" w:rsidRDefault="00FA3966" w:rsidP="00BF7024">
            <w:pPr>
              <w:pStyle w:val="TableText"/>
            </w:pPr>
            <w:r>
              <w:t>Boston</w:t>
            </w:r>
          </w:p>
        </w:tc>
        <w:tc>
          <w:tcPr>
            <w:tcW w:w="1065" w:type="pct"/>
          </w:tcPr>
          <w:p w14:paraId="7E18BCD3" w14:textId="77777777" w:rsidR="00FA3966" w:rsidRDefault="00FA3966" w:rsidP="00BF7024">
            <w:pPr>
              <w:pStyle w:val="TableText"/>
              <w:jc w:val="right"/>
            </w:pPr>
            <w:r>
              <w:t>28.85%</w:t>
            </w:r>
          </w:p>
        </w:tc>
        <w:tc>
          <w:tcPr>
            <w:tcW w:w="1065" w:type="pct"/>
          </w:tcPr>
          <w:p w14:paraId="1610DB33" w14:textId="77777777" w:rsidR="00FA3966" w:rsidRDefault="00FA3966" w:rsidP="00BF7024">
            <w:pPr>
              <w:pStyle w:val="TableText"/>
              <w:jc w:val="right"/>
            </w:pPr>
            <w:r>
              <w:t>19.57%</w:t>
            </w:r>
          </w:p>
        </w:tc>
        <w:tc>
          <w:tcPr>
            <w:tcW w:w="1066" w:type="pct"/>
          </w:tcPr>
          <w:p w14:paraId="1FB5E069" w14:textId="77777777" w:rsidR="00FA3966" w:rsidRDefault="00FA3966" w:rsidP="00BF7024">
            <w:pPr>
              <w:pStyle w:val="TableText"/>
              <w:jc w:val="right"/>
            </w:pPr>
            <w:r>
              <w:t>17.47%</w:t>
            </w:r>
          </w:p>
        </w:tc>
      </w:tr>
      <w:tr w:rsidR="00FA3966" w14:paraId="10AA59C1" w14:textId="77777777" w:rsidTr="00BF7024">
        <w:tc>
          <w:tcPr>
            <w:tcW w:w="1804" w:type="pct"/>
          </w:tcPr>
          <w:p w14:paraId="7DBD4347" w14:textId="77777777" w:rsidR="00FA3966" w:rsidRDefault="00FA3966" w:rsidP="00BF7024">
            <w:pPr>
              <w:pStyle w:val="TableText"/>
            </w:pPr>
            <w:r>
              <w:t>Brockton</w:t>
            </w:r>
          </w:p>
        </w:tc>
        <w:tc>
          <w:tcPr>
            <w:tcW w:w="1065" w:type="pct"/>
          </w:tcPr>
          <w:p w14:paraId="60CAF4C6" w14:textId="77777777" w:rsidR="00FA3966" w:rsidRDefault="00FA3966" w:rsidP="00BF7024">
            <w:pPr>
              <w:pStyle w:val="TableText"/>
              <w:jc w:val="right"/>
            </w:pPr>
            <w:r>
              <w:t>51.41%</w:t>
            </w:r>
          </w:p>
        </w:tc>
        <w:tc>
          <w:tcPr>
            <w:tcW w:w="1065" w:type="pct"/>
          </w:tcPr>
          <w:p w14:paraId="651D450A" w14:textId="77777777" w:rsidR="00FA3966" w:rsidRDefault="00FA3966" w:rsidP="00BF7024">
            <w:pPr>
              <w:pStyle w:val="TableText"/>
              <w:jc w:val="right"/>
            </w:pPr>
            <w:r>
              <w:t>12.30%</w:t>
            </w:r>
          </w:p>
        </w:tc>
        <w:tc>
          <w:tcPr>
            <w:tcW w:w="1066" w:type="pct"/>
          </w:tcPr>
          <w:p w14:paraId="2EEE8D2A" w14:textId="77777777" w:rsidR="00FA3966" w:rsidRDefault="00FA3966" w:rsidP="00BF7024">
            <w:pPr>
              <w:pStyle w:val="TableText"/>
              <w:jc w:val="right"/>
            </w:pPr>
            <w:r>
              <w:t>12.87%</w:t>
            </w:r>
          </w:p>
        </w:tc>
      </w:tr>
      <w:tr w:rsidR="00FA3966" w14:paraId="3D48AF77" w14:textId="77777777" w:rsidTr="00BF7024">
        <w:tc>
          <w:tcPr>
            <w:tcW w:w="1804" w:type="pct"/>
          </w:tcPr>
          <w:p w14:paraId="7241FE41" w14:textId="77777777" w:rsidR="00FA3966" w:rsidRDefault="00FA3966" w:rsidP="00BF7024">
            <w:pPr>
              <w:pStyle w:val="TableText"/>
            </w:pPr>
            <w:r>
              <w:t>Chelsea</w:t>
            </w:r>
          </w:p>
        </w:tc>
        <w:tc>
          <w:tcPr>
            <w:tcW w:w="1065" w:type="pct"/>
          </w:tcPr>
          <w:p w14:paraId="68C3E5D8" w14:textId="77777777" w:rsidR="00FA3966" w:rsidRDefault="00FA3966" w:rsidP="00BF7024">
            <w:pPr>
              <w:pStyle w:val="TableText"/>
              <w:jc w:val="right"/>
            </w:pPr>
            <w:r>
              <w:t>33.67%</w:t>
            </w:r>
          </w:p>
        </w:tc>
        <w:tc>
          <w:tcPr>
            <w:tcW w:w="1065" w:type="pct"/>
          </w:tcPr>
          <w:p w14:paraId="3E556E67" w14:textId="77777777" w:rsidR="00FA3966" w:rsidRDefault="00FA3966" w:rsidP="00BF7024">
            <w:pPr>
              <w:pStyle w:val="TableText"/>
              <w:jc w:val="right"/>
            </w:pPr>
            <w:r>
              <w:t>67.42%</w:t>
            </w:r>
          </w:p>
        </w:tc>
        <w:tc>
          <w:tcPr>
            <w:tcW w:w="1066" w:type="pct"/>
          </w:tcPr>
          <w:p w14:paraId="6E794493" w14:textId="77777777" w:rsidR="00FA3966" w:rsidRDefault="00FA3966" w:rsidP="00BF7024">
            <w:pPr>
              <w:pStyle w:val="TableText"/>
              <w:jc w:val="right"/>
            </w:pPr>
            <w:r>
              <w:t>21.40%</w:t>
            </w:r>
          </w:p>
        </w:tc>
      </w:tr>
      <w:tr w:rsidR="00FA3966" w14:paraId="17BBF807" w14:textId="77777777" w:rsidTr="00BF7024">
        <w:tc>
          <w:tcPr>
            <w:tcW w:w="1804" w:type="pct"/>
          </w:tcPr>
          <w:p w14:paraId="28805002" w14:textId="77777777" w:rsidR="00FA3966" w:rsidRDefault="00FA3966" w:rsidP="00BF7024">
            <w:pPr>
              <w:pStyle w:val="TableText"/>
            </w:pPr>
            <w:r>
              <w:t>Holyoke</w:t>
            </w:r>
          </w:p>
        </w:tc>
        <w:tc>
          <w:tcPr>
            <w:tcW w:w="1065" w:type="pct"/>
          </w:tcPr>
          <w:p w14:paraId="5D8A2628" w14:textId="77777777" w:rsidR="00FA3966" w:rsidRDefault="00FA3966" w:rsidP="00BF7024">
            <w:pPr>
              <w:pStyle w:val="TableText"/>
              <w:jc w:val="right"/>
            </w:pPr>
            <w:r>
              <w:t>8.15%</w:t>
            </w:r>
          </w:p>
        </w:tc>
        <w:tc>
          <w:tcPr>
            <w:tcW w:w="1065" w:type="pct"/>
          </w:tcPr>
          <w:p w14:paraId="17E6A6AC" w14:textId="77777777" w:rsidR="00FA3966" w:rsidRDefault="00FA3966" w:rsidP="00BF7024">
            <w:pPr>
              <w:pStyle w:val="TableText"/>
              <w:jc w:val="right"/>
            </w:pPr>
            <w:r>
              <w:t>51.67%</w:t>
            </w:r>
          </w:p>
        </w:tc>
        <w:tc>
          <w:tcPr>
            <w:tcW w:w="1066" w:type="pct"/>
          </w:tcPr>
          <w:p w14:paraId="0694DBAC" w14:textId="77777777" w:rsidR="00FA3966" w:rsidRDefault="00FA3966" w:rsidP="00BF7024">
            <w:pPr>
              <w:pStyle w:val="TableText"/>
              <w:jc w:val="right"/>
            </w:pPr>
            <w:r>
              <w:t>26.01%</w:t>
            </w:r>
          </w:p>
        </w:tc>
      </w:tr>
      <w:tr w:rsidR="00FA3966" w14:paraId="0FF797A3" w14:textId="77777777" w:rsidTr="00BF7024">
        <w:tc>
          <w:tcPr>
            <w:tcW w:w="1804" w:type="pct"/>
          </w:tcPr>
          <w:p w14:paraId="2126F445" w14:textId="77777777" w:rsidR="00FA3966" w:rsidRDefault="00FA3966" w:rsidP="00BF7024">
            <w:pPr>
              <w:pStyle w:val="TableText"/>
            </w:pPr>
            <w:r>
              <w:t>Lawrence</w:t>
            </w:r>
          </w:p>
        </w:tc>
        <w:tc>
          <w:tcPr>
            <w:tcW w:w="1065" w:type="pct"/>
          </w:tcPr>
          <w:p w14:paraId="6E75B8BB" w14:textId="77777777" w:rsidR="00FA3966" w:rsidRDefault="00FA3966" w:rsidP="00BF7024">
            <w:pPr>
              <w:pStyle w:val="TableText"/>
              <w:jc w:val="right"/>
            </w:pPr>
            <w:r>
              <w:t>10.30%</w:t>
            </w:r>
          </w:p>
        </w:tc>
        <w:tc>
          <w:tcPr>
            <w:tcW w:w="1065" w:type="pct"/>
          </w:tcPr>
          <w:p w14:paraId="353CCA95" w14:textId="77777777" w:rsidR="00FA3966" w:rsidRDefault="00FA3966" w:rsidP="00BF7024">
            <w:pPr>
              <w:pStyle w:val="TableText"/>
              <w:jc w:val="right"/>
            </w:pPr>
            <w:r>
              <w:t>81.96%</w:t>
            </w:r>
          </w:p>
        </w:tc>
        <w:tc>
          <w:tcPr>
            <w:tcW w:w="1066" w:type="pct"/>
          </w:tcPr>
          <w:p w14:paraId="7834784A" w14:textId="77777777" w:rsidR="00FA3966" w:rsidRDefault="00FA3966" w:rsidP="00BF7024">
            <w:pPr>
              <w:pStyle w:val="TableText"/>
              <w:jc w:val="right"/>
            </w:pPr>
            <w:r>
              <w:t>19.42%</w:t>
            </w:r>
          </w:p>
        </w:tc>
      </w:tr>
      <w:tr w:rsidR="00FA3966" w14:paraId="296DF544" w14:textId="77777777" w:rsidTr="00BF7024">
        <w:tc>
          <w:tcPr>
            <w:tcW w:w="1804" w:type="pct"/>
          </w:tcPr>
          <w:p w14:paraId="2880F94B" w14:textId="77777777" w:rsidR="00FA3966" w:rsidRDefault="00FA3966" w:rsidP="00BF7024">
            <w:pPr>
              <w:pStyle w:val="TableText"/>
            </w:pPr>
            <w:r>
              <w:t>Lowell</w:t>
            </w:r>
          </w:p>
        </w:tc>
        <w:tc>
          <w:tcPr>
            <w:tcW w:w="1065" w:type="pct"/>
          </w:tcPr>
          <w:p w14:paraId="76E88B1C" w14:textId="77777777" w:rsidR="00FA3966" w:rsidRDefault="00FA3966" w:rsidP="00BF7024">
            <w:pPr>
              <w:pStyle w:val="TableText"/>
              <w:jc w:val="right"/>
            </w:pPr>
            <w:r>
              <w:t>11.55%</w:t>
            </w:r>
          </w:p>
        </w:tc>
        <w:tc>
          <w:tcPr>
            <w:tcW w:w="1065" w:type="pct"/>
          </w:tcPr>
          <w:p w14:paraId="522D9B58" w14:textId="77777777" w:rsidR="00FA3966" w:rsidRDefault="00FA3966" w:rsidP="00BF7024">
            <w:pPr>
              <w:pStyle w:val="TableText"/>
              <w:jc w:val="right"/>
            </w:pPr>
            <w:r>
              <w:t>17.77%</w:t>
            </w:r>
          </w:p>
        </w:tc>
        <w:tc>
          <w:tcPr>
            <w:tcW w:w="1066" w:type="pct"/>
          </w:tcPr>
          <w:p w14:paraId="3AAD67A5" w14:textId="77777777" w:rsidR="00FA3966" w:rsidRDefault="00FA3966" w:rsidP="00BF7024">
            <w:pPr>
              <w:pStyle w:val="TableText"/>
              <w:jc w:val="right"/>
            </w:pPr>
            <w:r>
              <w:t>16.62%</w:t>
            </w:r>
          </w:p>
        </w:tc>
      </w:tr>
      <w:tr w:rsidR="00FA3966" w14:paraId="650D56D3" w14:textId="77777777" w:rsidTr="00BF7024">
        <w:tc>
          <w:tcPr>
            <w:tcW w:w="1804" w:type="pct"/>
          </w:tcPr>
          <w:p w14:paraId="7A6700C0" w14:textId="77777777" w:rsidR="00FA3966" w:rsidRDefault="00FA3966" w:rsidP="00BF7024">
            <w:pPr>
              <w:pStyle w:val="TableText"/>
            </w:pPr>
            <w:r>
              <w:t>Lynn</w:t>
            </w:r>
          </w:p>
        </w:tc>
        <w:tc>
          <w:tcPr>
            <w:tcW w:w="1065" w:type="pct"/>
          </w:tcPr>
          <w:p w14:paraId="5C94B7CA" w14:textId="77777777" w:rsidR="00FA3966" w:rsidRDefault="00FA3966" w:rsidP="00BF7024">
            <w:pPr>
              <w:pStyle w:val="TableText"/>
              <w:jc w:val="right"/>
            </w:pPr>
            <w:r>
              <w:t>18.38%</w:t>
            </w:r>
          </w:p>
        </w:tc>
        <w:tc>
          <w:tcPr>
            <w:tcW w:w="1065" w:type="pct"/>
          </w:tcPr>
          <w:p w14:paraId="505BABE7" w14:textId="77777777" w:rsidR="00FA3966" w:rsidRDefault="00FA3966" w:rsidP="00BF7024">
            <w:pPr>
              <w:pStyle w:val="TableText"/>
              <w:jc w:val="right"/>
            </w:pPr>
            <w:r>
              <w:t>42.94%</w:t>
            </w:r>
          </w:p>
        </w:tc>
        <w:tc>
          <w:tcPr>
            <w:tcW w:w="1066" w:type="pct"/>
          </w:tcPr>
          <w:p w14:paraId="67DEAFDB" w14:textId="77777777" w:rsidR="00FA3966" w:rsidRDefault="00FA3966" w:rsidP="00BF7024">
            <w:pPr>
              <w:pStyle w:val="TableText"/>
              <w:jc w:val="right"/>
            </w:pPr>
            <w:r>
              <w:t>14.08%</w:t>
            </w:r>
          </w:p>
        </w:tc>
      </w:tr>
      <w:tr w:rsidR="00FA3966" w14:paraId="260494AD" w14:textId="77777777" w:rsidTr="00BF7024">
        <w:tc>
          <w:tcPr>
            <w:tcW w:w="1804" w:type="pct"/>
          </w:tcPr>
          <w:p w14:paraId="4BC8B691" w14:textId="77777777" w:rsidR="00FA3966" w:rsidRDefault="00FA3966" w:rsidP="00BF7024">
            <w:pPr>
              <w:pStyle w:val="TableText"/>
            </w:pPr>
            <w:r>
              <w:t>New Bradford</w:t>
            </w:r>
          </w:p>
        </w:tc>
        <w:tc>
          <w:tcPr>
            <w:tcW w:w="1065" w:type="pct"/>
          </w:tcPr>
          <w:p w14:paraId="6E10B150" w14:textId="77777777" w:rsidR="00FA3966" w:rsidRDefault="00FA3966" w:rsidP="00BF7024">
            <w:pPr>
              <w:pStyle w:val="TableText"/>
              <w:jc w:val="right"/>
            </w:pPr>
            <w:r>
              <w:t>11.74%</w:t>
            </w:r>
          </w:p>
        </w:tc>
        <w:tc>
          <w:tcPr>
            <w:tcW w:w="1065" w:type="pct"/>
          </w:tcPr>
          <w:p w14:paraId="116F45B3" w14:textId="77777777" w:rsidR="00FA3966" w:rsidRDefault="00FA3966" w:rsidP="00BF7024">
            <w:pPr>
              <w:pStyle w:val="TableText"/>
              <w:jc w:val="right"/>
            </w:pPr>
            <w:r>
              <w:t>23.45%</w:t>
            </w:r>
          </w:p>
        </w:tc>
        <w:tc>
          <w:tcPr>
            <w:tcW w:w="1066" w:type="pct"/>
          </w:tcPr>
          <w:p w14:paraId="74D18C69" w14:textId="77777777" w:rsidR="00FA3966" w:rsidRDefault="00FA3966" w:rsidP="00BF7024">
            <w:pPr>
              <w:pStyle w:val="TableText"/>
              <w:jc w:val="right"/>
            </w:pPr>
            <w:r>
              <w:t>18.76%</w:t>
            </w:r>
          </w:p>
        </w:tc>
      </w:tr>
      <w:tr w:rsidR="00FA3966" w14:paraId="46AB3BB9" w14:textId="77777777" w:rsidTr="00BF7024">
        <w:tc>
          <w:tcPr>
            <w:tcW w:w="1804" w:type="pct"/>
          </w:tcPr>
          <w:p w14:paraId="18C8867E" w14:textId="77777777" w:rsidR="00FA3966" w:rsidRDefault="00FA3966" w:rsidP="00BF7024">
            <w:pPr>
              <w:pStyle w:val="TableText"/>
            </w:pPr>
            <w:r>
              <w:t>Southbridge</w:t>
            </w:r>
          </w:p>
        </w:tc>
        <w:tc>
          <w:tcPr>
            <w:tcW w:w="1065" w:type="pct"/>
          </w:tcPr>
          <w:p w14:paraId="5FDC5ADA" w14:textId="77777777" w:rsidR="00FA3966" w:rsidRDefault="00FA3966" w:rsidP="00BF7024">
            <w:pPr>
              <w:pStyle w:val="TableText"/>
              <w:jc w:val="right"/>
            </w:pPr>
            <w:r>
              <w:t>7.69%</w:t>
            </w:r>
          </w:p>
        </w:tc>
        <w:tc>
          <w:tcPr>
            <w:tcW w:w="1065" w:type="pct"/>
          </w:tcPr>
          <w:p w14:paraId="23963730" w14:textId="77777777" w:rsidR="00FA3966" w:rsidRDefault="00FA3966" w:rsidP="00BF7024">
            <w:pPr>
              <w:pStyle w:val="TableText"/>
              <w:jc w:val="right"/>
            </w:pPr>
            <w:r>
              <w:t>36.01%</w:t>
            </w:r>
          </w:p>
        </w:tc>
        <w:tc>
          <w:tcPr>
            <w:tcW w:w="1066" w:type="pct"/>
          </w:tcPr>
          <w:p w14:paraId="54CFE5AF" w14:textId="77777777" w:rsidR="00FA3966" w:rsidRDefault="00FA3966" w:rsidP="00BF7024">
            <w:pPr>
              <w:pStyle w:val="TableText"/>
              <w:jc w:val="right"/>
            </w:pPr>
            <w:r>
              <w:t>17.94%</w:t>
            </w:r>
          </w:p>
        </w:tc>
      </w:tr>
      <w:tr w:rsidR="00FA3966" w14:paraId="2BDDD1FE" w14:textId="77777777" w:rsidTr="00BF7024">
        <w:tc>
          <w:tcPr>
            <w:tcW w:w="1804" w:type="pct"/>
          </w:tcPr>
          <w:p w14:paraId="321EF72F" w14:textId="77777777" w:rsidR="00FA3966" w:rsidRDefault="00FA3966" w:rsidP="00BF7024">
            <w:pPr>
              <w:pStyle w:val="TableText"/>
            </w:pPr>
            <w:r>
              <w:t>Springfield</w:t>
            </w:r>
          </w:p>
        </w:tc>
        <w:tc>
          <w:tcPr>
            <w:tcW w:w="1065" w:type="pct"/>
          </w:tcPr>
          <w:p w14:paraId="68FD8AC8" w14:textId="77777777" w:rsidR="00FA3966" w:rsidRDefault="00FA3966" w:rsidP="00BF7024">
            <w:pPr>
              <w:pStyle w:val="TableText"/>
              <w:jc w:val="right"/>
            </w:pPr>
            <w:r>
              <w:t>25.69%</w:t>
            </w:r>
          </w:p>
        </w:tc>
        <w:tc>
          <w:tcPr>
            <w:tcW w:w="1065" w:type="pct"/>
          </w:tcPr>
          <w:p w14:paraId="61C20A26" w14:textId="77777777" w:rsidR="00FA3966" w:rsidRDefault="00FA3966" w:rsidP="00BF7024">
            <w:pPr>
              <w:pStyle w:val="TableText"/>
              <w:jc w:val="right"/>
            </w:pPr>
            <w:r>
              <w:t>48.30%</w:t>
            </w:r>
          </w:p>
        </w:tc>
        <w:tc>
          <w:tcPr>
            <w:tcW w:w="1066" w:type="pct"/>
          </w:tcPr>
          <w:p w14:paraId="6C0C386E" w14:textId="77777777" w:rsidR="00FA3966" w:rsidRDefault="00FA3966" w:rsidP="00BF7024">
            <w:pPr>
              <w:pStyle w:val="TableText"/>
              <w:jc w:val="right"/>
            </w:pPr>
            <w:r>
              <w:t>25.32%</w:t>
            </w:r>
          </w:p>
        </w:tc>
      </w:tr>
      <w:tr w:rsidR="00FA3966" w14:paraId="764D261E" w14:textId="77777777" w:rsidTr="00BF7024">
        <w:tc>
          <w:tcPr>
            <w:tcW w:w="1804" w:type="pct"/>
          </w:tcPr>
          <w:p w14:paraId="77CDC4D4" w14:textId="77777777" w:rsidR="00FA3966" w:rsidRDefault="00FA3966" w:rsidP="00BF7024">
            <w:pPr>
              <w:pStyle w:val="TableText"/>
            </w:pPr>
            <w:r>
              <w:t>Worcester</w:t>
            </w:r>
          </w:p>
        </w:tc>
        <w:tc>
          <w:tcPr>
            <w:tcW w:w="1065" w:type="pct"/>
          </w:tcPr>
          <w:p w14:paraId="2C04E4C4" w14:textId="77777777" w:rsidR="00FA3966" w:rsidRDefault="00FA3966" w:rsidP="00BF7024">
            <w:pPr>
              <w:pStyle w:val="TableText"/>
              <w:jc w:val="right"/>
            </w:pPr>
            <w:r>
              <w:t>16.36%</w:t>
            </w:r>
          </w:p>
        </w:tc>
        <w:tc>
          <w:tcPr>
            <w:tcW w:w="1065" w:type="pct"/>
          </w:tcPr>
          <w:p w14:paraId="52C8EE78" w14:textId="77777777" w:rsidR="00FA3966" w:rsidRDefault="00FA3966" w:rsidP="00BF7024">
            <w:pPr>
              <w:pStyle w:val="TableText"/>
              <w:jc w:val="right"/>
            </w:pPr>
            <w:r>
              <w:t>24.59%</w:t>
            </w:r>
          </w:p>
        </w:tc>
        <w:tc>
          <w:tcPr>
            <w:tcW w:w="1066" w:type="pct"/>
          </w:tcPr>
          <w:p w14:paraId="01716570" w14:textId="77777777" w:rsidR="00FA3966" w:rsidRDefault="00FA3966" w:rsidP="00BF7024">
            <w:pPr>
              <w:pStyle w:val="TableText"/>
              <w:jc w:val="right"/>
            </w:pPr>
            <w:r>
              <w:t>19.46%</w:t>
            </w:r>
          </w:p>
        </w:tc>
      </w:tr>
    </w:tbl>
    <w:p w14:paraId="08BC4217" w14:textId="77777777" w:rsidR="00FA3966" w:rsidRPr="003C2A9E" w:rsidRDefault="00FA3966" w:rsidP="006D7DE6">
      <w:pPr>
        <w:pStyle w:val="BodyTextFirstIndent"/>
      </w:pPr>
    </w:p>
    <w:p w14:paraId="39402EAB" w14:textId="4812FCF1" w:rsidR="00FA3966" w:rsidRDefault="00FA3966" w:rsidP="006D7DE6">
      <w:pPr>
        <w:pStyle w:val="BodyTextFirstIndent"/>
      </w:pPr>
      <w:r>
        <w:rPr>
          <w:noProof/>
        </w:rPr>
        <w:lastRenderedPageBreak/>
        <mc:AlternateContent>
          <mc:Choice Requires="wps">
            <w:drawing>
              <wp:anchor distT="0" distB="0" distL="114300" distR="114300" simplePos="0" relativeHeight="251715072" behindDoc="0" locked="0" layoutInCell="1" allowOverlap="1" wp14:anchorId="04F82103" wp14:editId="3CC959DC">
                <wp:simplePos x="0" y="0"/>
                <wp:positionH relativeFrom="margin">
                  <wp:posOffset>2639695</wp:posOffset>
                </wp:positionH>
                <wp:positionV relativeFrom="paragraph">
                  <wp:posOffset>31750</wp:posOffset>
                </wp:positionV>
                <wp:extent cx="3284220" cy="6575425"/>
                <wp:effectExtent l="0" t="0" r="11430" b="15875"/>
                <wp:wrapSquare wrapText="bothSides"/>
                <wp:docPr id="2099419831" name="Text Box 2"/>
                <wp:cNvGraphicFramePr/>
                <a:graphic xmlns:a="http://schemas.openxmlformats.org/drawingml/2006/main">
                  <a:graphicData uri="http://schemas.microsoft.com/office/word/2010/wordprocessingShape">
                    <wps:wsp>
                      <wps:cNvSpPr txBox="1"/>
                      <wps:spPr bwMode="auto">
                        <a:xfrm>
                          <a:off x="0" y="0"/>
                          <a:ext cx="3284220" cy="6575425"/>
                        </a:xfrm>
                        <a:prstGeom prst="rect">
                          <a:avLst/>
                        </a:prstGeom>
                        <a:solidFill>
                          <a:schemeClr val="accent1">
                            <a:lumMod val="20000"/>
                            <a:lumOff val="80000"/>
                          </a:schemeClr>
                        </a:solidFill>
                        <a:ln w="9525">
                          <a:solidFill>
                            <a:schemeClr val="tx1"/>
                          </a:solidFill>
                          <a:miter lim="800000"/>
                          <a:headEnd/>
                          <a:tailEnd/>
                        </a:ln>
                      </wps:spPr>
                      <wps:txbx>
                        <w:txbxContent>
                          <w:p w14:paraId="10E6E8DD" w14:textId="77777777" w:rsidR="00FA3966" w:rsidRDefault="00FA3966" w:rsidP="00FA3966">
                            <w:pPr>
                              <w:pStyle w:val="TextBoxTitle"/>
                            </w:pPr>
                            <w:r>
                              <w:t>AHEM Communities</w:t>
                            </w:r>
                          </w:p>
                          <w:p w14:paraId="05801A5D" w14:textId="77777777" w:rsidR="00FA3966" w:rsidRPr="00CB1CB1" w:rsidRDefault="00FA3966" w:rsidP="00FA3966">
                            <w:pPr>
                              <w:pStyle w:val="TextBoxText"/>
                              <w:rPr>
                                <w:sz w:val="22"/>
                                <w:szCs w:val="22"/>
                              </w:rPr>
                            </w:pPr>
                            <w:r w:rsidRPr="00CB1CB1">
                              <w:rPr>
                                <w:sz w:val="22"/>
                                <w:szCs w:val="22"/>
                              </w:rPr>
                              <w:t xml:space="preserve">The AHEM communities are listed below, with the subset of communities of focus from the 2022–2026 Strategic Plan for Asthma in Massachusetts listed </w:t>
                            </w:r>
                            <w:r w:rsidRPr="00CB1CB1">
                              <w:rPr>
                                <w:b/>
                                <w:bCs/>
                                <w:sz w:val="22"/>
                                <w:szCs w:val="22"/>
                              </w:rPr>
                              <w:t>in bold</w:t>
                            </w:r>
                            <w:r w:rsidRPr="00CB1CB1">
                              <w:rPr>
                                <w:sz w:val="22"/>
                                <w:szCs w:val="22"/>
                              </w:rPr>
                              <w:t>.</w:t>
                            </w:r>
                          </w:p>
                          <w:p w14:paraId="1E801E7B" w14:textId="77777777" w:rsidR="00FA3966" w:rsidRPr="00CB1CB1" w:rsidRDefault="00FA3966" w:rsidP="00CB1CB1">
                            <w:pPr>
                              <w:pStyle w:val="TextBoxBullet"/>
                              <w:spacing w:after="20"/>
                              <w:rPr>
                                <w:sz w:val="22"/>
                                <w:szCs w:val="22"/>
                              </w:rPr>
                            </w:pPr>
                            <w:r w:rsidRPr="00CB1CB1">
                              <w:rPr>
                                <w:sz w:val="22"/>
                                <w:szCs w:val="22"/>
                              </w:rPr>
                              <w:t>North Adams</w:t>
                            </w:r>
                          </w:p>
                          <w:p w14:paraId="341E0D1B" w14:textId="77777777" w:rsidR="00FA3966" w:rsidRPr="00CB1CB1" w:rsidRDefault="00FA3966" w:rsidP="00CB1CB1">
                            <w:pPr>
                              <w:pStyle w:val="TextBoxBullet"/>
                              <w:spacing w:after="20"/>
                              <w:rPr>
                                <w:sz w:val="22"/>
                                <w:szCs w:val="22"/>
                              </w:rPr>
                            </w:pPr>
                            <w:r w:rsidRPr="00CB1CB1">
                              <w:rPr>
                                <w:sz w:val="22"/>
                                <w:szCs w:val="22"/>
                              </w:rPr>
                              <w:t>Pittsfield</w:t>
                            </w:r>
                          </w:p>
                          <w:p w14:paraId="7FE99607" w14:textId="77777777" w:rsidR="00FA3966" w:rsidRPr="00CB1CB1" w:rsidRDefault="00FA3966" w:rsidP="00CB1CB1">
                            <w:pPr>
                              <w:pStyle w:val="TextBoxBullet"/>
                              <w:spacing w:after="20"/>
                              <w:rPr>
                                <w:b/>
                                <w:bCs/>
                                <w:sz w:val="22"/>
                                <w:szCs w:val="22"/>
                              </w:rPr>
                            </w:pPr>
                            <w:r w:rsidRPr="00CB1CB1">
                              <w:rPr>
                                <w:b/>
                                <w:bCs/>
                                <w:sz w:val="22"/>
                                <w:szCs w:val="22"/>
                              </w:rPr>
                              <w:t xml:space="preserve">Boston </w:t>
                            </w:r>
                          </w:p>
                          <w:p w14:paraId="3F2D86D9" w14:textId="77777777" w:rsidR="00FA3966" w:rsidRPr="00CB1CB1" w:rsidRDefault="00FA3966" w:rsidP="00CB1CB1">
                            <w:pPr>
                              <w:pStyle w:val="TextBoxBullet"/>
                              <w:spacing w:after="20"/>
                              <w:rPr>
                                <w:sz w:val="22"/>
                                <w:szCs w:val="22"/>
                              </w:rPr>
                            </w:pPr>
                            <w:r w:rsidRPr="00CB1CB1">
                              <w:rPr>
                                <w:b/>
                                <w:bCs/>
                                <w:sz w:val="22"/>
                                <w:szCs w:val="22"/>
                              </w:rPr>
                              <w:t>Brockton</w:t>
                            </w:r>
                          </w:p>
                          <w:p w14:paraId="509B19DC" w14:textId="77777777" w:rsidR="00FA3966" w:rsidRPr="00CB1CB1" w:rsidRDefault="00FA3966" w:rsidP="00CB1CB1">
                            <w:pPr>
                              <w:pStyle w:val="TextBoxBullet"/>
                              <w:spacing w:after="20"/>
                              <w:rPr>
                                <w:sz w:val="22"/>
                                <w:szCs w:val="22"/>
                              </w:rPr>
                            </w:pPr>
                            <w:r w:rsidRPr="00CB1CB1">
                              <w:rPr>
                                <w:sz w:val="22"/>
                                <w:szCs w:val="22"/>
                              </w:rPr>
                              <w:t>Holbrook</w:t>
                            </w:r>
                          </w:p>
                          <w:p w14:paraId="693BDD65" w14:textId="77777777" w:rsidR="00FA3966" w:rsidRPr="00CB1CB1" w:rsidRDefault="00FA3966" w:rsidP="00CB1CB1">
                            <w:pPr>
                              <w:pStyle w:val="TextBoxBullet"/>
                              <w:spacing w:after="20"/>
                              <w:rPr>
                                <w:sz w:val="22"/>
                                <w:szCs w:val="22"/>
                              </w:rPr>
                            </w:pPr>
                            <w:r w:rsidRPr="00CB1CB1">
                              <w:rPr>
                                <w:sz w:val="22"/>
                                <w:szCs w:val="22"/>
                              </w:rPr>
                              <w:t>Rockland</w:t>
                            </w:r>
                          </w:p>
                          <w:p w14:paraId="38A948AE" w14:textId="77777777" w:rsidR="00FA3966" w:rsidRPr="00CB1CB1" w:rsidRDefault="00FA3966" w:rsidP="00CB1CB1">
                            <w:pPr>
                              <w:pStyle w:val="TextBoxBullet"/>
                              <w:spacing w:after="20"/>
                              <w:rPr>
                                <w:b/>
                                <w:bCs/>
                                <w:sz w:val="22"/>
                                <w:szCs w:val="22"/>
                              </w:rPr>
                            </w:pPr>
                            <w:r w:rsidRPr="00CB1CB1">
                              <w:rPr>
                                <w:b/>
                                <w:bCs/>
                                <w:sz w:val="22"/>
                                <w:szCs w:val="22"/>
                              </w:rPr>
                              <w:t>Chelsea</w:t>
                            </w:r>
                          </w:p>
                          <w:p w14:paraId="5155FEA5" w14:textId="77777777" w:rsidR="00FA3966" w:rsidRPr="00CB1CB1" w:rsidRDefault="00FA3966" w:rsidP="00CB1CB1">
                            <w:pPr>
                              <w:pStyle w:val="TextBoxBullet"/>
                              <w:spacing w:after="20"/>
                              <w:rPr>
                                <w:b/>
                                <w:bCs/>
                                <w:sz w:val="22"/>
                                <w:szCs w:val="22"/>
                              </w:rPr>
                            </w:pPr>
                            <w:r w:rsidRPr="00CB1CB1">
                              <w:rPr>
                                <w:b/>
                                <w:bCs/>
                                <w:sz w:val="22"/>
                                <w:szCs w:val="22"/>
                              </w:rPr>
                              <w:t>Lynn</w:t>
                            </w:r>
                          </w:p>
                          <w:p w14:paraId="6B16EC10" w14:textId="77777777" w:rsidR="00FA3966" w:rsidRPr="00CB1CB1" w:rsidRDefault="00FA3966" w:rsidP="00CB1CB1">
                            <w:pPr>
                              <w:pStyle w:val="TextBoxBullet"/>
                              <w:spacing w:after="20"/>
                              <w:rPr>
                                <w:sz w:val="22"/>
                                <w:szCs w:val="22"/>
                              </w:rPr>
                            </w:pPr>
                            <w:r w:rsidRPr="00CB1CB1">
                              <w:rPr>
                                <w:sz w:val="22"/>
                                <w:szCs w:val="22"/>
                              </w:rPr>
                              <w:t>Attleboro</w:t>
                            </w:r>
                          </w:p>
                          <w:p w14:paraId="696AFFC5" w14:textId="77777777" w:rsidR="00FA3966" w:rsidRPr="00CB1CB1" w:rsidRDefault="00FA3966" w:rsidP="00CB1CB1">
                            <w:pPr>
                              <w:pStyle w:val="TextBoxBullet"/>
                              <w:spacing w:after="20"/>
                              <w:rPr>
                                <w:sz w:val="22"/>
                                <w:szCs w:val="22"/>
                              </w:rPr>
                            </w:pPr>
                            <w:r w:rsidRPr="00CB1CB1">
                              <w:rPr>
                                <w:sz w:val="22"/>
                                <w:szCs w:val="22"/>
                              </w:rPr>
                              <w:t>Fall River</w:t>
                            </w:r>
                          </w:p>
                          <w:p w14:paraId="48E32060" w14:textId="77777777" w:rsidR="00FA3966" w:rsidRPr="00CB1CB1" w:rsidRDefault="00FA3966" w:rsidP="00CB1CB1">
                            <w:pPr>
                              <w:pStyle w:val="TextBoxBullet"/>
                              <w:spacing w:after="20"/>
                              <w:rPr>
                                <w:b/>
                                <w:bCs/>
                                <w:sz w:val="22"/>
                                <w:szCs w:val="22"/>
                              </w:rPr>
                            </w:pPr>
                            <w:r w:rsidRPr="00CB1CB1">
                              <w:rPr>
                                <w:b/>
                                <w:bCs/>
                                <w:sz w:val="22"/>
                                <w:szCs w:val="22"/>
                              </w:rPr>
                              <w:t>New Bedford</w:t>
                            </w:r>
                          </w:p>
                          <w:p w14:paraId="4C5DEDB9" w14:textId="77777777" w:rsidR="00FA3966" w:rsidRPr="00CB1CB1" w:rsidRDefault="00FA3966" w:rsidP="00CB1CB1">
                            <w:pPr>
                              <w:pStyle w:val="TextBoxBullet"/>
                              <w:spacing w:after="20"/>
                              <w:rPr>
                                <w:sz w:val="22"/>
                                <w:szCs w:val="22"/>
                              </w:rPr>
                            </w:pPr>
                            <w:r w:rsidRPr="00CB1CB1">
                              <w:rPr>
                                <w:sz w:val="22"/>
                                <w:szCs w:val="22"/>
                              </w:rPr>
                              <w:t>Wareham</w:t>
                            </w:r>
                          </w:p>
                          <w:p w14:paraId="4A75ACCC" w14:textId="77777777" w:rsidR="00FA3966" w:rsidRPr="00CB1CB1" w:rsidRDefault="00FA3966" w:rsidP="00CB1CB1">
                            <w:pPr>
                              <w:pStyle w:val="TextBoxBullet"/>
                              <w:spacing w:after="20"/>
                              <w:rPr>
                                <w:b/>
                                <w:bCs/>
                                <w:sz w:val="22"/>
                                <w:szCs w:val="22"/>
                              </w:rPr>
                            </w:pPr>
                            <w:r w:rsidRPr="00CB1CB1">
                              <w:rPr>
                                <w:b/>
                                <w:bCs/>
                                <w:sz w:val="22"/>
                                <w:szCs w:val="22"/>
                              </w:rPr>
                              <w:t>Lawrence</w:t>
                            </w:r>
                          </w:p>
                          <w:p w14:paraId="1F72D8BE" w14:textId="77777777" w:rsidR="00FA3966" w:rsidRPr="00CB1CB1" w:rsidRDefault="00FA3966" w:rsidP="00CB1CB1">
                            <w:pPr>
                              <w:pStyle w:val="TextBoxBullet"/>
                              <w:spacing w:after="20"/>
                              <w:rPr>
                                <w:b/>
                                <w:bCs/>
                                <w:sz w:val="22"/>
                                <w:szCs w:val="22"/>
                              </w:rPr>
                            </w:pPr>
                            <w:r w:rsidRPr="00CB1CB1">
                              <w:rPr>
                                <w:b/>
                                <w:bCs/>
                                <w:sz w:val="22"/>
                                <w:szCs w:val="22"/>
                              </w:rPr>
                              <w:t>Lowell</w:t>
                            </w:r>
                          </w:p>
                          <w:p w14:paraId="13F1A135" w14:textId="77777777" w:rsidR="00FA3966" w:rsidRPr="00CB1CB1" w:rsidRDefault="00FA3966" w:rsidP="00CB1CB1">
                            <w:pPr>
                              <w:pStyle w:val="TextBoxBullet"/>
                              <w:spacing w:after="20"/>
                              <w:rPr>
                                <w:sz w:val="22"/>
                                <w:szCs w:val="22"/>
                              </w:rPr>
                            </w:pPr>
                            <w:r w:rsidRPr="00CB1CB1">
                              <w:rPr>
                                <w:sz w:val="22"/>
                                <w:szCs w:val="22"/>
                              </w:rPr>
                              <w:t>Dennis</w:t>
                            </w:r>
                          </w:p>
                          <w:p w14:paraId="37C219DD" w14:textId="77777777" w:rsidR="00FA3966" w:rsidRPr="00CB1CB1" w:rsidRDefault="00FA3966" w:rsidP="00CB1CB1">
                            <w:pPr>
                              <w:pStyle w:val="TextBoxBullet"/>
                              <w:spacing w:after="20"/>
                              <w:rPr>
                                <w:sz w:val="22"/>
                                <w:szCs w:val="22"/>
                              </w:rPr>
                            </w:pPr>
                            <w:r w:rsidRPr="00CB1CB1">
                              <w:rPr>
                                <w:sz w:val="22"/>
                                <w:szCs w:val="22"/>
                              </w:rPr>
                              <w:t>Falmouth</w:t>
                            </w:r>
                          </w:p>
                          <w:p w14:paraId="2C670230" w14:textId="77777777" w:rsidR="00FA3966" w:rsidRPr="00CB1CB1" w:rsidRDefault="00FA3966" w:rsidP="00CB1CB1">
                            <w:pPr>
                              <w:pStyle w:val="TextBoxBullet"/>
                              <w:spacing w:after="20"/>
                              <w:rPr>
                                <w:sz w:val="22"/>
                                <w:szCs w:val="22"/>
                              </w:rPr>
                            </w:pPr>
                            <w:r w:rsidRPr="00CB1CB1">
                              <w:rPr>
                                <w:sz w:val="22"/>
                                <w:szCs w:val="22"/>
                              </w:rPr>
                              <w:t>Yarmouth</w:t>
                            </w:r>
                          </w:p>
                          <w:p w14:paraId="06CBA92F" w14:textId="77777777" w:rsidR="00FA3966" w:rsidRPr="00CB1CB1" w:rsidRDefault="00FA3966" w:rsidP="00CB1CB1">
                            <w:pPr>
                              <w:pStyle w:val="TextBoxBullet"/>
                              <w:spacing w:after="20"/>
                              <w:rPr>
                                <w:sz w:val="22"/>
                                <w:szCs w:val="22"/>
                              </w:rPr>
                            </w:pPr>
                            <w:r w:rsidRPr="00CB1CB1">
                              <w:rPr>
                                <w:sz w:val="22"/>
                                <w:szCs w:val="22"/>
                              </w:rPr>
                              <w:t>Athol</w:t>
                            </w:r>
                          </w:p>
                          <w:p w14:paraId="4E2616F6" w14:textId="77777777" w:rsidR="00FA3966" w:rsidRPr="00CB1CB1" w:rsidRDefault="00FA3966" w:rsidP="00CB1CB1">
                            <w:pPr>
                              <w:pStyle w:val="TextBoxBullet"/>
                              <w:spacing w:after="20"/>
                              <w:rPr>
                                <w:sz w:val="22"/>
                                <w:szCs w:val="22"/>
                              </w:rPr>
                            </w:pPr>
                            <w:r w:rsidRPr="00CB1CB1">
                              <w:rPr>
                                <w:sz w:val="22"/>
                                <w:szCs w:val="22"/>
                              </w:rPr>
                              <w:t>Ayer</w:t>
                            </w:r>
                          </w:p>
                          <w:p w14:paraId="264BBFA0" w14:textId="77777777" w:rsidR="00FA3966" w:rsidRPr="00CB1CB1" w:rsidRDefault="00FA3966" w:rsidP="00CB1CB1">
                            <w:pPr>
                              <w:pStyle w:val="TextBoxBullet"/>
                              <w:spacing w:after="20"/>
                              <w:rPr>
                                <w:sz w:val="22"/>
                                <w:szCs w:val="22"/>
                              </w:rPr>
                            </w:pPr>
                            <w:r w:rsidRPr="00CB1CB1">
                              <w:rPr>
                                <w:sz w:val="22"/>
                                <w:szCs w:val="22"/>
                              </w:rPr>
                              <w:t>Fitchburg</w:t>
                            </w:r>
                          </w:p>
                          <w:p w14:paraId="430311F3" w14:textId="77777777" w:rsidR="00FA3966" w:rsidRPr="00CB1CB1" w:rsidRDefault="00FA3966" w:rsidP="00CB1CB1">
                            <w:pPr>
                              <w:pStyle w:val="TextBoxBullet"/>
                              <w:spacing w:after="20"/>
                              <w:rPr>
                                <w:sz w:val="22"/>
                                <w:szCs w:val="22"/>
                              </w:rPr>
                            </w:pPr>
                            <w:r w:rsidRPr="00CB1CB1">
                              <w:rPr>
                                <w:sz w:val="22"/>
                                <w:szCs w:val="22"/>
                              </w:rPr>
                              <w:t>Gardner</w:t>
                            </w:r>
                          </w:p>
                          <w:p w14:paraId="67D4734A" w14:textId="77777777" w:rsidR="00FA3966" w:rsidRPr="00CB1CB1" w:rsidRDefault="00FA3966" w:rsidP="00CB1CB1">
                            <w:pPr>
                              <w:pStyle w:val="TextBoxBullet"/>
                              <w:spacing w:after="20"/>
                              <w:rPr>
                                <w:sz w:val="22"/>
                                <w:szCs w:val="22"/>
                              </w:rPr>
                            </w:pPr>
                            <w:r w:rsidRPr="00CB1CB1">
                              <w:rPr>
                                <w:sz w:val="22"/>
                                <w:szCs w:val="22"/>
                              </w:rPr>
                              <w:t>Orange</w:t>
                            </w:r>
                          </w:p>
                          <w:p w14:paraId="5C57B9D2" w14:textId="77777777" w:rsidR="00FA3966" w:rsidRPr="00CB1CB1" w:rsidRDefault="00FA3966" w:rsidP="00CB1CB1">
                            <w:pPr>
                              <w:pStyle w:val="TextBoxBullet"/>
                              <w:spacing w:after="20"/>
                              <w:rPr>
                                <w:sz w:val="22"/>
                                <w:szCs w:val="22"/>
                              </w:rPr>
                            </w:pPr>
                            <w:r w:rsidRPr="00CB1CB1">
                              <w:rPr>
                                <w:sz w:val="22"/>
                                <w:szCs w:val="22"/>
                              </w:rPr>
                              <w:t>Winchendon</w:t>
                            </w:r>
                          </w:p>
                          <w:p w14:paraId="2C808242" w14:textId="77777777" w:rsidR="00FA3966" w:rsidRPr="00CB1CB1" w:rsidRDefault="00FA3966" w:rsidP="00CB1CB1">
                            <w:pPr>
                              <w:pStyle w:val="TextBoxBullet"/>
                              <w:spacing w:after="20"/>
                              <w:rPr>
                                <w:sz w:val="22"/>
                                <w:szCs w:val="22"/>
                              </w:rPr>
                            </w:pPr>
                            <w:r w:rsidRPr="00CB1CB1">
                              <w:rPr>
                                <w:sz w:val="22"/>
                                <w:szCs w:val="22"/>
                              </w:rPr>
                              <w:t>Chicopee</w:t>
                            </w:r>
                          </w:p>
                          <w:p w14:paraId="5911F711" w14:textId="77777777" w:rsidR="00FA3966" w:rsidRPr="00CB1CB1" w:rsidRDefault="00FA3966" w:rsidP="00CB1CB1">
                            <w:pPr>
                              <w:pStyle w:val="TextBoxBullet"/>
                              <w:spacing w:after="20"/>
                              <w:rPr>
                                <w:b/>
                                <w:bCs/>
                                <w:sz w:val="22"/>
                                <w:szCs w:val="22"/>
                              </w:rPr>
                            </w:pPr>
                            <w:r w:rsidRPr="00CB1CB1">
                              <w:rPr>
                                <w:b/>
                                <w:bCs/>
                                <w:sz w:val="22"/>
                                <w:szCs w:val="22"/>
                              </w:rPr>
                              <w:t>Holyoke</w:t>
                            </w:r>
                          </w:p>
                          <w:p w14:paraId="21401FE5" w14:textId="77777777" w:rsidR="00FA3966" w:rsidRPr="00CB1CB1" w:rsidRDefault="00FA3966" w:rsidP="00CB1CB1">
                            <w:pPr>
                              <w:pStyle w:val="TextBoxBullet"/>
                              <w:spacing w:after="20"/>
                              <w:rPr>
                                <w:b/>
                                <w:bCs/>
                                <w:sz w:val="22"/>
                                <w:szCs w:val="22"/>
                              </w:rPr>
                            </w:pPr>
                            <w:r w:rsidRPr="00CB1CB1">
                              <w:rPr>
                                <w:b/>
                                <w:bCs/>
                                <w:sz w:val="22"/>
                                <w:szCs w:val="22"/>
                              </w:rPr>
                              <w:t>Springfield</w:t>
                            </w:r>
                          </w:p>
                          <w:p w14:paraId="34144A11" w14:textId="77777777" w:rsidR="00FA3966" w:rsidRPr="00CB1CB1" w:rsidRDefault="00FA3966" w:rsidP="00CB1CB1">
                            <w:pPr>
                              <w:pStyle w:val="TextBoxBullet"/>
                              <w:spacing w:after="20"/>
                              <w:rPr>
                                <w:sz w:val="22"/>
                                <w:szCs w:val="22"/>
                              </w:rPr>
                            </w:pPr>
                            <w:r w:rsidRPr="00CB1CB1">
                              <w:rPr>
                                <w:b/>
                                <w:bCs/>
                                <w:sz w:val="22"/>
                                <w:szCs w:val="22"/>
                              </w:rPr>
                              <w:t>Southbridge</w:t>
                            </w:r>
                          </w:p>
                          <w:p w14:paraId="096A38A8" w14:textId="77777777" w:rsidR="00FA3966" w:rsidRPr="00CB1CB1" w:rsidRDefault="00FA3966" w:rsidP="00CB1CB1">
                            <w:pPr>
                              <w:pStyle w:val="TextBoxBullet"/>
                              <w:spacing w:after="20"/>
                              <w:rPr>
                                <w:sz w:val="22"/>
                                <w:szCs w:val="22"/>
                              </w:rPr>
                            </w:pPr>
                            <w:r w:rsidRPr="00CB1CB1">
                              <w:rPr>
                                <w:sz w:val="22"/>
                                <w:szCs w:val="22"/>
                              </w:rPr>
                              <w:t>Ware</w:t>
                            </w:r>
                          </w:p>
                          <w:p w14:paraId="4B0C4DA3" w14:textId="77777777" w:rsidR="00FA3966" w:rsidRPr="00CB1CB1" w:rsidRDefault="00FA3966" w:rsidP="00CB1CB1">
                            <w:pPr>
                              <w:pStyle w:val="TextBoxBullet"/>
                              <w:spacing w:after="20"/>
                              <w:rPr>
                                <w:sz w:val="22"/>
                                <w:szCs w:val="22"/>
                              </w:rPr>
                            </w:pPr>
                            <w:r w:rsidRPr="00CB1CB1">
                              <w:rPr>
                                <w:sz w:val="22"/>
                                <w:szCs w:val="22"/>
                              </w:rPr>
                              <w:t>Webster</w:t>
                            </w:r>
                          </w:p>
                          <w:p w14:paraId="320B406E" w14:textId="77777777" w:rsidR="00FA3966" w:rsidRPr="00CB1CB1" w:rsidRDefault="00FA3966" w:rsidP="00FA3966">
                            <w:pPr>
                              <w:pStyle w:val="TextBoxBullet"/>
                              <w:rPr>
                                <w:b/>
                                <w:bCs/>
                                <w:sz w:val="22"/>
                                <w:szCs w:val="22"/>
                              </w:rPr>
                            </w:pPr>
                            <w:r w:rsidRPr="00CB1CB1">
                              <w:rPr>
                                <w:b/>
                                <w:bCs/>
                                <w:sz w:val="22"/>
                                <w:szCs w:val="22"/>
                              </w:rPr>
                              <w:t>Worcester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F82103" id="_x0000_s1030" type="#_x0000_t202" style="position:absolute;margin-left:207.85pt;margin-top:2.5pt;width:258.6pt;height:517.7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" fillcolor="#dbe5f1 [660]" strokecolor="black [3213]">
                <v:textbox>
                  <w:txbxContent>
                    <w:p w14:paraId="10E6E8DD" w14:textId="77777777" w:rsidR="00FA3966" w:rsidRDefault="00FA3966" w:rsidP="00FA3966">
                      <w:pPr>
                        <w:pStyle w:val="TextBoxTitle"/>
                      </w:pPr>
                      <w:r>
                        <w:t>AHEM Communities</w:t>
                      </w:r>
                    </w:p>
                    <w:p w14:paraId="05801A5D" w14:textId="77777777" w:rsidR="00FA3966" w:rsidRPr="00CB1CB1" w:rsidRDefault="00FA3966" w:rsidP="00FA3966">
                      <w:pPr>
                        <w:pStyle w:val="TextBoxText"/>
                        <w:rPr>
                          <w:sz w:val="22"/>
                          <w:szCs w:val="22"/>
                        </w:rPr>
                      </w:pPr>
                      <w:r w:rsidRPr="00CB1CB1">
                        <w:rPr>
                          <w:sz w:val="22"/>
                          <w:szCs w:val="22"/>
                        </w:rPr>
                        <w:t xml:space="preserve">The AHEM communities are listed below, with the subset of communities of focus from the 2022–2026 Strategic Plan for Asthma in Massachusetts listed </w:t>
                      </w:r>
                      <w:r w:rsidRPr="00CB1CB1">
                        <w:rPr>
                          <w:b/>
                          <w:bCs/>
                          <w:sz w:val="22"/>
                          <w:szCs w:val="22"/>
                        </w:rPr>
                        <w:t>in bold</w:t>
                      </w:r>
                      <w:r w:rsidRPr="00CB1CB1">
                        <w:rPr>
                          <w:sz w:val="22"/>
                          <w:szCs w:val="22"/>
                        </w:rPr>
                        <w:t>.</w:t>
                      </w:r>
                    </w:p>
                    <w:p w14:paraId="1E801E7B" w14:textId="77777777" w:rsidR="00FA3966" w:rsidRPr="00CB1CB1" w:rsidRDefault="00FA3966" w:rsidP="00CB1CB1">
                      <w:pPr>
                        <w:pStyle w:val="TextBoxBullet"/>
                        <w:spacing w:after="20"/>
                        <w:rPr>
                          <w:sz w:val="22"/>
                          <w:szCs w:val="22"/>
                        </w:rPr>
                      </w:pPr>
                      <w:r w:rsidRPr="00CB1CB1">
                        <w:rPr>
                          <w:sz w:val="22"/>
                          <w:szCs w:val="22"/>
                        </w:rPr>
                        <w:t>North Adams</w:t>
                      </w:r>
                    </w:p>
                    <w:p w14:paraId="341E0D1B" w14:textId="77777777" w:rsidR="00FA3966" w:rsidRPr="00CB1CB1" w:rsidRDefault="00FA3966" w:rsidP="00CB1CB1">
                      <w:pPr>
                        <w:pStyle w:val="TextBoxBullet"/>
                        <w:spacing w:after="20"/>
                        <w:rPr>
                          <w:sz w:val="22"/>
                          <w:szCs w:val="22"/>
                        </w:rPr>
                      </w:pPr>
                      <w:r w:rsidRPr="00CB1CB1">
                        <w:rPr>
                          <w:sz w:val="22"/>
                          <w:szCs w:val="22"/>
                        </w:rPr>
                        <w:t>Pittsfield</w:t>
                      </w:r>
                    </w:p>
                    <w:p w14:paraId="7FE99607" w14:textId="77777777" w:rsidR="00FA3966" w:rsidRPr="00CB1CB1" w:rsidRDefault="00FA3966" w:rsidP="00CB1CB1">
                      <w:pPr>
                        <w:pStyle w:val="TextBoxBullet"/>
                        <w:spacing w:after="20"/>
                        <w:rPr>
                          <w:b/>
                          <w:bCs/>
                          <w:sz w:val="22"/>
                          <w:szCs w:val="22"/>
                        </w:rPr>
                      </w:pPr>
                      <w:r w:rsidRPr="00CB1CB1">
                        <w:rPr>
                          <w:b/>
                          <w:bCs/>
                          <w:sz w:val="22"/>
                          <w:szCs w:val="22"/>
                        </w:rPr>
                        <w:t xml:space="preserve">Boston </w:t>
                      </w:r>
                    </w:p>
                    <w:p w14:paraId="3F2D86D9" w14:textId="77777777" w:rsidR="00FA3966" w:rsidRPr="00CB1CB1" w:rsidRDefault="00FA3966" w:rsidP="00CB1CB1">
                      <w:pPr>
                        <w:pStyle w:val="TextBoxBullet"/>
                        <w:spacing w:after="20"/>
                        <w:rPr>
                          <w:sz w:val="22"/>
                          <w:szCs w:val="22"/>
                        </w:rPr>
                      </w:pPr>
                      <w:r w:rsidRPr="00CB1CB1">
                        <w:rPr>
                          <w:b/>
                          <w:bCs/>
                          <w:sz w:val="22"/>
                          <w:szCs w:val="22"/>
                        </w:rPr>
                        <w:t>Brockton</w:t>
                      </w:r>
                    </w:p>
                    <w:p w14:paraId="509B19DC" w14:textId="77777777" w:rsidR="00FA3966" w:rsidRPr="00CB1CB1" w:rsidRDefault="00FA3966" w:rsidP="00CB1CB1">
                      <w:pPr>
                        <w:pStyle w:val="TextBoxBullet"/>
                        <w:spacing w:after="20"/>
                        <w:rPr>
                          <w:sz w:val="22"/>
                          <w:szCs w:val="22"/>
                        </w:rPr>
                      </w:pPr>
                      <w:r w:rsidRPr="00CB1CB1">
                        <w:rPr>
                          <w:sz w:val="22"/>
                          <w:szCs w:val="22"/>
                        </w:rPr>
                        <w:t>Holbrook</w:t>
                      </w:r>
                    </w:p>
                    <w:p w14:paraId="693BDD65" w14:textId="77777777" w:rsidR="00FA3966" w:rsidRPr="00CB1CB1" w:rsidRDefault="00FA3966" w:rsidP="00CB1CB1">
                      <w:pPr>
                        <w:pStyle w:val="TextBoxBullet"/>
                        <w:spacing w:after="20"/>
                        <w:rPr>
                          <w:sz w:val="22"/>
                          <w:szCs w:val="22"/>
                        </w:rPr>
                      </w:pPr>
                      <w:r w:rsidRPr="00CB1CB1">
                        <w:rPr>
                          <w:sz w:val="22"/>
                          <w:szCs w:val="22"/>
                        </w:rPr>
                        <w:t>Rockland</w:t>
                      </w:r>
                    </w:p>
                    <w:p w14:paraId="38A948AE" w14:textId="77777777" w:rsidR="00FA3966" w:rsidRPr="00CB1CB1" w:rsidRDefault="00FA3966" w:rsidP="00CB1CB1">
                      <w:pPr>
                        <w:pStyle w:val="TextBoxBullet"/>
                        <w:spacing w:after="20"/>
                        <w:rPr>
                          <w:b/>
                          <w:bCs/>
                          <w:sz w:val="22"/>
                          <w:szCs w:val="22"/>
                        </w:rPr>
                      </w:pPr>
                      <w:r w:rsidRPr="00CB1CB1">
                        <w:rPr>
                          <w:b/>
                          <w:bCs/>
                          <w:sz w:val="22"/>
                          <w:szCs w:val="22"/>
                        </w:rPr>
                        <w:t>Chelsea</w:t>
                      </w:r>
                    </w:p>
                    <w:p w14:paraId="5155FEA5" w14:textId="77777777" w:rsidR="00FA3966" w:rsidRPr="00CB1CB1" w:rsidRDefault="00FA3966" w:rsidP="00CB1CB1">
                      <w:pPr>
                        <w:pStyle w:val="TextBoxBullet"/>
                        <w:spacing w:after="20"/>
                        <w:rPr>
                          <w:b/>
                          <w:bCs/>
                          <w:sz w:val="22"/>
                          <w:szCs w:val="22"/>
                        </w:rPr>
                      </w:pPr>
                      <w:r w:rsidRPr="00CB1CB1">
                        <w:rPr>
                          <w:b/>
                          <w:bCs/>
                          <w:sz w:val="22"/>
                          <w:szCs w:val="22"/>
                        </w:rPr>
                        <w:t>Lynn</w:t>
                      </w:r>
                    </w:p>
                    <w:p w14:paraId="6B16EC10" w14:textId="77777777" w:rsidR="00FA3966" w:rsidRPr="00CB1CB1" w:rsidRDefault="00FA3966" w:rsidP="00CB1CB1">
                      <w:pPr>
                        <w:pStyle w:val="TextBoxBullet"/>
                        <w:spacing w:after="20"/>
                        <w:rPr>
                          <w:sz w:val="22"/>
                          <w:szCs w:val="22"/>
                        </w:rPr>
                      </w:pPr>
                      <w:r w:rsidRPr="00CB1CB1">
                        <w:rPr>
                          <w:sz w:val="22"/>
                          <w:szCs w:val="22"/>
                        </w:rPr>
                        <w:t>Attleboro</w:t>
                      </w:r>
                    </w:p>
                    <w:p w14:paraId="696AFFC5" w14:textId="77777777" w:rsidR="00FA3966" w:rsidRPr="00CB1CB1" w:rsidRDefault="00FA3966" w:rsidP="00CB1CB1">
                      <w:pPr>
                        <w:pStyle w:val="TextBoxBullet"/>
                        <w:spacing w:after="20"/>
                        <w:rPr>
                          <w:sz w:val="22"/>
                          <w:szCs w:val="22"/>
                        </w:rPr>
                      </w:pPr>
                      <w:r w:rsidRPr="00CB1CB1">
                        <w:rPr>
                          <w:sz w:val="22"/>
                          <w:szCs w:val="22"/>
                        </w:rPr>
                        <w:t>Fall River</w:t>
                      </w:r>
                    </w:p>
                    <w:p w14:paraId="48E32060" w14:textId="77777777" w:rsidR="00FA3966" w:rsidRPr="00CB1CB1" w:rsidRDefault="00FA3966" w:rsidP="00CB1CB1">
                      <w:pPr>
                        <w:pStyle w:val="TextBoxBullet"/>
                        <w:spacing w:after="20"/>
                        <w:rPr>
                          <w:b/>
                          <w:bCs/>
                          <w:sz w:val="22"/>
                          <w:szCs w:val="22"/>
                        </w:rPr>
                      </w:pPr>
                      <w:r w:rsidRPr="00CB1CB1">
                        <w:rPr>
                          <w:b/>
                          <w:bCs/>
                          <w:sz w:val="22"/>
                          <w:szCs w:val="22"/>
                        </w:rPr>
                        <w:t>New Bedford</w:t>
                      </w:r>
                    </w:p>
                    <w:p w14:paraId="4C5DEDB9" w14:textId="77777777" w:rsidR="00FA3966" w:rsidRPr="00CB1CB1" w:rsidRDefault="00FA3966" w:rsidP="00CB1CB1">
                      <w:pPr>
                        <w:pStyle w:val="TextBoxBullet"/>
                        <w:spacing w:after="20"/>
                        <w:rPr>
                          <w:sz w:val="22"/>
                          <w:szCs w:val="22"/>
                        </w:rPr>
                      </w:pPr>
                      <w:r w:rsidRPr="00CB1CB1">
                        <w:rPr>
                          <w:sz w:val="22"/>
                          <w:szCs w:val="22"/>
                        </w:rPr>
                        <w:t>Wareham</w:t>
                      </w:r>
                    </w:p>
                    <w:p w14:paraId="4A75ACCC" w14:textId="77777777" w:rsidR="00FA3966" w:rsidRPr="00CB1CB1" w:rsidRDefault="00FA3966" w:rsidP="00CB1CB1">
                      <w:pPr>
                        <w:pStyle w:val="TextBoxBullet"/>
                        <w:spacing w:after="20"/>
                        <w:rPr>
                          <w:b/>
                          <w:bCs/>
                          <w:sz w:val="22"/>
                          <w:szCs w:val="22"/>
                        </w:rPr>
                      </w:pPr>
                      <w:r w:rsidRPr="00CB1CB1">
                        <w:rPr>
                          <w:b/>
                          <w:bCs/>
                          <w:sz w:val="22"/>
                          <w:szCs w:val="22"/>
                        </w:rPr>
                        <w:t>Lawrence</w:t>
                      </w:r>
                    </w:p>
                    <w:p w14:paraId="1F72D8BE" w14:textId="77777777" w:rsidR="00FA3966" w:rsidRPr="00CB1CB1" w:rsidRDefault="00FA3966" w:rsidP="00CB1CB1">
                      <w:pPr>
                        <w:pStyle w:val="TextBoxBullet"/>
                        <w:spacing w:after="20"/>
                        <w:rPr>
                          <w:b/>
                          <w:bCs/>
                          <w:sz w:val="22"/>
                          <w:szCs w:val="22"/>
                        </w:rPr>
                      </w:pPr>
                      <w:r w:rsidRPr="00CB1CB1">
                        <w:rPr>
                          <w:b/>
                          <w:bCs/>
                          <w:sz w:val="22"/>
                          <w:szCs w:val="22"/>
                        </w:rPr>
                        <w:t>Lowell</w:t>
                      </w:r>
                    </w:p>
                    <w:p w14:paraId="13F1A135" w14:textId="77777777" w:rsidR="00FA3966" w:rsidRPr="00CB1CB1" w:rsidRDefault="00FA3966" w:rsidP="00CB1CB1">
                      <w:pPr>
                        <w:pStyle w:val="TextBoxBullet"/>
                        <w:spacing w:after="20"/>
                        <w:rPr>
                          <w:sz w:val="22"/>
                          <w:szCs w:val="22"/>
                        </w:rPr>
                      </w:pPr>
                      <w:r w:rsidRPr="00CB1CB1">
                        <w:rPr>
                          <w:sz w:val="22"/>
                          <w:szCs w:val="22"/>
                        </w:rPr>
                        <w:t>Dennis</w:t>
                      </w:r>
                    </w:p>
                    <w:p w14:paraId="37C219DD" w14:textId="77777777" w:rsidR="00FA3966" w:rsidRPr="00CB1CB1" w:rsidRDefault="00FA3966" w:rsidP="00CB1CB1">
                      <w:pPr>
                        <w:pStyle w:val="TextBoxBullet"/>
                        <w:spacing w:after="20"/>
                        <w:rPr>
                          <w:sz w:val="22"/>
                          <w:szCs w:val="22"/>
                        </w:rPr>
                      </w:pPr>
                      <w:r w:rsidRPr="00CB1CB1">
                        <w:rPr>
                          <w:sz w:val="22"/>
                          <w:szCs w:val="22"/>
                        </w:rPr>
                        <w:t>Falmouth</w:t>
                      </w:r>
                    </w:p>
                    <w:p w14:paraId="2C670230" w14:textId="77777777" w:rsidR="00FA3966" w:rsidRPr="00CB1CB1" w:rsidRDefault="00FA3966" w:rsidP="00CB1CB1">
                      <w:pPr>
                        <w:pStyle w:val="TextBoxBullet"/>
                        <w:spacing w:after="20"/>
                        <w:rPr>
                          <w:sz w:val="22"/>
                          <w:szCs w:val="22"/>
                        </w:rPr>
                      </w:pPr>
                      <w:r w:rsidRPr="00CB1CB1">
                        <w:rPr>
                          <w:sz w:val="22"/>
                          <w:szCs w:val="22"/>
                        </w:rPr>
                        <w:t>Yarmouth</w:t>
                      </w:r>
                    </w:p>
                    <w:p w14:paraId="06CBA92F" w14:textId="77777777" w:rsidR="00FA3966" w:rsidRPr="00CB1CB1" w:rsidRDefault="00FA3966" w:rsidP="00CB1CB1">
                      <w:pPr>
                        <w:pStyle w:val="TextBoxBullet"/>
                        <w:spacing w:after="20"/>
                        <w:rPr>
                          <w:sz w:val="22"/>
                          <w:szCs w:val="22"/>
                        </w:rPr>
                      </w:pPr>
                      <w:r w:rsidRPr="00CB1CB1">
                        <w:rPr>
                          <w:sz w:val="22"/>
                          <w:szCs w:val="22"/>
                        </w:rPr>
                        <w:t>Athol</w:t>
                      </w:r>
                    </w:p>
                    <w:p w14:paraId="4E2616F6" w14:textId="77777777" w:rsidR="00FA3966" w:rsidRPr="00CB1CB1" w:rsidRDefault="00FA3966" w:rsidP="00CB1CB1">
                      <w:pPr>
                        <w:pStyle w:val="TextBoxBullet"/>
                        <w:spacing w:after="20"/>
                        <w:rPr>
                          <w:sz w:val="22"/>
                          <w:szCs w:val="22"/>
                        </w:rPr>
                      </w:pPr>
                      <w:r w:rsidRPr="00CB1CB1">
                        <w:rPr>
                          <w:sz w:val="22"/>
                          <w:szCs w:val="22"/>
                        </w:rPr>
                        <w:t>Ayer</w:t>
                      </w:r>
                    </w:p>
                    <w:p w14:paraId="264BBFA0" w14:textId="77777777" w:rsidR="00FA3966" w:rsidRPr="00CB1CB1" w:rsidRDefault="00FA3966" w:rsidP="00CB1CB1">
                      <w:pPr>
                        <w:pStyle w:val="TextBoxBullet"/>
                        <w:spacing w:after="20"/>
                        <w:rPr>
                          <w:sz w:val="22"/>
                          <w:szCs w:val="22"/>
                        </w:rPr>
                      </w:pPr>
                      <w:r w:rsidRPr="00CB1CB1">
                        <w:rPr>
                          <w:sz w:val="22"/>
                          <w:szCs w:val="22"/>
                        </w:rPr>
                        <w:t>Fitchburg</w:t>
                      </w:r>
                    </w:p>
                    <w:p w14:paraId="430311F3" w14:textId="77777777" w:rsidR="00FA3966" w:rsidRPr="00CB1CB1" w:rsidRDefault="00FA3966" w:rsidP="00CB1CB1">
                      <w:pPr>
                        <w:pStyle w:val="TextBoxBullet"/>
                        <w:spacing w:after="20"/>
                        <w:rPr>
                          <w:sz w:val="22"/>
                          <w:szCs w:val="22"/>
                        </w:rPr>
                      </w:pPr>
                      <w:r w:rsidRPr="00CB1CB1">
                        <w:rPr>
                          <w:sz w:val="22"/>
                          <w:szCs w:val="22"/>
                        </w:rPr>
                        <w:t>Gardner</w:t>
                      </w:r>
                    </w:p>
                    <w:p w14:paraId="67D4734A" w14:textId="77777777" w:rsidR="00FA3966" w:rsidRPr="00CB1CB1" w:rsidRDefault="00FA3966" w:rsidP="00CB1CB1">
                      <w:pPr>
                        <w:pStyle w:val="TextBoxBullet"/>
                        <w:spacing w:after="20"/>
                        <w:rPr>
                          <w:sz w:val="22"/>
                          <w:szCs w:val="22"/>
                        </w:rPr>
                      </w:pPr>
                      <w:r w:rsidRPr="00CB1CB1">
                        <w:rPr>
                          <w:sz w:val="22"/>
                          <w:szCs w:val="22"/>
                        </w:rPr>
                        <w:t>Orange</w:t>
                      </w:r>
                    </w:p>
                    <w:p w14:paraId="5C57B9D2" w14:textId="77777777" w:rsidR="00FA3966" w:rsidRPr="00CB1CB1" w:rsidRDefault="00FA3966" w:rsidP="00CB1CB1">
                      <w:pPr>
                        <w:pStyle w:val="TextBoxBullet"/>
                        <w:spacing w:after="20"/>
                        <w:rPr>
                          <w:sz w:val="22"/>
                          <w:szCs w:val="22"/>
                        </w:rPr>
                      </w:pPr>
                      <w:r w:rsidRPr="00CB1CB1">
                        <w:rPr>
                          <w:sz w:val="22"/>
                          <w:szCs w:val="22"/>
                        </w:rPr>
                        <w:t>Winchendon</w:t>
                      </w:r>
                    </w:p>
                    <w:p w14:paraId="2C808242" w14:textId="77777777" w:rsidR="00FA3966" w:rsidRPr="00CB1CB1" w:rsidRDefault="00FA3966" w:rsidP="00CB1CB1">
                      <w:pPr>
                        <w:pStyle w:val="TextBoxBullet"/>
                        <w:spacing w:after="20"/>
                        <w:rPr>
                          <w:sz w:val="22"/>
                          <w:szCs w:val="22"/>
                        </w:rPr>
                      </w:pPr>
                      <w:r w:rsidRPr="00CB1CB1">
                        <w:rPr>
                          <w:sz w:val="22"/>
                          <w:szCs w:val="22"/>
                        </w:rPr>
                        <w:t>Chicopee</w:t>
                      </w:r>
                    </w:p>
                    <w:p w14:paraId="5911F711" w14:textId="77777777" w:rsidR="00FA3966" w:rsidRPr="00CB1CB1" w:rsidRDefault="00FA3966" w:rsidP="00CB1CB1">
                      <w:pPr>
                        <w:pStyle w:val="TextBoxBullet"/>
                        <w:spacing w:after="20"/>
                        <w:rPr>
                          <w:b/>
                          <w:bCs/>
                          <w:sz w:val="22"/>
                          <w:szCs w:val="22"/>
                        </w:rPr>
                      </w:pPr>
                      <w:r w:rsidRPr="00CB1CB1">
                        <w:rPr>
                          <w:b/>
                          <w:bCs/>
                          <w:sz w:val="22"/>
                          <w:szCs w:val="22"/>
                        </w:rPr>
                        <w:t>Holyoke</w:t>
                      </w:r>
                    </w:p>
                    <w:p w14:paraId="21401FE5" w14:textId="77777777" w:rsidR="00FA3966" w:rsidRPr="00CB1CB1" w:rsidRDefault="00FA3966" w:rsidP="00CB1CB1">
                      <w:pPr>
                        <w:pStyle w:val="TextBoxBullet"/>
                        <w:spacing w:after="20"/>
                        <w:rPr>
                          <w:b/>
                          <w:bCs/>
                          <w:sz w:val="22"/>
                          <w:szCs w:val="22"/>
                        </w:rPr>
                      </w:pPr>
                      <w:r w:rsidRPr="00CB1CB1">
                        <w:rPr>
                          <w:b/>
                          <w:bCs/>
                          <w:sz w:val="22"/>
                          <w:szCs w:val="22"/>
                        </w:rPr>
                        <w:t>Springfield</w:t>
                      </w:r>
                    </w:p>
                    <w:p w14:paraId="34144A11" w14:textId="77777777" w:rsidR="00FA3966" w:rsidRPr="00CB1CB1" w:rsidRDefault="00FA3966" w:rsidP="00CB1CB1">
                      <w:pPr>
                        <w:pStyle w:val="TextBoxBullet"/>
                        <w:spacing w:after="20"/>
                        <w:rPr>
                          <w:sz w:val="22"/>
                          <w:szCs w:val="22"/>
                        </w:rPr>
                      </w:pPr>
                      <w:r w:rsidRPr="00CB1CB1">
                        <w:rPr>
                          <w:b/>
                          <w:bCs/>
                          <w:sz w:val="22"/>
                          <w:szCs w:val="22"/>
                        </w:rPr>
                        <w:t>Southbridge</w:t>
                      </w:r>
                    </w:p>
                    <w:p w14:paraId="096A38A8" w14:textId="77777777" w:rsidR="00FA3966" w:rsidRPr="00CB1CB1" w:rsidRDefault="00FA3966" w:rsidP="00CB1CB1">
                      <w:pPr>
                        <w:pStyle w:val="TextBoxBullet"/>
                        <w:spacing w:after="20"/>
                        <w:rPr>
                          <w:sz w:val="22"/>
                          <w:szCs w:val="22"/>
                        </w:rPr>
                      </w:pPr>
                      <w:r w:rsidRPr="00CB1CB1">
                        <w:rPr>
                          <w:sz w:val="22"/>
                          <w:szCs w:val="22"/>
                        </w:rPr>
                        <w:t>Ware</w:t>
                      </w:r>
                    </w:p>
                    <w:p w14:paraId="4B0C4DA3" w14:textId="77777777" w:rsidR="00FA3966" w:rsidRPr="00CB1CB1" w:rsidRDefault="00FA3966" w:rsidP="00CB1CB1">
                      <w:pPr>
                        <w:pStyle w:val="TextBoxBullet"/>
                        <w:spacing w:after="20"/>
                        <w:rPr>
                          <w:sz w:val="22"/>
                          <w:szCs w:val="22"/>
                        </w:rPr>
                      </w:pPr>
                      <w:r w:rsidRPr="00CB1CB1">
                        <w:rPr>
                          <w:sz w:val="22"/>
                          <w:szCs w:val="22"/>
                        </w:rPr>
                        <w:t>Webster</w:t>
                      </w:r>
                    </w:p>
                    <w:p w14:paraId="320B406E" w14:textId="77777777" w:rsidR="00FA3966" w:rsidRPr="00CB1CB1" w:rsidRDefault="00FA3966" w:rsidP="00FA3966">
                      <w:pPr>
                        <w:pStyle w:val="TextBoxBullet"/>
                        <w:rPr>
                          <w:b/>
                          <w:bCs/>
                          <w:sz w:val="22"/>
                          <w:szCs w:val="22"/>
                        </w:rPr>
                      </w:pPr>
                      <w:r w:rsidRPr="00CB1CB1">
                        <w:rPr>
                          <w:b/>
                          <w:bCs/>
                          <w:sz w:val="22"/>
                          <w:szCs w:val="22"/>
                        </w:rPr>
                        <w:t>Worcester</w:t>
                      </w:r>
                    </w:p>
                  </w:txbxContent>
                </v:textbox>
                <w10:wrap type="square" anchorx="margin"/>
              </v:shape>
            </w:pict>
          </mc:Fallback>
        </mc:AlternateContent>
      </w:r>
      <w:r>
        <w:t xml:space="preserve">Similarly, the Healey Administration’s AHEM initiative identified </w:t>
      </w:r>
      <w:r w:rsidRPr="00346F63">
        <w:rPr>
          <w:b/>
          <w:bCs/>
        </w:rPr>
        <w:t>10 priority geographies</w:t>
      </w:r>
      <w:r>
        <w:t xml:space="preserve"> for focused improvements and investments. These 10 geographies encompass the communities in Massachusetts </w:t>
      </w:r>
      <w:r w:rsidR="00C7288E">
        <w:t xml:space="preserve">that are </w:t>
      </w:r>
      <w:r>
        <w:t xml:space="preserve">experiencing the </w:t>
      </w:r>
      <w:r w:rsidRPr="00A35BD2">
        <w:rPr>
          <w:b/>
          <w:bCs/>
        </w:rPr>
        <w:t>largest health disparities</w:t>
      </w:r>
      <w:r>
        <w:t xml:space="preserve"> across a broad range of measures. </w:t>
      </w:r>
      <w:r w:rsidRPr="00E52D88">
        <w:t xml:space="preserve">Not surprisingly, each of the communities identified in the </w:t>
      </w:r>
      <w:r w:rsidRPr="00493EBB">
        <w:t xml:space="preserve">2022–2026 Strategic Plan for Asthma in Massachusetts </w:t>
      </w:r>
      <w:r w:rsidRPr="00E52D88">
        <w:t xml:space="preserve">are also communities that experience adverse health outcomes in maternal and cardiometabolic health, forming a </w:t>
      </w:r>
      <w:r w:rsidRPr="00E72B50">
        <w:rPr>
          <w:b/>
          <w:bCs/>
        </w:rPr>
        <w:t>subset of AHEM</w:t>
      </w:r>
      <w:r w:rsidRPr="00E52D88">
        <w:t xml:space="preserve"> communities with a higher asthma burden. </w:t>
      </w:r>
      <w:r w:rsidRPr="00583668">
        <w:t>In alignment with the AHEM initiative, DPH supports using health data and an equity approach to reduce asthma triggers in</w:t>
      </w:r>
      <w:r w:rsidRPr="00E52D88">
        <w:t xml:space="preserve"> schools, address </w:t>
      </w:r>
      <w:r w:rsidR="00A30F45">
        <w:t>SDOH</w:t>
      </w:r>
      <w:r w:rsidRPr="00E52D88">
        <w:t xml:space="preserve"> for students and staff, and mitigate the development of cardiovascular disease later in life.</w:t>
      </w:r>
    </w:p>
    <w:p w14:paraId="6E4B2671" w14:textId="612376D6" w:rsidR="00FA3966" w:rsidRDefault="00FA3966" w:rsidP="006D7DE6">
      <w:pPr>
        <w:pStyle w:val="BodyTextFirstIndent"/>
      </w:pPr>
      <w:r>
        <w:t xml:space="preserve">As another example of how DPH uses data to advance health and racial equity and prioritize services, DPH initiated an “Asthma in Schools: Data to Action” pilot project in 2022 to connect schools with </w:t>
      </w:r>
      <w:r w:rsidR="003005BB">
        <w:t xml:space="preserve">a </w:t>
      </w:r>
      <w:r>
        <w:t>high student asthma prevalence with DPH resources on indoor air quality and asthma prevention during the 2023</w:t>
      </w:r>
      <w:r w:rsidR="003005BB">
        <w:t>–</w:t>
      </w:r>
      <w:r>
        <w:t>2024 school year. To address long-standing inequitable distribution of resources among these highest-need communities and schools, DPH identified schools based on age-specific (5</w:t>
      </w:r>
      <w:r w:rsidR="00F469F2">
        <w:t>–</w:t>
      </w:r>
      <w:r>
        <w:t xml:space="preserve">14) </w:t>
      </w:r>
      <w:hyperlink r:id="rId45" w:history="1">
        <w:r w:rsidRPr="0003724C">
          <w:rPr>
            <w:rStyle w:val="Hyperlink"/>
          </w:rPr>
          <w:t>pediatric asthma prevalence</w:t>
        </w:r>
      </w:hyperlink>
      <w:r>
        <w:t>,</w:t>
      </w:r>
      <w:r>
        <w:rPr>
          <w:rStyle w:val="FootnoteReference"/>
        </w:rPr>
        <w:footnoteReference w:id="2"/>
      </w:r>
      <w:r>
        <w:t xml:space="preserve">  hospitalization, and </w:t>
      </w:r>
      <w:r w:rsidR="00AA21F0">
        <w:t>e</w:t>
      </w:r>
      <w:r>
        <w:t xml:space="preserve">mergency </w:t>
      </w:r>
      <w:r w:rsidR="00AA21F0">
        <w:t>d</w:t>
      </w:r>
      <w:r>
        <w:t>epartment visit data and community characteristics, such as</w:t>
      </w:r>
      <w:r w:rsidR="00DA614F">
        <w:t xml:space="preserve"> the</w:t>
      </w:r>
      <w:r>
        <w:t xml:space="preserve"> </w:t>
      </w:r>
      <w:hyperlink r:id="rId46" w:history="1">
        <w:r w:rsidRPr="00061AAA">
          <w:rPr>
            <w:rStyle w:val="Hyperlink"/>
          </w:rPr>
          <w:t>Vulnerable Health Environmental Justice</w:t>
        </w:r>
      </w:hyperlink>
      <w:r>
        <w:t xml:space="preserve"> classification. See </w:t>
      </w:r>
      <w:hyperlink w:anchor="Objective_3c" w:history="1">
        <w:r w:rsidRPr="008E2EB0">
          <w:rPr>
            <w:rStyle w:val="Hyperlink"/>
          </w:rPr>
          <w:t xml:space="preserve">Objective 3c. Use Available Data to Identify and Equitably Prioritize Schools of Greatest Need and </w:t>
        </w:r>
        <w:r w:rsidRPr="008E2EB0">
          <w:rPr>
            <w:rStyle w:val="Hyperlink"/>
          </w:rPr>
          <w:lastRenderedPageBreak/>
          <w:t>Advocate for Additional Funding Priorities</w:t>
        </w:r>
      </w:hyperlink>
      <w:r>
        <w:t xml:space="preserve"> for more about using these data tools within school districts. </w:t>
      </w:r>
    </w:p>
    <w:p w14:paraId="540EB276" w14:textId="393C4378" w:rsidR="00FA3966" w:rsidRDefault="00FA3966" w:rsidP="006D7DE6">
      <w:pPr>
        <w:pStyle w:val="BodyTextFirstIndent"/>
      </w:pPr>
      <w:r>
        <w:t>For the first year of the pilot, DPH invited five public K</w:t>
      </w:r>
      <w:r w:rsidR="00AC20AA">
        <w:t>–</w:t>
      </w:r>
      <w:r>
        <w:t>8 schools</w:t>
      </w:r>
      <w:r>
        <w:rPr>
          <w:rFonts w:cs="Arial"/>
        </w:rPr>
        <w:t>—</w:t>
      </w:r>
      <w:r>
        <w:t>each located in a different school district</w:t>
      </w:r>
      <w:r>
        <w:rPr>
          <w:rFonts w:cs="Arial"/>
        </w:rPr>
        <w:t>—</w:t>
      </w:r>
      <w:r>
        <w:t>to participate. Of these, schools in Chicopee, Gardner, Holyoke, and Lowell agreed to participate. DPH conducted comprehensive indoor air quality assessments in the schools and provided school-specific and best practice recommendations to improve indoor air quality, technical assistance, and educational materials and resources. DPH plans to continue this initiative for the 2024</w:t>
      </w:r>
      <w:r w:rsidR="00AC20AA">
        <w:t>–</w:t>
      </w:r>
      <w:r w:rsidR="00172154">
        <w:t>20</w:t>
      </w:r>
      <w:r>
        <w:t>25 school year and to expand the pilot to additional districts based on more recent pediatric asthma surveillance data.</w:t>
      </w:r>
    </w:p>
    <w:p w14:paraId="52E14AFB" w14:textId="75723A63" w:rsidR="00FA3966" w:rsidRDefault="00FA3966" w:rsidP="006D7DE6">
      <w:pPr>
        <w:pStyle w:val="BodyTextFirstIndent"/>
      </w:pPr>
      <w:r>
        <w:t xml:space="preserve">Additionally, DPH and the </w:t>
      </w:r>
      <w:r w:rsidRPr="00DF491A">
        <w:t>Massachusetts Executive Office of Energy and Environmental Affairs</w:t>
      </w:r>
      <w:r>
        <w:t xml:space="preserve"> (EEA) are leading numerous </w:t>
      </w:r>
      <w:r w:rsidR="00152791">
        <w:t xml:space="preserve">other </w:t>
      </w:r>
      <w:r>
        <w:t>racial equity initiatives that address racism as a serious public health threat, including:</w:t>
      </w:r>
    </w:p>
    <w:p w14:paraId="28067187" w14:textId="41BC346C" w:rsidR="00FA3966" w:rsidRDefault="00FA3966" w:rsidP="008131EB">
      <w:pPr>
        <w:pStyle w:val="ListBullet"/>
      </w:pPr>
      <w:r>
        <w:t xml:space="preserve">DPH’s </w:t>
      </w:r>
      <w:hyperlink r:id="rId47" w:history="1">
        <w:r w:rsidRPr="00595DF2">
          <w:rPr>
            <w:rStyle w:val="Hyperlink"/>
          </w:rPr>
          <w:t>Community Health Equity Initiative</w:t>
        </w:r>
      </w:hyperlink>
    </w:p>
    <w:p w14:paraId="1A3E0291" w14:textId="1D269A14" w:rsidR="00FA3966" w:rsidRDefault="00FA3966" w:rsidP="008131EB">
      <w:pPr>
        <w:pStyle w:val="ListBullet"/>
      </w:pPr>
      <w:r>
        <w:t xml:space="preserve">DPH’s </w:t>
      </w:r>
      <w:hyperlink r:id="rId48" w:history="1">
        <w:r w:rsidRPr="00A36487">
          <w:rPr>
            <w:rStyle w:val="Hyperlink"/>
          </w:rPr>
          <w:t>Determination of Need Community Health Initiatives</w:t>
        </w:r>
      </w:hyperlink>
    </w:p>
    <w:p w14:paraId="57F522D5" w14:textId="113231B1" w:rsidR="00FA3966" w:rsidRDefault="00FA3966" w:rsidP="008131EB">
      <w:pPr>
        <w:pStyle w:val="ListBullet"/>
      </w:pPr>
      <w:r>
        <w:t xml:space="preserve">DPH’s </w:t>
      </w:r>
      <w:hyperlink r:id="rId49" w:history="1">
        <w:r w:rsidRPr="00201FE1">
          <w:rPr>
            <w:rStyle w:val="Hyperlink"/>
          </w:rPr>
          <w:t>Racial Equity Data Roadmap</w:t>
        </w:r>
      </w:hyperlink>
    </w:p>
    <w:p w14:paraId="72461B05" w14:textId="6BF6A99D" w:rsidR="00FA3966" w:rsidRDefault="00FA3966" w:rsidP="008131EB">
      <w:pPr>
        <w:pStyle w:val="ListBullet"/>
      </w:pPr>
      <w:r>
        <w:t xml:space="preserve">DPH’s </w:t>
      </w:r>
      <w:hyperlink r:id="rId50" w:history="1">
        <w:r w:rsidRPr="00FA248F">
          <w:rPr>
            <w:rStyle w:val="Hyperlink"/>
          </w:rPr>
          <w:t>Root Cause Solutions Exchange</w:t>
        </w:r>
      </w:hyperlink>
    </w:p>
    <w:p w14:paraId="17503E1E" w14:textId="56CC94D3" w:rsidR="00FA3966" w:rsidRDefault="00FA3966" w:rsidP="008131EB">
      <w:pPr>
        <w:pStyle w:val="ListBullet"/>
      </w:pPr>
      <w:r>
        <w:t>EEA’s</w:t>
      </w:r>
      <w:r w:rsidRPr="00255215">
        <w:t xml:space="preserve"> </w:t>
      </w:r>
      <w:r w:rsidRPr="00744239">
        <w:t xml:space="preserve">2024 </w:t>
      </w:r>
      <w:hyperlink r:id="rId51" w:history="1">
        <w:r w:rsidRPr="000E7541">
          <w:rPr>
            <w:rStyle w:val="Hyperlink"/>
          </w:rPr>
          <w:t>Environmental Justice Strategy</w:t>
        </w:r>
      </w:hyperlink>
    </w:p>
    <w:p w14:paraId="3755973F" w14:textId="0B7FF748" w:rsidR="005717D1" w:rsidRDefault="00DF10D6" w:rsidP="001C7888">
      <w:pPr>
        <w:pStyle w:val="Heading2"/>
      </w:pPr>
      <w:bookmarkStart w:id="25" w:name="_Toc193116882"/>
      <w:r>
        <w:t>Overview of Public School</w:t>
      </w:r>
      <w:r w:rsidR="009E3720">
        <w:t>s</w:t>
      </w:r>
      <w:r w:rsidR="008E182C">
        <w:t xml:space="preserve"> </w:t>
      </w:r>
      <w:r>
        <w:t>in Massachusetts</w:t>
      </w:r>
      <w:bookmarkEnd w:id="14"/>
      <w:bookmarkEnd w:id="15"/>
      <w:bookmarkEnd w:id="25"/>
    </w:p>
    <w:p w14:paraId="6D552EA0" w14:textId="33ABB1D2" w:rsidR="00DF10D6" w:rsidRDefault="001C3B15" w:rsidP="006D7DE6">
      <w:pPr>
        <w:pStyle w:val="BodyTextFirstIndent"/>
      </w:pPr>
      <w:r>
        <w:t>Home to the oldest public</w:t>
      </w:r>
      <w:r w:rsidR="00F1797B">
        <w:t xml:space="preserve"> school system in the United States</w:t>
      </w:r>
      <w:r w:rsidR="00FC5F1B">
        <w:t>,</w:t>
      </w:r>
      <w:r w:rsidR="009625D5">
        <w:t xml:space="preserve"> Massachusetts</w:t>
      </w:r>
      <w:r w:rsidR="00C64662">
        <w:t xml:space="preserve"> has </w:t>
      </w:r>
      <w:r w:rsidR="00346889">
        <w:t>a long</w:t>
      </w:r>
      <w:r w:rsidR="0003666B">
        <w:t xml:space="preserve"> and unique</w:t>
      </w:r>
      <w:r w:rsidR="00346889">
        <w:t xml:space="preserve"> history of </w:t>
      </w:r>
      <w:r w:rsidR="00797005">
        <w:t xml:space="preserve">planning, constructing, and operating </w:t>
      </w:r>
      <w:r w:rsidR="00717456">
        <w:t>taxpayer</w:t>
      </w:r>
      <w:r w:rsidR="00797005">
        <w:t xml:space="preserve">-funded </w:t>
      </w:r>
      <w:r w:rsidR="000537B4">
        <w:t>public</w:t>
      </w:r>
      <w:r w:rsidR="00B1435D">
        <w:t xml:space="preserve"> schools</w:t>
      </w:r>
      <w:r w:rsidR="00907657">
        <w:t xml:space="preserve">, evidenced by the following timeline of notable </w:t>
      </w:r>
      <w:r w:rsidR="00A8328A">
        <w:t>historical facts:</w:t>
      </w:r>
    </w:p>
    <w:p w14:paraId="16C5ACA7" w14:textId="23C648FB" w:rsidR="009B20DE" w:rsidRDefault="7AC79D5A" w:rsidP="008131EB">
      <w:pPr>
        <w:pStyle w:val="ListBullet"/>
      </w:pPr>
      <w:r w:rsidRPr="653D8BA2">
        <w:rPr>
          <w:b/>
          <w:bCs/>
        </w:rPr>
        <w:t>1635</w:t>
      </w:r>
      <w:r w:rsidR="06D67CB7">
        <w:t xml:space="preserve"> – </w:t>
      </w:r>
      <w:r w:rsidR="74D20515">
        <w:t>Puritan settlers established t</w:t>
      </w:r>
      <w:r w:rsidR="7C8ECF6D">
        <w:t xml:space="preserve">he </w:t>
      </w:r>
      <w:r w:rsidR="06D67CB7">
        <w:t>first public school</w:t>
      </w:r>
      <w:r w:rsidR="7C8ECF6D">
        <w:t xml:space="preserve">, </w:t>
      </w:r>
      <w:r w:rsidR="06D67CB7">
        <w:t>Boston Latin School</w:t>
      </w:r>
      <w:r w:rsidR="7C8ECF6D">
        <w:t>,</w:t>
      </w:r>
      <w:r w:rsidR="1943DE92">
        <w:t xml:space="preserve"> </w:t>
      </w:r>
      <w:r w:rsidR="00790357">
        <w:t xml:space="preserve">in Boston Massachusetts, </w:t>
      </w:r>
      <w:r w:rsidR="1943DE92">
        <w:t>in what would eventually become the United States</w:t>
      </w:r>
      <w:r w:rsidR="04C3DB25">
        <w:t>.</w:t>
      </w:r>
      <w:r w:rsidR="00B05745">
        <w:fldChar w:fldCharType="begin"/>
      </w:r>
      <w:r w:rsidR="00223023">
        <w:instrText xml:space="preserve"> ADDIN ZOTERO_ITEM CSL_CITATION {"citationID":"ZjxkPFMF","properties":{"formattedCitation":"\\super 5\\nosupersub{}","plainCitation":"5","noteIndex":0},"citationItems":[{"id":346,"uris":["http://zotero.org/groups/5563646/items/N94BX6RH"],"itemData":{"id":346,"type":"webpage","abstract":"On April 23, 1635, the first public school in what would become the United States was established in Boston, Massachusetts.","language":"en","title":"First Public School in America","URL":"https://education.nationalgeographic.org/resource/first-public-school-america","author":[{"family":"National Geographic","given":""}],"accessed":{"date-parts":[["2024",6,25]]},"issued":{"date-parts":[["2023",10,19]]}}}],"schema":"https://github.com/citation-style-language/schema/raw/master/csl-citation.json"} </w:instrText>
      </w:r>
      <w:r w:rsidR="00B05745">
        <w:fldChar w:fldCharType="separate"/>
      </w:r>
      <w:r w:rsidR="00223023" w:rsidRPr="00223023">
        <w:rPr>
          <w:rFonts w:ascii="Calibri" w:hAnsi="Calibri" w:cs="Calibri"/>
          <w:vertAlign w:val="superscript"/>
        </w:rPr>
        <w:t>5</w:t>
      </w:r>
      <w:r w:rsidR="00B05745">
        <w:fldChar w:fldCharType="end"/>
      </w:r>
      <w:r w:rsidR="5DBE9BA1">
        <w:t xml:space="preserve"> </w:t>
      </w:r>
    </w:p>
    <w:p w14:paraId="74F65916" w14:textId="37D7986F" w:rsidR="008340CA" w:rsidRPr="008340CA" w:rsidRDefault="008340CA" w:rsidP="008131EB">
      <w:pPr>
        <w:pStyle w:val="ListBullet"/>
      </w:pPr>
      <w:r w:rsidRPr="00AB2DA8">
        <w:rPr>
          <w:b/>
          <w:bCs/>
        </w:rPr>
        <w:t>1643</w:t>
      </w:r>
      <w:r w:rsidR="008365AB">
        <w:t xml:space="preserve"> – The Town of Dedham, Massachusetts</w:t>
      </w:r>
      <w:r w:rsidR="00790357">
        <w:t>,</w:t>
      </w:r>
      <w:r w:rsidR="003074D6">
        <w:t xml:space="preserve"> u</w:t>
      </w:r>
      <w:r w:rsidR="003074D6" w:rsidRPr="003074D6">
        <w:t>nanimously voted to authorize the first taxpayer-funded public school</w:t>
      </w:r>
      <w:r w:rsidR="003074D6">
        <w:t xml:space="preserve"> in the United States.</w:t>
      </w:r>
      <w:r w:rsidR="003074D6">
        <w:fldChar w:fldCharType="begin"/>
      </w:r>
      <w:r w:rsidR="00223023">
        <w:instrText xml:space="preserve"> ADDIN ZOTERO_ITEM CSL_CITATION {"citationID":"ZwS5Ri1d","properties":{"formattedCitation":"\\super 6\\nosupersub{}","plainCitation":"6","noteIndex":0},"citationItems":[{"id":344,"uris":["http://zotero.org/groups/5563646/items/VEZN2RNK"],"itemData":{"id":344,"type":"webpage","language":"en","title":"Dedham's History","URL":"https://www.dedham-ma.gov/services/dedham-historical-society","author":[{"family":"Town of Dedham","given":""}],"accessed":{"date-parts":[["2024",6,25]]}}}],"schema":"https://github.com/citation-style-language/schema/raw/master/csl-citation.json"} </w:instrText>
      </w:r>
      <w:r w:rsidR="003074D6">
        <w:fldChar w:fldCharType="separate"/>
      </w:r>
      <w:r w:rsidR="00223023" w:rsidRPr="00223023">
        <w:rPr>
          <w:rFonts w:ascii="Calibri" w:hAnsi="Calibri" w:cs="Calibri"/>
          <w:vertAlign w:val="superscript"/>
        </w:rPr>
        <w:t>6</w:t>
      </w:r>
      <w:r w:rsidR="003074D6">
        <w:fldChar w:fldCharType="end"/>
      </w:r>
    </w:p>
    <w:p w14:paraId="207EC360" w14:textId="2A6CBC8D" w:rsidR="007A70CE" w:rsidRDefault="005A6990" w:rsidP="008131EB">
      <w:pPr>
        <w:pStyle w:val="ListBullet"/>
      </w:pPr>
      <w:r>
        <w:rPr>
          <w:noProof/>
        </w:rPr>
        <w:lastRenderedPageBreak/>
        <mc:AlternateContent>
          <mc:Choice Requires="wps">
            <w:drawing>
              <wp:anchor distT="0" distB="0" distL="114300" distR="114300" simplePos="0" relativeHeight="251621888" behindDoc="0" locked="0" layoutInCell="1" allowOverlap="1" wp14:anchorId="498BFD60" wp14:editId="3F47E509">
                <wp:simplePos x="0" y="0"/>
                <wp:positionH relativeFrom="margin">
                  <wp:posOffset>2504440</wp:posOffset>
                </wp:positionH>
                <wp:positionV relativeFrom="paragraph">
                  <wp:posOffset>0</wp:posOffset>
                </wp:positionV>
                <wp:extent cx="3245485" cy="5175885"/>
                <wp:effectExtent l="0" t="0" r="12065" b="24765"/>
                <wp:wrapSquare wrapText="bothSides"/>
                <wp:docPr id="1511343379" name="Text Box 2"/>
                <wp:cNvGraphicFramePr/>
                <a:graphic xmlns:a="http://schemas.openxmlformats.org/drawingml/2006/main">
                  <a:graphicData uri="http://schemas.microsoft.com/office/word/2010/wordprocessingShape">
                    <wps:wsp>
                      <wps:cNvSpPr txBox="1"/>
                      <wps:spPr bwMode="auto">
                        <a:xfrm>
                          <a:off x="0" y="0"/>
                          <a:ext cx="3245485" cy="5175885"/>
                        </a:xfrm>
                        <a:prstGeom prst="rect">
                          <a:avLst/>
                        </a:prstGeom>
                        <a:solidFill>
                          <a:schemeClr val="accent1">
                            <a:lumMod val="20000"/>
                            <a:lumOff val="80000"/>
                          </a:schemeClr>
                        </a:solidFill>
                        <a:ln w="9525">
                          <a:solidFill>
                            <a:schemeClr val="tx1"/>
                          </a:solidFill>
                          <a:miter lim="800000"/>
                          <a:headEnd/>
                          <a:tailEnd/>
                        </a:ln>
                      </wps:spPr>
                      <wps:txbx>
                        <w:txbxContent>
                          <w:p w14:paraId="43A45DC9" w14:textId="77777777" w:rsidR="001A1EE9" w:rsidRPr="0043529E" w:rsidRDefault="001A1EE9" w:rsidP="001A1EE9">
                            <w:pPr>
                              <w:pStyle w:val="TextBoxText"/>
                              <w:jc w:val="center"/>
                              <w:rPr>
                                <w:b/>
                                <w:bCs/>
                              </w:rPr>
                            </w:pPr>
                            <w:r w:rsidRPr="0043529E">
                              <w:rPr>
                                <w:b/>
                                <w:bCs/>
                              </w:rPr>
                              <w:t>Land Ack</w:t>
                            </w:r>
                            <w:r>
                              <w:rPr>
                                <w:b/>
                                <w:bCs/>
                              </w:rPr>
                              <w:t>n</w:t>
                            </w:r>
                            <w:r w:rsidRPr="0043529E">
                              <w:rPr>
                                <w:b/>
                                <w:bCs/>
                              </w:rPr>
                              <w:t>owledgement</w:t>
                            </w:r>
                          </w:p>
                          <w:p w14:paraId="13AEC4DC" w14:textId="77777777" w:rsidR="001A1EE9" w:rsidRDefault="001A1EE9" w:rsidP="001A1EE9">
                            <w:pPr>
                              <w:pStyle w:val="TextBoxText"/>
                            </w:pPr>
                          </w:p>
                          <w:p w14:paraId="32C2E16C" w14:textId="66ED3EA4" w:rsidR="001A1EE9" w:rsidRDefault="005A6990" w:rsidP="001A1EE9">
                            <w:pPr>
                              <w:pStyle w:val="TextBoxText"/>
                            </w:pPr>
                            <w:r>
                              <w:t>DPH</w:t>
                            </w:r>
                            <w:r w:rsidR="001A1EE9">
                              <w:t xml:space="preserve"> acknowledges that we are located on the ancestral lands of the Massachusett Tribe. Indigenous Peoples were the traditional stewards of this land. Despite many atrocities related to colonization, they continue to have deep, enduring connections. With gratitude and humility, we honor the many Indigenous Peoples connected to this land.</w:t>
                            </w:r>
                          </w:p>
                          <w:p w14:paraId="794EBA3B" w14:textId="77777777" w:rsidR="001A1EE9" w:rsidRDefault="001A1EE9" w:rsidP="001A1EE9">
                            <w:pPr>
                              <w:pStyle w:val="TextBoxText"/>
                            </w:pPr>
                          </w:p>
                          <w:p w14:paraId="5C4B6D02" w14:textId="6910CEA7" w:rsidR="001A1EE9" w:rsidRDefault="001A1EE9" w:rsidP="001A1EE9">
                            <w:pPr>
                              <w:pStyle w:val="TextBoxText"/>
                            </w:pPr>
                            <w:r>
                              <w:t>We also acknowledge that the Commonwealth’s public schools</w:t>
                            </w:r>
                            <w:r w:rsidR="00C8487D">
                              <w:t xml:space="preserve"> </w:t>
                            </w:r>
                            <w:r w:rsidR="009C12E1">
                              <w:t>are rooted</w:t>
                            </w:r>
                            <w:r w:rsidR="00C8487D">
                              <w:t xml:space="preserve"> </w:t>
                            </w:r>
                            <w:r>
                              <w:t>in colonization. This has resulted in systemic erasure of Indigenous history and modes of education. It has also resulted in profound injustices based on race and ethnicity, gender, abilities, faith/spirituality, and more. As a corrective action, in this report</w:t>
                            </w:r>
                            <w:r w:rsidR="00C8487D">
                              <w:t>,</w:t>
                            </w:r>
                            <w:r>
                              <w:t xml:space="preserve"> we identify best practices to improve equity in public school infrastructure. </w:t>
                            </w:r>
                          </w:p>
                          <w:p w14:paraId="54A1BE11" w14:textId="77777777" w:rsidR="001A1EE9" w:rsidRDefault="001A1EE9" w:rsidP="001A1EE9">
                            <w:pPr>
                              <w:pStyle w:val="TextBoxText"/>
                            </w:pPr>
                          </w:p>
                          <w:p w14:paraId="5C0571EF" w14:textId="4AED5C56" w:rsidR="001A1EE9" w:rsidRPr="00303DA4" w:rsidRDefault="001A1EE9" w:rsidP="001A1EE9">
                            <w:pPr>
                              <w:pStyle w:val="TextBoxText"/>
                            </w:pPr>
                            <w:r>
                              <w:t xml:space="preserve">For more information about our racial equity initiatives, </w:t>
                            </w:r>
                            <w:r w:rsidR="00201FE1">
                              <w:t xml:space="preserve">see the </w:t>
                            </w:r>
                            <w:hyperlink w:anchor="Structural_Rac" w:history="1">
                              <w:r w:rsidR="00201FE1" w:rsidRPr="000B09D1">
                                <w:rPr>
                                  <w:rStyle w:val="Hyperlink"/>
                                </w:rPr>
                                <w:t>Addressing Structural Racism</w:t>
                              </w:r>
                            </w:hyperlink>
                            <w:r w:rsidR="00201FE1">
                              <w:t xml:space="preserve"> section</w:t>
                            </w:r>
                            <w:r w:rsidRPr="00303DA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8BFD60" id="_x0000_s1031" type="#_x0000_t202" style="position:absolute;left:0;text-align:left;margin-left:197.2pt;margin-top:0;width:255.55pt;height:407.5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" fillcolor="#dbe5f1 [660]" strokecolor="black [3213]">
                <v:textbox>
                  <w:txbxContent>
                    <w:p w14:paraId="43A45DC9" w14:textId="77777777" w:rsidR="001A1EE9" w:rsidRPr="0043529E" w:rsidRDefault="001A1EE9" w:rsidP="001A1EE9">
                      <w:pPr>
                        <w:pStyle w:val="TextBoxText"/>
                        <w:jc w:val="center"/>
                        <w:rPr>
                          <w:b/>
                          <w:bCs/>
                        </w:rPr>
                      </w:pPr>
                      <w:r w:rsidRPr="0043529E">
                        <w:rPr>
                          <w:b/>
                          <w:bCs/>
                        </w:rPr>
                        <w:t>Land Ack</w:t>
                      </w:r>
                      <w:r>
                        <w:rPr>
                          <w:b/>
                          <w:bCs/>
                        </w:rPr>
                        <w:t>n</w:t>
                      </w:r>
                      <w:r w:rsidRPr="0043529E">
                        <w:rPr>
                          <w:b/>
                          <w:bCs/>
                        </w:rPr>
                        <w:t>owledgement</w:t>
                      </w:r>
                    </w:p>
                    <w:p w14:paraId="13AEC4DC" w14:textId="77777777" w:rsidR="001A1EE9" w:rsidRDefault="001A1EE9" w:rsidP="001A1EE9">
                      <w:pPr>
                        <w:pStyle w:val="TextBoxText"/>
                      </w:pPr>
                    </w:p>
                    <w:p w14:paraId="32C2E16C" w14:textId="66ED3EA4" w:rsidR="001A1EE9" w:rsidRDefault="005A6990" w:rsidP="001A1EE9">
                      <w:pPr>
                        <w:pStyle w:val="TextBoxText"/>
                      </w:pPr>
                      <w:r>
                        <w:t>DPH</w:t>
                      </w:r>
                      <w:r w:rsidR="001A1EE9">
                        <w:t xml:space="preserve"> acknowledges that we are located on the ancestral lands of the Massachusett Tribe. Indigenous Peoples were the traditional stewards of this land. Despite many atrocities related to colonization, they continue to have deep, enduring connections. With gratitude and humility, we honor the many Indigenous Peoples connected to this land.</w:t>
                      </w:r>
                    </w:p>
                    <w:p w14:paraId="794EBA3B" w14:textId="77777777" w:rsidR="001A1EE9" w:rsidRDefault="001A1EE9" w:rsidP="001A1EE9">
                      <w:pPr>
                        <w:pStyle w:val="TextBoxText"/>
                      </w:pPr>
                    </w:p>
                    <w:p w14:paraId="5C4B6D02" w14:textId="6910CEA7" w:rsidR="001A1EE9" w:rsidRDefault="001A1EE9" w:rsidP="001A1EE9">
                      <w:pPr>
                        <w:pStyle w:val="TextBoxText"/>
                      </w:pPr>
                      <w:r>
                        <w:t>We also acknowledge that the Commonwealth’s public schools</w:t>
                      </w:r>
                      <w:r w:rsidR="00C8487D">
                        <w:t xml:space="preserve"> </w:t>
                      </w:r>
                      <w:r w:rsidR="009C12E1">
                        <w:t>are rooted</w:t>
                      </w:r>
                      <w:r w:rsidR="00C8487D">
                        <w:t xml:space="preserve"> </w:t>
                      </w:r>
                      <w:r>
                        <w:t>in colonization. This has resulted in systemic erasure of Indigenous history and modes of education. It has also resulted in profound injustices based on race and ethnicity, gender, abilities, faith/spirituality, and more. As a corrective action, in this report</w:t>
                      </w:r>
                      <w:r w:rsidR="00C8487D">
                        <w:t>,</w:t>
                      </w:r>
                      <w:r>
                        <w:t xml:space="preserve"> we identify best practices to improve equity in public school infrastructure. </w:t>
                      </w:r>
                    </w:p>
                    <w:p w14:paraId="54A1BE11" w14:textId="77777777" w:rsidR="001A1EE9" w:rsidRDefault="001A1EE9" w:rsidP="001A1EE9">
                      <w:pPr>
                        <w:pStyle w:val="TextBoxText"/>
                      </w:pPr>
                    </w:p>
                    <w:p w14:paraId="5C0571EF" w14:textId="4AED5C56" w:rsidR="001A1EE9" w:rsidRPr="00303DA4" w:rsidRDefault="001A1EE9" w:rsidP="001A1EE9">
                      <w:pPr>
                        <w:pStyle w:val="TextBoxText"/>
                      </w:pPr>
                      <w:r>
                        <w:t xml:space="preserve">For more information about our racial equity initiatives, </w:t>
                      </w:r>
                      <w:r w:rsidR="00201FE1">
                        <w:t xml:space="preserve">see the </w:t>
                      </w:r>
                      <w:hyperlink w:anchor="Structural_Rac" w:history="1">
                        <w:r w:rsidR="00201FE1" w:rsidRPr="000B09D1">
                          <w:rPr>
                            <w:rStyle w:val="Hyperlink"/>
                          </w:rPr>
                          <w:t>Addressing Structural Racism</w:t>
                        </w:r>
                      </w:hyperlink>
                      <w:r w:rsidR="00201FE1">
                        <w:t xml:space="preserve"> section</w:t>
                      </w:r>
                      <w:r w:rsidRPr="00303DA4">
                        <w:t>.</w:t>
                      </w:r>
                    </w:p>
                  </w:txbxContent>
                </v:textbox>
                <w10:wrap type="square" anchorx="margin"/>
              </v:shape>
            </w:pict>
          </mc:Fallback>
        </mc:AlternateContent>
      </w:r>
      <w:r w:rsidR="007A70CE" w:rsidRPr="003715C8">
        <w:rPr>
          <w:b/>
          <w:bCs/>
        </w:rPr>
        <w:t>1647</w:t>
      </w:r>
      <w:r w:rsidR="007A70CE">
        <w:t xml:space="preserve"> - </w:t>
      </w:r>
      <w:r w:rsidR="00B15BE9">
        <w:t>T</w:t>
      </w:r>
      <w:r w:rsidR="007A70CE" w:rsidRPr="007A70CE">
        <w:t>he General Court of the Massachusetts Bay Colony decree</w:t>
      </w:r>
      <w:r w:rsidR="004D4D50">
        <w:t>d</w:t>
      </w:r>
      <w:r w:rsidR="007A70CE" w:rsidRPr="007A70CE">
        <w:t xml:space="preserve"> that every town of </w:t>
      </w:r>
      <w:r w:rsidR="002F4B73">
        <w:t xml:space="preserve">50 </w:t>
      </w:r>
      <w:r w:rsidR="007A70CE" w:rsidRPr="007A70CE">
        <w:t>families should have an elementary school and that every town of 100 families should have a Latin school</w:t>
      </w:r>
      <w:r w:rsidR="00B15BE9">
        <w:t>.</w:t>
      </w:r>
      <w:r w:rsidR="00A54191">
        <w:fldChar w:fldCharType="begin"/>
      </w:r>
      <w:r w:rsidR="00223023">
        <w:instrText xml:space="preserve"> ADDIN ZOTERO_ITEM CSL_CITATION {"citationID":"C7qSeOGM","properties":{"formattedCitation":"\\super 7\\nosupersub{}","plainCitation":"7","noteIndex":0},"citationItems":[{"id":348,"uris":["http://zotero.org/groups/5563646/items/C39UDVQP"],"itemData":{"id":348,"type":"webpage","language":"en","title":"Historical Timeline of Public Education in the US","URL":"https://give.raceforward.org/give/419664/#!/donation/checkout?eg=true&amp;egp=do&amp;egfa=true","author":[{"family":"Race Forward","given":""}],"accessed":{"date-parts":[["2024",6,25]]}}}],"schema":"https://github.com/citation-style-language/schema/raw/master/csl-citation.json"} </w:instrText>
      </w:r>
      <w:r w:rsidR="00A54191">
        <w:fldChar w:fldCharType="separate"/>
      </w:r>
      <w:r w:rsidR="00223023" w:rsidRPr="00223023">
        <w:rPr>
          <w:rFonts w:ascii="Calibri" w:hAnsi="Calibri" w:cs="Calibri"/>
          <w:vertAlign w:val="superscript"/>
        </w:rPr>
        <w:t>7</w:t>
      </w:r>
      <w:r w:rsidR="00A54191">
        <w:fldChar w:fldCharType="end"/>
      </w:r>
    </w:p>
    <w:p w14:paraId="289DE6EF" w14:textId="70179F30" w:rsidR="001F07A9" w:rsidRDefault="001F07A9" w:rsidP="008131EB">
      <w:pPr>
        <w:pStyle w:val="ListBullet"/>
      </w:pPr>
      <w:r w:rsidRPr="005E5BED">
        <w:rPr>
          <w:b/>
          <w:bCs/>
        </w:rPr>
        <w:t>1821</w:t>
      </w:r>
      <w:r>
        <w:t xml:space="preserve"> </w:t>
      </w:r>
      <w:r w:rsidR="00844915">
        <w:t>–</w:t>
      </w:r>
      <w:r>
        <w:t xml:space="preserve"> </w:t>
      </w:r>
      <w:r w:rsidR="00844915">
        <w:t>The English High School in Boston</w:t>
      </w:r>
      <w:r w:rsidR="005E5BED">
        <w:t xml:space="preserve"> is established as the first public high school in the United States.</w:t>
      </w:r>
      <w:r w:rsidR="00D1562D">
        <w:fldChar w:fldCharType="begin"/>
      </w:r>
      <w:r w:rsidR="00223023">
        <w:instrText xml:space="preserve"> ADDIN ZOTERO_ITEM CSL_CITATION {"citationID":"DkKaqL9l","properties":{"formattedCitation":"\\super 8\\nosupersub{}","plainCitation":"8","noteIndex":0},"citationItems":[{"id":349,"uris":["http://zotero.org/groups/5563646/items/8K6FHCLU"],"itemData":{"id":349,"type":"post-weblog","abstract":"History of The English High School The English High School began in 1821 in the Beacon Hill neighborhood of Boston with an enrollment of 101 boys. It was the first public high school in America. America’s First Public High School Almost two centuries have passed since The","container-title":"The English High School Association","language":"en-US","title":"History of The English High School","URL":"https://englishhighalumni.org/2021/07/09/history-of-the-english-high-school/","author":[{"family":"the English High School Association","given":""}],"accessed":{"date-parts":[["2024",6,25]]},"issued":{"date-parts":[["2021",7,9]]}}}],"schema":"https://github.com/citation-style-language/schema/raw/master/csl-citation.json"} </w:instrText>
      </w:r>
      <w:r w:rsidR="00D1562D">
        <w:fldChar w:fldCharType="separate"/>
      </w:r>
      <w:r w:rsidR="00223023" w:rsidRPr="00223023">
        <w:rPr>
          <w:rFonts w:ascii="Calibri" w:hAnsi="Calibri" w:cs="Calibri"/>
          <w:vertAlign w:val="superscript"/>
        </w:rPr>
        <w:t>8</w:t>
      </w:r>
      <w:r w:rsidR="00D1562D">
        <w:fldChar w:fldCharType="end"/>
      </w:r>
    </w:p>
    <w:p w14:paraId="67066793" w14:textId="36C3F8D1" w:rsidR="00252B2F" w:rsidRDefault="00252B2F" w:rsidP="008131EB">
      <w:pPr>
        <w:pStyle w:val="ListBullet"/>
      </w:pPr>
      <w:r>
        <w:rPr>
          <w:b/>
          <w:bCs/>
        </w:rPr>
        <w:t>1827</w:t>
      </w:r>
      <w:r>
        <w:t xml:space="preserve"> </w:t>
      </w:r>
      <w:r w:rsidR="00A92973">
        <w:t>–</w:t>
      </w:r>
      <w:r>
        <w:t xml:space="preserve"> </w:t>
      </w:r>
      <w:r w:rsidR="00A92973">
        <w:t>The Commonwealth of Massachusetts passed legislation</w:t>
      </w:r>
      <w:r w:rsidR="00F52A2A">
        <w:t xml:space="preserve"> making public education free to all and requiring</w:t>
      </w:r>
      <w:r w:rsidR="0064156B">
        <w:t xml:space="preserve"> all towns in the Commonwealth with more than 500 families to operate a public high school open to al</w:t>
      </w:r>
      <w:r w:rsidR="006B691B">
        <w:t>l students.</w:t>
      </w:r>
      <w:r w:rsidR="00366AF8">
        <w:fldChar w:fldCharType="begin"/>
      </w:r>
      <w:r w:rsidR="00223023">
        <w:instrText xml:space="preserve"> ADDIN ZOTERO_ITEM CSL_CITATION {"citationID":"l3kkSx9s","properties":{"formattedCitation":"\\super 9\\nosupersub{}","plainCitation":"9","noteIndex":0},"citationItems":[{"id":351,"uris":["http://zotero.org/groups/5563646/items/2ML8EN7C"],"itemData":{"id":351,"type":"webpage","abstract":"Historical milestones in American education","container-title":"FutureEd","language":"en-US","title":"Historical Milestones in American Education","URL":"https://www.future-ed.org/u-s-education-timeline/","author":[{"family":"FutureEd","given":""}],"accessed":{"date-parts":[["2024",6,25]]},"issued":{"date-parts":[["2023",8,28]]}}}],"schema":"https://github.com/citation-style-language/schema/raw/master/csl-citation.json"} </w:instrText>
      </w:r>
      <w:r w:rsidR="00366AF8">
        <w:fldChar w:fldCharType="separate"/>
      </w:r>
      <w:r w:rsidR="00223023" w:rsidRPr="00223023">
        <w:rPr>
          <w:rFonts w:ascii="Calibri" w:hAnsi="Calibri" w:cs="Calibri"/>
          <w:vertAlign w:val="superscript"/>
        </w:rPr>
        <w:t>9</w:t>
      </w:r>
      <w:r w:rsidR="00366AF8">
        <w:fldChar w:fldCharType="end"/>
      </w:r>
    </w:p>
    <w:p w14:paraId="4839EEFB" w14:textId="447FB12B" w:rsidR="005C2DB6" w:rsidRDefault="005C2DB6" w:rsidP="008131EB">
      <w:pPr>
        <w:pStyle w:val="ListBullet"/>
      </w:pPr>
      <w:r w:rsidRPr="00B859F2">
        <w:rPr>
          <w:b/>
          <w:bCs/>
        </w:rPr>
        <w:t>1837</w:t>
      </w:r>
      <w:r>
        <w:t xml:space="preserve"> </w:t>
      </w:r>
      <w:r w:rsidR="008D56B9">
        <w:t>–</w:t>
      </w:r>
      <w:r>
        <w:t xml:space="preserve"> </w:t>
      </w:r>
      <w:r w:rsidR="008D56B9">
        <w:t xml:space="preserve">Massachusetts created the first state </w:t>
      </w:r>
      <w:r w:rsidR="003F2077">
        <w:t>B</w:t>
      </w:r>
      <w:r w:rsidR="008D56B9">
        <w:t xml:space="preserve">oard of </w:t>
      </w:r>
      <w:r w:rsidR="003F2077">
        <w:t>E</w:t>
      </w:r>
      <w:r w:rsidR="008D56B9">
        <w:t>ducation in the United States</w:t>
      </w:r>
      <w:r w:rsidR="00A342D1">
        <w:t>. Appointed as Secretary</w:t>
      </w:r>
      <w:r w:rsidR="003F2077">
        <w:t xml:space="preserve"> of this new body</w:t>
      </w:r>
      <w:r w:rsidR="00A342D1">
        <w:t>, Horace Mann</w:t>
      </w:r>
      <w:r w:rsidR="003F2077">
        <w:t xml:space="preserve"> promoted </w:t>
      </w:r>
      <w:r w:rsidR="00335474">
        <w:t xml:space="preserve">ideas that have become </w:t>
      </w:r>
      <w:r w:rsidR="00A81AD7">
        <w:t>the fundamental basis for our current universal public education system across the nation.</w:t>
      </w:r>
      <w:r w:rsidR="00A81AD7">
        <w:fldChar w:fldCharType="begin"/>
      </w:r>
      <w:r w:rsidR="00223023">
        <w:instrText xml:space="preserve"> ADDIN ZOTERO_ITEM CSL_CITATION {"citationID":"fziarQ71","properties":{"formattedCitation":"\\super 9\\nosupersub{}","plainCitation":"9","noteIndex":0},"citationItems":[{"id":351,"uris":["http://zotero.org/groups/5563646/items/2ML8EN7C"],"itemData":{"id":351,"type":"webpage","abstract":"Historical milestones in American education","container-title":"FutureEd","language":"en-US","title":"Historical Milestones in American Education","URL":"https://www.future-ed.org/u-s-education-timeline/","author":[{"family":"FutureEd","given":""}],"accessed":{"date-parts":[["2024",6,25]]},"issued":{"date-parts":[["2023",8,28]]}}}],"schema":"https://github.com/citation-style-language/schema/raw/master/csl-citation.json"} </w:instrText>
      </w:r>
      <w:r w:rsidR="00A81AD7">
        <w:fldChar w:fldCharType="separate"/>
      </w:r>
      <w:r w:rsidR="00223023" w:rsidRPr="00223023">
        <w:rPr>
          <w:rFonts w:ascii="Calibri" w:hAnsi="Calibri" w:cs="Calibri"/>
          <w:vertAlign w:val="superscript"/>
        </w:rPr>
        <w:t>9</w:t>
      </w:r>
      <w:r w:rsidR="00A81AD7">
        <w:fldChar w:fldCharType="end"/>
      </w:r>
    </w:p>
    <w:p w14:paraId="4E51399E" w14:textId="6425B152" w:rsidR="00D82C3F" w:rsidRDefault="000672D4" w:rsidP="006D7DE6">
      <w:pPr>
        <w:pStyle w:val="BodyTextFirstIndent"/>
      </w:pPr>
      <w:r>
        <w:t xml:space="preserve">With this legacy, Massachusetts is home to </w:t>
      </w:r>
      <w:r w:rsidR="0048534B">
        <w:t>four of the five</w:t>
      </w:r>
      <w:r w:rsidR="0094157D">
        <w:t xml:space="preserve"> oldest U.S. public high schools still in use</w:t>
      </w:r>
      <w:r w:rsidR="000C734E">
        <w:fldChar w:fldCharType="begin"/>
      </w:r>
      <w:r w:rsidR="00223023">
        <w:instrText xml:space="preserve"> ADDIN ZOTERO_ITEM CSL_CITATION {"citationID":"ZSChjryt","properties":{"formattedCitation":"\\super 10\\nosupersub{}","plainCitation":"10","noteIndex":0},"citationItems":[{"id":353,"uris":["http://zotero.org/groups/5563646/items/LPVE8RGM"],"itemData":{"id":353,"type":"webpage","abstract":"Boston Latin School in Boston, Massachusetts is the oldest high school in the United States. It has been in operation since 1635, predating the founding of the country.","language":"en-US","note":"section: WorldAtlas Originals","title":"Where is the Oldest High School in America?","URL":"https://www.worldatlas.com/articles/oldest-public-high-schools-in-the-united-states-still-in-use.html","author":[{"family":"WorldAtlas","given":""}],"accessed":{"date-parts":[["2024",6,25]]},"issued":{"date-parts":[["2018",8,30]]}}}],"schema":"https://github.com/citation-style-language/schema/raw/master/csl-citation.json"} </w:instrText>
      </w:r>
      <w:r w:rsidR="000C734E">
        <w:fldChar w:fldCharType="separate"/>
      </w:r>
      <w:r w:rsidR="00223023" w:rsidRPr="00223023">
        <w:rPr>
          <w:rFonts w:ascii="Calibri" w:hAnsi="Calibri" w:cs="Calibri"/>
          <w:vertAlign w:val="superscript"/>
        </w:rPr>
        <w:t>10</w:t>
      </w:r>
      <w:r w:rsidR="000C734E">
        <w:fldChar w:fldCharType="end"/>
      </w:r>
      <w:r w:rsidR="008862BC">
        <w:t xml:space="preserve"> </w:t>
      </w:r>
      <w:r w:rsidR="00FB4767">
        <w:t xml:space="preserve">and 28 of </w:t>
      </w:r>
      <w:r w:rsidR="008862BC">
        <w:t>the 100 oldest high schools in America.</w:t>
      </w:r>
      <w:r w:rsidR="00E36FFC">
        <w:fldChar w:fldCharType="begin"/>
      </w:r>
      <w:r w:rsidR="00223023">
        <w:instrText xml:space="preserve"> ADDIN ZOTERO_ITEM CSL_CITATION {"citationID":"h3WNTNeX","properties":{"formattedCitation":"\\super 11\\nosupersub{}","plainCitation":"11","noteIndex":0},"citationItems":[{"id":342,"uris":["http://zotero.org/groups/5563646/items/KHUGWDTN"],"itemData":{"id":342,"type":"webpage","abstract":"Massachusetts has almost a third of the oldest high schools in America, and some of them are right here on the SouthCoast.","container-title":"1420 WBSM","language":"en","title":"Massachusetts Home to 28 of 100 Oldest High Schools in America","URL":"https://wbsm.com/massachusetts-oldest-high-schools/","author":[{"family":"Richard","given":"Barry"}],"accessed":{"date-parts":[["2024",6,25]]},"issued":{"date-parts":[["2024",3,22]]}}}],"schema":"https://github.com/citation-style-language/schema/raw/master/csl-citation.json"} </w:instrText>
      </w:r>
      <w:r w:rsidR="00E36FFC">
        <w:fldChar w:fldCharType="separate"/>
      </w:r>
      <w:r w:rsidR="00223023" w:rsidRPr="00223023">
        <w:rPr>
          <w:rFonts w:ascii="Calibri" w:hAnsi="Calibri" w:cs="Calibri"/>
          <w:vertAlign w:val="superscript"/>
        </w:rPr>
        <w:t>11</w:t>
      </w:r>
      <w:r w:rsidR="00E36FFC">
        <w:fldChar w:fldCharType="end"/>
      </w:r>
      <w:r w:rsidR="0075020E">
        <w:t xml:space="preserve"> </w:t>
      </w:r>
      <w:r w:rsidR="00640113">
        <w:t>Over the nearly 400 years since the founding of the first public school</w:t>
      </w:r>
      <w:r w:rsidR="0008789E">
        <w:t xml:space="preserve">, the Commonwealth </w:t>
      </w:r>
      <w:r w:rsidR="00C15A60">
        <w:t xml:space="preserve">of Massachusetts </w:t>
      </w:r>
      <w:r w:rsidR="0008789E">
        <w:t>has</w:t>
      </w:r>
      <w:r w:rsidR="00C15A60">
        <w:t xml:space="preserve"> seen its public school system grow to </w:t>
      </w:r>
      <w:r w:rsidR="00B468A2">
        <w:t xml:space="preserve">its current collection of </w:t>
      </w:r>
      <w:r w:rsidR="00CA0756">
        <w:t xml:space="preserve">more than </w:t>
      </w:r>
      <w:r w:rsidR="00835479" w:rsidRPr="00835479">
        <w:t>1</w:t>
      </w:r>
      <w:r w:rsidR="00CA0756" w:rsidRPr="00835479">
        <w:t>,</w:t>
      </w:r>
      <w:r w:rsidR="000A53CE">
        <w:t>800</w:t>
      </w:r>
      <w:r w:rsidR="00CA0756">
        <w:t xml:space="preserve"> </w:t>
      </w:r>
      <w:r w:rsidR="00D308A4">
        <w:t xml:space="preserve">public </w:t>
      </w:r>
      <w:r w:rsidR="00CA0756">
        <w:t>schools</w:t>
      </w:r>
      <w:r w:rsidR="002C72F7">
        <w:t xml:space="preserve"> spread across </w:t>
      </w:r>
      <w:r w:rsidR="00CA5B1C">
        <w:t>nearly</w:t>
      </w:r>
      <w:r w:rsidR="00B07EF9">
        <w:t xml:space="preserve"> </w:t>
      </w:r>
      <w:r w:rsidR="00CA5B1C">
        <w:t>4</w:t>
      </w:r>
      <w:r w:rsidR="00B07EF9">
        <w:t>00</w:t>
      </w:r>
      <w:r w:rsidR="002C72F7">
        <w:t xml:space="preserve"> </w:t>
      </w:r>
      <w:r w:rsidR="00911A2F">
        <w:t xml:space="preserve">public </w:t>
      </w:r>
      <w:r w:rsidR="002C72F7">
        <w:t>school districts.</w:t>
      </w:r>
      <w:r w:rsidR="00540833">
        <w:fldChar w:fldCharType="begin"/>
      </w:r>
      <w:r w:rsidR="00223023">
        <w:instrText xml:space="preserve"> ADDIN ZOTERO_ITEM CSL_CITATION {"citationID":"CwhXFpYX","properties":{"formattedCitation":"\\super 12\\nosupersub{}","plainCitation":"12","noteIndex":0},"citationItems":[{"id":382,"uris":["http://zotero.org/groups/5563646/items/4AILU7GJ"],"itemData":{"id":382,"type":"webpage","title":"School and District Profiles","URL":"https://profiles.doe.mass.edu/search/search.aspx?leftNavId=11238","author":[{"family":"Massachusetts Department of Elementary and Secondary Education","given":""}],"accessed":{"date-parts":[["2024",6,26]]}}}],"schema":"https://github.com/citation-style-language/schema/raw/master/csl-citation.json"} </w:instrText>
      </w:r>
      <w:r w:rsidR="00540833">
        <w:fldChar w:fldCharType="separate"/>
      </w:r>
      <w:r w:rsidR="00223023" w:rsidRPr="00223023">
        <w:rPr>
          <w:rFonts w:ascii="Calibri" w:hAnsi="Calibri" w:cs="Calibri"/>
          <w:vertAlign w:val="superscript"/>
        </w:rPr>
        <w:t>12</w:t>
      </w:r>
      <w:r w:rsidR="00540833">
        <w:fldChar w:fldCharType="end"/>
      </w:r>
      <w:r w:rsidR="0008789E">
        <w:t xml:space="preserve"> </w:t>
      </w:r>
      <w:r w:rsidR="000F71B6">
        <w:fldChar w:fldCharType="begin"/>
      </w:r>
      <w:r w:rsidR="000F71B6">
        <w:instrText xml:space="preserve"> REF _Ref170247312 \h </w:instrText>
      </w:r>
      <w:r w:rsidR="001862B3">
        <w:instrText xml:space="preserve"> \* MERGEFORMAT </w:instrText>
      </w:r>
      <w:r w:rsidR="000F71B6">
        <w:fldChar w:fldCharType="separate"/>
      </w:r>
      <w:r w:rsidR="00307850">
        <w:t xml:space="preserve">Table </w:t>
      </w:r>
      <w:r w:rsidR="00307850">
        <w:rPr>
          <w:noProof/>
        </w:rPr>
        <w:t>2</w:t>
      </w:r>
      <w:r w:rsidR="000F71B6">
        <w:fldChar w:fldCharType="end"/>
      </w:r>
      <w:r w:rsidR="006C6BA9">
        <w:t xml:space="preserve"> provides a closer look at some of the key </w:t>
      </w:r>
      <w:r w:rsidR="001423F5">
        <w:t>characteristics of the Commonwealth’s portfolio of public school buildings.</w:t>
      </w:r>
    </w:p>
    <w:p w14:paraId="76D60507" w14:textId="2CCA0030" w:rsidR="00D91242" w:rsidRDefault="00D91242" w:rsidP="00B30C96">
      <w:pPr>
        <w:pStyle w:val="TableTitle"/>
      </w:pPr>
      <w:bookmarkStart w:id="26" w:name="_Ref170247312"/>
      <w:bookmarkStart w:id="27" w:name="_Toc170345781"/>
      <w:bookmarkStart w:id="28" w:name="_Toc192711668"/>
      <w:bookmarkStart w:id="29" w:name="_Toc193112550"/>
      <w:bookmarkStart w:id="30" w:name="_Toc193116949"/>
      <w:r>
        <w:t xml:space="preserve">Table </w:t>
      </w:r>
      <w:fldSimple w:instr=" SEQ Table \* ARABIC ">
        <w:r w:rsidR="00307850">
          <w:rPr>
            <w:noProof/>
          </w:rPr>
          <w:t>2</w:t>
        </w:r>
      </w:fldSimple>
      <w:bookmarkEnd w:id="26"/>
      <w:r>
        <w:t xml:space="preserve">. </w:t>
      </w:r>
      <w:r w:rsidR="00047EB3">
        <w:t xml:space="preserve">Massachusetts </w:t>
      </w:r>
      <w:r w:rsidR="00D137CF">
        <w:t>P</w:t>
      </w:r>
      <w:r w:rsidR="008077D1">
        <w:t xml:space="preserve">ublic </w:t>
      </w:r>
      <w:r w:rsidR="00D137CF">
        <w:t>S</w:t>
      </w:r>
      <w:r w:rsidR="008077D1">
        <w:t>chools</w:t>
      </w:r>
      <w:r w:rsidR="00047EB3">
        <w:t>–</w:t>
      </w:r>
      <w:r w:rsidR="00D137CF">
        <w:t>A L</w:t>
      </w:r>
      <w:r w:rsidR="00047EB3">
        <w:t xml:space="preserve">ook at the </w:t>
      </w:r>
      <w:bookmarkEnd w:id="27"/>
      <w:r w:rsidR="00D137CF">
        <w:t>N</w:t>
      </w:r>
      <w:r w:rsidR="008077D1">
        <w:t>umbers</w:t>
      </w:r>
      <w:bookmarkEnd w:id="28"/>
      <w:bookmarkEnd w:id="29"/>
      <w:bookmarkEnd w:id="30"/>
    </w:p>
    <w:tbl>
      <w:tblPr>
        <w:tblStyle w:val="TableGrid"/>
        <w:tblW w:w="5000" w:type="pct"/>
        <w:tblLook w:val="04A0" w:firstRow="1" w:lastRow="0" w:firstColumn="1" w:lastColumn="0" w:noHBand="0" w:noVBand="1"/>
        <w:tblDescription w:val="Table listing the total number of public schools, school districts, total student enrollment, educators on payroll, and state-wide average expenditure per student in Massachusetts."/>
      </w:tblPr>
      <w:tblGrid>
        <w:gridCol w:w="6655"/>
        <w:gridCol w:w="2695"/>
      </w:tblGrid>
      <w:tr w:rsidR="00D91242" w:rsidRPr="00276B41" w14:paraId="7FCA250C" w14:textId="77777777" w:rsidTr="00DF158E">
        <w:tc>
          <w:tcPr>
            <w:tcW w:w="3559" w:type="pct"/>
            <w:shd w:val="clear" w:color="auto" w:fill="F2F2F2" w:themeFill="background1" w:themeFillShade="F2"/>
          </w:tcPr>
          <w:p w14:paraId="0B8BE6F7" w14:textId="32CC4BCF" w:rsidR="00D91242" w:rsidRPr="00407FC3" w:rsidRDefault="00047EB3" w:rsidP="00E8583C">
            <w:pPr>
              <w:pStyle w:val="TableText"/>
              <w:rPr>
                <w:b/>
                <w:bCs/>
              </w:rPr>
            </w:pPr>
            <w:r w:rsidRPr="00407FC3">
              <w:rPr>
                <w:b/>
                <w:bCs/>
              </w:rPr>
              <w:t>Total number of public schools</w:t>
            </w:r>
            <w:r w:rsidR="009556BD">
              <w:rPr>
                <w:b/>
                <w:bCs/>
              </w:rPr>
              <w:t xml:space="preserve"> (2023</w:t>
            </w:r>
            <w:r w:rsidR="00C8487D">
              <w:rPr>
                <w:b/>
                <w:bCs/>
              </w:rPr>
              <w:t>–</w:t>
            </w:r>
            <w:r w:rsidR="00684730">
              <w:rPr>
                <w:b/>
                <w:bCs/>
              </w:rPr>
              <w:t>20</w:t>
            </w:r>
            <w:r w:rsidR="009556BD">
              <w:rPr>
                <w:b/>
                <w:bCs/>
              </w:rPr>
              <w:t>24)</w:t>
            </w:r>
          </w:p>
        </w:tc>
        <w:tc>
          <w:tcPr>
            <w:tcW w:w="1441" w:type="pct"/>
            <w:shd w:val="clear" w:color="auto" w:fill="auto"/>
          </w:tcPr>
          <w:p w14:paraId="51B74B21" w14:textId="54E05181" w:rsidR="00D91242" w:rsidRPr="00060F65" w:rsidRDefault="00060F65" w:rsidP="00060F65">
            <w:pPr>
              <w:jc w:val="right"/>
              <w:rPr>
                <w:rFonts w:ascii="Arial" w:hAnsi="Arial" w:cs="Arial"/>
                <w:sz w:val="24"/>
              </w:rPr>
            </w:pPr>
            <w:r w:rsidRPr="00060F65">
              <w:rPr>
                <w:rFonts w:ascii="Arial" w:hAnsi="Arial" w:cs="Arial"/>
                <w:sz w:val="24"/>
              </w:rPr>
              <w:t>1,827</w:t>
            </w:r>
          </w:p>
        </w:tc>
      </w:tr>
      <w:tr w:rsidR="00D91242" w:rsidRPr="00276B41" w14:paraId="7308E4EC" w14:textId="77777777" w:rsidTr="00DF158E">
        <w:tc>
          <w:tcPr>
            <w:tcW w:w="3559" w:type="pct"/>
            <w:shd w:val="clear" w:color="auto" w:fill="F2F2F2" w:themeFill="background1" w:themeFillShade="F2"/>
          </w:tcPr>
          <w:p w14:paraId="08FC4B6D" w14:textId="7D59AC0C" w:rsidR="00D91242" w:rsidRPr="00407FC3" w:rsidRDefault="00047EB3" w:rsidP="00E8583C">
            <w:pPr>
              <w:pStyle w:val="TableText"/>
              <w:rPr>
                <w:b/>
                <w:bCs/>
              </w:rPr>
            </w:pPr>
            <w:r w:rsidRPr="00407FC3">
              <w:rPr>
                <w:b/>
                <w:bCs/>
              </w:rPr>
              <w:t xml:space="preserve">Total number of </w:t>
            </w:r>
            <w:r w:rsidR="004528F0" w:rsidRPr="00407FC3">
              <w:rPr>
                <w:b/>
                <w:bCs/>
              </w:rPr>
              <w:t xml:space="preserve">public </w:t>
            </w:r>
            <w:r w:rsidRPr="00407FC3">
              <w:rPr>
                <w:b/>
                <w:bCs/>
              </w:rPr>
              <w:t>school districts</w:t>
            </w:r>
            <w:r w:rsidR="009556BD">
              <w:rPr>
                <w:b/>
                <w:bCs/>
              </w:rPr>
              <w:t xml:space="preserve"> (2023</w:t>
            </w:r>
            <w:r w:rsidR="00C8487D">
              <w:rPr>
                <w:b/>
                <w:bCs/>
              </w:rPr>
              <w:t>–</w:t>
            </w:r>
            <w:r w:rsidR="00684730">
              <w:rPr>
                <w:b/>
                <w:bCs/>
              </w:rPr>
              <w:t>20</w:t>
            </w:r>
            <w:r w:rsidR="009556BD">
              <w:rPr>
                <w:b/>
                <w:bCs/>
              </w:rPr>
              <w:t>24)</w:t>
            </w:r>
          </w:p>
        </w:tc>
        <w:tc>
          <w:tcPr>
            <w:tcW w:w="1441" w:type="pct"/>
          </w:tcPr>
          <w:p w14:paraId="0CA6B8B6" w14:textId="41D4905C" w:rsidR="00D91242" w:rsidRPr="00060F65" w:rsidRDefault="00060F65" w:rsidP="00060F65">
            <w:pPr>
              <w:jc w:val="right"/>
              <w:rPr>
                <w:rFonts w:ascii="Arial" w:hAnsi="Arial" w:cs="Arial"/>
                <w:sz w:val="24"/>
              </w:rPr>
            </w:pPr>
            <w:r>
              <w:rPr>
                <w:rFonts w:ascii="Arial" w:hAnsi="Arial" w:cs="Arial"/>
                <w:sz w:val="24"/>
              </w:rPr>
              <w:t>399</w:t>
            </w:r>
          </w:p>
        </w:tc>
      </w:tr>
      <w:tr w:rsidR="00224A03" w:rsidRPr="00276B41" w14:paraId="183BB731" w14:textId="77777777" w:rsidTr="00DF158E">
        <w:tc>
          <w:tcPr>
            <w:tcW w:w="3559" w:type="pct"/>
            <w:shd w:val="clear" w:color="auto" w:fill="F2F2F2" w:themeFill="background1" w:themeFillShade="F2"/>
          </w:tcPr>
          <w:p w14:paraId="1571C88F" w14:textId="59A8D466" w:rsidR="00224A03" w:rsidRPr="00407FC3" w:rsidRDefault="00224A03" w:rsidP="00E8583C">
            <w:pPr>
              <w:pStyle w:val="TableText"/>
              <w:rPr>
                <w:b/>
                <w:bCs/>
              </w:rPr>
            </w:pPr>
            <w:r w:rsidRPr="00407FC3">
              <w:rPr>
                <w:b/>
                <w:bCs/>
              </w:rPr>
              <w:t>Total enrollment</w:t>
            </w:r>
            <w:r w:rsidR="004528F0" w:rsidRPr="00407FC3">
              <w:rPr>
                <w:b/>
                <w:bCs/>
              </w:rPr>
              <w:t xml:space="preserve"> at public school buildings</w:t>
            </w:r>
            <w:r w:rsidR="009556BD">
              <w:rPr>
                <w:b/>
                <w:bCs/>
              </w:rPr>
              <w:t xml:space="preserve"> (2023</w:t>
            </w:r>
            <w:r w:rsidR="00C8487D">
              <w:rPr>
                <w:b/>
                <w:bCs/>
              </w:rPr>
              <w:t>–</w:t>
            </w:r>
            <w:r w:rsidR="00684730">
              <w:rPr>
                <w:b/>
                <w:bCs/>
              </w:rPr>
              <w:t>20</w:t>
            </w:r>
            <w:r w:rsidR="009556BD">
              <w:rPr>
                <w:b/>
                <w:bCs/>
              </w:rPr>
              <w:t>24)</w:t>
            </w:r>
          </w:p>
        </w:tc>
        <w:tc>
          <w:tcPr>
            <w:tcW w:w="1441" w:type="pct"/>
          </w:tcPr>
          <w:p w14:paraId="4927D5A3" w14:textId="68714F8C" w:rsidR="00224A03" w:rsidRPr="00060F65" w:rsidRDefault="00D62B75" w:rsidP="00060F65">
            <w:pPr>
              <w:jc w:val="right"/>
              <w:rPr>
                <w:rFonts w:ascii="Arial" w:hAnsi="Arial" w:cs="Arial"/>
                <w:sz w:val="24"/>
              </w:rPr>
            </w:pPr>
            <w:r>
              <w:rPr>
                <w:rFonts w:ascii="Arial" w:hAnsi="Arial" w:cs="Arial"/>
                <w:sz w:val="24"/>
              </w:rPr>
              <w:t>914,959</w:t>
            </w:r>
          </w:p>
        </w:tc>
      </w:tr>
      <w:tr w:rsidR="00501B46" w:rsidRPr="00276B41" w14:paraId="15E8E46F" w14:textId="77777777" w:rsidTr="00DF158E">
        <w:tc>
          <w:tcPr>
            <w:tcW w:w="3559" w:type="pct"/>
            <w:shd w:val="clear" w:color="auto" w:fill="F2F2F2" w:themeFill="background1" w:themeFillShade="F2"/>
          </w:tcPr>
          <w:p w14:paraId="32A3B55D" w14:textId="388FDF3F" w:rsidR="00501B46" w:rsidRPr="00407FC3" w:rsidRDefault="00551B11" w:rsidP="00E8583C">
            <w:pPr>
              <w:pStyle w:val="TableText"/>
              <w:rPr>
                <w:b/>
                <w:bCs/>
              </w:rPr>
            </w:pPr>
            <w:r>
              <w:rPr>
                <w:b/>
                <w:bCs/>
              </w:rPr>
              <w:lastRenderedPageBreak/>
              <w:t>Total full time equivalent educators in public schools (2023</w:t>
            </w:r>
            <w:r w:rsidR="00C8487D">
              <w:rPr>
                <w:b/>
                <w:bCs/>
              </w:rPr>
              <w:t>–</w:t>
            </w:r>
            <w:r w:rsidR="00684730">
              <w:rPr>
                <w:b/>
                <w:bCs/>
              </w:rPr>
              <w:t>20</w:t>
            </w:r>
            <w:r>
              <w:rPr>
                <w:b/>
                <w:bCs/>
              </w:rPr>
              <w:t>24)</w:t>
            </w:r>
          </w:p>
        </w:tc>
        <w:tc>
          <w:tcPr>
            <w:tcW w:w="1441" w:type="pct"/>
          </w:tcPr>
          <w:p w14:paraId="4D717D83" w14:textId="3D1F8D43" w:rsidR="00501B46" w:rsidRDefault="00765203" w:rsidP="00060F65">
            <w:pPr>
              <w:jc w:val="right"/>
              <w:rPr>
                <w:rFonts w:ascii="Arial" w:hAnsi="Arial" w:cs="Arial"/>
                <w:sz w:val="24"/>
              </w:rPr>
            </w:pPr>
            <w:r>
              <w:rPr>
                <w:rFonts w:ascii="Arial" w:hAnsi="Arial" w:cs="Arial"/>
                <w:sz w:val="24"/>
              </w:rPr>
              <w:t>147,655</w:t>
            </w:r>
          </w:p>
        </w:tc>
      </w:tr>
      <w:tr w:rsidR="00DF158E" w:rsidRPr="00276B41" w14:paraId="0A966F6F" w14:textId="77777777" w:rsidTr="00DF158E">
        <w:tc>
          <w:tcPr>
            <w:tcW w:w="3559" w:type="pct"/>
            <w:shd w:val="clear" w:color="auto" w:fill="F2F2F2" w:themeFill="background1" w:themeFillShade="F2"/>
          </w:tcPr>
          <w:p w14:paraId="4386BDBB" w14:textId="7BE2494E" w:rsidR="00DF158E" w:rsidRPr="00407FC3" w:rsidRDefault="00893CC2" w:rsidP="00E8583C">
            <w:pPr>
              <w:pStyle w:val="TableText"/>
              <w:rPr>
                <w:b/>
                <w:bCs/>
              </w:rPr>
            </w:pPr>
            <w:r>
              <w:rPr>
                <w:b/>
                <w:bCs/>
              </w:rPr>
              <w:t>State</w:t>
            </w:r>
            <w:r w:rsidR="00185326">
              <w:rPr>
                <w:b/>
                <w:bCs/>
              </w:rPr>
              <w:t>wide average a</w:t>
            </w:r>
            <w:r w:rsidR="00DF158E" w:rsidRPr="00407FC3">
              <w:rPr>
                <w:b/>
                <w:bCs/>
              </w:rPr>
              <w:t>nnual expenditure per student</w:t>
            </w:r>
            <w:r w:rsidR="004528F0" w:rsidRPr="00407FC3">
              <w:rPr>
                <w:b/>
                <w:bCs/>
              </w:rPr>
              <w:t xml:space="preserve"> at public school buildings</w:t>
            </w:r>
          </w:p>
        </w:tc>
        <w:tc>
          <w:tcPr>
            <w:tcW w:w="1441" w:type="pct"/>
          </w:tcPr>
          <w:p w14:paraId="23298315" w14:textId="79F21D10" w:rsidR="00DF158E" w:rsidRPr="00060F65" w:rsidRDefault="00185326" w:rsidP="00060F65">
            <w:pPr>
              <w:jc w:val="right"/>
              <w:rPr>
                <w:rFonts w:ascii="Arial" w:hAnsi="Arial" w:cs="Arial"/>
                <w:sz w:val="24"/>
              </w:rPr>
            </w:pPr>
            <w:r>
              <w:rPr>
                <w:rFonts w:ascii="Arial" w:hAnsi="Arial" w:cs="Arial"/>
                <w:sz w:val="24"/>
              </w:rPr>
              <w:t>$20,133.67</w:t>
            </w:r>
          </w:p>
        </w:tc>
      </w:tr>
    </w:tbl>
    <w:p w14:paraId="7FA6466F" w14:textId="7AA1651B" w:rsidR="00F24E16" w:rsidRDefault="00F24E16" w:rsidP="00F24E16">
      <w:pPr>
        <w:pStyle w:val="Bibliography"/>
      </w:pPr>
      <w:bookmarkStart w:id="31" w:name="_Toc171518354"/>
      <w:bookmarkStart w:id="32" w:name="_Toc171519307"/>
    </w:p>
    <w:p w14:paraId="4AFC5309" w14:textId="0F5F80BD" w:rsidR="00DF10D6" w:rsidRDefault="009C2F52" w:rsidP="001C7888">
      <w:pPr>
        <w:pStyle w:val="Heading2"/>
      </w:pPr>
      <w:bookmarkStart w:id="33" w:name="_Toc193116883"/>
      <w:r>
        <w:t>Environmental Differences and Challenges</w:t>
      </w:r>
      <w:r w:rsidR="00FF1C0B">
        <w:t xml:space="preserve"> by Location</w:t>
      </w:r>
      <w:bookmarkEnd w:id="31"/>
      <w:bookmarkEnd w:id="32"/>
      <w:bookmarkEnd w:id="33"/>
    </w:p>
    <w:p w14:paraId="31CBAA7B" w14:textId="5F6B8DDC" w:rsidR="00F6493B" w:rsidRDefault="00F6493B" w:rsidP="006D7DE6">
      <w:pPr>
        <w:pStyle w:val="BodyTextFirstIndent"/>
      </w:pPr>
      <w:r>
        <w:t>The Commonwealth’s 399 school districts, which collectively operate 1,827 public elementary and secondary schools,</w:t>
      </w:r>
      <w:r>
        <w:fldChar w:fldCharType="begin"/>
      </w:r>
      <w:r w:rsidR="00223023">
        <w:instrText xml:space="preserve"> ADDIN ZOTERO_ITEM CSL_CITATION {"citationID":"a25824jgb9m","properties":{"formattedCitation":"\\super 13\\nosupersub{}","plainCitation":"13","noteIndex":0},"citationItems":[{"id":1033,"uris":["http://zotero.org/groups/5563646/items/Q7E67SKS"],"itemData":{"id":1033,"type":"webpage","title":"School and District Profiles, General, 2023-24 Enrollment Data","URL":"https://profiles.doe.mass.edu/general/generalstate.aspx?topNavID=1&amp;leftNavId=100&amp;orgcode=00000000&amp;orgtypecode=0","author":[{"family":"Massachusetts Department of Elementary and Secondary Education","given":""}],"accessed":{"date-parts":[["2024",7,29]]}}}],"schema":"https://github.com/citation-style-language/schema/raw/master/csl-citation.json"} </w:instrText>
      </w:r>
      <w:r>
        <w:fldChar w:fldCharType="separate"/>
      </w:r>
      <w:r w:rsidR="00223023" w:rsidRPr="00223023">
        <w:rPr>
          <w:rFonts w:ascii="Calibri" w:hAnsi="Calibri" w:cs="Calibri"/>
          <w:sz w:val="22"/>
          <w:vertAlign w:val="superscript"/>
        </w:rPr>
        <w:t>13</w:t>
      </w:r>
      <w:r>
        <w:fldChar w:fldCharType="end"/>
      </w:r>
      <w:r>
        <w:t xml:space="preserve"> are dispersed across a range of geographic locations</w:t>
      </w:r>
      <w:r w:rsidR="003F62BD">
        <w:t>,</w:t>
      </w:r>
      <w:r>
        <w:t xml:space="preserve"> including those defined as urban, rural,</w:t>
      </w:r>
      <w:r w:rsidR="00D65096">
        <w:t xml:space="preserve"> and</w:t>
      </w:r>
      <w:r w:rsidR="003F62BD">
        <w:t xml:space="preserve"> </w:t>
      </w:r>
      <w:r>
        <w:t xml:space="preserve">close to industrial activity. Each of these geographic categories presents a unique collection of environmental challenges and considerations </w:t>
      </w:r>
      <w:r w:rsidR="003F62BD">
        <w:t xml:space="preserve">that </w:t>
      </w:r>
      <w:r>
        <w:t xml:space="preserve">impact the extent to which students </w:t>
      </w:r>
      <w:r w:rsidR="00FC5BE7">
        <w:t>can</w:t>
      </w:r>
      <w:r>
        <w:t xml:space="preserve"> thrive in an environmentally sustainable and healthy learning environment. </w:t>
      </w:r>
    </w:p>
    <w:p w14:paraId="6D57EE46" w14:textId="77777777" w:rsidR="00F6493B" w:rsidRDefault="00F6493B" w:rsidP="00F6493B">
      <w:pPr>
        <w:pStyle w:val="Heading3"/>
      </w:pPr>
      <w:r>
        <w:t>Urban Regions</w:t>
      </w:r>
    </w:p>
    <w:p w14:paraId="26976DB2" w14:textId="62BD22D0" w:rsidR="00247160" w:rsidRPr="00247160" w:rsidRDefault="517BB338" w:rsidP="006D7DE6">
      <w:pPr>
        <w:pStyle w:val="BodyTextFirstIndent"/>
      </w:pPr>
      <w:r>
        <w:t xml:space="preserve">There are numerous ways to define urban regions. </w:t>
      </w:r>
      <w:r w:rsidR="2FE1B2B5">
        <w:t xml:space="preserve">Qualitatively, an urban area can refer to large </w:t>
      </w:r>
      <w:r w:rsidR="3943D91E">
        <w:t>cities, towns, and suburbs.</w:t>
      </w:r>
      <w:r w:rsidR="00FB3611">
        <w:fldChar w:fldCharType="begin"/>
      </w:r>
      <w:r w:rsidR="00223023">
        <w:instrText xml:space="preserve"> ADDIN ZOTERO_ITEM CSL_CITATION {"citationID":"ao8u64sdi2","properties":{"formattedCitation":"\\super 14\\nosupersub{}","plainCitation":"14","noteIndex":0},"citationItems":[{"id":1049,"uris":["http://zotero.org/groups/5563646/items/UMIVBU2L"],"itemData":{"id":1049,"type":"webpage","language":"en","title":"Urban Area","URL":"https://education.nationalgeographic.org/resource/urban-area","author":[{"family":"National Geographic","given":""}],"accessed":{"date-parts":[["2024",8,8]]}}}],"schema":"https://github.com/citation-style-language/schema/raw/master/csl-citation.json"} </w:instrText>
      </w:r>
      <w:r w:rsidR="00FB3611">
        <w:fldChar w:fldCharType="separate"/>
      </w:r>
      <w:r w:rsidR="00223023" w:rsidRPr="00223023">
        <w:rPr>
          <w:rFonts w:cs="Arial"/>
          <w:vertAlign w:val="superscript"/>
        </w:rPr>
        <w:t>14</w:t>
      </w:r>
      <w:r w:rsidR="00FB3611">
        <w:fldChar w:fldCharType="end"/>
      </w:r>
      <w:r w:rsidR="3943D91E">
        <w:t xml:space="preserve"> </w:t>
      </w:r>
      <w:r w:rsidR="659BF44F">
        <w:t>The U.S. Census Bureau</w:t>
      </w:r>
      <w:r w:rsidR="347A7D65">
        <w:t xml:space="preserve"> defines urban areas as geographic areas of 50,000 or more people.</w:t>
      </w:r>
      <w:r w:rsidR="00FB3611">
        <w:fldChar w:fldCharType="begin"/>
      </w:r>
      <w:r w:rsidR="00223023">
        <w:instrText xml:space="preserve"> ADDIN ZOTERO_ITEM CSL_CITATION {"citationID":"a26bdk775dl","properties":{"formattedCitation":"\\super 15\\nosupersub{}","plainCitation":"15","noteIndex":0},"citationItems":[{"id":1048,"uris":["http://zotero.org/groups/5563646/items/N9SUMSY9"],"itemData":{"id":1048,"type":"document","title":"MA State Office of Rural Health Rural Definition","URL":"https://www.mass.gov/doc/rural-definition-detail-0/download#:~:text=%2D%20Urbanized%20Areas%20(UAs)%20are,of%202%2C500%20to%2050%2C000%20people.","author":[{"family":"MA State Office of Rural Health","given":""}]}}],"schema":"https://github.com/citation-style-language/schema/raw/master/csl-citation.json"} </w:instrText>
      </w:r>
      <w:r w:rsidR="00FB3611">
        <w:fldChar w:fldCharType="separate"/>
      </w:r>
      <w:r w:rsidR="00223023" w:rsidRPr="00223023">
        <w:rPr>
          <w:rFonts w:cs="Arial"/>
          <w:vertAlign w:val="superscript"/>
        </w:rPr>
        <w:t>15</w:t>
      </w:r>
      <w:r w:rsidR="00FB3611">
        <w:fldChar w:fldCharType="end"/>
      </w:r>
      <w:r w:rsidR="0DC2CD89">
        <w:t xml:space="preserve"> It further defines urban clusters as geographic areas</w:t>
      </w:r>
      <w:r w:rsidR="57C416FD">
        <w:t xml:space="preserve"> of 2,500 to 50,000 people. </w:t>
      </w:r>
      <w:r w:rsidR="756C58A5">
        <w:t xml:space="preserve">Urban areas are typically characterized by </w:t>
      </w:r>
      <w:r w:rsidR="557B3C45">
        <w:t xml:space="preserve">a </w:t>
      </w:r>
      <w:r w:rsidR="756C58A5">
        <w:t>hig</w:t>
      </w:r>
      <w:r w:rsidR="557B3C45">
        <w:t>h density of people</w:t>
      </w:r>
      <w:r w:rsidR="5011EBD8">
        <w:t>, human structures</w:t>
      </w:r>
      <w:r w:rsidR="7B277151">
        <w:t xml:space="preserve"> (including </w:t>
      </w:r>
      <w:r w:rsidR="389E0186">
        <w:t>older</w:t>
      </w:r>
      <w:r w:rsidR="0A7BA5B8">
        <w:t xml:space="preserve"> buildings that </w:t>
      </w:r>
      <w:r w:rsidR="53CA788A">
        <w:t>may</w:t>
      </w:r>
      <w:r w:rsidR="0A7BA5B8">
        <w:t xml:space="preserve"> </w:t>
      </w:r>
      <w:r w:rsidR="0D62443E">
        <w:t xml:space="preserve">have </w:t>
      </w:r>
      <w:r w:rsidR="0A7BA5B8">
        <w:t>environmental hazards such as lead</w:t>
      </w:r>
      <w:r w:rsidR="789FBEE5">
        <w:t>-based paint and asbestos)</w:t>
      </w:r>
      <w:r w:rsidR="5011EBD8">
        <w:t>, transportation infrastructure</w:t>
      </w:r>
      <w:r w:rsidR="56F224F7">
        <w:t xml:space="preserve"> (including impervious surfaces that absorb heat and prevent </w:t>
      </w:r>
      <w:r w:rsidR="6C2F64A6">
        <w:t xml:space="preserve">the </w:t>
      </w:r>
      <w:r w:rsidR="17FC4EBC">
        <w:t xml:space="preserve">natural </w:t>
      </w:r>
      <w:r w:rsidR="6C2F64A6">
        <w:t>percolation of rainwater to underground aquifers)</w:t>
      </w:r>
      <w:r w:rsidR="5011EBD8">
        <w:t xml:space="preserve">, and </w:t>
      </w:r>
      <w:r w:rsidR="002A1436">
        <w:t>traffic congestion</w:t>
      </w:r>
      <w:r w:rsidR="7B277151">
        <w:t>.</w:t>
      </w:r>
      <w:r w:rsidR="57C416FD">
        <w:t xml:space="preserve"> </w:t>
      </w:r>
      <w:r w:rsidR="127DEC5F">
        <w:t>U</w:t>
      </w:r>
      <w:r w:rsidR="3E71A8AA">
        <w:t xml:space="preserve">rban regions </w:t>
      </w:r>
      <w:r w:rsidR="127DEC5F">
        <w:t>in</w:t>
      </w:r>
      <w:r w:rsidR="3E71A8AA">
        <w:t xml:space="preserve"> the Commonwealth</w:t>
      </w:r>
      <w:r w:rsidR="5B580479">
        <w:t xml:space="preserve"> experience numerous environmental</w:t>
      </w:r>
      <w:r w:rsidR="789FBEE5">
        <w:t xml:space="preserve"> challenges, including the following:</w:t>
      </w:r>
    </w:p>
    <w:p w14:paraId="615CD91B" w14:textId="7B65B21E" w:rsidR="00F6493B" w:rsidRDefault="00561AE9" w:rsidP="008131EB">
      <w:pPr>
        <w:pStyle w:val="ListBullet"/>
      </w:pPr>
      <w:r>
        <w:t>Degraded</w:t>
      </w:r>
      <w:r w:rsidR="00326733">
        <w:t xml:space="preserve"> air quality</w:t>
      </w:r>
      <w:r w:rsidR="00DF1AA8">
        <w:t xml:space="preserve"> resulting from </w:t>
      </w:r>
      <w:r w:rsidR="00DA6975">
        <w:t xml:space="preserve">higher emissions </w:t>
      </w:r>
      <w:r w:rsidR="00F6493B">
        <w:t xml:space="preserve">of </w:t>
      </w:r>
      <w:r w:rsidR="004C5682">
        <w:t>criteria</w:t>
      </w:r>
      <w:r w:rsidR="00DA6975">
        <w:t xml:space="preserve"> and</w:t>
      </w:r>
      <w:r w:rsidR="004C5682">
        <w:t xml:space="preserve"> </w:t>
      </w:r>
      <w:r w:rsidR="00B354CC">
        <w:t xml:space="preserve">toxic </w:t>
      </w:r>
      <w:r w:rsidR="004C5682">
        <w:t>air pollutants from both stationary and mobile sources</w:t>
      </w:r>
    </w:p>
    <w:p w14:paraId="4201CD61" w14:textId="449FF259" w:rsidR="00F6493B" w:rsidRDefault="00901AA3" w:rsidP="008131EB">
      <w:pPr>
        <w:pStyle w:val="ListBullet"/>
      </w:pPr>
      <w:r>
        <w:t>Long-duration elevated a</w:t>
      </w:r>
      <w:r w:rsidR="00B354CC">
        <w:t>mbient</w:t>
      </w:r>
      <w:r>
        <w:t xml:space="preserve"> temperatures</w:t>
      </w:r>
      <w:r w:rsidR="00F84043">
        <w:t xml:space="preserve"> resulting from the </w:t>
      </w:r>
      <w:r w:rsidR="00F6493B">
        <w:t xml:space="preserve">heat island </w:t>
      </w:r>
      <w:r w:rsidR="00F84043">
        <w:t>effect</w:t>
      </w:r>
      <w:r w:rsidR="0013624D">
        <w:fldChar w:fldCharType="begin"/>
      </w:r>
      <w:r w:rsidR="00223023">
        <w:instrText xml:space="preserve"> ADDIN ZOTERO_ITEM CSL_CITATION {"citationID":"a2aken5dr8i","properties":{"formattedCitation":"\\super 16\\nosupersub{}","plainCitation":"16","noteIndex":0},"citationItems":[{"id":1053,"uris":["http://zotero.org/groups/5563646/items/S7MSQCT6"],"itemData":{"id":1053,"type":"webpage","abstract":"EPA's Heat Island Effect Site provides information on heat islands, their impacts, mitigation strategies, related research, a directory of heat island reduction initiatives in U.S. communities, and EPA's Heat Island Reduction Program.","genre":"Collections and Lists","language":"en","title":"Heat Island Effect","URL":"https://www.epa.gov/heatislands","author":[{"family":"US EPA","given":"OAR"}],"accessed":{"date-parts":[["2024",8,8]]},"issued":{"date-parts":[["2014",2,28]]}}}],"schema":"https://github.com/citation-style-language/schema/raw/master/csl-citation.json"} </w:instrText>
      </w:r>
      <w:r w:rsidR="0013624D">
        <w:fldChar w:fldCharType="separate"/>
      </w:r>
      <w:r w:rsidR="00223023" w:rsidRPr="00223023">
        <w:rPr>
          <w:rFonts w:cs="Arial"/>
          <w:vertAlign w:val="superscript"/>
        </w:rPr>
        <w:t>16</w:t>
      </w:r>
      <w:r w:rsidR="0013624D">
        <w:fldChar w:fldCharType="end"/>
      </w:r>
    </w:p>
    <w:p w14:paraId="5A30E3A5" w14:textId="506CFE17" w:rsidR="00F6493B" w:rsidRDefault="00F1134B" w:rsidP="008131EB">
      <w:pPr>
        <w:pStyle w:val="ListBullet"/>
      </w:pPr>
      <w:r>
        <w:t xml:space="preserve">Flash flooding resulting from the higher concentration of </w:t>
      </w:r>
      <w:r w:rsidR="00F6493B">
        <w:t xml:space="preserve">impervious surfaces </w:t>
      </w:r>
    </w:p>
    <w:p w14:paraId="515FE388" w14:textId="1C87F265" w:rsidR="00F6493B" w:rsidRDefault="00712225" w:rsidP="008131EB">
      <w:pPr>
        <w:pStyle w:val="ListBullet"/>
      </w:pPr>
      <w:r>
        <w:t>Increase</w:t>
      </w:r>
      <w:r w:rsidR="00656980">
        <w:t>d</w:t>
      </w:r>
      <w:r>
        <w:t xml:space="preserve"> likelihood of pediatric exposure to </w:t>
      </w:r>
      <w:r w:rsidR="00656980">
        <w:t>l</w:t>
      </w:r>
      <w:r w:rsidR="00F6493B">
        <w:t xml:space="preserve">ead </w:t>
      </w:r>
      <w:r w:rsidR="00656980">
        <w:t>(on interior</w:t>
      </w:r>
      <w:r w:rsidR="00F6493B">
        <w:t xml:space="preserve"> </w:t>
      </w:r>
      <w:r w:rsidR="00EC5E2D">
        <w:t xml:space="preserve">painted </w:t>
      </w:r>
      <w:r w:rsidR="00656980">
        <w:t xml:space="preserve">surfaces and in the </w:t>
      </w:r>
      <w:r w:rsidR="00F6493B">
        <w:t>soil</w:t>
      </w:r>
      <w:r w:rsidR="006C4A93">
        <w:t>) as a result of older building stocks</w:t>
      </w:r>
      <w:r w:rsidR="00AB1983">
        <w:t xml:space="preserve"> that commonly used lead-based paint prior to </w:t>
      </w:r>
      <w:r w:rsidR="00D65096">
        <w:t>federal regulations restricting its use</w:t>
      </w:r>
      <w:r w:rsidR="006C4A93">
        <w:t xml:space="preserve"> </w:t>
      </w:r>
      <w:r w:rsidR="009E1D1F">
        <w:t>and</w:t>
      </w:r>
      <w:r w:rsidR="00E949DA">
        <w:t xml:space="preserve"> proximity to emissions from vehicles that use leaded gasoline</w:t>
      </w:r>
      <w:r w:rsidR="008A5BCF">
        <w:fldChar w:fldCharType="begin"/>
      </w:r>
      <w:r w:rsidR="00096BFF">
        <w:instrText xml:space="preserve"> ADDIN ZOTERO_ITEM CSL_CITATION {"citationID":"ams6tdgqkk","properties":{"formattedCitation":"\\super 17\\nosupersub{}","plainCitation":"17","noteIndex":0},"citationItems":[{"id":1054,"uris":["http://zotero.org/groups/5563646/items/GQQQEL49"],"itemData":{"id":1054,"type":"document","title":"Lead in Soil","URL":"https://www.epa.gov/sites/default/files/2020-10/documents/lead-in-soil-aug2020.pdf","author":[{"family":"U.S. EPA, Region 3","given":""}],"issued":{"date-parts":[["2020",8]]}}}],"schema":"https://github.com/citation-style-language/schema/raw/master/csl-citation.json"} </w:instrText>
      </w:r>
      <w:r w:rsidR="008A5BCF">
        <w:fldChar w:fldCharType="separate"/>
      </w:r>
      <w:r w:rsidR="00223023" w:rsidRPr="00223023">
        <w:rPr>
          <w:rFonts w:cs="Arial"/>
          <w:vertAlign w:val="superscript"/>
        </w:rPr>
        <w:t>17</w:t>
      </w:r>
      <w:r w:rsidR="008A5BCF">
        <w:fldChar w:fldCharType="end"/>
      </w:r>
    </w:p>
    <w:p w14:paraId="66A8CC78" w14:textId="77777777" w:rsidR="00F6493B" w:rsidRDefault="00F6493B" w:rsidP="00F6493B">
      <w:pPr>
        <w:pStyle w:val="Heading3"/>
      </w:pPr>
      <w:r>
        <w:t>Rural regions</w:t>
      </w:r>
    </w:p>
    <w:p w14:paraId="02FC95E1" w14:textId="071B16DB" w:rsidR="00F6493B" w:rsidRDefault="005160A1" w:rsidP="006D7DE6">
      <w:pPr>
        <w:pStyle w:val="BodyTextFirstIndent"/>
      </w:pPr>
      <w:r>
        <w:t xml:space="preserve">The Massachusetts </w:t>
      </w:r>
      <w:r w:rsidR="009D0839">
        <w:t>State Office of Rural Health</w:t>
      </w:r>
      <w:r w:rsidR="00B4112C">
        <w:t xml:space="preserve"> </w:t>
      </w:r>
      <w:r w:rsidR="00833146">
        <w:t>considers a municipality in Massachusetts as rural if it meets</w:t>
      </w:r>
      <w:r w:rsidR="00125C49">
        <w:t xml:space="preserve"> at least </w:t>
      </w:r>
      <w:r w:rsidR="00F6493B" w:rsidRPr="00865BA2">
        <w:t>one of the following criteria:</w:t>
      </w:r>
      <w:r w:rsidR="00125C49">
        <w:fldChar w:fldCharType="begin"/>
      </w:r>
      <w:r w:rsidR="00223023">
        <w:instrText xml:space="preserve"> ADDIN ZOTERO_ITEM CSL_CITATION {"citationID":"a126prr29ek","properties":{"formattedCitation":"\\super 15\\nosupersub{}","plainCitation":"15","noteIndex":0},"citationItems":[{"id":1048,"uris":["http://zotero.org/groups/5563646/items/N9SUMSY9"],"itemData":{"id":1048,"type":"document","title":"MA State Office of Rural Health Rural Definition","URL":"https://www.mass.gov/doc/rural-definition-detail-0/download#:~:text=%2D%20Urbanized%20Areas%20(UAs)%20are,of%202%2C500%20to%2050%2C000%20people.","author":[{"family":"MA State Office of Rural Health","given":""}]}}],"schema":"https://github.com/citation-style-language/schema/raw/master/csl-citation.json"} </w:instrText>
      </w:r>
      <w:r w:rsidR="00125C49">
        <w:fldChar w:fldCharType="separate"/>
      </w:r>
      <w:r w:rsidR="00223023" w:rsidRPr="00223023">
        <w:rPr>
          <w:rFonts w:cs="Arial"/>
          <w:vertAlign w:val="superscript"/>
        </w:rPr>
        <w:t>15</w:t>
      </w:r>
      <w:r w:rsidR="00125C49">
        <w:fldChar w:fldCharType="end"/>
      </w:r>
      <w:r w:rsidR="00F6493B" w:rsidRPr="00865BA2">
        <w:t xml:space="preserve"> </w:t>
      </w:r>
    </w:p>
    <w:p w14:paraId="2F0E803A" w14:textId="7DC78BF1" w:rsidR="00F6493B" w:rsidRDefault="39AE0948" w:rsidP="008131EB">
      <w:pPr>
        <w:pStyle w:val="ListBullet"/>
      </w:pPr>
      <w:r>
        <w:t xml:space="preserve">Meets at least one of </w:t>
      </w:r>
      <w:r w:rsidR="007E0FE6">
        <w:t xml:space="preserve">the following </w:t>
      </w:r>
      <w:r>
        <w:t>three federal rural definitions at the sub-county level</w:t>
      </w:r>
      <w:r w:rsidR="00FE2D91">
        <w:t>:</w:t>
      </w:r>
    </w:p>
    <w:p w14:paraId="6DB21889" w14:textId="5BF11B90" w:rsidR="00FE2D91" w:rsidRDefault="00636E95" w:rsidP="00F309A2">
      <w:pPr>
        <w:pStyle w:val="ListBullet2"/>
      </w:pPr>
      <w:r w:rsidRPr="006874E8">
        <w:rPr>
          <w:u w:val="single"/>
        </w:rPr>
        <w:lastRenderedPageBreak/>
        <w:t>U.S. Census Bureau:</w:t>
      </w:r>
      <w:r>
        <w:t xml:space="preserve"> </w:t>
      </w:r>
      <w:r w:rsidR="003A30A7" w:rsidRPr="003A30A7">
        <w:t xml:space="preserve">Urban </w:t>
      </w:r>
      <w:r w:rsidR="00B84E0E">
        <w:t>a</w:t>
      </w:r>
      <w:r w:rsidR="003A30A7" w:rsidRPr="003A30A7">
        <w:t xml:space="preserve">reas are geographic areas of 50,000 or more people. Urban </w:t>
      </w:r>
      <w:r w:rsidR="00B84E0E">
        <w:t>c</w:t>
      </w:r>
      <w:r w:rsidR="003A30A7" w:rsidRPr="003A30A7">
        <w:t>lusters are geographic areas of 2,500 to 50,000 people. Any area not categorized as a</w:t>
      </w:r>
      <w:r w:rsidR="003A30A7">
        <w:t>n</w:t>
      </w:r>
      <w:r w:rsidR="003A30A7" w:rsidRPr="003A30A7">
        <w:t xml:space="preserve"> </w:t>
      </w:r>
      <w:r w:rsidR="00B84E0E">
        <w:t>u</w:t>
      </w:r>
      <w:r w:rsidR="003A30A7">
        <w:t xml:space="preserve">rban </w:t>
      </w:r>
      <w:r w:rsidR="00B84E0E">
        <w:t>a</w:t>
      </w:r>
      <w:r w:rsidR="003A30A7">
        <w:t>rea</w:t>
      </w:r>
      <w:r w:rsidR="003A30A7" w:rsidRPr="003A30A7">
        <w:t xml:space="preserve"> or </w:t>
      </w:r>
      <w:r w:rsidR="00B84E0E">
        <w:t>u</w:t>
      </w:r>
      <w:r w:rsidR="003A30A7">
        <w:t xml:space="preserve">rban </w:t>
      </w:r>
      <w:r w:rsidR="00B84E0E">
        <w:t>c</w:t>
      </w:r>
      <w:r w:rsidR="003A30A7">
        <w:t>luster</w:t>
      </w:r>
      <w:r w:rsidR="003A30A7" w:rsidRPr="003A30A7">
        <w:t xml:space="preserve"> is considered rural.</w:t>
      </w:r>
      <w:r w:rsidR="003A30A7">
        <w:fldChar w:fldCharType="begin"/>
      </w:r>
      <w:r w:rsidR="00223023">
        <w:instrText xml:space="preserve"> ADDIN ZOTERO_ITEM CSL_CITATION {"citationID":"a1u6b3ei5bv","properties":{"formattedCitation":"\\super 18\\nosupersub{}","plainCitation":"18","noteIndex":0},"citationItems":[{"id":1105,"uris":["http://zotero.org/groups/5563646/items/UG78TZPR"],"itemData":{"id":1105,"type":"document","publisher":"U.S. Department of Commerce, Economics and Statistics Administration, U.S. Census Bureau","title":"Defining Rural at the U.S. Census Bureau","URL":"https://www2.census.gov/geo/pdfs/reference/ua/Defining_Rural.pdf","author":[{"family":"Ratcliffe","given":"Michael"},{"family":"Burd","given":"Charlynn"},{"family":"Holder","given":"Kelly"},{"family":"Fields","given":"Allison"}],"issued":{"date-parts":[["2016",12]]}}}],"schema":"https://github.com/citation-style-language/schema/raw/master/csl-citation.json"} </w:instrText>
      </w:r>
      <w:r w:rsidR="003A30A7">
        <w:fldChar w:fldCharType="separate"/>
      </w:r>
      <w:r w:rsidR="00223023" w:rsidRPr="00223023">
        <w:rPr>
          <w:rFonts w:cs="Arial"/>
          <w:vertAlign w:val="superscript"/>
        </w:rPr>
        <w:t>18</w:t>
      </w:r>
      <w:r w:rsidR="003A30A7">
        <w:fldChar w:fldCharType="end"/>
      </w:r>
    </w:p>
    <w:p w14:paraId="3B8E1BDE" w14:textId="372C24E6" w:rsidR="009A20FC" w:rsidRDefault="006874E8" w:rsidP="00F309A2">
      <w:pPr>
        <w:pStyle w:val="ListBullet2"/>
      </w:pPr>
      <w:r w:rsidRPr="00EB4AE8">
        <w:rPr>
          <w:u w:val="single"/>
        </w:rPr>
        <w:t>Office of Management and Budget:</w:t>
      </w:r>
      <w:r w:rsidR="003445D0">
        <w:t xml:space="preserve"> D</w:t>
      </w:r>
      <w:r w:rsidR="003445D0" w:rsidRPr="003445D0">
        <w:t xml:space="preserve">esignates counties as </w:t>
      </w:r>
      <w:r w:rsidR="00E2468F">
        <w:t>m</w:t>
      </w:r>
      <w:r w:rsidR="003445D0" w:rsidRPr="003445D0">
        <w:t>etropolitan</w:t>
      </w:r>
      <w:r w:rsidR="00CA70D2">
        <w:t xml:space="preserve"> (metro)</w:t>
      </w:r>
      <w:r w:rsidR="003445D0" w:rsidRPr="003445D0">
        <w:t xml:space="preserve">, </w:t>
      </w:r>
      <w:r w:rsidR="00E2468F">
        <w:t>m</w:t>
      </w:r>
      <w:r w:rsidR="003445D0" w:rsidRPr="003445D0">
        <w:t>icropolitan</w:t>
      </w:r>
      <w:r w:rsidR="00CA70D2">
        <w:t xml:space="preserve"> (micro)</w:t>
      </w:r>
      <w:r w:rsidR="003445D0" w:rsidRPr="003445D0">
        <w:t xml:space="preserve">, or </w:t>
      </w:r>
      <w:r w:rsidR="00E2468F">
        <w:t>n</w:t>
      </w:r>
      <w:r w:rsidR="003445D0" w:rsidRPr="003445D0">
        <w:t>either</w:t>
      </w:r>
      <w:r w:rsidR="00E2468F">
        <w:t xml:space="preserve"> </w:t>
      </w:r>
      <w:r w:rsidR="00171E4B">
        <w:t>(</w:t>
      </w:r>
      <w:r w:rsidR="00E2468F">
        <w:t>as summarized in</w:t>
      </w:r>
      <w:r w:rsidR="00171E4B">
        <w:t xml:space="preserve"> </w:t>
      </w:r>
      <w:r w:rsidR="00171E4B">
        <w:fldChar w:fldCharType="begin"/>
      </w:r>
      <w:r w:rsidR="00171E4B">
        <w:instrText xml:space="preserve"> REF _Ref178348052 \h </w:instrText>
      </w:r>
      <w:r w:rsidR="00171E4B">
        <w:fldChar w:fldCharType="separate"/>
      </w:r>
      <w:r w:rsidR="00307850">
        <w:t xml:space="preserve">Table </w:t>
      </w:r>
      <w:r w:rsidR="00307850">
        <w:rPr>
          <w:noProof/>
        </w:rPr>
        <w:t>3</w:t>
      </w:r>
      <w:r w:rsidR="00171E4B">
        <w:fldChar w:fldCharType="end"/>
      </w:r>
      <w:r w:rsidR="003445D0" w:rsidRPr="003445D0">
        <w:t>.</w:t>
      </w:r>
      <w:r w:rsidR="005273F1">
        <w:fldChar w:fldCharType="begin"/>
      </w:r>
      <w:r w:rsidR="00223023">
        <w:instrText xml:space="preserve"> ADDIN ZOTERO_ITEM CSL_CITATION {"citationID":"a23304qo7og","properties":{"formattedCitation":"\\super 19\\nosupersub{}","plainCitation":"19","noteIndex":0},"citationItems":[{"id":1106,"uris":["http://zotero.org/groups/5563646/items/KZL56XP9"],"itemData":{"id":1106,"type":"webpage","title":"Defining Rural Population","URL":"https://www.hrsa.gov/rural-health/about-us/what-is-rural","author":[{"family":"Health Resources and Services Administration","given":""}],"accessed":{"date-parts":[["2024",9,27]]},"issued":{"date-parts":[["2024",1]]}}}],"schema":"https://github.com/citation-style-language/schema/raw/master/csl-citation.json"} </w:instrText>
      </w:r>
      <w:r w:rsidR="005273F1">
        <w:fldChar w:fldCharType="separate"/>
      </w:r>
      <w:r w:rsidR="00223023" w:rsidRPr="00223023">
        <w:rPr>
          <w:rFonts w:cs="Arial"/>
          <w:vertAlign w:val="superscript"/>
        </w:rPr>
        <w:t>19</w:t>
      </w:r>
      <w:r w:rsidR="005273F1">
        <w:fldChar w:fldCharType="end"/>
      </w:r>
    </w:p>
    <w:p w14:paraId="59EA4D9E" w14:textId="499A4B09" w:rsidR="00084374" w:rsidRDefault="00CA70D2" w:rsidP="00B30C96">
      <w:pPr>
        <w:pStyle w:val="TableTitle"/>
      </w:pPr>
      <w:bookmarkStart w:id="34" w:name="_Ref178348052"/>
      <w:bookmarkStart w:id="35" w:name="_Toc192711669"/>
      <w:bookmarkStart w:id="36" w:name="_Toc193112551"/>
      <w:bookmarkStart w:id="37" w:name="_Toc193116950"/>
      <w:r>
        <w:t xml:space="preserve">Table </w:t>
      </w:r>
      <w:fldSimple w:instr=" SEQ Table \* ARABIC ">
        <w:r w:rsidR="00307850">
          <w:rPr>
            <w:noProof/>
          </w:rPr>
          <w:t>3</w:t>
        </w:r>
      </w:fldSimple>
      <w:bookmarkEnd w:id="34"/>
      <w:r>
        <w:t>.</w:t>
      </w:r>
      <w:r w:rsidR="005C5ABE">
        <w:t xml:space="preserve"> Office of Management and Budget’s </w:t>
      </w:r>
      <w:r w:rsidR="00D137CF">
        <w:t>D</w:t>
      </w:r>
      <w:r w:rsidR="008077D1">
        <w:t xml:space="preserve">efinition </w:t>
      </w:r>
      <w:r w:rsidR="005C5ABE">
        <w:t xml:space="preserve">of </w:t>
      </w:r>
      <w:r w:rsidR="00D137CF">
        <w:t>R</w:t>
      </w:r>
      <w:r w:rsidR="008077D1">
        <w:t>ural</w:t>
      </w:r>
      <w:bookmarkEnd w:id="35"/>
      <w:bookmarkEnd w:id="36"/>
      <w:bookmarkEnd w:id="37"/>
    </w:p>
    <w:tbl>
      <w:tblPr>
        <w:tblStyle w:val="TableGrid"/>
        <w:tblW w:w="0" w:type="auto"/>
        <w:tblInd w:w="85" w:type="dxa"/>
        <w:tblLook w:val="04A0" w:firstRow="1" w:lastRow="0" w:firstColumn="1" w:lastColumn="0" w:noHBand="0" w:noVBand="1"/>
        <w:tblDescription w:val="Table listing what conditions qualify an area as rural or not rural per the Office of Management and Budget."/>
      </w:tblPr>
      <w:tblGrid>
        <w:gridCol w:w="6660"/>
        <w:gridCol w:w="2605"/>
      </w:tblGrid>
      <w:tr w:rsidR="00712963" w14:paraId="466865B7" w14:textId="77777777" w:rsidTr="00171E4B">
        <w:tc>
          <w:tcPr>
            <w:tcW w:w="6660" w:type="dxa"/>
            <w:shd w:val="clear" w:color="auto" w:fill="C6D9F1"/>
          </w:tcPr>
          <w:p w14:paraId="2E2C1E37" w14:textId="0E8551CB" w:rsidR="00712963" w:rsidRPr="00712963" w:rsidRDefault="00712963" w:rsidP="00712963">
            <w:pPr>
              <w:pStyle w:val="TableText"/>
              <w:jc w:val="center"/>
              <w:rPr>
                <w:b/>
                <w:bCs/>
              </w:rPr>
            </w:pPr>
            <w:r w:rsidRPr="00712963">
              <w:rPr>
                <w:b/>
                <w:bCs/>
              </w:rPr>
              <w:t>Area Description</w:t>
            </w:r>
          </w:p>
        </w:tc>
        <w:tc>
          <w:tcPr>
            <w:tcW w:w="2605" w:type="dxa"/>
            <w:shd w:val="clear" w:color="auto" w:fill="C6D9F1"/>
          </w:tcPr>
          <w:p w14:paraId="6D8FF2F4" w14:textId="1787CB49" w:rsidR="00712963" w:rsidRPr="00712963" w:rsidRDefault="00712963" w:rsidP="00712963">
            <w:pPr>
              <w:pStyle w:val="TableText"/>
              <w:jc w:val="center"/>
              <w:rPr>
                <w:b/>
                <w:bCs/>
              </w:rPr>
            </w:pPr>
            <w:r w:rsidRPr="00712963">
              <w:rPr>
                <w:b/>
                <w:bCs/>
              </w:rPr>
              <w:t>Rural or Not Rural</w:t>
            </w:r>
          </w:p>
        </w:tc>
      </w:tr>
      <w:tr w:rsidR="00712963" w14:paraId="026E7289" w14:textId="77777777" w:rsidTr="00171E4B">
        <w:tc>
          <w:tcPr>
            <w:tcW w:w="6660" w:type="dxa"/>
          </w:tcPr>
          <w:p w14:paraId="2E12E6B0" w14:textId="7E8E22F8" w:rsidR="00712963" w:rsidRDefault="00712963" w:rsidP="00712963">
            <w:pPr>
              <w:pStyle w:val="TableText"/>
            </w:pPr>
            <w:r>
              <w:t>Metro area (urban core of 50,000 or more people</w:t>
            </w:r>
            <w:r w:rsidR="00CA70D2">
              <w:t>)</w:t>
            </w:r>
          </w:p>
        </w:tc>
        <w:tc>
          <w:tcPr>
            <w:tcW w:w="2605" w:type="dxa"/>
          </w:tcPr>
          <w:p w14:paraId="2628B32C" w14:textId="6D53DF4E" w:rsidR="00712963" w:rsidRDefault="00CA70D2" w:rsidP="00CA70D2">
            <w:pPr>
              <w:pStyle w:val="TableText"/>
              <w:jc w:val="center"/>
            </w:pPr>
            <w:r>
              <w:t>Not rural</w:t>
            </w:r>
          </w:p>
        </w:tc>
      </w:tr>
      <w:tr w:rsidR="00712963" w14:paraId="159935B2" w14:textId="77777777" w:rsidTr="00171E4B">
        <w:tc>
          <w:tcPr>
            <w:tcW w:w="6660" w:type="dxa"/>
          </w:tcPr>
          <w:p w14:paraId="622C9330" w14:textId="268ECD28" w:rsidR="00712963" w:rsidRDefault="00712963" w:rsidP="00712963">
            <w:pPr>
              <w:pStyle w:val="TableText"/>
            </w:pPr>
            <w:r>
              <w:t>Mic</w:t>
            </w:r>
            <w:r w:rsidR="00CA70D2">
              <w:t>r</w:t>
            </w:r>
            <w:r>
              <w:t>o</w:t>
            </w:r>
            <w:r w:rsidR="00CA70D2">
              <w:t xml:space="preserve"> area (urban core of 10,000</w:t>
            </w:r>
            <w:r w:rsidR="003F62BD">
              <w:t>–</w:t>
            </w:r>
            <w:r w:rsidR="00CA70D2">
              <w:t>49,999 people)</w:t>
            </w:r>
          </w:p>
        </w:tc>
        <w:tc>
          <w:tcPr>
            <w:tcW w:w="2605" w:type="dxa"/>
          </w:tcPr>
          <w:p w14:paraId="631772BA" w14:textId="5846B157" w:rsidR="00712963" w:rsidRDefault="00CA70D2" w:rsidP="00CA70D2">
            <w:pPr>
              <w:pStyle w:val="TableText"/>
              <w:jc w:val="center"/>
            </w:pPr>
            <w:r>
              <w:t>Rural</w:t>
            </w:r>
          </w:p>
        </w:tc>
      </w:tr>
      <w:tr w:rsidR="00712963" w14:paraId="261C6621" w14:textId="77777777" w:rsidTr="00171E4B">
        <w:tc>
          <w:tcPr>
            <w:tcW w:w="6660" w:type="dxa"/>
          </w:tcPr>
          <w:p w14:paraId="31ADA543" w14:textId="3D7B7854" w:rsidR="00712963" w:rsidRDefault="00CA70D2" w:rsidP="00712963">
            <w:pPr>
              <w:pStyle w:val="TableText"/>
            </w:pPr>
            <w:r>
              <w:t>Counties outside metro or micro areas</w:t>
            </w:r>
          </w:p>
        </w:tc>
        <w:tc>
          <w:tcPr>
            <w:tcW w:w="2605" w:type="dxa"/>
          </w:tcPr>
          <w:p w14:paraId="6DA9CCA2" w14:textId="42EA8546" w:rsidR="00712963" w:rsidRDefault="00CA70D2" w:rsidP="00CA70D2">
            <w:pPr>
              <w:pStyle w:val="TableText"/>
              <w:jc w:val="center"/>
            </w:pPr>
            <w:r>
              <w:t>Rural</w:t>
            </w:r>
          </w:p>
        </w:tc>
      </w:tr>
    </w:tbl>
    <w:p w14:paraId="12D639B8" w14:textId="77777777" w:rsidR="00EB4AE8" w:rsidRDefault="00EB4AE8" w:rsidP="00F309A2">
      <w:pPr>
        <w:pStyle w:val="ListBullet2"/>
        <w:numPr>
          <w:ilvl w:val="0"/>
          <w:numId w:val="0"/>
        </w:numPr>
        <w:ind w:left="1080"/>
      </w:pPr>
    </w:p>
    <w:p w14:paraId="1131092E" w14:textId="4D7C2557" w:rsidR="00084374" w:rsidRDefault="00084374" w:rsidP="00F309A2">
      <w:pPr>
        <w:pStyle w:val="ListBullet2"/>
      </w:pPr>
      <w:r w:rsidRPr="008A7209">
        <w:rPr>
          <w:u w:val="single"/>
        </w:rPr>
        <w:t>Economic Research Service of the U.S. Department of Agriculture</w:t>
      </w:r>
      <w:r w:rsidR="006234C7" w:rsidRPr="008A7209">
        <w:rPr>
          <w:u w:val="single"/>
        </w:rPr>
        <w:t>:</w:t>
      </w:r>
      <w:r w:rsidR="006234C7">
        <w:t xml:space="preserve"> </w:t>
      </w:r>
      <w:r w:rsidR="008A7209" w:rsidRPr="008A7209">
        <w:t xml:space="preserve">Utilizes the U.S. Census Bureau’s </w:t>
      </w:r>
      <w:r w:rsidR="00B84E0E">
        <w:t>u</w:t>
      </w:r>
      <w:r w:rsidR="008A7209">
        <w:t xml:space="preserve">rban </w:t>
      </w:r>
      <w:r w:rsidR="00B84E0E">
        <w:t>a</w:t>
      </w:r>
      <w:r w:rsidR="008A7209">
        <w:t>reas</w:t>
      </w:r>
      <w:r w:rsidR="008A7209" w:rsidRPr="008A7209">
        <w:t xml:space="preserve"> and </w:t>
      </w:r>
      <w:r w:rsidR="00B84E0E">
        <w:t>u</w:t>
      </w:r>
      <w:r w:rsidR="008A7209">
        <w:t xml:space="preserve">rban </w:t>
      </w:r>
      <w:r w:rsidR="00B84E0E">
        <w:t>c</w:t>
      </w:r>
      <w:r w:rsidR="008A7209">
        <w:t>lusters</w:t>
      </w:r>
      <w:r w:rsidR="008A7209" w:rsidRPr="008A7209">
        <w:t xml:space="preserve"> definitions with information on work commuting.</w:t>
      </w:r>
      <w:r w:rsidR="0076496A">
        <w:fldChar w:fldCharType="begin"/>
      </w:r>
      <w:r w:rsidR="00223023">
        <w:instrText xml:space="preserve"> ADDIN ZOTERO_ITEM CSL_CITATION {"citationID":"a1fbgoeuinl","properties":{"formattedCitation":"\\super 20\\nosupersub{}","plainCitation":"20","noteIndex":0},"citationItems":[{"id":1108,"uris":["http://zotero.org/groups/5563646/items/4B7LUD8B"],"itemData":{"id":1108,"type":"webpage","title":"USDA ERS - Rural Classifications","URL":"https://www.ers.usda.gov/topics/rural-economy-population/rural-classifications/","accessed":{"date-parts":[["2024",9,27]]},"issued":{"date-parts":[["2024",3,26]]}}}],"schema":"https://github.com/citation-style-language/schema/raw/master/csl-citation.json"} </w:instrText>
      </w:r>
      <w:r w:rsidR="0076496A">
        <w:fldChar w:fldCharType="separate"/>
      </w:r>
      <w:r w:rsidR="00223023" w:rsidRPr="00223023">
        <w:rPr>
          <w:rFonts w:cs="Arial"/>
          <w:vertAlign w:val="superscript"/>
        </w:rPr>
        <w:t>20</w:t>
      </w:r>
      <w:r w:rsidR="0076496A">
        <w:fldChar w:fldCharType="end"/>
      </w:r>
      <w:r w:rsidR="008A7209" w:rsidRPr="008A7209">
        <w:t xml:space="preserve"> </w:t>
      </w:r>
    </w:p>
    <w:p w14:paraId="5A5A0058" w14:textId="2DFD738D" w:rsidR="00F6493B" w:rsidRDefault="00F6493B" w:rsidP="008131EB">
      <w:pPr>
        <w:pStyle w:val="ListBullet"/>
      </w:pPr>
      <w:r w:rsidRPr="00865BA2">
        <w:t>Has a population</w:t>
      </w:r>
      <w:r w:rsidR="003F62BD">
        <w:t xml:space="preserve"> of</w:t>
      </w:r>
      <w:r w:rsidRPr="00865BA2">
        <w:t xml:space="preserve"> less than 10,000 people and a population density below 500 people per square mile</w:t>
      </w:r>
    </w:p>
    <w:p w14:paraId="49CC278E" w14:textId="509D16B3" w:rsidR="00F6493B" w:rsidRDefault="00F6493B" w:rsidP="008131EB">
      <w:pPr>
        <w:pStyle w:val="ListBullet"/>
      </w:pPr>
      <w:r w:rsidRPr="00865BA2">
        <w:t>Has an acute care hospital in the town that meets the state hospital licensure definition of a small rural hospital</w:t>
      </w:r>
      <w:r w:rsidR="00C078EC">
        <w:t>,</w:t>
      </w:r>
      <w:r w:rsidRPr="00865BA2">
        <w:t xml:space="preserve"> or is a certified Critical Access Hospital</w:t>
      </w:r>
    </w:p>
    <w:p w14:paraId="41AAF559" w14:textId="584BBAEC" w:rsidR="00F6493B" w:rsidRDefault="39AE0948" w:rsidP="006D7DE6">
      <w:pPr>
        <w:pStyle w:val="BodyTextFirstIndent"/>
      </w:pPr>
      <w:r>
        <w:t xml:space="preserve">Rural communities comprise 59 percent of the land area in the Commonwealth yet only 13 percent of </w:t>
      </w:r>
      <w:r w:rsidR="0C0E73D0">
        <w:t>the total statewide</w:t>
      </w:r>
      <w:r w:rsidR="7A1B2916">
        <w:t xml:space="preserve"> </w:t>
      </w:r>
      <w:r>
        <w:t>population.</w:t>
      </w:r>
      <w:r w:rsidR="00F6493B">
        <w:fldChar w:fldCharType="begin"/>
      </w:r>
      <w:r w:rsidR="00223023">
        <w:instrText xml:space="preserve"> ADDIN ZOTERO_ITEM CSL_CITATION {"citationID":"ad09k9tipu","properties":{"formattedCitation":"\\super 21\\nosupersub{}","plainCitation":"21","noteIndex":0},"citationItems":[{"id":1051,"uris":["http://zotero.org/groups/5563646/items/JSQKN6AU"],"itemData":{"id":1051,"type":"webpage","abstract":"Rural areas of Massachusetts face different challenges than the rest of the Commonwealth. Unlike the economic growth engine of Greater Boston, rural areas are dealing with issues such as: small, […]","container-title":"Berkshire Regional Planning Commission","language":"en-US","title":"Massachusetts Rural Policy Plan","URL":"https://berkshireplanning.org/initiatives/massachusetts-rural-policy-plan/","author":[{"family":"Berkshire Regional Planning Commission","given":""}],"accessed":{"date-parts":[["2024",8,8]]}}}],"schema":"https://github.com/citation-style-language/schema/raw/master/csl-citation.json"} </w:instrText>
      </w:r>
      <w:r w:rsidR="00F6493B">
        <w:fldChar w:fldCharType="separate"/>
      </w:r>
      <w:r w:rsidR="00223023" w:rsidRPr="00223023">
        <w:rPr>
          <w:rFonts w:cs="Arial"/>
          <w:vertAlign w:val="superscript"/>
        </w:rPr>
        <w:t>21</w:t>
      </w:r>
      <w:r w:rsidR="00F6493B">
        <w:fldChar w:fldCharType="end"/>
      </w:r>
      <w:r>
        <w:t xml:space="preserve"> </w:t>
      </w:r>
      <w:r w:rsidR="008B5EFA">
        <w:t xml:space="preserve">There are </w:t>
      </w:r>
      <w:r w:rsidR="4A64E10A">
        <w:t>170 communities</w:t>
      </w:r>
      <w:r w:rsidR="000621E0">
        <w:t xml:space="preserve"> in Massachusetts that meet the state definition of ru</w:t>
      </w:r>
      <w:r w:rsidR="001D1452">
        <w:t>ra</w:t>
      </w:r>
      <w:r w:rsidR="000621E0">
        <w:t>l</w:t>
      </w:r>
      <w:r w:rsidR="4A64E10A">
        <w:t xml:space="preserve"> and</w:t>
      </w:r>
      <w:r>
        <w:t xml:space="preserve"> are primarily located in western and central Massachusetts, with</w:t>
      </w:r>
      <w:r w:rsidR="4A64E10A">
        <w:t xml:space="preserve"> additional</w:t>
      </w:r>
      <w:r>
        <w:t xml:space="preserve"> clusters in the northeast, southeast and the Cape</w:t>
      </w:r>
      <w:r w:rsidR="4A64E10A">
        <w:t>.</w:t>
      </w:r>
    </w:p>
    <w:p w14:paraId="6602C8DB" w14:textId="35552285" w:rsidR="00B30AF7" w:rsidRDefault="126A3781" w:rsidP="006D7DE6">
      <w:pPr>
        <w:pStyle w:val="BodyTextFirstIndent"/>
        <w:rPr>
          <w:rFonts w:cs="Arial"/>
          <w:vertAlign w:val="superscript"/>
        </w:rPr>
      </w:pPr>
      <w:r>
        <w:t xml:space="preserve">Rural </w:t>
      </w:r>
      <w:r w:rsidR="127DEC5F">
        <w:t xml:space="preserve">areas in Massachusetts do not experience </w:t>
      </w:r>
      <w:r w:rsidR="0EDC64C8">
        <w:t xml:space="preserve">many of the </w:t>
      </w:r>
      <w:r w:rsidR="3B32E210">
        <w:t xml:space="preserve">same </w:t>
      </w:r>
      <w:r w:rsidR="0EDC64C8">
        <w:t xml:space="preserve">environmental challenges noted above </w:t>
      </w:r>
      <w:r w:rsidR="3B32E210">
        <w:t>for</w:t>
      </w:r>
      <w:r w:rsidR="436AE7D7">
        <w:t xml:space="preserve"> urban areas</w:t>
      </w:r>
      <w:r w:rsidR="003F62BD">
        <w:t xml:space="preserve">; </w:t>
      </w:r>
      <w:r w:rsidR="397A3779">
        <w:t>however,</w:t>
      </w:r>
      <w:r w:rsidR="37460933">
        <w:t xml:space="preserve"> </w:t>
      </w:r>
      <w:r w:rsidR="003F62BD">
        <w:t xml:space="preserve">they </w:t>
      </w:r>
      <w:r w:rsidR="37460933">
        <w:t xml:space="preserve">do still </w:t>
      </w:r>
      <w:r w:rsidR="7A1ABF79">
        <w:t>encounter other environmental challenges</w:t>
      </w:r>
      <w:r w:rsidR="003F62BD">
        <w:t>,</w:t>
      </w:r>
      <w:r w:rsidR="006A0DD0">
        <w:t xml:space="preserve"> such as a reduction in the supply of clean water, particularly for communities reliant on well water</w:t>
      </w:r>
      <w:r w:rsidR="7A1ABF79">
        <w:t>.</w:t>
      </w:r>
      <w:r w:rsidR="00322EE8">
        <w:fldChar w:fldCharType="begin"/>
      </w:r>
      <w:r w:rsidR="00223023">
        <w:instrText xml:space="preserve"> ADDIN ZOTERO_ITEM CSL_CITATION {"citationID":"a3513gp1q","properties":{"formattedCitation":"\\super 22\\nosupersub{}","plainCitation":"22","noteIndex":0},"citationItems":[{"id":1103,"uris":["http://zotero.org/groups/5563646/items/3E8VUIJ4"],"itemData":{"id":1103,"type":"webpage","abstract":"The MA Climate Change Assessment is a statewide analysis detailing how Massachusetts people, environments, and infrastructure may be affected by climate change and related hazards through the end of the century. This assessment directly informed the first five-year update to the State Hazard Mitigation and Climate Adaptation Plan (SHMCAP), ResilientMass, that was released in Fall 2023.","language":"en","title":"2022 Massachusetts Climate Change Assessment","URL":"https://www.mass.gov/info-details/massachusetts-climate-change-assessment#read-the-report-","author":[{"family":"Executive Office of Energy and Environmental Affairs","given":""}],"accessed":{"date-parts":[["2024",9,25]]},"issued":{"date-parts":[["2022",12]]}}}],"schema":"https://github.com/citation-style-language/schema/raw/master/csl-citation.json"} </w:instrText>
      </w:r>
      <w:r w:rsidR="00322EE8">
        <w:fldChar w:fldCharType="separate"/>
      </w:r>
      <w:r w:rsidR="00223023" w:rsidRPr="00223023">
        <w:rPr>
          <w:rFonts w:cs="Arial"/>
          <w:vertAlign w:val="superscript"/>
        </w:rPr>
        <w:t>22</w:t>
      </w:r>
      <w:r w:rsidR="00322EE8">
        <w:fldChar w:fldCharType="end"/>
      </w:r>
      <w:r w:rsidR="7A1ABF79">
        <w:t xml:space="preserve"> In addition, r</w:t>
      </w:r>
      <w:r w:rsidR="687617E6">
        <w:t>ural areas in Massachusetts</w:t>
      </w:r>
      <w:r w:rsidR="6CBBC3F3">
        <w:t xml:space="preserve"> often face financial challenges</w:t>
      </w:r>
      <w:r w:rsidR="6187EC33">
        <w:t xml:space="preserve"> that </w:t>
      </w:r>
      <w:r w:rsidR="10387511">
        <w:t xml:space="preserve">negatively </w:t>
      </w:r>
      <w:r w:rsidR="6187EC33">
        <w:t>impact the learning environment and outcomes</w:t>
      </w:r>
      <w:r w:rsidR="5F1E238E">
        <w:t>, such as</w:t>
      </w:r>
      <w:r w:rsidR="009A1F02">
        <w:t>:</w:t>
      </w:r>
      <w:r w:rsidR="002F354A">
        <w:fldChar w:fldCharType="begin"/>
      </w:r>
      <w:r w:rsidR="00223023">
        <w:instrText xml:space="preserve"> ADDIN ZOTERO_ITEM CSL_CITATION {"citationID":"a297nncc8lp","properties":{"formattedCitation":"\\super 23\\nosupersub{}","plainCitation":"23","noteIndex":0},"citationItems":[{"id":422,"uris":["http://zotero.org/groups/5563646/items/SWKSURCM"],"itemData":{"id":422,"type":"webpage","container-title":"Rural Schools Advocacy in Massachusetts","language":"en-US","title":"Rural Needs and Information Sources","URL":"https://www.ruralschoolsma.org/info","author":[{"family":"Rural Schools Advocacy in Massachusetts","given":""}],"accessed":{"date-parts":[["2024",7,8]]}}}],"schema":"https://github.com/citation-style-language/schema/raw/master/csl-citation.json"} </w:instrText>
      </w:r>
      <w:r w:rsidR="002F354A">
        <w:fldChar w:fldCharType="separate"/>
      </w:r>
      <w:r w:rsidR="00223023" w:rsidRPr="00223023">
        <w:rPr>
          <w:rFonts w:cs="Arial"/>
          <w:vertAlign w:val="superscript"/>
        </w:rPr>
        <w:t>23</w:t>
      </w:r>
      <w:r w:rsidR="002F354A">
        <w:fldChar w:fldCharType="end"/>
      </w:r>
    </w:p>
    <w:p w14:paraId="4D51151B" w14:textId="3BB0A150" w:rsidR="00E86C52" w:rsidRDefault="42B5EFD1" w:rsidP="008131EB">
      <w:pPr>
        <w:pStyle w:val="ListBullet"/>
      </w:pPr>
      <w:r>
        <w:t xml:space="preserve">Significant </w:t>
      </w:r>
      <w:r w:rsidR="09886111">
        <w:t xml:space="preserve">student </w:t>
      </w:r>
      <w:r>
        <w:t>enrollment decline</w:t>
      </w:r>
      <w:r w:rsidR="589DFB8C">
        <w:t>, which contributes to</w:t>
      </w:r>
      <w:r w:rsidR="43479BDD">
        <w:t>:</w:t>
      </w:r>
      <w:r w:rsidR="589DFB8C">
        <w:t xml:space="preserve"> </w:t>
      </w:r>
    </w:p>
    <w:p w14:paraId="199D94F1" w14:textId="2C4ED211" w:rsidR="002527BA" w:rsidRDefault="00E86C52" w:rsidP="00F309A2">
      <w:pPr>
        <w:pStyle w:val="ListBullet2"/>
      </w:pPr>
      <w:r>
        <w:t>H</w:t>
      </w:r>
      <w:r w:rsidR="007B08C4">
        <w:t>igh</w:t>
      </w:r>
      <w:r>
        <w:t>er</w:t>
      </w:r>
      <w:r w:rsidR="004B2380">
        <w:t xml:space="preserve"> </w:t>
      </w:r>
      <w:r w:rsidR="003F62BD">
        <w:t>per-</w:t>
      </w:r>
      <w:r w:rsidR="004B2380">
        <w:t>pupil operating costs</w:t>
      </w:r>
    </w:p>
    <w:p w14:paraId="221C5809" w14:textId="42935395" w:rsidR="00E86C52" w:rsidRDefault="00645784" w:rsidP="00F309A2">
      <w:pPr>
        <w:pStyle w:val="ListBullet2"/>
      </w:pPr>
      <w:r>
        <w:t>Substantially reduced course offerings, student support services, and extracurricular activities</w:t>
      </w:r>
    </w:p>
    <w:p w14:paraId="16F81745" w14:textId="01BCA3EE" w:rsidR="00620AC3" w:rsidRDefault="1C605026" w:rsidP="008131EB">
      <w:pPr>
        <w:pStyle w:val="ListBullet"/>
      </w:pPr>
      <w:r>
        <w:t>Locat</w:t>
      </w:r>
      <w:r w:rsidR="008C6323">
        <w:t>ions</w:t>
      </w:r>
      <w:r>
        <w:t xml:space="preserve"> farther away</w:t>
      </w:r>
      <w:r w:rsidR="334F4461">
        <w:t xml:space="preserve"> from economic opportunities </w:t>
      </w:r>
      <w:r w:rsidR="48875B96">
        <w:t xml:space="preserve">concentrated in more populated areas of </w:t>
      </w:r>
      <w:r w:rsidR="334F4461">
        <w:t>the Commonwealth</w:t>
      </w:r>
      <w:r w:rsidR="40B567DF">
        <w:t>, which contributes to:</w:t>
      </w:r>
    </w:p>
    <w:p w14:paraId="08F61E8C" w14:textId="154B4DA9" w:rsidR="00EB30CA" w:rsidRDefault="00EB30CA" w:rsidP="00F309A2">
      <w:pPr>
        <w:pStyle w:val="ListBullet2"/>
      </w:pPr>
      <w:r>
        <w:t>An insufficient and stagnant tax base</w:t>
      </w:r>
    </w:p>
    <w:p w14:paraId="1A6D7290" w14:textId="08ADF252" w:rsidR="00EB30CA" w:rsidRDefault="00E853C6" w:rsidP="00F309A2">
      <w:pPr>
        <w:pStyle w:val="ListBullet2"/>
      </w:pPr>
      <w:r>
        <w:t>A greater proportional share of local</w:t>
      </w:r>
      <w:r w:rsidR="000E4D0D">
        <w:t xml:space="preserve"> government budgets </w:t>
      </w:r>
      <w:r w:rsidR="00DB4DDE">
        <w:t>to fund s</w:t>
      </w:r>
      <w:r w:rsidR="003314D7">
        <w:t>chool</w:t>
      </w:r>
      <w:r>
        <w:t xml:space="preserve"> operating budgets </w:t>
      </w:r>
    </w:p>
    <w:p w14:paraId="56931F7D" w14:textId="362A3B30" w:rsidR="00F6493B" w:rsidRDefault="00F6493B" w:rsidP="00F6493B">
      <w:pPr>
        <w:pStyle w:val="Heading3"/>
      </w:pPr>
      <w:r>
        <w:lastRenderedPageBreak/>
        <w:t>Regions Close to Industrial Activities</w:t>
      </w:r>
    </w:p>
    <w:p w14:paraId="54F02CC1" w14:textId="21508494" w:rsidR="0067550C" w:rsidRDefault="4092F723" w:rsidP="006D7DE6">
      <w:pPr>
        <w:pStyle w:val="BodyTextFirstIndent"/>
      </w:pPr>
      <w:r>
        <w:t xml:space="preserve">Across the United States, there are </w:t>
      </w:r>
      <w:r w:rsidR="15077393">
        <w:t>12,000 schools located within a mile of a hazardous chemical facility.</w:t>
      </w:r>
      <w:r w:rsidR="00695596">
        <w:fldChar w:fldCharType="begin"/>
      </w:r>
      <w:r w:rsidR="00223023">
        <w:instrText xml:space="preserve"> ADDIN ZOTERO_ITEM CSL_CITATION {"citationID":"adfu8a9b37","properties":{"formattedCitation":"\\super 24\\nosupersub{}","plainCitation":"24","noteIndex":0},"citationItems":[{"id":1055,"uris":["http://zotero.org/groups/5563646/items/LHDR85LL"],"itemData":{"id":1055,"type":"post-weblog","abstract":"Ensia is a solutions-focused nonprofit media outlet reporting on our changing planet. Published by the Institute on the Environment.","container-title":"Ensia","language":"en","title":"12,000 U.S. schools are within a mile of a hazardous chemical facility. What should we do about that?","URL":"https://ensia.com/features/schools-hazardous-chemical-facilities/","author":[{"family":"Grossman","given":"Elizabeth"}],"accessed":{"date-parts":[["2024",8,8]]},"issued":{"date-parts":[["2016",11,10]]}}}],"schema":"https://github.com/citation-style-language/schema/raw/master/csl-citation.json"} </w:instrText>
      </w:r>
      <w:r w:rsidR="00695596">
        <w:fldChar w:fldCharType="separate"/>
      </w:r>
      <w:r w:rsidR="00223023" w:rsidRPr="00223023">
        <w:rPr>
          <w:rFonts w:cs="Arial"/>
          <w:vertAlign w:val="superscript"/>
        </w:rPr>
        <w:t>24</w:t>
      </w:r>
      <w:r w:rsidR="00695596">
        <w:fldChar w:fldCharType="end"/>
      </w:r>
      <w:r w:rsidR="35057F71">
        <w:t xml:space="preserve"> </w:t>
      </w:r>
      <w:r w:rsidR="005C5F20">
        <w:t>In Boston, a</w:t>
      </w:r>
      <w:r w:rsidR="00DE1089">
        <w:t>lmost one in three public schools</w:t>
      </w:r>
      <w:r w:rsidR="00D539C7">
        <w:t xml:space="preserve"> is located within one mile of </w:t>
      </w:r>
      <w:r w:rsidR="005C5F20">
        <w:t xml:space="preserve">such </w:t>
      </w:r>
      <w:r w:rsidR="00D539C7">
        <w:t>a</w:t>
      </w:r>
      <w:r w:rsidR="005C5F20">
        <w:t xml:space="preserve"> facility</w:t>
      </w:r>
      <w:r w:rsidR="003D6118">
        <w:t>.</w:t>
      </w:r>
      <w:r w:rsidR="003D6118">
        <w:fldChar w:fldCharType="begin"/>
      </w:r>
      <w:r w:rsidR="00223023">
        <w:instrText xml:space="preserve"> ADDIN ZOTERO_ITEM CSL_CITATION {"citationID":"a250i1agf6k","properties":{"formattedCitation":"\\super 25\\nosupersub{}","plainCitation":"25","noteIndex":0},"citationItems":[{"id":1110,"uris":["http://zotero.org/groups/5563646/items/GJUS5Z2K"],"itemData":{"id":1110,"type":"article-journal","abstract":"Previous research on environmental justice has demonstrated a disproportionate burden of environmental hazards on low-income and minority residents. This study uses statistical and GIS analysis methods to examine whether, in Boston, there are disparities in the proximity of public schools to Toxics Release Inventory sites based on school-level characteristics, such as schoolchildren’s racial and socio-economic statuses, educational resources and academic achievements. Research results show that schools with high percentages of minority (i.e. Black schoolchildren) and economically disadvantaged schoolchildren are more likely to be located closer to Toxics Release Inventory sites in Boston, indicating the existence of an environmental injustice issue in the city. In addition, schoolchildren in the schools located closer to Toxics Release Inventory sites tend to have lower academic performance. This research suggests that special attention should be given to unequal exposure of public schools to hazardous sites in Boston and calls for decision makers to spend scarce funds on promoting environmental justice. Such changes could have positive effects on schoolchildren’s academic achievements.","container-title":"Cybergeo: European Journal of Geography","DOI":"10.4000/cybergeo.34682","journalAbbreviation":"Cybergeo","source":"ResearchGate","title":"Schools near Toxics Release Inventory Sites: An Environmental Justice Study for Schoolchildren in Boston, MA","title-short":"Schools near Toxics Release Inventory Sites","URL":"https://journals.openedition.org/cybergeo/34682","author":[{"family":"Meng","given":"Yunliang"}],"issued":{"date-parts":[["2020",4,29]]}}}],"schema":"https://github.com/citation-style-language/schema/raw/master/csl-citation.json"} </w:instrText>
      </w:r>
      <w:r w:rsidR="003D6118">
        <w:fldChar w:fldCharType="separate"/>
      </w:r>
      <w:r w:rsidR="00223023" w:rsidRPr="00223023">
        <w:rPr>
          <w:rFonts w:cs="Arial"/>
          <w:vertAlign w:val="superscript"/>
        </w:rPr>
        <w:t>25</w:t>
      </w:r>
      <w:r w:rsidR="003D6118">
        <w:fldChar w:fldCharType="end"/>
      </w:r>
      <w:r w:rsidR="00D539C7">
        <w:t xml:space="preserve"> </w:t>
      </w:r>
      <w:r w:rsidR="67A1FC5B">
        <w:t>S</w:t>
      </w:r>
      <w:r w:rsidR="51EBB9E9">
        <w:t>chools</w:t>
      </w:r>
      <w:r w:rsidR="67A1FC5B">
        <w:t xml:space="preserve"> in close proximity to industrial activities</w:t>
      </w:r>
      <w:r w:rsidR="00BE1B8E">
        <w:t xml:space="preserve"> and industrial and chemical</w:t>
      </w:r>
      <w:r w:rsidR="0074145D">
        <w:t xml:space="preserve"> waste sites </w:t>
      </w:r>
      <w:r w:rsidR="00A1248C">
        <w:t xml:space="preserve">may </w:t>
      </w:r>
      <w:r w:rsidR="00AF19B7">
        <w:t>experience impaired indoor air quality</w:t>
      </w:r>
      <w:r w:rsidR="00E163C5">
        <w:t xml:space="preserve"> via infiltration </w:t>
      </w:r>
      <w:r w:rsidR="00D61216">
        <w:t>of</w:t>
      </w:r>
      <w:r w:rsidR="00E163C5">
        <w:t xml:space="preserve"> outdoor air pollutants to the indoor environment through vents and open window</w:t>
      </w:r>
      <w:r w:rsidR="00CA2CB1">
        <w:t>s</w:t>
      </w:r>
      <w:r w:rsidR="00D61216">
        <w:t xml:space="preserve">. Schools in these locations may also experience </w:t>
      </w:r>
      <w:r w:rsidR="67A1FC5B">
        <w:t>vapor intrusion</w:t>
      </w:r>
      <w:r w:rsidR="6BC164CB">
        <w:t xml:space="preserve">, which is a </w:t>
      </w:r>
      <w:r w:rsidR="30ECA590">
        <w:t xml:space="preserve">chemical transport process by which </w:t>
      </w:r>
      <w:r w:rsidR="00FD1769">
        <w:t>vapor-</w:t>
      </w:r>
      <w:r w:rsidR="30ECA590">
        <w:t>forming chemicals migrate from a subsurface source</w:t>
      </w:r>
      <w:r w:rsidR="6B9F1F40">
        <w:t xml:space="preserve"> into an overlying building.</w:t>
      </w:r>
      <w:r w:rsidR="00695596">
        <w:fldChar w:fldCharType="begin"/>
      </w:r>
      <w:r w:rsidR="00223023">
        <w:instrText xml:space="preserve"> ADDIN ZOTERO_ITEM CSL_CITATION {"citationID":"a1ddoibn4fj","properties":{"formattedCitation":"\\super 26\\nosupersub{}","plainCitation":"26","noteIndex":0},"citationItems":[{"id":1057,"uris":["http://zotero.org/groups/5563646/items/QDYMDWWN"],"itemData":{"id":1057,"type":"webpage","abstract":"Vapor intrusion basic information","genre":"Overviews and Factsheets","language":"en","title":"What is Vapor Intrusion?","URL":"https://www.epa.gov/vaporintrusion/what-vapor-intrusion","author":[{"family":"US EPA","given":"OLEM"}],"accessed":{"date-parts":[["2024",8,8]]},"issued":{"date-parts":[["2015",9,23]]}}}],"schema":"https://github.com/citation-style-language/schema/raw/master/csl-citation.json"} </w:instrText>
      </w:r>
      <w:r w:rsidR="00695596">
        <w:fldChar w:fldCharType="separate"/>
      </w:r>
      <w:r w:rsidR="00223023" w:rsidRPr="00223023">
        <w:rPr>
          <w:rFonts w:cs="Arial"/>
          <w:vertAlign w:val="superscript"/>
        </w:rPr>
        <w:t>26</w:t>
      </w:r>
      <w:r w:rsidR="00695596">
        <w:fldChar w:fldCharType="end"/>
      </w:r>
      <w:r w:rsidR="0F1F1FBC">
        <w:t xml:space="preserve"> </w:t>
      </w:r>
      <w:r w:rsidR="009019AF">
        <w:t>Students and school personnel may also be exposed to outdoor air pollutants while outside the schoo</w:t>
      </w:r>
      <w:r w:rsidR="00A9728D">
        <w:t xml:space="preserve">l. </w:t>
      </w:r>
      <w:r w:rsidR="00A048E0">
        <w:t xml:space="preserve">See the </w:t>
      </w:r>
      <w:hyperlink w:anchor="VaporInt" w:history="1">
        <w:r w:rsidR="00227DA7" w:rsidRPr="00227DA7">
          <w:rPr>
            <w:rStyle w:val="Hyperlink"/>
          </w:rPr>
          <w:t>Mitigate Occurrences of Vapor Intrusion</w:t>
        </w:r>
      </w:hyperlink>
      <w:r w:rsidR="00227DA7" w:rsidRPr="00227DA7">
        <w:t xml:space="preserve"> </w:t>
      </w:r>
      <w:r w:rsidR="00E474F3">
        <w:t xml:space="preserve">discussion </w:t>
      </w:r>
      <w:r w:rsidR="00EE3D68">
        <w:t xml:space="preserve">and </w:t>
      </w:r>
      <w:hyperlink w:anchor="Objective_2a7_Outdoor_Air" w:history="1">
        <w:r w:rsidR="00EE3D68" w:rsidRPr="00EE3D68">
          <w:rPr>
            <w:rStyle w:val="Hyperlink"/>
          </w:rPr>
          <w:t>Objective 2a(7). Reduce Exposure to Outdoor Air Pollutants</w:t>
        </w:r>
      </w:hyperlink>
      <w:r w:rsidR="00EE3D68">
        <w:t xml:space="preserve"> </w:t>
      </w:r>
      <w:r w:rsidR="00A048E0">
        <w:t>for additional details</w:t>
      </w:r>
      <w:r w:rsidR="00E474F3">
        <w:t>.</w:t>
      </w:r>
      <w:r w:rsidR="00A048E0">
        <w:t xml:space="preserve"> </w:t>
      </w:r>
    </w:p>
    <w:p w14:paraId="376B7253" w14:textId="3A8AE0A1" w:rsidR="004A70B0" w:rsidRDefault="5659D9F2" w:rsidP="001C7888">
      <w:pPr>
        <w:pStyle w:val="Heading2"/>
      </w:pPr>
      <w:bookmarkStart w:id="38" w:name="_Toc171518355"/>
      <w:bookmarkStart w:id="39" w:name="_Toc171519308"/>
      <w:bookmarkStart w:id="40" w:name="_Toc193116884"/>
      <w:r>
        <w:t>Massachusetts School Building Authority</w:t>
      </w:r>
      <w:bookmarkEnd w:id="38"/>
      <w:bookmarkEnd w:id="39"/>
      <w:r w:rsidR="00E20C41">
        <w:t xml:space="preserve"> (MSBA)</w:t>
      </w:r>
      <w:bookmarkEnd w:id="40"/>
    </w:p>
    <w:p w14:paraId="7C6CD411" w14:textId="3EF83ECC" w:rsidR="004A70B0" w:rsidRDefault="00E34106" w:rsidP="006D7DE6">
      <w:pPr>
        <w:pStyle w:val="BodyTextFirstIndent"/>
      </w:pPr>
      <w:r>
        <w:rPr>
          <w:noProof/>
        </w:rPr>
        <mc:AlternateContent>
          <mc:Choice Requires="wps">
            <w:drawing>
              <wp:anchor distT="0" distB="0" distL="114300" distR="114300" simplePos="0" relativeHeight="251653632" behindDoc="0" locked="0" layoutInCell="1" allowOverlap="1" wp14:anchorId="6438D676" wp14:editId="4AA1FE61">
                <wp:simplePos x="0" y="0"/>
                <wp:positionH relativeFrom="margin">
                  <wp:align>left</wp:align>
                </wp:positionH>
                <wp:positionV relativeFrom="paragraph">
                  <wp:posOffset>2551844</wp:posOffset>
                </wp:positionV>
                <wp:extent cx="5951855" cy="2878372"/>
                <wp:effectExtent l="0" t="0" r="10795" b="17780"/>
                <wp:wrapSquare wrapText="bothSides"/>
                <wp:docPr id="559700243" name="Text Box 2"/>
                <wp:cNvGraphicFramePr/>
                <a:graphic xmlns:a="http://schemas.openxmlformats.org/drawingml/2006/main">
                  <a:graphicData uri="http://schemas.microsoft.com/office/word/2010/wordprocessingShape">
                    <wps:wsp>
                      <wps:cNvSpPr txBox="1"/>
                      <wps:spPr bwMode="auto">
                        <a:xfrm>
                          <a:off x="0" y="0"/>
                          <a:ext cx="5951855" cy="2878372"/>
                        </a:xfrm>
                        <a:prstGeom prst="rect">
                          <a:avLst/>
                        </a:prstGeom>
                        <a:solidFill>
                          <a:schemeClr val="accent1">
                            <a:lumMod val="20000"/>
                            <a:lumOff val="80000"/>
                          </a:schemeClr>
                        </a:solidFill>
                        <a:ln w="9525">
                          <a:solidFill>
                            <a:schemeClr val="tx1"/>
                          </a:solidFill>
                          <a:miter lim="800000"/>
                          <a:headEnd/>
                          <a:tailEnd/>
                        </a:ln>
                      </wps:spPr>
                      <wps:txbx>
                        <w:txbxContent>
                          <w:p w14:paraId="2C1BB0A5" w14:textId="2BA9D62D" w:rsidR="008178A9" w:rsidRDefault="005F177F" w:rsidP="008178A9">
                            <w:pPr>
                              <w:pStyle w:val="TextBoxTitle"/>
                            </w:pPr>
                            <w:r>
                              <w:t>Proud History of Greening Schools in Massachusetts</w:t>
                            </w:r>
                          </w:p>
                          <w:p w14:paraId="3D546A85" w14:textId="7F89F21B" w:rsidR="008178A9" w:rsidRDefault="007D65EE" w:rsidP="008178A9">
                            <w:pPr>
                              <w:pStyle w:val="TextBoxText"/>
                            </w:pPr>
                            <w:r>
                              <w:t xml:space="preserve">As noted in the </w:t>
                            </w:r>
                            <w:r w:rsidR="00475DA8">
                              <w:t>October 2023</w:t>
                            </w:r>
                            <w:r w:rsidR="008B7C04">
                              <w:t xml:space="preserve"> Office of the Governor’s</w:t>
                            </w:r>
                            <w:r w:rsidR="00475DA8">
                              <w:t xml:space="preserve"> </w:t>
                            </w:r>
                            <w:hyperlink r:id="rId52" w:history="1">
                              <w:r w:rsidRPr="004A7C1F">
                                <w:rPr>
                                  <w:rStyle w:val="Hyperlink"/>
                                  <w:i/>
                                  <w:iCs/>
                                </w:rPr>
                                <w:t>Recommendations of the Climate Chief</w:t>
                              </w:r>
                            </w:hyperlink>
                            <w:r>
                              <w:t>, Pursuant to Section 3(b) of Executive Order No. 604</w:t>
                            </w:r>
                            <w:r w:rsidR="004A7525">
                              <w:t>:</w:t>
                            </w:r>
                          </w:p>
                          <w:p w14:paraId="3809A6D9" w14:textId="77777777" w:rsidR="004A7525" w:rsidRDefault="004A7525" w:rsidP="008178A9">
                            <w:pPr>
                              <w:pStyle w:val="TextBoxText"/>
                            </w:pPr>
                          </w:p>
                          <w:p w14:paraId="123A469A" w14:textId="726A5403" w:rsidR="004A7525" w:rsidRPr="00457714" w:rsidRDefault="004A7525" w:rsidP="008178A9">
                            <w:pPr>
                              <w:pStyle w:val="TextBoxText"/>
                              <w:rPr>
                                <w:i/>
                                <w:iCs/>
                              </w:rPr>
                            </w:pPr>
                            <w:r w:rsidRPr="00457714">
                              <w:rPr>
                                <w:i/>
                                <w:iCs/>
                              </w:rPr>
                              <w:t xml:space="preserve">Since its formation, the MSBA has been an advocate of </w:t>
                            </w:r>
                            <w:r w:rsidR="004A7C1F" w:rsidRPr="00457714">
                              <w:rPr>
                                <w:i/>
                                <w:iCs/>
                              </w:rPr>
                              <w:t>‘</w:t>
                            </w:r>
                            <w:r w:rsidRPr="00457714">
                              <w:rPr>
                                <w:i/>
                                <w:iCs/>
                              </w:rPr>
                              <w:t>green</w:t>
                            </w:r>
                            <w:r w:rsidR="004A7C1F" w:rsidRPr="00457714">
                              <w:rPr>
                                <w:i/>
                                <w:iCs/>
                              </w:rPr>
                              <w:t>’</w:t>
                            </w:r>
                            <w:r w:rsidRPr="00457714">
                              <w:rPr>
                                <w:i/>
                                <w:iCs/>
                              </w:rPr>
                              <w:t xml:space="preserve"> sustainable building design for all MSBA-funded public K-12 school buildings and has regularly adjusted its Green Program Policy since then to promote increasing levels of energy efficiency in school design</w:t>
                            </w:r>
                            <w:r w:rsidR="00475DA8" w:rsidRPr="00457714">
                              <w:rPr>
                                <w:i/>
                                <w:iCs/>
                              </w:rPr>
                              <w:t>…</w:t>
                            </w:r>
                            <w:r w:rsidRPr="00457714">
                              <w:rPr>
                                <w:i/>
                                <w:iCs/>
                              </w:rPr>
                              <w:t xml:space="preserve"> to decarbonize buildings. In the last ten years, 95 percent of the MSBA-funded schools have exceeded MSBA’s base project requirements with one school achieving</w:t>
                            </w:r>
                            <w:r w:rsidR="005F1555">
                              <w:rPr>
                                <w:i/>
                                <w:iCs/>
                              </w:rPr>
                              <w:t xml:space="preserve"> </w:t>
                            </w:r>
                            <w:r w:rsidR="00457714" w:rsidRPr="00457714">
                              <w:rPr>
                                <w:i/>
                                <w:iCs/>
                              </w:rPr>
                              <w:t>‘</w:t>
                            </w:r>
                            <w:r w:rsidRPr="00457714">
                              <w:rPr>
                                <w:i/>
                                <w:iCs/>
                              </w:rPr>
                              <w:t>Platinum</w:t>
                            </w:r>
                            <w:r w:rsidR="00457714" w:rsidRPr="00457714">
                              <w:rPr>
                                <w:i/>
                                <w:iCs/>
                              </w:rPr>
                              <w:t>’</w:t>
                            </w:r>
                            <w:r w:rsidR="005F1555">
                              <w:rPr>
                                <w:i/>
                                <w:iCs/>
                              </w:rPr>
                              <w:t xml:space="preserve"> in the U.S. Green Building Council’s (USGBC’s) Leadership in Energy and Environmental Design (LEED)</w:t>
                            </w:r>
                            <w:r w:rsidRPr="00457714">
                              <w:rPr>
                                <w:i/>
                                <w:iCs/>
                              </w:rPr>
                              <w:t xml:space="preserve"> </w:t>
                            </w:r>
                            <w:r w:rsidR="00663AC3">
                              <w:rPr>
                                <w:i/>
                                <w:iCs/>
                              </w:rPr>
                              <w:t xml:space="preserve">certification program, </w:t>
                            </w:r>
                            <w:r w:rsidRPr="00457714">
                              <w:rPr>
                                <w:i/>
                                <w:iCs/>
                              </w:rPr>
                              <w:t xml:space="preserve">27 schools achieving LEED </w:t>
                            </w:r>
                            <w:r w:rsidR="00457714" w:rsidRPr="00457714">
                              <w:rPr>
                                <w:i/>
                                <w:iCs/>
                              </w:rPr>
                              <w:t>‘</w:t>
                            </w:r>
                            <w:r w:rsidRPr="00457714">
                              <w:rPr>
                                <w:i/>
                                <w:iCs/>
                              </w:rPr>
                              <w:t>Gold,</w:t>
                            </w:r>
                            <w:r w:rsidR="00457714" w:rsidRPr="00457714">
                              <w:rPr>
                                <w:i/>
                                <w:iCs/>
                              </w:rPr>
                              <w:t>’</w:t>
                            </w:r>
                            <w:r w:rsidRPr="00457714">
                              <w:rPr>
                                <w:i/>
                                <w:iCs/>
                              </w:rPr>
                              <w:t xml:space="preserve"> and 47 schools achieving LEED </w:t>
                            </w:r>
                            <w:r w:rsidR="00457714" w:rsidRPr="00457714">
                              <w:rPr>
                                <w:i/>
                                <w:iCs/>
                              </w:rPr>
                              <w:t>‘</w:t>
                            </w:r>
                            <w:r w:rsidRPr="00457714">
                              <w:rPr>
                                <w:i/>
                                <w:iCs/>
                              </w:rPr>
                              <w:t>Silver.</w:t>
                            </w:r>
                            <w:r w:rsidR="00457714" w:rsidRPr="00457714">
                              <w:rPr>
                                <w:i/>
                                <w:iCs/>
                              </w:rPr>
                              <w:t>’</w:t>
                            </w:r>
                            <w:r w:rsidRPr="00457714">
                              <w:rPr>
                                <w:i/>
                                <w:iCs/>
                              </w:rPr>
                              <w:t xml:space="preserve"> As of June 2023, the MSBA has funded </w:t>
                            </w:r>
                            <w:r w:rsidR="00457714" w:rsidRPr="00457714">
                              <w:rPr>
                                <w:i/>
                                <w:iCs/>
                              </w:rPr>
                              <w:t>20</w:t>
                            </w:r>
                            <w:r w:rsidRPr="00457714">
                              <w:rPr>
                                <w:i/>
                                <w:iCs/>
                              </w:rPr>
                              <w:t xml:space="preserve"> all-electric schools and </w:t>
                            </w:r>
                            <w:r w:rsidR="00457714" w:rsidRPr="00457714">
                              <w:rPr>
                                <w:i/>
                                <w:iCs/>
                              </w:rPr>
                              <w:t>18</w:t>
                            </w:r>
                            <w:r w:rsidRPr="00457714">
                              <w:rPr>
                                <w:i/>
                                <w:iCs/>
                              </w:rPr>
                              <w:t xml:space="preserve"> schools employing ground-source heat pumps.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38D676" id="_x0000_s1032" type="#_x0000_t202" style="position:absolute;margin-left:0;margin-top:200.95pt;width:468.65pt;height:226.6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" fillcolor="#dbe5f1 [660]" strokecolor="black [3213]">
                <v:textbox>
                  <w:txbxContent>
                    <w:p w14:paraId="2C1BB0A5" w14:textId="2BA9D62D" w:rsidR="008178A9" w:rsidRDefault="005F177F" w:rsidP="008178A9">
                      <w:pPr>
                        <w:pStyle w:val="TextBoxTitle"/>
                      </w:pPr>
                      <w:r>
                        <w:t>Proud History of Greening Schools in Massachusetts</w:t>
                      </w:r>
                    </w:p>
                    <w:p w14:paraId="3D546A85" w14:textId="7F89F21B" w:rsidR="008178A9" w:rsidRDefault="007D65EE" w:rsidP="008178A9">
                      <w:pPr>
                        <w:pStyle w:val="TextBoxText"/>
                      </w:pPr>
                      <w:r>
                        <w:t xml:space="preserve">As noted in the </w:t>
                      </w:r>
                      <w:r w:rsidR="00475DA8">
                        <w:t>October 2023</w:t>
                      </w:r>
                      <w:r w:rsidR="008B7C04">
                        <w:t xml:space="preserve"> Office of the Governor’s</w:t>
                      </w:r>
                      <w:r w:rsidR="00475DA8">
                        <w:t xml:space="preserve"> </w:t>
                      </w:r>
                      <w:hyperlink r:id="rId53" w:history="1">
                        <w:r w:rsidRPr="004A7C1F">
                          <w:rPr>
                            <w:rStyle w:val="Hyperlink"/>
                            <w:i/>
                            <w:iCs/>
                          </w:rPr>
                          <w:t>Recommendations of the Climate Chief</w:t>
                        </w:r>
                      </w:hyperlink>
                      <w:r>
                        <w:t>, Pursuant to Section 3(b) of Executive Order No. 604</w:t>
                      </w:r>
                      <w:r w:rsidR="004A7525">
                        <w:t>:</w:t>
                      </w:r>
                    </w:p>
                    <w:p w14:paraId="3809A6D9" w14:textId="77777777" w:rsidR="004A7525" w:rsidRDefault="004A7525" w:rsidP="008178A9">
                      <w:pPr>
                        <w:pStyle w:val="TextBoxText"/>
                      </w:pPr>
                    </w:p>
                    <w:p w14:paraId="123A469A" w14:textId="726A5403" w:rsidR="004A7525" w:rsidRPr="00457714" w:rsidRDefault="004A7525" w:rsidP="008178A9">
                      <w:pPr>
                        <w:pStyle w:val="TextBoxText"/>
                        <w:rPr>
                          <w:i/>
                          <w:iCs/>
                        </w:rPr>
                      </w:pPr>
                      <w:r w:rsidRPr="00457714">
                        <w:rPr>
                          <w:i/>
                          <w:iCs/>
                        </w:rPr>
                        <w:t xml:space="preserve">Since its formation, the MSBA has been an advocate of </w:t>
                      </w:r>
                      <w:r w:rsidR="004A7C1F" w:rsidRPr="00457714">
                        <w:rPr>
                          <w:i/>
                          <w:iCs/>
                        </w:rPr>
                        <w:t>‘</w:t>
                      </w:r>
                      <w:r w:rsidRPr="00457714">
                        <w:rPr>
                          <w:i/>
                          <w:iCs/>
                        </w:rPr>
                        <w:t>green</w:t>
                      </w:r>
                      <w:r w:rsidR="004A7C1F" w:rsidRPr="00457714">
                        <w:rPr>
                          <w:i/>
                          <w:iCs/>
                        </w:rPr>
                        <w:t>’</w:t>
                      </w:r>
                      <w:r w:rsidRPr="00457714">
                        <w:rPr>
                          <w:i/>
                          <w:iCs/>
                        </w:rPr>
                        <w:t xml:space="preserve"> sustainable building design for all MSBA-funded public K-12 school buildings and has regularly adjusted its Green Program Policy since then to promote increasing levels of energy efficiency in school design</w:t>
                      </w:r>
                      <w:r w:rsidR="00475DA8" w:rsidRPr="00457714">
                        <w:rPr>
                          <w:i/>
                          <w:iCs/>
                        </w:rPr>
                        <w:t>…</w:t>
                      </w:r>
                      <w:r w:rsidRPr="00457714">
                        <w:rPr>
                          <w:i/>
                          <w:iCs/>
                        </w:rPr>
                        <w:t xml:space="preserve"> to decarbonize buildings. In the last ten years, 95 percent of the MSBA-funded schools have exceeded MSBA’s base project requirements with one school achieving</w:t>
                      </w:r>
                      <w:r w:rsidR="005F1555">
                        <w:rPr>
                          <w:i/>
                          <w:iCs/>
                        </w:rPr>
                        <w:t xml:space="preserve"> </w:t>
                      </w:r>
                      <w:r w:rsidR="00457714" w:rsidRPr="00457714">
                        <w:rPr>
                          <w:i/>
                          <w:iCs/>
                        </w:rPr>
                        <w:t>‘</w:t>
                      </w:r>
                      <w:r w:rsidRPr="00457714">
                        <w:rPr>
                          <w:i/>
                          <w:iCs/>
                        </w:rPr>
                        <w:t>Platinum</w:t>
                      </w:r>
                      <w:r w:rsidR="00457714" w:rsidRPr="00457714">
                        <w:rPr>
                          <w:i/>
                          <w:iCs/>
                        </w:rPr>
                        <w:t>’</w:t>
                      </w:r>
                      <w:r w:rsidR="005F1555">
                        <w:rPr>
                          <w:i/>
                          <w:iCs/>
                        </w:rPr>
                        <w:t xml:space="preserve"> in the U.S. Green Building Council’s (USGBC’s) Leadership in Energy and Environmental Design (LEED)</w:t>
                      </w:r>
                      <w:r w:rsidRPr="00457714">
                        <w:rPr>
                          <w:i/>
                          <w:iCs/>
                        </w:rPr>
                        <w:t xml:space="preserve"> </w:t>
                      </w:r>
                      <w:r w:rsidR="00663AC3">
                        <w:rPr>
                          <w:i/>
                          <w:iCs/>
                        </w:rPr>
                        <w:t xml:space="preserve">certification program, </w:t>
                      </w:r>
                      <w:r w:rsidRPr="00457714">
                        <w:rPr>
                          <w:i/>
                          <w:iCs/>
                        </w:rPr>
                        <w:t xml:space="preserve">27 schools achieving LEED </w:t>
                      </w:r>
                      <w:r w:rsidR="00457714" w:rsidRPr="00457714">
                        <w:rPr>
                          <w:i/>
                          <w:iCs/>
                        </w:rPr>
                        <w:t>‘</w:t>
                      </w:r>
                      <w:r w:rsidRPr="00457714">
                        <w:rPr>
                          <w:i/>
                          <w:iCs/>
                        </w:rPr>
                        <w:t>Gold,</w:t>
                      </w:r>
                      <w:r w:rsidR="00457714" w:rsidRPr="00457714">
                        <w:rPr>
                          <w:i/>
                          <w:iCs/>
                        </w:rPr>
                        <w:t>’</w:t>
                      </w:r>
                      <w:r w:rsidRPr="00457714">
                        <w:rPr>
                          <w:i/>
                          <w:iCs/>
                        </w:rPr>
                        <w:t xml:space="preserve"> and 47 schools achieving LEED </w:t>
                      </w:r>
                      <w:r w:rsidR="00457714" w:rsidRPr="00457714">
                        <w:rPr>
                          <w:i/>
                          <w:iCs/>
                        </w:rPr>
                        <w:t>‘</w:t>
                      </w:r>
                      <w:r w:rsidRPr="00457714">
                        <w:rPr>
                          <w:i/>
                          <w:iCs/>
                        </w:rPr>
                        <w:t>Silver.</w:t>
                      </w:r>
                      <w:r w:rsidR="00457714" w:rsidRPr="00457714">
                        <w:rPr>
                          <w:i/>
                          <w:iCs/>
                        </w:rPr>
                        <w:t>’</w:t>
                      </w:r>
                      <w:r w:rsidRPr="00457714">
                        <w:rPr>
                          <w:i/>
                          <w:iCs/>
                        </w:rPr>
                        <w:t xml:space="preserve"> As of June 2023, the MSBA has funded </w:t>
                      </w:r>
                      <w:r w:rsidR="00457714" w:rsidRPr="00457714">
                        <w:rPr>
                          <w:i/>
                          <w:iCs/>
                        </w:rPr>
                        <w:t>20</w:t>
                      </w:r>
                      <w:r w:rsidRPr="00457714">
                        <w:rPr>
                          <w:i/>
                          <w:iCs/>
                        </w:rPr>
                        <w:t xml:space="preserve"> all-electric schools and </w:t>
                      </w:r>
                      <w:r w:rsidR="00457714" w:rsidRPr="00457714">
                        <w:rPr>
                          <w:i/>
                          <w:iCs/>
                        </w:rPr>
                        <w:t>18</w:t>
                      </w:r>
                      <w:r w:rsidRPr="00457714">
                        <w:rPr>
                          <w:i/>
                          <w:iCs/>
                        </w:rPr>
                        <w:t xml:space="preserve"> schools employing ground-source heat pumps.</w:t>
                      </w:r>
                    </w:p>
                  </w:txbxContent>
                </v:textbox>
                <w10:wrap type="square" anchorx="margin"/>
              </v:shape>
            </w:pict>
          </mc:Fallback>
        </mc:AlternateContent>
      </w:r>
      <w:r w:rsidR="003C1A4C">
        <w:rPr>
          <w:noProof/>
        </w:rPr>
        <mc:AlternateContent>
          <mc:Choice Requires="wps">
            <w:drawing>
              <wp:anchor distT="0" distB="0" distL="114300" distR="114300" simplePos="0" relativeHeight="251623936" behindDoc="0" locked="0" layoutInCell="1" allowOverlap="1" wp14:anchorId="79695F7A" wp14:editId="294BEC77">
                <wp:simplePos x="0" y="0"/>
                <wp:positionH relativeFrom="margin">
                  <wp:align>right</wp:align>
                </wp:positionH>
                <wp:positionV relativeFrom="paragraph">
                  <wp:posOffset>14604</wp:posOffset>
                </wp:positionV>
                <wp:extent cx="2378710" cy="1990725"/>
                <wp:effectExtent l="0" t="0" r="21590" b="28575"/>
                <wp:wrapSquare wrapText="bothSides"/>
                <wp:docPr id="1229084310" name="Text Box 2"/>
                <wp:cNvGraphicFramePr/>
                <a:graphic xmlns:a="http://schemas.openxmlformats.org/drawingml/2006/main">
                  <a:graphicData uri="http://schemas.microsoft.com/office/word/2010/wordprocessingShape">
                    <wps:wsp>
                      <wps:cNvSpPr txBox="1"/>
                      <wps:spPr bwMode="auto">
                        <a:xfrm>
                          <a:off x="0" y="0"/>
                          <a:ext cx="2378710" cy="1990725"/>
                        </a:xfrm>
                        <a:prstGeom prst="rect">
                          <a:avLst/>
                        </a:prstGeom>
                        <a:solidFill>
                          <a:schemeClr val="accent1">
                            <a:lumMod val="20000"/>
                            <a:lumOff val="80000"/>
                          </a:schemeClr>
                        </a:solidFill>
                        <a:ln w="9525">
                          <a:solidFill>
                            <a:schemeClr val="tx1"/>
                          </a:solidFill>
                          <a:miter lim="800000"/>
                          <a:headEnd/>
                          <a:tailEnd/>
                        </a:ln>
                      </wps:spPr>
                      <wps:txbx>
                        <w:txbxContent>
                          <w:p w14:paraId="2D2C53B4" w14:textId="48263919" w:rsidR="003C1A4C" w:rsidRDefault="003C1A4C" w:rsidP="003C1A4C">
                            <w:pPr>
                              <w:pStyle w:val="TextBoxTitle"/>
                            </w:pPr>
                            <w:r>
                              <w:t>Source of MSBA Funding</w:t>
                            </w:r>
                          </w:p>
                          <w:p w14:paraId="584A9094" w14:textId="7CCBB663" w:rsidR="00A74847" w:rsidRPr="00303DA4" w:rsidRDefault="00D7781C" w:rsidP="00A74847">
                            <w:pPr>
                              <w:pStyle w:val="TextBoxText"/>
                            </w:pPr>
                            <w:r>
                              <w:t xml:space="preserve">The </w:t>
                            </w:r>
                            <w:r w:rsidR="00A74847" w:rsidRPr="00303DA4">
                              <w:t>MSBA funds capital improvement projects in public schools across the Commonwealth using a dedicated revenue stream of one penny of the state’s 6.25 percent sales tax, known as the School Modernization Trust Fund (“SMART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695F7A" id="_x0000_s1033" type="#_x0000_t202" style="position:absolute;margin-left:136.1pt;margin-top:1.15pt;width:187.3pt;height:156.75pt;z-index:251623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" fillcolor="#dbe5f1 [660]" strokecolor="black [3213]">
                <v:textbox>
                  <w:txbxContent>
                    <w:p w14:paraId="2D2C53B4" w14:textId="48263919" w:rsidR="003C1A4C" w:rsidRDefault="003C1A4C" w:rsidP="003C1A4C">
                      <w:pPr>
                        <w:pStyle w:val="TextBoxTitle"/>
                      </w:pPr>
                      <w:r>
                        <w:t>Source of MSBA Funding</w:t>
                      </w:r>
                    </w:p>
                    <w:p w14:paraId="584A9094" w14:textId="7CCBB663" w:rsidR="00A74847" w:rsidRPr="00303DA4" w:rsidRDefault="00D7781C" w:rsidP="00A74847">
                      <w:pPr>
                        <w:pStyle w:val="TextBoxText"/>
                      </w:pPr>
                      <w:r>
                        <w:t xml:space="preserve">The </w:t>
                      </w:r>
                      <w:r w:rsidR="00A74847" w:rsidRPr="00303DA4">
                        <w:t>MSBA funds capital improvement projects in public schools across the Commonwealth using a dedicated revenue stream of one penny of the state’s 6.25 percent sales tax, known as the School Modernization Trust Fund (“SMART Fund”).</w:t>
                      </w:r>
                    </w:p>
                  </w:txbxContent>
                </v:textbox>
                <w10:wrap type="square" anchorx="margin"/>
              </v:shape>
            </w:pict>
          </mc:Fallback>
        </mc:AlternateContent>
      </w:r>
      <w:r w:rsidR="41D5CF46">
        <w:t>In 2004</w:t>
      </w:r>
      <w:r w:rsidR="228BD3BE">
        <w:t>,</w:t>
      </w:r>
      <w:r w:rsidR="47DCB620">
        <w:t xml:space="preserve"> the </w:t>
      </w:r>
      <w:r w:rsidR="00A5592F">
        <w:t>S</w:t>
      </w:r>
      <w:r w:rsidR="00945BD6">
        <w:t xml:space="preserve">tate </w:t>
      </w:r>
      <w:r w:rsidR="00A5592F">
        <w:t>L</w:t>
      </w:r>
      <w:r w:rsidR="00945BD6">
        <w:t>egislature</w:t>
      </w:r>
      <w:r w:rsidR="47DCB620">
        <w:t xml:space="preserve"> established </w:t>
      </w:r>
      <w:r w:rsidR="29F64675">
        <w:t xml:space="preserve">the MSBA </w:t>
      </w:r>
      <w:r w:rsidR="06838EAD">
        <w:t>as a quasi</w:t>
      </w:r>
      <w:r w:rsidR="5E340F68">
        <w:t xml:space="preserve">-independent government authority to reform the process of </w:t>
      </w:r>
      <w:r w:rsidR="16AEAEA6">
        <w:t>funding capital improvement projects in public schools across the Commonwealth.</w:t>
      </w:r>
      <w:r w:rsidR="1D342EA8">
        <w:t xml:space="preserve"> </w:t>
      </w:r>
      <w:r w:rsidR="00D7781C">
        <w:t xml:space="preserve">The </w:t>
      </w:r>
      <w:r w:rsidR="57BA0783">
        <w:t xml:space="preserve">MSBA </w:t>
      </w:r>
      <w:r w:rsidR="7B3923B1">
        <w:t xml:space="preserve">collaborates </w:t>
      </w:r>
      <w:r w:rsidR="57BA0783">
        <w:t xml:space="preserve">with </w:t>
      </w:r>
      <w:r w:rsidR="7B3923B1">
        <w:t xml:space="preserve">municipalities and </w:t>
      </w:r>
      <w:r w:rsidR="00FE3855">
        <w:t>school districts</w:t>
      </w:r>
      <w:r w:rsidR="57BA0783">
        <w:t xml:space="preserve"> to </w:t>
      </w:r>
      <w:r w:rsidR="3B95720F">
        <w:t xml:space="preserve">provide competitive grant funding to </w:t>
      </w:r>
      <w:r w:rsidR="57BA0783">
        <w:t xml:space="preserve">create </w:t>
      </w:r>
      <w:r w:rsidR="0094101F">
        <w:t>safe and sustainable learning environments</w:t>
      </w:r>
      <w:r w:rsidR="15C7031C">
        <w:t xml:space="preserve"> using right-sized, fiscally responsible, and </w:t>
      </w:r>
      <w:r w:rsidR="764CB530">
        <w:t>educationally</w:t>
      </w:r>
      <w:r w:rsidR="00945BD6">
        <w:t xml:space="preserve"> </w:t>
      </w:r>
      <w:r w:rsidR="764CB530">
        <w:t>appropriate solutions.</w:t>
      </w:r>
      <w:r w:rsidR="00CC3CB3">
        <w:fldChar w:fldCharType="begin"/>
      </w:r>
      <w:r w:rsidR="00223023">
        <w:instrText xml:space="preserve"> ADDIN ZOTERO_ITEM CSL_CITATION {"citationID":"9hB1KkCy","properties":{"formattedCitation":"\\super 27\\nosupersub{}","plainCitation":"27","noteIndex":0},"citationItems":[{"id":387,"uris":["http://zotero.org/groups/5563646/items/WLMWT3RI"],"itemData":{"id":387,"type":"webpage","title":"About Us | Massachusetts School Building Authority","URL":"https://www.massschoolbuildings.org/about","author":[{"family":"Massachusetts School Building Authority","given":""}],"accessed":{"date-parts":[["2024",6,26]]},"issued":{"date-parts":[["2024"]]}}}],"schema":"https://github.com/citation-style-language/schema/raw/master/csl-citation.json"} </w:instrText>
      </w:r>
      <w:r w:rsidR="00CC3CB3">
        <w:fldChar w:fldCharType="separate"/>
      </w:r>
      <w:r w:rsidR="00223023" w:rsidRPr="00223023">
        <w:rPr>
          <w:rFonts w:cs="Arial"/>
          <w:vertAlign w:val="superscript"/>
        </w:rPr>
        <w:t>27</w:t>
      </w:r>
      <w:r w:rsidR="00CC3CB3">
        <w:fldChar w:fldCharType="end"/>
      </w:r>
      <w:r w:rsidR="3C3FB61D">
        <w:t xml:space="preserve"> </w:t>
      </w:r>
      <w:r w:rsidR="1E78EC3D">
        <w:t xml:space="preserve">A seven-member Board of Directors oversees </w:t>
      </w:r>
      <w:r w:rsidR="00D7781C">
        <w:t xml:space="preserve">the </w:t>
      </w:r>
      <w:r w:rsidR="1E78EC3D">
        <w:t>MSBA</w:t>
      </w:r>
      <w:r w:rsidR="28EC7B10">
        <w:t>,</w:t>
      </w:r>
      <w:r w:rsidR="1E78EC3D">
        <w:t xml:space="preserve"> and </w:t>
      </w:r>
      <w:r w:rsidR="46337E7D">
        <w:t xml:space="preserve">the </w:t>
      </w:r>
      <w:r w:rsidR="000F36CC">
        <w:t>S</w:t>
      </w:r>
      <w:r w:rsidR="00FD1769">
        <w:t xml:space="preserve">tate </w:t>
      </w:r>
      <w:r w:rsidR="000F36CC">
        <w:t>T</w:t>
      </w:r>
      <w:r w:rsidR="00FD1769">
        <w:t>reasurer</w:t>
      </w:r>
      <w:r w:rsidR="46337E7D">
        <w:t xml:space="preserve"> serves as </w:t>
      </w:r>
      <w:r w:rsidR="00ED31A9">
        <w:t xml:space="preserve">the </w:t>
      </w:r>
      <w:r w:rsidR="46337E7D">
        <w:t>MSBA’s chair</w:t>
      </w:r>
      <w:r w:rsidR="00C368CC">
        <w:t>.</w:t>
      </w:r>
      <w:r w:rsidR="1E78EC3D">
        <w:t xml:space="preserve"> </w:t>
      </w:r>
    </w:p>
    <w:p w14:paraId="28EB1403" w14:textId="090B348F" w:rsidR="00F51C1D" w:rsidRDefault="00ED31A9" w:rsidP="006D7DE6">
      <w:pPr>
        <w:pStyle w:val="BodyTextFirstIndent"/>
      </w:pPr>
      <w:r>
        <w:lastRenderedPageBreak/>
        <w:t xml:space="preserve">The </w:t>
      </w:r>
      <w:r w:rsidR="15775513">
        <w:t xml:space="preserve">MSBA is required to </w:t>
      </w:r>
      <w:r w:rsidR="1552FC65">
        <w:t>perform periodic school surveys</w:t>
      </w:r>
      <w:r w:rsidR="1BB6AEAC">
        <w:t xml:space="preserve"> </w:t>
      </w:r>
      <w:r w:rsidR="34D3BCBE">
        <w:t>of</w:t>
      </w:r>
      <w:r w:rsidR="1BB6AEAC">
        <w:t xml:space="preserve"> all public elementary and secondary schools</w:t>
      </w:r>
      <w:r w:rsidR="71DBA10D">
        <w:t xml:space="preserve"> in the Commonwealth to </w:t>
      </w:r>
      <w:r w:rsidR="639CABEC">
        <w:t xml:space="preserve">observe and </w:t>
      </w:r>
      <w:r w:rsidR="71DBA10D">
        <w:t xml:space="preserve">assess </w:t>
      </w:r>
      <w:r w:rsidR="00CC5CC8">
        <w:t>numerous</w:t>
      </w:r>
      <w:r w:rsidR="639CABEC">
        <w:t xml:space="preserve"> key parameters, including </w:t>
      </w:r>
      <w:r w:rsidR="109611DC">
        <w:t>building systems conditions, the general physical environment, and space utilization</w:t>
      </w:r>
      <w:r w:rsidR="23C9C72B">
        <w:t>.</w:t>
      </w:r>
      <w:r w:rsidR="109611DC">
        <w:t xml:space="preserve"> </w:t>
      </w:r>
      <w:r w:rsidR="477B40CC">
        <w:t xml:space="preserve">The surveys provide important </w:t>
      </w:r>
      <w:r w:rsidR="6F1BA807">
        <w:t xml:space="preserve">information that enables </w:t>
      </w:r>
      <w:r>
        <w:t xml:space="preserve">the </w:t>
      </w:r>
      <w:r w:rsidR="6F1BA807">
        <w:t>MSBA to better understand the unique needs of individual schools</w:t>
      </w:r>
      <w:r w:rsidR="1AF2392D">
        <w:t xml:space="preserve"> and their respective school districts and </w:t>
      </w:r>
      <w:r w:rsidR="005F06D9" w:rsidRPr="005F06D9">
        <w:t xml:space="preserve">assist </w:t>
      </w:r>
      <w:r>
        <w:t xml:space="preserve">the </w:t>
      </w:r>
      <w:r w:rsidR="005F06D9" w:rsidRPr="005F06D9">
        <w:t>MSBA in providing equitable funding for school construction, renovation</w:t>
      </w:r>
      <w:r w:rsidR="00945BD6">
        <w:t>,</w:t>
      </w:r>
      <w:r w:rsidR="005F06D9" w:rsidRPr="005F06D9">
        <w:t xml:space="preserve"> and repair projects across the Commonwealth</w:t>
      </w:r>
      <w:r w:rsidR="497BB4D6">
        <w:t>.</w:t>
      </w:r>
      <w:r w:rsidR="0051085F">
        <w:fldChar w:fldCharType="begin"/>
      </w:r>
      <w:r w:rsidR="00223023">
        <w:instrText xml:space="preserve"> ADDIN ZOTERO_ITEM CSL_CITATION {"citationID":"u46gHDXT","properties":{"formattedCitation":"\\super 28\\nosupersub{}","plainCitation":"28","noteIndex":0},"citationItems":[{"id":393,"uris":["http://zotero.org/groups/5563646/items/93JUI3HR"],"itemData":{"id":393,"type":"webpage","title":"Needs Survey FAQs","URL":"https://www.massschoolbuildings.org/programs/needs_survey/FAQs","author":[{"family":"Massachusetts School Building Authority","given":""}],"accessed":{"date-parts":[["2024",6,26]]}}}],"schema":"https://github.com/citation-style-language/schema/raw/master/csl-citation.json"} </w:instrText>
      </w:r>
      <w:r w:rsidR="0051085F">
        <w:fldChar w:fldCharType="separate"/>
      </w:r>
      <w:r w:rsidR="00223023" w:rsidRPr="00223023">
        <w:rPr>
          <w:rFonts w:cs="Arial"/>
          <w:vertAlign w:val="superscript"/>
        </w:rPr>
        <w:t>28</w:t>
      </w:r>
      <w:r w:rsidR="0051085F">
        <w:fldChar w:fldCharType="end"/>
      </w:r>
      <w:r w:rsidR="5C873CED">
        <w:t xml:space="preserve"> To date, </w:t>
      </w:r>
      <w:r>
        <w:t xml:space="preserve">the </w:t>
      </w:r>
      <w:r w:rsidR="5C873CED">
        <w:t xml:space="preserve">MSBA has completed three </w:t>
      </w:r>
      <w:r w:rsidR="62AA6FA4">
        <w:t>cycles of school surveys</w:t>
      </w:r>
      <w:r w:rsidR="00823917">
        <w:t>:</w:t>
      </w:r>
      <w:r w:rsidR="62AA6FA4">
        <w:t xml:space="preserve"> in 2005, 2010, and 2016. </w:t>
      </w:r>
      <w:r>
        <w:t xml:space="preserve">The </w:t>
      </w:r>
      <w:r w:rsidR="62AA6FA4">
        <w:t xml:space="preserve">MSBA </w:t>
      </w:r>
      <w:r w:rsidR="582AC545">
        <w:t>expects to complete its next survey and publish the accompanying</w:t>
      </w:r>
      <w:r w:rsidR="7E0909B6">
        <w:t xml:space="preserve"> report by the end of 2025.</w:t>
      </w:r>
    </w:p>
    <w:p w14:paraId="4D36BA09" w14:textId="5840624D" w:rsidR="008728CE" w:rsidRDefault="00ED31A9" w:rsidP="006D7DE6">
      <w:pPr>
        <w:pStyle w:val="BodyTextFirstIndent"/>
      </w:pPr>
      <w:r>
        <w:t xml:space="preserve">The </w:t>
      </w:r>
      <w:r w:rsidR="001D12A5">
        <w:t xml:space="preserve">MSBA </w:t>
      </w:r>
      <w:r w:rsidR="0094371D">
        <w:t xml:space="preserve">provides competitive grant funding </w:t>
      </w:r>
      <w:r w:rsidR="005E11E9">
        <w:t>through two main</w:t>
      </w:r>
      <w:r w:rsidR="0094371D">
        <w:t xml:space="preserve"> </w:t>
      </w:r>
      <w:r w:rsidR="001D39CB">
        <w:t>programs:</w:t>
      </w:r>
    </w:p>
    <w:p w14:paraId="0EAC6A6D" w14:textId="5BF0F268" w:rsidR="00616276" w:rsidRPr="000674F9" w:rsidRDefault="5EC45D4B" w:rsidP="008131EB">
      <w:pPr>
        <w:pStyle w:val="ListBullet"/>
      </w:pPr>
      <w:r w:rsidRPr="00E36C6A">
        <w:rPr>
          <w:b/>
          <w:bCs/>
        </w:rPr>
        <w:t>Core Progra</w:t>
      </w:r>
      <w:r w:rsidR="4F0B5E7C" w:rsidRPr="00E36C6A">
        <w:rPr>
          <w:b/>
          <w:bCs/>
        </w:rPr>
        <w:t>m</w:t>
      </w:r>
      <w:r w:rsidR="0014227C" w:rsidRPr="00C70C85">
        <w:t>:</w:t>
      </w:r>
      <w:r w:rsidR="0004308B">
        <w:t xml:space="preserve"> </w:t>
      </w:r>
      <w:r w:rsidR="00C70C85" w:rsidRPr="00C70C85">
        <w:t>provides</w:t>
      </w:r>
      <w:r w:rsidR="0014227C">
        <w:t xml:space="preserve"> </w:t>
      </w:r>
      <w:r w:rsidR="00881F14">
        <w:t>g</w:t>
      </w:r>
      <w:r w:rsidR="1AA8C5DC" w:rsidRPr="00982AE4">
        <w:t>rant funding for</w:t>
      </w:r>
      <w:r w:rsidR="753E3510" w:rsidRPr="00982AE4">
        <w:t xml:space="preserve"> new construction, addition</w:t>
      </w:r>
      <w:r w:rsidR="62521ADB" w:rsidRPr="00982AE4">
        <w:t>s</w:t>
      </w:r>
      <w:r w:rsidR="753E3510" w:rsidRPr="00982AE4">
        <w:t>, and major renovation projects</w:t>
      </w:r>
    </w:p>
    <w:p w14:paraId="6340797E" w14:textId="31263EB6" w:rsidR="001D39CB" w:rsidRDefault="5EC45D4B" w:rsidP="008131EB">
      <w:pPr>
        <w:pStyle w:val="ListBullet"/>
      </w:pPr>
      <w:r w:rsidRPr="00E36C6A">
        <w:rPr>
          <w:b/>
          <w:bCs/>
        </w:rPr>
        <w:t>Accelerated Repair Program</w:t>
      </w:r>
      <w:r w:rsidR="00881F14">
        <w:rPr>
          <w:b/>
          <w:bCs/>
        </w:rPr>
        <w:t>:</w:t>
      </w:r>
      <w:r w:rsidR="00881F14">
        <w:t xml:space="preserve"> </w:t>
      </w:r>
      <w:r w:rsidR="0004308B">
        <w:t xml:space="preserve">provides </w:t>
      </w:r>
      <w:r w:rsidR="1AA8C5DC" w:rsidRPr="00982AE4">
        <w:t xml:space="preserve">grant funding for </w:t>
      </w:r>
      <w:r w:rsidR="6773AFC6" w:rsidRPr="00982AE4">
        <w:t xml:space="preserve">buildings </w:t>
      </w:r>
      <w:r w:rsidR="000674F9">
        <w:t>that</w:t>
      </w:r>
      <w:r w:rsidR="000674F9" w:rsidRPr="00982AE4">
        <w:t xml:space="preserve"> </w:t>
      </w:r>
      <w:r w:rsidR="6773AFC6" w:rsidRPr="00982AE4">
        <w:t xml:space="preserve">need roof and/or </w:t>
      </w:r>
      <w:r w:rsidR="003571C7">
        <w:t>window/door</w:t>
      </w:r>
      <w:r w:rsidR="6773AFC6" w:rsidRPr="00982AE4">
        <w:t xml:space="preserve"> replacements</w:t>
      </w:r>
      <w:r w:rsidR="5F24D903" w:rsidRPr="00982AE4">
        <w:t xml:space="preserve"> but are otherwise structurally sound</w:t>
      </w:r>
      <w:r w:rsidR="003571C7">
        <w:t>.</w:t>
      </w:r>
      <w:r w:rsidR="00F87BC0">
        <w:t xml:space="preserve"> </w:t>
      </w:r>
      <w:r w:rsidR="00F87BC0" w:rsidRPr="00F87BC0">
        <w:t>Boiler replacements were last included for invitation in 2022.</w:t>
      </w:r>
      <w:r w:rsidR="00F87BC0">
        <w:t xml:space="preserve"> </w:t>
      </w:r>
      <w:r w:rsidR="00F87BC0" w:rsidRPr="00F87BC0">
        <w:t>The MSBA is completing a study with a consultant in anticipation of adding heat pump conversions to the Accelerated Repair Program for existing buildings beginning in 2025.</w:t>
      </w:r>
    </w:p>
    <w:p w14:paraId="7B8B25B0" w14:textId="1BF49712" w:rsidR="00DD6DE7" w:rsidRDefault="55076E67" w:rsidP="006D7DE6">
      <w:pPr>
        <w:pStyle w:val="BodyTextFirstIndent"/>
        <w:rPr>
          <w:vertAlign w:val="superscript"/>
        </w:rPr>
      </w:pPr>
      <w:r>
        <w:t xml:space="preserve">To </w:t>
      </w:r>
      <w:r w:rsidR="00116CBB">
        <w:t>be considered</w:t>
      </w:r>
      <w:r w:rsidR="33BF2EE1">
        <w:t xml:space="preserve"> for MSBA grant funding, school districts must sub</w:t>
      </w:r>
      <w:r w:rsidR="1C363060">
        <w:t>mit a Statement of Interest (SOI)</w:t>
      </w:r>
      <w:r w:rsidR="79C165A7">
        <w:t xml:space="preserve"> during </w:t>
      </w:r>
      <w:r w:rsidR="00F16C47">
        <w:t xml:space="preserve">the </w:t>
      </w:r>
      <w:r w:rsidR="79C165A7">
        <w:t>MSBA’s established open</w:t>
      </w:r>
      <w:r w:rsidR="40E09F1C">
        <w:t xml:space="preserve"> submittal period</w:t>
      </w:r>
      <w:r w:rsidR="7A5AEA24">
        <w:t xml:space="preserve"> each year</w:t>
      </w:r>
      <w:r w:rsidR="40E09F1C">
        <w:t>. Following the closing of the SOI submittal period</w:t>
      </w:r>
      <w:r w:rsidR="7A5AEA24">
        <w:t>,</w:t>
      </w:r>
      <w:r w:rsidR="00584417">
        <w:t xml:space="preserve"> </w:t>
      </w:r>
      <w:r w:rsidR="009D4358">
        <w:t xml:space="preserve">MSBA </w:t>
      </w:r>
      <w:r w:rsidR="00584417" w:rsidRPr="00584417">
        <w:t xml:space="preserve">staff conduct due diligence and recommend </w:t>
      </w:r>
      <w:r w:rsidR="00584417">
        <w:t>SOIs</w:t>
      </w:r>
      <w:r w:rsidR="00584417" w:rsidRPr="00584417">
        <w:t xml:space="preserve"> for the</w:t>
      </w:r>
      <w:r w:rsidR="7A5AEA24">
        <w:t xml:space="preserve"> </w:t>
      </w:r>
      <w:r w:rsidR="1D3E0D86">
        <w:t>MSBA Board of Directors</w:t>
      </w:r>
      <w:r w:rsidR="00E104B3">
        <w:t>’</w:t>
      </w:r>
      <w:r w:rsidR="00F80090">
        <w:t xml:space="preserve"> </w:t>
      </w:r>
      <w:r w:rsidR="008073F5">
        <w:t>review</w:t>
      </w:r>
      <w:r w:rsidR="0094F52F">
        <w:t xml:space="preserve"> and approv</w:t>
      </w:r>
      <w:r w:rsidR="00F80090">
        <w:t>al</w:t>
      </w:r>
      <w:r w:rsidR="0094F52F">
        <w:t xml:space="preserve"> </w:t>
      </w:r>
      <w:r w:rsidR="00F469B9">
        <w:t xml:space="preserve">of </w:t>
      </w:r>
      <w:r w:rsidR="004502FF">
        <w:t>invitations into the grant program</w:t>
      </w:r>
      <w:r w:rsidR="0094F52F">
        <w:t xml:space="preserve"> based on demonstrated need and urgency.</w:t>
      </w:r>
      <w:r w:rsidR="1DF57CDA">
        <w:t xml:space="preserve"> </w:t>
      </w:r>
      <w:r w:rsidR="4E9D33DB">
        <w:t>Per legislative mandate</w:t>
      </w:r>
      <w:r w:rsidR="00BC7CCD">
        <w:t>,</w:t>
      </w:r>
      <w:r w:rsidR="00BC7CCD">
        <w:fldChar w:fldCharType="begin"/>
      </w:r>
      <w:r w:rsidR="00223023">
        <w:instrText xml:space="preserve"> ADDIN ZOTERO_ITEM CSL_CITATION {"citationID":"6jUDSpfq","properties":{"formattedCitation":"\\super 29\\nosupersub{}","plainCitation":"29","noteIndex":0},"citationItems":[{"id":399,"uris":["http://zotero.org/groups/5563646/items/3QE6LZUR"],"itemData":{"id":399,"type":"webpage","abstract":"963 CMR 2.00 sets forth the MSBA's authority and responsibility to achieve the effective planning, management and financial sustainability of a competitive grant program to provide financial assistance for the construction and renovation of municipally-owned school facilities. The regulations set forth the requirements which shall be met, the standards which shall be applied, and the procedures which shall be followed in the application for and the awarding of school building grants by the MSBA. Download a PDF copy of the regulation below.","language":"en","title":"963 CMR 2.00: School building grant program","title-short":"963 CMR 2.00","URL":"https://www.mass.gov/regulations/963-CMR-200-school-building-grant-program","author":[{"family":"Trial Court Law Libraries","given":""}],"accessed":{"date-parts":[["2024",6,26]]},"issued":{"date-parts":[["2024",5,10]]}}}],"schema":"https://github.com/citation-style-language/schema/raw/master/csl-citation.json"} </w:instrText>
      </w:r>
      <w:r w:rsidR="00BC7CCD">
        <w:fldChar w:fldCharType="separate"/>
      </w:r>
      <w:r w:rsidR="00223023" w:rsidRPr="00223023">
        <w:rPr>
          <w:rFonts w:cs="Arial"/>
          <w:vertAlign w:val="superscript"/>
        </w:rPr>
        <w:t>29</w:t>
      </w:r>
      <w:r w:rsidR="00BC7CCD">
        <w:fldChar w:fldCharType="end"/>
      </w:r>
      <w:r w:rsidR="4E9D33DB">
        <w:t xml:space="preserve"> </w:t>
      </w:r>
      <w:r w:rsidR="00AA5439">
        <w:t xml:space="preserve">the </w:t>
      </w:r>
      <w:r w:rsidR="1DF57CDA">
        <w:t>MSBA approve</w:t>
      </w:r>
      <w:r w:rsidR="22607859">
        <w:t>s</w:t>
      </w:r>
      <w:r w:rsidR="1DF57CDA">
        <w:t xml:space="preserve"> </w:t>
      </w:r>
      <w:r w:rsidR="001B3E5B">
        <w:t>SOIs</w:t>
      </w:r>
      <w:r w:rsidR="1DF57CDA">
        <w:t xml:space="preserve"> in accordance with the priority criteria established in</w:t>
      </w:r>
      <w:r w:rsidR="00532A55">
        <w:t xml:space="preserve"> </w:t>
      </w:r>
      <w:r w:rsidR="1DF57CDA">
        <w:t>M</w:t>
      </w:r>
      <w:r w:rsidR="00EA328D">
        <w:t>A General Law (M.G.L.)</w:t>
      </w:r>
      <w:r w:rsidR="1DF57CDA">
        <w:t xml:space="preserve"> 70B, including but not limited to the eight priority criteria outlined in §8</w:t>
      </w:r>
      <w:r w:rsidR="40630EA0">
        <w:t xml:space="preserve"> (outlined in the </w:t>
      </w:r>
      <w:r w:rsidR="000674F9">
        <w:t xml:space="preserve">following </w:t>
      </w:r>
      <w:r w:rsidR="40630EA0">
        <w:t>text).</w:t>
      </w:r>
      <w:r w:rsidR="00080781">
        <w:fldChar w:fldCharType="begin"/>
      </w:r>
      <w:r w:rsidR="00223023">
        <w:instrText xml:space="preserve"> ADDIN ZOTERO_ITEM CSL_CITATION {"citationID":"bKnMguzP","properties":{"formattedCitation":"\\super 30\\nosupersub{}","plainCitation":"30","noteIndex":0},"citationItems":[{"id":112,"uris":["http://zotero.org/groups/5563646/items/E9PDDYF5"],"itemData":{"id":112,"type":"webpage","title":"Chapter 70B: School Building Assistance Program","URL":"https://malegislature.gov/Laws/GeneralLaws/PartI/TitleXII/Chapter70B","accessed":{"date-parts":[["2024",6,17]]}}}],"schema":"https://github.com/citation-style-language/schema/raw/master/csl-citation.json"} </w:instrText>
      </w:r>
      <w:r w:rsidR="00080781">
        <w:fldChar w:fldCharType="separate"/>
      </w:r>
      <w:r w:rsidR="00223023" w:rsidRPr="00223023">
        <w:rPr>
          <w:rFonts w:cs="Arial"/>
          <w:vertAlign w:val="superscript"/>
        </w:rPr>
        <w:t>30</w:t>
      </w:r>
      <w:r w:rsidR="00080781">
        <w:fldChar w:fldCharType="end"/>
      </w:r>
    </w:p>
    <w:p w14:paraId="7FD24518" w14:textId="464D4A4B" w:rsidR="00BA64CF" w:rsidRDefault="00C773DA" w:rsidP="006D7DE6">
      <w:pPr>
        <w:pStyle w:val="BodyTextFirstIndent"/>
      </w:pPr>
      <w:r>
        <w:rPr>
          <w:noProof/>
        </w:rPr>
        <w:lastRenderedPageBreak/>
        <mc:AlternateContent>
          <mc:Choice Requires="wps">
            <w:drawing>
              <wp:inline distT="0" distB="0" distL="0" distR="0" wp14:anchorId="1E28023B" wp14:editId="6B3DE2D3">
                <wp:extent cx="5891916" cy="5252484"/>
                <wp:effectExtent l="0" t="0" r="13970" b="24765"/>
                <wp:docPr id="424475681" name="Text Box 4"/>
                <wp:cNvGraphicFramePr/>
                <a:graphic xmlns:a="http://schemas.openxmlformats.org/drawingml/2006/main">
                  <a:graphicData uri="http://schemas.microsoft.com/office/word/2010/wordprocessingShape">
                    <wps:wsp>
                      <wps:cNvSpPr txBox="1"/>
                      <wps:spPr bwMode="auto">
                        <a:xfrm>
                          <a:off x="0" y="0"/>
                          <a:ext cx="5891916" cy="5252484"/>
                        </a:xfrm>
                        <a:prstGeom prst="rect">
                          <a:avLst/>
                        </a:prstGeom>
                        <a:solidFill>
                          <a:schemeClr val="accent1">
                            <a:lumMod val="20000"/>
                            <a:lumOff val="80000"/>
                          </a:schemeClr>
                        </a:solidFill>
                        <a:ln w="9525">
                          <a:solidFill>
                            <a:schemeClr val="tx1"/>
                          </a:solidFill>
                          <a:miter lim="800000"/>
                          <a:headEnd/>
                          <a:tailEnd/>
                        </a:ln>
                      </wps:spPr>
                      <wps:txbx>
                        <w:txbxContent>
                          <w:p w14:paraId="591D1C92" w14:textId="19CF2D1A" w:rsidR="00C773DA" w:rsidRPr="00E8583C" w:rsidRDefault="00B317E1" w:rsidP="00B317E1">
                            <w:pPr>
                              <w:jc w:val="center"/>
                              <w:rPr>
                                <w:rFonts w:ascii="Arial" w:hAnsi="Arial" w:cs="Arial"/>
                                <w:b/>
                                <w:bCs/>
                                <w:sz w:val="24"/>
                              </w:rPr>
                            </w:pPr>
                            <w:bookmarkStart w:id="41" w:name="Priority_Cri_Textbox"/>
                            <w:r w:rsidRPr="00E8583C">
                              <w:rPr>
                                <w:rFonts w:ascii="Arial" w:hAnsi="Arial" w:cs="Arial"/>
                                <w:b/>
                                <w:bCs/>
                                <w:sz w:val="24"/>
                              </w:rPr>
                              <w:t xml:space="preserve">Priority Criteria for </w:t>
                            </w:r>
                            <w:r w:rsidR="00356BAE">
                              <w:rPr>
                                <w:rFonts w:ascii="Arial" w:hAnsi="Arial" w:cs="Arial"/>
                                <w:b/>
                                <w:bCs/>
                                <w:sz w:val="24"/>
                              </w:rPr>
                              <w:t xml:space="preserve">the </w:t>
                            </w:r>
                            <w:r w:rsidRPr="00E8583C">
                              <w:rPr>
                                <w:rFonts w:ascii="Arial" w:hAnsi="Arial" w:cs="Arial"/>
                                <w:b/>
                                <w:bCs/>
                                <w:sz w:val="24"/>
                              </w:rPr>
                              <w:t>Approval of MSBA-</w:t>
                            </w:r>
                            <w:r w:rsidR="00C626CF">
                              <w:rPr>
                                <w:rFonts w:ascii="Arial" w:hAnsi="Arial" w:cs="Arial"/>
                                <w:b/>
                                <w:bCs/>
                                <w:sz w:val="24"/>
                              </w:rPr>
                              <w:t>F</w:t>
                            </w:r>
                            <w:r w:rsidRPr="00E8583C">
                              <w:rPr>
                                <w:rFonts w:ascii="Arial" w:hAnsi="Arial" w:cs="Arial"/>
                                <w:b/>
                                <w:bCs/>
                                <w:sz w:val="24"/>
                              </w:rPr>
                              <w:t>unded Projects</w:t>
                            </w:r>
                            <w:bookmarkEnd w:id="41"/>
                          </w:p>
                          <w:p w14:paraId="1B29EF5F" w14:textId="77777777" w:rsidR="00B317E1" w:rsidRDefault="00B317E1" w:rsidP="00C773DA"/>
                          <w:p w14:paraId="4D719536" w14:textId="3ED0EA5A" w:rsidR="00C773DA" w:rsidRDefault="00C773DA" w:rsidP="008131EB">
                            <w:pPr>
                              <w:pStyle w:val="ListBullet"/>
                            </w:pPr>
                            <w:r w:rsidRPr="004028DE">
                              <w:rPr>
                                <w:b/>
                                <w:bCs/>
                              </w:rPr>
                              <w:t>Priority 1</w:t>
                            </w:r>
                            <w:r w:rsidR="00FA7A0B">
                              <w:rPr>
                                <w:b/>
                                <w:bCs/>
                              </w:rPr>
                              <w:t>:</w:t>
                            </w:r>
                            <w:r w:rsidR="00FA7A0B">
                              <w:t xml:space="preserve"> </w:t>
                            </w:r>
                            <w:r w:rsidR="00645C1A">
                              <w:t>P</w:t>
                            </w:r>
                            <w:r>
                              <w:t xml:space="preserve">riority shall be given to school projects needed in the judgment of </w:t>
                            </w:r>
                            <w:r w:rsidR="005A6C24">
                              <w:t xml:space="preserve">said </w:t>
                            </w:r>
                            <w:r w:rsidR="00D424BA">
                              <w:t>board</w:t>
                            </w:r>
                            <w:r>
                              <w:t xml:space="preserve"> to replace or renovate a building which is structurally unsound or otherwise in a condition seriously jeopardizing the health and safety of school children, where no alternative exists</w:t>
                            </w:r>
                            <w:r w:rsidR="002126CC">
                              <w:t>.</w:t>
                            </w:r>
                          </w:p>
                          <w:p w14:paraId="19761BCA" w14:textId="34C26AE8" w:rsidR="00C773DA" w:rsidRDefault="00C773DA" w:rsidP="008131EB">
                            <w:pPr>
                              <w:pStyle w:val="ListBullet"/>
                            </w:pPr>
                            <w:r w:rsidRPr="004028DE">
                              <w:rPr>
                                <w:b/>
                                <w:bCs/>
                              </w:rPr>
                              <w:t>Priority 2</w:t>
                            </w:r>
                            <w:r w:rsidR="00FA7A0B" w:rsidRPr="00FA7A0B">
                              <w:rPr>
                                <w:b/>
                                <w:bCs/>
                              </w:rPr>
                              <w:t>:</w:t>
                            </w:r>
                            <w:r w:rsidR="00FA7A0B">
                              <w:t xml:space="preserve"> </w:t>
                            </w:r>
                            <w:r w:rsidR="00645C1A">
                              <w:t>P</w:t>
                            </w:r>
                            <w:r>
                              <w:t>riority shall be given to school projects to eliminate existing severe overcrowding</w:t>
                            </w:r>
                            <w:r w:rsidR="002126CC">
                              <w:t>.</w:t>
                            </w:r>
                          </w:p>
                          <w:p w14:paraId="6314C409" w14:textId="446B56AB" w:rsidR="00C773DA" w:rsidRDefault="00C773DA" w:rsidP="008131EB">
                            <w:pPr>
                              <w:pStyle w:val="ListBullet"/>
                            </w:pPr>
                            <w:r w:rsidRPr="004028DE">
                              <w:rPr>
                                <w:b/>
                                <w:bCs/>
                              </w:rPr>
                              <w:t>Priority 3</w:t>
                            </w:r>
                            <w:r w:rsidR="00FA7A0B">
                              <w:rPr>
                                <w:b/>
                                <w:bCs/>
                              </w:rPr>
                              <w:t>:</w:t>
                            </w:r>
                            <w:r w:rsidR="002126CC">
                              <w:rPr>
                                <w:b/>
                                <w:bCs/>
                              </w:rPr>
                              <w:t xml:space="preserve"> </w:t>
                            </w:r>
                            <w:r w:rsidR="00645C1A">
                              <w:t>P</w:t>
                            </w:r>
                            <w:r>
                              <w:t xml:space="preserve">riority shall be given to school projects needed in the judgment of </w:t>
                            </w:r>
                            <w:r w:rsidR="00F34B38">
                              <w:t>said authority</w:t>
                            </w:r>
                            <w:r>
                              <w:t xml:space="preserve"> to prevent loss of accreditation</w:t>
                            </w:r>
                            <w:r w:rsidR="002126CC">
                              <w:t>.</w:t>
                            </w:r>
                            <w:r>
                              <w:t xml:space="preserve"> </w:t>
                            </w:r>
                          </w:p>
                          <w:p w14:paraId="2EB17B31" w14:textId="4FF07B06" w:rsidR="00C773DA" w:rsidRDefault="00C773DA" w:rsidP="008131EB">
                            <w:pPr>
                              <w:pStyle w:val="ListBullet"/>
                            </w:pPr>
                            <w:r w:rsidRPr="004028DE">
                              <w:rPr>
                                <w:b/>
                                <w:bCs/>
                              </w:rPr>
                              <w:t>Priority 4</w:t>
                            </w:r>
                            <w:r w:rsidR="002126CC">
                              <w:rPr>
                                <w:b/>
                                <w:bCs/>
                              </w:rPr>
                              <w:t xml:space="preserve">: </w:t>
                            </w:r>
                            <w:r w:rsidR="00645C1A">
                              <w:t>P</w:t>
                            </w:r>
                            <w:r>
                              <w:t xml:space="preserve">riority shall be given to school projects needed in the judgment of </w:t>
                            </w:r>
                            <w:r w:rsidR="00D23294">
                              <w:t xml:space="preserve">said authority </w:t>
                            </w:r>
                            <w:r>
                              <w:t>to prevent severe overcrowding expected to result from increased enrollments which must be substantiated</w:t>
                            </w:r>
                            <w:r w:rsidR="002126CC">
                              <w:t>.</w:t>
                            </w:r>
                          </w:p>
                          <w:p w14:paraId="69CFCC2F" w14:textId="35219761" w:rsidR="00C773DA" w:rsidRDefault="00C773DA" w:rsidP="008131EB">
                            <w:pPr>
                              <w:pStyle w:val="ListBullet"/>
                            </w:pPr>
                            <w:r w:rsidRPr="00C773DA">
                              <w:rPr>
                                <w:b/>
                                <w:bCs/>
                              </w:rPr>
                              <w:t>Priority 5</w:t>
                            </w:r>
                            <w:r w:rsidR="002126CC">
                              <w:rPr>
                                <w:b/>
                                <w:bCs/>
                              </w:rPr>
                              <w:t xml:space="preserve">: </w:t>
                            </w:r>
                            <w:r w:rsidR="00645C1A">
                              <w:t>P</w:t>
                            </w:r>
                            <w:r>
                              <w:t xml:space="preserve">riority shall be given to projects needed in the judgment of </w:t>
                            </w:r>
                            <w:r w:rsidR="00D23294">
                              <w:t xml:space="preserve">said authority </w:t>
                            </w:r>
                            <w:r>
                              <w:t>for the replacement, renovation</w:t>
                            </w:r>
                            <w:r w:rsidR="00823917">
                              <w:t>,</w:t>
                            </w:r>
                            <w:r>
                              <w:t xml:space="preserve"> or modernization of the heating system in any schoolhouse to increase energy conservation and decrease energy related costs in said schoolhouse</w:t>
                            </w:r>
                            <w:r w:rsidR="002126CC">
                              <w:t>.</w:t>
                            </w:r>
                          </w:p>
                          <w:p w14:paraId="63D9088E" w14:textId="7B4472D3" w:rsidR="00C773DA" w:rsidRDefault="00C773DA" w:rsidP="008131EB">
                            <w:pPr>
                              <w:pStyle w:val="ListBullet"/>
                            </w:pPr>
                            <w:r w:rsidRPr="00C773DA">
                              <w:rPr>
                                <w:b/>
                                <w:bCs/>
                              </w:rPr>
                              <w:t>Priority 6</w:t>
                            </w:r>
                            <w:r w:rsidR="002126CC">
                              <w:rPr>
                                <w:b/>
                                <w:bCs/>
                              </w:rPr>
                              <w:t xml:space="preserve">: </w:t>
                            </w:r>
                            <w:r w:rsidR="00645C1A">
                              <w:t>P</w:t>
                            </w:r>
                            <w:r>
                              <w:t xml:space="preserve">riority shall be given to any school project needed in the judgment of </w:t>
                            </w:r>
                            <w:r w:rsidR="00D23294">
                              <w:t xml:space="preserve">said authority </w:t>
                            </w:r>
                            <w:r>
                              <w:t xml:space="preserve">for </w:t>
                            </w:r>
                            <w:r w:rsidR="00823917">
                              <w:t>short-</w:t>
                            </w:r>
                            <w:r>
                              <w:t>term enrollment growth</w:t>
                            </w:r>
                            <w:r w:rsidR="002126CC">
                              <w:t>.</w:t>
                            </w:r>
                          </w:p>
                          <w:p w14:paraId="235C54CB" w14:textId="5C5576F8" w:rsidR="00B317E1" w:rsidRDefault="00C773DA" w:rsidP="008131EB">
                            <w:pPr>
                              <w:pStyle w:val="ListBullet"/>
                            </w:pPr>
                            <w:r w:rsidRPr="00C773DA">
                              <w:rPr>
                                <w:b/>
                                <w:bCs/>
                              </w:rPr>
                              <w:t>Priority 7</w:t>
                            </w:r>
                            <w:r w:rsidR="002126CC">
                              <w:rPr>
                                <w:b/>
                                <w:bCs/>
                              </w:rPr>
                              <w:t xml:space="preserve">: </w:t>
                            </w:r>
                            <w:r w:rsidR="00645C1A">
                              <w:t>P</w:t>
                            </w:r>
                            <w:r>
                              <w:t xml:space="preserve">riority shall be given to school projects needed in the judgment of </w:t>
                            </w:r>
                            <w:r w:rsidR="00D23294">
                              <w:t xml:space="preserve">said authority </w:t>
                            </w:r>
                            <w:r>
                              <w:t>to replace or add to obsolete buildings in order to provide for a full range of programs consistent with state and approved local requirements</w:t>
                            </w:r>
                            <w:r w:rsidR="002126CC">
                              <w:t>.</w:t>
                            </w:r>
                            <w:r>
                              <w:t xml:space="preserve"> </w:t>
                            </w:r>
                          </w:p>
                          <w:p w14:paraId="5914D3CF" w14:textId="1551D0EC" w:rsidR="00C773DA" w:rsidRDefault="00C773DA" w:rsidP="008131EB">
                            <w:pPr>
                              <w:pStyle w:val="ListBullet"/>
                            </w:pPr>
                            <w:r w:rsidRPr="00B317E1">
                              <w:rPr>
                                <w:b/>
                                <w:bCs/>
                              </w:rPr>
                              <w:t>Priority 8</w:t>
                            </w:r>
                            <w:r w:rsidR="002126CC">
                              <w:rPr>
                                <w:b/>
                                <w:bCs/>
                              </w:rPr>
                              <w:t xml:space="preserve">: </w:t>
                            </w:r>
                            <w:r w:rsidR="00645C1A">
                              <w:t>P</w:t>
                            </w:r>
                            <w:r>
                              <w:t xml:space="preserve">riority shall be given to projects needed in the judgment of </w:t>
                            </w:r>
                            <w:r w:rsidR="00D23294">
                              <w:t xml:space="preserve">said authority </w:t>
                            </w:r>
                            <w:r>
                              <w:t>to transition from court-ordered and authority approved racial balance school districts to walk-to, so-called, or other school districts.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28023B" id="Text Box 4" o:spid="_x0000_s1034" type="#_x0000_t202" style="width:463.95pt;height:4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" fillcolor="#dbe5f1 [660]" strokecolor="black [3213]">
                <v:textbox>
                  <w:txbxContent>
                    <w:p w14:paraId="591D1C92" w14:textId="19CF2D1A" w:rsidR="00C773DA" w:rsidRPr="00E8583C" w:rsidRDefault="00B317E1" w:rsidP="00B317E1">
                      <w:pPr>
                        <w:jc w:val="center"/>
                        <w:rPr>
                          <w:rFonts w:ascii="Arial" w:hAnsi="Arial" w:cs="Arial"/>
                          <w:b/>
                          <w:bCs/>
                          <w:sz w:val="24"/>
                        </w:rPr>
                      </w:pPr>
                      <w:bookmarkStart w:id="42" w:name="Priority_Cri_Textbox"/>
                      <w:r w:rsidRPr="00E8583C">
                        <w:rPr>
                          <w:rFonts w:ascii="Arial" w:hAnsi="Arial" w:cs="Arial"/>
                          <w:b/>
                          <w:bCs/>
                          <w:sz w:val="24"/>
                        </w:rPr>
                        <w:t xml:space="preserve">Priority Criteria for </w:t>
                      </w:r>
                      <w:r w:rsidR="00356BAE">
                        <w:rPr>
                          <w:rFonts w:ascii="Arial" w:hAnsi="Arial" w:cs="Arial"/>
                          <w:b/>
                          <w:bCs/>
                          <w:sz w:val="24"/>
                        </w:rPr>
                        <w:t xml:space="preserve">the </w:t>
                      </w:r>
                      <w:r w:rsidRPr="00E8583C">
                        <w:rPr>
                          <w:rFonts w:ascii="Arial" w:hAnsi="Arial" w:cs="Arial"/>
                          <w:b/>
                          <w:bCs/>
                          <w:sz w:val="24"/>
                        </w:rPr>
                        <w:t>Approval of MSBA-</w:t>
                      </w:r>
                      <w:r w:rsidR="00C626CF">
                        <w:rPr>
                          <w:rFonts w:ascii="Arial" w:hAnsi="Arial" w:cs="Arial"/>
                          <w:b/>
                          <w:bCs/>
                          <w:sz w:val="24"/>
                        </w:rPr>
                        <w:t>F</w:t>
                      </w:r>
                      <w:r w:rsidRPr="00E8583C">
                        <w:rPr>
                          <w:rFonts w:ascii="Arial" w:hAnsi="Arial" w:cs="Arial"/>
                          <w:b/>
                          <w:bCs/>
                          <w:sz w:val="24"/>
                        </w:rPr>
                        <w:t>unded Projects</w:t>
                      </w:r>
                      <w:bookmarkEnd w:id="42"/>
                    </w:p>
                    <w:p w14:paraId="1B29EF5F" w14:textId="77777777" w:rsidR="00B317E1" w:rsidRDefault="00B317E1" w:rsidP="00C773DA"/>
                    <w:p w14:paraId="4D719536" w14:textId="3ED0EA5A" w:rsidR="00C773DA" w:rsidRDefault="00C773DA" w:rsidP="008131EB">
                      <w:pPr>
                        <w:pStyle w:val="ListBullet"/>
                      </w:pPr>
                      <w:r w:rsidRPr="004028DE">
                        <w:rPr>
                          <w:b/>
                          <w:bCs/>
                        </w:rPr>
                        <w:t>Priority 1</w:t>
                      </w:r>
                      <w:r w:rsidR="00FA7A0B">
                        <w:rPr>
                          <w:b/>
                          <w:bCs/>
                        </w:rPr>
                        <w:t>:</w:t>
                      </w:r>
                      <w:r w:rsidR="00FA7A0B">
                        <w:t xml:space="preserve"> </w:t>
                      </w:r>
                      <w:r w:rsidR="00645C1A">
                        <w:t>P</w:t>
                      </w:r>
                      <w:r>
                        <w:t xml:space="preserve">riority shall be given to school projects needed in the judgment of </w:t>
                      </w:r>
                      <w:r w:rsidR="005A6C24">
                        <w:t xml:space="preserve">said </w:t>
                      </w:r>
                      <w:r w:rsidR="00D424BA">
                        <w:t>board</w:t>
                      </w:r>
                      <w:r>
                        <w:t xml:space="preserve"> to replace or renovate a building which is structurally unsound or otherwise in a condition seriously jeopardizing the health and safety of school children, where no alternative exists</w:t>
                      </w:r>
                      <w:r w:rsidR="002126CC">
                        <w:t>.</w:t>
                      </w:r>
                    </w:p>
                    <w:p w14:paraId="19761BCA" w14:textId="34C26AE8" w:rsidR="00C773DA" w:rsidRDefault="00C773DA" w:rsidP="008131EB">
                      <w:pPr>
                        <w:pStyle w:val="ListBullet"/>
                      </w:pPr>
                      <w:r w:rsidRPr="004028DE">
                        <w:rPr>
                          <w:b/>
                          <w:bCs/>
                        </w:rPr>
                        <w:t>Priority 2</w:t>
                      </w:r>
                      <w:r w:rsidR="00FA7A0B" w:rsidRPr="00FA7A0B">
                        <w:rPr>
                          <w:b/>
                          <w:bCs/>
                        </w:rPr>
                        <w:t>:</w:t>
                      </w:r>
                      <w:r w:rsidR="00FA7A0B">
                        <w:t xml:space="preserve"> </w:t>
                      </w:r>
                      <w:r w:rsidR="00645C1A">
                        <w:t>P</w:t>
                      </w:r>
                      <w:r>
                        <w:t>riority shall be given to school projects to eliminate existing severe overcrowding</w:t>
                      </w:r>
                      <w:r w:rsidR="002126CC">
                        <w:t>.</w:t>
                      </w:r>
                    </w:p>
                    <w:p w14:paraId="6314C409" w14:textId="446B56AB" w:rsidR="00C773DA" w:rsidRDefault="00C773DA" w:rsidP="008131EB">
                      <w:pPr>
                        <w:pStyle w:val="ListBullet"/>
                      </w:pPr>
                      <w:r w:rsidRPr="004028DE">
                        <w:rPr>
                          <w:b/>
                          <w:bCs/>
                        </w:rPr>
                        <w:t>Priority 3</w:t>
                      </w:r>
                      <w:r w:rsidR="00FA7A0B">
                        <w:rPr>
                          <w:b/>
                          <w:bCs/>
                        </w:rPr>
                        <w:t>:</w:t>
                      </w:r>
                      <w:r w:rsidR="002126CC">
                        <w:rPr>
                          <w:b/>
                          <w:bCs/>
                        </w:rPr>
                        <w:t xml:space="preserve"> </w:t>
                      </w:r>
                      <w:r w:rsidR="00645C1A">
                        <w:t>P</w:t>
                      </w:r>
                      <w:r>
                        <w:t xml:space="preserve">riority shall be given to school projects needed in the judgment of </w:t>
                      </w:r>
                      <w:r w:rsidR="00F34B38">
                        <w:t>said authority</w:t>
                      </w:r>
                      <w:r>
                        <w:t xml:space="preserve"> to prevent loss of accreditation</w:t>
                      </w:r>
                      <w:r w:rsidR="002126CC">
                        <w:t>.</w:t>
                      </w:r>
                      <w:r>
                        <w:t xml:space="preserve"> </w:t>
                      </w:r>
                    </w:p>
                    <w:p w14:paraId="2EB17B31" w14:textId="4FF07B06" w:rsidR="00C773DA" w:rsidRDefault="00C773DA" w:rsidP="008131EB">
                      <w:pPr>
                        <w:pStyle w:val="ListBullet"/>
                      </w:pPr>
                      <w:r w:rsidRPr="004028DE">
                        <w:rPr>
                          <w:b/>
                          <w:bCs/>
                        </w:rPr>
                        <w:t>Priority 4</w:t>
                      </w:r>
                      <w:r w:rsidR="002126CC">
                        <w:rPr>
                          <w:b/>
                          <w:bCs/>
                        </w:rPr>
                        <w:t xml:space="preserve">: </w:t>
                      </w:r>
                      <w:r w:rsidR="00645C1A">
                        <w:t>P</w:t>
                      </w:r>
                      <w:r>
                        <w:t xml:space="preserve">riority shall be given to school projects needed in the judgment of </w:t>
                      </w:r>
                      <w:r w:rsidR="00D23294">
                        <w:t xml:space="preserve">said authority </w:t>
                      </w:r>
                      <w:r>
                        <w:t>to prevent severe overcrowding expected to result from increased enrollments which must be substantiated</w:t>
                      </w:r>
                      <w:r w:rsidR="002126CC">
                        <w:t>.</w:t>
                      </w:r>
                    </w:p>
                    <w:p w14:paraId="69CFCC2F" w14:textId="35219761" w:rsidR="00C773DA" w:rsidRDefault="00C773DA" w:rsidP="008131EB">
                      <w:pPr>
                        <w:pStyle w:val="ListBullet"/>
                      </w:pPr>
                      <w:r w:rsidRPr="00C773DA">
                        <w:rPr>
                          <w:b/>
                          <w:bCs/>
                        </w:rPr>
                        <w:t>Priority 5</w:t>
                      </w:r>
                      <w:r w:rsidR="002126CC">
                        <w:rPr>
                          <w:b/>
                          <w:bCs/>
                        </w:rPr>
                        <w:t xml:space="preserve">: </w:t>
                      </w:r>
                      <w:r w:rsidR="00645C1A">
                        <w:t>P</w:t>
                      </w:r>
                      <w:r>
                        <w:t xml:space="preserve">riority shall be given to projects needed in the judgment of </w:t>
                      </w:r>
                      <w:r w:rsidR="00D23294">
                        <w:t xml:space="preserve">said authority </w:t>
                      </w:r>
                      <w:r>
                        <w:t>for the replacement, renovation</w:t>
                      </w:r>
                      <w:r w:rsidR="00823917">
                        <w:t>,</w:t>
                      </w:r>
                      <w:r>
                        <w:t xml:space="preserve"> or modernization of the heating system in any schoolhouse to increase energy conservation and decrease energy related costs in said schoolhouse</w:t>
                      </w:r>
                      <w:r w:rsidR="002126CC">
                        <w:t>.</w:t>
                      </w:r>
                    </w:p>
                    <w:p w14:paraId="63D9088E" w14:textId="7B4472D3" w:rsidR="00C773DA" w:rsidRDefault="00C773DA" w:rsidP="008131EB">
                      <w:pPr>
                        <w:pStyle w:val="ListBullet"/>
                      </w:pPr>
                      <w:r w:rsidRPr="00C773DA">
                        <w:rPr>
                          <w:b/>
                          <w:bCs/>
                        </w:rPr>
                        <w:t>Priority 6</w:t>
                      </w:r>
                      <w:r w:rsidR="002126CC">
                        <w:rPr>
                          <w:b/>
                          <w:bCs/>
                        </w:rPr>
                        <w:t xml:space="preserve">: </w:t>
                      </w:r>
                      <w:r w:rsidR="00645C1A">
                        <w:t>P</w:t>
                      </w:r>
                      <w:r>
                        <w:t xml:space="preserve">riority shall be given to any school project needed in the judgment of </w:t>
                      </w:r>
                      <w:r w:rsidR="00D23294">
                        <w:t xml:space="preserve">said authority </w:t>
                      </w:r>
                      <w:r>
                        <w:t xml:space="preserve">for </w:t>
                      </w:r>
                      <w:r w:rsidR="00823917">
                        <w:t>short-</w:t>
                      </w:r>
                      <w:r>
                        <w:t>term enrollment growth</w:t>
                      </w:r>
                      <w:r w:rsidR="002126CC">
                        <w:t>.</w:t>
                      </w:r>
                    </w:p>
                    <w:p w14:paraId="235C54CB" w14:textId="5C5576F8" w:rsidR="00B317E1" w:rsidRDefault="00C773DA" w:rsidP="008131EB">
                      <w:pPr>
                        <w:pStyle w:val="ListBullet"/>
                      </w:pPr>
                      <w:r w:rsidRPr="00C773DA">
                        <w:rPr>
                          <w:b/>
                          <w:bCs/>
                        </w:rPr>
                        <w:t>Priority 7</w:t>
                      </w:r>
                      <w:r w:rsidR="002126CC">
                        <w:rPr>
                          <w:b/>
                          <w:bCs/>
                        </w:rPr>
                        <w:t xml:space="preserve">: </w:t>
                      </w:r>
                      <w:r w:rsidR="00645C1A">
                        <w:t>P</w:t>
                      </w:r>
                      <w:r>
                        <w:t xml:space="preserve">riority shall be given to school projects needed in the judgment of </w:t>
                      </w:r>
                      <w:r w:rsidR="00D23294">
                        <w:t xml:space="preserve">said authority </w:t>
                      </w:r>
                      <w:r>
                        <w:t>to replace or add to obsolete buildings in order to provide for a full range of programs consistent with state and approved local requirements</w:t>
                      </w:r>
                      <w:r w:rsidR="002126CC">
                        <w:t>.</w:t>
                      </w:r>
                      <w:r>
                        <w:t xml:space="preserve"> </w:t>
                      </w:r>
                    </w:p>
                    <w:p w14:paraId="5914D3CF" w14:textId="1551D0EC" w:rsidR="00C773DA" w:rsidRDefault="00C773DA" w:rsidP="008131EB">
                      <w:pPr>
                        <w:pStyle w:val="ListBullet"/>
                      </w:pPr>
                      <w:r w:rsidRPr="00B317E1">
                        <w:rPr>
                          <w:b/>
                          <w:bCs/>
                        </w:rPr>
                        <w:t>Priority 8</w:t>
                      </w:r>
                      <w:r w:rsidR="002126CC">
                        <w:rPr>
                          <w:b/>
                          <w:bCs/>
                        </w:rPr>
                        <w:t xml:space="preserve">: </w:t>
                      </w:r>
                      <w:r w:rsidR="00645C1A">
                        <w:t>P</w:t>
                      </w:r>
                      <w:r>
                        <w:t xml:space="preserve">riority shall be given to projects needed in the judgment of </w:t>
                      </w:r>
                      <w:r w:rsidR="00D23294">
                        <w:t xml:space="preserve">said authority </w:t>
                      </w:r>
                      <w:r>
                        <w:t>to transition from court-ordered and authority approved racial balance school districts to walk-to, so-called, or other school districts.</w:t>
                      </w:r>
                    </w:p>
                  </w:txbxContent>
                </v:textbox>
                <w10:anchorlock/>
              </v:shape>
            </w:pict>
          </mc:Fallback>
        </mc:AlternateContent>
      </w:r>
    </w:p>
    <w:p w14:paraId="268DCFAA" w14:textId="448B9D2B" w:rsidR="00C56DC3" w:rsidRDefault="0074155A" w:rsidP="006D7DE6">
      <w:pPr>
        <w:pStyle w:val="BodyTextFirstIndent"/>
      </w:pPr>
      <w:r>
        <w:t xml:space="preserve">Following </w:t>
      </w:r>
      <w:r w:rsidR="000674F9">
        <w:t xml:space="preserve">the </w:t>
      </w:r>
      <w:r>
        <w:t>evaluation and approval of SOIs</w:t>
      </w:r>
      <w:r w:rsidR="00CA5282">
        <w:t xml:space="preserve"> </w:t>
      </w:r>
      <w:r w:rsidR="00764FFB" w:rsidRPr="00764FFB">
        <w:t xml:space="preserve">using the </w:t>
      </w:r>
      <w:r w:rsidR="00C163DC">
        <w:t>stat</w:t>
      </w:r>
      <w:r w:rsidR="00CB7E6B">
        <w:t>utorily</w:t>
      </w:r>
      <w:r w:rsidR="000E2002">
        <w:t xml:space="preserve"> mandated priority </w:t>
      </w:r>
      <w:r w:rsidR="00764FFB" w:rsidRPr="00764FFB">
        <w:t>criteria</w:t>
      </w:r>
      <w:r w:rsidR="000E2002">
        <w:t>,</w:t>
      </w:r>
      <w:r w:rsidR="00764FFB" w:rsidRPr="00764FFB">
        <w:t xml:space="preserve"> </w:t>
      </w:r>
      <w:r w:rsidR="00027FC3">
        <w:t xml:space="preserve">the </w:t>
      </w:r>
      <w:r w:rsidR="000E2002">
        <w:t>MSBA</w:t>
      </w:r>
      <w:r w:rsidR="00764FFB" w:rsidRPr="00764FFB">
        <w:t xml:space="preserve"> calculates the value of </w:t>
      </w:r>
      <w:r w:rsidR="005849D6">
        <w:t xml:space="preserve">each </w:t>
      </w:r>
      <w:r w:rsidR="00764FFB" w:rsidRPr="00764FFB">
        <w:t>grant</w:t>
      </w:r>
      <w:r w:rsidR="00B800D9">
        <w:t xml:space="preserve">. </w:t>
      </w:r>
      <w:r w:rsidR="00CB1B17">
        <w:t xml:space="preserve">For grants </w:t>
      </w:r>
      <w:r w:rsidR="547C7693">
        <w:t xml:space="preserve">approved </w:t>
      </w:r>
      <w:r w:rsidR="702E0257">
        <w:t>t</w:t>
      </w:r>
      <w:r w:rsidR="12D17003">
        <w:t xml:space="preserve">hrough </w:t>
      </w:r>
      <w:r w:rsidR="547C7693">
        <w:t>the</w:t>
      </w:r>
      <w:r w:rsidR="12D17003">
        <w:t xml:space="preserve"> Core Program</w:t>
      </w:r>
      <w:r w:rsidR="00693B40">
        <w:t xml:space="preserve">, </w:t>
      </w:r>
      <w:r w:rsidR="002F77C6">
        <w:t xml:space="preserve">the </w:t>
      </w:r>
      <w:r w:rsidR="00693B40">
        <w:t>MSBA</w:t>
      </w:r>
      <w:r w:rsidR="702E0257">
        <w:t xml:space="preserve"> </w:t>
      </w:r>
      <w:r w:rsidR="00855A8A">
        <w:t xml:space="preserve">determines the grant value by </w:t>
      </w:r>
      <w:r w:rsidR="006C19BA">
        <w:t>utili</w:t>
      </w:r>
      <w:r w:rsidR="00855A8A">
        <w:t>zing</w:t>
      </w:r>
      <w:r w:rsidR="702E0257">
        <w:t xml:space="preserve"> </w:t>
      </w:r>
      <w:r w:rsidR="00ED326B">
        <w:t>the</w:t>
      </w:r>
      <w:r w:rsidR="702E0257">
        <w:t xml:space="preserve"> reimbursement rate formula</w:t>
      </w:r>
      <w:r w:rsidR="5EA0C5AE">
        <w:t xml:space="preserve"> </w:t>
      </w:r>
      <w:r w:rsidR="59B1D745">
        <w:t>outlined</w:t>
      </w:r>
      <w:r w:rsidR="5EA0C5AE">
        <w:t xml:space="preserve"> in </w:t>
      </w:r>
      <w:r w:rsidR="631F2BD1" w:rsidRPr="00AA6DF3">
        <w:t>M.G.L., 70B</w:t>
      </w:r>
      <w:r w:rsidR="0300B9BF">
        <w:t>, §10</w:t>
      </w:r>
      <w:r w:rsidR="00850765">
        <w:fldChar w:fldCharType="begin"/>
      </w:r>
      <w:r w:rsidR="00223023">
        <w:instrText xml:space="preserve"> ADDIN ZOTERO_ITEM CSL_CITATION {"citationID":"t3xiI0sb","properties":{"formattedCitation":"\\super 30,31\\nosupersub{}","plainCitation":"30,31","noteIndex":0},"citationItems":[{"id":112,"uris":["http://zotero.org/groups/5563646/items/E9PDDYF5"],"itemData":{"id":112,"type":"webpage","title":"Chapter 70B: School Building Assistance Program","URL":"https://malegislature.gov/Laws/GeneralLaws/PartI/TitleXII/Chapter70B","accessed":{"date-parts":[["2024",6,17]]}}},{"id":403,"uris":["http://zotero.org/groups/5563646/items/NMQRE75E"],"itemData":{"id":403,"type":"document","title":"Reimbursement Rate Calculation","URL":"https://www.massschoolbuildings.org/sites/default/files/edit-contentfiles/Guidelines_Forms/Pro-Pay/Reimbursement-Rate-Calculation-UPDATE%20with%20changes.pdf","author":[{"family":"Massachusetts School Building Authority","given":""}],"accessed":{"date-parts":[["2024",9,24]]}}}],"schema":"https://github.com/citation-style-language/schema/raw/master/csl-citation.json"} </w:instrText>
      </w:r>
      <w:r w:rsidR="00850765">
        <w:fldChar w:fldCharType="separate"/>
      </w:r>
      <w:r w:rsidR="00223023" w:rsidRPr="00223023">
        <w:rPr>
          <w:rFonts w:cs="Arial"/>
          <w:vertAlign w:val="superscript"/>
        </w:rPr>
        <w:t>30,31</w:t>
      </w:r>
      <w:r w:rsidR="00850765">
        <w:fldChar w:fldCharType="end"/>
      </w:r>
      <w:r w:rsidR="5EA0C5AE">
        <w:t xml:space="preserve"> </w:t>
      </w:r>
      <w:r w:rsidR="00ED326B">
        <w:t>(</w:t>
      </w:r>
      <w:r w:rsidR="4CB10874">
        <w:t xml:space="preserve">presented </w:t>
      </w:r>
      <w:r w:rsidR="00680EFC">
        <w:t>i</w:t>
      </w:r>
      <w:r w:rsidR="4CB10874">
        <w:t>n</w:t>
      </w:r>
      <w:r w:rsidR="00F309A2">
        <w:t xml:space="preserve"> Table 4).</w:t>
      </w:r>
    </w:p>
    <w:p w14:paraId="332238C0" w14:textId="77777777" w:rsidR="00AD5700" w:rsidRDefault="00AD5700">
      <w:pPr>
        <w:rPr>
          <w:rFonts w:ascii="Arial" w:hAnsi="Arial" w:cstheme="minorHAnsi"/>
          <w:b/>
          <w:color w:val="1F497D" w:themeColor="text2"/>
          <w:sz w:val="24"/>
        </w:rPr>
      </w:pPr>
      <w:bookmarkStart w:id="43" w:name="_Ref170333135"/>
      <w:bookmarkStart w:id="44" w:name="_Toc170345782"/>
      <w:r>
        <w:br w:type="page"/>
      </w:r>
    </w:p>
    <w:p w14:paraId="696C8226" w14:textId="6221B927" w:rsidR="00EF15D1" w:rsidRDefault="00994EFE" w:rsidP="00B30C96">
      <w:pPr>
        <w:pStyle w:val="TableTitle"/>
      </w:pPr>
      <w:bookmarkStart w:id="45" w:name="_Toc192711670"/>
      <w:bookmarkStart w:id="46" w:name="_Toc193112552"/>
      <w:bookmarkStart w:id="47" w:name="_Toc193116951"/>
      <w:r>
        <w:lastRenderedPageBreak/>
        <w:t xml:space="preserve">Table </w:t>
      </w:r>
      <w:fldSimple w:instr=" SEQ Table \* ARABIC ">
        <w:r w:rsidR="00307850">
          <w:rPr>
            <w:noProof/>
          </w:rPr>
          <w:t>4</w:t>
        </w:r>
      </w:fldSimple>
      <w:bookmarkEnd w:id="43"/>
      <w:r>
        <w:t xml:space="preserve">. Components of </w:t>
      </w:r>
      <w:r w:rsidR="00D137CF">
        <w:t>R</w:t>
      </w:r>
      <w:r w:rsidR="008077D1">
        <w:t xml:space="preserve">eimbursement </w:t>
      </w:r>
      <w:r w:rsidR="00D137CF">
        <w:t>R</w:t>
      </w:r>
      <w:r w:rsidR="008077D1">
        <w:t xml:space="preserve">ate </w:t>
      </w:r>
      <w:r>
        <w:t xml:space="preserve">for </w:t>
      </w:r>
      <w:r w:rsidR="00D137CF">
        <w:t>P</w:t>
      </w:r>
      <w:r w:rsidR="008077D1">
        <w:t xml:space="preserve">rojects </w:t>
      </w:r>
      <w:r w:rsidR="00D137CF">
        <w:t>F</w:t>
      </w:r>
      <w:r>
        <w:t xml:space="preserve">unded </w:t>
      </w:r>
      <w:r w:rsidR="00D137CF">
        <w:t>T</w:t>
      </w:r>
      <w:r>
        <w:t xml:space="preserve">hrough </w:t>
      </w:r>
      <w:r w:rsidR="00E7790C">
        <w:t xml:space="preserve">the </w:t>
      </w:r>
      <w:r>
        <w:t xml:space="preserve">MSBA’s Core </w:t>
      </w:r>
      <w:r w:rsidR="008077D1">
        <w:t>P</w:t>
      </w:r>
      <w:r>
        <w:t>rogram</w:t>
      </w:r>
      <w:bookmarkEnd w:id="44"/>
      <w:bookmarkEnd w:id="45"/>
      <w:bookmarkEnd w:id="46"/>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formatted as a top-down equation showing how the MSBA's reimbursement rate is calculated based on different component scores."/>
      </w:tblPr>
      <w:tblGrid>
        <w:gridCol w:w="357"/>
        <w:gridCol w:w="1893"/>
        <w:gridCol w:w="6995"/>
      </w:tblGrid>
      <w:tr w:rsidR="00D42686" w:rsidRPr="00BB7018" w14:paraId="191A001C" w14:textId="77777777" w:rsidTr="0092315F">
        <w:trPr>
          <w:trHeight w:hRule="exact" w:val="432"/>
          <w:tblHeader/>
        </w:trPr>
        <w:tc>
          <w:tcPr>
            <w:tcW w:w="2250" w:type="dxa"/>
            <w:gridSpan w:val="2"/>
            <w:shd w:val="clear" w:color="auto" w:fill="002060"/>
            <w:vAlign w:val="center"/>
          </w:tcPr>
          <w:p w14:paraId="5260951B" w14:textId="001B3F4E" w:rsidR="00D42686" w:rsidRPr="00BB7018" w:rsidRDefault="00D42686" w:rsidP="00304D18">
            <w:pPr>
              <w:rPr>
                <w:rFonts w:ascii="Arial" w:hAnsi="Arial" w:cs="Arial"/>
                <w:sz w:val="24"/>
              </w:rPr>
            </w:pPr>
            <w:r w:rsidRPr="00BB7018">
              <w:rPr>
                <w:rFonts w:ascii="Arial" w:hAnsi="Arial" w:cs="Arial"/>
                <w:sz w:val="24"/>
              </w:rPr>
              <w:t>Component</w:t>
            </w:r>
          </w:p>
        </w:tc>
        <w:tc>
          <w:tcPr>
            <w:tcW w:w="6995" w:type="dxa"/>
            <w:shd w:val="clear" w:color="auto" w:fill="002060"/>
            <w:vAlign w:val="center"/>
          </w:tcPr>
          <w:p w14:paraId="5E450692" w14:textId="69094D43" w:rsidR="00D42686" w:rsidRPr="00BB7018" w:rsidRDefault="00D42686" w:rsidP="00304D18">
            <w:pPr>
              <w:rPr>
                <w:rFonts w:ascii="Arial" w:hAnsi="Arial" w:cs="Arial"/>
                <w:sz w:val="24"/>
              </w:rPr>
            </w:pPr>
            <w:r w:rsidRPr="00BB7018">
              <w:rPr>
                <w:rFonts w:ascii="Arial" w:hAnsi="Arial" w:cs="Arial"/>
                <w:sz w:val="24"/>
              </w:rPr>
              <w:t>Description</w:t>
            </w:r>
          </w:p>
        </w:tc>
      </w:tr>
      <w:tr w:rsidR="00A10D36" w:rsidRPr="00BB7018" w14:paraId="2D7AAD09" w14:textId="1BDA6CBC" w:rsidTr="0092315F">
        <w:trPr>
          <w:trHeight w:hRule="exact" w:val="684"/>
        </w:trPr>
        <w:tc>
          <w:tcPr>
            <w:tcW w:w="357" w:type="dxa"/>
            <w:tcBorders>
              <w:bottom w:val="single" w:sz="4" w:space="0" w:color="auto"/>
            </w:tcBorders>
            <w:vAlign w:val="center"/>
          </w:tcPr>
          <w:p w14:paraId="4632FF58" w14:textId="0A8862F3" w:rsidR="00A10D36" w:rsidRPr="00BB7018" w:rsidRDefault="00A10D36" w:rsidP="00303DA4">
            <w:pPr>
              <w:rPr>
                <w:rFonts w:ascii="Arial" w:hAnsi="Arial" w:cs="Arial"/>
                <w:sz w:val="24"/>
              </w:rPr>
            </w:pPr>
          </w:p>
        </w:tc>
        <w:tc>
          <w:tcPr>
            <w:tcW w:w="1893" w:type="dxa"/>
            <w:tcBorders>
              <w:bottom w:val="single" w:sz="4" w:space="0" w:color="auto"/>
            </w:tcBorders>
            <w:vAlign w:val="center"/>
          </w:tcPr>
          <w:p w14:paraId="41A5932D" w14:textId="77777777" w:rsidR="004C14A6" w:rsidRDefault="00A10D36" w:rsidP="00304D18">
            <w:pPr>
              <w:pStyle w:val="TableText"/>
            </w:pPr>
            <w:r w:rsidRPr="00BB7018">
              <w:t xml:space="preserve">Base Rate </w:t>
            </w:r>
          </w:p>
          <w:p w14:paraId="287D3007" w14:textId="0A38D73A" w:rsidR="00A10D36" w:rsidRPr="00BB7018" w:rsidRDefault="00A10D36" w:rsidP="00304D18">
            <w:pPr>
              <w:pStyle w:val="TableText"/>
            </w:pPr>
            <w:r w:rsidRPr="00BB7018">
              <w:t>(31 points)</w:t>
            </w:r>
          </w:p>
        </w:tc>
        <w:tc>
          <w:tcPr>
            <w:tcW w:w="6995" w:type="dxa"/>
            <w:tcBorders>
              <w:bottom w:val="single" w:sz="4" w:space="0" w:color="auto"/>
            </w:tcBorders>
            <w:vAlign w:val="center"/>
          </w:tcPr>
          <w:p w14:paraId="258A38FF" w14:textId="0B9E3CF8" w:rsidR="00A10D36" w:rsidRPr="00BB7018" w:rsidRDefault="004A4414" w:rsidP="00304D18">
            <w:pPr>
              <w:pStyle w:val="TableText"/>
            </w:pPr>
            <w:r>
              <w:t>Applied to all grants</w:t>
            </w:r>
          </w:p>
        </w:tc>
      </w:tr>
      <w:tr w:rsidR="00D25BFE" w:rsidRPr="00BB7018" w14:paraId="60FF4C12" w14:textId="2A06A58C" w:rsidTr="0092315F">
        <w:trPr>
          <w:trHeight w:hRule="exact" w:val="847"/>
        </w:trPr>
        <w:tc>
          <w:tcPr>
            <w:tcW w:w="357" w:type="dxa"/>
            <w:tcBorders>
              <w:top w:val="single" w:sz="4" w:space="0" w:color="auto"/>
              <w:bottom w:val="single" w:sz="4" w:space="0" w:color="auto"/>
            </w:tcBorders>
            <w:vAlign w:val="center"/>
          </w:tcPr>
          <w:p w14:paraId="564CF27B" w14:textId="740F3F64" w:rsidR="00D25BFE" w:rsidRPr="00BB7018" w:rsidRDefault="00D25BFE" w:rsidP="00303DA4">
            <w:pPr>
              <w:rPr>
                <w:rFonts w:ascii="Arial" w:hAnsi="Arial" w:cs="Arial"/>
                <w:sz w:val="24"/>
              </w:rPr>
            </w:pPr>
            <w:r w:rsidRPr="00BB7018">
              <w:rPr>
                <w:rFonts w:ascii="Arial" w:hAnsi="Arial" w:cs="Arial"/>
                <w:sz w:val="24"/>
              </w:rPr>
              <w:t>+</w:t>
            </w:r>
          </w:p>
        </w:tc>
        <w:tc>
          <w:tcPr>
            <w:tcW w:w="1893" w:type="dxa"/>
            <w:tcBorders>
              <w:top w:val="single" w:sz="4" w:space="0" w:color="auto"/>
              <w:bottom w:val="single" w:sz="4" w:space="0" w:color="auto"/>
            </w:tcBorders>
            <w:vAlign w:val="center"/>
          </w:tcPr>
          <w:p w14:paraId="41DFD635" w14:textId="1D9E1DC0" w:rsidR="00D25BFE" w:rsidRPr="00BB7018" w:rsidRDefault="00D25BFE" w:rsidP="00304D18">
            <w:pPr>
              <w:pStyle w:val="TableText"/>
            </w:pPr>
            <w:r w:rsidRPr="00BB7018">
              <w:t>Community Income Factor</w:t>
            </w:r>
          </w:p>
        </w:tc>
        <w:tc>
          <w:tcPr>
            <w:tcW w:w="6995" w:type="dxa"/>
            <w:tcBorders>
              <w:top w:val="single" w:sz="4" w:space="0" w:color="auto"/>
              <w:bottom w:val="single" w:sz="4" w:space="0" w:color="auto"/>
            </w:tcBorders>
            <w:vAlign w:val="center"/>
          </w:tcPr>
          <w:p w14:paraId="5C09BF41" w14:textId="552EB4C1" w:rsidR="00D25BFE" w:rsidRPr="00BB7018" w:rsidRDefault="00D25BFE" w:rsidP="00304D18">
            <w:pPr>
              <w:pStyle w:val="TableText"/>
            </w:pPr>
            <w:r w:rsidRPr="00BB7018">
              <w:t>District’s per capita income as a percent</w:t>
            </w:r>
            <w:r w:rsidR="00A53157">
              <w:t>age</w:t>
            </w:r>
            <w:r w:rsidRPr="00BB7018">
              <w:t xml:space="preserve"> of statewide average per capita income</w:t>
            </w:r>
          </w:p>
        </w:tc>
      </w:tr>
      <w:tr w:rsidR="00D25BFE" w:rsidRPr="00BB7018" w14:paraId="1A4532CE" w14:textId="7FB7FEBB" w:rsidTr="0092315F">
        <w:trPr>
          <w:trHeight w:hRule="exact" w:val="811"/>
        </w:trPr>
        <w:tc>
          <w:tcPr>
            <w:tcW w:w="357" w:type="dxa"/>
            <w:tcBorders>
              <w:top w:val="single" w:sz="4" w:space="0" w:color="auto"/>
              <w:bottom w:val="single" w:sz="4" w:space="0" w:color="auto"/>
            </w:tcBorders>
            <w:vAlign w:val="center"/>
          </w:tcPr>
          <w:p w14:paraId="3D164440" w14:textId="07FFE7A0" w:rsidR="00D25BFE" w:rsidRPr="00BB7018" w:rsidRDefault="00D25BFE" w:rsidP="00303DA4">
            <w:pPr>
              <w:rPr>
                <w:rFonts w:ascii="Arial" w:hAnsi="Arial" w:cs="Arial"/>
                <w:sz w:val="24"/>
              </w:rPr>
            </w:pPr>
            <w:r w:rsidRPr="00BB7018">
              <w:rPr>
                <w:rFonts w:ascii="Arial" w:hAnsi="Arial" w:cs="Arial"/>
                <w:sz w:val="24"/>
              </w:rPr>
              <w:t>+</w:t>
            </w:r>
          </w:p>
        </w:tc>
        <w:tc>
          <w:tcPr>
            <w:tcW w:w="1893" w:type="dxa"/>
            <w:tcBorders>
              <w:top w:val="single" w:sz="4" w:space="0" w:color="auto"/>
              <w:bottom w:val="single" w:sz="4" w:space="0" w:color="auto"/>
            </w:tcBorders>
            <w:vAlign w:val="center"/>
          </w:tcPr>
          <w:p w14:paraId="13233799" w14:textId="44FFCAD3" w:rsidR="00D25BFE" w:rsidRPr="00BB7018" w:rsidRDefault="00D25BFE" w:rsidP="00304D18">
            <w:pPr>
              <w:pStyle w:val="TableText"/>
            </w:pPr>
            <w:r w:rsidRPr="00BB7018">
              <w:t>Community Property Wealth Factor</w:t>
            </w:r>
          </w:p>
        </w:tc>
        <w:tc>
          <w:tcPr>
            <w:tcW w:w="6995" w:type="dxa"/>
            <w:tcBorders>
              <w:top w:val="single" w:sz="4" w:space="0" w:color="auto"/>
              <w:bottom w:val="single" w:sz="4" w:space="0" w:color="auto"/>
            </w:tcBorders>
            <w:vAlign w:val="center"/>
          </w:tcPr>
          <w:p w14:paraId="50B440F9" w14:textId="75591C14" w:rsidR="00D25BFE" w:rsidRPr="00BB7018" w:rsidRDefault="00EF5AAD" w:rsidP="00304D18">
            <w:pPr>
              <w:pStyle w:val="TableText"/>
            </w:pPr>
            <w:r w:rsidRPr="00BB7018">
              <w:t>District’s per capita equalized property valuations as a percent</w:t>
            </w:r>
            <w:r w:rsidR="00A53157">
              <w:t>age</w:t>
            </w:r>
            <w:r w:rsidRPr="00BB7018">
              <w:t xml:space="preserve"> of statewide average per capita valuations</w:t>
            </w:r>
          </w:p>
        </w:tc>
      </w:tr>
      <w:tr w:rsidR="00D25BFE" w:rsidRPr="00BB7018" w14:paraId="75FF58EC" w14:textId="1B2935DB" w:rsidTr="0092315F">
        <w:trPr>
          <w:trHeight w:hRule="exact" w:val="1738"/>
        </w:trPr>
        <w:tc>
          <w:tcPr>
            <w:tcW w:w="357" w:type="dxa"/>
            <w:tcBorders>
              <w:top w:val="single" w:sz="4" w:space="0" w:color="auto"/>
              <w:bottom w:val="single" w:sz="4" w:space="0" w:color="auto"/>
            </w:tcBorders>
            <w:vAlign w:val="center"/>
          </w:tcPr>
          <w:p w14:paraId="6BBABD5C" w14:textId="7F65A82F" w:rsidR="00D25BFE" w:rsidRPr="00BB7018" w:rsidRDefault="00D25BFE" w:rsidP="00303DA4">
            <w:pPr>
              <w:rPr>
                <w:rFonts w:ascii="Arial" w:hAnsi="Arial" w:cs="Arial"/>
                <w:sz w:val="24"/>
              </w:rPr>
            </w:pPr>
            <w:r w:rsidRPr="00BB7018">
              <w:rPr>
                <w:rFonts w:ascii="Arial" w:hAnsi="Arial" w:cs="Arial"/>
                <w:sz w:val="24"/>
              </w:rPr>
              <w:t>+</w:t>
            </w:r>
          </w:p>
        </w:tc>
        <w:tc>
          <w:tcPr>
            <w:tcW w:w="1893" w:type="dxa"/>
            <w:tcBorders>
              <w:top w:val="single" w:sz="4" w:space="0" w:color="auto"/>
              <w:bottom w:val="single" w:sz="4" w:space="0" w:color="auto"/>
            </w:tcBorders>
            <w:vAlign w:val="center"/>
          </w:tcPr>
          <w:p w14:paraId="06B60324" w14:textId="4C518500" w:rsidR="00D25BFE" w:rsidRPr="00BB7018" w:rsidRDefault="00D25BFE" w:rsidP="00304D18">
            <w:pPr>
              <w:pStyle w:val="TableText"/>
            </w:pPr>
            <w:r w:rsidRPr="00BB7018">
              <w:t>Community Poverty Factor</w:t>
            </w:r>
          </w:p>
        </w:tc>
        <w:tc>
          <w:tcPr>
            <w:tcW w:w="6995" w:type="dxa"/>
            <w:tcBorders>
              <w:top w:val="single" w:sz="4" w:space="0" w:color="auto"/>
              <w:bottom w:val="single" w:sz="4" w:space="0" w:color="auto"/>
            </w:tcBorders>
            <w:vAlign w:val="center"/>
          </w:tcPr>
          <w:p w14:paraId="2F8284D6" w14:textId="77BF9791" w:rsidR="00AA7583" w:rsidRPr="00BB7018" w:rsidRDefault="00AA7583" w:rsidP="00304D18">
            <w:pPr>
              <w:pStyle w:val="TableText"/>
            </w:pPr>
            <w:r w:rsidRPr="00BB7018">
              <w:t xml:space="preserve">District’s proportion of </w:t>
            </w:r>
            <w:r w:rsidR="00717456" w:rsidRPr="00BB7018">
              <w:t>low-income</w:t>
            </w:r>
            <w:r w:rsidRPr="00BB7018">
              <w:t xml:space="preserve"> students (federal eligibility for free/reduced price lunch) as a percent</w:t>
            </w:r>
            <w:r w:rsidR="00A53157">
              <w:t>age</w:t>
            </w:r>
            <w:r w:rsidRPr="00BB7018">
              <w:t xml:space="preserve"> of the statewide average proportion of </w:t>
            </w:r>
            <w:r w:rsidR="00FC1DD2" w:rsidRPr="00BB7018">
              <w:t>low-income</w:t>
            </w:r>
            <w:r w:rsidR="00411480" w:rsidRPr="00BB7018">
              <w:t xml:space="preserve"> students</w:t>
            </w:r>
          </w:p>
          <w:p w14:paraId="1703D2B3" w14:textId="3D2EC8A7" w:rsidR="00D25BFE" w:rsidRPr="00BB7018" w:rsidRDefault="00AA7583" w:rsidP="00304D18">
            <w:pPr>
              <w:pStyle w:val="TableText"/>
            </w:pPr>
            <w:r w:rsidRPr="00BB7018">
              <w:t>students</w:t>
            </w:r>
          </w:p>
        </w:tc>
      </w:tr>
      <w:tr w:rsidR="00D25BFE" w:rsidRPr="00BB7018" w14:paraId="780DCC13" w14:textId="0EC3140C" w:rsidTr="00275892">
        <w:trPr>
          <w:trHeight w:hRule="exact" w:val="4060"/>
        </w:trPr>
        <w:tc>
          <w:tcPr>
            <w:tcW w:w="357" w:type="dxa"/>
            <w:tcBorders>
              <w:top w:val="single" w:sz="4" w:space="0" w:color="auto"/>
              <w:bottom w:val="double" w:sz="4" w:space="0" w:color="auto"/>
            </w:tcBorders>
            <w:vAlign w:val="center"/>
          </w:tcPr>
          <w:p w14:paraId="60034227" w14:textId="79F202B7" w:rsidR="00D25BFE" w:rsidRPr="00BB7018" w:rsidRDefault="00D25BFE" w:rsidP="00303DA4">
            <w:pPr>
              <w:rPr>
                <w:rFonts w:ascii="Arial" w:hAnsi="Arial" w:cs="Arial"/>
                <w:sz w:val="24"/>
              </w:rPr>
            </w:pPr>
            <w:r w:rsidRPr="00BB7018">
              <w:rPr>
                <w:rFonts w:ascii="Arial" w:hAnsi="Arial" w:cs="Arial"/>
                <w:sz w:val="24"/>
              </w:rPr>
              <w:t>+</w:t>
            </w:r>
          </w:p>
        </w:tc>
        <w:tc>
          <w:tcPr>
            <w:tcW w:w="1893" w:type="dxa"/>
            <w:tcBorders>
              <w:top w:val="single" w:sz="4" w:space="0" w:color="auto"/>
              <w:bottom w:val="double" w:sz="4" w:space="0" w:color="auto"/>
            </w:tcBorders>
            <w:vAlign w:val="center"/>
          </w:tcPr>
          <w:p w14:paraId="10986A69" w14:textId="6A1D153F" w:rsidR="00D25BFE" w:rsidRPr="00BB7018" w:rsidRDefault="00D25BFE" w:rsidP="00304D18">
            <w:pPr>
              <w:pStyle w:val="TableText"/>
            </w:pPr>
            <w:r w:rsidRPr="00BB7018">
              <w:t>Incentive Points (if any)</w:t>
            </w:r>
          </w:p>
        </w:tc>
        <w:tc>
          <w:tcPr>
            <w:tcW w:w="6995" w:type="dxa"/>
            <w:tcBorders>
              <w:top w:val="single" w:sz="4" w:space="0" w:color="auto"/>
              <w:bottom w:val="double" w:sz="4" w:space="0" w:color="auto"/>
            </w:tcBorders>
            <w:vAlign w:val="center"/>
          </w:tcPr>
          <w:p w14:paraId="5190C04A" w14:textId="5AA3F00E" w:rsidR="00D25BFE" w:rsidRPr="00BB7018" w:rsidRDefault="00E52FF8" w:rsidP="00304D18">
            <w:pPr>
              <w:pStyle w:val="TableText"/>
            </w:pPr>
            <w:r w:rsidRPr="00BB7018">
              <w:t>Six categories of incentive</w:t>
            </w:r>
            <w:r w:rsidR="0001391C">
              <w:t xml:space="preserve"> percentage</w:t>
            </w:r>
            <w:r w:rsidRPr="00BB7018">
              <w:t xml:space="preserve"> points possible:</w:t>
            </w:r>
          </w:p>
          <w:p w14:paraId="09725F50" w14:textId="77777777" w:rsidR="0092315F" w:rsidRDefault="0092315F" w:rsidP="00304D18">
            <w:pPr>
              <w:pStyle w:val="TableText"/>
            </w:pPr>
          </w:p>
          <w:p w14:paraId="1CAC3DD0" w14:textId="5C45755B" w:rsidR="00543ADD" w:rsidRPr="00BB7018" w:rsidRDefault="00AB4AF3" w:rsidP="00304D18">
            <w:pPr>
              <w:pStyle w:val="TableText"/>
            </w:pPr>
            <w:r>
              <w:t xml:space="preserve">(1) </w:t>
            </w:r>
            <w:r w:rsidR="00543ADD" w:rsidRPr="00BB7018">
              <w:t>Newly Formed Regional School District (up to 6</w:t>
            </w:r>
            <w:r w:rsidR="005D5E7A">
              <w:t xml:space="preserve"> </w:t>
            </w:r>
            <w:r w:rsidR="00620619">
              <w:t xml:space="preserve">incentive percentage </w:t>
            </w:r>
            <w:r w:rsidR="00543ADD" w:rsidRPr="00BB7018">
              <w:t>points)</w:t>
            </w:r>
          </w:p>
          <w:p w14:paraId="4BDC74B9" w14:textId="5B0C64F7" w:rsidR="008F6AE6" w:rsidRPr="00BB7018" w:rsidRDefault="00AB4AF3" w:rsidP="00304D18">
            <w:pPr>
              <w:pStyle w:val="TableText"/>
            </w:pPr>
            <w:r>
              <w:t xml:space="preserve">(2) </w:t>
            </w:r>
            <w:r w:rsidR="008F6AE6" w:rsidRPr="00BB7018">
              <w:t>Green School Program</w:t>
            </w:r>
            <w:r w:rsidR="00A70B5D">
              <w:t xml:space="preserve"> – Energy Efficiency</w:t>
            </w:r>
            <w:r w:rsidR="008F6AE6" w:rsidRPr="00BB7018">
              <w:t xml:space="preserve"> (up to </w:t>
            </w:r>
            <w:r w:rsidR="00A70B5D">
              <w:t>3</w:t>
            </w:r>
            <w:r w:rsidR="008F6AE6" w:rsidRPr="00BB7018">
              <w:t xml:space="preserve"> </w:t>
            </w:r>
            <w:r w:rsidR="001466E6">
              <w:t xml:space="preserve">incentive percentage </w:t>
            </w:r>
            <w:r w:rsidR="008F6AE6" w:rsidRPr="00BB7018">
              <w:t>points)</w:t>
            </w:r>
          </w:p>
          <w:p w14:paraId="34AE6A0B" w14:textId="34A3BBE4" w:rsidR="008F6AE6" w:rsidRPr="00BB7018" w:rsidRDefault="00AB4AF3" w:rsidP="00304D18">
            <w:pPr>
              <w:pStyle w:val="TableText"/>
            </w:pPr>
            <w:r>
              <w:t xml:space="preserve">(3) </w:t>
            </w:r>
            <w:r w:rsidR="0093779E">
              <w:t xml:space="preserve">Green Schools Program – Indoor Air Quality (up to 1 </w:t>
            </w:r>
            <w:r w:rsidR="001466E6">
              <w:t xml:space="preserve">incentive percentage </w:t>
            </w:r>
            <w:r w:rsidR="0093779E">
              <w:t>point)</w:t>
            </w:r>
          </w:p>
          <w:p w14:paraId="3E2DAF52" w14:textId="4B73D7F6" w:rsidR="0093779E" w:rsidRDefault="0043374F" w:rsidP="00304D18">
            <w:pPr>
              <w:pStyle w:val="TableText"/>
            </w:pPr>
            <w:r>
              <w:t xml:space="preserve">(4) </w:t>
            </w:r>
            <w:r w:rsidR="0093779E" w:rsidRPr="00BB7018">
              <w:t>Best Practices for Routine and Capital Maintenance (up to 2</w:t>
            </w:r>
            <w:r w:rsidR="00275892">
              <w:t xml:space="preserve"> incentive percentage</w:t>
            </w:r>
            <w:r w:rsidR="0093779E" w:rsidRPr="00BB7018">
              <w:t xml:space="preserve"> points)</w:t>
            </w:r>
            <w:r w:rsidR="0093779E">
              <w:t xml:space="preserve"> </w:t>
            </w:r>
          </w:p>
          <w:p w14:paraId="1FF0750D" w14:textId="41F876DD" w:rsidR="008F6AE6" w:rsidRPr="00BB7018" w:rsidRDefault="00311C5A" w:rsidP="00304D18">
            <w:pPr>
              <w:pStyle w:val="TableText"/>
            </w:pPr>
            <w:r>
              <w:t xml:space="preserve">(5) </w:t>
            </w:r>
            <w:r w:rsidR="0093779E" w:rsidRPr="00BB7018">
              <w:t>Overlay Zoning (M</w:t>
            </w:r>
            <w:r w:rsidR="0093779E">
              <w:t>.</w:t>
            </w:r>
            <w:r w:rsidR="0093779E" w:rsidRPr="00BB7018">
              <w:t>G</w:t>
            </w:r>
            <w:r w:rsidR="0093779E">
              <w:t>.</w:t>
            </w:r>
            <w:r w:rsidR="0093779E" w:rsidRPr="00BB7018">
              <w:t>L</w:t>
            </w:r>
            <w:r w:rsidR="0093779E">
              <w:t>.</w:t>
            </w:r>
            <w:r w:rsidR="0093779E" w:rsidRPr="00BB7018">
              <w:t xml:space="preserve"> 40R or 40S) (up to </w:t>
            </w:r>
            <w:r w:rsidR="0093779E">
              <w:t>1.5</w:t>
            </w:r>
            <w:r w:rsidR="0093779E" w:rsidRPr="00BB7018">
              <w:t xml:space="preserve"> </w:t>
            </w:r>
            <w:r w:rsidR="00275892">
              <w:t>incentive percentage</w:t>
            </w:r>
            <w:r w:rsidR="00275892" w:rsidRPr="00BB7018">
              <w:t xml:space="preserve"> </w:t>
            </w:r>
            <w:r w:rsidR="0093779E" w:rsidRPr="00BB7018">
              <w:t>points)</w:t>
            </w:r>
          </w:p>
          <w:p w14:paraId="6CE4C87A" w14:textId="54C36E96" w:rsidR="00E52FF8" w:rsidRPr="00BB7018" w:rsidRDefault="0010159A" w:rsidP="00304D18">
            <w:pPr>
              <w:pStyle w:val="TableText"/>
            </w:pPr>
            <w:r>
              <w:t xml:space="preserve">(6) </w:t>
            </w:r>
            <w:r w:rsidR="0093779E" w:rsidRPr="00BB7018">
              <w:t xml:space="preserve">Renovation/Re-use of Existing Facilities (up to 5 </w:t>
            </w:r>
            <w:r w:rsidR="00275892">
              <w:t>incentive percentage</w:t>
            </w:r>
            <w:r w:rsidR="00275892" w:rsidRPr="00BB7018">
              <w:t xml:space="preserve"> </w:t>
            </w:r>
            <w:r w:rsidR="0093779E" w:rsidRPr="00BB7018">
              <w:t>points)</w:t>
            </w:r>
          </w:p>
        </w:tc>
      </w:tr>
      <w:tr w:rsidR="008F6AE6" w:rsidRPr="00BB7018" w14:paraId="6DC51DCC" w14:textId="6D81AB59" w:rsidTr="0092315F">
        <w:trPr>
          <w:trHeight w:hRule="exact" w:val="1090"/>
        </w:trPr>
        <w:tc>
          <w:tcPr>
            <w:tcW w:w="357" w:type="dxa"/>
            <w:tcBorders>
              <w:top w:val="double" w:sz="4" w:space="0" w:color="auto"/>
            </w:tcBorders>
          </w:tcPr>
          <w:p w14:paraId="0EB9EFC7" w14:textId="77777777" w:rsidR="002349BE" w:rsidRDefault="002349BE" w:rsidP="00782CD2">
            <w:pPr>
              <w:rPr>
                <w:rFonts w:ascii="Arial" w:hAnsi="Arial" w:cs="Arial"/>
                <w:sz w:val="24"/>
              </w:rPr>
            </w:pPr>
          </w:p>
          <w:p w14:paraId="445AE30C" w14:textId="0D68F634" w:rsidR="008F6AE6" w:rsidRPr="00BB7018" w:rsidRDefault="008F6AE6" w:rsidP="00782CD2">
            <w:pPr>
              <w:rPr>
                <w:rFonts w:ascii="Arial" w:hAnsi="Arial" w:cs="Arial"/>
                <w:sz w:val="24"/>
              </w:rPr>
            </w:pPr>
            <w:r w:rsidRPr="00BB7018">
              <w:rPr>
                <w:rFonts w:ascii="Arial" w:hAnsi="Arial" w:cs="Arial"/>
                <w:sz w:val="24"/>
              </w:rPr>
              <w:t>=</w:t>
            </w:r>
          </w:p>
        </w:tc>
        <w:tc>
          <w:tcPr>
            <w:tcW w:w="8888" w:type="dxa"/>
            <w:gridSpan w:val="2"/>
            <w:tcBorders>
              <w:top w:val="double" w:sz="4" w:space="0" w:color="auto"/>
            </w:tcBorders>
            <w:vAlign w:val="center"/>
          </w:tcPr>
          <w:p w14:paraId="78AB62B5" w14:textId="47B30C50" w:rsidR="00BB7018" w:rsidRDefault="008F6AE6" w:rsidP="00304D18">
            <w:pPr>
              <w:pStyle w:val="TableText"/>
            </w:pPr>
            <w:r w:rsidRPr="00BB7018">
              <w:t xml:space="preserve">MSBA Reimbursement Rate </w:t>
            </w:r>
            <w:r w:rsidR="00645C1A" w:rsidRPr="00BB7018">
              <w:t>(</w:t>
            </w:r>
            <w:r w:rsidR="00645C1A">
              <w:t>Percent</w:t>
            </w:r>
            <w:r w:rsidR="00645C1A" w:rsidRPr="00BB7018">
              <w:t xml:space="preserve"> </w:t>
            </w:r>
            <w:r w:rsidRPr="00BB7018">
              <w:t xml:space="preserve">of </w:t>
            </w:r>
            <w:r w:rsidR="00333D88">
              <w:t>eligible</w:t>
            </w:r>
            <w:r w:rsidR="003D353E">
              <w:t xml:space="preserve"> </w:t>
            </w:r>
            <w:r w:rsidR="003C44B5">
              <w:t>c</w:t>
            </w:r>
            <w:r w:rsidRPr="00BB7018">
              <w:t>ost</w:t>
            </w:r>
            <w:r w:rsidR="003C44B5">
              <w:t>s</w:t>
            </w:r>
            <w:r w:rsidRPr="00BB7018">
              <w:t>)</w:t>
            </w:r>
            <w:r w:rsidR="00611531" w:rsidRPr="00BB7018">
              <w:t>*</w:t>
            </w:r>
          </w:p>
          <w:p w14:paraId="2297734A" w14:textId="443A4064" w:rsidR="00611531" w:rsidRPr="002349BE" w:rsidRDefault="00611531" w:rsidP="00303DA4">
            <w:pPr>
              <w:rPr>
                <w:rFonts w:ascii="Arial" w:hAnsi="Arial" w:cs="Arial"/>
                <w:i/>
                <w:iCs/>
                <w:sz w:val="24"/>
              </w:rPr>
            </w:pPr>
            <w:r w:rsidRPr="002349BE">
              <w:rPr>
                <w:rFonts w:ascii="Arial" w:hAnsi="Arial" w:cs="Arial"/>
                <w:i/>
                <w:iCs/>
                <w:sz w:val="20"/>
                <w:szCs w:val="20"/>
              </w:rPr>
              <w:t xml:space="preserve">*No MSBA grant can exceed 80 percent of </w:t>
            </w:r>
            <w:r w:rsidR="003C44B5">
              <w:rPr>
                <w:rFonts w:ascii="Arial" w:hAnsi="Arial" w:cs="Arial"/>
                <w:i/>
                <w:iCs/>
                <w:sz w:val="20"/>
                <w:szCs w:val="20"/>
              </w:rPr>
              <w:t>eligible costs</w:t>
            </w:r>
            <w:r w:rsidRPr="002349BE">
              <w:rPr>
                <w:rFonts w:ascii="Arial" w:hAnsi="Arial" w:cs="Arial"/>
                <w:i/>
                <w:iCs/>
                <w:sz w:val="20"/>
                <w:szCs w:val="20"/>
              </w:rPr>
              <w:t>.</w:t>
            </w:r>
          </w:p>
        </w:tc>
      </w:tr>
    </w:tbl>
    <w:p w14:paraId="2A30CE2D" w14:textId="05132A41" w:rsidR="00FF1C0B" w:rsidRDefault="00FF1C0B" w:rsidP="001C7888">
      <w:pPr>
        <w:pStyle w:val="Heading2"/>
      </w:pPr>
      <w:bookmarkStart w:id="48" w:name="_Toc171518356"/>
      <w:bookmarkStart w:id="49" w:name="_Toc171519309"/>
      <w:bookmarkStart w:id="50" w:name="_Toc193116885"/>
      <w:r>
        <w:t>Act</w:t>
      </w:r>
      <w:r w:rsidR="004D02DC">
        <w:t>s of</w:t>
      </w:r>
      <w:r>
        <w:t xml:space="preserve"> 2022, Chapter 179, Section 83</w:t>
      </w:r>
      <w:bookmarkEnd w:id="48"/>
      <w:bookmarkEnd w:id="49"/>
      <w:bookmarkEnd w:id="50"/>
    </w:p>
    <w:p w14:paraId="2E734DB4" w14:textId="216D7C78" w:rsidR="0067550C" w:rsidRDefault="008237A2" w:rsidP="006D7DE6">
      <w:pPr>
        <w:pStyle w:val="BodyTextFirstIndent"/>
      </w:pPr>
      <w:r>
        <w:t>Chapter 179 of the Acts of 2022</w:t>
      </w:r>
      <w:r w:rsidR="00771560">
        <w:t xml:space="preserve"> </w:t>
      </w:r>
      <w:r w:rsidR="00F500A9">
        <w:t xml:space="preserve">is a comprehensive climate-focused bill that </w:t>
      </w:r>
      <w:r w:rsidR="000C1352">
        <w:t>will help Massachusetts toward its goal o</w:t>
      </w:r>
      <w:r w:rsidR="00653367">
        <w:t>f net zero greenhouse gas (GHG) emissions by 2050</w:t>
      </w:r>
      <w:r w:rsidR="00A531D8">
        <w:t xml:space="preserve"> via clean energy production</w:t>
      </w:r>
      <w:r w:rsidR="001D2DEF">
        <w:t>, battery storage, and electrification of buildings and the transportation sector.</w:t>
      </w:r>
      <w:r w:rsidR="001D2DEF">
        <w:fldChar w:fldCharType="begin"/>
      </w:r>
      <w:r w:rsidR="00223023">
        <w:instrText xml:space="preserve"> ADDIN ZOTERO_ITEM CSL_CITATION {"citationID":"cgCF36t1","properties":{"formattedCitation":"\\super 32\\nosupersub{}","plainCitation":"32","noteIndex":0},"citationItems":[{"id":404,"uris":["http://zotero.org/groups/5563646/items/FXQDAQRW"],"itemData":{"id":404,"type":"webpage","title":"Session Law - Acts of 2022 Chapter 179","URL":"https://malegislature.gov/Laws/SessionLaws/Acts/2022/Chapter179","author":[{"family":"The General Court of the Commonwealth of Massachusetts","given":""}],"accessed":{"date-parts":[["2024",6,26]]},"issued":{"date-parts":[["2022",8,11]]}}}],"schema":"https://github.com/citation-style-language/schema/raw/master/csl-citation.json"} </w:instrText>
      </w:r>
      <w:r w:rsidR="001D2DEF">
        <w:fldChar w:fldCharType="separate"/>
      </w:r>
      <w:r w:rsidR="00223023" w:rsidRPr="00223023">
        <w:rPr>
          <w:rFonts w:cs="Arial"/>
          <w:vertAlign w:val="superscript"/>
        </w:rPr>
        <w:t>32</w:t>
      </w:r>
      <w:r w:rsidR="001D2DEF">
        <w:fldChar w:fldCharType="end"/>
      </w:r>
      <w:r w:rsidR="00736C6B">
        <w:t xml:space="preserve"> Section 83</w:t>
      </w:r>
      <w:r w:rsidR="007C2AD5">
        <w:t xml:space="preserve"> </w:t>
      </w:r>
      <w:r w:rsidR="00B6107C">
        <w:t>specific</w:t>
      </w:r>
      <w:r w:rsidR="00D6205F">
        <w:t>ally</w:t>
      </w:r>
      <w:r w:rsidR="00B6107C">
        <w:t xml:space="preserve"> focus</w:t>
      </w:r>
      <w:r w:rsidR="00D6205F">
        <w:t>es</w:t>
      </w:r>
      <w:r w:rsidR="00B6107C">
        <w:t xml:space="preserve"> on </w:t>
      </w:r>
      <w:r w:rsidR="0030660D">
        <w:t>creating sustainable and health</w:t>
      </w:r>
      <w:r w:rsidR="00F649E1">
        <w:t>y</w:t>
      </w:r>
      <w:r w:rsidR="0030660D">
        <w:t xml:space="preserve"> learning environments</w:t>
      </w:r>
      <w:r w:rsidR="00AA6ED8">
        <w:t xml:space="preserve"> in </w:t>
      </w:r>
      <w:r w:rsidR="00264676">
        <w:t>public elementary and secondary schools across the Commonwealth</w:t>
      </w:r>
      <w:r w:rsidR="003449E2">
        <w:t>. Section 83</w:t>
      </w:r>
      <w:r w:rsidR="009E6948">
        <w:t>,</w:t>
      </w:r>
      <w:r w:rsidR="003449E2">
        <w:t xml:space="preserve"> </w:t>
      </w:r>
      <w:r w:rsidR="00A53157">
        <w:t>in particular</w:t>
      </w:r>
      <w:r w:rsidR="009E6948">
        <w:t>,</w:t>
      </w:r>
      <w:r w:rsidR="00A53157">
        <w:t xml:space="preserve"> </w:t>
      </w:r>
      <w:r w:rsidR="003449E2">
        <w:t>requires</w:t>
      </w:r>
      <w:r w:rsidR="003836C9">
        <w:t xml:space="preserve"> two primary actions:</w:t>
      </w:r>
    </w:p>
    <w:p w14:paraId="5CA71EBA" w14:textId="29194FDE" w:rsidR="003836C9" w:rsidRPr="007E41FE" w:rsidRDefault="00916AA2" w:rsidP="007E41FE">
      <w:pPr>
        <w:pStyle w:val="ListNumber"/>
        <w:numPr>
          <w:ilvl w:val="0"/>
          <w:numId w:val="33"/>
        </w:numPr>
      </w:pPr>
      <w:r w:rsidRPr="007E41FE">
        <w:lastRenderedPageBreak/>
        <w:t xml:space="preserve">The </w:t>
      </w:r>
      <w:r w:rsidR="003836C9" w:rsidRPr="007E41FE">
        <w:t>MSBA is required to</w:t>
      </w:r>
      <w:r w:rsidR="00D90C57" w:rsidRPr="007E41FE">
        <w:t xml:space="preserve"> “conduct an assessment of elementary and secondary school buildings relative to energy efficiency, building conditions, safety, and public health”</w:t>
      </w:r>
      <w:r w:rsidR="00DA53B9" w:rsidRPr="007E41FE">
        <w:t xml:space="preserve"> that includes</w:t>
      </w:r>
      <w:r w:rsidR="0074556E" w:rsidRPr="007E41FE">
        <w:t xml:space="preserve"> “cataloging the age and condition of any building systems relying on the on-site combustion of fossil fuel</w:t>
      </w:r>
      <w:r w:rsidR="00A156C9" w:rsidRPr="007E41FE">
        <w:t>s</w:t>
      </w:r>
      <w:r w:rsidR="00087E57" w:rsidRPr="007E41FE">
        <w:t xml:space="preserve">. </w:t>
      </w:r>
      <w:r w:rsidR="000D1934" w:rsidRPr="007E41FE">
        <w:t xml:space="preserve">The assessment shall be conducted in coordination with ongoing assessments or surveys of the authority. </w:t>
      </w:r>
      <w:r w:rsidR="00521265" w:rsidRPr="007E41FE">
        <w:t>T</w:t>
      </w:r>
      <w:r w:rsidR="000D1934" w:rsidRPr="007E41FE">
        <w:t>he authority shall determine the means of conducting the assessment which may include a representative sample of schools. In planning said assessment, the authority shall consult with the department of public health, the department of elementary and secondary education and the department of energy resources.</w:t>
      </w:r>
      <w:r w:rsidR="008368AB" w:rsidRPr="007E41FE">
        <w:t>”</w:t>
      </w:r>
    </w:p>
    <w:p w14:paraId="6D30035E" w14:textId="134595C2" w:rsidR="0074556E" w:rsidRDefault="00984C59" w:rsidP="007E41FE">
      <w:pPr>
        <w:pStyle w:val="ListNumber"/>
      </w:pPr>
      <w:r w:rsidRPr="007E41FE">
        <w:t xml:space="preserve">DPH is required to draft and issue a report on </w:t>
      </w:r>
      <w:r w:rsidR="000C618F" w:rsidRPr="007E41FE">
        <w:t xml:space="preserve">“methods, best practices, and standards for achieving green and healthy schools strategies to </w:t>
      </w:r>
      <w:r w:rsidR="00EF3E04" w:rsidRPr="007E41FE">
        <w:t xml:space="preserve">for </w:t>
      </w:r>
      <w:r w:rsidR="000C618F" w:rsidRPr="007E41FE">
        <w:t>(sic) the students of the commonwealth</w:t>
      </w:r>
      <w:r w:rsidR="009F1668" w:rsidRPr="007E41FE">
        <w:t>”</w:t>
      </w:r>
      <w:r w:rsidR="00B70093" w:rsidRPr="007E41FE">
        <w:t xml:space="preserve"> and include </w:t>
      </w:r>
      <w:r w:rsidR="00345E16" w:rsidRPr="007E41FE">
        <w:t>cost estimates for implementing its recommendations cost-effective</w:t>
      </w:r>
      <w:r w:rsidR="00D6205F" w:rsidRPr="007E41FE">
        <w:t>ly</w:t>
      </w:r>
      <w:r w:rsidR="00345E16" w:rsidRPr="007E41FE">
        <w:t xml:space="preserve">. The legislation provides DPH latitude to </w:t>
      </w:r>
      <w:r w:rsidR="00D13CDF" w:rsidRPr="007E41FE">
        <w:t xml:space="preserve">optionally </w:t>
      </w:r>
      <w:r w:rsidR="00A911D4" w:rsidRPr="007E41FE">
        <w:t>include</w:t>
      </w:r>
      <w:r w:rsidR="00D13CDF" w:rsidRPr="007E41FE">
        <w:t xml:space="preserve"> the following content as part of the report:</w:t>
      </w:r>
    </w:p>
    <w:p w14:paraId="0448C75E" w14:textId="08FADE1D" w:rsidR="00D13CDF" w:rsidRDefault="00D13CDF" w:rsidP="0073680D">
      <w:pPr>
        <w:pStyle w:val="ListLetter"/>
      </w:pPr>
      <w:r>
        <w:t>Increasing energy efficiency</w:t>
      </w:r>
    </w:p>
    <w:p w14:paraId="22202827" w14:textId="7DE950B3" w:rsidR="00D13CDF" w:rsidRDefault="00DE42DD" w:rsidP="0073680D">
      <w:pPr>
        <w:pStyle w:val="ListLetter"/>
      </w:pPr>
      <w:r>
        <w:t>Increasing electrification</w:t>
      </w:r>
    </w:p>
    <w:p w14:paraId="13387177" w14:textId="1F864BAD" w:rsidR="00DE42DD" w:rsidRDefault="00DE42DD" w:rsidP="0073680D">
      <w:pPr>
        <w:pStyle w:val="ListLetter"/>
      </w:pPr>
      <w:r>
        <w:t>Shifting to fossil-free fuels</w:t>
      </w:r>
    </w:p>
    <w:p w14:paraId="7743E360" w14:textId="51D5EE2A" w:rsidR="00735BCD" w:rsidRDefault="00735BCD" w:rsidP="0073680D">
      <w:pPr>
        <w:pStyle w:val="ListLetter"/>
      </w:pPr>
      <w:r>
        <w:t>Efficient use of resources (e.g., low-flow water fixtures)</w:t>
      </w:r>
    </w:p>
    <w:p w14:paraId="7EFA4F18" w14:textId="23880298" w:rsidR="00735BCD" w:rsidRDefault="00735BCD" w:rsidP="0073680D">
      <w:pPr>
        <w:pStyle w:val="ListLetter"/>
      </w:pPr>
      <w:r>
        <w:t>Improving water and air quality</w:t>
      </w:r>
    </w:p>
    <w:p w14:paraId="29D3C8F6" w14:textId="578CE7DA" w:rsidR="00984F35" w:rsidRDefault="00984F35" w:rsidP="0073680D">
      <w:pPr>
        <w:pStyle w:val="ListLetter"/>
      </w:pPr>
      <w:r>
        <w:t>Improving ventilation and air circulation systems</w:t>
      </w:r>
    </w:p>
    <w:p w14:paraId="5D9FB142" w14:textId="0496A8A4" w:rsidR="00984F35" w:rsidRDefault="00984F35" w:rsidP="0073680D">
      <w:pPr>
        <w:pStyle w:val="ListLetter"/>
      </w:pPr>
      <w:r>
        <w:t>Maintaining thermal comfort</w:t>
      </w:r>
      <w:r w:rsidR="00A35821">
        <w:t>, humidity, and temperature controls</w:t>
      </w:r>
    </w:p>
    <w:p w14:paraId="4F83A736" w14:textId="2D6BAC30" w:rsidR="00A35821" w:rsidRDefault="00A35821" w:rsidP="0073680D">
      <w:pPr>
        <w:pStyle w:val="ListLetter"/>
      </w:pPr>
      <w:r>
        <w:t>Recommendations to prioritize schools</w:t>
      </w:r>
      <w:r w:rsidR="0006477D">
        <w:t xml:space="preserve"> with the greatest needs</w:t>
      </w:r>
    </w:p>
    <w:p w14:paraId="119DB144" w14:textId="3E3F0FCA" w:rsidR="0006477D" w:rsidRDefault="00D22BA6" w:rsidP="0073680D">
      <w:pPr>
        <w:pStyle w:val="ListLetter"/>
      </w:pPr>
      <w:r>
        <w:t>U</w:t>
      </w:r>
      <w:r w:rsidR="0006477D">
        <w:t>nique environmental</w:t>
      </w:r>
      <w:r w:rsidR="0065655E" w:rsidRPr="0065655E">
        <w:t xml:space="preserve"> differences of schools located in urban, industrial, rural</w:t>
      </w:r>
      <w:r w:rsidR="0073680D">
        <w:t>,</w:t>
      </w:r>
      <w:r w:rsidR="0065655E" w:rsidRPr="0065655E">
        <w:t xml:space="preserve"> and other areas facing site challenges</w:t>
      </w:r>
    </w:p>
    <w:p w14:paraId="563B9409" w14:textId="00D9D1D0" w:rsidR="00A911D4" w:rsidRDefault="47F1FE55" w:rsidP="0073680D">
      <w:pPr>
        <w:pStyle w:val="ListLetter"/>
      </w:pPr>
      <w:r>
        <w:t>T</w:t>
      </w:r>
      <w:r w:rsidR="4589D3AF">
        <w:t>he need to address historic</w:t>
      </w:r>
      <w:r w:rsidR="042F4787">
        <w:t>al</w:t>
      </w:r>
      <w:r w:rsidR="4589D3AF">
        <w:t xml:space="preserve"> patterns of inequity in education and schools</w:t>
      </w:r>
      <w:r w:rsidR="0073680D">
        <w:t>,</w:t>
      </w:r>
      <w:r w:rsidR="4589D3AF">
        <w:t xml:space="preserve"> including, but not limited to, patterns of inequity involving students in special education programs</w:t>
      </w:r>
    </w:p>
    <w:p w14:paraId="67C3D7A0" w14:textId="0A64A7E5" w:rsidR="00D22BA6" w:rsidRPr="00D13CDF" w:rsidRDefault="00041732" w:rsidP="0073680D">
      <w:pPr>
        <w:pStyle w:val="ListLetter"/>
      </w:pPr>
      <w:r>
        <w:t>Other actions DPH may determine</w:t>
      </w:r>
    </w:p>
    <w:p w14:paraId="18265BBE" w14:textId="77777777" w:rsidR="001D1B0E" w:rsidRDefault="001D1B0E" w:rsidP="001C7888">
      <w:pPr>
        <w:pStyle w:val="Heading2"/>
      </w:pPr>
      <w:bookmarkStart w:id="51" w:name="_Toc193116886"/>
      <w:bookmarkStart w:id="52" w:name="_Toc171518357"/>
      <w:bookmarkStart w:id="53" w:name="_Toc171519310"/>
      <w:r>
        <w:t>The Critical Need for Green and Healthy Schools</w:t>
      </w:r>
      <w:bookmarkEnd w:id="51"/>
    </w:p>
    <w:p w14:paraId="38F6C996" w14:textId="2B0CF177" w:rsidR="009B0F5E" w:rsidRDefault="001D1B0E" w:rsidP="006D7DE6">
      <w:pPr>
        <w:pStyle w:val="BodyTextFirstIndent"/>
      </w:pPr>
      <w:r>
        <w:t>The numerous methods and best practices for achieving green and healthy schools</w:t>
      </w:r>
      <w:r w:rsidR="003E4C8E">
        <w:t xml:space="preserve"> </w:t>
      </w:r>
      <w:r>
        <w:t xml:space="preserve">outlined in this report are </w:t>
      </w:r>
      <w:r w:rsidR="00C12CD8">
        <w:t>interconnected and promote vibrant, just, inspiring, engaging, healthy, and high-performing schools and surrounding communities</w:t>
      </w:r>
      <w:r w:rsidR="004F29CB">
        <w:t>.</w:t>
      </w:r>
      <w:r w:rsidR="005E41FF">
        <w:fldChar w:fldCharType="begin"/>
      </w:r>
      <w:r w:rsidR="00223023">
        <w:instrText xml:space="preserve"> ADDIN ZOTERO_ITEM CSL_CITATION {"citationID":"aconhec8ck","properties":{"formattedCitation":"\\super 33\\nosupersub{}","plainCitation":"33","noteIndex":0},"citationItems":[{"id":1172,"uris":["http://zotero.org/groups/5563646/items/LPEKQKMT"],"itemData":{"id":1172,"type":"webpage","abstract":"The Green &amp; Healthy Schools Academy promotes vibrant, just, inspiring, engaging, healthy, and high performing schools and communities through programs and engagement with educators, administrators, students, and community members.","language":"en-US","title":"Green &amp; Healthy Schools Academy - Green Building Alliance","URL":"https://www.gba.org/initiatives/green-healthy-schools-academy/","author":[{"literal":"Alliance"}],"accessed":{"date-parts":[["2024",12,12]]}}}],"schema":"https://github.com/citation-style-language/schema/raw/master/csl-citation.json"} </w:instrText>
      </w:r>
      <w:r w:rsidR="005E41FF">
        <w:fldChar w:fldCharType="separate"/>
      </w:r>
      <w:r w:rsidR="00223023" w:rsidRPr="00223023">
        <w:rPr>
          <w:rFonts w:cs="Arial"/>
          <w:vertAlign w:val="superscript"/>
        </w:rPr>
        <w:t>33</w:t>
      </w:r>
      <w:r w:rsidR="005E41FF">
        <w:fldChar w:fldCharType="end"/>
      </w:r>
      <w:r w:rsidR="00A37470">
        <w:t xml:space="preserve"> </w:t>
      </w:r>
      <w:r w:rsidR="002A1A55">
        <w:t>Man</w:t>
      </w:r>
      <w:r w:rsidR="00AB20D0">
        <w:t>y of the strategies for achieving green schools</w:t>
      </w:r>
      <w:r w:rsidR="0070645A">
        <w:t xml:space="preserve"> </w:t>
      </w:r>
      <w:r w:rsidR="001148A3">
        <w:t>provid</w:t>
      </w:r>
      <w:r w:rsidR="00AB20D0">
        <w:t>e</w:t>
      </w:r>
      <w:r w:rsidR="001148A3">
        <w:t xml:space="preserve"> critical </w:t>
      </w:r>
      <w:r w:rsidR="0070645A">
        <w:t>support</w:t>
      </w:r>
      <w:r w:rsidR="001148A3">
        <w:t xml:space="preserve"> to</w:t>
      </w:r>
      <w:r w:rsidR="0070645A">
        <w:t xml:space="preserve"> the Commonwealth’s goal of net zero</w:t>
      </w:r>
      <w:r w:rsidR="004F29CB">
        <w:t xml:space="preserve"> </w:t>
      </w:r>
      <w:r w:rsidR="0070645A">
        <w:t>GHG emissions by 2050</w:t>
      </w:r>
      <w:r w:rsidR="00221B51">
        <w:t xml:space="preserve">. </w:t>
      </w:r>
      <w:r w:rsidR="00635099">
        <w:t>A</w:t>
      </w:r>
      <w:r w:rsidR="0073680D">
        <w:t>dditionally</w:t>
      </w:r>
      <w:r w:rsidR="00221B51">
        <w:t>,</w:t>
      </w:r>
      <w:r w:rsidR="00420773">
        <w:t xml:space="preserve"> by applying an equity lens</w:t>
      </w:r>
      <w:r w:rsidR="001148A3">
        <w:t xml:space="preserve"> to </w:t>
      </w:r>
      <w:r w:rsidR="00157752">
        <w:t>the implementation of the strategies in this report</w:t>
      </w:r>
      <w:r w:rsidR="00DC1903">
        <w:t>,</w:t>
      </w:r>
      <w:r w:rsidR="00157752">
        <w:t xml:space="preserve"> school</w:t>
      </w:r>
      <w:r w:rsidR="003E5C4D">
        <w:t xml:space="preserve"> districts can address </w:t>
      </w:r>
      <w:r w:rsidR="00190457">
        <w:t xml:space="preserve">disparities in </w:t>
      </w:r>
      <w:r w:rsidR="001F405A">
        <w:t xml:space="preserve">the </w:t>
      </w:r>
      <w:r w:rsidR="00190457">
        <w:t xml:space="preserve">health and educational outcomes </w:t>
      </w:r>
      <w:r w:rsidR="0069173E">
        <w:t>of students from underserved and marginalized communities</w:t>
      </w:r>
      <w:r w:rsidR="00806441">
        <w:t xml:space="preserve"> that have resulted from historical </w:t>
      </w:r>
      <w:r w:rsidR="00184232">
        <w:t>structural racism</w:t>
      </w:r>
      <w:r w:rsidR="00E26A3B">
        <w:t>.</w:t>
      </w:r>
    </w:p>
    <w:p w14:paraId="75B08E8E" w14:textId="26AE6E1C" w:rsidR="003D687D" w:rsidRDefault="008D3FB1" w:rsidP="006D7DE6">
      <w:pPr>
        <w:pStyle w:val="BodyTextFirstIndent"/>
      </w:pPr>
      <w:r>
        <w:lastRenderedPageBreak/>
        <w:t>While the path ahead</w:t>
      </w:r>
      <w:r w:rsidR="00354BC3">
        <w:t xml:space="preserve"> is filled with</w:t>
      </w:r>
      <w:r w:rsidR="005750B1">
        <w:t xml:space="preserve"> </w:t>
      </w:r>
      <w:r w:rsidR="00354BC3">
        <w:t>opportunities,</w:t>
      </w:r>
      <w:r w:rsidR="00C33748">
        <w:t xml:space="preserve"> </w:t>
      </w:r>
      <w:r w:rsidR="009D4F2B">
        <w:t xml:space="preserve">there are numerous challenges that school districts will </w:t>
      </w:r>
      <w:r w:rsidR="00E54004">
        <w:t>likely</w:t>
      </w:r>
      <w:r w:rsidR="009D4F2B">
        <w:t xml:space="preserve"> face. </w:t>
      </w:r>
      <w:r w:rsidR="00060EF7">
        <w:t>T</w:t>
      </w:r>
      <w:r w:rsidR="00652066">
        <w:t xml:space="preserve">here are many </w:t>
      </w:r>
      <w:r w:rsidR="00212EBF">
        <w:t>strategies that schools can implement with relatively low cost</w:t>
      </w:r>
      <w:r w:rsidR="0059228D">
        <w:t>s and human resource burdens</w:t>
      </w:r>
      <w:r w:rsidR="009064D6">
        <w:t>. M</w:t>
      </w:r>
      <w:r w:rsidR="00060EF7">
        <w:t>any of the more impactful strategies</w:t>
      </w:r>
      <w:r w:rsidR="009064D6">
        <w:t xml:space="preserve">, however, will require significant </w:t>
      </w:r>
      <w:r w:rsidR="0059228D">
        <w:t>financial</w:t>
      </w:r>
      <w:r w:rsidR="00DE59C2">
        <w:t xml:space="preserve"> resources, technical expertise, and </w:t>
      </w:r>
      <w:r w:rsidR="00F7017C">
        <w:t>human resources</w:t>
      </w:r>
      <w:r w:rsidR="008A0083">
        <w:t xml:space="preserve"> to initiate, plan,</w:t>
      </w:r>
      <w:r w:rsidR="00356DCB">
        <w:t xml:space="preserve"> </w:t>
      </w:r>
      <w:r w:rsidR="008A0083">
        <w:t>implement</w:t>
      </w:r>
      <w:r w:rsidR="00356DCB">
        <w:t>, and sustain</w:t>
      </w:r>
      <w:r w:rsidR="00CD7B78">
        <w:t>.</w:t>
      </w:r>
      <w:r w:rsidR="006F0C91">
        <w:t xml:space="preserve"> </w:t>
      </w:r>
    </w:p>
    <w:p w14:paraId="531688BB" w14:textId="0387C937" w:rsidR="0067550C" w:rsidRDefault="0067550C" w:rsidP="001C7888">
      <w:pPr>
        <w:pStyle w:val="Heading2"/>
      </w:pPr>
      <w:bookmarkStart w:id="54" w:name="_Toc193116887"/>
      <w:r>
        <w:t>Purpose</w:t>
      </w:r>
      <w:bookmarkEnd w:id="52"/>
      <w:bookmarkEnd w:id="53"/>
      <w:bookmarkEnd w:id="54"/>
    </w:p>
    <w:p w14:paraId="1D5DA022" w14:textId="1491B98B" w:rsidR="0067550C" w:rsidRDefault="57E11F72" w:rsidP="006D7DE6">
      <w:pPr>
        <w:pStyle w:val="BodyTextFirstIndent"/>
      </w:pPr>
      <w:r>
        <w:t>DPH</w:t>
      </w:r>
      <w:r w:rsidR="3362D4B1">
        <w:t xml:space="preserve"> </w:t>
      </w:r>
      <w:r w:rsidR="5D6E67F5">
        <w:t>identified</w:t>
      </w:r>
      <w:r w:rsidR="3362D4B1">
        <w:t xml:space="preserve"> </w:t>
      </w:r>
      <w:r w:rsidR="56C26B88">
        <w:t>its</w:t>
      </w:r>
      <w:r w:rsidR="3362D4B1">
        <w:t xml:space="preserve"> </w:t>
      </w:r>
      <w:r>
        <w:t>Bureau of Climate and Environmental Health (BCEH)</w:t>
      </w:r>
      <w:r w:rsidR="3362D4B1">
        <w:t xml:space="preserve"> </w:t>
      </w:r>
      <w:r w:rsidR="4960B80E">
        <w:t>to lead</w:t>
      </w:r>
      <w:r w:rsidR="56C26B88">
        <w:t xml:space="preserve"> the development of this report</w:t>
      </w:r>
      <w:r w:rsidR="41B0B9D4">
        <w:t xml:space="preserve"> to </w:t>
      </w:r>
      <w:r w:rsidR="79576235">
        <w:t>respond to and comply</w:t>
      </w:r>
      <w:r w:rsidR="41B0B9D4">
        <w:t xml:space="preserve"> with the requirements outlined in</w:t>
      </w:r>
      <w:r w:rsidR="7D974F75">
        <w:t xml:space="preserve"> the</w:t>
      </w:r>
      <w:r w:rsidR="41B0B9D4">
        <w:t xml:space="preserve"> Act</w:t>
      </w:r>
      <w:r w:rsidR="7D974F75">
        <w:t>s of</w:t>
      </w:r>
      <w:r w:rsidR="41B0B9D4">
        <w:t xml:space="preserve"> 2022, Chapter 179, Section 83.</w:t>
      </w:r>
      <w:r w:rsidR="500FB907">
        <w:t xml:space="preserve"> </w:t>
      </w:r>
      <w:r w:rsidR="00635099">
        <w:t xml:space="preserve">In addition to </w:t>
      </w:r>
      <w:r w:rsidR="226C91AE">
        <w:t>respond</w:t>
      </w:r>
      <w:r w:rsidR="291555F6">
        <w:t xml:space="preserve">ing to this legislative requirement, DPH also </w:t>
      </w:r>
      <w:r w:rsidR="00386A70">
        <w:t xml:space="preserve">aims </w:t>
      </w:r>
      <w:r w:rsidR="291555F6">
        <w:t xml:space="preserve">to use this report to </w:t>
      </w:r>
      <w:r w:rsidR="43231B12">
        <w:t>provide</w:t>
      </w:r>
      <w:r w:rsidR="28CD8642">
        <w:t xml:space="preserve"> actionable information </w:t>
      </w:r>
      <w:r w:rsidR="49180FA2">
        <w:t>for</w:t>
      </w:r>
      <w:r w:rsidR="28CD8642">
        <w:t xml:space="preserve"> schools, school districts, municipalities</w:t>
      </w:r>
      <w:r w:rsidR="354F9D0E">
        <w:t>, and other</w:t>
      </w:r>
      <w:r w:rsidR="131473B7">
        <w:t xml:space="preserve"> interested parties </w:t>
      </w:r>
      <w:r w:rsidR="16F56B92">
        <w:t>who</w:t>
      </w:r>
      <w:r w:rsidR="131473B7">
        <w:t xml:space="preserve"> share </w:t>
      </w:r>
      <w:r w:rsidR="16F56B92">
        <w:t xml:space="preserve">an </w:t>
      </w:r>
      <w:r w:rsidR="131473B7">
        <w:t xml:space="preserve">interest in </w:t>
      </w:r>
      <w:r w:rsidR="39AF0332">
        <w:t>creating</w:t>
      </w:r>
      <w:r w:rsidR="15B7155D">
        <w:t xml:space="preserve"> and fostering</w:t>
      </w:r>
      <w:r w:rsidR="39AF0332">
        <w:t xml:space="preserve"> </w:t>
      </w:r>
      <w:r w:rsidR="273AE629">
        <w:t xml:space="preserve">sustainable, healthy, and equitable learning environments for all students in the Commonwealth. </w:t>
      </w:r>
      <w:r w:rsidR="3362D4B1">
        <w:t xml:space="preserve"> </w:t>
      </w:r>
    </w:p>
    <w:p w14:paraId="61F53010" w14:textId="70BBCEF6" w:rsidR="0067550C" w:rsidRDefault="0067550C" w:rsidP="001C7888">
      <w:pPr>
        <w:pStyle w:val="Heading2"/>
      </w:pPr>
      <w:bookmarkStart w:id="55" w:name="_Toc171518358"/>
      <w:bookmarkStart w:id="56" w:name="_Toc171519311"/>
      <w:bookmarkStart w:id="57" w:name="_Toc193116888"/>
      <w:r>
        <w:t>Scope</w:t>
      </w:r>
      <w:bookmarkEnd w:id="55"/>
      <w:bookmarkEnd w:id="56"/>
      <w:bookmarkEnd w:id="57"/>
    </w:p>
    <w:p w14:paraId="0C8B232A" w14:textId="508767DC" w:rsidR="00F64C4E" w:rsidRDefault="00F64C4E" w:rsidP="006D7DE6">
      <w:pPr>
        <w:pStyle w:val="BodyTextFirstIndent"/>
      </w:pPr>
      <w:r>
        <w:t xml:space="preserve">The scope of this report is “traditional” </w:t>
      </w:r>
      <w:r w:rsidR="00243A9D">
        <w:t xml:space="preserve">public </w:t>
      </w:r>
      <w:r>
        <w:t xml:space="preserve">elementary and secondary </w:t>
      </w:r>
      <w:r w:rsidR="00E637D7">
        <w:t>schools and</w:t>
      </w:r>
      <w:r w:rsidR="008B195E">
        <w:t xml:space="preserve"> attempt</w:t>
      </w:r>
      <w:r w:rsidR="00352E2E">
        <w:t xml:space="preserve">s </w:t>
      </w:r>
      <w:r>
        <w:t xml:space="preserve">to </w:t>
      </w:r>
      <w:r w:rsidR="00352E2E">
        <w:t>cover</w:t>
      </w:r>
      <w:r>
        <w:t xml:space="preserve"> the topics most relevant to the </w:t>
      </w:r>
      <w:r w:rsidR="00E315C5">
        <w:t xml:space="preserve">most significant </w:t>
      </w:r>
      <w:r>
        <w:t xml:space="preserve">portion of public elementary and secondary schools in the Commonwealth. </w:t>
      </w:r>
      <w:r w:rsidR="00352E2E">
        <w:t>T</w:t>
      </w:r>
      <w:r>
        <w:t>h</w:t>
      </w:r>
      <w:r w:rsidR="00352E2E">
        <w:t>is</w:t>
      </w:r>
      <w:r>
        <w:t xml:space="preserve"> report does not provide methods, best practices, or standards </w:t>
      </w:r>
      <w:r w:rsidR="00E315C5">
        <w:t xml:space="preserve">tailored </w:t>
      </w:r>
      <w:r>
        <w:t>specifically to childcare</w:t>
      </w:r>
      <w:r w:rsidR="00BD5642">
        <w:t>/early education and care</w:t>
      </w:r>
      <w:r>
        <w:t xml:space="preserve"> facilities</w:t>
      </w:r>
      <w:r w:rsidR="00515757">
        <w:t xml:space="preserve"> (EECFs)</w:t>
      </w:r>
      <w:r>
        <w:t xml:space="preserve">, </w:t>
      </w:r>
      <w:r w:rsidR="009243C9">
        <w:t xml:space="preserve">regional </w:t>
      </w:r>
      <w:r w:rsidR="003B3B2A">
        <w:t>vocational/technical/agricultural</w:t>
      </w:r>
      <w:r w:rsidR="009243C9">
        <w:t xml:space="preserve"> </w:t>
      </w:r>
      <w:r>
        <w:t>schools</w:t>
      </w:r>
      <w:r w:rsidR="00BD5642">
        <w:t>, or</w:t>
      </w:r>
      <w:r>
        <w:t xml:space="preserve"> </w:t>
      </w:r>
      <w:r w:rsidR="008A547C">
        <w:t xml:space="preserve">schools </w:t>
      </w:r>
      <w:r>
        <w:t>offering ancillary community services</w:t>
      </w:r>
      <w:r w:rsidR="008A547C">
        <w:t>,</w:t>
      </w:r>
      <w:r>
        <w:t xml:space="preserve"> each </w:t>
      </w:r>
      <w:r w:rsidR="00E315C5">
        <w:t>with</w:t>
      </w:r>
      <w:r>
        <w:t xml:space="preserve"> additional unique considerations</w:t>
      </w:r>
      <w:r w:rsidR="008A547C">
        <w:t xml:space="preserve"> and </w:t>
      </w:r>
      <w:r>
        <w:t>challenges</w:t>
      </w:r>
      <w:r w:rsidR="008A547C">
        <w:t>.</w:t>
      </w:r>
    </w:p>
    <w:p w14:paraId="3E5C8803" w14:textId="314E5841" w:rsidR="0067550C" w:rsidRDefault="0067550C" w:rsidP="001C7888">
      <w:pPr>
        <w:pStyle w:val="Heading2"/>
      </w:pPr>
      <w:bookmarkStart w:id="58" w:name="_Toc171518359"/>
      <w:bookmarkStart w:id="59" w:name="_Toc171519312"/>
      <w:bookmarkStart w:id="60" w:name="_Toc193116889"/>
      <w:r>
        <w:t>Methods</w:t>
      </w:r>
      <w:bookmarkEnd w:id="58"/>
      <w:bookmarkEnd w:id="59"/>
      <w:bookmarkEnd w:id="60"/>
    </w:p>
    <w:p w14:paraId="6456E251" w14:textId="2917AC20" w:rsidR="0001333B" w:rsidRDefault="0001333B" w:rsidP="006D7DE6">
      <w:pPr>
        <w:pStyle w:val="BodyTextFirstIndent"/>
      </w:pPr>
      <w:r>
        <w:t xml:space="preserve">BCEH and its support contractor, </w:t>
      </w:r>
      <w:r w:rsidR="00FC6ABD">
        <w:t>Eastern Research Group, Inc. (</w:t>
      </w:r>
      <w:r>
        <w:t>ERG</w:t>
      </w:r>
      <w:r w:rsidR="00FC6ABD">
        <w:t>)</w:t>
      </w:r>
      <w:r>
        <w:t xml:space="preserve">, </w:t>
      </w:r>
      <w:r w:rsidR="009E18B0">
        <w:t xml:space="preserve">conducted the following activities </w:t>
      </w:r>
      <w:r w:rsidR="002B2402">
        <w:t>to compile the content included in this report:</w:t>
      </w:r>
    </w:p>
    <w:p w14:paraId="10BB09AC" w14:textId="6C1D05C5" w:rsidR="0067550C" w:rsidRDefault="005E05E0" w:rsidP="008131EB">
      <w:pPr>
        <w:pStyle w:val="ListBullet"/>
      </w:pPr>
      <w:r>
        <w:t>Conducted</w:t>
      </w:r>
      <w:r w:rsidR="0025604F">
        <w:t xml:space="preserve"> engagement with a bro</w:t>
      </w:r>
      <w:r w:rsidR="00964441">
        <w:t xml:space="preserve">ad </w:t>
      </w:r>
      <w:r>
        <w:t xml:space="preserve">technical </w:t>
      </w:r>
      <w:r w:rsidR="00964441">
        <w:t xml:space="preserve">working group </w:t>
      </w:r>
      <w:r w:rsidR="00635099">
        <w:t>compris</w:t>
      </w:r>
      <w:r w:rsidR="005317A2">
        <w:t>ed of</w:t>
      </w:r>
      <w:r w:rsidR="002A5BE6">
        <w:t xml:space="preserve"> staff </w:t>
      </w:r>
      <w:r w:rsidR="00092BB2">
        <w:t xml:space="preserve">from </w:t>
      </w:r>
      <w:r w:rsidR="002A5BE6">
        <w:t xml:space="preserve">the </w:t>
      </w:r>
      <w:r w:rsidR="008000A5">
        <w:t>following organizations</w:t>
      </w:r>
      <w:r w:rsidR="00C2533A">
        <w:t xml:space="preserve"> and programs</w:t>
      </w:r>
      <w:r w:rsidR="008000A5">
        <w:t xml:space="preserve"> within DPH:</w:t>
      </w:r>
    </w:p>
    <w:p w14:paraId="582EAF1F" w14:textId="3B19FC6E" w:rsidR="00C07973" w:rsidRDefault="7C859242" w:rsidP="00F309A2">
      <w:pPr>
        <w:pStyle w:val="ListBullet2"/>
      </w:pPr>
      <w:r>
        <w:t>Bureau of Climate and Environmental Health</w:t>
      </w:r>
    </w:p>
    <w:p w14:paraId="6503B85F" w14:textId="22351619" w:rsidR="00C07973" w:rsidRDefault="00C07973" w:rsidP="00C9260A">
      <w:pPr>
        <w:pStyle w:val="ListBullet3"/>
      </w:pPr>
      <w:r>
        <w:t>Environmental Epidemiology Program</w:t>
      </w:r>
    </w:p>
    <w:p w14:paraId="59A5FC17" w14:textId="15D9021B" w:rsidR="00C07973" w:rsidRDefault="00C07973" w:rsidP="00C9260A">
      <w:pPr>
        <w:pStyle w:val="ListBullet3"/>
      </w:pPr>
      <w:r>
        <w:t>Environmental Toxicology Program</w:t>
      </w:r>
    </w:p>
    <w:p w14:paraId="2BB4BC75" w14:textId="77777777" w:rsidR="00A74848" w:rsidRDefault="00A74848" w:rsidP="00C9260A">
      <w:pPr>
        <w:pStyle w:val="ListBullet3"/>
      </w:pPr>
      <w:r>
        <w:t>Indoor Air Quality Program</w:t>
      </w:r>
    </w:p>
    <w:p w14:paraId="470F9D5A" w14:textId="11F752C3" w:rsidR="008000A5" w:rsidRDefault="008513E5" w:rsidP="00F309A2">
      <w:pPr>
        <w:pStyle w:val="ListBullet2"/>
      </w:pPr>
      <w:r w:rsidRPr="008513E5">
        <w:t>Bureau of Community Health and Prevention</w:t>
      </w:r>
    </w:p>
    <w:p w14:paraId="195E6BDF" w14:textId="77777777" w:rsidR="00A74848" w:rsidRDefault="00A74848" w:rsidP="00C9260A">
      <w:pPr>
        <w:pStyle w:val="ListBullet3"/>
      </w:pPr>
      <w:r>
        <w:t xml:space="preserve">Asthma Prevention and Control </w:t>
      </w:r>
    </w:p>
    <w:p w14:paraId="02084752" w14:textId="5C191DFA" w:rsidR="00A74848" w:rsidRDefault="59538E10" w:rsidP="00C9260A">
      <w:pPr>
        <w:pStyle w:val="ListBullet3"/>
      </w:pPr>
      <w:r>
        <w:t>Occupational Health</w:t>
      </w:r>
      <w:r w:rsidR="5D507F0F">
        <w:t xml:space="preserve"> Surveillance Program</w:t>
      </w:r>
    </w:p>
    <w:p w14:paraId="33EC453D" w14:textId="47B190AE" w:rsidR="00A74848" w:rsidRPr="00690900" w:rsidRDefault="59538E10" w:rsidP="00C9260A">
      <w:pPr>
        <w:pStyle w:val="ListBullet3"/>
      </w:pPr>
      <w:r w:rsidRPr="00690900">
        <w:t>School Health Services</w:t>
      </w:r>
    </w:p>
    <w:p w14:paraId="7130B455" w14:textId="04428329" w:rsidR="27785989" w:rsidRDefault="27785989" w:rsidP="00C9260A">
      <w:pPr>
        <w:pStyle w:val="ListBullet3"/>
      </w:pPr>
      <w:r>
        <w:t>State Office of Rural Health</w:t>
      </w:r>
    </w:p>
    <w:p w14:paraId="10F34547" w14:textId="37F29AF9" w:rsidR="5EF48458" w:rsidRDefault="54B62460" w:rsidP="00F309A2">
      <w:pPr>
        <w:pStyle w:val="ListBullet2"/>
      </w:pPr>
      <w:r>
        <w:lastRenderedPageBreak/>
        <w:t>Bureau of Infectious Disease and Laboratory Sciences</w:t>
      </w:r>
    </w:p>
    <w:p w14:paraId="7D5E9857" w14:textId="14EE286E" w:rsidR="00A819F0" w:rsidRDefault="00A819F0" w:rsidP="00F309A2">
      <w:pPr>
        <w:pStyle w:val="ListBullet2"/>
      </w:pPr>
      <w:r>
        <w:t>Office of Local and Regional Health</w:t>
      </w:r>
    </w:p>
    <w:p w14:paraId="4E249E3D" w14:textId="41ABF83A" w:rsidR="008513E5" w:rsidRDefault="008513E5" w:rsidP="00F309A2">
      <w:pPr>
        <w:pStyle w:val="ListBullet2"/>
      </w:pPr>
      <w:r>
        <w:t>Office of Health Equity</w:t>
      </w:r>
    </w:p>
    <w:p w14:paraId="30ECF367" w14:textId="6F0D1016" w:rsidR="00A819F0" w:rsidRDefault="00A819F0" w:rsidP="008131EB">
      <w:pPr>
        <w:pStyle w:val="ListBullet"/>
      </w:pPr>
      <w:r>
        <w:t xml:space="preserve">Conducted focused </w:t>
      </w:r>
      <w:r w:rsidR="00284CF0">
        <w:t>engagement</w:t>
      </w:r>
      <w:r>
        <w:t xml:space="preserve"> session</w:t>
      </w:r>
      <w:r w:rsidR="00284CF0">
        <w:t>s</w:t>
      </w:r>
      <w:r w:rsidR="00D8318C">
        <w:t xml:space="preserve"> with the following </w:t>
      </w:r>
      <w:r>
        <w:t>partner agencies</w:t>
      </w:r>
      <w:r w:rsidR="00DD01E4">
        <w:t xml:space="preserve"> to</w:t>
      </w:r>
      <w:r w:rsidR="00D00F2A">
        <w:t xml:space="preserve"> collect input about </w:t>
      </w:r>
      <w:r w:rsidR="004C174F">
        <w:t xml:space="preserve">existing resources </w:t>
      </w:r>
      <w:r w:rsidR="00EB41A7">
        <w:t>and additional thoughts and recommendations about content to include in the report</w:t>
      </w:r>
      <w:r w:rsidR="00DD01E4">
        <w:t>:</w:t>
      </w:r>
    </w:p>
    <w:p w14:paraId="3934B652" w14:textId="720C8A44" w:rsidR="00A819F0" w:rsidRDefault="61A0C88E" w:rsidP="00F309A2">
      <w:pPr>
        <w:pStyle w:val="ListBullet2"/>
      </w:pPr>
      <w:r>
        <w:t>Department of Energy Resources</w:t>
      </w:r>
      <w:r w:rsidR="008D640F">
        <w:t xml:space="preserve"> (DOER)</w:t>
      </w:r>
    </w:p>
    <w:p w14:paraId="28A25973" w14:textId="40265253" w:rsidR="4E2F8CA3" w:rsidRDefault="4E2F8CA3" w:rsidP="00F309A2">
      <w:pPr>
        <w:pStyle w:val="ListBullet2"/>
      </w:pPr>
      <w:r>
        <w:t>Department of Elementary and Secondary Education</w:t>
      </w:r>
      <w:r w:rsidR="00C129F6">
        <w:t xml:space="preserve"> (DESE)</w:t>
      </w:r>
    </w:p>
    <w:p w14:paraId="692C6AE4" w14:textId="73E9B5A2" w:rsidR="00DD01E4" w:rsidRDefault="61A0C88E" w:rsidP="00F309A2">
      <w:pPr>
        <w:pStyle w:val="ListBullet2"/>
      </w:pPr>
      <w:r>
        <w:t>Department of Environmental Protection</w:t>
      </w:r>
      <w:r w:rsidR="2D888C0C">
        <w:t xml:space="preserve"> (</w:t>
      </w:r>
      <w:r w:rsidR="5E101222">
        <w:t>Mass</w:t>
      </w:r>
      <w:r w:rsidR="2D888C0C">
        <w:t xml:space="preserve">DEP) – BCEH and ERG conducted numerous engagement sessions with </w:t>
      </w:r>
      <w:r w:rsidR="6B317D31">
        <w:t>Mass</w:t>
      </w:r>
      <w:r w:rsidR="2D888C0C">
        <w:t xml:space="preserve">DEP staff to </w:t>
      </w:r>
      <w:r w:rsidR="65022F99">
        <w:t>talk more in-depth about the following topics:</w:t>
      </w:r>
    </w:p>
    <w:p w14:paraId="4AEA5317" w14:textId="2796D774" w:rsidR="00D519C9" w:rsidRDefault="00D519C9" w:rsidP="00C9260A">
      <w:pPr>
        <w:pStyle w:val="ListBullet3"/>
      </w:pPr>
      <w:r>
        <w:t>Artificial turf fields</w:t>
      </w:r>
      <w:r w:rsidR="002A703B">
        <w:t>/crumb rubber</w:t>
      </w:r>
    </w:p>
    <w:p w14:paraId="6261AEE9" w14:textId="52F638B5" w:rsidR="00CC549A" w:rsidRDefault="00CC549A" w:rsidP="00C9260A">
      <w:pPr>
        <w:pStyle w:val="ListBullet3"/>
      </w:pPr>
      <w:r>
        <w:t>Chemical spills</w:t>
      </w:r>
    </w:p>
    <w:p w14:paraId="58F9E5B0" w14:textId="5CA89947" w:rsidR="00484F74" w:rsidRDefault="00484F74" w:rsidP="00C9260A">
      <w:pPr>
        <w:pStyle w:val="ListBullet3"/>
      </w:pPr>
      <w:r>
        <w:t>Lead in drinking water</w:t>
      </w:r>
    </w:p>
    <w:p w14:paraId="6763965C" w14:textId="42A8524C" w:rsidR="00484F74" w:rsidRDefault="00484F74" w:rsidP="00C9260A">
      <w:pPr>
        <w:pStyle w:val="ListBullet3"/>
      </w:pPr>
      <w:r>
        <w:t>Solid waste management</w:t>
      </w:r>
    </w:p>
    <w:p w14:paraId="6BF49251" w14:textId="77777777" w:rsidR="00090D82" w:rsidRDefault="4EB53669" w:rsidP="00C9260A">
      <w:pPr>
        <w:pStyle w:val="ListBullet3"/>
      </w:pPr>
      <w:r>
        <w:t>Vapor intrusion</w:t>
      </w:r>
    </w:p>
    <w:p w14:paraId="2665E9D5" w14:textId="4E25935F" w:rsidR="00CC549A" w:rsidRDefault="00090D82" w:rsidP="00C9260A">
      <w:pPr>
        <w:pStyle w:val="ListBullet3"/>
      </w:pPr>
      <w:r>
        <w:t>School bus idling and electrification</w:t>
      </w:r>
    </w:p>
    <w:p w14:paraId="723934AB" w14:textId="3D6611B5" w:rsidR="00A819F0" w:rsidRDefault="00810F49" w:rsidP="00F309A2">
      <w:pPr>
        <w:pStyle w:val="ListBullet2"/>
      </w:pPr>
      <w:r>
        <w:t>Massachusetts School Building Authority (</w:t>
      </w:r>
      <w:r w:rsidR="00A819F0">
        <w:t>MSBA</w:t>
      </w:r>
      <w:r>
        <w:t>)</w:t>
      </w:r>
    </w:p>
    <w:p w14:paraId="1BB966EF" w14:textId="05D06C7A" w:rsidR="00D1190C" w:rsidRDefault="00894F19" w:rsidP="006D7DE6">
      <w:pPr>
        <w:pStyle w:val="BodyTextFirstIndent"/>
        <w:numPr>
          <w:ilvl w:val="0"/>
          <w:numId w:val="12"/>
        </w:numPr>
      </w:pPr>
      <w:r>
        <w:t>Participated in the following virtual</w:t>
      </w:r>
      <w:r w:rsidR="00D1190C">
        <w:t xml:space="preserve"> public forums:</w:t>
      </w:r>
    </w:p>
    <w:p w14:paraId="289B39DE" w14:textId="55C43F63" w:rsidR="00D1190C" w:rsidRDefault="00D1190C" w:rsidP="00F309A2">
      <w:pPr>
        <w:pStyle w:val="ListBullet2"/>
      </w:pPr>
      <w:r>
        <w:t xml:space="preserve">White House Summit </w:t>
      </w:r>
      <w:r w:rsidR="007506FD">
        <w:t>for</w:t>
      </w:r>
      <w:r>
        <w:t xml:space="preserve"> </w:t>
      </w:r>
      <w:r w:rsidR="008756F6">
        <w:t>Sustainable and Healthy</w:t>
      </w:r>
      <w:r>
        <w:t xml:space="preserve"> Schools</w:t>
      </w:r>
      <w:r w:rsidR="00447D9B">
        <w:t xml:space="preserve"> (April 26, 2024)</w:t>
      </w:r>
      <w:r w:rsidR="00447D9B">
        <w:fldChar w:fldCharType="begin"/>
      </w:r>
      <w:r w:rsidR="00223023">
        <w:instrText xml:space="preserve"> ADDIN ZOTERO_ITEM CSL_CITATION {"citationID":"RsbFD6qv","properties":{"formattedCitation":"\\super 34\\nosupersub{}","plainCitation":"34","noteIndex":0},"citationItems":[{"id":406,"uris":["http://zotero.org/groups/5563646/items/MBYWCG2I"],"itemData":{"id":406,"type":"webpage","abstract":"President Biden’s Investing in America Agenda is providing unprecedented resources for K-12 schools to invest in healthier, more sustainable buildings and infrastructure—from removing lead pipes, to installing clean, reliable solar energy, to purchasing electric school buses. Schools across the country are putting these funds to use to cut harmful air pollution, including climate pollution, and…","container-title":"The White House","language":"en-US","title":"Fact Sheet: Biden-Harris Administration Hosts First-Ever White House Summit for Sustainable and Healthy Schools","title-short":"FACT SHEET","URL":"https://www.whitehouse.gov/briefing-room/statements-releases/2024/04/26/fact-sheet-biden-harris-administration-hosts-first-ever-white-house-summit-for-sustainable-and-healthy-schools/","author":[{"family":"The White House","given":""}],"accessed":{"date-parts":[["2024",6,26]]},"issued":{"date-parts":[["2024",4,26]]}}}],"schema":"https://github.com/citation-style-language/schema/raw/master/csl-citation.json"} </w:instrText>
      </w:r>
      <w:r w:rsidR="00447D9B">
        <w:fldChar w:fldCharType="separate"/>
      </w:r>
      <w:r w:rsidR="00223023" w:rsidRPr="00223023">
        <w:rPr>
          <w:rFonts w:ascii="Calibri" w:hAnsi="Calibri" w:cs="Calibri"/>
          <w:vertAlign w:val="superscript"/>
        </w:rPr>
        <w:t>34</w:t>
      </w:r>
      <w:r w:rsidR="00447D9B">
        <w:fldChar w:fldCharType="end"/>
      </w:r>
    </w:p>
    <w:p w14:paraId="023A223C" w14:textId="56EEFA88" w:rsidR="00D1190C" w:rsidRDefault="00A3418E" w:rsidP="00F309A2">
      <w:pPr>
        <w:pStyle w:val="ListBullet2"/>
      </w:pPr>
      <w:r>
        <w:t>Making the Honor Roll with K</w:t>
      </w:r>
      <w:r w:rsidR="00F309A2">
        <w:t>–</w:t>
      </w:r>
      <w:r>
        <w:t>12 Waste Reduction</w:t>
      </w:r>
      <w:r w:rsidR="00116B6D">
        <w:t xml:space="preserve"> (May 29, 2024)</w:t>
      </w:r>
      <w:r w:rsidR="00116B6D">
        <w:fldChar w:fldCharType="begin"/>
      </w:r>
      <w:r w:rsidR="00223023">
        <w:instrText xml:space="preserve"> ADDIN ZOTERO_ITEM CSL_CITATION {"citationID":"kDSyRKCJ","properties":{"formattedCitation":"\\super 35\\nosupersub{}","plainCitation":"35","noteIndex":0},"citationItems":[{"id":408,"uris":["http://zotero.org/groups/5563646/items/WUS23QDK"],"itemData":{"id":408,"type":"webpage","abstract":"This webinar focused on waste reduction at K-12 schools with case study presentations from three communities. It included a general overview of local waste diversion programs, a spotlight on student engagement &amp; education plus efforts to prevent and recover food-related waste.","container-title":"Busch Systems Blog","language":"en-US","title":"Webinar Recap: Making the Honor Role with K-12 Waste Reduction","URL":"https://www.buschsystems.com/blog/webinars/webinar-recap-k-12-waste-reduction/","author":[{"family":"Baillie","given":"Tyler"}],"accessed":{"date-parts":[["2024",6,26]]},"issued":{"date-parts":[["2024",5,30]]}}}],"schema":"https://github.com/citation-style-language/schema/raw/master/csl-citation.json"} </w:instrText>
      </w:r>
      <w:r w:rsidR="00116B6D">
        <w:fldChar w:fldCharType="separate"/>
      </w:r>
      <w:r w:rsidR="00223023" w:rsidRPr="00223023">
        <w:rPr>
          <w:rFonts w:ascii="Calibri" w:hAnsi="Calibri" w:cs="Calibri"/>
          <w:vertAlign w:val="superscript"/>
        </w:rPr>
        <w:t>35</w:t>
      </w:r>
      <w:r w:rsidR="00116B6D">
        <w:fldChar w:fldCharType="end"/>
      </w:r>
    </w:p>
    <w:p w14:paraId="674F982E" w14:textId="1BFE065B" w:rsidR="00D62B2F" w:rsidRDefault="005550D7" w:rsidP="00F309A2">
      <w:pPr>
        <w:pStyle w:val="ListBullet2"/>
      </w:pPr>
      <w:r>
        <w:t>Decarbonizing School Buildings</w:t>
      </w:r>
      <w:r w:rsidR="00635099">
        <w:t>—</w:t>
      </w:r>
      <w:r>
        <w:t xml:space="preserve">the Building Electrification Technology Roadmap </w:t>
      </w:r>
      <w:r w:rsidR="009633AC">
        <w:t>(</w:t>
      </w:r>
      <w:r w:rsidR="003622A6">
        <w:t xml:space="preserve">June </w:t>
      </w:r>
      <w:r w:rsidR="009633AC">
        <w:t>27</w:t>
      </w:r>
      <w:r w:rsidR="003622A6">
        <w:t xml:space="preserve">, </w:t>
      </w:r>
      <w:r w:rsidR="009633AC">
        <w:t>2024)</w:t>
      </w:r>
      <w:r w:rsidR="00D671FA">
        <w:fldChar w:fldCharType="begin"/>
      </w:r>
      <w:r w:rsidR="00223023">
        <w:instrText xml:space="preserve"> ADDIN ZOTERO_ITEM CSL_CITATION {"citationID":"am5l94h0ks","properties":{"formattedCitation":"\\super 36\\nosupersub{}","plainCitation":"36","noteIndex":0},"citationItems":[{"id":860,"uris":["http://zotero.org/groups/5563646/items/7XUCA7PU"],"itemData":{"id":860,"type":"webpage","title":"Decarbonizing School Buildings – the Building Electrification Technology Roadmap","URL":"https://drive.google.com/file/d/1yPyI994sR9BLtcrYCtul5Q47Jlwygtb7/view","author":[{"family":"New Buildings Institute","given":""}],"accessed":{"date-parts":[["2024",7,24]]}}}],"schema":"https://github.com/citation-style-language/schema/raw/master/csl-citation.json"} </w:instrText>
      </w:r>
      <w:r w:rsidR="00D671FA">
        <w:fldChar w:fldCharType="separate"/>
      </w:r>
      <w:r w:rsidR="00223023" w:rsidRPr="00223023">
        <w:rPr>
          <w:rFonts w:cs="Arial"/>
          <w:vertAlign w:val="superscript"/>
        </w:rPr>
        <w:t>36</w:t>
      </w:r>
      <w:r w:rsidR="00D671FA">
        <w:fldChar w:fldCharType="end"/>
      </w:r>
    </w:p>
    <w:p w14:paraId="469DA1C3" w14:textId="4A040A36" w:rsidR="00DC4284" w:rsidRDefault="00E557BF" w:rsidP="00F309A2">
      <w:pPr>
        <w:pStyle w:val="ListBullet2"/>
      </w:pPr>
      <w:r>
        <w:t xml:space="preserve">Overview of Massachusetts </w:t>
      </w:r>
      <w:r w:rsidR="007F58E2">
        <w:t>Clean Energy</w:t>
      </w:r>
      <w:r w:rsidR="00D41B7E">
        <w:t xml:space="preserve"> Center’s Green School Works Program</w:t>
      </w:r>
      <w:r w:rsidR="003622A6">
        <w:t xml:space="preserve"> (Ju</w:t>
      </w:r>
      <w:r w:rsidR="00D41B7E">
        <w:t>ly</w:t>
      </w:r>
      <w:r w:rsidR="003622A6">
        <w:t xml:space="preserve"> </w:t>
      </w:r>
      <w:r w:rsidR="00D41B7E">
        <w:t>1</w:t>
      </w:r>
      <w:r w:rsidR="003622A6">
        <w:t>7, 2024)</w:t>
      </w:r>
      <w:r w:rsidR="0063481A">
        <w:fldChar w:fldCharType="begin"/>
      </w:r>
      <w:r w:rsidR="00223023">
        <w:instrText xml:space="preserve"> ADDIN ZOTERO_ITEM CSL_CITATION {"citationID":"a1dpmhlu89d","properties":{"formattedCitation":"\\super 37\\nosupersub{}","plainCitation":"37","noteIndex":0},"citationItems":[{"id":877,"uris":["http://zotero.org/groups/5563646/items/S7E3T72P"],"itemData":{"id":877,"type":"webpage","title":"Green School Works","URL":"https://www.masscec.com/program/green-school-works","author":[{"family":"Massachusetts Clean Energy Center","given":""}],"accessed":{"date-parts":[["2024",7,24]]}}}],"schema":"https://github.com/citation-style-language/schema/raw/master/csl-citation.json"} </w:instrText>
      </w:r>
      <w:r w:rsidR="0063481A">
        <w:fldChar w:fldCharType="separate"/>
      </w:r>
      <w:r w:rsidR="00223023" w:rsidRPr="00223023">
        <w:rPr>
          <w:rFonts w:cs="Arial"/>
          <w:vertAlign w:val="superscript"/>
        </w:rPr>
        <w:t>37</w:t>
      </w:r>
      <w:r w:rsidR="0063481A">
        <w:fldChar w:fldCharType="end"/>
      </w:r>
    </w:p>
    <w:p w14:paraId="31DB8921" w14:textId="5CFE7469" w:rsidR="00CA30A9" w:rsidRDefault="00D44DF0" w:rsidP="008131EB">
      <w:pPr>
        <w:pStyle w:val="ListBullet"/>
      </w:pPr>
      <w:r>
        <w:t>Performed a</w:t>
      </w:r>
      <w:r w:rsidR="3BF0EDCF">
        <w:t>dditional desktop research</w:t>
      </w:r>
      <w:r>
        <w:t xml:space="preserve"> to </w:t>
      </w:r>
      <w:r w:rsidR="254E42DE">
        <w:t xml:space="preserve">supplement </w:t>
      </w:r>
      <w:r w:rsidR="1C115DF1">
        <w:t>information compiled from direct engagement sessions with DPH and staff from partner agencies.</w:t>
      </w:r>
    </w:p>
    <w:p w14:paraId="4497DB14" w14:textId="5AF62E12" w:rsidR="00D62B2F" w:rsidRDefault="00CA30A9" w:rsidP="006D7DE6">
      <w:pPr>
        <w:pStyle w:val="BodyTextFirstIndent"/>
      </w:pPr>
      <w:r w:rsidRPr="00CA30A9">
        <w:t>Multiple best practices and recommendations in this report draw from DPH’s 2022–2026 Strategic Plan for Asthma in Massachusetts. The 2022–2026 Strategic Plan for Asthma in Massachusetts is the result of a comprehensive planning process undertaken by DPH</w:t>
      </w:r>
      <w:r w:rsidR="006E68E8">
        <w:t>’s</w:t>
      </w:r>
      <w:r w:rsidRPr="00CA30A9">
        <w:t xml:space="preserve"> APCP and MAAP in collaboration with asthma partners, stakeholders</w:t>
      </w:r>
      <w:r w:rsidR="006E68E8">
        <w:t>,</w:t>
      </w:r>
      <w:r w:rsidRPr="00CA30A9">
        <w:t xml:space="preserve"> and thought leaders across Massachusetts in the summer and fall of 2020. Extensive outreach efforts to existing and previously engaged partners, as well as targeted outreach and leveraging networks</w:t>
      </w:r>
      <w:r w:rsidR="00BF178C">
        <w:t>,</w:t>
      </w:r>
      <w:r w:rsidRPr="00CA30A9">
        <w:t xml:space="preserve"> resulted in the participation of a wide range of stakeholders across the state in the development of the strategic plan.</w:t>
      </w:r>
      <w:r w:rsidR="254E42DE">
        <w:t xml:space="preserve"> </w:t>
      </w:r>
    </w:p>
    <w:p w14:paraId="006C3B82" w14:textId="39750123" w:rsidR="0067550C" w:rsidRDefault="0067550C" w:rsidP="001C7888">
      <w:pPr>
        <w:pStyle w:val="Heading2"/>
      </w:pPr>
      <w:bookmarkStart w:id="61" w:name="_Toc171518360"/>
      <w:bookmarkStart w:id="62" w:name="_Toc171519313"/>
      <w:bookmarkStart w:id="63" w:name="_Toc193116890"/>
      <w:r>
        <w:lastRenderedPageBreak/>
        <w:t>Organization</w:t>
      </w:r>
      <w:r w:rsidR="0079571C">
        <w:t xml:space="preserve"> of Report</w:t>
      </w:r>
      <w:bookmarkEnd w:id="61"/>
      <w:bookmarkEnd w:id="62"/>
      <w:bookmarkEnd w:id="63"/>
    </w:p>
    <w:p w14:paraId="141326ED" w14:textId="085B282D" w:rsidR="0067550C" w:rsidRDefault="003C3775" w:rsidP="006D7DE6">
      <w:pPr>
        <w:pStyle w:val="BodyTextFirstIndent"/>
      </w:pPr>
      <w:r>
        <w:t xml:space="preserve">Immediately following this introduction, the report </w:t>
      </w:r>
      <w:r w:rsidR="00047BDD">
        <w:t>presents</w:t>
      </w:r>
      <w:r w:rsidR="00683320">
        <w:t xml:space="preserve"> </w:t>
      </w:r>
      <w:r w:rsidR="00047BDD">
        <w:t>information</w:t>
      </w:r>
      <w:r w:rsidR="00EF2E51">
        <w:t xml:space="preserve"> </w:t>
      </w:r>
      <w:r w:rsidR="00683320">
        <w:t xml:space="preserve">and details </w:t>
      </w:r>
      <w:r w:rsidR="00047BDD">
        <w:t>to help</w:t>
      </w:r>
      <w:r w:rsidR="00117F37" w:rsidRPr="00117F37">
        <w:t xml:space="preserve"> </w:t>
      </w:r>
      <w:r w:rsidR="00683320">
        <w:t>school districts and municipalities</w:t>
      </w:r>
      <w:r w:rsidR="00117F37" w:rsidRPr="00117F37">
        <w:t xml:space="preserve"> achiev</w:t>
      </w:r>
      <w:r w:rsidR="00683320">
        <w:t>e</w:t>
      </w:r>
      <w:r w:rsidR="00117F37" w:rsidRPr="00117F37">
        <w:t xml:space="preserve"> green and healthy schools across three goal categories.</w:t>
      </w:r>
      <w:r w:rsidR="00333B84">
        <w:t xml:space="preserve"> Each goal category includes a set of </w:t>
      </w:r>
      <w:r w:rsidR="0032118F">
        <w:t>specific objectives supporting the stated purpose of this report</w:t>
      </w:r>
      <w:r w:rsidR="007C1152">
        <w:t>, as outlined in</w:t>
      </w:r>
      <w:r w:rsidR="008D5563">
        <w:t xml:space="preserve"> </w:t>
      </w:r>
      <w:r w:rsidR="008D5563">
        <w:fldChar w:fldCharType="begin"/>
      </w:r>
      <w:r w:rsidR="008D5563">
        <w:instrText xml:space="preserve"> REF _Ref170336619 \h </w:instrText>
      </w:r>
      <w:r w:rsidR="008D5563">
        <w:fldChar w:fldCharType="separate"/>
      </w:r>
      <w:r w:rsidR="00307850">
        <w:t xml:space="preserve">Table </w:t>
      </w:r>
      <w:r w:rsidR="00307850">
        <w:rPr>
          <w:noProof/>
        </w:rPr>
        <w:t>5</w:t>
      </w:r>
      <w:r w:rsidR="008D5563">
        <w:fldChar w:fldCharType="end"/>
      </w:r>
      <w:r w:rsidR="0032118F">
        <w:t>.</w:t>
      </w:r>
    </w:p>
    <w:p w14:paraId="56B05723" w14:textId="5ED3611C" w:rsidR="007C1152" w:rsidRDefault="007C1152" w:rsidP="00B30C96">
      <w:pPr>
        <w:pStyle w:val="Caption"/>
      </w:pPr>
      <w:bookmarkStart w:id="64" w:name="_Ref170336619"/>
      <w:bookmarkStart w:id="65" w:name="_Toc170345783"/>
      <w:bookmarkStart w:id="66" w:name="_Toc192711671"/>
      <w:bookmarkStart w:id="67" w:name="_Toc193112553"/>
      <w:bookmarkStart w:id="68" w:name="_Toc193116952"/>
      <w:r>
        <w:t xml:space="preserve">Table </w:t>
      </w:r>
      <w:fldSimple w:instr=" SEQ Table \* ARABIC ">
        <w:r w:rsidR="00307850">
          <w:rPr>
            <w:noProof/>
          </w:rPr>
          <w:t>5</w:t>
        </w:r>
      </w:fldSimple>
      <w:bookmarkEnd w:id="64"/>
      <w:r>
        <w:t>. G</w:t>
      </w:r>
      <w:r w:rsidR="00CF41E2">
        <w:t xml:space="preserve">oal </w:t>
      </w:r>
      <w:r w:rsidR="00D137CF">
        <w:t>A</w:t>
      </w:r>
      <w:r w:rsidR="008077D1">
        <w:t xml:space="preserve">reas </w:t>
      </w:r>
      <w:r w:rsidR="00CF41E2">
        <w:t xml:space="preserve">and </w:t>
      </w:r>
      <w:r w:rsidR="00D137CF">
        <w:t>O</w:t>
      </w:r>
      <w:r w:rsidR="008077D1">
        <w:t xml:space="preserve">bjectives </w:t>
      </w:r>
      <w:r w:rsidR="00D137CF">
        <w:t>C</w:t>
      </w:r>
      <w:r w:rsidR="008077D1">
        <w:t xml:space="preserve">overed </w:t>
      </w:r>
      <w:r w:rsidR="00BF178C">
        <w:t xml:space="preserve">in </w:t>
      </w:r>
      <w:r w:rsidR="00CF41E2">
        <w:t xml:space="preserve">this </w:t>
      </w:r>
      <w:r w:rsidR="00D137CF">
        <w:t>R</w:t>
      </w:r>
      <w:r w:rsidR="00CF41E2">
        <w:t>e</w:t>
      </w:r>
      <w:r w:rsidR="008D5563">
        <w:t>port</w:t>
      </w:r>
      <w:bookmarkEnd w:id="65"/>
      <w:bookmarkEnd w:id="66"/>
      <w:bookmarkEnd w:id="67"/>
      <w:bookmarkEnd w:id="68"/>
    </w:p>
    <w:tbl>
      <w:tblPr>
        <w:tblW w:w="5000" w:type="pct"/>
        <w:jc w:val="center"/>
        <w:tblCellMar>
          <w:left w:w="58" w:type="dxa"/>
          <w:right w:w="58" w:type="dxa"/>
        </w:tblCellMar>
        <w:tblLook w:val="04A0" w:firstRow="1" w:lastRow="0" w:firstColumn="1" w:lastColumn="0" w:noHBand="0" w:noVBand="1"/>
        <w:tblDescription w:val="Table listing the section headers of the report."/>
      </w:tblPr>
      <w:tblGrid>
        <w:gridCol w:w="266"/>
        <w:gridCol w:w="9084"/>
      </w:tblGrid>
      <w:tr w:rsidR="00CC0BE7" w:rsidRPr="00CF564E" w14:paraId="6846B18D" w14:textId="77777777" w:rsidTr="00304D18">
        <w:trPr>
          <w:trHeight w:val="287"/>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7B9BEA32" w14:textId="26B6AB14" w:rsidR="00CC0BE7" w:rsidRPr="00CF564E" w:rsidRDefault="008D5563" w:rsidP="00304D18">
            <w:pPr>
              <w:pStyle w:val="TableRowHeader"/>
            </w:pPr>
            <w:r w:rsidRPr="00CF564E">
              <w:t>Goal 1: Achieve Green Schools</w:t>
            </w:r>
          </w:p>
        </w:tc>
      </w:tr>
      <w:tr w:rsidR="00CC0BE7" w:rsidRPr="00CF564E" w14:paraId="27C77F8B"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69AB57F6" w14:textId="45B3392F" w:rsidR="00CC0BE7" w:rsidRPr="00CF564E" w:rsidRDefault="009018C1" w:rsidP="00304D18">
            <w:pPr>
              <w:pStyle w:val="TableText"/>
            </w:pPr>
            <w:r>
              <w:t>a</w:t>
            </w:r>
            <w:r w:rsidR="00CC0BE7" w:rsidRPr="00CF564E">
              <w:t>. Decarbonize buildings</w:t>
            </w:r>
          </w:p>
        </w:tc>
      </w:tr>
      <w:tr w:rsidR="00CC0BE7" w:rsidRPr="00CF564E" w14:paraId="7B4D0723"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2B74B085" w14:textId="2ABDBCC3" w:rsidR="00CC0BE7" w:rsidRPr="00CF564E" w:rsidRDefault="009018C1" w:rsidP="00304D18">
            <w:pPr>
              <w:pStyle w:val="TableText"/>
            </w:pPr>
            <w:r>
              <w:t>b</w:t>
            </w:r>
            <w:r w:rsidR="00CC0BE7" w:rsidRPr="00CF564E">
              <w:t>. Optimize water efficiency</w:t>
            </w:r>
          </w:p>
        </w:tc>
      </w:tr>
      <w:tr w:rsidR="00CC0BE7" w:rsidRPr="00CF564E" w14:paraId="4E3F82D1"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5517D00F" w14:textId="551A90DB" w:rsidR="00CC0BE7" w:rsidRPr="00CF564E" w:rsidRDefault="009018C1" w:rsidP="00304D18">
            <w:pPr>
              <w:pStyle w:val="TableText"/>
            </w:pPr>
            <w:r>
              <w:t>c</w:t>
            </w:r>
            <w:r w:rsidR="00CC0BE7" w:rsidRPr="00CF564E">
              <w:t>. Optimize solid waste reduction</w:t>
            </w:r>
            <w:r w:rsidR="009E322E">
              <w:t xml:space="preserve"> and </w:t>
            </w:r>
            <w:r w:rsidR="00CC0BE7" w:rsidRPr="00CF564E">
              <w:t>diversion</w:t>
            </w:r>
          </w:p>
        </w:tc>
      </w:tr>
      <w:tr w:rsidR="00CC0BE7" w:rsidRPr="00CF564E" w14:paraId="09738142"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758A6CCE" w14:textId="2491AACA" w:rsidR="00CC0BE7" w:rsidRPr="00CF564E" w:rsidRDefault="009018C1" w:rsidP="00304D18">
            <w:pPr>
              <w:pStyle w:val="TableText"/>
            </w:pPr>
            <w:r>
              <w:t>d</w:t>
            </w:r>
            <w:r w:rsidR="00CC0BE7" w:rsidRPr="00CF564E">
              <w:t>. Electrify school bus fleets</w:t>
            </w:r>
          </w:p>
        </w:tc>
      </w:tr>
      <w:tr w:rsidR="00CC0BE7" w:rsidRPr="00CF564E" w14:paraId="0918E33D"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2F3285B0" w14:textId="71D22D6B" w:rsidR="00CC0BE7" w:rsidRPr="00CF564E" w:rsidRDefault="009018C1" w:rsidP="00304D18">
            <w:pPr>
              <w:pStyle w:val="TableText"/>
            </w:pPr>
            <w:r>
              <w:t>e</w:t>
            </w:r>
            <w:r w:rsidR="00CC0BE7" w:rsidRPr="00CF564E">
              <w:t>. Provide electric vehicle charging stations for school staff and public use</w:t>
            </w:r>
          </w:p>
        </w:tc>
      </w:tr>
      <w:tr w:rsidR="00CC0BE7" w:rsidRPr="00CF564E" w14:paraId="20B13B52"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14:paraId="1AD256E1" w14:textId="16E01AE3" w:rsidR="00CC0BE7" w:rsidRPr="00CF564E" w:rsidRDefault="009018C1" w:rsidP="00304D18">
            <w:pPr>
              <w:pStyle w:val="TableText"/>
            </w:pPr>
            <w:r>
              <w:t>f</w:t>
            </w:r>
            <w:r w:rsidR="00CC0BE7" w:rsidRPr="00CF564E">
              <w:t>. Enhance climate resilience</w:t>
            </w:r>
          </w:p>
        </w:tc>
      </w:tr>
      <w:tr w:rsidR="008D5563" w:rsidRPr="00CF564E" w14:paraId="2B60D5ED" w14:textId="77777777" w:rsidTr="00FF3C0C">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002060"/>
            <w:vAlign w:val="center"/>
          </w:tcPr>
          <w:p w14:paraId="1E5B3083" w14:textId="04642EB8" w:rsidR="008D5563" w:rsidRPr="00CF564E" w:rsidRDefault="008D5563" w:rsidP="00304D18">
            <w:pPr>
              <w:pStyle w:val="TableRowHeader"/>
            </w:pPr>
            <w:r w:rsidRPr="00CF564E">
              <w:t>Goal 2: Achieve Healthy Schools</w:t>
            </w:r>
          </w:p>
        </w:tc>
      </w:tr>
      <w:tr w:rsidR="00CC0BE7" w:rsidRPr="00CF564E" w14:paraId="59870ED4" w14:textId="77777777" w:rsidTr="00FF3C0C">
        <w:trPr>
          <w:trHeight w:val="255"/>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62835F" w14:textId="5D788C41" w:rsidR="00CC0BE7" w:rsidRPr="00CF564E" w:rsidRDefault="009018C1" w:rsidP="00304D18">
            <w:pPr>
              <w:pStyle w:val="TableText"/>
            </w:pPr>
            <w:r>
              <w:t>a</w:t>
            </w:r>
            <w:r w:rsidR="00CC0BE7" w:rsidRPr="00CF564E">
              <w:t xml:space="preserve">. Improve air quality </w:t>
            </w:r>
          </w:p>
        </w:tc>
      </w:tr>
      <w:tr w:rsidR="002609B5" w:rsidRPr="00CF564E" w14:paraId="43502226" w14:textId="77777777" w:rsidTr="00FF3C0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779BB66D" w14:textId="77777777" w:rsidR="002609B5" w:rsidRDefault="002609B5"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08C9DDD6" w14:textId="4B079623" w:rsidR="002609B5" w:rsidRDefault="002609B5" w:rsidP="00304D18">
            <w:pPr>
              <w:pStyle w:val="TableText"/>
            </w:pPr>
            <w:r>
              <w:t>1.</w:t>
            </w:r>
            <w:r w:rsidR="003F2E2B">
              <w:t xml:space="preserve"> Reduce</w:t>
            </w:r>
            <w:r w:rsidR="00791ECB">
              <w:t xml:space="preserve"> airborne transmission of disease</w:t>
            </w:r>
            <w:r>
              <w:t xml:space="preserve"> </w:t>
            </w:r>
          </w:p>
        </w:tc>
      </w:tr>
      <w:tr w:rsidR="003F2E2B" w:rsidRPr="00CF564E" w14:paraId="345C6956"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55EF79C0" w14:textId="77777777" w:rsidR="003F2E2B" w:rsidRDefault="003F2E2B"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5F1E9C3B" w14:textId="22EB9C48" w:rsidR="003F2E2B" w:rsidRDefault="003F2E2B" w:rsidP="00304D18">
            <w:pPr>
              <w:pStyle w:val="TableText"/>
            </w:pPr>
            <w:r>
              <w:t>2.</w:t>
            </w:r>
            <w:r w:rsidR="00791ECB">
              <w:t xml:space="preserve"> Prevent exposure to asbestos</w:t>
            </w:r>
          </w:p>
        </w:tc>
      </w:tr>
      <w:tr w:rsidR="003F2E2B" w:rsidRPr="00CF564E" w14:paraId="30E48E0C"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689C9BC6" w14:textId="77777777" w:rsidR="003F2E2B" w:rsidRDefault="003F2E2B"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5B10DC69" w14:textId="6ADEEF65" w:rsidR="003F2E2B" w:rsidRDefault="00791ECB" w:rsidP="00304D18">
            <w:pPr>
              <w:pStyle w:val="TableText"/>
            </w:pPr>
            <w:r>
              <w:t>3. Reduce exposure to carbon monoxide</w:t>
            </w:r>
          </w:p>
        </w:tc>
      </w:tr>
      <w:tr w:rsidR="00DA0936" w:rsidRPr="00CF564E" w14:paraId="28AF4118"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1CDD9912" w14:textId="77777777" w:rsidR="00DA0936" w:rsidRDefault="00DA0936"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7C461C0E" w14:textId="13867126" w:rsidR="00DA0936" w:rsidRDefault="00DA0936" w:rsidP="00304D18">
            <w:pPr>
              <w:pStyle w:val="TableText"/>
            </w:pPr>
            <w:r>
              <w:t>4. Reduce exposure to mold and moisture</w:t>
            </w:r>
          </w:p>
        </w:tc>
      </w:tr>
      <w:tr w:rsidR="003F2E2B" w:rsidRPr="00CF564E" w14:paraId="196383C0"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1B313A50" w14:textId="77777777" w:rsidR="003F2E2B" w:rsidRDefault="003F2E2B"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4A96E1DC" w14:textId="51E3435D" w:rsidR="003F2E2B" w:rsidRDefault="00DA0936" w:rsidP="00304D18">
            <w:pPr>
              <w:pStyle w:val="TableText"/>
            </w:pPr>
            <w:r>
              <w:t>5</w:t>
            </w:r>
            <w:r w:rsidR="007D51A1">
              <w:t xml:space="preserve">. Reduce exposure to </w:t>
            </w:r>
            <w:r w:rsidR="007D51A1" w:rsidRPr="007D51A1">
              <w:t>polychlorinated biphenyls</w:t>
            </w:r>
            <w:r w:rsidR="007D51A1">
              <w:t xml:space="preserve"> (PCBs)</w:t>
            </w:r>
          </w:p>
        </w:tc>
      </w:tr>
      <w:tr w:rsidR="003F2E2B" w:rsidRPr="00CF564E" w14:paraId="4E2EE9FB"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06AB617F" w14:textId="77777777" w:rsidR="003F2E2B" w:rsidRDefault="003F2E2B"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77C7FC81" w14:textId="5DF0CB2A" w:rsidR="003F2E2B" w:rsidRDefault="00DA0936" w:rsidP="00304D18">
            <w:pPr>
              <w:pStyle w:val="TableText"/>
            </w:pPr>
            <w:r>
              <w:t>6</w:t>
            </w:r>
            <w:r w:rsidR="007D51A1">
              <w:t>. Reduce exposure to radon</w:t>
            </w:r>
          </w:p>
        </w:tc>
      </w:tr>
      <w:tr w:rsidR="003F2E2B" w:rsidRPr="00CF564E" w14:paraId="0B0C6300"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1ADF437D" w14:textId="77777777" w:rsidR="003F2E2B" w:rsidRDefault="003F2E2B"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022CC84A" w14:textId="5E7B9E15" w:rsidR="003F2E2B" w:rsidRDefault="008B026E" w:rsidP="00304D18">
            <w:pPr>
              <w:pStyle w:val="TableText"/>
            </w:pPr>
            <w:r>
              <w:t>7. Reduce exposure to outdoor air pollution</w:t>
            </w:r>
          </w:p>
        </w:tc>
      </w:tr>
      <w:tr w:rsidR="00CC0BE7" w:rsidRPr="00CF564E" w14:paraId="00134E89" w14:textId="77777777" w:rsidTr="009F69AC">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2D50C63D" w14:textId="091B5352" w:rsidR="00CC0BE7" w:rsidRPr="00CF564E" w:rsidRDefault="009018C1" w:rsidP="00304D18">
            <w:pPr>
              <w:pStyle w:val="TableText"/>
            </w:pPr>
            <w:r>
              <w:t>b</w:t>
            </w:r>
            <w:r w:rsidR="00CC0BE7" w:rsidRPr="00CF564E">
              <w:t>. Improve water quality</w:t>
            </w:r>
          </w:p>
        </w:tc>
      </w:tr>
      <w:tr w:rsidR="00B30B84" w:rsidRPr="00CF564E" w14:paraId="5DEA41A2"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6509529C" w14:textId="77777777" w:rsidR="00B30B84" w:rsidRDefault="00B30B84"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27A772C2" w14:textId="21786432" w:rsidR="00B30B84" w:rsidRDefault="00B30B84" w:rsidP="00304D18">
            <w:pPr>
              <w:pStyle w:val="TableText"/>
            </w:pPr>
            <w:r>
              <w:t xml:space="preserve">1. </w:t>
            </w:r>
            <w:r w:rsidRPr="00B30B84">
              <w:t xml:space="preserve">Reduce </w:t>
            </w:r>
            <w:r>
              <w:t>e</w:t>
            </w:r>
            <w:r w:rsidRPr="00B30B84">
              <w:t xml:space="preserve">xposure to </w:t>
            </w:r>
            <w:r>
              <w:t>l</w:t>
            </w:r>
            <w:r w:rsidRPr="00B30B84">
              <w:t xml:space="preserve">ead in </w:t>
            </w:r>
            <w:r>
              <w:t>d</w:t>
            </w:r>
            <w:r w:rsidRPr="00B30B84">
              <w:t xml:space="preserve">rinking </w:t>
            </w:r>
            <w:r>
              <w:t>w</w:t>
            </w:r>
            <w:r w:rsidRPr="00B30B84">
              <w:t>ater</w:t>
            </w:r>
          </w:p>
        </w:tc>
      </w:tr>
      <w:tr w:rsidR="00B30B84" w:rsidRPr="00CF564E" w14:paraId="0993F0B7" w14:textId="77777777" w:rsidTr="009F69AC">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410FE717" w14:textId="77777777" w:rsidR="00B30B84" w:rsidRDefault="00B30B84"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1A214655" w14:textId="24006D13" w:rsidR="00B30B84" w:rsidRDefault="00B30B84" w:rsidP="00304D18">
            <w:pPr>
              <w:pStyle w:val="TableText"/>
            </w:pPr>
            <w:r>
              <w:t>2.</w:t>
            </w:r>
            <w:r w:rsidR="009F69AC">
              <w:t xml:space="preserve"> Reduce exposure to PFAS in drinking water</w:t>
            </w:r>
          </w:p>
        </w:tc>
      </w:tr>
      <w:tr w:rsidR="00CC0BE7" w:rsidRPr="00CF564E" w14:paraId="14009583"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7FB88B3F" w14:textId="68500C28" w:rsidR="00CC0BE7" w:rsidRPr="00CF564E" w:rsidRDefault="009018C1" w:rsidP="00304D18">
            <w:pPr>
              <w:pStyle w:val="TableText"/>
            </w:pPr>
            <w:r>
              <w:t>c</w:t>
            </w:r>
            <w:r w:rsidR="00CC0BE7" w:rsidRPr="00CF564E">
              <w:t>. Maintain thermal comfort</w:t>
            </w:r>
          </w:p>
        </w:tc>
      </w:tr>
      <w:tr w:rsidR="00CC0BE7" w:rsidRPr="00CF564E" w14:paraId="1AA13F9D"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757491A3" w14:textId="69337B14" w:rsidR="00CC0BE7" w:rsidRPr="00CF564E" w:rsidRDefault="009018C1" w:rsidP="00304D18">
            <w:pPr>
              <w:pStyle w:val="TableText"/>
            </w:pPr>
            <w:r>
              <w:t>d</w:t>
            </w:r>
            <w:r w:rsidR="00CC0BE7" w:rsidRPr="00CF564E">
              <w:t>. U</w:t>
            </w:r>
            <w:r w:rsidR="00F73243">
              <w:t>se</w:t>
            </w:r>
            <w:r w:rsidR="00CC0BE7" w:rsidRPr="00CF564E">
              <w:t xml:space="preserve"> integrated pest management</w:t>
            </w:r>
          </w:p>
        </w:tc>
      </w:tr>
      <w:tr w:rsidR="00CC0BE7" w:rsidRPr="00CF564E" w14:paraId="08CF1B29"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3712320B" w14:textId="49E320EC" w:rsidR="00CC0BE7" w:rsidRPr="00CF564E" w:rsidRDefault="009018C1" w:rsidP="00304D18">
            <w:pPr>
              <w:pStyle w:val="TableText"/>
            </w:pPr>
            <w:r>
              <w:t>e</w:t>
            </w:r>
            <w:r w:rsidR="00CC0BE7" w:rsidRPr="00CF564E">
              <w:t>. Procure and use green cleaning supplies</w:t>
            </w:r>
            <w:r w:rsidR="009E322E">
              <w:t xml:space="preserve"> and </w:t>
            </w:r>
            <w:r w:rsidR="00CC0BE7" w:rsidRPr="00CF564E">
              <w:t>chemicals</w:t>
            </w:r>
          </w:p>
        </w:tc>
      </w:tr>
      <w:tr w:rsidR="00CC0BE7" w:rsidRPr="00CF564E" w14:paraId="5A129B0C" w14:textId="77777777" w:rsidTr="00310BDE">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0C51B04A" w14:textId="2934E0BF" w:rsidR="00CC0BE7" w:rsidRPr="00CF564E" w:rsidRDefault="009018C1" w:rsidP="00304D18">
            <w:pPr>
              <w:pStyle w:val="TableText"/>
            </w:pPr>
            <w:r>
              <w:t>f</w:t>
            </w:r>
            <w:r w:rsidR="00CC0BE7" w:rsidRPr="00CF564E">
              <w:t xml:space="preserve">. </w:t>
            </w:r>
            <w:r w:rsidR="00A92DAB">
              <w:t>Reduce</w:t>
            </w:r>
            <w:r w:rsidR="00CC0BE7" w:rsidRPr="00CF564E">
              <w:t xml:space="preserve"> exposure to hazardous substances </w:t>
            </w:r>
          </w:p>
        </w:tc>
      </w:tr>
      <w:tr w:rsidR="009F69AC" w:rsidRPr="00CF564E" w14:paraId="16EAA316" w14:textId="77777777" w:rsidTr="00310BDE">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66FBABD2" w14:textId="77777777" w:rsidR="009F69AC" w:rsidRDefault="009F69AC"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228657FF" w14:textId="514EC214" w:rsidR="009F69AC" w:rsidRDefault="00310BDE" w:rsidP="00304D18">
            <w:pPr>
              <w:pStyle w:val="TableText"/>
            </w:pPr>
            <w:r>
              <w:t>1. Reduce exposure to lead in paint and soil</w:t>
            </w:r>
          </w:p>
        </w:tc>
      </w:tr>
      <w:tr w:rsidR="009F69AC" w:rsidRPr="00CF564E" w14:paraId="548E2FCC" w14:textId="77777777" w:rsidTr="00310BDE">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6411F57F" w14:textId="77777777" w:rsidR="009F69AC" w:rsidRDefault="009F69AC"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2004005A" w14:textId="68366BEF" w:rsidR="009F69AC" w:rsidRDefault="00310BDE" w:rsidP="00304D18">
            <w:pPr>
              <w:pStyle w:val="TableText"/>
            </w:pPr>
            <w:r>
              <w:t>2. Reduce exposure to mercury</w:t>
            </w:r>
          </w:p>
        </w:tc>
      </w:tr>
      <w:tr w:rsidR="00CC0BE7" w:rsidRPr="00CF564E" w14:paraId="3971BEA4"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16D3011D" w14:textId="6E57BB77" w:rsidR="00CC0BE7" w:rsidRPr="00CF564E" w:rsidRDefault="009018C1" w:rsidP="00304D18">
            <w:pPr>
              <w:pStyle w:val="TableText"/>
            </w:pPr>
            <w:r>
              <w:t>g</w:t>
            </w:r>
            <w:r w:rsidR="00CC0BE7" w:rsidRPr="00CF564E">
              <w:t>. Safely procure, use, and dispose of crumb rubber</w:t>
            </w:r>
          </w:p>
        </w:tc>
      </w:tr>
      <w:tr w:rsidR="00CC0BE7" w:rsidRPr="00CF564E" w14:paraId="66723C07"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5BAB7297" w14:textId="5B969F51" w:rsidR="00CC0BE7" w:rsidRPr="00CF564E" w:rsidRDefault="009018C1" w:rsidP="00304D18">
            <w:pPr>
              <w:pStyle w:val="TableText"/>
            </w:pPr>
            <w:r>
              <w:t>h</w:t>
            </w:r>
            <w:r w:rsidR="00CC0BE7" w:rsidRPr="00CF564E">
              <w:t>. Create a safe environment for students with life-threatening food allergies</w:t>
            </w:r>
          </w:p>
        </w:tc>
      </w:tr>
      <w:tr w:rsidR="00CC0BE7" w:rsidRPr="00CF564E" w14:paraId="382C5574" w14:textId="77777777" w:rsidTr="00E74686">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4775C2F1" w14:textId="0CF5DDB4" w:rsidR="00CC0BE7" w:rsidRPr="00CF564E" w:rsidRDefault="009018C1" w:rsidP="00304D18">
            <w:pPr>
              <w:pStyle w:val="TableText"/>
            </w:pPr>
            <w:r>
              <w:t>i</w:t>
            </w:r>
            <w:r w:rsidR="00CC0BE7" w:rsidRPr="00CF564E">
              <w:t xml:space="preserve">. Create </w:t>
            </w:r>
            <w:r w:rsidR="00A92DAB">
              <w:t xml:space="preserve">a </w:t>
            </w:r>
            <w:r w:rsidR="00CC0BE7" w:rsidRPr="00CF564E">
              <w:t>productive learning environment for all students</w:t>
            </w:r>
          </w:p>
        </w:tc>
      </w:tr>
      <w:tr w:rsidR="00310BDE" w:rsidRPr="00CF564E" w14:paraId="45363372" w14:textId="77777777" w:rsidTr="00E74686">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6379AECA" w14:textId="77777777" w:rsidR="00310BDE" w:rsidRDefault="00310BDE"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495E642F" w14:textId="37477C83" w:rsidR="00310BDE" w:rsidRDefault="00310BDE" w:rsidP="00304D18">
            <w:pPr>
              <w:pStyle w:val="TableText"/>
            </w:pPr>
            <w:r>
              <w:t xml:space="preserve">1. </w:t>
            </w:r>
            <w:r w:rsidR="00E74686">
              <w:t>Optimize lighting</w:t>
            </w:r>
          </w:p>
        </w:tc>
      </w:tr>
      <w:tr w:rsidR="00310BDE" w:rsidRPr="00CF564E" w14:paraId="515188DC" w14:textId="77777777" w:rsidTr="00E74686">
        <w:trPr>
          <w:trHeight w:val="255"/>
          <w:tblHeader/>
          <w:jc w:val="center"/>
        </w:trPr>
        <w:tc>
          <w:tcPr>
            <w:tcW w:w="142" w:type="pct"/>
            <w:tcBorders>
              <w:top w:val="single" w:sz="4" w:space="0" w:color="auto"/>
              <w:left w:val="single" w:sz="4" w:space="0" w:color="auto"/>
              <w:bottom w:val="single" w:sz="4" w:space="0" w:color="auto"/>
            </w:tcBorders>
            <w:shd w:val="clear" w:color="auto" w:fill="auto"/>
            <w:vAlign w:val="center"/>
          </w:tcPr>
          <w:p w14:paraId="52AEE47E" w14:textId="77777777" w:rsidR="00310BDE" w:rsidRDefault="00310BDE" w:rsidP="00304D18">
            <w:pPr>
              <w:pStyle w:val="TableText"/>
            </w:pPr>
          </w:p>
        </w:tc>
        <w:tc>
          <w:tcPr>
            <w:tcW w:w="4858" w:type="pct"/>
            <w:tcBorders>
              <w:top w:val="single" w:sz="4" w:space="0" w:color="auto"/>
              <w:bottom w:val="single" w:sz="4" w:space="0" w:color="auto"/>
              <w:right w:val="single" w:sz="4" w:space="0" w:color="auto"/>
            </w:tcBorders>
            <w:shd w:val="clear" w:color="auto" w:fill="auto"/>
            <w:vAlign w:val="center"/>
          </w:tcPr>
          <w:p w14:paraId="1A809143" w14:textId="3B1C02D5" w:rsidR="00310BDE" w:rsidRDefault="00E74686" w:rsidP="00304D18">
            <w:pPr>
              <w:pStyle w:val="TableText"/>
            </w:pPr>
            <w:r>
              <w:t>2. Optimize acoustic performance</w:t>
            </w:r>
          </w:p>
        </w:tc>
      </w:tr>
      <w:tr w:rsidR="00CC0BE7" w:rsidRPr="00CF564E" w14:paraId="04BD3C39" w14:textId="77777777" w:rsidTr="00CC0BE7">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17D70561" w14:textId="49C47DCF" w:rsidR="00CC0BE7" w:rsidRPr="00CF564E" w:rsidRDefault="009018C1" w:rsidP="00304D18">
            <w:pPr>
              <w:pStyle w:val="TableText"/>
            </w:pPr>
            <w:r>
              <w:t>j</w:t>
            </w:r>
            <w:r w:rsidR="00CC0BE7" w:rsidRPr="00CF564E">
              <w:t>.</w:t>
            </w:r>
            <w:r>
              <w:t xml:space="preserve"> </w:t>
            </w:r>
            <w:r w:rsidRPr="009018C1">
              <w:t>Design the built environment to foster a peaceful school community</w:t>
            </w:r>
          </w:p>
        </w:tc>
      </w:tr>
      <w:tr w:rsidR="008D5563" w:rsidRPr="00CF564E" w14:paraId="6E9580FB" w14:textId="77777777" w:rsidTr="00304D18">
        <w:trPr>
          <w:trHeight w:val="255"/>
          <w:tblHeader/>
          <w:jc w:val="center"/>
        </w:trPr>
        <w:tc>
          <w:tcPr>
            <w:tcW w:w="5000" w:type="pct"/>
            <w:gridSpan w:val="2"/>
            <w:tcBorders>
              <w:top w:val="nil"/>
              <w:left w:val="single" w:sz="4" w:space="0" w:color="auto"/>
              <w:bottom w:val="single" w:sz="4" w:space="0" w:color="auto"/>
              <w:right w:val="single" w:sz="4" w:space="0" w:color="auto"/>
            </w:tcBorders>
            <w:shd w:val="clear" w:color="auto" w:fill="002060"/>
            <w:vAlign w:val="center"/>
          </w:tcPr>
          <w:p w14:paraId="76D543C3" w14:textId="75AFDF29" w:rsidR="008D5563" w:rsidRPr="00CF564E" w:rsidRDefault="008D5563" w:rsidP="00304D18">
            <w:pPr>
              <w:pStyle w:val="TableRowHeader"/>
            </w:pPr>
            <w:r w:rsidRPr="00CF564E">
              <w:t>Goal 3: Achieve Equitable Outcomes for All Students</w:t>
            </w:r>
          </w:p>
        </w:tc>
      </w:tr>
      <w:tr w:rsidR="00CC0BE7" w:rsidRPr="00CF564E" w14:paraId="5BFCEA2A" w14:textId="77777777" w:rsidTr="00CC0BE7">
        <w:trPr>
          <w:trHeight w:val="255"/>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9E9DA" w14:textId="1239EF05" w:rsidR="00CC0BE7" w:rsidRPr="00CF564E" w:rsidRDefault="009018C1" w:rsidP="00304D18">
            <w:pPr>
              <w:pStyle w:val="TableText"/>
            </w:pPr>
            <w:r>
              <w:t>a</w:t>
            </w:r>
            <w:r w:rsidR="00CC0BE7" w:rsidRPr="00CF564E">
              <w:t>. Optimize space to equitably meet special education needs</w:t>
            </w:r>
          </w:p>
        </w:tc>
      </w:tr>
      <w:tr w:rsidR="00CC0BE7" w:rsidRPr="00CF564E" w14:paraId="0E13F177" w14:textId="77777777" w:rsidTr="00CC0BE7">
        <w:trPr>
          <w:trHeight w:val="255"/>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B0399B" w14:textId="317D75D3" w:rsidR="00CC0BE7" w:rsidRPr="00CF564E" w:rsidRDefault="009018C1" w:rsidP="00304D18">
            <w:pPr>
              <w:pStyle w:val="TableText"/>
            </w:pPr>
            <w:r>
              <w:t>b</w:t>
            </w:r>
            <w:r w:rsidR="00CC0BE7" w:rsidRPr="00CF564E">
              <w:t xml:space="preserve">. </w:t>
            </w:r>
            <w:r w:rsidR="00782157">
              <w:t>Prioritize</w:t>
            </w:r>
            <w:r w:rsidR="00CC0BE7" w:rsidRPr="00CF564E">
              <w:t xml:space="preserve"> universal accessibility</w:t>
            </w:r>
          </w:p>
        </w:tc>
      </w:tr>
      <w:tr w:rsidR="00CC0BE7" w:rsidRPr="00CF564E" w14:paraId="7496AD2E" w14:textId="77777777" w:rsidTr="00CC0BE7">
        <w:trPr>
          <w:trHeight w:val="255"/>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232B36" w14:textId="6649DE6B" w:rsidR="00CC0BE7" w:rsidRPr="00CF564E" w:rsidRDefault="009018C1" w:rsidP="00304D18">
            <w:pPr>
              <w:pStyle w:val="TableText"/>
            </w:pPr>
            <w:r>
              <w:t>c</w:t>
            </w:r>
            <w:r w:rsidR="00CC0BE7" w:rsidRPr="00CF564E">
              <w:t>. Use available data to identify and equitably prioritize schools of greatest need</w:t>
            </w:r>
            <w:r w:rsidR="007D3A55">
              <w:t xml:space="preserve"> and advocate for additional funding opportunities</w:t>
            </w:r>
          </w:p>
        </w:tc>
      </w:tr>
    </w:tbl>
    <w:p w14:paraId="56872724" w14:textId="1369B296" w:rsidR="00D53A70" w:rsidRDefault="00A81959" w:rsidP="006D7DE6">
      <w:pPr>
        <w:pStyle w:val="BodyTextFirstIndent"/>
      </w:pPr>
      <w:r w:rsidRPr="005F7ED6">
        <w:lastRenderedPageBreak/>
        <w:t>Because of the significant breadth and scope of the report</w:t>
      </w:r>
      <w:r w:rsidR="00F67811" w:rsidRPr="005F7ED6">
        <w:t xml:space="preserve"> and the potential need for either a high</w:t>
      </w:r>
      <w:r w:rsidR="008B3FE9" w:rsidRPr="005F7ED6">
        <w:t>-</w:t>
      </w:r>
      <w:r w:rsidR="00F67811" w:rsidRPr="005F7ED6">
        <w:t>level or more in-depth understanding of the goal areas</w:t>
      </w:r>
      <w:r w:rsidR="008B3FE9" w:rsidRPr="005F7ED6">
        <w:t>, objectives, co-benefits, and potential disadvantages of approaches needed, the report is divided into two distinct modules</w:t>
      </w:r>
      <w:r w:rsidR="00D53A70">
        <w:t>:</w:t>
      </w:r>
    </w:p>
    <w:p w14:paraId="66727E60" w14:textId="11472B20" w:rsidR="00530760" w:rsidRDefault="003541FA" w:rsidP="006D7DE6">
      <w:pPr>
        <w:pStyle w:val="BodyTextFirstIndent"/>
      </w:pPr>
      <w:r w:rsidRPr="00D53A70">
        <w:rPr>
          <w:b/>
          <w:bCs/>
        </w:rPr>
        <w:t>Module 1</w:t>
      </w:r>
      <w:r w:rsidR="00834771" w:rsidRPr="00D53A70">
        <w:rPr>
          <w:b/>
          <w:bCs/>
        </w:rPr>
        <w:t>: High-Level Overview of Methods and Best Practices</w:t>
      </w:r>
      <w:r w:rsidR="00AB70D7" w:rsidRPr="005F7ED6">
        <w:t xml:space="preserve"> includes a discrete section for e</w:t>
      </w:r>
      <w:r w:rsidR="00095E2A" w:rsidRPr="005F7ED6">
        <w:t>ach</w:t>
      </w:r>
      <w:r w:rsidR="00AB70D7" w:rsidRPr="005F7ED6">
        <w:t xml:space="preserve"> paired goal and objective</w:t>
      </w:r>
      <w:r w:rsidR="00CB05D1" w:rsidRPr="005F7ED6">
        <w:t xml:space="preserve"> (Sections</w:t>
      </w:r>
      <w:r w:rsidR="000D0550" w:rsidRPr="005F7ED6">
        <w:t xml:space="preserve"> II-IV)</w:t>
      </w:r>
      <w:r w:rsidR="007502A5" w:rsidRPr="005F7ED6">
        <w:t xml:space="preserve"> that includes the following content:</w:t>
      </w:r>
    </w:p>
    <w:p w14:paraId="0B5F3720" w14:textId="6DB52C1F" w:rsidR="007502A5" w:rsidRDefault="007502A5" w:rsidP="008131EB">
      <w:pPr>
        <w:pStyle w:val="ListBullet"/>
      </w:pPr>
      <w:r>
        <w:t>Background</w:t>
      </w:r>
      <w:r w:rsidR="00C4081F">
        <w:t xml:space="preserve"> </w:t>
      </w:r>
      <w:r w:rsidR="003368D2">
        <w:t>information to provide helpful context</w:t>
      </w:r>
    </w:p>
    <w:p w14:paraId="4732D3DA" w14:textId="1799FE39" w:rsidR="002420E7" w:rsidRDefault="006C7ABC" w:rsidP="008131EB">
      <w:pPr>
        <w:pStyle w:val="ListBullet"/>
      </w:pPr>
      <w:r>
        <w:t xml:space="preserve">A </w:t>
      </w:r>
      <w:r w:rsidR="004922EC">
        <w:t xml:space="preserve">high-level </w:t>
      </w:r>
      <w:r>
        <w:t>tabular s</w:t>
      </w:r>
      <w:r w:rsidR="002420E7">
        <w:t>ummary of methods and best practices for achieving the paired goal and objective</w:t>
      </w:r>
      <w:r w:rsidR="00CA4C4C">
        <w:t xml:space="preserve"> that includes</w:t>
      </w:r>
      <w:r w:rsidR="00A2720A">
        <w:t xml:space="preserve"> </w:t>
      </w:r>
      <w:r w:rsidR="00E335E6">
        <w:t xml:space="preserve">the </w:t>
      </w:r>
      <w:r w:rsidR="00A2720A">
        <w:t>f</w:t>
      </w:r>
      <w:r w:rsidR="00200974">
        <w:t>ollowing information</w:t>
      </w:r>
      <w:r w:rsidR="00EA1C5A">
        <w:t xml:space="preserve"> for</w:t>
      </w:r>
      <w:r w:rsidR="00386BB6">
        <w:t xml:space="preserve"> each</w:t>
      </w:r>
      <w:r w:rsidR="00EA1C5A">
        <w:t xml:space="preserve"> </w:t>
      </w:r>
      <w:r w:rsidR="00386BB6">
        <w:t>method and best practice</w:t>
      </w:r>
      <w:r w:rsidR="00200974">
        <w:t>:</w:t>
      </w:r>
    </w:p>
    <w:p w14:paraId="709DEE73" w14:textId="3D1E55B4" w:rsidR="00EA1C5A" w:rsidRDefault="000048C6" w:rsidP="00F309A2">
      <w:pPr>
        <w:pStyle w:val="ListBullet2"/>
      </w:pPr>
      <w:r>
        <w:rPr>
          <w:noProof/>
        </w:rPr>
        <mc:AlternateContent>
          <mc:Choice Requires="wps">
            <w:drawing>
              <wp:anchor distT="0" distB="0" distL="114300" distR="114300" simplePos="0" relativeHeight="251657728" behindDoc="0" locked="0" layoutInCell="1" allowOverlap="1" wp14:anchorId="0AD94455" wp14:editId="6924176C">
                <wp:simplePos x="0" y="0"/>
                <wp:positionH relativeFrom="margin">
                  <wp:posOffset>3238500</wp:posOffset>
                </wp:positionH>
                <wp:positionV relativeFrom="paragraph">
                  <wp:posOffset>9525</wp:posOffset>
                </wp:positionV>
                <wp:extent cx="2692400" cy="2573020"/>
                <wp:effectExtent l="0" t="0" r="12700" b="17780"/>
                <wp:wrapSquare wrapText="bothSides"/>
                <wp:docPr id="408522395" name="Text Box 1"/>
                <wp:cNvGraphicFramePr/>
                <a:graphic xmlns:a="http://schemas.openxmlformats.org/drawingml/2006/main">
                  <a:graphicData uri="http://schemas.microsoft.com/office/word/2010/wordprocessingShape">
                    <wps:wsp>
                      <wps:cNvSpPr txBox="1"/>
                      <wps:spPr bwMode="auto">
                        <a:xfrm>
                          <a:off x="0" y="0"/>
                          <a:ext cx="2692400" cy="2573020"/>
                        </a:xfrm>
                        <a:prstGeom prst="rect">
                          <a:avLst/>
                        </a:prstGeom>
                        <a:solidFill>
                          <a:schemeClr val="accent1">
                            <a:lumMod val="20000"/>
                            <a:lumOff val="80000"/>
                          </a:schemeClr>
                        </a:solidFill>
                        <a:ln w="9525">
                          <a:solidFill>
                            <a:schemeClr val="tx1"/>
                          </a:solidFill>
                          <a:miter lim="800000"/>
                          <a:headEnd/>
                          <a:tailEnd/>
                        </a:ln>
                      </wps:spPr>
                      <wps:txbx>
                        <w:txbxContent>
                          <w:p w14:paraId="499DE44B" w14:textId="31AA15E1" w:rsidR="00BD2538" w:rsidRPr="0066462E" w:rsidRDefault="00D63D1F" w:rsidP="00BD2538">
                            <w:pPr>
                              <w:rPr>
                                <w:rFonts w:ascii="Arial" w:hAnsi="Arial" w:cs="Arial"/>
                                <w:sz w:val="24"/>
                              </w:rPr>
                            </w:pPr>
                            <w:r>
                              <w:rPr>
                                <w:rFonts w:ascii="Arial" w:hAnsi="Arial" w:cs="Arial"/>
                                <w:sz w:val="24"/>
                              </w:rPr>
                              <w:t>Given the variability and uncertainty related to the cost of goods and construction</w:t>
                            </w:r>
                            <w:r w:rsidR="00FE38E9">
                              <w:rPr>
                                <w:rFonts w:ascii="Arial" w:hAnsi="Arial" w:cs="Arial"/>
                                <w:sz w:val="24"/>
                              </w:rPr>
                              <w:t xml:space="preserve">, </w:t>
                            </w:r>
                            <w:r w:rsidR="009325D8">
                              <w:rPr>
                                <w:rFonts w:ascii="Arial" w:hAnsi="Arial" w:cs="Arial"/>
                                <w:sz w:val="24"/>
                              </w:rPr>
                              <w:t xml:space="preserve">the </w:t>
                            </w:r>
                            <w:r w:rsidR="00C53656">
                              <w:rPr>
                                <w:rFonts w:ascii="Arial" w:hAnsi="Arial" w:cs="Arial"/>
                                <w:sz w:val="24"/>
                              </w:rPr>
                              <w:t>persi</w:t>
                            </w:r>
                            <w:r w:rsidR="0051269F">
                              <w:rPr>
                                <w:rFonts w:ascii="Arial" w:hAnsi="Arial" w:cs="Arial"/>
                                <w:sz w:val="24"/>
                              </w:rPr>
                              <w:t>s</w:t>
                            </w:r>
                            <w:r w:rsidR="00C53656">
                              <w:rPr>
                                <w:rFonts w:ascii="Arial" w:hAnsi="Arial" w:cs="Arial"/>
                                <w:sz w:val="24"/>
                              </w:rPr>
                              <w:t>tence</w:t>
                            </w:r>
                            <w:r>
                              <w:rPr>
                                <w:rFonts w:ascii="Arial" w:hAnsi="Arial" w:cs="Arial"/>
                                <w:sz w:val="24"/>
                              </w:rPr>
                              <w:t xml:space="preserve"> of tax credits/rebates,</w:t>
                            </w:r>
                            <w:r w:rsidR="00903922">
                              <w:rPr>
                                <w:rFonts w:ascii="Arial" w:hAnsi="Arial" w:cs="Arial"/>
                                <w:sz w:val="24"/>
                              </w:rPr>
                              <w:t xml:space="preserve"> and the range of possible implementation scenarios</w:t>
                            </w:r>
                            <w:r w:rsidR="000F3475">
                              <w:rPr>
                                <w:rFonts w:ascii="Arial" w:hAnsi="Arial" w:cs="Arial"/>
                                <w:sz w:val="24"/>
                              </w:rPr>
                              <w:t xml:space="preserve"> across schools,</w:t>
                            </w:r>
                            <w:r>
                              <w:rPr>
                                <w:rFonts w:ascii="Arial" w:hAnsi="Arial" w:cs="Arial"/>
                                <w:sz w:val="24"/>
                              </w:rPr>
                              <w:t xml:space="preserve"> this report does not </w:t>
                            </w:r>
                            <w:r w:rsidR="0051269F">
                              <w:rPr>
                                <w:rFonts w:ascii="Arial" w:hAnsi="Arial" w:cs="Arial"/>
                                <w:sz w:val="24"/>
                              </w:rPr>
                              <w:t xml:space="preserve">include </w:t>
                            </w:r>
                            <w:r w:rsidR="000F3475">
                              <w:rPr>
                                <w:rFonts w:ascii="Arial" w:hAnsi="Arial" w:cs="Arial"/>
                                <w:sz w:val="24"/>
                              </w:rPr>
                              <w:t>precise cost estimates. Rather, t</w:t>
                            </w:r>
                            <w:r w:rsidR="00BC1CDC">
                              <w:rPr>
                                <w:rFonts w:ascii="Arial" w:hAnsi="Arial" w:cs="Arial"/>
                                <w:sz w:val="24"/>
                              </w:rPr>
                              <w:t>h</w:t>
                            </w:r>
                            <w:r w:rsidR="00B773A1">
                              <w:rPr>
                                <w:rFonts w:ascii="Arial" w:hAnsi="Arial" w:cs="Arial"/>
                                <w:sz w:val="24"/>
                              </w:rPr>
                              <w:t>is</w:t>
                            </w:r>
                            <w:r w:rsidR="00BC1CDC">
                              <w:rPr>
                                <w:rFonts w:ascii="Arial" w:hAnsi="Arial" w:cs="Arial"/>
                                <w:sz w:val="24"/>
                              </w:rPr>
                              <w:t xml:space="preserve"> report </w:t>
                            </w:r>
                            <w:r w:rsidR="00070419">
                              <w:rPr>
                                <w:rFonts w:ascii="Arial" w:hAnsi="Arial" w:cs="Arial"/>
                                <w:sz w:val="24"/>
                              </w:rPr>
                              <w:t>communicates</w:t>
                            </w:r>
                            <w:r w:rsidR="00BC1CDC">
                              <w:rPr>
                                <w:rFonts w:ascii="Arial" w:hAnsi="Arial" w:cs="Arial"/>
                                <w:sz w:val="24"/>
                              </w:rPr>
                              <w:t xml:space="preserve"> projected cost estimates for implementing </w:t>
                            </w:r>
                            <w:r w:rsidR="002422CF">
                              <w:rPr>
                                <w:rFonts w:ascii="Arial" w:hAnsi="Arial" w:cs="Arial"/>
                                <w:sz w:val="24"/>
                              </w:rPr>
                              <w:t>recommendations</w:t>
                            </w:r>
                            <w:r w:rsidR="00941E2D">
                              <w:rPr>
                                <w:rFonts w:ascii="Arial" w:hAnsi="Arial" w:cs="Arial"/>
                                <w:sz w:val="24"/>
                              </w:rPr>
                              <w:t xml:space="preserve"> by </w:t>
                            </w:r>
                            <w:r w:rsidR="00070419">
                              <w:rPr>
                                <w:rFonts w:ascii="Arial" w:hAnsi="Arial" w:cs="Arial"/>
                                <w:sz w:val="24"/>
                              </w:rPr>
                              <w:t xml:space="preserve">presenting a </w:t>
                            </w:r>
                            <w:r w:rsidR="00070419" w:rsidRPr="00B773A1">
                              <w:rPr>
                                <w:rFonts w:ascii="Arial" w:hAnsi="Arial" w:cs="Arial"/>
                                <w:b/>
                                <w:bCs/>
                                <w:i/>
                                <w:iCs/>
                                <w:sz w:val="24"/>
                              </w:rPr>
                              <w:t>range of</w:t>
                            </w:r>
                            <w:r w:rsidR="000374FE" w:rsidRPr="00B773A1">
                              <w:rPr>
                                <w:rFonts w:ascii="Arial" w:hAnsi="Arial" w:cs="Arial"/>
                                <w:b/>
                                <w:bCs/>
                                <w:i/>
                                <w:iCs/>
                                <w:sz w:val="24"/>
                              </w:rPr>
                              <w:t xml:space="preserve"> estimate</w:t>
                            </w:r>
                            <w:r w:rsidR="002422CF" w:rsidRPr="00B773A1">
                              <w:rPr>
                                <w:rFonts w:ascii="Arial" w:hAnsi="Arial" w:cs="Arial"/>
                                <w:b/>
                                <w:bCs/>
                                <w:i/>
                                <w:iCs/>
                                <w:sz w:val="24"/>
                              </w:rPr>
                              <w:t>d</w:t>
                            </w:r>
                            <w:r w:rsidR="000374FE" w:rsidRPr="00B773A1">
                              <w:rPr>
                                <w:rFonts w:ascii="Arial" w:hAnsi="Arial" w:cs="Arial"/>
                                <w:b/>
                                <w:bCs/>
                                <w:i/>
                                <w:iCs/>
                                <w:sz w:val="24"/>
                              </w:rPr>
                              <w:t xml:space="preserve"> costs</w:t>
                            </w:r>
                            <w:r w:rsidR="0039288E">
                              <w:rPr>
                                <w:rFonts w:ascii="Arial" w:hAnsi="Arial" w:cs="Arial"/>
                                <w:sz w:val="24"/>
                              </w:rPr>
                              <w:t xml:space="preserve"> for each method and best practice</w:t>
                            </w:r>
                            <w:r w:rsidR="000374FE">
                              <w:rPr>
                                <w:rFonts w:ascii="Arial" w:hAnsi="Arial" w:cs="Arial"/>
                                <w:sz w:val="24"/>
                              </w:rPr>
                              <w:t>, split into capital costs and operating costs</w:t>
                            </w:r>
                            <w:r w:rsidR="002422CF">
                              <w:rPr>
                                <w:rFonts w:ascii="Arial" w:hAnsi="Arial" w:cs="Arial"/>
                                <w:sz w:val="24"/>
                              </w:rPr>
                              <w:t>.</w:t>
                            </w:r>
                            <w:r w:rsidR="00BC7F33">
                              <w:rPr>
                                <w:rFonts w:ascii="Arial" w:hAnsi="Arial" w:cs="Arial"/>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D94455" id="_x0000_s1035" type="#_x0000_t202" style="position:absolute;left:0;text-align:left;margin-left:255pt;margin-top:.75pt;width:212pt;height:202.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" fillcolor="#dbe5f1 [660]" strokecolor="black [3213]">
                <v:textbox>
                  <w:txbxContent>
                    <w:p w14:paraId="499DE44B" w14:textId="31AA15E1" w:rsidR="00BD2538" w:rsidRPr="0066462E" w:rsidRDefault="00D63D1F" w:rsidP="00BD2538">
                      <w:pPr>
                        <w:rPr>
                          <w:rFonts w:ascii="Arial" w:hAnsi="Arial" w:cs="Arial"/>
                          <w:sz w:val="24"/>
                        </w:rPr>
                      </w:pPr>
                      <w:r>
                        <w:rPr>
                          <w:rFonts w:ascii="Arial" w:hAnsi="Arial" w:cs="Arial"/>
                          <w:sz w:val="24"/>
                        </w:rPr>
                        <w:t>Given the variability and uncertainty related to the cost of goods and construction</w:t>
                      </w:r>
                      <w:r w:rsidR="00FE38E9">
                        <w:rPr>
                          <w:rFonts w:ascii="Arial" w:hAnsi="Arial" w:cs="Arial"/>
                          <w:sz w:val="24"/>
                        </w:rPr>
                        <w:t xml:space="preserve">, </w:t>
                      </w:r>
                      <w:r w:rsidR="009325D8">
                        <w:rPr>
                          <w:rFonts w:ascii="Arial" w:hAnsi="Arial" w:cs="Arial"/>
                          <w:sz w:val="24"/>
                        </w:rPr>
                        <w:t xml:space="preserve">the </w:t>
                      </w:r>
                      <w:r w:rsidR="00C53656">
                        <w:rPr>
                          <w:rFonts w:ascii="Arial" w:hAnsi="Arial" w:cs="Arial"/>
                          <w:sz w:val="24"/>
                        </w:rPr>
                        <w:t>persi</w:t>
                      </w:r>
                      <w:r w:rsidR="0051269F">
                        <w:rPr>
                          <w:rFonts w:ascii="Arial" w:hAnsi="Arial" w:cs="Arial"/>
                          <w:sz w:val="24"/>
                        </w:rPr>
                        <w:t>s</w:t>
                      </w:r>
                      <w:r w:rsidR="00C53656">
                        <w:rPr>
                          <w:rFonts w:ascii="Arial" w:hAnsi="Arial" w:cs="Arial"/>
                          <w:sz w:val="24"/>
                        </w:rPr>
                        <w:t>tence</w:t>
                      </w:r>
                      <w:r>
                        <w:rPr>
                          <w:rFonts w:ascii="Arial" w:hAnsi="Arial" w:cs="Arial"/>
                          <w:sz w:val="24"/>
                        </w:rPr>
                        <w:t xml:space="preserve"> of tax credits/rebates,</w:t>
                      </w:r>
                      <w:r w:rsidR="00903922">
                        <w:rPr>
                          <w:rFonts w:ascii="Arial" w:hAnsi="Arial" w:cs="Arial"/>
                          <w:sz w:val="24"/>
                        </w:rPr>
                        <w:t xml:space="preserve"> and the range of possible implementation scenarios</w:t>
                      </w:r>
                      <w:r w:rsidR="000F3475">
                        <w:rPr>
                          <w:rFonts w:ascii="Arial" w:hAnsi="Arial" w:cs="Arial"/>
                          <w:sz w:val="24"/>
                        </w:rPr>
                        <w:t xml:space="preserve"> across schools,</w:t>
                      </w:r>
                      <w:r>
                        <w:rPr>
                          <w:rFonts w:ascii="Arial" w:hAnsi="Arial" w:cs="Arial"/>
                          <w:sz w:val="24"/>
                        </w:rPr>
                        <w:t xml:space="preserve"> this report does not </w:t>
                      </w:r>
                      <w:r w:rsidR="0051269F">
                        <w:rPr>
                          <w:rFonts w:ascii="Arial" w:hAnsi="Arial" w:cs="Arial"/>
                          <w:sz w:val="24"/>
                        </w:rPr>
                        <w:t xml:space="preserve">include </w:t>
                      </w:r>
                      <w:r w:rsidR="000F3475">
                        <w:rPr>
                          <w:rFonts w:ascii="Arial" w:hAnsi="Arial" w:cs="Arial"/>
                          <w:sz w:val="24"/>
                        </w:rPr>
                        <w:t>precise cost estimates. Rather, t</w:t>
                      </w:r>
                      <w:r w:rsidR="00BC1CDC">
                        <w:rPr>
                          <w:rFonts w:ascii="Arial" w:hAnsi="Arial" w:cs="Arial"/>
                          <w:sz w:val="24"/>
                        </w:rPr>
                        <w:t>h</w:t>
                      </w:r>
                      <w:r w:rsidR="00B773A1">
                        <w:rPr>
                          <w:rFonts w:ascii="Arial" w:hAnsi="Arial" w:cs="Arial"/>
                          <w:sz w:val="24"/>
                        </w:rPr>
                        <w:t>is</w:t>
                      </w:r>
                      <w:r w:rsidR="00BC1CDC">
                        <w:rPr>
                          <w:rFonts w:ascii="Arial" w:hAnsi="Arial" w:cs="Arial"/>
                          <w:sz w:val="24"/>
                        </w:rPr>
                        <w:t xml:space="preserve"> report </w:t>
                      </w:r>
                      <w:r w:rsidR="00070419">
                        <w:rPr>
                          <w:rFonts w:ascii="Arial" w:hAnsi="Arial" w:cs="Arial"/>
                          <w:sz w:val="24"/>
                        </w:rPr>
                        <w:t>communicates</w:t>
                      </w:r>
                      <w:r w:rsidR="00BC1CDC">
                        <w:rPr>
                          <w:rFonts w:ascii="Arial" w:hAnsi="Arial" w:cs="Arial"/>
                          <w:sz w:val="24"/>
                        </w:rPr>
                        <w:t xml:space="preserve"> projected cost estimates for implementing </w:t>
                      </w:r>
                      <w:r w:rsidR="002422CF">
                        <w:rPr>
                          <w:rFonts w:ascii="Arial" w:hAnsi="Arial" w:cs="Arial"/>
                          <w:sz w:val="24"/>
                        </w:rPr>
                        <w:t>recommendations</w:t>
                      </w:r>
                      <w:r w:rsidR="00941E2D">
                        <w:rPr>
                          <w:rFonts w:ascii="Arial" w:hAnsi="Arial" w:cs="Arial"/>
                          <w:sz w:val="24"/>
                        </w:rPr>
                        <w:t xml:space="preserve"> by </w:t>
                      </w:r>
                      <w:r w:rsidR="00070419">
                        <w:rPr>
                          <w:rFonts w:ascii="Arial" w:hAnsi="Arial" w:cs="Arial"/>
                          <w:sz w:val="24"/>
                        </w:rPr>
                        <w:t xml:space="preserve">presenting a </w:t>
                      </w:r>
                      <w:r w:rsidR="00070419" w:rsidRPr="00B773A1">
                        <w:rPr>
                          <w:rFonts w:ascii="Arial" w:hAnsi="Arial" w:cs="Arial"/>
                          <w:b/>
                          <w:bCs/>
                          <w:i/>
                          <w:iCs/>
                          <w:sz w:val="24"/>
                        </w:rPr>
                        <w:t>range of</w:t>
                      </w:r>
                      <w:r w:rsidR="000374FE" w:rsidRPr="00B773A1">
                        <w:rPr>
                          <w:rFonts w:ascii="Arial" w:hAnsi="Arial" w:cs="Arial"/>
                          <w:b/>
                          <w:bCs/>
                          <w:i/>
                          <w:iCs/>
                          <w:sz w:val="24"/>
                        </w:rPr>
                        <w:t xml:space="preserve"> estimate</w:t>
                      </w:r>
                      <w:r w:rsidR="002422CF" w:rsidRPr="00B773A1">
                        <w:rPr>
                          <w:rFonts w:ascii="Arial" w:hAnsi="Arial" w:cs="Arial"/>
                          <w:b/>
                          <w:bCs/>
                          <w:i/>
                          <w:iCs/>
                          <w:sz w:val="24"/>
                        </w:rPr>
                        <w:t>d</w:t>
                      </w:r>
                      <w:r w:rsidR="000374FE" w:rsidRPr="00B773A1">
                        <w:rPr>
                          <w:rFonts w:ascii="Arial" w:hAnsi="Arial" w:cs="Arial"/>
                          <w:b/>
                          <w:bCs/>
                          <w:i/>
                          <w:iCs/>
                          <w:sz w:val="24"/>
                        </w:rPr>
                        <w:t xml:space="preserve"> costs</w:t>
                      </w:r>
                      <w:r w:rsidR="0039288E">
                        <w:rPr>
                          <w:rFonts w:ascii="Arial" w:hAnsi="Arial" w:cs="Arial"/>
                          <w:sz w:val="24"/>
                        </w:rPr>
                        <w:t xml:space="preserve"> for each method and best practice</w:t>
                      </w:r>
                      <w:r w:rsidR="000374FE">
                        <w:rPr>
                          <w:rFonts w:ascii="Arial" w:hAnsi="Arial" w:cs="Arial"/>
                          <w:sz w:val="24"/>
                        </w:rPr>
                        <w:t>, split into capital costs and operating costs</w:t>
                      </w:r>
                      <w:r w:rsidR="002422CF">
                        <w:rPr>
                          <w:rFonts w:ascii="Arial" w:hAnsi="Arial" w:cs="Arial"/>
                          <w:sz w:val="24"/>
                        </w:rPr>
                        <w:t>.</w:t>
                      </w:r>
                      <w:r w:rsidR="00BC7F33">
                        <w:rPr>
                          <w:rFonts w:ascii="Arial" w:hAnsi="Arial" w:cs="Arial"/>
                          <w:sz w:val="24"/>
                        </w:rPr>
                        <w:t xml:space="preserve"> </w:t>
                      </w:r>
                    </w:p>
                  </w:txbxContent>
                </v:textbox>
                <w10:wrap type="square" anchorx="margin"/>
              </v:shape>
            </w:pict>
          </mc:Fallback>
        </mc:AlternateContent>
      </w:r>
      <w:r w:rsidR="00200974" w:rsidRPr="00A36DCA">
        <w:rPr>
          <w:i/>
          <w:iCs/>
        </w:rPr>
        <w:t>Capital cost</w:t>
      </w:r>
      <w:r w:rsidR="00F53752">
        <w:t xml:space="preserve"> – </w:t>
      </w:r>
      <w:r w:rsidR="005E0F90">
        <w:t>T</w:t>
      </w:r>
      <w:r w:rsidR="00F53752">
        <w:t>his</w:t>
      </w:r>
      <w:r w:rsidR="00377707">
        <w:t xml:space="preserve"> cost category </w:t>
      </w:r>
      <w:r w:rsidR="00056734">
        <w:t xml:space="preserve">covers </w:t>
      </w:r>
      <w:r w:rsidR="00441331">
        <w:t>an estimate</w:t>
      </w:r>
      <w:r w:rsidR="00FD70BE">
        <w:t>d</w:t>
      </w:r>
      <w:r w:rsidR="00441331">
        <w:t xml:space="preserve"> range of cost</w:t>
      </w:r>
      <w:r w:rsidR="00D13210">
        <w:t>s</w:t>
      </w:r>
      <w:r w:rsidR="00441331">
        <w:t xml:space="preserve"> for </w:t>
      </w:r>
      <w:r w:rsidR="00056734">
        <w:t>tangible goods or services expected to have lasting benefit</w:t>
      </w:r>
      <w:r w:rsidR="00BF178C">
        <w:t>s</w:t>
      </w:r>
      <w:r w:rsidR="005E0F90">
        <w:t>.</w:t>
      </w:r>
      <w:r w:rsidR="000E32B2">
        <w:t xml:space="preserve"> </w:t>
      </w:r>
      <w:r w:rsidR="000E32B2" w:rsidRPr="00F11786">
        <w:t>Objective 1a. Decarbonize Buildings</w:t>
      </w:r>
      <w:r w:rsidR="000E32B2">
        <w:t xml:space="preserve"> uses a differen</w:t>
      </w:r>
      <w:r w:rsidR="004C703C">
        <w:t>t range of costs</w:t>
      </w:r>
      <w:r w:rsidR="00A81959">
        <w:t>,</w:t>
      </w:r>
      <w:r w:rsidR="004C703C">
        <w:t xml:space="preserve"> </w:t>
      </w:r>
      <w:r w:rsidR="00A013DF">
        <w:t>as compared to other report sections</w:t>
      </w:r>
      <w:r w:rsidR="00A81959">
        <w:t>,</w:t>
      </w:r>
      <w:r w:rsidR="00A013DF">
        <w:t xml:space="preserve"> </w:t>
      </w:r>
      <w:r w:rsidR="00BF178C">
        <w:t>because of</w:t>
      </w:r>
      <w:r w:rsidR="004C703C">
        <w:t xml:space="preserve"> the higher capital intensity of project types.</w:t>
      </w:r>
    </w:p>
    <w:p w14:paraId="0BAEB2D2" w14:textId="41228E4A" w:rsidR="00200974" w:rsidRDefault="00EA1C5A" w:rsidP="00F309A2">
      <w:pPr>
        <w:pStyle w:val="ListBullet2"/>
      </w:pPr>
      <w:r>
        <w:rPr>
          <w:i/>
          <w:iCs/>
        </w:rPr>
        <w:t>Operating cost</w:t>
      </w:r>
      <w:r w:rsidR="00A36DCA">
        <w:t xml:space="preserve"> </w:t>
      </w:r>
      <w:r w:rsidR="00386BB6">
        <w:t xml:space="preserve">– </w:t>
      </w:r>
      <w:r w:rsidR="00D13210">
        <w:t>T</w:t>
      </w:r>
      <w:r w:rsidR="00386BB6">
        <w:t xml:space="preserve">his cost category covers </w:t>
      </w:r>
      <w:r w:rsidR="00441331">
        <w:t>an estimate</w:t>
      </w:r>
      <w:r w:rsidR="00CA4C4C">
        <w:t>d</w:t>
      </w:r>
      <w:r w:rsidR="00441331">
        <w:t xml:space="preserve"> range of </w:t>
      </w:r>
      <w:r w:rsidR="00386BB6">
        <w:t xml:space="preserve">the costs a </w:t>
      </w:r>
      <w:r w:rsidR="00E22435">
        <w:t xml:space="preserve">school </w:t>
      </w:r>
      <w:r w:rsidR="00CA4C4C">
        <w:t>can</w:t>
      </w:r>
      <w:r w:rsidR="00E22435">
        <w:t xml:space="preserve"> expect to outlay on a recu</w:t>
      </w:r>
      <w:r w:rsidR="009D46C9">
        <w:t>rring basis to keep baseline operations running smooth</w:t>
      </w:r>
      <w:r w:rsidR="00EF234C">
        <w:t>ly</w:t>
      </w:r>
      <w:r w:rsidR="006E7367">
        <w:t>; note that negative costs</w:t>
      </w:r>
      <w:r w:rsidR="00322278">
        <w:t xml:space="preserve"> (</w:t>
      </w:r>
      <w:r w:rsidR="006E7367">
        <w:t xml:space="preserve">presented </w:t>
      </w:r>
      <w:r w:rsidR="00322278">
        <w:t>in green and with a negative sign)</w:t>
      </w:r>
      <w:r w:rsidR="006158C0">
        <w:t xml:space="preserve"> suggest a measure will </w:t>
      </w:r>
      <w:r w:rsidR="00042F7C">
        <w:t xml:space="preserve">likely </w:t>
      </w:r>
      <w:r w:rsidR="006158C0">
        <w:t xml:space="preserve">contribute to </w:t>
      </w:r>
      <w:r w:rsidR="00042F7C">
        <w:t xml:space="preserve">reduced </w:t>
      </w:r>
      <w:r w:rsidR="006158C0">
        <w:t>operating costs.</w:t>
      </w:r>
    </w:p>
    <w:p w14:paraId="2BA9253C" w14:textId="2A12EBBF" w:rsidR="008363D7" w:rsidRDefault="008363D7" w:rsidP="00F309A2">
      <w:pPr>
        <w:pStyle w:val="ListBullet2"/>
      </w:pPr>
      <w:r>
        <w:rPr>
          <w:i/>
          <w:iCs/>
        </w:rPr>
        <w:t xml:space="preserve">Implementation timeframe </w:t>
      </w:r>
      <w:r w:rsidR="005839D4">
        <w:t>–</w:t>
      </w:r>
      <w:r>
        <w:t xml:space="preserve"> </w:t>
      </w:r>
      <w:r w:rsidR="005839D4">
        <w:t>This represents an estimate of the duration over which a school will likely need to complete implementation</w:t>
      </w:r>
      <w:r w:rsidR="00D13210">
        <w:t>.</w:t>
      </w:r>
    </w:p>
    <w:p w14:paraId="2AA78285" w14:textId="4B9D3570" w:rsidR="009A5E8A" w:rsidRDefault="009A5E8A" w:rsidP="00F309A2">
      <w:pPr>
        <w:pStyle w:val="ListBullet2"/>
      </w:pPr>
      <w:r>
        <w:rPr>
          <w:i/>
          <w:iCs/>
        </w:rPr>
        <w:t xml:space="preserve">Ease of implementation </w:t>
      </w:r>
      <w:r>
        <w:t>– This represents the relative</w:t>
      </w:r>
      <w:r w:rsidR="00DB0562">
        <w:t xml:space="preserve"> ease for a school to complete implementation.</w:t>
      </w:r>
    </w:p>
    <w:p w14:paraId="1473578C" w14:textId="33ECE964" w:rsidR="0033497B" w:rsidRDefault="0033497B" w:rsidP="008131EB">
      <w:pPr>
        <w:pStyle w:val="ListBullet"/>
      </w:pPr>
      <w:r>
        <w:t xml:space="preserve">Discussion of notable barriers and challenges </w:t>
      </w:r>
      <w:r w:rsidR="00D81A0A">
        <w:t>that schools are likely to face in implementing the</w:t>
      </w:r>
      <w:r w:rsidR="00280FCD">
        <w:t xml:space="preserve"> </w:t>
      </w:r>
      <w:r w:rsidR="007D3633">
        <w:t xml:space="preserve">suggested </w:t>
      </w:r>
      <w:r w:rsidR="00280FCD">
        <w:t xml:space="preserve">methods and </w:t>
      </w:r>
      <w:r w:rsidR="007D3633">
        <w:t>best practices</w:t>
      </w:r>
    </w:p>
    <w:p w14:paraId="009A83B6" w14:textId="43AF7DEF" w:rsidR="009B3B38" w:rsidRDefault="000D0550" w:rsidP="006D7DE6">
      <w:pPr>
        <w:pStyle w:val="BodyTextFirstIndent"/>
      </w:pPr>
      <w:r>
        <w:t>Section V</w:t>
      </w:r>
      <w:r w:rsidR="009B3B38" w:rsidRPr="009B3B38">
        <w:t xml:space="preserve"> provides a</w:t>
      </w:r>
      <w:r w:rsidR="007F4344">
        <w:t xml:space="preserve"> high-level</w:t>
      </w:r>
      <w:r w:rsidR="009B3B38" w:rsidRPr="009B3B38">
        <w:t xml:space="preserve"> overview of possible funding strategies that school districts can consider for implementing the outlined methods and best practices.</w:t>
      </w:r>
    </w:p>
    <w:p w14:paraId="60DB39F7" w14:textId="4D201DD5" w:rsidR="00D329D5" w:rsidRPr="009B3B38" w:rsidRDefault="00D53A70" w:rsidP="006D7DE6">
      <w:pPr>
        <w:pStyle w:val="BodyTextFirstIndent"/>
      </w:pPr>
      <w:r w:rsidRPr="00740051">
        <w:rPr>
          <w:b/>
          <w:bCs/>
        </w:rPr>
        <w:t>Module 2: In-Depth Discussion of Methods, Best Practices, Statutes, Regulations, Standards, and Relevant Resources</w:t>
      </w:r>
      <w:r w:rsidRPr="00D53A70">
        <w:t xml:space="preserve"> </w:t>
      </w:r>
      <w:r w:rsidR="00A14284">
        <w:t xml:space="preserve">includes </w:t>
      </w:r>
      <w:r w:rsidR="00677EE9">
        <w:t xml:space="preserve">the following </w:t>
      </w:r>
      <w:r w:rsidR="004853B7">
        <w:t>three</w:t>
      </w:r>
      <w:r w:rsidR="00A14284">
        <w:t xml:space="preserve"> </w:t>
      </w:r>
      <w:r w:rsidR="009E6A1F">
        <w:t>in-depth</w:t>
      </w:r>
      <w:r w:rsidR="006A5943">
        <w:t xml:space="preserve"> sections that </w:t>
      </w:r>
      <w:r w:rsidR="00F14305">
        <w:t>provide additional detail to supplement the content outlined in Module 1</w:t>
      </w:r>
      <w:r w:rsidR="00677EE9">
        <w:t>:</w:t>
      </w:r>
    </w:p>
    <w:p w14:paraId="466C913A" w14:textId="0CE92536" w:rsidR="00677EE9" w:rsidRDefault="00F14305" w:rsidP="008131EB">
      <w:pPr>
        <w:pStyle w:val="ListBullet"/>
      </w:pPr>
      <w:r>
        <w:lastRenderedPageBreak/>
        <w:t>Section VI</w:t>
      </w:r>
      <w:r w:rsidR="00677EE9">
        <w:t xml:space="preserve">: </w:t>
      </w:r>
      <w:r w:rsidR="00734D8F">
        <w:t>Additional details related to Goal 1</w:t>
      </w:r>
      <w:r w:rsidR="00857C2E">
        <w:t>: Achieve Green Schools:</w:t>
      </w:r>
    </w:p>
    <w:p w14:paraId="00601DB3" w14:textId="76B7C9CA" w:rsidR="00857C2E" w:rsidRDefault="00B037BE" w:rsidP="00F309A2">
      <w:pPr>
        <w:pStyle w:val="ListBullet2"/>
      </w:pPr>
      <w:r>
        <w:t>Detailed</w:t>
      </w:r>
      <w:r w:rsidR="00D4453B">
        <w:t xml:space="preserve"> </w:t>
      </w:r>
      <w:r w:rsidR="00F65BD6">
        <w:t>descriptions</w:t>
      </w:r>
      <w:r w:rsidR="00D4453B">
        <w:t xml:space="preserve"> of the methods and best practices </w:t>
      </w:r>
      <w:r w:rsidR="00F65BD6">
        <w:t xml:space="preserve">included in </w:t>
      </w:r>
      <w:r w:rsidR="00D4453B">
        <w:t>the tabular</w:t>
      </w:r>
      <w:r w:rsidR="002235BB">
        <w:t xml:space="preserve"> summary in Section II</w:t>
      </w:r>
    </w:p>
    <w:p w14:paraId="23984492" w14:textId="2B57087C" w:rsidR="002235BB" w:rsidRDefault="002235BB" w:rsidP="00F309A2">
      <w:pPr>
        <w:pStyle w:val="ListBullet2"/>
      </w:pPr>
      <w:r>
        <w:t xml:space="preserve">A narrative and tabular summary of </w:t>
      </w:r>
      <w:r w:rsidRPr="002235BB">
        <w:t>relevant state and federal statutes and regulations and standards</w:t>
      </w:r>
    </w:p>
    <w:p w14:paraId="0FCC4545" w14:textId="32E97A91" w:rsidR="005D57F3" w:rsidRDefault="005D57F3" w:rsidP="00F309A2">
      <w:pPr>
        <w:pStyle w:val="ListBullet2"/>
      </w:pPr>
      <w:r>
        <w:t>A tabular summary of relevant resources</w:t>
      </w:r>
    </w:p>
    <w:p w14:paraId="753B9044" w14:textId="2FAB3C17" w:rsidR="00333ED5" w:rsidRDefault="00527406" w:rsidP="008131EB">
      <w:pPr>
        <w:pStyle w:val="ListBullet"/>
      </w:pPr>
      <w:r>
        <w:t>Section VII</w:t>
      </w:r>
      <w:r w:rsidR="00333ED5">
        <w:t>: Additional details related to Goal 2: Achieve Healthy Schools:</w:t>
      </w:r>
    </w:p>
    <w:p w14:paraId="091A7BE4" w14:textId="7A5B6904" w:rsidR="00333ED5" w:rsidRDefault="00740051" w:rsidP="00F309A2">
      <w:pPr>
        <w:pStyle w:val="ListBullet2"/>
      </w:pPr>
      <w:r w:rsidRPr="00740051">
        <w:rPr>
          <w:b/>
          <w:bCs/>
          <w:noProof/>
        </w:rPr>
        <mc:AlternateContent>
          <mc:Choice Requires="wps">
            <w:drawing>
              <wp:anchor distT="0" distB="0" distL="114300" distR="114300" simplePos="0" relativeHeight="251708928" behindDoc="0" locked="0" layoutInCell="1" allowOverlap="1" wp14:anchorId="1374C004" wp14:editId="766F2FB7">
                <wp:simplePos x="0" y="0"/>
                <wp:positionH relativeFrom="margin">
                  <wp:align>right</wp:align>
                </wp:positionH>
                <wp:positionV relativeFrom="paragraph">
                  <wp:posOffset>8818</wp:posOffset>
                </wp:positionV>
                <wp:extent cx="2106295" cy="2854960"/>
                <wp:effectExtent l="0" t="0" r="27305" b="21590"/>
                <wp:wrapSquare wrapText="bothSides"/>
                <wp:docPr id="18250641" name="Text Box 1"/>
                <wp:cNvGraphicFramePr/>
                <a:graphic xmlns:a="http://schemas.openxmlformats.org/drawingml/2006/main">
                  <a:graphicData uri="http://schemas.microsoft.com/office/word/2010/wordprocessingShape">
                    <wps:wsp>
                      <wps:cNvSpPr txBox="1"/>
                      <wps:spPr bwMode="auto">
                        <a:xfrm>
                          <a:off x="0" y="0"/>
                          <a:ext cx="2106295" cy="2854960"/>
                        </a:xfrm>
                        <a:prstGeom prst="rect">
                          <a:avLst/>
                        </a:prstGeom>
                        <a:solidFill>
                          <a:schemeClr val="accent1">
                            <a:lumMod val="20000"/>
                            <a:lumOff val="80000"/>
                          </a:schemeClr>
                        </a:solidFill>
                        <a:ln w="9525">
                          <a:solidFill>
                            <a:schemeClr val="tx1"/>
                          </a:solidFill>
                          <a:miter lim="800000"/>
                          <a:headEnd/>
                          <a:tailEnd/>
                        </a:ln>
                      </wps:spPr>
                      <wps:txbx>
                        <w:txbxContent>
                          <w:p w14:paraId="0BDC2C03" w14:textId="77777777" w:rsidR="00740051" w:rsidRPr="0066462E" w:rsidRDefault="00740051" w:rsidP="00740051">
                            <w:pPr>
                              <w:rPr>
                                <w:rFonts w:ascii="Arial" w:hAnsi="Arial" w:cs="Arial"/>
                                <w:sz w:val="24"/>
                              </w:rPr>
                            </w:pPr>
                            <w:r>
                              <w:rPr>
                                <w:rFonts w:ascii="Arial" w:hAnsi="Arial" w:cs="Arial"/>
                                <w:sz w:val="24"/>
                              </w:rPr>
                              <w:t>Sections VI through VIII in Module 2</w:t>
                            </w:r>
                            <w:r w:rsidRPr="00A704F4">
                              <w:rPr>
                                <w:rFonts w:ascii="Arial" w:hAnsi="Arial" w:cs="Arial"/>
                                <w:sz w:val="24"/>
                              </w:rPr>
                              <w:t xml:space="preserve"> present state statutes, regulations, and standards before federal statutes, regulations, and standards.</w:t>
                            </w:r>
                            <w:r>
                              <w:rPr>
                                <w:rFonts w:ascii="Arial" w:hAnsi="Arial" w:cs="Arial"/>
                                <w:sz w:val="24"/>
                              </w:rPr>
                              <w:t xml:space="preserve"> </w:t>
                            </w:r>
                            <w:r w:rsidRPr="00A704F4">
                              <w:rPr>
                                <w:rFonts w:ascii="Arial" w:hAnsi="Arial" w:cs="Arial"/>
                                <w:sz w:val="24"/>
                              </w:rPr>
                              <w:t>The report does not include details of municipal statutes, regulations,</w:t>
                            </w:r>
                            <w:r>
                              <w:rPr>
                                <w:rFonts w:ascii="Arial" w:hAnsi="Arial" w:cs="Arial"/>
                                <w:sz w:val="24"/>
                              </w:rPr>
                              <w:t xml:space="preserve"> bylaws,</w:t>
                            </w:r>
                            <w:r w:rsidRPr="00A704F4">
                              <w:rPr>
                                <w:rFonts w:ascii="Arial" w:hAnsi="Arial" w:cs="Arial"/>
                                <w:sz w:val="24"/>
                              </w:rPr>
                              <w:t xml:space="preserve"> or ordinances. Readers are encouraged to separately identify and review their respective local statutory/regulatory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74C004" id="_x0000_s1036" type="#_x0000_t202" style="position:absolute;left:0;text-align:left;margin-left:114.65pt;margin-top:.7pt;width:165.85pt;height:224.8pt;z-index:25170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" fillcolor="#dbe5f1 [660]" strokecolor="black [3213]">
                <v:textbox>
                  <w:txbxContent>
                    <w:p w14:paraId="0BDC2C03" w14:textId="77777777" w:rsidR="00740051" w:rsidRPr="0066462E" w:rsidRDefault="00740051" w:rsidP="00740051">
                      <w:pPr>
                        <w:rPr>
                          <w:rFonts w:ascii="Arial" w:hAnsi="Arial" w:cs="Arial"/>
                          <w:sz w:val="24"/>
                        </w:rPr>
                      </w:pPr>
                      <w:r>
                        <w:rPr>
                          <w:rFonts w:ascii="Arial" w:hAnsi="Arial" w:cs="Arial"/>
                          <w:sz w:val="24"/>
                        </w:rPr>
                        <w:t>Sections VI through VIII in Module 2</w:t>
                      </w:r>
                      <w:r w:rsidRPr="00A704F4">
                        <w:rPr>
                          <w:rFonts w:ascii="Arial" w:hAnsi="Arial" w:cs="Arial"/>
                          <w:sz w:val="24"/>
                        </w:rPr>
                        <w:t xml:space="preserve"> present state statutes, regulations, and standards before federal statutes, regulations, and standards.</w:t>
                      </w:r>
                      <w:r>
                        <w:rPr>
                          <w:rFonts w:ascii="Arial" w:hAnsi="Arial" w:cs="Arial"/>
                          <w:sz w:val="24"/>
                        </w:rPr>
                        <w:t xml:space="preserve"> </w:t>
                      </w:r>
                      <w:r w:rsidRPr="00A704F4">
                        <w:rPr>
                          <w:rFonts w:ascii="Arial" w:hAnsi="Arial" w:cs="Arial"/>
                          <w:sz w:val="24"/>
                        </w:rPr>
                        <w:t>The report does not include details of municipal statutes, regulations,</w:t>
                      </w:r>
                      <w:r>
                        <w:rPr>
                          <w:rFonts w:ascii="Arial" w:hAnsi="Arial" w:cs="Arial"/>
                          <w:sz w:val="24"/>
                        </w:rPr>
                        <w:t xml:space="preserve"> bylaws,</w:t>
                      </w:r>
                      <w:r w:rsidRPr="00A704F4">
                        <w:rPr>
                          <w:rFonts w:ascii="Arial" w:hAnsi="Arial" w:cs="Arial"/>
                          <w:sz w:val="24"/>
                        </w:rPr>
                        <w:t xml:space="preserve"> or ordinances. Readers are encouraged to separately identify and review their respective local statutory/regulatory requirements.</w:t>
                      </w:r>
                    </w:p>
                  </w:txbxContent>
                </v:textbox>
                <w10:wrap type="square" anchorx="margin"/>
              </v:shape>
            </w:pict>
          </mc:Fallback>
        </mc:AlternateContent>
      </w:r>
      <w:r w:rsidR="00527406">
        <w:t>Detailed</w:t>
      </w:r>
      <w:r w:rsidR="00333ED5">
        <w:t xml:space="preserve"> descriptions of the methods and best practices </w:t>
      </w:r>
      <w:r w:rsidR="00BF178C">
        <w:t xml:space="preserve">that are </w:t>
      </w:r>
      <w:r w:rsidR="00333ED5">
        <w:t>included in the</w:t>
      </w:r>
      <w:r w:rsidRPr="00740051">
        <w:rPr>
          <w:b/>
          <w:bCs/>
          <w:noProof/>
        </w:rPr>
        <w:t xml:space="preserve"> </w:t>
      </w:r>
      <w:r w:rsidR="00333ED5">
        <w:t>tabular summary in Section III</w:t>
      </w:r>
    </w:p>
    <w:p w14:paraId="21062C2B" w14:textId="672698B1" w:rsidR="001068AB" w:rsidRDefault="00333ED5" w:rsidP="00F309A2">
      <w:pPr>
        <w:pStyle w:val="ListBullet2"/>
      </w:pPr>
      <w:r>
        <w:t xml:space="preserve">A narrative and tabular summary of </w:t>
      </w:r>
      <w:r w:rsidRPr="002235BB">
        <w:t>relevant state and federal statutes</w:t>
      </w:r>
      <w:r w:rsidR="00BF178C">
        <w:t>,</w:t>
      </w:r>
      <w:r w:rsidRPr="002235BB">
        <w:t xml:space="preserve"> regulations, and standards</w:t>
      </w:r>
    </w:p>
    <w:p w14:paraId="6BA69AE0" w14:textId="535908D8" w:rsidR="008C7545" w:rsidRDefault="008C7545" w:rsidP="00F309A2">
      <w:pPr>
        <w:pStyle w:val="ListBullet2"/>
      </w:pPr>
      <w:r>
        <w:t>A tabular summary of relevant resources</w:t>
      </w:r>
    </w:p>
    <w:p w14:paraId="745D90E9" w14:textId="55BFE1D2" w:rsidR="001068AB" w:rsidRDefault="00527406" w:rsidP="008131EB">
      <w:pPr>
        <w:pStyle w:val="ListBullet"/>
      </w:pPr>
      <w:r>
        <w:t>Section VII</w:t>
      </w:r>
      <w:r w:rsidR="004853B7">
        <w:t>I</w:t>
      </w:r>
      <w:r w:rsidR="001068AB">
        <w:t>: Additional details related to Goal 3: Achieve Equitable Outcomes for All Students:</w:t>
      </w:r>
    </w:p>
    <w:p w14:paraId="448D226C" w14:textId="391D97DA" w:rsidR="001068AB" w:rsidRDefault="00CF0808" w:rsidP="00F309A2">
      <w:pPr>
        <w:pStyle w:val="ListBullet2"/>
      </w:pPr>
      <w:r>
        <w:t>Detailed</w:t>
      </w:r>
      <w:r w:rsidR="001068AB">
        <w:t xml:space="preserve"> descriptions of the methods and best practices included in the tabular summary in Section IV</w:t>
      </w:r>
    </w:p>
    <w:p w14:paraId="52BE6B25" w14:textId="5DC73E03" w:rsidR="008C7545" w:rsidRDefault="001068AB" w:rsidP="00F309A2">
      <w:pPr>
        <w:pStyle w:val="ListBullet2"/>
      </w:pPr>
      <w:r>
        <w:t xml:space="preserve">A narrative and tabular summary of </w:t>
      </w:r>
      <w:r w:rsidRPr="002235BB">
        <w:t>relevant state and federal statutes</w:t>
      </w:r>
      <w:r w:rsidR="00BF178C">
        <w:t>,</w:t>
      </w:r>
      <w:r w:rsidRPr="002235BB">
        <w:t xml:space="preserve"> regulations, and standards</w:t>
      </w:r>
    </w:p>
    <w:p w14:paraId="7FFA98D9" w14:textId="1642C924" w:rsidR="007502A5" w:rsidRDefault="008C7545" w:rsidP="00F309A2">
      <w:pPr>
        <w:pStyle w:val="ListBullet2"/>
      </w:pPr>
      <w:r>
        <w:t>A tabular summary of relevant resources</w:t>
      </w:r>
      <w:r w:rsidR="3399CA15">
        <w:t xml:space="preserve"> </w:t>
      </w:r>
    </w:p>
    <w:p w14:paraId="2F96D7E8" w14:textId="7A949016" w:rsidR="00D329D5" w:rsidRPr="00D329D5" w:rsidRDefault="005C7562" w:rsidP="008131EB">
      <w:pPr>
        <w:pStyle w:val="ListBullet"/>
        <w:numPr>
          <w:ilvl w:val="0"/>
          <w:numId w:val="0"/>
        </w:numPr>
      </w:pPr>
      <w:r>
        <w:t xml:space="preserve">Lastly, </w:t>
      </w:r>
      <w:r w:rsidR="008C7545">
        <w:t xml:space="preserve">Appendix </w:t>
      </w:r>
      <w:r>
        <w:t>A presents the full list of references cited throughout the document.</w:t>
      </w:r>
    </w:p>
    <w:p w14:paraId="26FC1769" w14:textId="54FC3479" w:rsidR="00045E2C" w:rsidRDefault="00045E2C" w:rsidP="006D7DE6">
      <w:pPr>
        <w:pStyle w:val="BodyTextFirstIndent"/>
      </w:pPr>
      <w:bookmarkStart w:id="69" w:name="Leg_Recs"/>
      <w:bookmarkEnd w:id="69"/>
      <w:r w:rsidRPr="00045E2C">
        <w:t xml:space="preserve">This report outlines best practices to help Massachusetts schools incorporate sustainable design, construction, and operations and provide a healthy learning environment for all students. Implementing these best practices requires financial and human resources. While many can be implemented at low cost, others require large capital improvement projects and significant funding and human resources to champion, initiate, plan, and manage. School districts might require resources for comprehensive, professional environmental building assessments and capital improvement projects for </w:t>
      </w:r>
      <w:r w:rsidR="00BD57AF">
        <w:t>heating, ventilation, and air conditioning (</w:t>
      </w:r>
      <w:r w:rsidRPr="00045E2C">
        <w:t>HVAC</w:t>
      </w:r>
      <w:r w:rsidR="00BD57AF">
        <w:t>)</w:t>
      </w:r>
      <w:r w:rsidRPr="00045E2C">
        <w:t xml:space="preserve"> systems, workforce development, health equity data reviews, technical assistance to prepare grant requests or </w:t>
      </w:r>
      <w:r w:rsidR="00F309A2">
        <w:t>SOIs</w:t>
      </w:r>
      <w:r w:rsidRPr="00045E2C">
        <w:t xml:space="preserve"> for MSBA funding, hazard removal, building envelope/window repairs, vehicle electrification, installation of green technology, and other building energy efficiency improvements. Similarly, cities and towns may benefit from outdoor air quality monitoring to determine how to improve indoor air quality in schools and the health of staff and students in those buildings</w:t>
      </w:r>
      <w:r>
        <w:t>.</w:t>
      </w:r>
    </w:p>
    <w:p w14:paraId="3AE65459" w14:textId="61E5B41D" w:rsidR="00883A2E" w:rsidRDefault="00883A2E" w:rsidP="007F3A95">
      <w:pPr>
        <w:pStyle w:val="BodyTextFirstIndent"/>
      </w:pPr>
      <w:r>
        <w:rPr>
          <w:noProof/>
        </w:rPr>
        <w:lastRenderedPageBreak/>
        <mc:AlternateContent>
          <mc:Choice Requires="wps">
            <w:drawing>
              <wp:anchor distT="0" distB="0" distL="114300" distR="114300" simplePos="0" relativeHeight="251659776" behindDoc="0" locked="0" layoutInCell="1" allowOverlap="1" wp14:anchorId="1281C910" wp14:editId="40365213">
                <wp:simplePos x="0" y="0"/>
                <wp:positionH relativeFrom="margin">
                  <wp:align>right</wp:align>
                </wp:positionH>
                <wp:positionV relativeFrom="paragraph">
                  <wp:posOffset>443</wp:posOffset>
                </wp:positionV>
                <wp:extent cx="5931535" cy="3060700"/>
                <wp:effectExtent l="0" t="0" r="12065" b="25400"/>
                <wp:wrapSquare wrapText="bothSides"/>
                <wp:docPr id="63233176" name="Text Box 1"/>
                <wp:cNvGraphicFramePr/>
                <a:graphic xmlns:a="http://schemas.openxmlformats.org/drawingml/2006/main">
                  <a:graphicData uri="http://schemas.microsoft.com/office/word/2010/wordprocessingShape">
                    <wps:wsp>
                      <wps:cNvSpPr txBox="1"/>
                      <wps:spPr bwMode="auto">
                        <a:xfrm>
                          <a:off x="0" y="0"/>
                          <a:ext cx="5931535" cy="3060700"/>
                        </a:xfrm>
                        <a:prstGeom prst="rect">
                          <a:avLst/>
                        </a:prstGeom>
                        <a:solidFill>
                          <a:schemeClr val="accent1">
                            <a:lumMod val="20000"/>
                            <a:lumOff val="80000"/>
                          </a:schemeClr>
                        </a:solidFill>
                        <a:ln w="9525">
                          <a:solidFill>
                            <a:schemeClr val="tx1"/>
                          </a:solidFill>
                          <a:miter lim="800000"/>
                          <a:headEnd/>
                          <a:tailEnd/>
                        </a:ln>
                      </wps:spPr>
                      <wps:txbx>
                        <w:txbxContent>
                          <w:p w14:paraId="6B3A9845" w14:textId="4E712CDE" w:rsidR="00402E60" w:rsidRDefault="00402E60" w:rsidP="00402E60">
                            <w:pPr>
                              <w:pStyle w:val="TextBoxTitle"/>
                            </w:pPr>
                            <w:r>
                              <w:t>Co-benefits and Disbenefits</w:t>
                            </w:r>
                          </w:p>
                          <w:p w14:paraId="03F5378E" w14:textId="0B4444EF" w:rsidR="00E73B3F" w:rsidRDefault="00AE6294" w:rsidP="005C1A90">
                            <w:pPr>
                              <w:rPr>
                                <w:rFonts w:ascii="Arial" w:hAnsi="Arial" w:cs="Arial"/>
                                <w:sz w:val="24"/>
                              </w:rPr>
                            </w:pPr>
                            <w:r>
                              <w:rPr>
                                <w:rFonts w:ascii="Arial" w:hAnsi="Arial" w:cs="Arial"/>
                                <w:sz w:val="24"/>
                              </w:rPr>
                              <w:t xml:space="preserve">There are numerous </w:t>
                            </w:r>
                            <w:r w:rsidR="004048B6">
                              <w:rPr>
                                <w:rFonts w:ascii="Arial" w:hAnsi="Arial" w:cs="Arial"/>
                                <w:sz w:val="24"/>
                              </w:rPr>
                              <w:t>cross-cutting methods and best practices presented throughout this report that</w:t>
                            </w:r>
                            <w:r w:rsidR="00E175C4">
                              <w:rPr>
                                <w:rFonts w:ascii="Arial" w:hAnsi="Arial" w:cs="Arial"/>
                                <w:sz w:val="24"/>
                              </w:rPr>
                              <w:t xml:space="preserve"> </w:t>
                            </w:r>
                            <w:r w:rsidR="00ED402E">
                              <w:rPr>
                                <w:rFonts w:ascii="Arial" w:hAnsi="Arial" w:cs="Arial"/>
                                <w:sz w:val="24"/>
                              </w:rPr>
                              <w:t xml:space="preserve">not only </w:t>
                            </w:r>
                            <w:r w:rsidR="009F61F5">
                              <w:rPr>
                                <w:rFonts w:ascii="Arial" w:hAnsi="Arial" w:cs="Arial"/>
                                <w:sz w:val="24"/>
                              </w:rPr>
                              <w:t xml:space="preserve">address a primary goal area and/or objective, but also </w:t>
                            </w:r>
                            <w:r w:rsidR="00E175C4">
                              <w:rPr>
                                <w:rFonts w:ascii="Arial" w:hAnsi="Arial" w:cs="Arial"/>
                                <w:sz w:val="24"/>
                              </w:rPr>
                              <w:t xml:space="preserve">produce </w:t>
                            </w:r>
                            <w:r w:rsidR="00184B0E">
                              <w:rPr>
                                <w:rFonts w:ascii="Arial" w:hAnsi="Arial" w:cs="Arial"/>
                                <w:sz w:val="24"/>
                              </w:rPr>
                              <w:t>positive outcomes</w:t>
                            </w:r>
                            <w:r w:rsidR="00EE642F">
                              <w:rPr>
                                <w:rFonts w:ascii="Arial" w:hAnsi="Arial" w:cs="Arial"/>
                                <w:sz w:val="24"/>
                              </w:rPr>
                              <w:t>,</w:t>
                            </w:r>
                            <w:r w:rsidR="00184B0E">
                              <w:rPr>
                                <w:rFonts w:ascii="Arial" w:hAnsi="Arial" w:cs="Arial"/>
                                <w:sz w:val="24"/>
                              </w:rPr>
                              <w:t xml:space="preserve"> or </w:t>
                            </w:r>
                            <w:r w:rsidR="00E175C4">
                              <w:rPr>
                                <w:rFonts w:ascii="Arial" w:hAnsi="Arial" w:cs="Arial"/>
                                <w:sz w:val="24"/>
                              </w:rPr>
                              <w:t>co-benefits</w:t>
                            </w:r>
                            <w:r w:rsidR="00184B0E">
                              <w:rPr>
                                <w:rFonts w:ascii="Arial" w:hAnsi="Arial" w:cs="Arial"/>
                                <w:sz w:val="24"/>
                              </w:rPr>
                              <w:t xml:space="preserve">, in one or more other goal areas and/or objectives. </w:t>
                            </w:r>
                            <w:r w:rsidR="00391F22">
                              <w:rPr>
                                <w:rFonts w:ascii="Arial" w:hAnsi="Arial" w:cs="Arial"/>
                                <w:sz w:val="24"/>
                              </w:rPr>
                              <w:t>One</w:t>
                            </w:r>
                            <w:r w:rsidR="00B356B4">
                              <w:rPr>
                                <w:rFonts w:ascii="Arial" w:hAnsi="Arial" w:cs="Arial"/>
                                <w:sz w:val="24"/>
                              </w:rPr>
                              <w:t xml:space="preserve"> example that this report </w:t>
                            </w:r>
                            <w:r w:rsidR="0021631A">
                              <w:rPr>
                                <w:rFonts w:ascii="Arial" w:hAnsi="Arial" w:cs="Arial"/>
                                <w:sz w:val="24"/>
                              </w:rPr>
                              <w:t xml:space="preserve">frequently </w:t>
                            </w:r>
                            <w:r w:rsidR="00B356B4">
                              <w:rPr>
                                <w:rFonts w:ascii="Arial" w:hAnsi="Arial" w:cs="Arial"/>
                                <w:sz w:val="24"/>
                              </w:rPr>
                              <w:t>highlights</w:t>
                            </w:r>
                            <w:r w:rsidR="0021631A">
                              <w:rPr>
                                <w:rFonts w:ascii="Arial" w:hAnsi="Arial" w:cs="Arial"/>
                                <w:sz w:val="24"/>
                              </w:rPr>
                              <w:t xml:space="preserve"> is</w:t>
                            </w:r>
                            <w:r w:rsidR="00B356B4">
                              <w:rPr>
                                <w:rFonts w:ascii="Arial" w:hAnsi="Arial" w:cs="Arial"/>
                                <w:sz w:val="24"/>
                              </w:rPr>
                              <w:t xml:space="preserve"> </w:t>
                            </w:r>
                            <w:r w:rsidR="0021631A">
                              <w:rPr>
                                <w:rFonts w:ascii="Arial" w:hAnsi="Arial" w:cs="Arial"/>
                                <w:sz w:val="24"/>
                              </w:rPr>
                              <w:t>the ability</w:t>
                            </w:r>
                            <w:r w:rsidR="00C663AA">
                              <w:rPr>
                                <w:rFonts w:ascii="Arial" w:hAnsi="Arial" w:cs="Arial"/>
                                <w:sz w:val="24"/>
                              </w:rPr>
                              <w:t xml:space="preserve"> of optimized HVAC systems</w:t>
                            </w:r>
                            <w:r w:rsidR="0021631A">
                              <w:rPr>
                                <w:rFonts w:ascii="Arial" w:hAnsi="Arial" w:cs="Arial"/>
                                <w:sz w:val="24"/>
                              </w:rPr>
                              <w:t xml:space="preserve"> </w:t>
                            </w:r>
                            <w:r w:rsidR="00C663AA">
                              <w:rPr>
                                <w:rFonts w:ascii="Arial" w:hAnsi="Arial" w:cs="Arial"/>
                                <w:sz w:val="24"/>
                              </w:rPr>
                              <w:t xml:space="preserve">to produce </w:t>
                            </w:r>
                            <w:r w:rsidR="00A12C3A">
                              <w:rPr>
                                <w:rFonts w:ascii="Arial" w:hAnsi="Arial" w:cs="Arial"/>
                                <w:sz w:val="24"/>
                              </w:rPr>
                              <w:t xml:space="preserve">both green and healthy </w:t>
                            </w:r>
                            <w:r w:rsidR="00C663AA">
                              <w:rPr>
                                <w:rFonts w:ascii="Arial" w:hAnsi="Arial" w:cs="Arial"/>
                                <w:sz w:val="24"/>
                              </w:rPr>
                              <w:t>co-benefits</w:t>
                            </w:r>
                            <w:r w:rsidR="007173DD">
                              <w:rPr>
                                <w:rFonts w:ascii="Arial" w:hAnsi="Arial" w:cs="Arial"/>
                                <w:sz w:val="24"/>
                              </w:rPr>
                              <w:t xml:space="preserve"> </w:t>
                            </w:r>
                            <w:r w:rsidR="00E73B3F">
                              <w:rPr>
                                <w:rFonts w:ascii="Arial" w:hAnsi="Arial" w:cs="Arial"/>
                                <w:sz w:val="24"/>
                              </w:rPr>
                              <w:t>related to</w:t>
                            </w:r>
                            <w:r w:rsidR="007173DD">
                              <w:rPr>
                                <w:rFonts w:ascii="Arial" w:hAnsi="Arial" w:cs="Arial"/>
                                <w:sz w:val="24"/>
                              </w:rPr>
                              <w:t xml:space="preserve"> building energy efficiency</w:t>
                            </w:r>
                            <w:r w:rsidR="00E73B3F">
                              <w:rPr>
                                <w:rFonts w:ascii="Arial" w:hAnsi="Arial" w:cs="Arial"/>
                                <w:sz w:val="24"/>
                              </w:rPr>
                              <w:t>, enhanced climate resilience, and improved indoor air quality</w:t>
                            </w:r>
                            <w:r w:rsidR="00FE3609">
                              <w:rPr>
                                <w:rFonts w:ascii="Arial" w:hAnsi="Arial" w:cs="Arial"/>
                                <w:sz w:val="24"/>
                              </w:rPr>
                              <w:t>—</w:t>
                            </w:r>
                            <w:r w:rsidR="00FE3609" w:rsidRPr="00CF6038">
                              <w:rPr>
                                <w:rFonts w:ascii="Arial" w:hAnsi="Arial" w:cs="Arial"/>
                                <w:sz w:val="24"/>
                              </w:rPr>
                              <w:t>including helping to mitigate exposure to radon</w:t>
                            </w:r>
                            <w:r w:rsidR="002E4F3C" w:rsidRPr="00CF6038">
                              <w:rPr>
                                <w:rFonts w:ascii="Arial" w:hAnsi="Arial" w:cs="Arial"/>
                                <w:sz w:val="24"/>
                              </w:rPr>
                              <w:t xml:space="preserve">, </w:t>
                            </w:r>
                            <w:r w:rsidR="00CF6038" w:rsidRPr="00CF6038">
                              <w:rPr>
                                <w:rFonts w:ascii="Arial" w:hAnsi="Arial" w:cs="Arial"/>
                                <w:sz w:val="24"/>
                              </w:rPr>
                              <w:t>PCBs, carbon monoxide, and mold</w:t>
                            </w:r>
                            <w:r w:rsidR="00E73B3F" w:rsidRPr="00CF6038">
                              <w:rPr>
                                <w:rFonts w:ascii="Arial" w:hAnsi="Arial" w:cs="Arial"/>
                                <w:sz w:val="24"/>
                              </w:rPr>
                              <w:t>.</w:t>
                            </w:r>
                          </w:p>
                          <w:p w14:paraId="0379485A" w14:textId="77777777" w:rsidR="00E73B3F" w:rsidRDefault="00E73B3F" w:rsidP="005C1A90">
                            <w:pPr>
                              <w:rPr>
                                <w:rFonts w:ascii="Arial" w:hAnsi="Arial" w:cs="Arial"/>
                                <w:sz w:val="24"/>
                              </w:rPr>
                            </w:pPr>
                          </w:p>
                          <w:p w14:paraId="13E9AA65" w14:textId="66167344" w:rsidR="005C1A90" w:rsidRDefault="00E73B3F" w:rsidP="005C1A90">
                            <w:pPr>
                              <w:rPr>
                                <w:rFonts w:ascii="Arial" w:hAnsi="Arial" w:cs="Arial"/>
                                <w:sz w:val="24"/>
                              </w:rPr>
                            </w:pPr>
                            <w:r>
                              <w:rPr>
                                <w:rFonts w:ascii="Arial" w:hAnsi="Arial" w:cs="Arial"/>
                                <w:sz w:val="24"/>
                              </w:rPr>
                              <w:t>Conversely, there are also</w:t>
                            </w:r>
                            <w:r w:rsidR="00B356B4">
                              <w:rPr>
                                <w:rFonts w:ascii="Arial" w:hAnsi="Arial" w:cs="Arial"/>
                                <w:sz w:val="24"/>
                              </w:rPr>
                              <w:t xml:space="preserve"> </w:t>
                            </w:r>
                            <w:r w:rsidR="004D32A8">
                              <w:rPr>
                                <w:rFonts w:ascii="Arial" w:hAnsi="Arial" w:cs="Arial"/>
                                <w:sz w:val="24"/>
                              </w:rPr>
                              <w:t>some methods and best practices</w:t>
                            </w:r>
                            <w:r w:rsidR="00243818">
                              <w:rPr>
                                <w:rFonts w:ascii="Arial" w:hAnsi="Arial" w:cs="Arial"/>
                                <w:sz w:val="24"/>
                              </w:rPr>
                              <w:t xml:space="preserve"> (often those that are more “short-term” in nature)</w:t>
                            </w:r>
                            <w:r w:rsidR="004D32A8">
                              <w:rPr>
                                <w:rFonts w:ascii="Arial" w:hAnsi="Arial" w:cs="Arial"/>
                                <w:sz w:val="24"/>
                              </w:rPr>
                              <w:t xml:space="preserve"> that </w:t>
                            </w:r>
                            <w:r w:rsidR="00404C64">
                              <w:rPr>
                                <w:rFonts w:ascii="Arial" w:hAnsi="Arial" w:cs="Arial"/>
                                <w:sz w:val="24"/>
                              </w:rPr>
                              <w:t>produce disbenefits</w:t>
                            </w:r>
                            <w:r w:rsidR="003A1E3B">
                              <w:rPr>
                                <w:rFonts w:ascii="Arial" w:hAnsi="Arial" w:cs="Arial"/>
                                <w:sz w:val="24"/>
                              </w:rPr>
                              <w:t>.</w:t>
                            </w:r>
                            <w:r w:rsidR="00404C64">
                              <w:rPr>
                                <w:rFonts w:ascii="Arial" w:hAnsi="Arial" w:cs="Arial"/>
                                <w:sz w:val="24"/>
                              </w:rPr>
                              <w:t xml:space="preserve"> </w:t>
                            </w:r>
                            <w:r w:rsidR="003A1E3B">
                              <w:rPr>
                                <w:rFonts w:ascii="Arial" w:hAnsi="Arial" w:cs="Arial"/>
                                <w:sz w:val="24"/>
                              </w:rPr>
                              <w:t xml:space="preserve">That is, they </w:t>
                            </w:r>
                            <w:r w:rsidR="008105B9">
                              <w:rPr>
                                <w:rFonts w:ascii="Arial" w:hAnsi="Arial" w:cs="Arial"/>
                                <w:sz w:val="24"/>
                              </w:rPr>
                              <w:t>mitigate concerns in one goal area and/or objective, but further exacerbate</w:t>
                            </w:r>
                            <w:r w:rsidR="0004332D">
                              <w:rPr>
                                <w:rFonts w:ascii="Arial" w:hAnsi="Arial" w:cs="Arial"/>
                                <w:sz w:val="24"/>
                              </w:rPr>
                              <w:t xml:space="preserve"> concerns in one or more goal area and/or objective. For example</w:t>
                            </w:r>
                            <w:r w:rsidR="00243818">
                              <w:rPr>
                                <w:rFonts w:ascii="Arial" w:hAnsi="Arial" w:cs="Arial"/>
                                <w:sz w:val="24"/>
                              </w:rPr>
                              <w:t xml:space="preserve">, </w:t>
                            </w:r>
                            <w:r w:rsidR="00CD292C">
                              <w:rPr>
                                <w:rFonts w:ascii="Arial" w:hAnsi="Arial" w:cs="Arial"/>
                                <w:sz w:val="24"/>
                              </w:rPr>
                              <w:t xml:space="preserve">short-term increases in ventilation rates to improve indoor air quality can increase facility energy consumption </w:t>
                            </w:r>
                            <w:r w:rsidR="00A4617D">
                              <w:rPr>
                                <w:rFonts w:ascii="Arial" w:hAnsi="Arial" w:cs="Arial"/>
                                <w:sz w:val="24"/>
                              </w:rPr>
                              <w:t>and associated GHG emissions.</w:t>
                            </w:r>
                          </w:p>
                          <w:p w14:paraId="5AB9217E" w14:textId="77777777" w:rsidR="009F5F4C" w:rsidRDefault="009F5F4C" w:rsidP="005C1A90">
                            <w:pPr>
                              <w:rPr>
                                <w:rFonts w:ascii="Arial" w:hAnsi="Arial" w:cs="Arial"/>
                                <w:sz w:val="24"/>
                              </w:rPr>
                            </w:pPr>
                          </w:p>
                          <w:p w14:paraId="4D24B767" w14:textId="710875A0" w:rsidR="009F5F4C" w:rsidRPr="0066462E" w:rsidRDefault="009F5F4C" w:rsidP="005C1A90">
                            <w:pPr>
                              <w:rPr>
                                <w:rFonts w:ascii="Arial"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81C910" id="_x0000_s1037" type="#_x0000_t202" style="position:absolute;margin-left:415.85pt;margin-top:.05pt;width:467.05pt;height:241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" fillcolor="#dbe5f1 [660]" strokecolor="black [3213]">
                <v:textbox>
                  <w:txbxContent>
                    <w:p w14:paraId="6B3A9845" w14:textId="4E712CDE" w:rsidR="00402E60" w:rsidRDefault="00402E60" w:rsidP="00402E60">
                      <w:pPr>
                        <w:pStyle w:val="TextBoxTitle"/>
                      </w:pPr>
                      <w:r>
                        <w:t>Co-benefits and Disbenefits</w:t>
                      </w:r>
                    </w:p>
                    <w:p w14:paraId="03F5378E" w14:textId="0B4444EF" w:rsidR="00E73B3F" w:rsidRDefault="00AE6294" w:rsidP="005C1A90">
                      <w:pPr>
                        <w:rPr>
                          <w:rFonts w:ascii="Arial" w:hAnsi="Arial" w:cs="Arial"/>
                          <w:sz w:val="24"/>
                        </w:rPr>
                      </w:pPr>
                      <w:r>
                        <w:rPr>
                          <w:rFonts w:ascii="Arial" w:hAnsi="Arial" w:cs="Arial"/>
                          <w:sz w:val="24"/>
                        </w:rPr>
                        <w:t xml:space="preserve">There are numerous </w:t>
                      </w:r>
                      <w:r w:rsidR="004048B6">
                        <w:rPr>
                          <w:rFonts w:ascii="Arial" w:hAnsi="Arial" w:cs="Arial"/>
                          <w:sz w:val="24"/>
                        </w:rPr>
                        <w:t>cross-cutting methods and best practices presented throughout this report that</w:t>
                      </w:r>
                      <w:r w:rsidR="00E175C4">
                        <w:rPr>
                          <w:rFonts w:ascii="Arial" w:hAnsi="Arial" w:cs="Arial"/>
                          <w:sz w:val="24"/>
                        </w:rPr>
                        <w:t xml:space="preserve"> </w:t>
                      </w:r>
                      <w:r w:rsidR="00ED402E">
                        <w:rPr>
                          <w:rFonts w:ascii="Arial" w:hAnsi="Arial" w:cs="Arial"/>
                          <w:sz w:val="24"/>
                        </w:rPr>
                        <w:t xml:space="preserve">not only </w:t>
                      </w:r>
                      <w:r w:rsidR="009F61F5">
                        <w:rPr>
                          <w:rFonts w:ascii="Arial" w:hAnsi="Arial" w:cs="Arial"/>
                          <w:sz w:val="24"/>
                        </w:rPr>
                        <w:t xml:space="preserve">address a primary goal area and/or objective, but also </w:t>
                      </w:r>
                      <w:r w:rsidR="00E175C4">
                        <w:rPr>
                          <w:rFonts w:ascii="Arial" w:hAnsi="Arial" w:cs="Arial"/>
                          <w:sz w:val="24"/>
                        </w:rPr>
                        <w:t xml:space="preserve">produce </w:t>
                      </w:r>
                      <w:r w:rsidR="00184B0E">
                        <w:rPr>
                          <w:rFonts w:ascii="Arial" w:hAnsi="Arial" w:cs="Arial"/>
                          <w:sz w:val="24"/>
                        </w:rPr>
                        <w:t>positive outcomes</w:t>
                      </w:r>
                      <w:r w:rsidR="00EE642F">
                        <w:rPr>
                          <w:rFonts w:ascii="Arial" w:hAnsi="Arial" w:cs="Arial"/>
                          <w:sz w:val="24"/>
                        </w:rPr>
                        <w:t>,</w:t>
                      </w:r>
                      <w:r w:rsidR="00184B0E">
                        <w:rPr>
                          <w:rFonts w:ascii="Arial" w:hAnsi="Arial" w:cs="Arial"/>
                          <w:sz w:val="24"/>
                        </w:rPr>
                        <w:t xml:space="preserve"> or </w:t>
                      </w:r>
                      <w:r w:rsidR="00E175C4">
                        <w:rPr>
                          <w:rFonts w:ascii="Arial" w:hAnsi="Arial" w:cs="Arial"/>
                          <w:sz w:val="24"/>
                        </w:rPr>
                        <w:t>co-benefits</w:t>
                      </w:r>
                      <w:r w:rsidR="00184B0E">
                        <w:rPr>
                          <w:rFonts w:ascii="Arial" w:hAnsi="Arial" w:cs="Arial"/>
                          <w:sz w:val="24"/>
                        </w:rPr>
                        <w:t xml:space="preserve">, in one or more other goal areas and/or objectives. </w:t>
                      </w:r>
                      <w:r w:rsidR="00391F22">
                        <w:rPr>
                          <w:rFonts w:ascii="Arial" w:hAnsi="Arial" w:cs="Arial"/>
                          <w:sz w:val="24"/>
                        </w:rPr>
                        <w:t>One</w:t>
                      </w:r>
                      <w:r w:rsidR="00B356B4">
                        <w:rPr>
                          <w:rFonts w:ascii="Arial" w:hAnsi="Arial" w:cs="Arial"/>
                          <w:sz w:val="24"/>
                        </w:rPr>
                        <w:t xml:space="preserve"> example that this report </w:t>
                      </w:r>
                      <w:r w:rsidR="0021631A">
                        <w:rPr>
                          <w:rFonts w:ascii="Arial" w:hAnsi="Arial" w:cs="Arial"/>
                          <w:sz w:val="24"/>
                        </w:rPr>
                        <w:t xml:space="preserve">frequently </w:t>
                      </w:r>
                      <w:r w:rsidR="00B356B4">
                        <w:rPr>
                          <w:rFonts w:ascii="Arial" w:hAnsi="Arial" w:cs="Arial"/>
                          <w:sz w:val="24"/>
                        </w:rPr>
                        <w:t>highlights</w:t>
                      </w:r>
                      <w:r w:rsidR="0021631A">
                        <w:rPr>
                          <w:rFonts w:ascii="Arial" w:hAnsi="Arial" w:cs="Arial"/>
                          <w:sz w:val="24"/>
                        </w:rPr>
                        <w:t xml:space="preserve"> is</w:t>
                      </w:r>
                      <w:r w:rsidR="00B356B4">
                        <w:rPr>
                          <w:rFonts w:ascii="Arial" w:hAnsi="Arial" w:cs="Arial"/>
                          <w:sz w:val="24"/>
                        </w:rPr>
                        <w:t xml:space="preserve"> </w:t>
                      </w:r>
                      <w:r w:rsidR="0021631A">
                        <w:rPr>
                          <w:rFonts w:ascii="Arial" w:hAnsi="Arial" w:cs="Arial"/>
                          <w:sz w:val="24"/>
                        </w:rPr>
                        <w:t>the ability</w:t>
                      </w:r>
                      <w:r w:rsidR="00C663AA">
                        <w:rPr>
                          <w:rFonts w:ascii="Arial" w:hAnsi="Arial" w:cs="Arial"/>
                          <w:sz w:val="24"/>
                        </w:rPr>
                        <w:t xml:space="preserve"> of optimized HVAC systems</w:t>
                      </w:r>
                      <w:r w:rsidR="0021631A">
                        <w:rPr>
                          <w:rFonts w:ascii="Arial" w:hAnsi="Arial" w:cs="Arial"/>
                          <w:sz w:val="24"/>
                        </w:rPr>
                        <w:t xml:space="preserve"> </w:t>
                      </w:r>
                      <w:r w:rsidR="00C663AA">
                        <w:rPr>
                          <w:rFonts w:ascii="Arial" w:hAnsi="Arial" w:cs="Arial"/>
                          <w:sz w:val="24"/>
                        </w:rPr>
                        <w:t xml:space="preserve">to produce </w:t>
                      </w:r>
                      <w:r w:rsidR="00A12C3A">
                        <w:rPr>
                          <w:rFonts w:ascii="Arial" w:hAnsi="Arial" w:cs="Arial"/>
                          <w:sz w:val="24"/>
                        </w:rPr>
                        <w:t xml:space="preserve">both green and healthy </w:t>
                      </w:r>
                      <w:r w:rsidR="00C663AA">
                        <w:rPr>
                          <w:rFonts w:ascii="Arial" w:hAnsi="Arial" w:cs="Arial"/>
                          <w:sz w:val="24"/>
                        </w:rPr>
                        <w:t>co-benefits</w:t>
                      </w:r>
                      <w:r w:rsidR="007173DD">
                        <w:rPr>
                          <w:rFonts w:ascii="Arial" w:hAnsi="Arial" w:cs="Arial"/>
                          <w:sz w:val="24"/>
                        </w:rPr>
                        <w:t xml:space="preserve"> </w:t>
                      </w:r>
                      <w:r w:rsidR="00E73B3F">
                        <w:rPr>
                          <w:rFonts w:ascii="Arial" w:hAnsi="Arial" w:cs="Arial"/>
                          <w:sz w:val="24"/>
                        </w:rPr>
                        <w:t>related to</w:t>
                      </w:r>
                      <w:r w:rsidR="007173DD">
                        <w:rPr>
                          <w:rFonts w:ascii="Arial" w:hAnsi="Arial" w:cs="Arial"/>
                          <w:sz w:val="24"/>
                        </w:rPr>
                        <w:t xml:space="preserve"> building energy efficiency</w:t>
                      </w:r>
                      <w:r w:rsidR="00E73B3F">
                        <w:rPr>
                          <w:rFonts w:ascii="Arial" w:hAnsi="Arial" w:cs="Arial"/>
                          <w:sz w:val="24"/>
                        </w:rPr>
                        <w:t>, enhanced climate resilience, and improved indoor air quality</w:t>
                      </w:r>
                      <w:r w:rsidR="00FE3609">
                        <w:rPr>
                          <w:rFonts w:ascii="Arial" w:hAnsi="Arial" w:cs="Arial"/>
                          <w:sz w:val="24"/>
                        </w:rPr>
                        <w:t>—</w:t>
                      </w:r>
                      <w:r w:rsidR="00FE3609" w:rsidRPr="00CF6038">
                        <w:rPr>
                          <w:rFonts w:ascii="Arial" w:hAnsi="Arial" w:cs="Arial"/>
                          <w:sz w:val="24"/>
                        </w:rPr>
                        <w:t>including helping to mitigate exposure to radon</w:t>
                      </w:r>
                      <w:r w:rsidR="002E4F3C" w:rsidRPr="00CF6038">
                        <w:rPr>
                          <w:rFonts w:ascii="Arial" w:hAnsi="Arial" w:cs="Arial"/>
                          <w:sz w:val="24"/>
                        </w:rPr>
                        <w:t xml:space="preserve">, </w:t>
                      </w:r>
                      <w:r w:rsidR="00CF6038" w:rsidRPr="00CF6038">
                        <w:rPr>
                          <w:rFonts w:ascii="Arial" w:hAnsi="Arial" w:cs="Arial"/>
                          <w:sz w:val="24"/>
                        </w:rPr>
                        <w:t>PCBs, carbon monoxide, and mold</w:t>
                      </w:r>
                      <w:r w:rsidR="00E73B3F" w:rsidRPr="00CF6038">
                        <w:rPr>
                          <w:rFonts w:ascii="Arial" w:hAnsi="Arial" w:cs="Arial"/>
                          <w:sz w:val="24"/>
                        </w:rPr>
                        <w:t>.</w:t>
                      </w:r>
                    </w:p>
                    <w:p w14:paraId="0379485A" w14:textId="77777777" w:rsidR="00E73B3F" w:rsidRDefault="00E73B3F" w:rsidP="005C1A90">
                      <w:pPr>
                        <w:rPr>
                          <w:rFonts w:ascii="Arial" w:hAnsi="Arial" w:cs="Arial"/>
                          <w:sz w:val="24"/>
                        </w:rPr>
                      </w:pPr>
                    </w:p>
                    <w:p w14:paraId="13E9AA65" w14:textId="66167344" w:rsidR="005C1A90" w:rsidRDefault="00E73B3F" w:rsidP="005C1A90">
                      <w:pPr>
                        <w:rPr>
                          <w:rFonts w:ascii="Arial" w:hAnsi="Arial" w:cs="Arial"/>
                          <w:sz w:val="24"/>
                        </w:rPr>
                      </w:pPr>
                      <w:r>
                        <w:rPr>
                          <w:rFonts w:ascii="Arial" w:hAnsi="Arial" w:cs="Arial"/>
                          <w:sz w:val="24"/>
                        </w:rPr>
                        <w:t>Conversely, there are also</w:t>
                      </w:r>
                      <w:r w:rsidR="00B356B4">
                        <w:rPr>
                          <w:rFonts w:ascii="Arial" w:hAnsi="Arial" w:cs="Arial"/>
                          <w:sz w:val="24"/>
                        </w:rPr>
                        <w:t xml:space="preserve"> </w:t>
                      </w:r>
                      <w:r w:rsidR="004D32A8">
                        <w:rPr>
                          <w:rFonts w:ascii="Arial" w:hAnsi="Arial" w:cs="Arial"/>
                          <w:sz w:val="24"/>
                        </w:rPr>
                        <w:t>some methods and best practices</w:t>
                      </w:r>
                      <w:r w:rsidR="00243818">
                        <w:rPr>
                          <w:rFonts w:ascii="Arial" w:hAnsi="Arial" w:cs="Arial"/>
                          <w:sz w:val="24"/>
                        </w:rPr>
                        <w:t xml:space="preserve"> (often those that are more “short-term” in nature)</w:t>
                      </w:r>
                      <w:r w:rsidR="004D32A8">
                        <w:rPr>
                          <w:rFonts w:ascii="Arial" w:hAnsi="Arial" w:cs="Arial"/>
                          <w:sz w:val="24"/>
                        </w:rPr>
                        <w:t xml:space="preserve"> that </w:t>
                      </w:r>
                      <w:r w:rsidR="00404C64">
                        <w:rPr>
                          <w:rFonts w:ascii="Arial" w:hAnsi="Arial" w:cs="Arial"/>
                          <w:sz w:val="24"/>
                        </w:rPr>
                        <w:t>produce disbenefits</w:t>
                      </w:r>
                      <w:r w:rsidR="003A1E3B">
                        <w:rPr>
                          <w:rFonts w:ascii="Arial" w:hAnsi="Arial" w:cs="Arial"/>
                          <w:sz w:val="24"/>
                        </w:rPr>
                        <w:t>.</w:t>
                      </w:r>
                      <w:r w:rsidR="00404C64">
                        <w:rPr>
                          <w:rFonts w:ascii="Arial" w:hAnsi="Arial" w:cs="Arial"/>
                          <w:sz w:val="24"/>
                        </w:rPr>
                        <w:t xml:space="preserve"> </w:t>
                      </w:r>
                      <w:r w:rsidR="003A1E3B">
                        <w:rPr>
                          <w:rFonts w:ascii="Arial" w:hAnsi="Arial" w:cs="Arial"/>
                          <w:sz w:val="24"/>
                        </w:rPr>
                        <w:t xml:space="preserve">That is, they </w:t>
                      </w:r>
                      <w:r w:rsidR="008105B9">
                        <w:rPr>
                          <w:rFonts w:ascii="Arial" w:hAnsi="Arial" w:cs="Arial"/>
                          <w:sz w:val="24"/>
                        </w:rPr>
                        <w:t>mitigate concerns in one goal area and/or objective, but further exacerbate</w:t>
                      </w:r>
                      <w:r w:rsidR="0004332D">
                        <w:rPr>
                          <w:rFonts w:ascii="Arial" w:hAnsi="Arial" w:cs="Arial"/>
                          <w:sz w:val="24"/>
                        </w:rPr>
                        <w:t xml:space="preserve"> concerns in one or more goal area and/or objective. For example</w:t>
                      </w:r>
                      <w:r w:rsidR="00243818">
                        <w:rPr>
                          <w:rFonts w:ascii="Arial" w:hAnsi="Arial" w:cs="Arial"/>
                          <w:sz w:val="24"/>
                        </w:rPr>
                        <w:t xml:space="preserve">, </w:t>
                      </w:r>
                      <w:r w:rsidR="00CD292C">
                        <w:rPr>
                          <w:rFonts w:ascii="Arial" w:hAnsi="Arial" w:cs="Arial"/>
                          <w:sz w:val="24"/>
                        </w:rPr>
                        <w:t xml:space="preserve">short-term increases in ventilation rates to improve indoor air quality can increase facility energy consumption </w:t>
                      </w:r>
                      <w:r w:rsidR="00A4617D">
                        <w:rPr>
                          <w:rFonts w:ascii="Arial" w:hAnsi="Arial" w:cs="Arial"/>
                          <w:sz w:val="24"/>
                        </w:rPr>
                        <w:t>and associated GHG emissions.</w:t>
                      </w:r>
                    </w:p>
                    <w:p w14:paraId="5AB9217E" w14:textId="77777777" w:rsidR="009F5F4C" w:rsidRDefault="009F5F4C" w:rsidP="005C1A90">
                      <w:pPr>
                        <w:rPr>
                          <w:rFonts w:ascii="Arial" w:hAnsi="Arial" w:cs="Arial"/>
                          <w:sz w:val="24"/>
                        </w:rPr>
                      </w:pPr>
                    </w:p>
                    <w:p w14:paraId="4D24B767" w14:textId="710875A0" w:rsidR="009F5F4C" w:rsidRPr="0066462E" w:rsidRDefault="009F5F4C" w:rsidP="005C1A90">
                      <w:pPr>
                        <w:rPr>
                          <w:rFonts w:ascii="Arial" w:hAnsi="Arial" w:cs="Arial"/>
                          <w:sz w:val="24"/>
                        </w:rPr>
                      </w:pPr>
                    </w:p>
                  </w:txbxContent>
                </v:textbox>
                <w10:wrap type="square" anchorx="margin"/>
              </v:shape>
            </w:pict>
          </mc:Fallback>
        </mc:AlternateContent>
      </w:r>
    </w:p>
    <w:p w14:paraId="50DC3A48" w14:textId="205E6F6F" w:rsidR="00CC77E8" w:rsidRDefault="00CC77E8" w:rsidP="001C7888">
      <w:pPr>
        <w:pStyle w:val="Heading2"/>
      </w:pPr>
      <w:bookmarkStart w:id="70" w:name="_Toc193116891"/>
      <w:r>
        <w:t>Local Public Health Departments as Partners</w:t>
      </w:r>
      <w:bookmarkEnd w:id="70"/>
    </w:p>
    <w:p w14:paraId="2BB4BD0A" w14:textId="79232490" w:rsidR="00CC77E8" w:rsidRDefault="00CC77E8" w:rsidP="006D7DE6">
      <w:pPr>
        <w:pStyle w:val="BodyTextFirstIndent"/>
      </w:pPr>
      <w:r>
        <w:t>Local and regional public health departments are essential partners to school districts wishing to implement the strategies outlined in this report, including addressing health equity, identifying environmental justice concerns, reviewing possible sites for new buildings, and providing health data for local funding requests.</w:t>
      </w:r>
    </w:p>
    <w:p w14:paraId="77D7D84C" w14:textId="4FC4FD27" w:rsidR="004948E0" w:rsidRDefault="00CC77E8" w:rsidP="006D7DE6">
      <w:pPr>
        <w:pStyle w:val="BodyTextFirstIndent"/>
      </w:pPr>
      <w:r>
        <w:t>Local public health officials should be at the table for local policy changes and to support the school district in prioritizing buildings to meet equity goals by collaboration on data analysis and community outreach.</w:t>
      </w:r>
    </w:p>
    <w:p w14:paraId="38FD4DEA" w14:textId="77777777" w:rsidR="0084243D" w:rsidRDefault="0084243D" w:rsidP="006D7DE6">
      <w:pPr>
        <w:pStyle w:val="BodyTextFirstIndent"/>
        <w:sectPr w:rsidR="0084243D" w:rsidSect="00F7345F">
          <w:footnotePr>
            <w:numFmt w:val="lowerLetter"/>
          </w:footnotePr>
          <w:pgSz w:w="12240" w:h="15840"/>
          <w:pgMar w:top="1440" w:right="1440" w:bottom="1440" w:left="1440" w:header="720" w:footer="720" w:gutter="0"/>
          <w:cols w:space="720"/>
          <w:docGrid w:linePitch="360"/>
        </w:sectPr>
      </w:pPr>
    </w:p>
    <w:p w14:paraId="3F499767" w14:textId="4BBF5614" w:rsidR="004948E0" w:rsidRPr="00CE04DF" w:rsidRDefault="0084243D" w:rsidP="002B48E4">
      <w:pPr>
        <w:pStyle w:val="ModuleHeader"/>
      </w:pPr>
      <w:bookmarkStart w:id="71" w:name="_Toc193116892"/>
      <w:r w:rsidRPr="00CE04DF">
        <w:lastRenderedPageBreak/>
        <w:t>Module 1:</w:t>
      </w:r>
      <w:r w:rsidR="00CE60D1" w:rsidRPr="00CE04DF">
        <w:t xml:space="preserve"> High-Level Overview of Methods and Best Practices</w:t>
      </w:r>
      <w:bookmarkEnd w:id="71"/>
    </w:p>
    <w:p w14:paraId="4A3CF4E3" w14:textId="77777777" w:rsidR="004948E0" w:rsidRDefault="004948E0" w:rsidP="006D7DE6">
      <w:pPr>
        <w:pStyle w:val="BodyTextFirstIndent"/>
      </w:pPr>
    </w:p>
    <w:p w14:paraId="2EAE52C8" w14:textId="134B82FA" w:rsidR="00CD0C35" w:rsidRDefault="00CD0C35" w:rsidP="006D7DE6">
      <w:pPr>
        <w:pStyle w:val="BodyTextFirstIndent"/>
        <w:sectPr w:rsidR="00CD0C35" w:rsidSect="00CE60D1">
          <w:footerReference w:type="default" r:id="rId54"/>
          <w:pgSz w:w="12240" w:h="15840" w:code="1"/>
          <w:pgMar w:top="1440" w:right="1440" w:bottom="1440" w:left="1440" w:header="720" w:footer="720" w:gutter="0"/>
          <w:cols w:space="720"/>
          <w:vAlign w:val="center"/>
          <w:docGrid w:linePitch="360"/>
        </w:sectPr>
      </w:pPr>
    </w:p>
    <w:p w14:paraId="705AE7BA" w14:textId="65CE2E8F" w:rsidR="00BE399A" w:rsidRDefault="00243F5E" w:rsidP="00A90558">
      <w:pPr>
        <w:pStyle w:val="Heading1"/>
      </w:pPr>
      <w:bookmarkStart w:id="72" w:name="_Toc44305319"/>
      <w:bookmarkStart w:id="73" w:name="_Toc171518361"/>
      <w:bookmarkStart w:id="74" w:name="_Toc171519314"/>
      <w:bookmarkStart w:id="75" w:name="_Ref177639093"/>
      <w:bookmarkStart w:id="76" w:name="_Toc193116893"/>
      <w:r>
        <w:lastRenderedPageBreak/>
        <w:t>I</w:t>
      </w:r>
      <w:r w:rsidR="0052376C">
        <w:t>I</w:t>
      </w:r>
      <w:r>
        <w:t xml:space="preserve">. </w:t>
      </w:r>
      <w:bookmarkEnd w:id="72"/>
      <w:r w:rsidR="00C232CF">
        <w:t>Goal 1: Achieve Green Schools</w:t>
      </w:r>
      <w:bookmarkEnd w:id="73"/>
      <w:bookmarkEnd w:id="74"/>
      <w:bookmarkEnd w:id="75"/>
      <w:bookmarkEnd w:id="76"/>
    </w:p>
    <w:p w14:paraId="39C8331D" w14:textId="1285F310" w:rsidR="007E6C13" w:rsidRPr="007E6C13" w:rsidRDefault="009E3C37" w:rsidP="0023018C">
      <w:pPr>
        <w:pStyle w:val="SourceCaption"/>
      </w:pPr>
      <w:r w:rsidRPr="007E6C13">
        <w:rPr>
          <w:noProof/>
        </w:rPr>
        <w:drawing>
          <wp:inline distT="0" distB="0" distL="0" distR="0" wp14:anchorId="5D14A9DB" wp14:editId="4F381AF3">
            <wp:extent cx="5932219" cy="3954812"/>
            <wp:effectExtent l="0" t="0" r="0" b="7620"/>
            <wp:docPr id="1379055338" name="Picture 2" descr="Picture of a modern elementary school with a combination of older brick architecture with modern glass finishes, an American flag, and a green lawn framing the building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55338" name="Picture 2" descr="Picture of a modern elementary school with a combination of older brick architecture with modern glass finishes, an American flag, and a green lawn framing the building front."/>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932219" cy="3954812"/>
                    </a:xfrm>
                    <a:prstGeom prst="rect">
                      <a:avLst/>
                    </a:prstGeom>
                    <a:noFill/>
                    <a:ln>
                      <a:noFill/>
                    </a:ln>
                  </pic:spPr>
                </pic:pic>
              </a:graphicData>
            </a:graphic>
          </wp:inline>
        </w:drawing>
      </w:r>
      <w:r w:rsidR="000B2F8F">
        <w:t>East Veterans</w:t>
      </w:r>
      <w:r w:rsidR="00273BA4" w:rsidRPr="00554541">
        <w:t xml:space="preserve"> Elementary School</w:t>
      </w:r>
      <w:r w:rsidR="00554541" w:rsidRPr="00554541">
        <w:t xml:space="preserve">, </w:t>
      </w:r>
      <w:r w:rsidR="00364714">
        <w:t>Gloucester</w:t>
      </w:r>
      <w:r w:rsidR="00554541" w:rsidRPr="00554541">
        <w:t>, MA</w:t>
      </w:r>
      <w:r w:rsidR="0046363A" w:rsidRPr="00554541">
        <w:t xml:space="preserve">. </w:t>
      </w:r>
      <w:r w:rsidR="000E63ED" w:rsidRPr="00554541">
        <w:t xml:space="preserve">Photo </w:t>
      </w:r>
      <w:r w:rsidR="007C0B9A">
        <w:t>courtesy of</w:t>
      </w:r>
      <w:r w:rsidR="000E63ED" w:rsidRPr="00554541">
        <w:t xml:space="preserve"> </w:t>
      </w:r>
      <w:r w:rsidR="003B598D">
        <w:t xml:space="preserve">the </w:t>
      </w:r>
      <w:r w:rsidR="00554541" w:rsidRPr="00554541">
        <w:t>MSBA</w:t>
      </w:r>
      <w:r w:rsidR="00817C3C" w:rsidRPr="00554541">
        <w:t>.</w:t>
      </w:r>
    </w:p>
    <w:p w14:paraId="2C0A544A" w14:textId="2A52CBDA" w:rsidR="00B66473" w:rsidRDefault="00DD792B" w:rsidP="006D7DE6">
      <w:pPr>
        <w:pStyle w:val="BodyTextFirstIndent"/>
      </w:pPr>
      <w:r>
        <w:rPr>
          <w:noProof/>
        </w:rPr>
        <mc:AlternateContent>
          <mc:Choice Requires="wps">
            <w:drawing>
              <wp:anchor distT="0" distB="0" distL="114300" distR="114300" simplePos="0" relativeHeight="251644416" behindDoc="0" locked="0" layoutInCell="1" allowOverlap="1" wp14:anchorId="6D3A9A32" wp14:editId="70950F70">
                <wp:simplePos x="0" y="0"/>
                <wp:positionH relativeFrom="margin">
                  <wp:align>right</wp:align>
                </wp:positionH>
                <wp:positionV relativeFrom="paragraph">
                  <wp:posOffset>146896</wp:posOffset>
                </wp:positionV>
                <wp:extent cx="1924050" cy="1333500"/>
                <wp:effectExtent l="0" t="0" r="19050" b="19050"/>
                <wp:wrapSquare wrapText="bothSides"/>
                <wp:docPr id="1606250156" name="Text Box 1"/>
                <wp:cNvGraphicFramePr/>
                <a:graphic xmlns:a="http://schemas.openxmlformats.org/drawingml/2006/main">
                  <a:graphicData uri="http://schemas.microsoft.com/office/word/2010/wordprocessingShape">
                    <wps:wsp>
                      <wps:cNvSpPr txBox="1"/>
                      <wps:spPr bwMode="auto">
                        <a:xfrm>
                          <a:off x="0" y="0"/>
                          <a:ext cx="1924050" cy="1333500"/>
                        </a:xfrm>
                        <a:prstGeom prst="rect">
                          <a:avLst/>
                        </a:prstGeom>
                        <a:solidFill>
                          <a:schemeClr val="accent1">
                            <a:lumMod val="20000"/>
                            <a:lumOff val="80000"/>
                          </a:schemeClr>
                        </a:solidFill>
                        <a:ln w="9525">
                          <a:solidFill>
                            <a:schemeClr val="tx1"/>
                          </a:solidFill>
                          <a:miter lim="800000"/>
                          <a:headEnd/>
                          <a:tailEnd/>
                        </a:ln>
                      </wps:spPr>
                      <wps:txbx>
                        <w:txbxContent>
                          <w:p w14:paraId="279D71C6" w14:textId="1CA154A2" w:rsidR="00DD792B" w:rsidRPr="0066462E" w:rsidRDefault="00584C95" w:rsidP="00DD792B">
                            <w:pPr>
                              <w:rPr>
                                <w:rFonts w:ascii="Arial" w:hAnsi="Arial" w:cs="Arial"/>
                                <w:sz w:val="24"/>
                              </w:rPr>
                            </w:pPr>
                            <w:r>
                              <w:rPr>
                                <w:rFonts w:ascii="Arial" w:hAnsi="Arial" w:cs="Arial"/>
                                <w:sz w:val="24"/>
                              </w:rPr>
                              <w:t xml:space="preserve">This report prioritizes Massachusetts- and school-specific standards where they are available, while also </w:t>
                            </w:r>
                            <w:r w:rsidR="004B4C94">
                              <w:rPr>
                                <w:rFonts w:ascii="Arial" w:hAnsi="Arial" w:cs="Arial"/>
                                <w:sz w:val="24"/>
                              </w:rPr>
                              <w:t xml:space="preserve">acknowledging </w:t>
                            </w:r>
                            <w:r w:rsidR="00BD13AC">
                              <w:rPr>
                                <w:rFonts w:ascii="Arial" w:hAnsi="Arial" w:cs="Arial"/>
                                <w:sz w:val="24"/>
                              </w:rPr>
                              <w:t>widely used national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3A9A32" id="_x0000_s1038" type="#_x0000_t202" style="position:absolute;margin-left:100.3pt;margin-top:11.55pt;width:151.5pt;height:105pt;z-index:251644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" fillcolor="#dbe5f1 [660]" strokecolor="black [3213]">
                <v:textbox>
                  <w:txbxContent>
                    <w:p w14:paraId="279D71C6" w14:textId="1CA154A2" w:rsidR="00DD792B" w:rsidRPr="0066462E" w:rsidRDefault="00584C95" w:rsidP="00DD792B">
                      <w:pPr>
                        <w:rPr>
                          <w:rFonts w:ascii="Arial" w:hAnsi="Arial" w:cs="Arial"/>
                          <w:sz w:val="24"/>
                        </w:rPr>
                      </w:pPr>
                      <w:r>
                        <w:rPr>
                          <w:rFonts w:ascii="Arial" w:hAnsi="Arial" w:cs="Arial"/>
                          <w:sz w:val="24"/>
                        </w:rPr>
                        <w:t xml:space="preserve">This report prioritizes Massachusetts- and school-specific standards where they are available, while also </w:t>
                      </w:r>
                      <w:r w:rsidR="004B4C94">
                        <w:rPr>
                          <w:rFonts w:ascii="Arial" w:hAnsi="Arial" w:cs="Arial"/>
                          <w:sz w:val="24"/>
                        </w:rPr>
                        <w:t xml:space="preserve">acknowledging </w:t>
                      </w:r>
                      <w:r w:rsidR="00BD13AC">
                        <w:rPr>
                          <w:rFonts w:ascii="Arial" w:hAnsi="Arial" w:cs="Arial"/>
                          <w:sz w:val="24"/>
                        </w:rPr>
                        <w:t>widely used national standards.</w:t>
                      </w:r>
                    </w:p>
                  </w:txbxContent>
                </v:textbox>
                <w10:wrap type="square" anchorx="margin"/>
              </v:shape>
            </w:pict>
          </mc:Fallback>
        </mc:AlternateContent>
      </w:r>
      <w:r w:rsidR="00274EB0">
        <w:t>Designing, constructi</w:t>
      </w:r>
      <w:r w:rsidR="00C055BA">
        <w:t>ng</w:t>
      </w:r>
      <w:r w:rsidR="00274EB0">
        <w:t>, and operating</w:t>
      </w:r>
      <w:r w:rsidR="00352420">
        <w:t xml:space="preserve"> </w:t>
      </w:r>
      <w:r w:rsidR="00AB7AA9">
        <w:t xml:space="preserve">green schools has long been a goal of </w:t>
      </w:r>
      <w:r w:rsidR="00960156">
        <w:t>school d</w:t>
      </w:r>
      <w:r w:rsidR="00AB7AA9">
        <w:t>istrict and municipal</w:t>
      </w:r>
      <w:r w:rsidR="000B6501">
        <w:t xml:space="preserve"> sustainability programs</w:t>
      </w:r>
      <w:r w:rsidR="00AB7AA9">
        <w:t xml:space="preserve"> across the country</w:t>
      </w:r>
      <w:r w:rsidR="00E562B5">
        <w:t xml:space="preserve">, often </w:t>
      </w:r>
      <w:r w:rsidR="00034D85">
        <w:t xml:space="preserve">defined by achieving </w:t>
      </w:r>
      <w:r w:rsidR="00E03797">
        <w:t>formal</w:t>
      </w:r>
      <w:r w:rsidR="00704A39">
        <w:t xml:space="preserve"> </w:t>
      </w:r>
      <w:r w:rsidR="00A55048">
        <w:t xml:space="preserve">LEED </w:t>
      </w:r>
      <w:r w:rsidR="00704A39">
        <w:t>certification</w:t>
      </w:r>
      <w:r w:rsidR="00E03797">
        <w:t xml:space="preserve"> through </w:t>
      </w:r>
      <w:r w:rsidR="007867DB">
        <w:t>USGBC</w:t>
      </w:r>
      <w:r w:rsidR="00B03550">
        <w:t>,</w:t>
      </w:r>
      <w:r w:rsidR="00B039AB">
        <w:t xml:space="preserve"> </w:t>
      </w:r>
      <w:r w:rsidR="008426CF">
        <w:t xml:space="preserve">the </w:t>
      </w:r>
      <w:r w:rsidR="00EA5DD1">
        <w:t xml:space="preserve">Northeast </w:t>
      </w:r>
      <w:r w:rsidR="00E32BAE">
        <w:t>Collaborative for High Performance Schools (NE</w:t>
      </w:r>
      <w:r w:rsidR="00A234F6">
        <w:t>-</w:t>
      </w:r>
      <w:r w:rsidR="00E32BAE">
        <w:t>CHPS)</w:t>
      </w:r>
      <w:r w:rsidR="000A3050">
        <w:t xml:space="preserve"> verification</w:t>
      </w:r>
      <w:r w:rsidR="00E32BAE">
        <w:t xml:space="preserve">, </w:t>
      </w:r>
      <w:r w:rsidR="00B039AB">
        <w:t xml:space="preserve">Green Ribbon Schools </w:t>
      </w:r>
      <w:r w:rsidR="000B6501">
        <w:t>recognition</w:t>
      </w:r>
      <w:r w:rsidR="00E062CB">
        <w:t xml:space="preserve"> from the U.S. Department of Education</w:t>
      </w:r>
      <w:r w:rsidR="00B03550">
        <w:t>, or other metrics</w:t>
      </w:r>
      <w:r w:rsidR="00B039AB">
        <w:t xml:space="preserve"> </w:t>
      </w:r>
      <w:r w:rsidR="004E7FC0">
        <w:t>related to</w:t>
      </w:r>
      <w:r w:rsidR="00B039AB">
        <w:t xml:space="preserve"> the design and operation of </w:t>
      </w:r>
      <w:r w:rsidR="009C71EE">
        <w:t>schools.</w:t>
      </w:r>
      <w:r w:rsidR="00431B55">
        <w:t xml:space="preserve"> More recently</w:t>
      </w:r>
      <w:r w:rsidR="00F25140">
        <w:t>,</w:t>
      </w:r>
      <w:r w:rsidR="00431B55">
        <w:t xml:space="preserve"> </w:t>
      </w:r>
      <w:r w:rsidR="00D46295">
        <w:t>th</w:t>
      </w:r>
      <w:r w:rsidR="0068751D">
        <w:t>e pursuit of green schools</w:t>
      </w:r>
      <w:r w:rsidR="00D46295">
        <w:t xml:space="preserve"> has </w:t>
      </w:r>
      <w:r w:rsidR="0058765B">
        <w:t xml:space="preserve">included a prominent emphasis on building </w:t>
      </w:r>
      <w:r w:rsidR="00D46295">
        <w:t>d</w:t>
      </w:r>
      <w:r w:rsidR="00B66473">
        <w:t>ecarboniz</w:t>
      </w:r>
      <w:r w:rsidR="00D46295">
        <w:t>ation</w:t>
      </w:r>
      <w:r w:rsidR="008C4011">
        <w:t xml:space="preserve">—the process of </w:t>
      </w:r>
      <w:r w:rsidR="00AE2BC7">
        <w:t>reducing (or eliminating) GHG emissions</w:t>
      </w:r>
      <w:r w:rsidR="00291865">
        <w:t xml:space="preserve"> associated </w:t>
      </w:r>
      <w:r w:rsidR="00BF437A">
        <w:t xml:space="preserve">with the </w:t>
      </w:r>
      <w:r w:rsidR="00486657">
        <w:t>construction and operation of buildings</w:t>
      </w:r>
      <w:r w:rsidR="006969E9">
        <w:t>.</w:t>
      </w:r>
      <w:r w:rsidR="005A5E32">
        <w:t xml:space="preserve"> </w:t>
      </w:r>
      <w:r w:rsidR="00B662B3">
        <w:t>Green schools</w:t>
      </w:r>
      <w:r w:rsidR="00766FE3">
        <w:t xml:space="preserve"> </w:t>
      </w:r>
      <w:r w:rsidR="000B6501">
        <w:t>also</w:t>
      </w:r>
      <w:r w:rsidR="00851D19">
        <w:t xml:space="preserve"> pursue</w:t>
      </w:r>
      <w:r w:rsidR="00766FE3">
        <w:t xml:space="preserve"> </w:t>
      </w:r>
      <w:r w:rsidR="00AB282D">
        <w:t xml:space="preserve">goals and implement best practices </w:t>
      </w:r>
      <w:r w:rsidR="003327BB">
        <w:t>related</w:t>
      </w:r>
      <w:r w:rsidR="00AB282D">
        <w:t xml:space="preserve"> </w:t>
      </w:r>
      <w:r w:rsidR="003327BB">
        <w:t xml:space="preserve">to </w:t>
      </w:r>
      <w:r w:rsidR="00AB282D">
        <w:t>water efficiency, solid waste</w:t>
      </w:r>
      <w:r w:rsidR="00295BAC">
        <w:t xml:space="preserve"> diversion</w:t>
      </w:r>
      <w:r w:rsidR="00AB282D">
        <w:t>,</w:t>
      </w:r>
      <w:r w:rsidR="00684E1C">
        <w:t xml:space="preserve"> </w:t>
      </w:r>
      <w:r w:rsidR="00CE4CC7">
        <w:t>electrification of school</w:t>
      </w:r>
      <w:r w:rsidR="00684E1C">
        <w:t xml:space="preserve"> </w:t>
      </w:r>
      <w:r w:rsidR="0093297F">
        <w:t xml:space="preserve">vehicle </w:t>
      </w:r>
      <w:r w:rsidR="00684E1C">
        <w:t>fleets,</w:t>
      </w:r>
      <w:r w:rsidR="00AB282D">
        <w:t xml:space="preserve"> </w:t>
      </w:r>
      <w:r w:rsidR="00B013C1">
        <w:t xml:space="preserve">optimized climate </w:t>
      </w:r>
      <w:r w:rsidR="00970E40">
        <w:t>resilience</w:t>
      </w:r>
      <w:r w:rsidR="006E3BBF">
        <w:t>, and other</w:t>
      </w:r>
      <w:r w:rsidR="00106A22">
        <w:t xml:space="preserve"> operational areas</w:t>
      </w:r>
      <w:r w:rsidR="00970E40">
        <w:t>.</w:t>
      </w:r>
      <w:r w:rsidR="0014581E">
        <w:t xml:space="preserve"> </w:t>
      </w:r>
    </w:p>
    <w:p w14:paraId="1FAB15F4" w14:textId="3E05E5C1" w:rsidR="00BE175F" w:rsidRDefault="00327A03" w:rsidP="006D7DE6">
      <w:pPr>
        <w:pStyle w:val="BodyTextFirstIndent"/>
      </w:pPr>
      <w:r>
        <w:t xml:space="preserve">Following teacher salaries, school </w:t>
      </w:r>
      <w:r w:rsidR="00EC4747">
        <w:t xml:space="preserve">utilities </w:t>
      </w:r>
      <w:r w:rsidR="00D3604A">
        <w:t>(</w:t>
      </w:r>
      <w:r w:rsidR="004C19C5">
        <w:t xml:space="preserve">i.e., </w:t>
      </w:r>
      <w:r w:rsidR="00D3604A">
        <w:t>energy and water) and services (</w:t>
      </w:r>
      <w:r w:rsidR="004C19C5">
        <w:t xml:space="preserve">e.g., </w:t>
      </w:r>
      <w:r w:rsidR="00D3604A">
        <w:t>waste</w:t>
      </w:r>
      <w:r w:rsidR="000451CD">
        <w:t xml:space="preserve"> management</w:t>
      </w:r>
      <w:r w:rsidR="00D646CD">
        <w:t xml:space="preserve">, </w:t>
      </w:r>
      <w:r w:rsidR="000451CD">
        <w:t>transportation</w:t>
      </w:r>
      <w:r w:rsidR="009164BD">
        <w:t xml:space="preserve">) represent some of the largest </w:t>
      </w:r>
      <w:r w:rsidR="00616C98">
        <w:t xml:space="preserve">operating </w:t>
      </w:r>
      <w:r w:rsidR="009164BD">
        <w:t xml:space="preserve">costs to </w:t>
      </w:r>
      <w:r w:rsidR="00AF76C6">
        <w:t>school d</w:t>
      </w:r>
      <w:r w:rsidR="009164BD">
        <w:t>istricts</w:t>
      </w:r>
      <w:r w:rsidR="0066349F">
        <w:t xml:space="preserve">. </w:t>
      </w:r>
      <w:r w:rsidR="006725E1">
        <w:t>Efficiency improvements in each of these areas can offer financial savings</w:t>
      </w:r>
      <w:r w:rsidR="00314C0E">
        <w:t xml:space="preserve"> and</w:t>
      </w:r>
      <w:r w:rsidR="00285ED5">
        <w:t xml:space="preserve"> help </w:t>
      </w:r>
      <w:r w:rsidR="000D7901">
        <w:t>school d</w:t>
      </w:r>
      <w:r w:rsidR="00285ED5">
        <w:t xml:space="preserve">istricts meet their fiduciary </w:t>
      </w:r>
      <w:r w:rsidR="00805F50">
        <w:t>duty</w:t>
      </w:r>
      <w:r w:rsidR="00285ED5">
        <w:t xml:space="preserve"> while also offering numerous co-benefits</w:t>
      </w:r>
      <w:r w:rsidR="000B0B42">
        <w:t xml:space="preserve"> to </w:t>
      </w:r>
      <w:r w:rsidR="006C5D6A">
        <w:t>school district staff, the</w:t>
      </w:r>
      <w:r w:rsidR="00345E97">
        <w:t xml:space="preserve"> </w:t>
      </w:r>
      <w:r w:rsidR="00250607">
        <w:t xml:space="preserve">enrolled </w:t>
      </w:r>
      <w:r w:rsidR="006C5D6A">
        <w:t xml:space="preserve">student body, </w:t>
      </w:r>
      <w:r w:rsidR="00F26026">
        <w:t xml:space="preserve">and the surrounding </w:t>
      </w:r>
      <w:r w:rsidR="00F26026">
        <w:lastRenderedPageBreak/>
        <w:t>community</w:t>
      </w:r>
      <w:r w:rsidR="00DA5300">
        <w:t>.</w:t>
      </w:r>
      <w:r w:rsidR="0034308C">
        <w:t xml:space="preserve"> </w:t>
      </w:r>
      <w:r w:rsidR="00CA79F1">
        <w:t>School d</w:t>
      </w:r>
      <w:r w:rsidR="0034308C">
        <w:t>istricts are increasingly considering</w:t>
      </w:r>
      <w:r w:rsidR="00082200">
        <w:t xml:space="preserve"> and implementing</w:t>
      </w:r>
      <w:r w:rsidR="0034308C">
        <w:t xml:space="preserve"> strategies th</w:t>
      </w:r>
      <w:r w:rsidR="00714AE5">
        <w:t>at address these areas</w:t>
      </w:r>
      <w:r w:rsidR="00790313">
        <w:t xml:space="preserve"> </w:t>
      </w:r>
      <w:r w:rsidR="0086146C">
        <w:t>so</w:t>
      </w:r>
      <w:r w:rsidR="00291356">
        <w:t xml:space="preserve"> </w:t>
      </w:r>
      <w:r w:rsidR="00F309A2">
        <w:t xml:space="preserve">that </w:t>
      </w:r>
      <w:r w:rsidR="00291356">
        <w:t>schools can continue to operate reliably in the face of a changing climate.</w:t>
      </w:r>
      <w:r w:rsidR="00BE175F">
        <w:t xml:space="preserve"> </w:t>
      </w:r>
    </w:p>
    <w:p w14:paraId="27C15F8D" w14:textId="2D6DB880" w:rsidR="003C1C24" w:rsidRDefault="00500321" w:rsidP="006D7DE6">
      <w:pPr>
        <w:pStyle w:val="BodyTextFirstIndent"/>
      </w:pPr>
      <w:r>
        <w:t>This section presents</w:t>
      </w:r>
      <w:r w:rsidR="009A7DF0">
        <w:t xml:space="preserve"> a brief background,</w:t>
      </w:r>
      <w:r>
        <w:t xml:space="preserve"> </w:t>
      </w:r>
      <w:r w:rsidR="00BB4422">
        <w:t xml:space="preserve">a tabular summary of </w:t>
      </w:r>
      <w:r w:rsidR="00410E58">
        <w:t xml:space="preserve">the </w:t>
      </w:r>
      <w:r w:rsidR="00C32805">
        <w:t>methods and best practices</w:t>
      </w:r>
      <w:r w:rsidR="00C36A6E">
        <w:t xml:space="preserve"> </w:t>
      </w:r>
      <w:r w:rsidR="005D5CFA">
        <w:t xml:space="preserve">that </w:t>
      </w:r>
      <w:r w:rsidR="00613F8E">
        <w:t xml:space="preserve">can </w:t>
      </w:r>
      <w:r w:rsidR="005D5CFA">
        <w:t xml:space="preserve">help </w:t>
      </w:r>
      <w:r w:rsidR="00C36A6E">
        <w:t xml:space="preserve">school districts </w:t>
      </w:r>
      <w:r w:rsidR="00613F8E">
        <w:t xml:space="preserve">across the Commonwealth </w:t>
      </w:r>
      <w:r w:rsidR="005D5CFA">
        <w:t>achieve green schools</w:t>
      </w:r>
      <w:r w:rsidR="00795387">
        <w:t>,</w:t>
      </w:r>
      <w:r w:rsidR="00AD2848">
        <w:t xml:space="preserve"> and a brief discussion of notable barriers and challenges that schools are likely to face</w:t>
      </w:r>
      <w:r w:rsidR="005D5CFA">
        <w:t xml:space="preserve">. </w:t>
      </w:r>
      <w:r w:rsidR="00403123">
        <w:t xml:space="preserve">Content is provided </w:t>
      </w:r>
      <w:r w:rsidR="00B10211">
        <w:t xml:space="preserve">across the following </w:t>
      </w:r>
      <w:r w:rsidR="00575E2D">
        <w:t>six</w:t>
      </w:r>
      <w:r w:rsidR="00B10211">
        <w:t xml:space="preserve"> objectives: </w:t>
      </w:r>
    </w:p>
    <w:p w14:paraId="2910AC62" w14:textId="3951AA72" w:rsidR="00CE319F" w:rsidRPr="00CE319F" w:rsidRDefault="0075340B" w:rsidP="0073680D">
      <w:pPr>
        <w:pStyle w:val="ListLetter"/>
        <w:numPr>
          <w:ilvl w:val="0"/>
          <w:numId w:val="14"/>
        </w:numPr>
      </w:pPr>
      <w:r>
        <w:t>Decarbonize buildings</w:t>
      </w:r>
    </w:p>
    <w:p w14:paraId="03A1C2EA" w14:textId="77777777" w:rsidR="00CE319F" w:rsidRPr="00CE319F" w:rsidRDefault="006D6B70" w:rsidP="0073680D">
      <w:pPr>
        <w:pStyle w:val="ListLetter"/>
      </w:pPr>
      <w:r w:rsidRPr="00CE319F">
        <w:t>Optimize water efficiency</w:t>
      </w:r>
    </w:p>
    <w:p w14:paraId="55C88C81" w14:textId="77777777" w:rsidR="00CE319F" w:rsidRPr="00CE319F" w:rsidRDefault="006D6B70" w:rsidP="0073680D">
      <w:pPr>
        <w:pStyle w:val="ListLetter"/>
      </w:pPr>
      <w:r w:rsidRPr="00CE319F">
        <w:t>Optimize solid waste reduction and diversion</w:t>
      </w:r>
    </w:p>
    <w:p w14:paraId="3EE95CEF" w14:textId="77777777" w:rsidR="00CE319F" w:rsidRPr="00CE319F" w:rsidRDefault="006D6B70" w:rsidP="0073680D">
      <w:pPr>
        <w:pStyle w:val="ListLetter"/>
      </w:pPr>
      <w:r w:rsidRPr="00CE319F">
        <w:t>Electrify school bus fleets</w:t>
      </w:r>
    </w:p>
    <w:p w14:paraId="3DBE8AAB" w14:textId="77777777" w:rsidR="00CE319F" w:rsidRPr="00CE319F" w:rsidRDefault="006D6B70" w:rsidP="0073680D">
      <w:pPr>
        <w:pStyle w:val="ListLetter"/>
      </w:pPr>
      <w:r w:rsidRPr="00CE319F">
        <w:t>Provide electric vehicle charging stations for school staff and public use</w:t>
      </w:r>
    </w:p>
    <w:p w14:paraId="1BEFC4B9" w14:textId="77777777" w:rsidR="00156664" w:rsidRDefault="006D6B70" w:rsidP="0073680D">
      <w:pPr>
        <w:pStyle w:val="ListLetter"/>
      </w:pPr>
      <w:r w:rsidRPr="00CE319F">
        <w:t>Enhance climate resil</w:t>
      </w:r>
      <w:r w:rsidR="00CE6BDD">
        <w:t>i</w:t>
      </w:r>
      <w:r w:rsidRPr="00CE319F">
        <w:t>ence</w:t>
      </w:r>
    </w:p>
    <w:p w14:paraId="7CC80E30" w14:textId="33077BD1" w:rsidR="00EB2182" w:rsidRDefault="008D6BFE" w:rsidP="006D7DE6">
      <w:pPr>
        <w:pStyle w:val="BodyTextFirstIndent"/>
      </w:pPr>
      <w:hyperlink w:anchor="Section_VI" w:history="1">
        <w:r w:rsidRPr="008D6BFE">
          <w:rPr>
            <w:rStyle w:val="Hyperlink"/>
          </w:rPr>
          <w:t>Section VI</w:t>
        </w:r>
      </w:hyperlink>
      <w:r w:rsidR="00957B38">
        <w:t xml:space="preserve"> provides</w:t>
      </w:r>
      <w:r w:rsidR="00BB7177">
        <w:t xml:space="preserve"> a more detailed narrative description of the methods and best practices</w:t>
      </w:r>
      <w:r w:rsidR="00C44F60">
        <w:t xml:space="preserve">, </w:t>
      </w:r>
      <w:r w:rsidR="00EB2182">
        <w:t>details</w:t>
      </w:r>
      <w:r w:rsidR="00050782">
        <w:t xml:space="preserve"> related to t</w:t>
      </w:r>
      <w:r w:rsidR="00EB2182">
        <w:t>he relevant statutory/regulatory framework and notable standards</w:t>
      </w:r>
      <w:r w:rsidR="004B6610">
        <w:t>, and relevant resources across each of the six objectives.</w:t>
      </w:r>
    </w:p>
    <w:p w14:paraId="2936AAF0" w14:textId="1D9F01B6" w:rsidR="00CA09EA" w:rsidRDefault="00CA09EA" w:rsidP="001C7888">
      <w:pPr>
        <w:pStyle w:val="Heading2"/>
      </w:pPr>
      <w:bookmarkStart w:id="77" w:name="Objective_1a"/>
      <w:bookmarkStart w:id="78" w:name="_Objective_1a._Decarbonize"/>
      <w:bookmarkStart w:id="79" w:name="_Toc171518362"/>
      <w:bookmarkStart w:id="80" w:name="_Toc171519315"/>
      <w:bookmarkStart w:id="81" w:name="_Ref177549688"/>
      <w:bookmarkStart w:id="82" w:name="_Ref177639115"/>
      <w:bookmarkStart w:id="83" w:name="_Toc193116894"/>
      <w:bookmarkEnd w:id="77"/>
      <w:bookmarkEnd w:id="78"/>
      <w:r>
        <w:t>Objective 1a. Decarbonize Buildings</w:t>
      </w:r>
      <w:bookmarkEnd w:id="79"/>
      <w:bookmarkEnd w:id="80"/>
      <w:bookmarkEnd w:id="81"/>
      <w:bookmarkEnd w:id="82"/>
      <w:bookmarkEnd w:id="83"/>
    </w:p>
    <w:p w14:paraId="5310BDFF" w14:textId="6BFA61B7" w:rsidR="00806B65" w:rsidRDefault="00806B65" w:rsidP="00806B65">
      <w:pPr>
        <w:pStyle w:val="Heading3"/>
      </w:pPr>
      <w:r>
        <w:t>Background</w:t>
      </w:r>
      <w:r w:rsidRPr="0029407F">
        <w:t xml:space="preserve"> </w:t>
      </w:r>
    </w:p>
    <w:p w14:paraId="78239D05" w14:textId="2877C53C" w:rsidR="00DD45C7" w:rsidRDefault="00286428" w:rsidP="006D7DE6">
      <w:pPr>
        <w:pStyle w:val="BodyTextFirstIndent"/>
      </w:pPr>
      <w:r>
        <w:rPr>
          <w:noProof/>
        </w:rPr>
        <mc:AlternateContent>
          <mc:Choice Requires="wps">
            <w:drawing>
              <wp:anchor distT="0" distB="0" distL="114300" distR="114300" simplePos="0" relativeHeight="251625984" behindDoc="0" locked="0" layoutInCell="1" allowOverlap="1" wp14:anchorId="3B022A38" wp14:editId="18DCD53B">
                <wp:simplePos x="0" y="0"/>
                <wp:positionH relativeFrom="margin">
                  <wp:posOffset>3280833</wp:posOffset>
                </wp:positionH>
                <wp:positionV relativeFrom="paragraph">
                  <wp:posOffset>8467</wp:posOffset>
                </wp:positionV>
                <wp:extent cx="2532380" cy="2028825"/>
                <wp:effectExtent l="0" t="0" r="20320" b="28575"/>
                <wp:wrapSquare wrapText="bothSides"/>
                <wp:docPr id="435777533" name="Text Box 1"/>
                <wp:cNvGraphicFramePr/>
                <a:graphic xmlns:a="http://schemas.openxmlformats.org/drawingml/2006/main">
                  <a:graphicData uri="http://schemas.microsoft.com/office/word/2010/wordprocessingShape">
                    <wps:wsp>
                      <wps:cNvSpPr txBox="1"/>
                      <wps:spPr bwMode="auto">
                        <a:xfrm>
                          <a:off x="0" y="0"/>
                          <a:ext cx="2532380" cy="2028825"/>
                        </a:xfrm>
                        <a:prstGeom prst="rect">
                          <a:avLst/>
                        </a:prstGeom>
                        <a:solidFill>
                          <a:schemeClr val="accent1">
                            <a:lumMod val="20000"/>
                            <a:lumOff val="80000"/>
                          </a:schemeClr>
                        </a:solidFill>
                        <a:ln w="9525">
                          <a:solidFill>
                            <a:schemeClr val="tx1"/>
                          </a:solidFill>
                          <a:miter lim="800000"/>
                          <a:headEnd/>
                          <a:tailEnd/>
                        </a:ln>
                      </wps:spPr>
                      <wps:txbx>
                        <w:txbxContent>
                          <w:p w14:paraId="62FEC646" w14:textId="36D6979E" w:rsidR="00C62D2C" w:rsidRDefault="00C62D2C" w:rsidP="00C62D2C">
                            <w:pPr>
                              <w:pStyle w:val="TextBoxTitle"/>
                            </w:pPr>
                            <w:r>
                              <w:t xml:space="preserve">Schools Represent Significant Opportunity for GHG </w:t>
                            </w:r>
                            <w:r w:rsidR="007503C7">
                              <w:t xml:space="preserve">Emissions </w:t>
                            </w:r>
                            <w:r>
                              <w:t>Reductions</w:t>
                            </w:r>
                          </w:p>
                          <w:p w14:paraId="570BAA73" w14:textId="791587E1" w:rsidR="00964267" w:rsidRPr="0066462E" w:rsidRDefault="00964267" w:rsidP="00964267">
                            <w:pPr>
                              <w:rPr>
                                <w:rFonts w:ascii="Arial" w:hAnsi="Arial" w:cs="Arial"/>
                                <w:sz w:val="24"/>
                              </w:rPr>
                            </w:pPr>
                            <w:r w:rsidRPr="004C269C">
                              <w:rPr>
                                <w:rFonts w:ascii="Arial" w:hAnsi="Arial" w:cs="Arial"/>
                                <w:sz w:val="24"/>
                              </w:rPr>
                              <w:t xml:space="preserve">Massachusetts’ approximately 1,800 schools emit approximately 880,000 metric tons of GHGs annually and will play a significant role in Massachusetts achieving the </w:t>
                            </w:r>
                            <w:r w:rsidR="00723316">
                              <w:rPr>
                                <w:rFonts w:ascii="Arial" w:hAnsi="Arial" w:cs="Arial"/>
                                <w:sz w:val="24"/>
                              </w:rPr>
                              <w:t>statewide</w:t>
                            </w:r>
                            <w:r w:rsidRPr="004C269C">
                              <w:rPr>
                                <w:rFonts w:ascii="Arial" w:hAnsi="Arial" w:cs="Arial"/>
                                <w:sz w:val="24"/>
                              </w:rPr>
                              <w:t xml:space="preserve"> goal of net zero GHG emissions by 2050.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022A38" id="_x0000_s1039" type="#_x0000_t202" style="position:absolute;margin-left:258.35pt;margin-top:.65pt;width:199.4pt;height:159.7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" fillcolor="#dbe5f1 [660]" strokecolor="black [3213]">
                <v:textbox>
                  <w:txbxContent>
                    <w:p w14:paraId="62FEC646" w14:textId="36D6979E" w:rsidR="00C62D2C" w:rsidRDefault="00C62D2C" w:rsidP="00C62D2C">
                      <w:pPr>
                        <w:pStyle w:val="TextBoxTitle"/>
                      </w:pPr>
                      <w:r>
                        <w:t xml:space="preserve">Schools Represent Significant Opportunity for GHG </w:t>
                      </w:r>
                      <w:r w:rsidR="007503C7">
                        <w:t xml:space="preserve">Emissions </w:t>
                      </w:r>
                      <w:r>
                        <w:t>Reductions</w:t>
                      </w:r>
                    </w:p>
                    <w:p w14:paraId="570BAA73" w14:textId="791587E1" w:rsidR="00964267" w:rsidRPr="0066462E" w:rsidRDefault="00964267" w:rsidP="00964267">
                      <w:pPr>
                        <w:rPr>
                          <w:rFonts w:ascii="Arial" w:hAnsi="Arial" w:cs="Arial"/>
                          <w:sz w:val="24"/>
                        </w:rPr>
                      </w:pPr>
                      <w:r w:rsidRPr="004C269C">
                        <w:rPr>
                          <w:rFonts w:ascii="Arial" w:hAnsi="Arial" w:cs="Arial"/>
                          <w:sz w:val="24"/>
                        </w:rPr>
                        <w:t xml:space="preserve">Massachusetts’ approximately 1,800 schools emit approximately 880,000 metric tons of GHGs annually and will play a significant role in Massachusetts achieving the </w:t>
                      </w:r>
                      <w:r w:rsidR="00723316">
                        <w:rPr>
                          <w:rFonts w:ascii="Arial" w:hAnsi="Arial" w:cs="Arial"/>
                          <w:sz w:val="24"/>
                        </w:rPr>
                        <w:t>statewide</w:t>
                      </w:r>
                      <w:r w:rsidRPr="004C269C">
                        <w:rPr>
                          <w:rFonts w:ascii="Arial" w:hAnsi="Arial" w:cs="Arial"/>
                          <w:sz w:val="24"/>
                        </w:rPr>
                        <w:t xml:space="preserve"> goal of net zero GHG emissions by 2050.</w:t>
                      </w:r>
                    </w:p>
                  </w:txbxContent>
                </v:textbox>
                <w10:wrap type="square" anchorx="margin"/>
              </v:shape>
            </w:pict>
          </mc:Fallback>
        </mc:AlternateContent>
      </w:r>
      <w:r w:rsidR="4A17A644" w:rsidRPr="00B075C4">
        <w:t xml:space="preserve">Building decarbonization is </w:t>
      </w:r>
      <w:r w:rsidR="00415DF1" w:rsidRPr="00B075C4">
        <w:t xml:space="preserve">the process of </w:t>
      </w:r>
      <w:r w:rsidR="00371960" w:rsidRPr="00B075C4">
        <w:t>reducing or eliminating GHG emissions associated with the construction</w:t>
      </w:r>
      <w:r w:rsidR="00C33B7B" w:rsidRPr="00B075C4">
        <w:t xml:space="preserve"> </w:t>
      </w:r>
      <w:r w:rsidR="00371960" w:rsidRPr="00B075C4">
        <w:t>and operation</w:t>
      </w:r>
      <w:r w:rsidR="007E5270" w:rsidRPr="00B075C4">
        <w:t xml:space="preserve"> </w:t>
      </w:r>
      <w:r w:rsidR="00AC57E5" w:rsidRPr="00B075C4">
        <w:t>of buildings (i.e., reducing both the “embodied” carbon of building materials</w:t>
      </w:r>
      <w:r w:rsidR="00D37B5E" w:rsidRPr="00B075C4">
        <w:t xml:space="preserve"> and</w:t>
      </w:r>
      <w:r w:rsidR="00AC57E5" w:rsidRPr="00B075C4">
        <w:t xml:space="preserve"> </w:t>
      </w:r>
      <w:r w:rsidR="007E5270" w:rsidRPr="00B075C4">
        <w:t xml:space="preserve">the </w:t>
      </w:r>
      <w:r w:rsidR="007C411A" w:rsidRPr="00B075C4">
        <w:t>“</w:t>
      </w:r>
      <w:r w:rsidR="007E5270" w:rsidRPr="00B075C4">
        <w:t>operatio</w:t>
      </w:r>
      <w:r w:rsidR="008D106C" w:rsidRPr="00B075C4">
        <w:t>nal</w:t>
      </w:r>
      <w:r w:rsidR="00D37B5E" w:rsidRPr="00B075C4">
        <w:t>”</w:t>
      </w:r>
      <w:r w:rsidR="007C411A" w:rsidRPr="00B075C4">
        <w:t xml:space="preserve"> carbon</w:t>
      </w:r>
      <w:r w:rsidR="0083543A" w:rsidRPr="00B075C4">
        <w:t xml:space="preserve"> resulting from the routine operation</w:t>
      </w:r>
      <w:r w:rsidR="00FD72EF" w:rsidRPr="00B075C4">
        <w:t xml:space="preserve"> of buildings</w:t>
      </w:r>
      <w:r w:rsidR="007C411A" w:rsidRPr="00B075C4">
        <w:t>)</w:t>
      </w:r>
      <w:r w:rsidR="008037CE" w:rsidRPr="00B075C4">
        <w:t>.</w:t>
      </w:r>
      <w:r w:rsidR="00EA54F4" w:rsidRPr="00B075C4">
        <w:t xml:space="preserve"> </w:t>
      </w:r>
      <w:r w:rsidR="00DD45C7" w:rsidRPr="00B075C4">
        <w:t xml:space="preserve">Defining the goal of decarbonizing buildings is important </w:t>
      </w:r>
      <w:r w:rsidR="00884248">
        <w:t>for establ</w:t>
      </w:r>
      <w:r w:rsidR="00BD57AF">
        <w:t>i</w:t>
      </w:r>
      <w:r w:rsidR="00884248">
        <w:t>shing</w:t>
      </w:r>
      <w:r w:rsidR="00DD45C7" w:rsidRPr="00B075C4">
        <w:t xml:space="preserve"> clear expectations for building design and performance. The Massachusetts specialized energy code defines net-zero buildings as those that are consistent with achieving the Commonwealth’s 2050 net-zero emission goals; specifically, these buildings: (1) incorporate highly energy efficient design; (2) are all-electric (where fossil fuels are used, are fully pre-wired with sufficient electrical service for future electrification); and (3) generate solar power on-site.</w:t>
      </w:r>
      <w:r w:rsidR="00DD45C7" w:rsidRPr="00B075C4">
        <w:fldChar w:fldCharType="begin"/>
      </w:r>
      <w:r w:rsidR="00223023">
        <w:instrText xml:space="preserve"> ADDIN ZOTERO_ITEM CSL_CITATION {"citationID":"nvWOTGK0","properties":{"formattedCitation":"\\super 38\\nosupersub{}","plainCitation":"38","noteIndex":0},"citationItems":[{"id":133,"uris":["http://zotero.org/groups/5563646/items/WR5VLEAH"],"itemData":{"id":133,"type":"document","title":"2023 Stretch Energy Code Update and Municipal Opt-in Specialized Code","issued":{"date-parts":[["2022",9,22]]}}}],"schema":"https://github.com/citation-style-language/schema/raw/master/csl-citation.json"} </w:instrText>
      </w:r>
      <w:r w:rsidR="00DD45C7" w:rsidRPr="00B075C4">
        <w:fldChar w:fldCharType="separate"/>
      </w:r>
      <w:r w:rsidR="00223023" w:rsidRPr="00223023">
        <w:rPr>
          <w:rFonts w:cs="Arial"/>
          <w:vertAlign w:val="superscript"/>
        </w:rPr>
        <w:t>38</w:t>
      </w:r>
      <w:r w:rsidR="00DD45C7" w:rsidRPr="00B075C4">
        <w:fldChar w:fldCharType="end"/>
      </w:r>
      <w:r w:rsidR="00DD45C7" w:rsidRPr="00B075C4">
        <w:t xml:space="preserve"> This report considers net</w:t>
      </w:r>
      <w:r w:rsidR="00487FF6" w:rsidRPr="00B075C4">
        <w:t xml:space="preserve"> </w:t>
      </w:r>
      <w:r w:rsidR="00DD45C7" w:rsidRPr="00B075C4">
        <w:t>zero emissions (NZE) buildings to be those that meet the specialized energy code definition while also generating or procuring renewable electricity that produces zero GHG emissions.</w:t>
      </w:r>
    </w:p>
    <w:p w14:paraId="42B1D406" w14:textId="786F935D" w:rsidR="00AD2C76" w:rsidRDefault="00101AAB" w:rsidP="006D7DE6">
      <w:pPr>
        <w:pStyle w:val="BodyTextFirstIndent"/>
      </w:pPr>
      <w:r>
        <w:rPr>
          <w:noProof/>
        </w:rPr>
        <w:lastRenderedPageBreak/>
        <mc:AlternateContent>
          <mc:Choice Requires="wps">
            <w:drawing>
              <wp:anchor distT="0" distB="0" distL="114300" distR="114300" simplePos="0" relativeHeight="251628032" behindDoc="0" locked="0" layoutInCell="1" allowOverlap="1" wp14:anchorId="5250E5B3" wp14:editId="2572DC3B">
                <wp:simplePos x="0" y="0"/>
                <wp:positionH relativeFrom="margin">
                  <wp:align>left</wp:align>
                </wp:positionH>
                <wp:positionV relativeFrom="margin">
                  <wp:align>top</wp:align>
                </wp:positionV>
                <wp:extent cx="2933700" cy="1800225"/>
                <wp:effectExtent l="0" t="0" r="19050" b="28575"/>
                <wp:wrapSquare wrapText="bothSides"/>
                <wp:docPr id="615516997" name="Text Box 1"/>
                <wp:cNvGraphicFramePr/>
                <a:graphic xmlns:a="http://schemas.openxmlformats.org/drawingml/2006/main">
                  <a:graphicData uri="http://schemas.microsoft.com/office/word/2010/wordprocessingShape">
                    <wps:wsp>
                      <wps:cNvSpPr txBox="1"/>
                      <wps:spPr bwMode="auto">
                        <a:xfrm>
                          <a:off x="0" y="0"/>
                          <a:ext cx="2933700" cy="1800225"/>
                        </a:xfrm>
                        <a:prstGeom prst="rect">
                          <a:avLst/>
                        </a:prstGeom>
                        <a:solidFill>
                          <a:schemeClr val="accent1">
                            <a:lumMod val="20000"/>
                            <a:lumOff val="80000"/>
                          </a:schemeClr>
                        </a:solidFill>
                        <a:ln w="9525">
                          <a:solidFill>
                            <a:schemeClr val="tx1"/>
                          </a:solidFill>
                          <a:miter lim="800000"/>
                          <a:headEnd/>
                          <a:tailEnd/>
                        </a:ln>
                      </wps:spPr>
                      <wps:txbx>
                        <w:txbxContent>
                          <w:p w14:paraId="235CEF93" w14:textId="53915394" w:rsidR="00E44960" w:rsidRPr="0066462E" w:rsidRDefault="00E44960" w:rsidP="00E44960">
                            <w:pPr>
                              <w:rPr>
                                <w:rFonts w:ascii="Arial" w:hAnsi="Arial" w:cs="Arial"/>
                                <w:sz w:val="24"/>
                              </w:rPr>
                            </w:pPr>
                            <w:r w:rsidRPr="0066462E">
                              <w:rPr>
                                <w:rFonts w:ascii="Arial" w:hAnsi="Arial" w:cs="Arial"/>
                                <w:sz w:val="24"/>
                              </w:rPr>
                              <w:t>This report is tailored for a non-technical audience that is familiar with school facilities and may work with technical decarbonization experts at architectural and engineering (A/E) firms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HVAC vendors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maintenance contractors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 xml:space="preserve">or others. The following sections provide links to additional technical resources that can support project implementation.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50E5B3" id="_x0000_s1040" type="#_x0000_t202" style="position:absolute;margin-left:0;margin-top:0;width:231pt;height:141.75pt;z-index:25162803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" fillcolor="#dbe5f1 [660]" strokecolor="black [3213]">
                <v:textbox>
                  <w:txbxContent>
                    <w:p w14:paraId="235CEF93" w14:textId="53915394" w:rsidR="00E44960" w:rsidRPr="0066462E" w:rsidRDefault="00E44960" w:rsidP="00E44960">
                      <w:pPr>
                        <w:rPr>
                          <w:rFonts w:ascii="Arial" w:hAnsi="Arial" w:cs="Arial"/>
                          <w:sz w:val="24"/>
                        </w:rPr>
                      </w:pPr>
                      <w:r w:rsidRPr="0066462E">
                        <w:rPr>
                          <w:rFonts w:ascii="Arial" w:hAnsi="Arial" w:cs="Arial"/>
                          <w:sz w:val="24"/>
                        </w:rPr>
                        <w:t>This report is tailored for a non-technical audience that is familiar with school facilities and may work with technical decarbonization experts at architectural and engineering (A/E) firms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HVAC vendors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maintenance contractors</w:t>
                      </w:r>
                      <w:r w:rsidR="00F309A2">
                        <w:rPr>
                          <w:rFonts w:ascii="Arial" w:hAnsi="Arial" w:cs="Arial"/>
                          <w:sz w:val="24"/>
                        </w:rPr>
                        <w:t>,</w:t>
                      </w:r>
                      <w:r w:rsidR="00F309A2" w:rsidRPr="0066462E">
                        <w:rPr>
                          <w:rFonts w:ascii="Arial" w:hAnsi="Arial" w:cs="Arial"/>
                          <w:sz w:val="24"/>
                        </w:rPr>
                        <w:t xml:space="preserve"> </w:t>
                      </w:r>
                      <w:r w:rsidRPr="0066462E">
                        <w:rPr>
                          <w:rFonts w:ascii="Arial" w:hAnsi="Arial" w:cs="Arial"/>
                          <w:sz w:val="24"/>
                        </w:rPr>
                        <w:t xml:space="preserve">or others. The following sections provide links to additional technical resources that can support project implementation. </w:t>
                      </w:r>
                    </w:p>
                  </w:txbxContent>
                </v:textbox>
                <w10:wrap type="square" anchorx="margin" anchory="margin"/>
              </v:shape>
            </w:pict>
          </mc:Fallback>
        </mc:AlternateContent>
      </w:r>
      <w:r w:rsidR="00FD72EF">
        <w:t>Building decarbonization</w:t>
      </w:r>
      <w:r w:rsidR="005B159A">
        <w:t xml:space="preserve"> </w:t>
      </w:r>
      <w:r w:rsidR="00FD72EF">
        <w:t xml:space="preserve">is </w:t>
      </w:r>
      <w:r w:rsidR="4A17A644">
        <w:t xml:space="preserve">one of the most impactful and cost-saving strategies to mitigate </w:t>
      </w:r>
      <w:r w:rsidR="11E9C98D">
        <w:t xml:space="preserve">the drivers of </w:t>
      </w:r>
      <w:r w:rsidR="4A17A644">
        <w:t xml:space="preserve">climate change because buildings are a major source of </w:t>
      </w:r>
      <w:r w:rsidR="1598998A">
        <w:t xml:space="preserve">GHG </w:t>
      </w:r>
      <w:r w:rsidR="4A17A644">
        <w:t>emissions. The Massachusetts Climate Report Card for 2020 found that the buildings sector contributed 35 percent of all GHG emissions</w:t>
      </w:r>
      <w:r w:rsidR="1598998A">
        <w:t>,</w:t>
      </w:r>
      <w:r w:rsidR="00806B65">
        <w:fldChar w:fldCharType="begin"/>
      </w:r>
      <w:r w:rsidR="00223023">
        <w:instrText xml:space="preserve"> ADDIN ZOTERO_ITEM CSL_CITATION {"citationID":"eYuZNert","properties":{"formattedCitation":"\\super 39\\nosupersub{}","plainCitation":"39","noteIndex":0},"citationItems":[{"id":111,"uris":["http://zotero.org/groups/5563646/items/VNQX5XSZ"],"itemData":{"id":111,"type":"webpage","abstract":"The Buildings sector is currently on track for progress to date. Interventions are needed – including scalable solutions to weatherize and electrify homes – to drive the rapid decarbonization required between 2025 and 2030.","language":"en","title":"Massachusetts Climate Report Card - Buildings Decarbonization","URL":"https://www.mass.gov/info-details/massachusetts-climate-report-card-buildings-decarbonization","accessed":{"date-parts":[["2024",6,17]]}}}],"schema":"https://github.com/citation-style-language/schema/raw/master/csl-citation.json"} </w:instrText>
      </w:r>
      <w:r w:rsidR="00806B65">
        <w:fldChar w:fldCharType="separate"/>
      </w:r>
      <w:r w:rsidR="00223023" w:rsidRPr="00223023">
        <w:rPr>
          <w:rFonts w:cs="Arial"/>
          <w:vertAlign w:val="superscript"/>
        </w:rPr>
        <w:t>39</w:t>
      </w:r>
      <w:r w:rsidR="00806B65">
        <w:fldChar w:fldCharType="end"/>
      </w:r>
      <w:r w:rsidR="4A17A644">
        <w:t xml:space="preserve"> the majority of which came from heating in buildings.</w:t>
      </w:r>
      <w:r w:rsidR="00806B65">
        <w:fldChar w:fldCharType="begin"/>
      </w:r>
      <w:r w:rsidR="00223023">
        <w:instrText xml:space="preserve"> ADDIN ZOTERO_ITEM CSL_CITATION {"citationID":"3852VKBd","properties":{"formattedCitation":"\\super 40\\nosupersub{}","plainCitation":"40","noteIndex":0},"citationItems":[{"id":132,"uris":["http://zotero.org/groups/5563646/items/JKL4R3MP"],"itemData":{"id":132,"type":"document","title":"Massachusetts Clean Energy and Climate Plan for 2025 and 2030","URL":"https://www.mass.gov/doc/clean-energy-and-climate-plan-for-2025-and-2030/download","issued":{"date-parts":[["2022",6,30]]}}}],"schema":"https://github.com/citation-style-language/schema/raw/master/csl-citation.json"} </w:instrText>
      </w:r>
      <w:r w:rsidR="00806B65">
        <w:fldChar w:fldCharType="separate"/>
      </w:r>
      <w:r w:rsidR="00223023" w:rsidRPr="00223023">
        <w:rPr>
          <w:rFonts w:cs="Arial"/>
          <w:vertAlign w:val="superscript"/>
        </w:rPr>
        <w:t>40</w:t>
      </w:r>
      <w:r w:rsidR="00806B65">
        <w:fldChar w:fldCharType="end"/>
      </w:r>
      <w:r w:rsidR="4A17A644">
        <w:t xml:space="preserve"> </w:t>
      </w:r>
    </w:p>
    <w:p w14:paraId="4455BDF9" w14:textId="0040CF75" w:rsidR="00806B65" w:rsidRPr="00D8073C" w:rsidRDefault="4A17A644" w:rsidP="006D7DE6">
      <w:pPr>
        <w:pStyle w:val="BodyTextFirstIndent"/>
      </w:pPr>
      <w:r>
        <w:t>While approximately 79</w:t>
      </w:r>
      <w:r w:rsidR="6626647F">
        <w:t xml:space="preserve"> percent</w:t>
      </w:r>
      <w:r>
        <w:t xml:space="preserve"> of Massachusetts households heat their home</w:t>
      </w:r>
      <w:r w:rsidR="00327A03">
        <w:t>s</w:t>
      </w:r>
      <w:r>
        <w:t xml:space="preserve"> </w:t>
      </w:r>
      <w:r w:rsidR="3ECF25D6">
        <w:t>using</w:t>
      </w:r>
      <w:r>
        <w:t xml:space="preserve"> fossil fuels, the MSBA found</w:t>
      </w:r>
      <w:r w:rsidR="00005667">
        <w:t xml:space="preserve"> during its 2016 School Survey</w:t>
      </w:r>
      <w:r>
        <w:t xml:space="preserve"> that 97</w:t>
      </w:r>
      <w:r w:rsidR="3ECF25D6">
        <w:t xml:space="preserve"> </w:t>
      </w:r>
      <w:r w:rsidR="2C601676">
        <w:t>percent</w:t>
      </w:r>
      <w:r>
        <w:t xml:space="preserve"> of </w:t>
      </w:r>
      <w:r w:rsidR="00005667">
        <w:t>assessed</w:t>
      </w:r>
      <w:r>
        <w:t xml:space="preserve"> school</w:t>
      </w:r>
      <w:r w:rsidR="00B61E20">
        <w:t xml:space="preserve"> buildings</w:t>
      </w:r>
      <w:r>
        <w:t xml:space="preserve"> rel</w:t>
      </w:r>
      <w:r w:rsidR="00DC660D">
        <w:t>ied</w:t>
      </w:r>
      <w:r>
        <w:t xml:space="preserve"> on fossil fuel heating systems. With </w:t>
      </w:r>
      <w:r w:rsidR="009A645C">
        <w:t xml:space="preserve">expectations for </w:t>
      </w:r>
      <w:r>
        <w:t>the Massachusetts government to lead by example</w:t>
      </w:r>
      <w:r w:rsidR="00806B65">
        <w:fldChar w:fldCharType="begin"/>
      </w:r>
      <w:r w:rsidR="00223023">
        <w:instrText xml:space="preserve"> ADDIN ZOTERO_ITEM CSL_CITATION {"citationID":"lNaUBXNV","properties":{"formattedCitation":"\\super 41\\nosupersub{}","plainCitation":"41","noteIndex":0},"citationItems":[{"id":123,"uris":["http://zotero.org/groups/5563646/items/HKUUXKDC"],"itemData":{"id":123,"type":"webpage","language":"en","title":"Executive Order No. 594: Leading By Example: Decarbonizing and Minimizing Environmental Impacts of State Government","title-short":"No. 594","URL":"https://www.mass.gov/executive-orders/no-594-leading-by-example-decarbonizing-and-minimizing-environmental-impacts-of-state-government","accessed":{"date-parts":[["2024",6,13]]}}}],"schema":"https://github.com/citation-style-language/schema/raw/master/csl-citation.json"} </w:instrText>
      </w:r>
      <w:r w:rsidR="00806B65">
        <w:fldChar w:fldCharType="separate"/>
      </w:r>
      <w:r w:rsidR="00223023" w:rsidRPr="00223023">
        <w:rPr>
          <w:rFonts w:cs="Arial"/>
          <w:vertAlign w:val="superscript"/>
        </w:rPr>
        <w:t>41</w:t>
      </w:r>
      <w:r w:rsidR="00806B65">
        <w:fldChar w:fldCharType="end"/>
      </w:r>
      <w:r w:rsidR="00A10CAB">
        <w:t xml:space="preserve"> and </w:t>
      </w:r>
      <w:r w:rsidR="00176984">
        <w:t>nearly 300</w:t>
      </w:r>
      <w:r w:rsidR="00A10CAB">
        <w:t xml:space="preserve"> </w:t>
      </w:r>
      <w:r w:rsidR="260372E6">
        <w:t xml:space="preserve">municipalities </w:t>
      </w:r>
      <w:r w:rsidR="009A645C">
        <w:t xml:space="preserve">across the Commonwealth </w:t>
      </w:r>
      <w:r w:rsidR="260372E6">
        <w:t>designated as Green Communities</w:t>
      </w:r>
      <w:r w:rsidR="7E35A7C7">
        <w:t xml:space="preserve"> </w:t>
      </w:r>
      <w:r w:rsidR="008D640F">
        <w:t xml:space="preserve">by </w:t>
      </w:r>
      <w:r w:rsidR="7E35A7C7">
        <w:t>DOER</w:t>
      </w:r>
      <w:r w:rsidR="260372E6">
        <w:t>,</w:t>
      </w:r>
      <w:r>
        <w:t xml:space="preserve"> decarbonizing schools—which make up the largest portion of most municipal building footprints—is a natural point of </w:t>
      </w:r>
      <w:r w:rsidR="2A4AB465">
        <w:t>focus</w:t>
      </w:r>
      <w:r>
        <w:t xml:space="preserve"> for climate change mitigation. Projects to decarbonize school</w:t>
      </w:r>
      <w:r w:rsidR="4C8DD17E">
        <w:t xml:space="preserve"> building</w:t>
      </w:r>
      <w:r>
        <w:t xml:space="preserve">s also offer an opportunity to achieve </w:t>
      </w:r>
      <w:r w:rsidR="5B3EA818">
        <w:t>several</w:t>
      </w:r>
      <w:r>
        <w:t xml:space="preserve"> other </w:t>
      </w:r>
      <w:r w:rsidR="00114FC8">
        <w:t>health</w:t>
      </w:r>
      <w:r w:rsidR="00A770F7">
        <w:t>-related</w:t>
      </w:r>
      <w:r w:rsidR="00114FC8">
        <w:t xml:space="preserve"> </w:t>
      </w:r>
      <w:r>
        <w:t>co-benefits</w:t>
      </w:r>
      <w:r w:rsidR="00C017A6">
        <w:t>,</w:t>
      </w:r>
      <w:r>
        <w:t xml:space="preserve"> including </w:t>
      </w:r>
      <w:r w:rsidR="36A82FDD">
        <w:t xml:space="preserve">improving air quality through optimized ventilation, </w:t>
      </w:r>
      <w:r>
        <w:t xml:space="preserve">improving occupant </w:t>
      </w:r>
      <w:r w:rsidR="006A0BF3">
        <w:t xml:space="preserve">thermal </w:t>
      </w:r>
      <w:r>
        <w:t>comfort by adding air conditioning, and other benefits described in this section.</w:t>
      </w:r>
    </w:p>
    <w:p w14:paraId="2865C73C" w14:textId="53A0B519" w:rsidR="00806B65" w:rsidRDefault="00806B65" w:rsidP="006D7DE6">
      <w:pPr>
        <w:pStyle w:val="BodyTextFirstIndent"/>
      </w:pPr>
      <w:r w:rsidRPr="00D8073C">
        <w:t xml:space="preserve">The pathway and process to decarbonizing school buildings will vary at the building and school district level depending on existing conditions, school program requirements, </w:t>
      </w:r>
      <w:r w:rsidR="00092A44">
        <w:t xml:space="preserve">available </w:t>
      </w:r>
      <w:r w:rsidR="005E33F7">
        <w:t xml:space="preserve">funding, </w:t>
      </w:r>
      <w:r w:rsidRPr="00D8073C">
        <w:t xml:space="preserve">and </w:t>
      </w:r>
      <w:r w:rsidR="00966A5E">
        <w:t>various</w:t>
      </w:r>
      <w:r w:rsidRPr="00D8073C">
        <w:t xml:space="preserve"> other infrastructural and operational factors described in this section. The core strategies </w:t>
      </w:r>
      <w:r w:rsidR="008F2F20">
        <w:t xml:space="preserve">for building decarbonization </w:t>
      </w:r>
      <w:r w:rsidRPr="00D8073C">
        <w:t xml:space="preserve">promoted by the </w:t>
      </w:r>
      <w:r w:rsidR="00423B4E">
        <w:t>Commonwealth</w:t>
      </w:r>
      <w:r w:rsidRPr="00D8073C">
        <w:t xml:space="preserve"> of Massachusetts include</w:t>
      </w:r>
      <w:r w:rsidR="00083F0D">
        <w:t>:</w:t>
      </w:r>
      <w:r w:rsidRPr="00D8073C">
        <w:t xml:space="preserve"> (1) electrify</w:t>
      </w:r>
      <w:r w:rsidR="005C3923">
        <w:t>ing</w:t>
      </w:r>
      <w:r w:rsidRPr="00D8073C">
        <w:t xml:space="preserve"> non-electric energy uses</w:t>
      </w:r>
      <w:r w:rsidR="00083F0D">
        <w:t>;</w:t>
      </w:r>
      <w:r w:rsidRPr="00D8073C">
        <w:t xml:space="preserve"> (2) decarboniz</w:t>
      </w:r>
      <w:r w:rsidR="000D063B">
        <w:t>ing</w:t>
      </w:r>
      <w:r w:rsidRPr="00D8073C">
        <w:t xml:space="preserve"> the electric grid</w:t>
      </w:r>
      <w:r w:rsidR="00083F0D">
        <w:t>;</w:t>
      </w:r>
      <w:r w:rsidRPr="00D8073C">
        <w:t xml:space="preserve"> and (3) reduc</w:t>
      </w:r>
      <w:r w:rsidR="000D063B">
        <w:t>ing</w:t>
      </w:r>
      <w:r w:rsidRPr="00D8073C">
        <w:t xml:space="preserve"> energy costs and the costs of transition by increasing the efficiency of transportation and energy systems.</w:t>
      </w:r>
      <w:r w:rsidR="00D32597">
        <w:fldChar w:fldCharType="begin"/>
      </w:r>
      <w:r w:rsidR="00223023">
        <w:instrText xml:space="preserve"> ADDIN ZOTERO_ITEM CSL_CITATION {"citationID":"P30sVOrB","properties":{"formattedCitation":"\\super 40\\nosupersub{}","plainCitation":"40","noteIndex":0},"citationItems":[{"id":132,"uris":["http://zotero.org/groups/5563646/items/JKL4R3MP"],"itemData":{"id":132,"type":"document","title":"Massachusetts Clean Energy and Climate Plan for 2025 and 2030","URL":"https://www.mass.gov/doc/clean-energy-and-climate-plan-for-2025-and-2030/download","issued":{"date-parts":[["2022",6,30]]}}}],"schema":"https://github.com/citation-style-language/schema/raw/master/csl-citation.json"} </w:instrText>
      </w:r>
      <w:r w:rsidR="00D32597">
        <w:fldChar w:fldCharType="separate"/>
      </w:r>
      <w:r w:rsidR="00223023" w:rsidRPr="00223023">
        <w:rPr>
          <w:rFonts w:cs="Arial"/>
          <w:vertAlign w:val="superscript"/>
        </w:rPr>
        <w:t>40</w:t>
      </w:r>
      <w:r w:rsidR="00D32597">
        <w:fldChar w:fldCharType="end"/>
      </w:r>
      <w:r w:rsidRPr="00D8073C">
        <w:t xml:space="preserve"> </w:t>
      </w:r>
      <w:r w:rsidR="00EE580C">
        <w:fldChar w:fldCharType="begin"/>
      </w:r>
      <w:r w:rsidR="00EE580C">
        <w:instrText xml:space="preserve"> REF _Ref170137274 \h </w:instrText>
      </w:r>
      <w:r w:rsidR="00EE580C">
        <w:fldChar w:fldCharType="separate"/>
      </w:r>
      <w:r w:rsidR="00307850">
        <w:t xml:space="preserve">Figure </w:t>
      </w:r>
      <w:r w:rsidR="00307850">
        <w:rPr>
          <w:noProof/>
        </w:rPr>
        <w:t>2</w:t>
      </w:r>
      <w:r w:rsidR="00EE580C">
        <w:fldChar w:fldCharType="end"/>
      </w:r>
      <w:r w:rsidRPr="00D8073C">
        <w:t xml:space="preserve"> </w:t>
      </w:r>
      <w:r w:rsidR="00083F0D">
        <w:t>depicts an example pathway for</w:t>
      </w:r>
      <w:r w:rsidRPr="00D8073C">
        <w:t xml:space="preserve"> how this process can occur over time in existing </w:t>
      </w:r>
      <w:r w:rsidR="000D063B">
        <w:t xml:space="preserve">school </w:t>
      </w:r>
      <w:r w:rsidRPr="00D8073C">
        <w:t>buildings.</w:t>
      </w:r>
    </w:p>
    <w:p w14:paraId="6399111A" w14:textId="09E3ADED" w:rsidR="00806B65" w:rsidRDefault="00D0429F" w:rsidP="00B30C96">
      <w:pPr>
        <w:pStyle w:val="FigureTitle"/>
      </w:pPr>
      <w:bookmarkStart w:id="84" w:name="_Ref170137274"/>
      <w:bookmarkStart w:id="85" w:name="_Toc193112289"/>
      <w:bookmarkStart w:id="86" w:name="_Toc193117046"/>
      <w:r>
        <w:lastRenderedPageBreak/>
        <w:t xml:space="preserve">Figure </w:t>
      </w:r>
      <w:fldSimple w:instr=" SEQ Figure \* ARABIC ">
        <w:r w:rsidR="00307850">
          <w:rPr>
            <w:noProof/>
          </w:rPr>
          <w:t>2</w:t>
        </w:r>
      </w:fldSimple>
      <w:bookmarkEnd w:id="84"/>
      <w:r w:rsidR="00495EFD">
        <w:t xml:space="preserve">. </w:t>
      </w:r>
      <w:r w:rsidR="00B83CDC">
        <w:t xml:space="preserve">Example </w:t>
      </w:r>
      <w:r w:rsidR="00D137CF">
        <w:t>P</w:t>
      </w:r>
      <w:r w:rsidR="0023018C">
        <w:t xml:space="preserve">athway </w:t>
      </w:r>
      <w:r w:rsidR="00B83CDC">
        <w:t>t</w:t>
      </w:r>
      <w:r w:rsidR="009D2CF5">
        <w:t xml:space="preserve">o </w:t>
      </w:r>
      <w:r w:rsidR="00D137CF">
        <w:t>D</w:t>
      </w:r>
      <w:r w:rsidR="009D2CF5">
        <w:t xml:space="preserve">ecarbonizing </w:t>
      </w:r>
      <w:r w:rsidR="00D137CF">
        <w:t>S</w:t>
      </w:r>
      <w:r w:rsidR="0023018C">
        <w:t xml:space="preserve">chool </w:t>
      </w:r>
      <w:r w:rsidR="00D137CF">
        <w:t>B</w:t>
      </w:r>
      <w:r w:rsidR="009D2CF5">
        <w:t>uildings</w:t>
      </w:r>
      <w:bookmarkEnd w:id="85"/>
      <w:bookmarkEnd w:id="86"/>
    </w:p>
    <w:p w14:paraId="0231F727" w14:textId="77777777" w:rsidR="00806B65" w:rsidRDefault="00806B65" w:rsidP="009D533A">
      <w:pPr>
        <w:pStyle w:val="BodyTextFirstIndent"/>
        <w:jc w:val="center"/>
      </w:pPr>
      <w:r>
        <w:rPr>
          <w:noProof/>
        </w:rPr>
        <w:drawing>
          <wp:inline distT="0" distB="0" distL="0" distR="0" wp14:anchorId="20DF755C" wp14:editId="23CD1209">
            <wp:extent cx="5538413" cy="2875225"/>
            <wp:effectExtent l="19050" t="19050" r="24765" b="20955"/>
            <wp:docPr id="660064215" name="Picture 1" descr="Series of five bar charts sequentially shortening from left to right as building energy use declines based on different interventions to reduce energy consumption between ea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64215" name="Picture 1" descr="Series of five bar charts sequentially shortening from left to right as building energy use declines based on different interventions to reduce energy consumption between each bar."/>
                    <pic:cNvPicPr/>
                  </pic:nvPicPr>
                  <pic:blipFill rotWithShape="1">
                    <a:blip r:embed="rId56" cstate="print">
                      <a:extLst>
                        <a:ext uri="{28A0092B-C50C-407E-A947-70E740481C1C}">
                          <a14:useLocalDpi xmlns:a14="http://schemas.microsoft.com/office/drawing/2010/main" val="0"/>
                        </a:ext>
                      </a:extLst>
                    </a:blip>
                    <a:srcRect r="1895" b="3423"/>
                    <a:stretch/>
                  </pic:blipFill>
                  <pic:spPr bwMode="auto">
                    <a:xfrm>
                      <a:off x="0" y="0"/>
                      <a:ext cx="5675062" cy="29461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656C4F" w14:textId="347D24AA" w:rsidR="00AB590D" w:rsidRDefault="00AB590D" w:rsidP="0023018C">
      <w:pPr>
        <w:pStyle w:val="SourceCaption"/>
      </w:pPr>
      <w:r>
        <w:t>Source: RM</w:t>
      </w:r>
      <w:r w:rsidRPr="00F309A2">
        <w:t>I</w:t>
      </w:r>
      <w:r w:rsidR="00F309A2" w:rsidRPr="00337A16">
        <w:rPr>
          <w:spacing w:val="12"/>
        </w:rPr>
        <w:t xml:space="preserve"> </w:t>
      </w:r>
      <w:r>
        <w:fldChar w:fldCharType="begin"/>
      </w:r>
      <w:r w:rsidR="00223023">
        <w:instrText xml:space="preserve"> ADDIN ZOTERO_ITEM CSL_CITATION {"citationID":"Lu4lvnOU","properties":{"formattedCitation":"\\super 42\\nosupersub{}","plainCitation":"42","noteIndex":0},"citationItems":[{"id":122,"uris":["http://zotero.org/groups/5563646/items/F2N44QS7"],"itemData":{"id":122,"type":"webpage","abstract":"cities and states can benefit from lessons on strategic decarbonization from New York City and the Empire State.","container-title":"RMI","language":"en-US","title":"The Retrofit Playbook for Large Buildings","URL":"https://rmi.org/the-retrofit-playbook-for-large-buildings/","author":[{"family":"Mills","given":"Ryan"}],"accessed":{"date-parts":[["2024",6,13]]},"issued":{"date-parts":[["2024",5,22]]}}}],"schema":"https://github.com/citation-style-language/schema/raw/master/csl-citation.json"} </w:instrText>
      </w:r>
      <w:r>
        <w:fldChar w:fldCharType="separate"/>
      </w:r>
      <w:r w:rsidR="00223023" w:rsidRPr="00223023">
        <w:rPr>
          <w:rFonts w:ascii="Calibri" w:hAnsi="Calibri" w:cs="Calibri"/>
          <w:vertAlign w:val="superscript"/>
        </w:rPr>
        <w:t>42</w:t>
      </w:r>
      <w:r>
        <w:fldChar w:fldCharType="end"/>
      </w:r>
    </w:p>
    <w:p w14:paraId="4B540A19" w14:textId="26254C83" w:rsidR="00806B65" w:rsidRDefault="3F4E2B56" w:rsidP="006D7DE6">
      <w:pPr>
        <w:pStyle w:val="BodyTextFirstIndent"/>
        <w:rPr>
          <w:rStyle w:val="CommentReference"/>
        </w:rPr>
      </w:pPr>
      <w:r>
        <w:t xml:space="preserve">For many school districts, funding pressures present a </w:t>
      </w:r>
      <w:r w:rsidR="467C06E9">
        <w:t>recurring</w:t>
      </w:r>
      <w:r>
        <w:t xml:space="preserve"> challenge for basic operations</w:t>
      </w:r>
      <w:r w:rsidR="06054E5B">
        <w:t xml:space="preserve">; consequently, </w:t>
      </w:r>
      <w:r w:rsidR="4C8B5DDF">
        <w:t>planning</w:t>
      </w:r>
      <w:r>
        <w:t xml:space="preserve"> significant investments</w:t>
      </w:r>
      <w:r w:rsidR="4C8B5DDF">
        <w:t xml:space="preserve"> can feel</w:t>
      </w:r>
      <w:r>
        <w:t xml:space="preserve"> daunting. Utility</w:t>
      </w:r>
      <w:r w:rsidR="78BB3993">
        <w:t xml:space="preserve"> expenditures</w:t>
      </w:r>
      <w:r>
        <w:t xml:space="preserve"> can</w:t>
      </w:r>
      <w:r w:rsidR="7EA50158">
        <w:t>, however, represent</w:t>
      </w:r>
      <w:r>
        <w:t xml:space="preserve"> both a budget pressure and</w:t>
      </w:r>
      <w:r w:rsidR="33175A3C">
        <w:t xml:space="preserve"> an </w:t>
      </w:r>
      <w:r>
        <w:t>opportunity</w:t>
      </w:r>
      <w:r w:rsidR="7EA50158">
        <w:t xml:space="preserve"> for savings</w:t>
      </w:r>
      <w:r>
        <w:t xml:space="preserve">. </w:t>
      </w:r>
      <w:r w:rsidR="6549253B">
        <w:t>After accounting for salaries, energy costs often represent</w:t>
      </w:r>
      <w:r>
        <w:t xml:space="preserve"> a school’s largest expense</w:t>
      </w:r>
      <w:r w:rsidR="2849AF1D">
        <w:t>.</w:t>
      </w:r>
      <w:r w:rsidR="4A17A644">
        <w:fldChar w:fldCharType="begin"/>
      </w:r>
      <w:r w:rsidR="00223023">
        <w:instrText xml:space="preserve"> ADDIN ZOTERO_ITEM CSL_CITATION {"citationID":"ascH97PP","properties":{"formattedCitation":"\\super 43\\nosupersub{}","plainCitation":"43","noteIndex":0},"citationItems":[{"id":131,"uris":["http://zotero.org/groups/5563646/items/ZHJSI26R"],"itemData":{"id":131,"type":"report","language":"en","note":"DOI: 10.2172/1837979","number":"NREL/TP-5500-80766, 1837979, MainId:77550","page":"NREL/TP-5500-80766, 1837979, MainId:77550","source":"DOI.org (Crossref)","title":"Affordable Zero Energy K-12 Schools: The Cost Barrier Illusion","title-short":"Affordable Zero Energy K-12 Schools","URL":"https://www.osti.gov/servlets/purl/1837979/","author":[{"family":"Torcellini","given":"Paul"},{"family":"Zaleski","given":"Sarah"},{"family":"McIntyre","given":"Maureen"}],"accessed":{"date-parts":[["2024",6,13]]},"issued":{"date-parts":[["2021",12,22]]}}}],"schema":"https://github.com/citation-style-language/schema/raw/master/csl-citation.json"} </w:instrText>
      </w:r>
      <w:r w:rsidR="4A17A644">
        <w:fldChar w:fldCharType="separate"/>
      </w:r>
      <w:r w:rsidR="00223023" w:rsidRPr="00223023">
        <w:rPr>
          <w:rFonts w:cs="Arial"/>
          <w:vertAlign w:val="superscript"/>
        </w:rPr>
        <w:t>43</w:t>
      </w:r>
      <w:r w:rsidR="4A17A644">
        <w:fldChar w:fldCharType="end"/>
      </w:r>
      <w:r>
        <w:t xml:space="preserve"> </w:t>
      </w:r>
      <w:r w:rsidR="00B8759F">
        <w:t>R</w:t>
      </w:r>
      <w:r w:rsidR="57A5F076">
        <w:t>educ</w:t>
      </w:r>
      <w:r w:rsidR="62A32AD9">
        <w:t>ing</w:t>
      </w:r>
      <w:r w:rsidR="57A5F076">
        <w:t xml:space="preserve"> </w:t>
      </w:r>
      <w:r w:rsidR="62A32AD9">
        <w:t xml:space="preserve">facility </w:t>
      </w:r>
      <w:r w:rsidR="57A5F076">
        <w:t xml:space="preserve">energy consumption </w:t>
      </w:r>
      <w:r w:rsidR="001C7182">
        <w:t xml:space="preserve">also offers </w:t>
      </w:r>
      <w:r w:rsidR="00BB6430">
        <w:t xml:space="preserve">additional budget stability </w:t>
      </w:r>
      <w:r w:rsidR="00551BF1">
        <w:t>through reduced</w:t>
      </w:r>
      <w:r w:rsidR="57A5F076">
        <w:t xml:space="preserve"> </w:t>
      </w:r>
      <w:r w:rsidR="00443BD9">
        <w:t>exposure</w:t>
      </w:r>
      <w:r w:rsidR="57A5F076">
        <w:t xml:space="preserve"> </w:t>
      </w:r>
      <w:r w:rsidR="006B322E">
        <w:t>to</w:t>
      </w:r>
      <w:r w:rsidR="57A5F076">
        <w:t xml:space="preserve"> energy price volatility</w:t>
      </w:r>
      <w:r w:rsidR="0A13FABD">
        <w:t>.</w:t>
      </w:r>
      <w:r w:rsidR="3DC6D0C7">
        <w:t xml:space="preserve"> </w:t>
      </w:r>
      <w:r w:rsidR="2849AF1D">
        <w:t>O</w:t>
      </w:r>
      <w:r>
        <w:t xml:space="preserve">ver time, </w:t>
      </w:r>
      <w:r w:rsidR="57A94B3F">
        <w:t xml:space="preserve">realized </w:t>
      </w:r>
      <w:r>
        <w:t>energy cost</w:t>
      </w:r>
      <w:r w:rsidR="2AB0C1C0">
        <w:t xml:space="preserve"> savings</w:t>
      </w:r>
      <w:r>
        <w:t xml:space="preserve"> can be redirected to other </w:t>
      </w:r>
      <w:r w:rsidR="57A94B3F">
        <w:t xml:space="preserve">school district </w:t>
      </w:r>
      <w:r>
        <w:t>priorities.</w:t>
      </w:r>
      <w:r w:rsidRPr="62E2E3B4">
        <w:rPr>
          <w:rStyle w:val="CommentReference"/>
        </w:rPr>
        <w:t xml:space="preserve"> </w:t>
      </w:r>
    </w:p>
    <w:p w14:paraId="60734F90" w14:textId="77777777" w:rsidR="00806B65" w:rsidRDefault="00806B65" w:rsidP="00806B65">
      <w:pPr>
        <w:pStyle w:val="Heading3"/>
      </w:pPr>
      <w:r>
        <w:t>Methods and Best Practices</w:t>
      </w:r>
    </w:p>
    <w:p w14:paraId="6A724BAB" w14:textId="77777777" w:rsidR="00C0267C" w:rsidRPr="004257F2" w:rsidRDefault="00057DD5" w:rsidP="006D7DE6">
      <w:pPr>
        <w:pStyle w:val="BodyTextFirstIndent"/>
      </w:pPr>
      <w:bookmarkStart w:id="87" w:name="_Toc44305321"/>
      <w:r w:rsidRPr="004257F2">
        <w:t xml:space="preserve">There are a number of methods and best practices that have been implemented to successfully decarbonize schools across Massachusetts. These are organized in the following sections in order of implementation: </w:t>
      </w:r>
    </w:p>
    <w:p w14:paraId="634C553A" w14:textId="77777777" w:rsidR="0074795D" w:rsidRPr="004257F2" w:rsidRDefault="00C0267C" w:rsidP="008131EB">
      <w:pPr>
        <w:pStyle w:val="ListBullet"/>
      </w:pPr>
      <w:r w:rsidRPr="004257F2">
        <w:t xml:space="preserve">Conduct </w:t>
      </w:r>
      <w:r w:rsidR="00057DD5" w:rsidRPr="004257F2">
        <w:t>analysis and planning</w:t>
      </w:r>
    </w:p>
    <w:p w14:paraId="7DE86DDC" w14:textId="3495D91A" w:rsidR="00055CA4" w:rsidRDefault="00F309A2" w:rsidP="008131EB">
      <w:pPr>
        <w:pStyle w:val="ListBullet"/>
      </w:pPr>
      <w:r>
        <w:t>Implement</w:t>
      </w:r>
      <w:r w:rsidRPr="004257F2">
        <w:t xml:space="preserve"> </w:t>
      </w:r>
      <w:r w:rsidR="00057DD5" w:rsidRPr="004257F2">
        <w:t>strategies</w:t>
      </w:r>
      <w:r w:rsidR="00055CA4">
        <w:t xml:space="preserve"> to achieve energy efficiency and building decarbonization</w:t>
      </w:r>
    </w:p>
    <w:p w14:paraId="2C149BD4" w14:textId="26CDC26F" w:rsidR="00055CA4" w:rsidRDefault="00F309A2" w:rsidP="008131EB">
      <w:pPr>
        <w:pStyle w:val="ListBullet"/>
      </w:pPr>
      <w:r>
        <w:t xml:space="preserve">Operate </w:t>
      </w:r>
      <w:r w:rsidR="008A587E">
        <w:t xml:space="preserve">and </w:t>
      </w:r>
      <w:r>
        <w:t>maintain schools</w:t>
      </w:r>
    </w:p>
    <w:p w14:paraId="0D97E23A" w14:textId="2093F281" w:rsidR="00057DD5" w:rsidRPr="004257F2" w:rsidRDefault="00055CA4" w:rsidP="008131EB">
      <w:pPr>
        <w:pStyle w:val="ListBullet"/>
      </w:pPr>
      <w:r>
        <w:t>P</w:t>
      </w:r>
      <w:r w:rsidR="00057DD5" w:rsidRPr="004257F2">
        <w:t>rocure decarbonized electricity</w:t>
      </w:r>
    </w:p>
    <w:bookmarkStart w:id="88" w:name="_Toc44305320"/>
    <w:bookmarkEnd w:id="87"/>
    <w:p w14:paraId="6C71D144" w14:textId="4FC3C247" w:rsidR="00E02BC0" w:rsidRPr="002E1CBC" w:rsidRDefault="00FC2E7D" w:rsidP="006D7DE6">
      <w:pPr>
        <w:pStyle w:val="BodyTextFirstIndent"/>
      </w:pPr>
      <w:r w:rsidRPr="002E1CBC">
        <w:fldChar w:fldCharType="begin"/>
      </w:r>
      <w:r w:rsidRPr="002E1CBC">
        <w:instrText xml:space="preserve"> REF _Ref169127961 \h </w:instrText>
      </w:r>
      <w:r w:rsidR="002E1CBC">
        <w:instrText xml:space="preserve"> \* MERGEFORMAT </w:instrText>
      </w:r>
      <w:r w:rsidRPr="002E1CBC">
        <w:fldChar w:fldCharType="separate"/>
      </w:r>
      <w:r w:rsidR="00307850">
        <w:t>Table 6</w:t>
      </w:r>
      <w:r w:rsidRPr="002E1CBC">
        <w:fldChar w:fldCharType="end"/>
      </w:r>
      <w:r w:rsidRPr="002E1CBC">
        <w:t xml:space="preserve"> </w:t>
      </w:r>
      <w:r w:rsidR="00CB76CD">
        <w:t xml:space="preserve">provides a </w:t>
      </w:r>
      <w:r w:rsidR="00E02BC0" w:rsidRPr="002E1CBC">
        <w:t>summar</w:t>
      </w:r>
      <w:r w:rsidR="00CB76CD">
        <w:t>y</w:t>
      </w:r>
      <w:r w:rsidR="00535D77">
        <w:t xml:space="preserve"> of</w:t>
      </w:r>
      <w:r w:rsidR="00E02BC0" w:rsidRPr="002E1CBC">
        <w:t xml:space="preserve"> methods and best practices for decarbonizing schools. For each method and best practice, the table presents the approximate capital and operating costs, implementation timeframe, and ease of implementation.</w:t>
      </w:r>
      <w:r w:rsidR="00224BCC">
        <w:t xml:space="preserve"> See </w:t>
      </w:r>
      <w:hyperlink w:anchor="SectVI_1a" w:history="1">
        <w:r w:rsidR="00002545" w:rsidRPr="00002545">
          <w:rPr>
            <w:rStyle w:val="Hyperlink"/>
          </w:rPr>
          <w:t>Section VI, Objective 1a</w:t>
        </w:r>
      </w:hyperlink>
      <w:r w:rsidR="00224BCC">
        <w:t xml:space="preserve"> for additional</w:t>
      </w:r>
      <w:r w:rsidR="00D1135F">
        <w:t xml:space="preserve"> narrative descriptions of each of the methods and best practices.</w:t>
      </w:r>
    </w:p>
    <w:p w14:paraId="657617C2" w14:textId="77D1FC26" w:rsidR="00E02BC0" w:rsidRDefault="00E02BC0" w:rsidP="00B30C96">
      <w:pPr>
        <w:pStyle w:val="TableTitle"/>
      </w:pPr>
      <w:bookmarkStart w:id="89" w:name="_Ref169127961"/>
      <w:bookmarkStart w:id="90" w:name="_Toc170345785"/>
      <w:bookmarkStart w:id="91" w:name="_Toc192711672"/>
      <w:bookmarkStart w:id="92" w:name="_Toc193112554"/>
      <w:bookmarkStart w:id="93" w:name="_Toc193116953"/>
      <w:r>
        <w:lastRenderedPageBreak/>
        <w:t xml:space="preserve">Table </w:t>
      </w:r>
      <w:fldSimple w:instr=" SEQ Table \* ARABIC ">
        <w:r w:rsidR="00307850">
          <w:rPr>
            <w:noProof/>
          </w:rPr>
          <w:t>6</w:t>
        </w:r>
      </w:fldSimple>
      <w:bookmarkEnd w:id="89"/>
      <w:r>
        <w:t xml:space="preserve">. Methods and </w:t>
      </w:r>
      <w:r w:rsidR="00D137CF">
        <w:t>B</w:t>
      </w:r>
      <w:r w:rsidR="0023018C">
        <w:t xml:space="preserve">est </w:t>
      </w:r>
      <w:r w:rsidR="00D137CF">
        <w:t>P</w:t>
      </w:r>
      <w:r>
        <w:t xml:space="preserve">ractices </w:t>
      </w:r>
      <w:r w:rsidR="004B4C19">
        <w:t>for</w:t>
      </w:r>
      <w:r>
        <w:t xml:space="preserve"> </w:t>
      </w:r>
      <w:r w:rsidR="00D137CF">
        <w:t>D</w:t>
      </w:r>
      <w:r>
        <w:t>ecarboniz</w:t>
      </w:r>
      <w:r w:rsidR="0067081A">
        <w:t>ing</w:t>
      </w:r>
      <w:r>
        <w:t xml:space="preserve"> </w:t>
      </w:r>
      <w:bookmarkEnd w:id="90"/>
      <w:r w:rsidR="00D137CF">
        <w:t>B</w:t>
      </w:r>
      <w:r w:rsidR="0023018C">
        <w:t>uildings</w:t>
      </w:r>
      <w:bookmarkEnd w:id="91"/>
      <w:bookmarkEnd w:id="92"/>
      <w:bookmarkEnd w:id="93"/>
    </w:p>
    <w:tbl>
      <w:tblPr>
        <w:tblW w:w="5000" w:type="pct"/>
        <w:jc w:val="center"/>
        <w:tblLayout w:type="fixed"/>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decarbonizing buildings."/>
      </w:tblPr>
      <w:tblGrid>
        <w:gridCol w:w="624"/>
        <w:gridCol w:w="5760"/>
        <w:gridCol w:w="741"/>
        <w:gridCol w:w="742"/>
        <w:gridCol w:w="741"/>
        <w:gridCol w:w="742"/>
      </w:tblGrid>
      <w:tr w:rsidR="00E02BC0" w:rsidRPr="00C8094D" w14:paraId="51F6E9E2" w14:textId="77777777" w:rsidTr="009C0CB7">
        <w:trPr>
          <w:cantSplit/>
          <w:trHeight w:val="1970"/>
          <w:tblHeader/>
          <w:jc w:val="center"/>
        </w:trPr>
        <w:tc>
          <w:tcPr>
            <w:tcW w:w="341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7E7A69A1" w14:textId="77777777" w:rsidR="00E02BC0" w:rsidRDefault="00E02BC0">
            <w:pPr>
              <w:pStyle w:val="TableColumnHeader"/>
            </w:pPr>
            <w:r>
              <w:t>Methods/Best Practices</w:t>
            </w:r>
          </w:p>
        </w:tc>
        <w:tc>
          <w:tcPr>
            <w:tcW w:w="39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93344DE" w14:textId="77777777" w:rsidR="00E02BC0" w:rsidRPr="00C8094D" w:rsidRDefault="00E02BC0" w:rsidP="00F61DBC">
            <w:pPr>
              <w:pStyle w:val="TableColumnHeader"/>
              <w:jc w:val="left"/>
            </w:pPr>
            <w:r>
              <w:t xml:space="preserve">Capital </w:t>
            </w:r>
            <w:r w:rsidRPr="00C8094D">
              <w:t>Cost</w:t>
            </w:r>
          </w:p>
        </w:tc>
        <w:tc>
          <w:tcPr>
            <w:tcW w:w="397"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EE5CA64" w14:textId="77777777" w:rsidR="00E02BC0" w:rsidRDefault="00E02BC0" w:rsidP="00F61DBC">
            <w:pPr>
              <w:pStyle w:val="TableColumnHeader"/>
              <w:jc w:val="left"/>
            </w:pPr>
            <w:r>
              <w:t>Operating Cost</w:t>
            </w:r>
          </w:p>
        </w:tc>
        <w:tc>
          <w:tcPr>
            <w:tcW w:w="39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092650C" w14:textId="77777777" w:rsidR="00E02BC0" w:rsidRPr="00C8094D" w:rsidRDefault="00E02BC0" w:rsidP="00F61DBC">
            <w:pPr>
              <w:pStyle w:val="TableColumnHeader"/>
              <w:jc w:val="left"/>
            </w:pPr>
            <w:r>
              <w:t xml:space="preserve">Implementation </w:t>
            </w:r>
            <w:r w:rsidRPr="00C8094D">
              <w:t>Timeframe</w:t>
            </w:r>
          </w:p>
        </w:tc>
        <w:tc>
          <w:tcPr>
            <w:tcW w:w="39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B3B6DFB" w14:textId="77777777" w:rsidR="00E02BC0" w:rsidRPr="00C8094D" w:rsidRDefault="00E02BC0" w:rsidP="00F61DBC">
            <w:pPr>
              <w:pStyle w:val="TableColumnHeader"/>
              <w:jc w:val="left"/>
            </w:pPr>
            <w:r>
              <w:t xml:space="preserve">Ease of </w:t>
            </w:r>
            <w:r w:rsidRPr="00C8094D">
              <w:t>Implementation</w:t>
            </w:r>
          </w:p>
        </w:tc>
      </w:tr>
      <w:tr w:rsidR="00E02BC0" w:rsidRPr="00C8094D" w14:paraId="4CD46A36" w14:textId="77777777" w:rsidTr="009C0CB7">
        <w:trPr>
          <w:cantSplit/>
          <w:trHeight w:val="255"/>
          <w:tblHeader/>
          <w:jc w:val="center"/>
        </w:trPr>
        <w:tc>
          <w:tcPr>
            <w:tcW w:w="3414" w:type="pct"/>
            <w:gridSpan w:val="2"/>
            <w:tcBorders>
              <w:top w:val="nil"/>
              <w:left w:val="single" w:sz="4" w:space="0" w:color="auto"/>
              <w:bottom w:val="single" w:sz="4" w:space="0" w:color="auto"/>
              <w:right w:val="single" w:sz="4" w:space="0" w:color="auto"/>
            </w:tcBorders>
            <w:shd w:val="clear" w:color="auto" w:fill="1F497D" w:themeFill="text2"/>
          </w:tcPr>
          <w:p w14:paraId="087769AF" w14:textId="41CD78A3" w:rsidR="00E02BC0" w:rsidRPr="00276B41" w:rsidRDefault="00871B04">
            <w:pPr>
              <w:pStyle w:val="TableRowHeader"/>
            </w:pPr>
            <w:r>
              <w:t xml:space="preserve">Conduct </w:t>
            </w:r>
            <w:r w:rsidR="00E02BC0">
              <w:t>Analysis and Planning</w:t>
            </w:r>
          </w:p>
        </w:tc>
        <w:tc>
          <w:tcPr>
            <w:tcW w:w="396" w:type="pct"/>
            <w:tcBorders>
              <w:top w:val="nil"/>
              <w:left w:val="single" w:sz="4" w:space="0" w:color="auto"/>
              <w:bottom w:val="single" w:sz="4" w:space="0" w:color="auto"/>
              <w:right w:val="single" w:sz="4" w:space="0" w:color="auto"/>
            </w:tcBorders>
            <w:shd w:val="clear" w:color="auto" w:fill="1F497D" w:themeFill="text2"/>
            <w:vAlign w:val="center"/>
          </w:tcPr>
          <w:p w14:paraId="681E053C" w14:textId="77777777" w:rsidR="00E02BC0" w:rsidRPr="00276B41" w:rsidRDefault="00E02BC0">
            <w:pPr>
              <w:jc w:val="center"/>
              <w:rPr>
                <w:rFonts w:ascii="Calibri" w:hAnsi="Calibri" w:cs="Calibri"/>
                <w:color w:val="FFFFFF" w:themeColor="background1"/>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2BBC482" w14:textId="77777777" w:rsidR="00E02BC0" w:rsidRPr="00276B41" w:rsidRDefault="00E02BC0">
            <w:pPr>
              <w:jc w:val="center"/>
              <w:rPr>
                <w:rFonts w:ascii="Calibri" w:hAnsi="Calibri" w:cs="Calibri"/>
                <w:color w:val="FFFFFF" w:themeColor="background1"/>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86E96C7" w14:textId="77777777" w:rsidR="00E02BC0" w:rsidRPr="00276B41" w:rsidRDefault="00E02BC0">
            <w:pPr>
              <w:jc w:val="center"/>
              <w:rPr>
                <w:rFonts w:ascii="Calibri" w:hAnsi="Calibri" w:cs="Calibri"/>
                <w:color w:val="FFFFFF" w:themeColor="background1"/>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59B2B2F" w14:textId="77777777" w:rsidR="00E02BC0" w:rsidRPr="00276B41" w:rsidRDefault="00E02BC0">
            <w:pPr>
              <w:jc w:val="center"/>
              <w:rPr>
                <w:rFonts w:ascii="Calibri" w:hAnsi="Calibri" w:cs="Calibri"/>
                <w:color w:val="FFFFFF" w:themeColor="background1"/>
                <w:sz w:val="20"/>
                <w:szCs w:val="20"/>
              </w:rPr>
            </w:pPr>
          </w:p>
        </w:tc>
      </w:tr>
      <w:tr w:rsidR="001F7BDA" w:rsidRPr="00C8094D" w14:paraId="39204150" w14:textId="77777777" w:rsidTr="009C0CB7">
        <w:trPr>
          <w:cantSplit/>
          <w:trHeight w:val="255"/>
          <w:tblHeader/>
          <w:jc w:val="center"/>
        </w:trPr>
        <w:tc>
          <w:tcPr>
            <w:tcW w:w="334" w:type="pct"/>
            <w:tcBorders>
              <w:top w:val="nil"/>
              <w:left w:val="single" w:sz="4" w:space="0" w:color="auto"/>
              <w:bottom w:val="single" w:sz="4" w:space="0" w:color="auto"/>
            </w:tcBorders>
            <w:shd w:val="clear" w:color="auto" w:fill="auto"/>
          </w:tcPr>
          <w:p w14:paraId="4BBD3DF8" w14:textId="7C264E21" w:rsidR="001F7BDA" w:rsidRDefault="001F7BDA" w:rsidP="001F7BDA">
            <w:pPr>
              <w:pStyle w:val="TableText"/>
            </w:pPr>
            <w:r>
              <w:t>(1)</w:t>
            </w:r>
          </w:p>
        </w:tc>
        <w:tc>
          <w:tcPr>
            <w:tcW w:w="3080" w:type="pct"/>
            <w:tcBorders>
              <w:top w:val="single" w:sz="4" w:space="0" w:color="auto"/>
              <w:bottom w:val="single" w:sz="4" w:space="0" w:color="auto"/>
              <w:right w:val="single" w:sz="4" w:space="0" w:color="auto"/>
            </w:tcBorders>
          </w:tcPr>
          <w:p w14:paraId="35FF20F2" w14:textId="4AA04907" w:rsidR="001F7BDA" w:rsidRDefault="001F7BDA" w:rsidP="001F7BDA">
            <w:pPr>
              <w:pStyle w:val="TableText"/>
            </w:pPr>
            <w:r>
              <w:t xml:space="preserve">Compile and analyze </w:t>
            </w:r>
            <w:r w:rsidR="009A5559">
              <w:t>facility e</w:t>
            </w:r>
            <w:r>
              <w:t xml:space="preserve">nergy </w:t>
            </w:r>
            <w:r w:rsidR="009A5559">
              <w:t>d</w:t>
            </w:r>
            <w:r>
              <w:t>ata</w:t>
            </w:r>
          </w:p>
        </w:tc>
        <w:tc>
          <w:tcPr>
            <w:tcW w:w="396" w:type="pct"/>
            <w:tcBorders>
              <w:top w:val="nil"/>
              <w:left w:val="single" w:sz="4" w:space="0" w:color="auto"/>
              <w:bottom w:val="single" w:sz="4" w:space="0" w:color="auto"/>
              <w:right w:val="single" w:sz="4" w:space="0" w:color="auto"/>
            </w:tcBorders>
            <w:shd w:val="clear" w:color="auto" w:fill="auto"/>
            <w:vAlign w:val="center"/>
          </w:tcPr>
          <w:p w14:paraId="179FB331" w14:textId="13B3B118" w:rsidR="001F7BDA" w:rsidRPr="009521BD" w:rsidRDefault="001F7BDA" w:rsidP="001F7BDA">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64AA1905" w14:textId="6F9D9512" w:rsidR="001F7BDA" w:rsidRDefault="001F7BDA" w:rsidP="001F7BDA">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C8EB3D3" w14:textId="0B6CCBF4" w:rsidR="001F7BDA" w:rsidRDefault="001F7BDA" w:rsidP="001F7BDA">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9958BC8" w14:textId="67D8FF38" w:rsidR="001F7BDA" w:rsidRDefault="001F7BDA" w:rsidP="001F7BDA">
            <w:pPr>
              <w:pStyle w:val="TableText"/>
            </w:pPr>
            <w:r>
              <w:t>1</w:t>
            </w:r>
          </w:p>
        </w:tc>
      </w:tr>
      <w:tr w:rsidR="009A5559" w:rsidRPr="00C8094D" w14:paraId="176997CE" w14:textId="77777777" w:rsidTr="009C0CB7">
        <w:trPr>
          <w:cantSplit/>
          <w:trHeight w:val="255"/>
          <w:tblHeader/>
          <w:jc w:val="center"/>
        </w:trPr>
        <w:tc>
          <w:tcPr>
            <w:tcW w:w="334" w:type="pct"/>
            <w:tcBorders>
              <w:top w:val="nil"/>
              <w:left w:val="single" w:sz="4" w:space="0" w:color="auto"/>
              <w:bottom w:val="single" w:sz="4" w:space="0" w:color="auto"/>
            </w:tcBorders>
            <w:shd w:val="clear" w:color="auto" w:fill="auto"/>
          </w:tcPr>
          <w:p w14:paraId="5EA1429E" w14:textId="02CEE8C8" w:rsidR="009A5559" w:rsidRDefault="009A5559" w:rsidP="009A5559">
            <w:pPr>
              <w:pStyle w:val="TableText"/>
            </w:pPr>
            <w:r>
              <w:t>(2)</w:t>
            </w:r>
          </w:p>
        </w:tc>
        <w:tc>
          <w:tcPr>
            <w:tcW w:w="3080" w:type="pct"/>
            <w:tcBorders>
              <w:top w:val="single" w:sz="4" w:space="0" w:color="auto"/>
              <w:bottom w:val="single" w:sz="4" w:space="0" w:color="auto"/>
              <w:right w:val="single" w:sz="4" w:space="0" w:color="auto"/>
            </w:tcBorders>
          </w:tcPr>
          <w:p w14:paraId="6B85A0B4" w14:textId="52019658" w:rsidR="009A5559" w:rsidRDefault="009A5559" w:rsidP="009A5559">
            <w:pPr>
              <w:pStyle w:val="TableText"/>
            </w:pPr>
            <w:r>
              <w:t xml:space="preserve">Perform </w:t>
            </w:r>
            <w:r w:rsidR="00B204C7">
              <w:t>facility condition assessments</w:t>
            </w:r>
            <w:r>
              <w:t xml:space="preserve"> and energy/emissions audits</w:t>
            </w:r>
          </w:p>
        </w:tc>
        <w:tc>
          <w:tcPr>
            <w:tcW w:w="396" w:type="pct"/>
            <w:tcBorders>
              <w:top w:val="nil"/>
              <w:left w:val="single" w:sz="4" w:space="0" w:color="auto"/>
              <w:bottom w:val="single" w:sz="4" w:space="0" w:color="auto"/>
              <w:right w:val="single" w:sz="4" w:space="0" w:color="auto"/>
            </w:tcBorders>
            <w:shd w:val="clear" w:color="auto" w:fill="auto"/>
            <w:vAlign w:val="center"/>
          </w:tcPr>
          <w:p w14:paraId="00731C85" w14:textId="5D71C70A" w:rsidR="009A5559" w:rsidRPr="009521BD" w:rsidRDefault="009A5559" w:rsidP="009A5559">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5B19C8FF" w14:textId="70EDC2AA" w:rsidR="009A5559" w:rsidRDefault="009A5559"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740BEB3" w14:textId="6C51F382" w:rsidR="009A5559" w:rsidRDefault="009A5559" w:rsidP="009A5559">
            <w:pPr>
              <w:pStyle w:val="TableText"/>
            </w:pPr>
            <w: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9E092B9" w14:textId="1EF7B6E4" w:rsidR="009A5559" w:rsidRDefault="009A5559" w:rsidP="009A5559">
            <w:pPr>
              <w:pStyle w:val="TableText"/>
            </w:pPr>
            <w:r>
              <w:t>2</w:t>
            </w:r>
          </w:p>
        </w:tc>
      </w:tr>
      <w:tr w:rsidR="009A5559" w:rsidRPr="00C8094D" w14:paraId="191384FB" w14:textId="77777777" w:rsidTr="009C0CB7">
        <w:trPr>
          <w:cantSplit/>
          <w:trHeight w:val="255"/>
          <w:tblHeader/>
          <w:jc w:val="center"/>
        </w:trPr>
        <w:tc>
          <w:tcPr>
            <w:tcW w:w="334" w:type="pct"/>
            <w:tcBorders>
              <w:top w:val="nil"/>
              <w:left w:val="single" w:sz="4" w:space="0" w:color="auto"/>
              <w:bottom w:val="single" w:sz="4" w:space="0" w:color="auto"/>
            </w:tcBorders>
            <w:shd w:val="clear" w:color="auto" w:fill="auto"/>
          </w:tcPr>
          <w:p w14:paraId="0BFB860B" w14:textId="13999BC5" w:rsidR="009A5559" w:rsidRDefault="009A5559" w:rsidP="009A5559">
            <w:pPr>
              <w:pStyle w:val="TableText"/>
            </w:pPr>
            <w:r>
              <w:t>(3)</w:t>
            </w:r>
          </w:p>
        </w:tc>
        <w:tc>
          <w:tcPr>
            <w:tcW w:w="3080" w:type="pct"/>
            <w:tcBorders>
              <w:top w:val="single" w:sz="4" w:space="0" w:color="auto"/>
              <w:bottom w:val="single" w:sz="4" w:space="0" w:color="auto"/>
              <w:right w:val="single" w:sz="4" w:space="0" w:color="auto"/>
            </w:tcBorders>
          </w:tcPr>
          <w:p w14:paraId="4B52011A" w14:textId="7F6B4BDA" w:rsidR="009A5559" w:rsidRDefault="009A5559" w:rsidP="009A5559">
            <w:pPr>
              <w:pStyle w:val="TableText"/>
            </w:pPr>
            <w:r>
              <w:t>Prepare and routinely update an</w:t>
            </w:r>
            <w:r w:rsidR="00D65399">
              <w:t xml:space="preserve"> E</w:t>
            </w:r>
            <w:r>
              <w:t xml:space="preserve">missions </w:t>
            </w:r>
            <w:r w:rsidR="00D65399">
              <w:t>R</w:t>
            </w:r>
            <w:r>
              <w:t>eduction Plan</w:t>
            </w:r>
          </w:p>
        </w:tc>
        <w:tc>
          <w:tcPr>
            <w:tcW w:w="396" w:type="pct"/>
            <w:tcBorders>
              <w:top w:val="nil"/>
              <w:left w:val="single" w:sz="4" w:space="0" w:color="auto"/>
              <w:bottom w:val="single" w:sz="4" w:space="0" w:color="auto"/>
              <w:right w:val="single" w:sz="4" w:space="0" w:color="auto"/>
            </w:tcBorders>
            <w:shd w:val="clear" w:color="auto" w:fill="auto"/>
            <w:vAlign w:val="center"/>
          </w:tcPr>
          <w:p w14:paraId="240129A0" w14:textId="77777777" w:rsidR="009A5559" w:rsidRPr="009521BD" w:rsidRDefault="009A5559" w:rsidP="009A5559">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5BA6972C" w14:textId="77777777" w:rsidR="009A5559" w:rsidRPr="00C8094D" w:rsidRDefault="009A5559"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10247BB" w14:textId="77777777" w:rsidR="009A5559" w:rsidRPr="00C8094D"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6F86951E" w14:textId="77777777" w:rsidR="009A5559" w:rsidRPr="00C8094D" w:rsidRDefault="009A5559" w:rsidP="009A5559">
            <w:pPr>
              <w:pStyle w:val="TableText"/>
            </w:pPr>
            <w:r>
              <w:t>1</w:t>
            </w:r>
          </w:p>
        </w:tc>
      </w:tr>
      <w:tr w:rsidR="009A5559" w:rsidRPr="00C8094D" w14:paraId="184B6762" w14:textId="77777777">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497D" w:themeFill="text2"/>
          </w:tcPr>
          <w:p w14:paraId="7F87D034" w14:textId="22A49793" w:rsidR="009A5559" w:rsidRPr="00276B41" w:rsidRDefault="00827E57" w:rsidP="009A5559">
            <w:pPr>
              <w:pStyle w:val="TableRowHeader"/>
              <w:rPr>
                <w:rFonts w:ascii="Calibri" w:hAnsi="Calibri" w:cs="Calibri"/>
                <w:sz w:val="20"/>
              </w:rPr>
            </w:pPr>
            <w:r w:rsidRPr="00827E57">
              <w:t xml:space="preserve">Implement </w:t>
            </w:r>
            <w:r>
              <w:t>S</w:t>
            </w:r>
            <w:r w:rsidRPr="00827E57">
              <w:t xml:space="preserve">trategies to </w:t>
            </w:r>
            <w:r>
              <w:t>A</w:t>
            </w:r>
            <w:r w:rsidRPr="00827E57">
              <w:t xml:space="preserve">chieve </w:t>
            </w:r>
            <w:r>
              <w:t>E</w:t>
            </w:r>
            <w:r w:rsidRPr="00827E57">
              <w:t xml:space="preserve">nergy </w:t>
            </w:r>
            <w:r>
              <w:t>E</w:t>
            </w:r>
            <w:r w:rsidRPr="00827E57">
              <w:t xml:space="preserve">fficiency and </w:t>
            </w:r>
            <w:r>
              <w:t>B</w:t>
            </w:r>
            <w:r w:rsidRPr="00827E57">
              <w:t xml:space="preserve">uilding </w:t>
            </w:r>
            <w:r>
              <w:t>D</w:t>
            </w:r>
            <w:r w:rsidRPr="00827E57">
              <w:t>ecarbonization</w:t>
            </w:r>
          </w:p>
        </w:tc>
      </w:tr>
      <w:tr w:rsidR="009A5559" w:rsidRPr="00C8094D" w14:paraId="7DAAEFD1"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44363249" w14:textId="6D1E5118" w:rsidR="009A5559" w:rsidRPr="00C8094D" w:rsidRDefault="009A5559" w:rsidP="009A5559">
            <w:pPr>
              <w:pStyle w:val="TableText"/>
            </w:pPr>
            <w:r>
              <w:t>(4)</w:t>
            </w:r>
          </w:p>
        </w:tc>
        <w:tc>
          <w:tcPr>
            <w:tcW w:w="3080" w:type="pct"/>
            <w:tcBorders>
              <w:top w:val="single" w:sz="4" w:space="0" w:color="auto"/>
              <w:bottom w:val="single" w:sz="4" w:space="0" w:color="auto"/>
              <w:right w:val="single" w:sz="4" w:space="0" w:color="auto"/>
            </w:tcBorders>
          </w:tcPr>
          <w:p w14:paraId="6E33F328" w14:textId="5DF09DC3" w:rsidR="009A5559" w:rsidRDefault="009A5559" w:rsidP="009A5559">
            <w:pPr>
              <w:pStyle w:val="TableText"/>
            </w:pPr>
            <w:r>
              <w:t xml:space="preserve">Implement NZE </w:t>
            </w:r>
            <w:r w:rsidR="001A096B">
              <w:t>n</w:t>
            </w:r>
            <w:r>
              <w:t xml:space="preserve">ew </w:t>
            </w:r>
            <w:r w:rsidR="001A096B">
              <w:t>c</w:t>
            </w:r>
            <w:r>
              <w:t xml:space="preserve">onstruction </w:t>
            </w:r>
            <w:r w:rsidR="001A096B">
              <w:t>and</w:t>
            </w:r>
            <w:r>
              <w:t xml:space="preserve"> </w:t>
            </w:r>
            <w:r w:rsidR="001A096B">
              <w:t>m</w:t>
            </w:r>
            <w:r>
              <w:t xml:space="preserve">ajor </w:t>
            </w:r>
            <w:r w:rsidR="001A096B">
              <w:t>m</w:t>
            </w:r>
            <w:r>
              <w:t>odernization</w:t>
            </w:r>
          </w:p>
        </w:tc>
        <w:tc>
          <w:tcPr>
            <w:tcW w:w="396" w:type="pct"/>
            <w:tcBorders>
              <w:top w:val="nil"/>
              <w:left w:val="single" w:sz="4" w:space="0" w:color="auto"/>
              <w:bottom w:val="single" w:sz="4" w:space="0" w:color="auto"/>
              <w:right w:val="single" w:sz="4" w:space="0" w:color="auto"/>
            </w:tcBorders>
            <w:shd w:val="clear" w:color="auto" w:fill="auto"/>
            <w:vAlign w:val="center"/>
          </w:tcPr>
          <w:p w14:paraId="5A044129" w14:textId="77777777"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7044B701" w14:textId="29403791" w:rsidR="009A5559" w:rsidRPr="009848AF" w:rsidRDefault="009848AF" w:rsidP="009A5559">
            <w:pPr>
              <w:pStyle w:val="TableText"/>
            </w:pPr>
            <w:r w:rsidRPr="009848AF">
              <w:rPr>
                <w:color w:val="00B050"/>
              </w:rPr>
              <w:t>-</w:t>
            </w:r>
            <w:r w:rsidR="00EC6DE3" w:rsidRPr="009848AF">
              <w:rPr>
                <w:color w:val="00B050"/>
              </w:rP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72D9DE6" w14:textId="77777777" w:rsidR="009A5559" w:rsidRPr="00F45120" w:rsidRDefault="009A5559" w:rsidP="009A5559">
            <w:pPr>
              <w:pStyle w:val="TableText"/>
            </w:pPr>
            <w:r>
              <w:t>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4C0F2FD6" w14:textId="77777777" w:rsidR="009A5559" w:rsidRPr="00F45120" w:rsidRDefault="009A5559" w:rsidP="009A5559">
            <w:pPr>
              <w:pStyle w:val="TableText"/>
            </w:pPr>
            <w:r>
              <w:t>3</w:t>
            </w:r>
          </w:p>
        </w:tc>
      </w:tr>
      <w:tr w:rsidR="009A5559" w:rsidRPr="00C8094D" w14:paraId="5D42801C"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6C248FBB" w14:textId="60BEAA62" w:rsidR="009A5559" w:rsidRDefault="009A5559" w:rsidP="009A5559">
            <w:pPr>
              <w:pStyle w:val="TableText"/>
            </w:pPr>
            <w:r>
              <w:t>(5)</w:t>
            </w:r>
          </w:p>
        </w:tc>
        <w:tc>
          <w:tcPr>
            <w:tcW w:w="3080" w:type="pct"/>
            <w:tcBorders>
              <w:top w:val="single" w:sz="4" w:space="0" w:color="auto"/>
              <w:bottom w:val="single" w:sz="4" w:space="0" w:color="auto"/>
              <w:right w:val="single" w:sz="4" w:space="0" w:color="auto"/>
            </w:tcBorders>
          </w:tcPr>
          <w:p w14:paraId="51AAF790" w14:textId="37CF7836" w:rsidR="009A5559" w:rsidRDefault="009A5559" w:rsidP="009A5559">
            <w:pPr>
              <w:pStyle w:val="TableText"/>
            </w:pPr>
            <w:r>
              <w:t xml:space="preserve">Implement </w:t>
            </w:r>
            <w:r w:rsidR="001A096B">
              <w:t>d</w:t>
            </w:r>
            <w:r>
              <w:t xml:space="preserve">eep </w:t>
            </w:r>
            <w:r w:rsidR="001A096B">
              <w:t>e</w:t>
            </w:r>
            <w:r>
              <w:t xml:space="preserve">nergy </w:t>
            </w:r>
            <w:r w:rsidR="001A096B">
              <w:t>r</w:t>
            </w:r>
            <w:r>
              <w:t>etrofits</w:t>
            </w:r>
          </w:p>
        </w:tc>
        <w:tc>
          <w:tcPr>
            <w:tcW w:w="396" w:type="pct"/>
            <w:tcBorders>
              <w:top w:val="nil"/>
              <w:left w:val="single" w:sz="4" w:space="0" w:color="auto"/>
              <w:bottom w:val="single" w:sz="4" w:space="0" w:color="auto"/>
              <w:right w:val="single" w:sz="4" w:space="0" w:color="auto"/>
            </w:tcBorders>
            <w:shd w:val="clear" w:color="auto" w:fill="auto"/>
            <w:vAlign w:val="center"/>
          </w:tcPr>
          <w:p w14:paraId="26E82841" w14:textId="17D7D67B"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335D1065" w14:textId="0B1B1383" w:rsidR="009A5559" w:rsidRPr="009848AF" w:rsidRDefault="009848AF" w:rsidP="009A5559">
            <w:pPr>
              <w:pStyle w:val="TableText"/>
            </w:pPr>
            <w:r w:rsidRPr="009848AF">
              <w:rPr>
                <w:color w:val="00B050"/>
              </w:rPr>
              <w:t>-</w:t>
            </w:r>
            <w:r w:rsidR="009A5559" w:rsidRPr="009848AF">
              <w:rPr>
                <w:color w:val="00B050"/>
              </w:rP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44AB0CF" w14:textId="5289B80B" w:rsidR="009A5559" w:rsidRDefault="009A5559" w:rsidP="009A5559">
            <w:pPr>
              <w:pStyle w:val="TableText"/>
            </w:pPr>
            <w: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106DBEEF" w14:textId="08667044" w:rsidR="009A5559" w:rsidRDefault="009A5559" w:rsidP="009A5559">
            <w:pPr>
              <w:pStyle w:val="TableText"/>
            </w:pPr>
            <w:r>
              <w:t>3</w:t>
            </w:r>
          </w:p>
        </w:tc>
      </w:tr>
      <w:tr w:rsidR="009A5559" w:rsidRPr="00C8094D" w14:paraId="0B88CE77"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3E34EC96" w14:textId="46B59C5C" w:rsidR="009A5559" w:rsidRDefault="009A5559" w:rsidP="009A5559">
            <w:pPr>
              <w:pStyle w:val="TableText"/>
            </w:pPr>
            <w:r>
              <w:t>(6)</w:t>
            </w:r>
          </w:p>
        </w:tc>
        <w:tc>
          <w:tcPr>
            <w:tcW w:w="3080" w:type="pct"/>
            <w:tcBorders>
              <w:top w:val="single" w:sz="4" w:space="0" w:color="auto"/>
              <w:bottom w:val="single" w:sz="4" w:space="0" w:color="auto"/>
              <w:right w:val="single" w:sz="4" w:space="0" w:color="auto"/>
            </w:tcBorders>
          </w:tcPr>
          <w:p w14:paraId="0F650A1E" w14:textId="4FDD7256" w:rsidR="009A5559" w:rsidRDefault="009A5559" w:rsidP="009A5559">
            <w:pPr>
              <w:pStyle w:val="TableText"/>
            </w:pPr>
            <w:r>
              <w:t xml:space="preserve">Improve </w:t>
            </w:r>
            <w:r w:rsidR="001A096B">
              <w:t>b</w:t>
            </w:r>
            <w:r>
              <w:t xml:space="preserve">uilding </w:t>
            </w:r>
            <w:r w:rsidR="001A096B">
              <w:t>e</w:t>
            </w:r>
            <w:r>
              <w:t xml:space="preserve">nvelopes </w:t>
            </w:r>
          </w:p>
        </w:tc>
        <w:tc>
          <w:tcPr>
            <w:tcW w:w="396" w:type="pct"/>
            <w:tcBorders>
              <w:top w:val="nil"/>
              <w:left w:val="single" w:sz="4" w:space="0" w:color="auto"/>
              <w:bottom w:val="single" w:sz="4" w:space="0" w:color="auto"/>
              <w:right w:val="single" w:sz="4" w:space="0" w:color="auto"/>
            </w:tcBorders>
            <w:shd w:val="clear" w:color="auto" w:fill="auto"/>
            <w:vAlign w:val="center"/>
          </w:tcPr>
          <w:p w14:paraId="3241C949" w14:textId="4695EFE0"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20D3CBB0" w14:textId="44FCDE2C" w:rsidR="009A5559" w:rsidRPr="009848AF" w:rsidRDefault="009848AF" w:rsidP="009A5559">
            <w:pPr>
              <w:pStyle w:val="TableText"/>
            </w:pPr>
            <w:r w:rsidRPr="009848AF">
              <w:rPr>
                <w:color w:val="00B050"/>
              </w:rPr>
              <w:t>-</w:t>
            </w:r>
            <w:r w:rsidR="005343A1" w:rsidRPr="009848AF">
              <w:rPr>
                <w:color w:val="00B050"/>
              </w:rP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839F46D" w14:textId="4FEAF407" w:rsidR="009A5559"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62630377" w14:textId="03A08CA3" w:rsidR="009A5559" w:rsidRDefault="009A5559" w:rsidP="009A5559">
            <w:pPr>
              <w:pStyle w:val="TableText"/>
            </w:pPr>
            <w:r>
              <w:t>2</w:t>
            </w:r>
          </w:p>
        </w:tc>
      </w:tr>
      <w:tr w:rsidR="009A5559" w:rsidRPr="00C8094D" w14:paraId="1A62FB81"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21BF2548" w14:textId="64FBAC09" w:rsidR="009A5559" w:rsidRPr="00C8094D" w:rsidRDefault="009A5559" w:rsidP="009A5559">
            <w:pPr>
              <w:pStyle w:val="TableText"/>
            </w:pPr>
            <w:r>
              <w:t>(7)</w:t>
            </w:r>
          </w:p>
        </w:tc>
        <w:tc>
          <w:tcPr>
            <w:tcW w:w="3080" w:type="pct"/>
            <w:tcBorders>
              <w:top w:val="single" w:sz="4" w:space="0" w:color="auto"/>
              <w:bottom w:val="single" w:sz="4" w:space="0" w:color="auto"/>
              <w:right w:val="single" w:sz="4" w:space="0" w:color="auto"/>
            </w:tcBorders>
          </w:tcPr>
          <w:p w14:paraId="3D05F47A" w14:textId="7C4E5E84" w:rsidR="009A5559" w:rsidRDefault="008973A9" w:rsidP="009A5559">
            <w:pPr>
              <w:pStyle w:val="TableText"/>
            </w:pPr>
            <w:r>
              <w:t>Optimize and e</w:t>
            </w:r>
            <w:r w:rsidR="009A5559">
              <w:t xml:space="preserve">lectrify </w:t>
            </w:r>
            <w:r w:rsidR="001A096B">
              <w:t>c</w:t>
            </w:r>
            <w:r w:rsidR="009A5559">
              <w:t xml:space="preserve">omponent </w:t>
            </w:r>
            <w:r w:rsidR="006E7B18">
              <w:t>r</w:t>
            </w:r>
            <w:r w:rsidR="009A5559">
              <w:t>etrofits</w:t>
            </w:r>
          </w:p>
        </w:tc>
        <w:tc>
          <w:tcPr>
            <w:tcW w:w="396" w:type="pct"/>
            <w:tcBorders>
              <w:top w:val="nil"/>
              <w:left w:val="single" w:sz="4" w:space="0" w:color="auto"/>
              <w:bottom w:val="single" w:sz="4" w:space="0" w:color="auto"/>
              <w:right w:val="single" w:sz="4" w:space="0" w:color="auto"/>
            </w:tcBorders>
            <w:shd w:val="clear" w:color="auto" w:fill="auto"/>
            <w:vAlign w:val="center"/>
          </w:tcPr>
          <w:p w14:paraId="2880C470" w14:textId="77777777"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6EFCC78A" w14:textId="77777777" w:rsidR="009A5559" w:rsidRPr="00F45120" w:rsidRDefault="009A5559" w:rsidP="009A5559">
            <w:pPr>
              <w:pStyle w:val="TableText"/>
            </w:pPr>
            <w: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27FE494" w14:textId="77777777" w:rsidR="009A5559" w:rsidRPr="00F45120"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F70EDE3" w14:textId="77777777" w:rsidR="009A5559" w:rsidRPr="00F45120" w:rsidRDefault="009A5559" w:rsidP="009A5559">
            <w:pPr>
              <w:pStyle w:val="TableText"/>
            </w:pPr>
            <w:r>
              <w:t>2</w:t>
            </w:r>
          </w:p>
        </w:tc>
      </w:tr>
      <w:tr w:rsidR="009A5559" w:rsidRPr="00C8094D" w14:paraId="1ECD5C80"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625735C4" w14:textId="32CDB7EB" w:rsidR="009A5559" w:rsidRPr="00C8094D" w:rsidRDefault="009A5559" w:rsidP="009A5559">
            <w:pPr>
              <w:pStyle w:val="TableText"/>
            </w:pPr>
            <w:r>
              <w:t>(8)</w:t>
            </w:r>
          </w:p>
        </w:tc>
        <w:tc>
          <w:tcPr>
            <w:tcW w:w="3080" w:type="pct"/>
            <w:tcBorders>
              <w:top w:val="single" w:sz="4" w:space="0" w:color="auto"/>
              <w:bottom w:val="single" w:sz="4" w:space="0" w:color="auto"/>
              <w:right w:val="single" w:sz="4" w:space="0" w:color="auto"/>
            </w:tcBorders>
          </w:tcPr>
          <w:p w14:paraId="46B678FE" w14:textId="75FB2070" w:rsidR="009A5559" w:rsidRPr="00C8094D" w:rsidRDefault="009A5559" w:rsidP="009A5559">
            <w:pPr>
              <w:pStyle w:val="TableText"/>
            </w:pPr>
            <w:r>
              <w:t xml:space="preserve">Electrify </w:t>
            </w:r>
            <w:r w:rsidR="008973A9">
              <w:t>w</w:t>
            </w:r>
            <w:r>
              <w:t xml:space="preserve">hole </w:t>
            </w:r>
            <w:r w:rsidR="008973A9">
              <w:t>s</w:t>
            </w:r>
            <w:r>
              <w:t xml:space="preserve">ystem </w:t>
            </w:r>
            <w:r w:rsidR="008973A9">
              <w:t>r</w:t>
            </w:r>
            <w:r>
              <w:t>etrofits</w:t>
            </w:r>
          </w:p>
        </w:tc>
        <w:tc>
          <w:tcPr>
            <w:tcW w:w="396" w:type="pct"/>
            <w:tcBorders>
              <w:top w:val="nil"/>
              <w:left w:val="single" w:sz="4" w:space="0" w:color="auto"/>
              <w:bottom w:val="single" w:sz="4" w:space="0" w:color="auto"/>
              <w:right w:val="single" w:sz="4" w:space="0" w:color="auto"/>
            </w:tcBorders>
            <w:shd w:val="clear" w:color="auto" w:fill="auto"/>
            <w:vAlign w:val="center"/>
          </w:tcPr>
          <w:p w14:paraId="614C8B7A" w14:textId="77777777"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508FB40A" w14:textId="77777777" w:rsidR="009A5559" w:rsidRPr="00F45120" w:rsidRDefault="009A5559" w:rsidP="009A5559">
            <w:pPr>
              <w:pStyle w:val="TableText"/>
            </w:pPr>
            <w: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3FAD2FA" w14:textId="77777777" w:rsidR="009A5559" w:rsidRPr="00F45120" w:rsidRDefault="009A5559" w:rsidP="009A5559">
            <w:pPr>
              <w:pStyle w:val="TableText"/>
            </w:pPr>
            <w: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87C9783" w14:textId="77777777" w:rsidR="009A5559" w:rsidRPr="00F45120" w:rsidRDefault="009A5559" w:rsidP="009A5559">
            <w:pPr>
              <w:pStyle w:val="TableText"/>
            </w:pPr>
            <w:r>
              <w:t>3</w:t>
            </w:r>
          </w:p>
        </w:tc>
      </w:tr>
      <w:tr w:rsidR="009A5559" w:rsidRPr="00C8094D" w14:paraId="5369ED33"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47626128" w14:textId="6935565C" w:rsidR="009A5559" w:rsidRPr="00C8094D" w:rsidRDefault="009A5559" w:rsidP="009A5559">
            <w:pPr>
              <w:pStyle w:val="TableText"/>
            </w:pPr>
            <w:r>
              <w:t>(9)</w:t>
            </w:r>
          </w:p>
        </w:tc>
        <w:tc>
          <w:tcPr>
            <w:tcW w:w="3080" w:type="pct"/>
            <w:tcBorders>
              <w:top w:val="single" w:sz="4" w:space="0" w:color="auto"/>
              <w:bottom w:val="single" w:sz="4" w:space="0" w:color="auto"/>
              <w:right w:val="single" w:sz="4" w:space="0" w:color="auto"/>
            </w:tcBorders>
          </w:tcPr>
          <w:p w14:paraId="24362063" w14:textId="3A0338D1" w:rsidR="009A5559" w:rsidRDefault="009A5559" w:rsidP="009A5559">
            <w:pPr>
              <w:pStyle w:val="TableText"/>
            </w:pPr>
            <w:r>
              <w:t xml:space="preserve">Electrify </w:t>
            </w:r>
            <w:r w:rsidR="008973A9">
              <w:t>c</w:t>
            </w:r>
            <w:r>
              <w:t xml:space="preserve">afeteria </w:t>
            </w:r>
            <w:r w:rsidR="008973A9">
              <w:t>k</w:t>
            </w:r>
            <w:r>
              <w:t>itchens</w:t>
            </w:r>
          </w:p>
        </w:tc>
        <w:tc>
          <w:tcPr>
            <w:tcW w:w="396" w:type="pct"/>
            <w:tcBorders>
              <w:top w:val="nil"/>
              <w:left w:val="single" w:sz="4" w:space="0" w:color="auto"/>
              <w:bottom w:val="single" w:sz="4" w:space="0" w:color="auto"/>
              <w:right w:val="single" w:sz="4" w:space="0" w:color="auto"/>
            </w:tcBorders>
            <w:shd w:val="clear" w:color="auto" w:fill="auto"/>
            <w:vAlign w:val="center"/>
          </w:tcPr>
          <w:p w14:paraId="4B853C2C" w14:textId="77777777" w:rsidR="009A5559" w:rsidRPr="009521BD" w:rsidRDefault="009A5559" w:rsidP="009A5559">
            <w:pPr>
              <w:pStyle w:val="TableText"/>
            </w:pPr>
            <w:r w:rsidRPr="009521BD">
              <w:t>$$</w:t>
            </w:r>
          </w:p>
        </w:tc>
        <w:tc>
          <w:tcPr>
            <w:tcW w:w="397" w:type="pct"/>
            <w:tcBorders>
              <w:top w:val="single" w:sz="4" w:space="0" w:color="auto"/>
              <w:left w:val="single" w:sz="4" w:space="0" w:color="auto"/>
              <w:bottom w:val="single" w:sz="4" w:space="0" w:color="auto"/>
              <w:right w:val="single" w:sz="4" w:space="0" w:color="auto"/>
            </w:tcBorders>
            <w:vAlign w:val="center"/>
          </w:tcPr>
          <w:p w14:paraId="51624564" w14:textId="77777777" w:rsidR="009A5559" w:rsidRPr="00F45120" w:rsidRDefault="009A5559" w:rsidP="009A5559">
            <w:pPr>
              <w:pStyle w:val="TableText"/>
            </w:pPr>
            <w: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20CEC43" w14:textId="77777777" w:rsidR="009A5559" w:rsidRPr="00F45120"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04D0A581" w14:textId="77777777" w:rsidR="009A5559" w:rsidRPr="00F45120" w:rsidRDefault="009A5559" w:rsidP="009A5559">
            <w:pPr>
              <w:pStyle w:val="TableText"/>
            </w:pPr>
            <w:r>
              <w:t>2</w:t>
            </w:r>
          </w:p>
        </w:tc>
      </w:tr>
      <w:tr w:rsidR="009A5559" w:rsidRPr="00C8094D" w14:paraId="6DB02569" w14:textId="77777777" w:rsidTr="009C0CB7">
        <w:trPr>
          <w:cantSplit/>
          <w:trHeight w:val="255"/>
          <w:tblHeader/>
          <w:jc w:val="center"/>
        </w:trPr>
        <w:tc>
          <w:tcPr>
            <w:tcW w:w="3414"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1B8790E5" w14:textId="5FE59003" w:rsidR="009A5559" w:rsidRPr="00986A1B" w:rsidRDefault="009A5559" w:rsidP="009A5559">
            <w:pPr>
              <w:pStyle w:val="TableRowHeader"/>
            </w:pPr>
            <w:r>
              <w:t>Operat</w:t>
            </w:r>
            <w:r w:rsidR="00827E57">
              <w:t>e</w:t>
            </w:r>
            <w:r w:rsidR="00933D0A">
              <w:t xml:space="preserve"> and Maint</w:t>
            </w:r>
            <w:r w:rsidR="00827E57">
              <w:t>ain Schools</w:t>
            </w:r>
          </w:p>
        </w:tc>
        <w:tc>
          <w:tcPr>
            <w:tcW w:w="39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ACE5724" w14:textId="77777777" w:rsidR="009A5559" w:rsidRPr="009521BD" w:rsidRDefault="009A5559" w:rsidP="009A5559">
            <w:pPr>
              <w:jc w:val="center"/>
              <w:rPr>
                <w:rFonts w:ascii="Calibri" w:hAnsi="Calibri" w:cs="Calibri"/>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8F1DFEA" w14:textId="77777777" w:rsidR="009A5559" w:rsidRPr="00F45120" w:rsidRDefault="009A5559" w:rsidP="009A5559">
            <w:pPr>
              <w:jc w:val="center"/>
              <w:rPr>
                <w:rFonts w:ascii="Calibri" w:hAnsi="Calibri" w:cs="Calibri"/>
                <w:color w:val="000000"/>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227D3B3" w14:textId="77777777" w:rsidR="009A5559" w:rsidRPr="00F45120" w:rsidRDefault="009A5559" w:rsidP="009A5559">
            <w:pPr>
              <w:jc w:val="center"/>
              <w:rPr>
                <w:rFonts w:ascii="Calibri" w:hAnsi="Calibri" w:cs="Calibri"/>
                <w:color w:val="000000"/>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CF13CA4" w14:textId="77777777" w:rsidR="009A5559" w:rsidRPr="00F45120" w:rsidRDefault="009A5559" w:rsidP="009A5559">
            <w:pPr>
              <w:jc w:val="center"/>
              <w:rPr>
                <w:rFonts w:ascii="Calibri" w:hAnsi="Calibri" w:cs="Calibri"/>
                <w:color w:val="000000"/>
                <w:sz w:val="20"/>
                <w:szCs w:val="20"/>
              </w:rPr>
            </w:pPr>
          </w:p>
        </w:tc>
      </w:tr>
      <w:tr w:rsidR="009A5559" w:rsidRPr="00C8094D" w14:paraId="19427107"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19981213" w14:textId="77777777" w:rsidR="009A5559" w:rsidRDefault="009A5559" w:rsidP="009A5559">
            <w:pPr>
              <w:pStyle w:val="TableText"/>
            </w:pPr>
            <w:r>
              <w:t>(10)</w:t>
            </w:r>
          </w:p>
        </w:tc>
        <w:tc>
          <w:tcPr>
            <w:tcW w:w="3080" w:type="pct"/>
            <w:tcBorders>
              <w:top w:val="single" w:sz="4" w:space="0" w:color="auto"/>
              <w:bottom w:val="single" w:sz="4" w:space="0" w:color="auto"/>
              <w:right w:val="single" w:sz="4" w:space="0" w:color="auto"/>
            </w:tcBorders>
          </w:tcPr>
          <w:p w14:paraId="79FA3026" w14:textId="581CBF21" w:rsidR="009A5559" w:rsidRPr="006C255E" w:rsidRDefault="009A5559" w:rsidP="009A5559">
            <w:pPr>
              <w:pStyle w:val="TableText"/>
            </w:pPr>
            <w:r>
              <w:t xml:space="preserve">Operate </w:t>
            </w:r>
            <w:r w:rsidR="008973A9">
              <w:t>and</w:t>
            </w:r>
            <w:r>
              <w:t xml:space="preserve"> </w:t>
            </w:r>
            <w:r w:rsidR="008973A9">
              <w:t>m</w:t>
            </w:r>
            <w:r>
              <w:t xml:space="preserve">aintain NZE </w:t>
            </w:r>
            <w:r w:rsidR="008973A9">
              <w:t>s</w:t>
            </w:r>
            <w:r>
              <w:t>chools</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E162C6D" w14:textId="77777777" w:rsidR="009A5559" w:rsidRPr="009521BD" w:rsidRDefault="009A5559" w:rsidP="009A5559">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03B30693" w14:textId="77777777" w:rsidR="009A5559" w:rsidRPr="00F45120" w:rsidRDefault="009A5559"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60FF8FE" w14:textId="77777777" w:rsidR="009A5559" w:rsidRPr="00F45120"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DCFD59B" w14:textId="77777777" w:rsidR="009A5559" w:rsidRPr="00F45120" w:rsidRDefault="009A5559" w:rsidP="009A5559">
            <w:pPr>
              <w:pStyle w:val="TableText"/>
            </w:pPr>
            <w:r>
              <w:t>1</w:t>
            </w:r>
          </w:p>
        </w:tc>
      </w:tr>
      <w:tr w:rsidR="009A5559" w:rsidRPr="00C8094D" w14:paraId="772C5CC0"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24F6EB97" w14:textId="77777777" w:rsidR="009A5559" w:rsidRDefault="009A5559" w:rsidP="009A5559">
            <w:pPr>
              <w:pStyle w:val="TableText"/>
            </w:pPr>
            <w:r>
              <w:t>(11)</w:t>
            </w:r>
          </w:p>
        </w:tc>
        <w:tc>
          <w:tcPr>
            <w:tcW w:w="3080" w:type="pct"/>
            <w:tcBorders>
              <w:top w:val="single" w:sz="4" w:space="0" w:color="auto"/>
              <w:bottom w:val="single" w:sz="4" w:space="0" w:color="auto"/>
              <w:right w:val="single" w:sz="4" w:space="0" w:color="auto"/>
            </w:tcBorders>
          </w:tcPr>
          <w:p w14:paraId="2FB8D5BA" w14:textId="2E23BF0F" w:rsidR="009A5559" w:rsidRDefault="005A1028" w:rsidP="009A5559">
            <w:pPr>
              <w:pStyle w:val="TableText"/>
            </w:pPr>
            <w:r w:rsidRPr="005A1028">
              <w:t>Utilize building automation systems to optimize building performance and energy efficiency</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0EBFA30" w14:textId="77777777" w:rsidR="009A5559" w:rsidRPr="009521BD" w:rsidRDefault="009A5559" w:rsidP="009A5559">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57E9F76D" w14:textId="77777777" w:rsidR="009A5559" w:rsidRPr="00F45120" w:rsidRDefault="009A5559"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5C5F154" w14:textId="77777777" w:rsidR="009A5559" w:rsidRPr="00F45120" w:rsidRDefault="009A5559" w:rsidP="009A5559">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5C81076" w14:textId="77777777" w:rsidR="009A5559" w:rsidRPr="00F45120" w:rsidRDefault="009A5559" w:rsidP="009A5559">
            <w:pPr>
              <w:pStyle w:val="TableText"/>
            </w:pPr>
            <w:r>
              <w:t>1</w:t>
            </w:r>
          </w:p>
        </w:tc>
      </w:tr>
      <w:tr w:rsidR="009A5559" w:rsidRPr="00C8094D" w14:paraId="0362A079"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7BEF2270" w14:textId="77777777" w:rsidR="009A5559" w:rsidRDefault="009A5559" w:rsidP="009A5559">
            <w:pPr>
              <w:pStyle w:val="TableText"/>
            </w:pPr>
            <w:r>
              <w:t>(12)</w:t>
            </w:r>
          </w:p>
        </w:tc>
        <w:tc>
          <w:tcPr>
            <w:tcW w:w="3080" w:type="pct"/>
            <w:tcBorders>
              <w:top w:val="single" w:sz="4" w:space="0" w:color="auto"/>
              <w:bottom w:val="single" w:sz="4" w:space="0" w:color="auto"/>
              <w:right w:val="single" w:sz="4" w:space="0" w:color="auto"/>
            </w:tcBorders>
          </w:tcPr>
          <w:p w14:paraId="20092A16" w14:textId="33AA35AC" w:rsidR="009A5559" w:rsidRPr="006C255E" w:rsidRDefault="009029E3" w:rsidP="009A5559">
            <w:pPr>
              <w:pStyle w:val="TableText"/>
            </w:pPr>
            <w:r>
              <w:t>Establish and t</w:t>
            </w:r>
            <w:r w:rsidR="009A5559">
              <w:t xml:space="preserve">rain an NZE </w:t>
            </w:r>
            <w:r>
              <w:t>w</w:t>
            </w:r>
            <w:r w:rsidR="009A5559">
              <w:t>orkforce</w:t>
            </w:r>
          </w:p>
        </w:tc>
        <w:tc>
          <w:tcPr>
            <w:tcW w:w="396" w:type="pct"/>
            <w:tcBorders>
              <w:top w:val="nil"/>
              <w:left w:val="single" w:sz="4" w:space="0" w:color="auto"/>
              <w:bottom w:val="single" w:sz="4" w:space="0" w:color="auto"/>
              <w:right w:val="single" w:sz="4" w:space="0" w:color="auto"/>
            </w:tcBorders>
            <w:shd w:val="clear" w:color="auto" w:fill="auto"/>
            <w:vAlign w:val="center"/>
          </w:tcPr>
          <w:p w14:paraId="1AA04A2A" w14:textId="77777777" w:rsidR="009A5559" w:rsidRPr="009521BD" w:rsidRDefault="009A5559" w:rsidP="009A5559">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1249DB44" w14:textId="77777777" w:rsidR="009A5559" w:rsidRPr="00F45120" w:rsidRDefault="009A5559"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66D8769" w14:textId="77777777" w:rsidR="009A5559" w:rsidRPr="00F45120" w:rsidRDefault="009A5559" w:rsidP="009A5559">
            <w:pPr>
              <w:pStyle w:val="TableText"/>
            </w:pPr>
            <w: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2F09A78" w14:textId="77777777" w:rsidR="009A5559" w:rsidRPr="00F45120" w:rsidRDefault="009A5559" w:rsidP="009A5559">
            <w:pPr>
              <w:pStyle w:val="TableText"/>
            </w:pPr>
            <w:r>
              <w:t>1</w:t>
            </w:r>
          </w:p>
        </w:tc>
      </w:tr>
      <w:tr w:rsidR="009A5559" w:rsidRPr="00C8094D" w14:paraId="5453B1F8" w14:textId="77777777" w:rsidTr="009C0CB7">
        <w:trPr>
          <w:cantSplit/>
          <w:trHeight w:val="255"/>
          <w:tblHeader/>
          <w:jc w:val="center"/>
        </w:trPr>
        <w:tc>
          <w:tcPr>
            <w:tcW w:w="3414"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79B3023E" w14:textId="42760C31" w:rsidR="009A5559" w:rsidRDefault="00827E57" w:rsidP="009A5559">
            <w:pPr>
              <w:pStyle w:val="TableRowHeader"/>
              <w:rPr>
                <w:color w:val="000000"/>
              </w:rPr>
            </w:pPr>
            <w:r>
              <w:t xml:space="preserve">Procure </w:t>
            </w:r>
            <w:r w:rsidR="009A5559">
              <w:t>Decarbonized Electricity</w:t>
            </w:r>
          </w:p>
        </w:tc>
        <w:tc>
          <w:tcPr>
            <w:tcW w:w="396" w:type="pct"/>
            <w:tcBorders>
              <w:top w:val="nil"/>
              <w:left w:val="single" w:sz="4" w:space="0" w:color="auto"/>
              <w:bottom w:val="single" w:sz="4" w:space="0" w:color="auto"/>
              <w:right w:val="single" w:sz="4" w:space="0" w:color="auto"/>
            </w:tcBorders>
            <w:shd w:val="clear" w:color="auto" w:fill="1F497D" w:themeFill="text2"/>
            <w:vAlign w:val="center"/>
          </w:tcPr>
          <w:p w14:paraId="6369FEE1" w14:textId="77777777" w:rsidR="009A5559" w:rsidRPr="009521BD" w:rsidRDefault="009A5559" w:rsidP="009A5559">
            <w:pPr>
              <w:jc w:val="center"/>
              <w:rPr>
                <w:rFonts w:ascii="Calibri" w:hAnsi="Calibri" w:cs="Calibri"/>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463EF67" w14:textId="77777777" w:rsidR="009A5559" w:rsidRPr="00F45120" w:rsidRDefault="009A5559" w:rsidP="009A5559">
            <w:pPr>
              <w:jc w:val="center"/>
              <w:rPr>
                <w:rFonts w:ascii="Calibri" w:hAnsi="Calibri" w:cs="Calibri"/>
                <w:color w:val="000000"/>
                <w:sz w:val="20"/>
                <w:szCs w:val="20"/>
              </w:rPr>
            </w:pPr>
          </w:p>
        </w:tc>
        <w:tc>
          <w:tcPr>
            <w:tcW w:w="39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8E43150" w14:textId="77777777" w:rsidR="009A5559" w:rsidRPr="00F45120" w:rsidRDefault="009A5559" w:rsidP="009A5559">
            <w:pPr>
              <w:jc w:val="center"/>
              <w:rPr>
                <w:rFonts w:ascii="Calibri" w:hAnsi="Calibri" w:cs="Calibri"/>
                <w:color w:val="000000"/>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5449D4F" w14:textId="77777777" w:rsidR="009A5559" w:rsidRPr="00F45120" w:rsidRDefault="009A5559" w:rsidP="009A5559">
            <w:pPr>
              <w:jc w:val="center"/>
              <w:rPr>
                <w:rFonts w:ascii="Calibri" w:hAnsi="Calibri" w:cs="Calibri"/>
                <w:color w:val="000000"/>
                <w:sz w:val="20"/>
                <w:szCs w:val="20"/>
              </w:rPr>
            </w:pPr>
          </w:p>
        </w:tc>
      </w:tr>
      <w:tr w:rsidR="009A5559" w:rsidRPr="00C8094D" w14:paraId="4E765C75"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29DF61DE" w14:textId="77777777" w:rsidR="009A5559" w:rsidRDefault="009A5559" w:rsidP="009A5559">
            <w:pPr>
              <w:pStyle w:val="TableText"/>
            </w:pPr>
            <w:r>
              <w:t>(13)</w:t>
            </w:r>
          </w:p>
        </w:tc>
        <w:tc>
          <w:tcPr>
            <w:tcW w:w="3080" w:type="pct"/>
            <w:tcBorders>
              <w:top w:val="single" w:sz="4" w:space="0" w:color="auto"/>
              <w:bottom w:val="single" w:sz="4" w:space="0" w:color="auto"/>
              <w:right w:val="single" w:sz="4" w:space="0" w:color="auto"/>
            </w:tcBorders>
          </w:tcPr>
          <w:p w14:paraId="79BA5544" w14:textId="42C38A97" w:rsidR="009A5559" w:rsidRPr="006C255E" w:rsidRDefault="00933D0A" w:rsidP="009A5559">
            <w:pPr>
              <w:pStyle w:val="TableText"/>
            </w:pPr>
            <w:r w:rsidRPr="00933D0A">
              <w:t>Install and use onsite renewable energy systems</w:t>
            </w:r>
          </w:p>
        </w:tc>
        <w:tc>
          <w:tcPr>
            <w:tcW w:w="396" w:type="pct"/>
            <w:tcBorders>
              <w:top w:val="nil"/>
              <w:left w:val="single" w:sz="4" w:space="0" w:color="auto"/>
              <w:bottom w:val="single" w:sz="4" w:space="0" w:color="auto"/>
              <w:right w:val="single" w:sz="4" w:space="0" w:color="auto"/>
            </w:tcBorders>
            <w:shd w:val="clear" w:color="auto" w:fill="auto"/>
            <w:vAlign w:val="center"/>
          </w:tcPr>
          <w:p w14:paraId="7C6606D0" w14:textId="42834A9B" w:rsidR="009A5559" w:rsidRPr="009521BD" w:rsidRDefault="009A5559" w:rsidP="009A5559">
            <w:pPr>
              <w:pStyle w:val="TableText"/>
            </w:pPr>
            <w:r w:rsidRPr="009521BD">
              <w:t>0</w:t>
            </w:r>
            <w:r w:rsidR="00F87C8E">
              <w:t>-$$$</w:t>
            </w:r>
            <w:r w:rsidR="00EF77DB" w:rsidRPr="00627B5B">
              <w:rPr>
                <w:rStyle w:val="FootnoteReference"/>
              </w:rPr>
              <w:footnoteReference w:id="3"/>
            </w:r>
          </w:p>
        </w:tc>
        <w:tc>
          <w:tcPr>
            <w:tcW w:w="397" w:type="pct"/>
            <w:tcBorders>
              <w:top w:val="single" w:sz="4" w:space="0" w:color="auto"/>
              <w:left w:val="single" w:sz="4" w:space="0" w:color="auto"/>
              <w:bottom w:val="single" w:sz="4" w:space="0" w:color="auto"/>
              <w:right w:val="single" w:sz="4" w:space="0" w:color="auto"/>
            </w:tcBorders>
            <w:vAlign w:val="center"/>
          </w:tcPr>
          <w:p w14:paraId="7120562A" w14:textId="00DAE0C9" w:rsidR="009A5559" w:rsidRPr="00F45120" w:rsidRDefault="00815338" w:rsidP="009A5559">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0968C29" w14:textId="7DB3270D" w:rsidR="009A5559" w:rsidRPr="00F45120" w:rsidRDefault="00B50FC5" w:rsidP="009A5559">
            <w:pPr>
              <w:pStyle w:val="TableText"/>
            </w:pPr>
            <w: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A8BC0F6" w14:textId="15A9F2BA" w:rsidR="009A5559" w:rsidRPr="00F45120" w:rsidRDefault="00815338" w:rsidP="009A5559">
            <w:pPr>
              <w:pStyle w:val="TableText"/>
            </w:pPr>
            <w:r>
              <w:t>2</w:t>
            </w:r>
          </w:p>
        </w:tc>
      </w:tr>
      <w:tr w:rsidR="00933D0A" w:rsidRPr="00C8094D" w14:paraId="66012AEE" w14:textId="77777777" w:rsidTr="009C0CB7">
        <w:trPr>
          <w:cantSplit/>
          <w:trHeight w:val="255"/>
          <w:tblHeader/>
          <w:jc w:val="center"/>
        </w:trPr>
        <w:tc>
          <w:tcPr>
            <w:tcW w:w="334" w:type="pct"/>
            <w:tcBorders>
              <w:top w:val="single" w:sz="4" w:space="0" w:color="auto"/>
              <w:left w:val="single" w:sz="4" w:space="0" w:color="auto"/>
              <w:bottom w:val="single" w:sz="4" w:space="0" w:color="auto"/>
            </w:tcBorders>
            <w:shd w:val="clear" w:color="auto" w:fill="auto"/>
          </w:tcPr>
          <w:p w14:paraId="179484C2" w14:textId="7D5C28B9" w:rsidR="00933D0A" w:rsidRDefault="00933D0A" w:rsidP="00933D0A">
            <w:pPr>
              <w:pStyle w:val="TableText"/>
            </w:pPr>
            <w:r>
              <w:t>(1</w:t>
            </w:r>
            <w:r w:rsidR="002839F3">
              <w:t>4</w:t>
            </w:r>
            <w:r>
              <w:t>)</w:t>
            </w:r>
          </w:p>
        </w:tc>
        <w:tc>
          <w:tcPr>
            <w:tcW w:w="3080" w:type="pct"/>
            <w:tcBorders>
              <w:top w:val="single" w:sz="4" w:space="0" w:color="auto"/>
              <w:bottom w:val="single" w:sz="4" w:space="0" w:color="auto"/>
              <w:right w:val="single" w:sz="4" w:space="0" w:color="auto"/>
            </w:tcBorders>
          </w:tcPr>
          <w:p w14:paraId="37B5D527" w14:textId="14450E35" w:rsidR="00933D0A" w:rsidRDefault="00CA2499" w:rsidP="00933D0A">
            <w:pPr>
              <w:pStyle w:val="TableText"/>
            </w:pPr>
            <w:r w:rsidRPr="00CA2499">
              <w:t>Procure bundled renewable electricity from the grid</w:t>
            </w:r>
          </w:p>
        </w:tc>
        <w:tc>
          <w:tcPr>
            <w:tcW w:w="396" w:type="pct"/>
            <w:tcBorders>
              <w:top w:val="nil"/>
              <w:left w:val="single" w:sz="4" w:space="0" w:color="auto"/>
              <w:bottom w:val="single" w:sz="4" w:space="0" w:color="auto"/>
              <w:right w:val="single" w:sz="4" w:space="0" w:color="auto"/>
            </w:tcBorders>
            <w:shd w:val="clear" w:color="auto" w:fill="auto"/>
            <w:vAlign w:val="center"/>
          </w:tcPr>
          <w:p w14:paraId="55BF085E" w14:textId="606B51B2" w:rsidR="00933D0A" w:rsidRPr="009521BD" w:rsidRDefault="00933D0A" w:rsidP="00933D0A">
            <w:pPr>
              <w:pStyle w:val="TableText"/>
            </w:pPr>
            <w:r w:rsidRPr="009521BD">
              <w:t>0</w:t>
            </w:r>
          </w:p>
        </w:tc>
        <w:tc>
          <w:tcPr>
            <w:tcW w:w="397" w:type="pct"/>
            <w:tcBorders>
              <w:top w:val="single" w:sz="4" w:space="0" w:color="auto"/>
              <w:left w:val="single" w:sz="4" w:space="0" w:color="auto"/>
              <w:bottom w:val="single" w:sz="4" w:space="0" w:color="auto"/>
              <w:right w:val="single" w:sz="4" w:space="0" w:color="auto"/>
            </w:tcBorders>
            <w:vAlign w:val="center"/>
          </w:tcPr>
          <w:p w14:paraId="1CB0D7C4" w14:textId="56695BCD" w:rsidR="00933D0A" w:rsidRDefault="00933D0A" w:rsidP="00933D0A">
            <w:pPr>
              <w:pStyle w:val="TableText"/>
            </w:pPr>
            <w:r>
              <w:t>$$</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75236F8" w14:textId="22F39B18" w:rsidR="00933D0A" w:rsidRDefault="00933D0A" w:rsidP="00933D0A">
            <w:pPr>
              <w:pStyle w:val="TableText"/>
            </w:pPr>
            <w: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813ADD9" w14:textId="7691B677" w:rsidR="00933D0A" w:rsidRDefault="00933D0A" w:rsidP="00933D0A">
            <w:pPr>
              <w:pStyle w:val="TableText"/>
            </w:pPr>
            <w:r>
              <w:t>1</w:t>
            </w:r>
          </w:p>
        </w:tc>
      </w:tr>
      <w:tr w:rsidR="00933D0A" w:rsidRPr="00C8094D" w14:paraId="097A4F1B" w14:textId="77777777">
        <w:trPr>
          <w:cantSplit/>
          <w:trHeight w:val="170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DC5D799" w14:textId="77777777" w:rsidR="00933D0A" w:rsidRPr="00E02BC0" w:rsidRDefault="00933D0A" w:rsidP="00933D0A">
            <w:pPr>
              <w:rPr>
                <w:rFonts w:ascii="Arial" w:hAnsi="Arial" w:cs="Arial"/>
                <w:b/>
                <w:bCs/>
                <w:sz w:val="20"/>
                <w:szCs w:val="20"/>
                <w:u w:val="single"/>
              </w:rPr>
            </w:pPr>
            <w:r w:rsidRPr="00E02BC0">
              <w:rPr>
                <w:rFonts w:ascii="Arial" w:hAnsi="Arial" w:cs="Arial"/>
                <w:b/>
                <w:bCs/>
                <w:sz w:val="20"/>
                <w:szCs w:val="20"/>
                <w:u w:val="single"/>
              </w:rPr>
              <w:t>Key:</w:t>
            </w:r>
          </w:p>
          <w:p w14:paraId="19ECD7B5" w14:textId="6D2DF179" w:rsidR="00933D0A" w:rsidRPr="00E02BC0" w:rsidRDefault="00933D0A" w:rsidP="00933D0A">
            <w:pPr>
              <w:rPr>
                <w:rFonts w:ascii="Arial" w:hAnsi="Arial" w:cs="Arial"/>
                <w:b/>
                <w:bCs/>
                <w:sz w:val="20"/>
                <w:szCs w:val="20"/>
              </w:rPr>
            </w:pPr>
            <w:r w:rsidRPr="00E02BC0">
              <w:rPr>
                <w:rFonts w:ascii="Arial" w:hAnsi="Arial" w:cs="Arial"/>
                <w:b/>
                <w:bCs/>
                <w:sz w:val="20"/>
                <w:szCs w:val="20"/>
              </w:rPr>
              <w:t>Capital Cost</w:t>
            </w:r>
            <w:r w:rsidR="000E3CD7">
              <w:rPr>
                <w:rStyle w:val="FootnoteReference"/>
                <w:rFonts w:ascii="Arial" w:hAnsi="Arial" w:cs="Arial"/>
                <w:b/>
                <w:bCs/>
                <w:sz w:val="20"/>
                <w:szCs w:val="20"/>
              </w:rPr>
              <w:footnoteReference w:id="4"/>
            </w:r>
            <w:r w:rsidRPr="00E02BC0">
              <w:rPr>
                <w:rFonts w:ascii="Arial" w:hAnsi="Arial" w:cs="Arial"/>
                <w:b/>
                <w:bCs/>
                <w:sz w:val="20"/>
                <w:szCs w:val="20"/>
              </w:rPr>
              <w:t>:</w:t>
            </w:r>
            <w:r w:rsidRPr="00E02BC0">
              <w:rPr>
                <w:rFonts w:ascii="Arial" w:hAnsi="Arial" w:cs="Arial"/>
                <w:sz w:val="20"/>
                <w:szCs w:val="20"/>
              </w:rPr>
              <w:t xml:space="preserve"> 0 = no cost; $ = low cost (&lt;$300k), $$ = medium cost ($300k-5</w:t>
            </w:r>
            <w:r w:rsidR="00665AE4">
              <w:rPr>
                <w:rFonts w:ascii="Arial" w:hAnsi="Arial" w:cs="Arial"/>
                <w:sz w:val="20"/>
                <w:szCs w:val="20"/>
              </w:rPr>
              <w:t>M</w:t>
            </w:r>
            <w:r w:rsidRPr="00E02BC0">
              <w:rPr>
                <w:rFonts w:ascii="Arial" w:hAnsi="Arial" w:cs="Arial"/>
                <w:sz w:val="20"/>
                <w:szCs w:val="20"/>
              </w:rPr>
              <w:t>), $$$ = high cost (&gt;$5M)</w:t>
            </w:r>
          </w:p>
          <w:p w14:paraId="2E1C0D67" w14:textId="77777777" w:rsidR="00933D0A" w:rsidRPr="00E02BC0" w:rsidRDefault="00933D0A" w:rsidP="00933D0A">
            <w:pPr>
              <w:rPr>
                <w:rFonts w:ascii="Arial" w:hAnsi="Arial" w:cs="Arial"/>
                <w:sz w:val="20"/>
                <w:szCs w:val="20"/>
              </w:rPr>
            </w:pPr>
            <w:r w:rsidRPr="00E02BC0">
              <w:rPr>
                <w:rFonts w:ascii="Arial" w:hAnsi="Arial" w:cs="Arial"/>
                <w:b/>
                <w:bCs/>
                <w:sz w:val="20"/>
                <w:szCs w:val="20"/>
              </w:rPr>
              <w:t>Operating Cost:</w:t>
            </w:r>
            <w:r w:rsidRPr="00E02BC0">
              <w:rPr>
                <w:rFonts w:ascii="Arial" w:hAnsi="Arial" w:cs="Arial"/>
                <w:sz w:val="20"/>
                <w:szCs w:val="20"/>
              </w:rPr>
              <w:t xml:space="preserve"> 0 = no cost; $ = low cost (&lt;$25k), $$ = medium cost ($25-100k), $$$ = high cost (&gt;$100k)</w:t>
            </w:r>
          </w:p>
          <w:p w14:paraId="053AE94F" w14:textId="77777777" w:rsidR="00933D0A" w:rsidRPr="00E02BC0" w:rsidRDefault="00933D0A" w:rsidP="00933D0A">
            <w:pPr>
              <w:rPr>
                <w:rFonts w:ascii="Arial" w:hAnsi="Arial" w:cs="Arial"/>
                <w:sz w:val="20"/>
                <w:szCs w:val="20"/>
              </w:rPr>
            </w:pPr>
            <w:r w:rsidRPr="00E02BC0">
              <w:rPr>
                <w:rFonts w:ascii="Arial" w:hAnsi="Arial" w:cs="Arial"/>
                <w:b/>
                <w:bCs/>
                <w:sz w:val="20"/>
                <w:szCs w:val="20"/>
              </w:rPr>
              <w:t xml:space="preserve">Implementation Timeframe: </w:t>
            </w:r>
            <w:r w:rsidRPr="00E02BC0">
              <w:rPr>
                <w:rFonts w:ascii="Arial" w:hAnsi="Arial" w:cs="Arial"/>
                <w:sz w:val="20"/>
                <w:szCs w:val="20"/>
              </w:rPr>
              <w:t>1 = near-term (&lt;12 months); 2 = medium-term (1-3 years); 3 = long-term (&gt;3 years)</w:t>
            </w:r>
          </w:p>
          <w:p w14:paraId="0685A53D" w14:textId="77777777" w:rsidR="00933D0A" w:rsidRDefault="00933D0A" w:rsidP="00933D0A">
            <w:pPr>
              <w:pStyle w:val="TableText"/>
              <w:rPr>
                <w:rFonts w:cs="Arial"/>
                <w:sz w:val="20"/>
              </w:rPr>
            </w:pPr>
            <w:r w:rsidRPr="00E02BC0">
              <w:rPr>
                <w:rFonts w:cs="Arial"/>
                <w:b/>
                <w:bCs/>
                <w:sz w:val="20"/>
              </w:rPr>
              <w:t>Ease of Implementation:</w:t>
            </w:r>
            <w:r w:rsidRPr="00E02BC0">
              <w:rPr>
                <w:rFonts w:cs="Arial"/>
                <w:sz w:val="20"/>
              </w:rPr>
              <w:t xml:space="preserve"> 1= easier to implement; 3 = more difficult to implement</w:t>
            </w:r>
          </w:p>
          <w:p w14:paraId="52D08178" w14:textId="77777777" w:rsidR="00AC0737" w:rsidRDefault="00AC0737" w:rsidP="00933D0A">
            <w:pPr>
              <w:pStyle w:val="TableText"/>
              <w:rPr>
                <w:rFonts w:cs="Arial"/>
                <w:sz w:val="20"/>
              </w:rPr>
            </w:pPr>
          </w:p>
          <w:p w14:paraId="40153AB7" w14:textId="6B05A67A" w:rsidR="005F67DA" w:rsidRDefault="005F67DA" w:rsidP="00933D0A">
            <w:pPr>
              <w:pStyle w:val="TableText"/>
            </w:pPr>
            <w:r>
              <w:rPr>
                <w:rFonts w:cs="Arial"/>
                <w:sz w:val="20"/>
              </w:rPr>
              <w:t xml:space="preserve">Note: </w:t>
            </w:r>
            <w:r w:rsidR="00933B77" w:rsidRPr="009D0139">
              <w:rPr>
                <w:rFonts w:cs="Arial"/>
                <w:color w:val="00B050"/>
                <w:sz w:val="20"/>
              </w:rPr>
              <w:t>-</w:t>
            </w:r>
            <w:r w:rsidR="009D0139" w:rsidRPr="009D0139">
              <w:rPr>
                <w:rFonts w:cs="Arial"/>
                <w:color w:val="00B050"/>
                <w:sz w:val="20"/>
              </w:rPr>
              <w:t>$</w:t>
            </w:r>
            <w:r w:rsidR="009D0139">
              <w:rPr>
                <w:rFonts w:cs="Arial"/>
                <w:sz w:val="20"/>
              </w:rPr>
              <w:t xml:space="preserve"> </w:t>
            </w:r>
            <w:r w:rsidR="00C2745E" w:rsidRPr="005F67DA">
              <w:rPr>
                <w:rFonts w:cs="Arial"/>
                <w:sz w:val="20"/>
              </w:rPr>
              <w:t>(presented in green and with a negative sign)</w:t>
            </w:r>
            <w:r w:rsidR="00C2745E">
              <w:rPr>
                <w:rFonts w:cs="Arial"/>
                <w:sz w:val="20"/>
              </w:rPr>
              <w:t xml:space="preserve"> </w:t>
            </w:r>
            <w:r w:rsidR="009D0139">
              <w:rPr>
                <w:rFonts w:cs="Arial"/>
                <w:sz w:val="20"/>
              </w:rPr>
              <w:t>= Cost savings</w:t>
            </w:r>
            <w:r w:rsidRPr="005F67DA">
              <w:rPr>
                <w:rFonts w:cs="Arial"/>
                <w:sz w:val="20"/>
              </w:rPr>
              <w:t xml:space="preserve"> </w:t>
            </w:r>
            <w:r w:rsidR="00AC0737">
              <w:rPr>
                <w:rFonts w:cs="Arial"/>
                <w:sz w:val="20"/>
              </w:rPr>
              <w:t>(</w:t>
            </w:r>
            <w:r w:rsidRPr="005F67DA">
              <w:rPr>
                <w:rFonts w:cs="Arial"/>
                <w:sz w:val="20"/>
              </w:rPr>
              <w:t>a measure will likely contribute to reduced operating costs</w:t>
            </w:r>
            <w:r w:rsidR="00AC0737">
              <w:rPr>
                <w:rFonts w:cs="Arial"/>
                <w:sz w:val="20"/>
              </w:rPr>
              <w:t>)</w:t>
            </w:r>
          </w:p>
        </w:tc>
      </w:tr>
    </w:tbl>
    <w:p w14:paraId="2C3BF71C" w14:textId="77777777" w:rsidR="007F5130" w:rsidRDefault="007F5130" w:rsidP="00806B65">
      <w:pPr>
        <w:pStyle w:val="Heading3"/>
      </w:pPr>
      <w:bookmarkStart w:id="94" w:name="_Barriers_and_Challenges"/>
      <w:bookmarkEnd w:id="94"/>
    </w:p>
    <w:p w14:paraId="3EECECFD" w14:textId="77777777" w:rsidR="007F5130" w:rsidRDefault="007F5130">
      <w:pPr>
        <w:rPr>
          <w:rFonts w:ascii="Arial" w:hAnsi="Arial" w:cs="Arial"/>
          <w:b/>
          <w:bCs/>
          <w:color w:val="4F6228" w:themeColor="accent3" w:themeShade="80"/>
          <w:sz w:val="26"/>
          <w:szCs w:val="22"/>
        </w:rPr>
      </w:pPr>
      <w:r>
        <w:br w:type="page"/>
      </w:r>
    </w:p>
    <w:p w14:paraId="3B6782AD" w14:textId="1383B615" w:rsidR="00806B65" w:rsidRDefault="00806B65" w:rsidP="00806B65">
      <w:pPr>
        <w:pStyle w:val="Heading3"/>
      </w:pPr>
      <w:r w:rsidRPr="00B40F18">
        <w:lastRenderedPageBreak/>
        <w:t xml:space="preserve">Barriers and Challenges </w:t>
      </w:r>
    </w:p>
    <w:p w14:paraId="0D0D0902" w14:textId="328FC12D" w:rsidR="00806B65" w:rsidRDefault="00806B65" w:rsidP="006D7DE6">
      <w:pPr>
        <w:pStyle w:val="BodyTextFirstIndent"/>
      </w:pPr>
      <w:r w:rsidRPr="00584435">
        <w:t>Barriers to decarbonizing buildings are listed below</w:t>
      </w:r>
      <w:r w:rsidR="00584435" w:rsidRPr="00584435">
        <w:t>:</w:t>
      </w:r>
    </w:p>
    <w:p w14:paraId="481F4341" w14:textId="4FA4F3FC" w:rsidR="00806B65" w:rsidRPr="00777EC1" w:rsidRDefault="4A17A644" w:rsidP="008131EB">
      <w:pPr>
        <w:pStyle w:val="ListBullet"/>
      </w:pPr>
      <w:r w:rsidRPr="00777EC1">
        <w:t xml:space="preserve">Significant investments are required to make improvements to school infrastructure and augment </w:t>
      </w:r>
      <w:r w:rsidR="1A877DAB" w:rsidRPr="00777EC1">
        <w:t xml:space="preserve">operation and maintenance </w:t>
      </w:r>
      <w:r w:rsidRPr="00777EC1">
        <w:t xml:space="preserve">staffing. </w:t>
      </w:r>
      <w:r w:rsidR="00DF538E">
        <w:t>Future resource needs are compounded by current and historical inequities</w:t>
      </w:r>
      <w:r w:rsidR="00804D9C">
        <w:t xml:space="preserve"> in school and community resources</w:t>
      </w:r>
      <w:r w:rsidR="0084154C">
        <w:t>.</w:t>
      </w:r>
      <w:r w:rsidR="00236D7D">
        <w:t xml:space="preserve"> Varying </w:t>
      </w:r>
      <w:r w:rsidR="004416C8">
        <w:t xml:space="preserve">access to the </w:t>
      </w:r>
      <w:r w:rsidR="00963C0F">
        <w:t xml:space="preserve">financial and human </w:t>
      </w:r>
      <w:r w:rsidR="001D2590">
        <w:t>resources required to do this work is likely to lead to further inequities between school districts</w:t>
      </w:r>
      <w:r w:rsidR="00963C0F">
        <w:t>.</w:t>
      </w:r>
    </w:p>
    <w:p w14:paraId="7F1E858B" w14:textId="563FF911" w:rsidR="00806B65" w:rsidRPr="00777EC1" w:rsidRDefault="4A17A644" w:rsidP="008131EB">
      <w:pPr>
        <w:pStyle w:val="ListBullet"/>
      </w:pPr>
      <w:r w:rsidRPr="00777EC1">
        <w:t xml:space="preserve">While there is a diverse array of commercially available technologies today, some space-constrained or urban sites may have </w:t>
      </w:r>
      <w:r w:rsidR="50790DAC" w:rsidRPr="00777EC1">
        <w:t xml:space="preserve">fewer options and need </w:t>
      </w:r>
      <w:r w:rsidRPr="00777EC1">
        <w:t>to identify design alternatives as outlined in the component and whole system retrofit strategy sections.</w:t>
      </w:r>
    </w:p>
    <w:p w14:paraId="50F6106B" w14:textId="24606826" w:rsidR="00806B65" w:rsidRPr="00777EC1" w:rsidRDefault="00806B65" w:rsidP="008131EB">
      <w:pPr>
        <w:pStyle w:val="ListBullet"/>
      </w:pPr>
      <w:r w:rsidRPr="00777EC1">
        <w:t xml:space="preserve">Staff that have a long track record of safe operations of boilers (high pressure, combustion steam vessels) will be required to become experts in the vapor compression refrigeration cycle used by all heat pump technologies and increasingly computerized operations. This transition will require significant training initiatives, </w:t>
      </w:r>
      <w:r w:rsidR="00086A66">
        <w:t xml:space="preserve">technical </w:t>
      </w:r>
      <w:r w:rsidR="007E12EB">
        <w:t>assistance</w:t>
      </w:r>
      <w:r w:rsidR="00C76621">
        <w:t>/support</w:t>
      </w:r>
      <w:r w:rsidR="007E12EB">
        <w:t xml:space="preserve">, </w:t>
      </w:r>
      <w:r w:rsidRPr="00777EC1">
        <w:t xml:space="preserve">updates to hiring practices, and in some cases major changes to </w:t>
      </w:r>
      <w:r w:rsidR="00117F5B">
        <w:t>o</w:t>
      </w:r>
      <w:r w:rsidR="007E6D4F">
        <w:t xml:space="preserve">perations and </w:t>
      </w:r>
      <w:r w:rsidR="00945A63">
        <w:t>maintenance</w:t>
      </w:r>
      <w:r w:rsidR="007E6D4F">
        <w:t xml:space="preserve"> (</w:t>
      </w:r>
      <w:r w:rsidRPr="00777EC1">
        <w:t>O&amp;M</w:t>
      </w:r>
      <w:r w:rsidR="007E6D4F">
        <w:t>)</w:t>
      </w:r>
      <w:r w:rsidRPr="00777EC1">
        <w:t xml:space="preserve"> programs.</w:t>
      </w:r>
    </w:p>
    <w:p w14:paraId="0AE0BA82" w14:textId="2DB29E8B" w:rsidR="00806B65" w:rsidRDefault="3F4E2B56" w:rsidP="008131EB">
      <w:pPr>
        <w:pStyle w:val="ListBullet"/>
      </w:pPr>
      <w:r>
        <w:t xml:space="preserve">As with any retrofit project, there is </w:t>
      </w:r>
      <w:r w:rsidR="64074FDA">
        <w:t xml:space="preserve">an </w:t>
      </w:r>
      <w:r>
        <w:t xml:space="preserve">abatement risk that is not fully known before a complete assessment is conducted. </w:t>
      </w:r>
      <w:r w:rsidR="7DA54966">
        <w:t>Older</w:t>
      </w:r>
      <w:r>
        <w:t xml:space="preserve"> building</w:t>
      </w:r>
      <w:r w:rsidR="46CF1053">
        <w:t>s</w:t>
      </w:r>
      <w:r>
        <w:t xml:space="preserve"> that are anchors of communities may also have legacy toxins </w:t>
      </w:r>
      <w:r w:rsidR="494E4299">
        <w:t xml:space="preserve">(e.g., asbestos, PCBs) </w:t>
      </w:r>
      <w:r>
        <w:t xml:space="preserve">that require an unknown amount of expensive abatement to implement many of the projects described </w:t>
      </w:r>
      <w:r w:rsidR="46CF1053">
        <w:t>in this section</w:t>
      </w:r>
      <w:r>
        <w:t>.</w:t>
      </w:r>
      <w:r w:rsidR="1ECC6F99">
        <w:t xml:space="preserve"> See </w:t>
      </w:r>
      <w:hyperlink w:anchor="Objective_2a">
        <w:r w:rsidR="0356669D" w:rsidRPr="62E2E3B4">
          <w:rPr>
            <w:rStyle w:val="Hyperlink"/>
          </w:rPr>
          <w:t>Objective 2a. Improve Air Quality</w:t>
        </w:r>
      </w:hyperlink>
      <w:r w:rsidR="374175C0">
        <w:t xml:space="preserve"> for additional </w:t>
      </w:r>
      <w:r w:rsidR="26BEA27A">
        <w:t xml:space="preserve">details about </w:t>
      </w:r>
      <w:r w:rsidR="3C1C0F50">
        <w:t xml:space="preserve">reducing exposure to these </w:t>
      </w:r>
      <w:r w:rsidR="0AE8183F">
        <w:t>toxins.</w:t>
      </w:r>
    </w:p>
    <w:p w14:paraId="6A5FB456" w14:textId="5723BA28" w:rsidR="00806B65" w:rsidRPr="003B6529" w:rsidRDefault="00806B65" w:rsidP="006D7DE6">
      <w:pPr>
        <w:pStyle w:val="BodyTextFirstIndent"/>
      </w:pPr>
      <w:r w:rsidRPr="003B6529">
        <w:t xml:space="preserve">There are already a number of successful </w:t>
      </w:r>
      <w:hyperlink r:id="rId57" w:history="1">
        <w:r w:rsidR="002E1BDD" w:rsidRPr="00573D0A">
          <w:rPr>
            <w:rStyle w:val="Hyperlink"/>
          </w:rPr>
          <w:t>all-electric</w:t>
        </w:r>
        <w:r w:rsidR="00573D0A" w:rsidRPr="00573D0A">
          <w:rPr>
            <w:rStyle w:val="Hyperlink"/>
          </w:rPr>
          <w:t xml:space="preserve"> schools</w:t>
        </w:r>
      </w:hyperlink>
      <w:r w:rsidR="002E1BDD" w:rsidRPr="003B6529">
        <w:t xml:space="preserve"> and </w:t>
      </w:r>
      <w:r w:rsidRPr="003B6529">
        <w:t>net zero school projects across Massachusetts that can offer helpful case studies on how these challenges have been successfully addressed.</w:t>
      </w:r>
    </w:p>
    <w:p w14:paraId="2AD8BCE7" w14:textId="6B7AF1A8" w:rsidR="00CA09EA" w:rsidRDefault="00CA09EA" w:rsidP="001C7888">
      <w:pPr>
        <w:pStyle w:val="Heading2"/>
      </w:pPr>
      <w:bookmarkStart w:id="95" w:name="_Toc171518363"/>
      <w:bookmarkStart w:id="96" w:name="_Toc171519316"/>
      <w:bookmarkStart w:id="97" w:name="_Toc193116895"/>
      <w:r>
        <w:t>Objective 1b. Optimize Water Efficiency</w:t>
      </w:r>
      <w:bookmarkEnd w:id="95"/>
      <w:bookmarkEnd w:id="96"/>
      <w:bookmarkEnd w:id="97"/>
    </w:p>
    <w:p w14:paraId="3EE329F5" w14:textId="77777777" w:rsidR="008105F9" w:rsidRDefault="008105F9" w:rsidP="008105F9">
      <w:pPr>
        <w:pStyle w:val="Heading3"/>
      </w:pPr>
      <w:r>
        <w:t>Background</w:t>
      </w:r>
      <w:r w:rsidRPr="0029407F">
        <w:t xml:space="preserve"> </w:t>
      </w:r>
    </w:p>
    <w:p w14:paraId="1C2ABB7F" w14:textId="10570F97" w:rsidR="007D22A4" w:rsidRPr="007D22A4" w:rsidRDefault="007D22A4" w:rsidP="006D7DE6">
      <w:pPr>
        <w:pStyle w:val="BodyTextFirstIndent"/>
      </w:pPr>
      <w:r w:rsidRPr="007D22A4">
        <w:t>Even though 70 percent of the Earth is covered by water, only 1 percent is available for human use.</w:t>
      </w:r>
      <w:r w:rsidRPr="00365B58">
        <w:rPr>
          <w:vertAlign w:val="superscript"/>
        </w:rPr>
        <w:fldChar w:fldCharType="begin"/>
      </w:r>
      <w:r w:rsidR="00223023">
        <w:rPr>
          <w:vertAlign w:val="superscript"/>
        </w:rPr>
        <w:instrText xml:space="preserve"> ADDIN ZOTERO_ITEM CSL_CITATION {"citationID":"WrBDD5ol","properties":{"formattedCitation":"\\super 44\\nosupersub{}","plainCitation":"44","noteIndex":0},"citationItems":[{"id":295,"uris":["http://zotero.org/groups/5563646/items/IY5ITECM"],"itemData":{"id":295,"type":"webpage","title":"About WaterSense","URL":"https://www.epa.gov/watersense/about-watersense","author":[{"family":"US EPA","given":""}],"accessed":{"date-parts":[["2024",6,25]]},"issued":{"date-parts":[["2024",5,24]]}}}],"schema":"https://github.com/citation-style-language/schema/raw/master/csl-citation.json"} </w:instrText>
      </w:r>
      <w:r w:rsidRPr="00365B58">
        <w:rPr>
          <w:vertAlign w:val="superscript"/>
        </w:rPr>
        <w:fldChar w:fldCharType="separate"/>
      </w:r>
      <w:r w:rsidR="00223023" w:rsidRPr="00223023">
        <w:rPr>
          <w:rFonts w:cs="Arial"/>
          <w:vertAlign w:val="superscript"/>
        </w:rPr>
        <w:t>44</w:t>
      </w:r>
      <w:r w:rsidRPr="00365B58">
        <w:rPr>
          <w:vertAlign w:val="superscript"/>
        </w:rPr>
        <w:fldChar w:fldCharType="end"/>
      </w:r>
      <w:r w:rsidRPr="007D22A4">
        <w:t xml:space="preserve"> As the impacts of climate change increase, optimizing water efficiency is vital to managing intermittent and recurring drought conditions in Massachusetts and ensuring water supply for future generations. Optimizing water efficiency can also help </w:t>
      </w:r>
      <w:r w:rsidRPr="007D22A4">
        <w:lastRenderedPageBreak/>
        <w:t>reduce the burden on aging infrastructure</w:t>
      </w:r>
      <w:r w:rsidR="00543A4F">
        <w:t>. Reduced</w:t>
      </w:r>
      <w:r w:rsidR="00C34A64">
        <w:t xml:space="preserve"> demand for </w:t>
      </w:r>
      <w:r w:rsidR="00D86764">
        <w:t xml:space="preserve">potable </w:t>
      </w:r>
      <w:r w:rsidR="00C34A64">
        <w:t>water</w:t>
      </w:r>
      <w:r w:rsidR="00D6470B">
        <w:t>,</w:t>
      </w:r>
      <w:r w:rsidR="004E09C3">
        <w:t xml:space="preserve"> </w:t>
      </w:r>
      <w:r w:rsidR="0025015B">
        <w:t>in turn</w:t>
      </w:r>
      <w:r w:rsidR="00D6470B">
        <w:t>,</w:t>
      </w:r>
      <w:r w:rsidR="0025015B">
        <w:t xml:space="preserve"> reduces the need for water</w:t>
      </w:r>
      <w:r w:rsidRPr="007D22A4">
        <w:t xml:space="preserve"> extract</w:t>
      </w:r>
      <w:r w:rsidR="0025015B">
        <w:t>ion</w:t>
      </w:r>
      <w:r w:rsidRPr="007D22A4">
        <w:t>, pump</w:t>
      </w:r>
      <w:r w:rsidR="00A877A9">
        <w:t>ing</w:t>
      </w:r>
      <w:r w:rsidRPr="007D22A4">
        <w:t>, treat</w:t>
      </w:r>
      <w:r w:rsidR="00A877A9">
        <w:t>ment</w:t>
      </w:r>
      <w:r w:rsidRPr="007D22A4">
        <w:t>, and deliver</w:t>
      </w:r>
      <w:r w:rsidR="00A877A9">
        <w:t>y</w:t>
      </w:r>
      <w:r w:rsidRPr="007D22A4">
        <w:t xml:space="preserve"> by existing systems. In addition, since extracting, pumping, treating, and delivering water and treating wastewater also </w:t>
      </w:r>
      <w:r w:rsidR="00DA139B">
        <w:t>consumes energy</w:t>
      </w:r>
      <w:r w:rsidRPr="007D22A4">
        <w:t xml:space="preserve">, </w:t>
      </w:r>
      <w:r w:rsidR="00FB0DFF">
        <w:t>decreased</w:t>
      </w:r>
      <w:r w:rsidRPr="007D22A4">
        <w:t xml:space="preserve"> </w:t>
      </w:r>
      <w:r w:rsidR="00FB0DFF">
        <w:t xml:space="preserve">potable </w:t>
      </w:r>
      <w:r w:rsidRPr="007D22A4">
        <w:t xml:space="preserve">water consumption also reduces energy use and associated </w:t>
      </w:r>
      <w:r w:rsidR="000B0F36">
        <w:t>GHG</w:t>
      </w:r>
      <w:r w:rsidRPr="007D22A4">
        <w:t xml:space="preserve"> emissions.</w:t>
      </w:r>
    </w:p>
    <w:p w14:paraId="4D8CC75F" w14:textId="34AAA2F3" w:rsidR="00CA09EA" w:rsidRDefault="007D22A4" w:rsidP="006D7DE6">
      <w:pPr>
        <w:pStyle w:val="BodyTextFirstIndent"/>
      </w:pPr>
      <w:r w:rsidRPr="007D22A4">
        <w:t xml:space="preserve">In recent decades, Massachusetts has regularly experienced varying degrees of drought conditions, ranging from abnormal dryness to extreme drought, as illustrated in </w:t>
      </w:r>
      <w:r w:rsidR="007C32EF">
        <w:fldChar w:fldCharType="begin"/>
      </w:r>
      <w:r w:rsidR="007C32EF">
        <w:instrText xml:space="preserve"> REF _Ref172646317 \h </w:instrText>
      </w:r>
      <w:r w:rsidR="007C32EF">
        <w:fldChar w:fldCharType="separate"/>
      </w:r>
      <w:r w:rsidR="00307850">
        <w:t xml:space="preserve">Figure </w:t>
      </w:r>
      <w:r w:rsidR="00307850">
        <w:rPr>
          <w:noProof/>
        </w:rPr>
        <w:t>3</w:t>
      </w:r>
      <w:r w:rsidR="007C32EF">
        <w:fldChar w:fldCharType="end"/>
      </w:r>
      <w:r w:rsidRPr="007D22A4">
        <w:t>.</w:t>
      </w:r>
      <w:r w:rsidRPr="007D22A4">
        <w:fldChar w:fldCharType="begin"/>
      </w:r>
      <w:r w:rsidR="00223023">
        <w:instrText xml:space="preserve"> ADDIN ZOTERO_ITEM CSL_CITATION {"citationID":"ulJcBEzt","properties":{"formattedCitation":"\\super 45\\nosupersub{}","plainCitation":"45","noteIndex":0},"citationItems":[{"id":504,"uris":["http://zotero.org/groups/5563646/items/Q8HKGPFY"],"itemData":{"id":504,"type":"webpage","title":"Time Series | U.S. Drought Monitor","URL":"https://droughtmonitor.unl.edu/DmData/TimeSeries.aspx","author":[{"literal":"U.S. Department of Agriculture"},{"literal":"National Drought Mitigation Center at the University of Nebraska-Lincoln"},{"literal":"National Oceanic and Atmospheric Administration"}],"accessed":{"date-parts":[["2024",7,15]]},"issued":{"date-parts":[["2024"]]}}}],"schema":"https://github.com/citation-style-language/schema/raw/master/csl-citation.json"} </w:instrText>
      </w:r>
      <w:r w:rsidRPr="007D22A4">
        <w:fldChar w:fldCharType="separate"/>
      </w:r>
      <w:r w:rsidR="00801FB9" w:rsidRPr="00223023">
        <w:rPr>
          <w:rFonts w:cs="Arial"/>
          <w:vertAlign w:val="superscript"/>
        </w:rPr>
        <w:t>45</w:t>
      </w:r>
      <w:r w:rsidRPr="007D22A4">
        <w:fldChar w:fldCharType="end"/>
      </w:r>
      <w:r w:rsidRPr="007D22A4">
        <w:t xml:space="preserve"> Annual precipitation amounts in Massachusetts ha</w:t>
      </w:r>
      <w:r w:rsidR="00651DAD">
        <w:t>ve</w:t>
      </w:r>
      <w:r w:rsidRPr="007D22A4">
        <w:t xml:space="preserve"> been increasing in recent decades and </w:t>
      </w:r>
      <w:r w:rsidR="00651DAD">
        <w:t>are</w:t>
      </w:r>
      <w:r w:rsidRPr="007D22A4">
        <w:t xml:space="preserve"> expected to continue to rise due to climate change.</w:t>
      </w:r>
      <w:r w:rsidRPr="007D22A4">
        <w:fldChar w:fldCharType="begin"/>
      </w:r>
      <w:r w:rsidR="00801FB9">
        <w:instrText xml:space="preserve"> ADDIN ZOTERO_ITEM CSL_CITATION {"citationID":"UTl8dNup","properties":{"formattedCitation":"\\super 46\\nosupersub{}","plainCitation":"46","noteIndex":0},"citationItems":[{"id":298,"uris":["http://zotero.org/groups/5563646/items/HJ5QPLCU"],"itemData":{"id":298,"type":"report","title":"Massachusetts Drought Management Plan Preparedness &amp; Response","URL":"https://www.mass.gov/doc/massachusetts-drought-management-plan/download","author":[{"family":"Massachusetts Energy and Environmental Affairs and Massachusetts Emergency Management Agency","given":""}],"accessed":{"date-parts":[["2024",6,25]]},"issued":{"date-parts":[["2023",12]]}}}],"schema":"https://github.com/citation-style-language/schema/raw/master/csl-citation.json"} </w:instrText>
      </w:r>
      <w:r w:rsidRPr="007D22A4">
        <w:fldChar w:fldCharType="separate"/>
      </w:r>
      <w:r w:rsidR="00801FB9" w:rsidRPr="00801FB9">
        <w:rPr>
          <w:rFonts w:cs="Arial"/>
          <w:vertAlign w:val="superscript"/>
        </w:rPr>
        <w:t>46</w:t>
      </w:r>
      <w:r w:rsidRPr="007D22A4">
        <w:fldChar w:fldCharType="end"/>
      </w:r>
      <w:r w:rsidRPr="007D22A4">
        <w:t xml:space="preserve"> However, according to the Massachusetts State Climate Summary 2022, </w:t>
      </w:r>
      <w:r w:rsidR="00B3590D">
        <w:t>scientists</w:t>
      </w:r>
      <w:r w:rsidRPr="007D22A4">
        <w:t xml:space="preserve"> predict that precipitation events over this century will be fewer more extreme events rather than multiple smaller storms</w:t>
      </w:r>
      <w:r w:rsidR="000B23F3">
        <w:t>;</w:t>
      </w:r>
      <w:r w:rsidRPr="007D22A4">
        <w:t xml:space="preserve"> extreme events often don’t translate to groundwater replenishment or steady stream flows.</w:t>
      </w:r>
      <w:r w:rsidRPr="007D22A4">
        <w:fldChar w:fldCharType="begin"/>
      </w:r>
      <w:r w:rsidR="00801FB9">
        <w:instrText xml:space="preserve"> ADDIN ZOTERO_ITEM CSL_CITATION {"citationID":"WemCApta","properties":{"formattedCitation":"\\super 47\\nosupersub{}","plainCitation":"47","noteIndex":0},"citationItems":[{"id":722,"uris":["http://zotero.org/groups/5563646/items/LUTXHY59"],"itemData":{"id":722,"type":"report","number":"NOAA Technical Report NESDIS 150-MA","title":"Massachusetts State Climate Summary 2022","URL":"https://statesummaries.ncics.org/downloads/Massachusetts-StateClimateSummary2022.pdf","author":[{"literal":"Runkle, J., K.E. Kunkel, R. Frankson, D.R. Easterling, A.T. DeGaetano, B.C. Stewart, W. Sweet, and J. Spaccio"}],"issued":{"date-parts":[["2022"]]}}}],"schema":"https://github.com/citation-style-language/schema/raw/master/csl-citation.json"} </w:instrText>
      </w:r>
      <w:r w:rsidRPr="007D22A4">
        <w:fldChar w:fldCharType="separate"/>
      </w:r>
      <w:r w:rsidR="00801FB9" w:rsidRPr="00801FB9">
        <w:rPr>
          <w:rFonts w:cs="Arial"/>
          <w:vertAlign w:val="superscript"/>
        </w:rPr>
        <w:t>47</w:t>
      </w:r>
      <w:r w:rsidRPr="007D22A4">
        <w:fldChar w:fldCharType="end"/>
      </w:r>
      <w:r w:rsidRPr="007D22A4">
        <w:t xml:space="preserve"> In addition, </w:t>
      </w:r>
      <w:r w:rsidR="000B23F3">
        <w:t>scientists</w:t>
      </w:r>
      <w:r w:rsidRPr="007D22A4">
        <w:t xml:space="preserve"> predict </w:t>
      </w:r>
      <w:r w:rsidR="00D6470B">
        <w:t xml:space="preserve">that the </w:t>
      </w:r>
      <w:r w:rsidRPr="007D22A4">
        <w:t xml:space="preserve">expected </w:t>
      </w:r>
      <w:r w:rsidR="00D6470B" w:rsidRPr="007D22A4">
        <w:t xml:space="preserve">warmer </w:t>
      </w:r>
      <w:r w:rsidRPr="007D22A4">
        <w:t>temperatures will increase evapotranspiration and decrease snowpack.</w:t>
      </w:r>
      <w:r w:rsidRPr="007D22A4">
        <w:fldChar w:fldCharType="begin"/>
      </w:r>
      <w:r w:rsidR="00801FB9">
        <w:instrText xml:space="preserve"> ADDIN ZOTERO_ITEM CSL_CITATION {"citationID":"tljgVHAM","properties":{"formattedCitation":"\\super 47\\nosupersub{}","plainCitation":"47","noteIndex":0},"citationItems":[{"id":722,"uris":["http://zotero.org/groups/5563646/items/LUTXHY59"],"itemData":{"id":722,"type":"report","number":"NOAA Technical Report NESDIS 150-MA","title":"Massachusetts State Climate Summary 2022","URL":"https://statesummaries.ncics.org/downloads/Massachusetts-StateClimateSummary2022.pdf","author":[{"literal":"Runkle, J., K.E. Kunkel, R. Frankson, D.R. Easterling, A.T. DeGaetano, B.C. Stewart, W. Sweet, and J. Spaccio"}],"issued":{"date-parts":[["2022"]]}}}],"schema":"https://github.com/citation-style-language/schema/raw/master/csl-citation.json"} </w:instrText>
      </w:r>
      <w:r w:rsidRPr="007D22A4">
        <w:fldChar w:fldCharType="separate"/>
      </w:r>
      <w:r w:rsidR="00801FB9" w:rsidRPr="00801FB9">
        <w:rPr>
          <w:rFonts w:cs="Arial"/>
          <w:vertAlign w:val="superscript"/>
        </w:rPr>
        <w:t>47</w:t>
      </w:r>
      <w:r w:rsidRPr="007D22A4">
        <w:fldChar w:fldCharType="end"/>
      </w:r>
      <w:r w:rsidRPr="007D22A4">
        <w:t xml:space="preserve"> </w:t>
      </w:r>
      <w:r w:rsidR="0083566A">
        <w:t>Scientists</w:t>
      </w:r>
      <w:r w:rsidRPr="007D22A4">
        <w:t xml:space="preserve"> project these conditions, </w:t>
      </w:r>
      <w:r w:rsidR="00D6470B">
        <w:t xml:space="preserve">when </w:t>
      </w:r>
      <w:r w:rsidRPr="007D22A4">
        <w:t>combined, may increase Massachusetts’ frequency and severity of droughts, prompting a need for optimizing water efficiency across the state.</w:t>
      </w:r>
      <w:r>
        <w:fldChar w:fldCharType="begin"/>
      </w:r>
      <w:r w:rsidR="00801FB9">
        <w:instrText xml:space="preserve"> ADDIN ZOTERO_ITEM CSL_CITATION {"citationID":"49iLefwT","properties":{"formattedCitation":"\\super 46\\nosupersub{}","plainCitation":"46","noteIndex":0},"citationItems":[{"id":298,"uris":["http://zotero.org/groups/5563646/items/HJ5QPLCU"],"itemData":{"id":298,"type":"report","title":"Massachusetts Drought Management Plan Preparedness &amp; Response","URL":"https://www.mass.gov/doc/massachusetts-drought-management-plan/download","author":[{"family":"Massachusetts Energy and Environmental Affairs and Massachusetts Emergency Management Agency","given":""}],"accessed":{"date-parts":[["2024",6,25]]},"issued":{"date-parts":[["2023",12]]}}}],"schema":"https://github.com/citation-style-language/schema/raw/master/csl-citation.json"} </w:instrText>
      </w:r>
      <w:r>
        <w:fldChar w:fldCharType="separate"/>
      </w:r>
      <w:r w:rsidR="00801FB9" w:rsidRPr="00801FB9">
        <w:rPr>
          <w:rFonts w:ascii="Calibri" w:hAnsi="Calibri" w:cs="Calibri"/>
          <w:vertAlign w:val="superscript"/>
        </w:rPr>
        <w:t>46</w:t>
      </w:r>
      <w:r>
        <w:fldChar w:fldCharType="end"/>
      </w:r>
    </w:p>
    <w:p w14:paraId="111FBFD2" w14:textId="58EC1BC0" w:rsidR="001848BF" w:rsidRDefault="001848BF" w:rsidP="00B30C96">
      <w:pPr>
        <w:pStyle w:val="FigureTitle"/>
      </w:pPr>
      <w:bookmarkStart w:id="98" w:name="_Ref172646317"/>
      <w:bookmarkStart w:id="99" w:name="_Toc193112290"/>
      <w:bookmarkStart w:id="100" w:name="_Toc193117047"/>
      <w:r>
        <w:t xml:space="preserve">Figure </w:t>
      </w:r>
      <w:fldSimple w:instr=" SEQ Figure \* ARABIC ">
        <w:r w:rsidR="00307850">
          <w:rPr>
            <w:noProof/>
          </w:rPr>
          <w:t>3</w:t>
        </w:r>
      </w:fldSimple>
      <w:bookmarkEnd w:id="98"/>
      <w:r>
        <w:t xml:space="preserve">. Massachusetts </w:t>
      </w:r>
      <w:r w:rsidR="00D137CF">
        <w:t>P</w:t>
      </w:r>
      <w:r w:rsidR="0023018C">
        <w:t xml:space="preserve">ercentage of </w:t>
      </w:r>
      <w:r w:rsidR="00D137CF">
        <w:t>A</w:t>
      </w:r>
      <w:r>
        <w:t>rea in U.S. Drought Monitor Categories,</w:t>
      </w:r>
      <w:r w:rsidR="00D6470B">
        <w:t xml:space="preserve"> </w:t>
      </w:r>
      <w:r w:rsidR="00543A4F">
        <w:t xml:space="preserve">      </w:t>
      </w:r>
      <w:r>
        <w:t>2000 to 2024</w:t>
      </w:r>
      <w:bookmarkEnd w:id="99"/>
      <w:bookmarkEnd w:id="100"/>
    </w:p>
    <w:p w14:paraId="4E9BAC57" w14:textId="0F58F135" w:rsidR="00682CCB" w:rsidRDefault="001848BF" w:rsidP="00EC7D0D">
      <w:pPr>
        <w:pStyle w:val="BodyTextFirstIndent"/>
      </w:pPr>
      <w:r w:rsidRPr="00397619">
        <w:rPr>
          <w:noProof/>
        </w:rPr>
        <w:drawing>
          <wp:inline distT="0" distB="0" distL="0" distR="0" wp14:anchorId="622A31CE" wp14:editId="414EF7F1">
            <wp:extent cx="5991225" cy="3004820"/>
            <wp:effectExtent l="19050" t="19050" r="28575" b="24130"/>
            <wp:docPr id="1795356313" name="Picture 1" descr="Figure with bright yellow, orange, and red spikes varying with the intensity and percentage of land in Massachusetts experiencing drought, with more frequent and widespread drought becoming more com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56313" name="Picture 1" descr="Figure with bright yellow, orange, and red spikes varying with the intensity and percentage of land in Massachusetts experiencing drought, with more frequent and widespread drought becoming more common."/>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 t="7343" r="-801"/>
                    <a:stretch/>
                  </pic:blipFill>
                  <pic:spPr bwMode="auto">
                    <a:xfrm>
                      <a:off x="0" y="0"/>
                      <a:ext cx="5991225" cy="30048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0BFE753" w14:textId="4C93A7A0" w:rsidR="002621BD" w:rsidRDefault="002621BD" w:rsidP="0023018C">
      <w:pPr>
        <w:pStyle w:val="SourceCaption"/>
      </w:pPr>
      <w:r>
        <w:t xml:space="preserve">Source: </w:t>
      </w:r>
      <w:r w:rsidR="00742D91">
        <w:t>U.S. Department of Agriculture</w:t>
      </w:r>
      <w:r w:rsidR="00441ED9">
        <w:t>,</w:t>
      </w:r>
      <w:r w:rsidR="00742D91">
        <w:t xml:space="preserve"> et al</w:t>
      </w:r>
      <w:r w:rsidR="0023018C" w:rsidRPr="00EC7D0D">
        <w:rPr>
          <w:spacing w:val="-20"/>
        </w:rPr>
        <w:t xml:space="preserve"> </w:t>
      </w:r>
      <w:r w:rsidR="008972B2">
        <w:fldChar w:fldCharType="begin"/>
      </w:r>
      <w:r w:rsidR="00801FB9">
        <w:instrText xml:space="preserve"> ADDIN ZOTERO_ITEM CSL_CITATION {"citationID":"akcpjv7q36","properties":{"formattedCitation":"\\super 45\\nosupersub{}","plainCitation":"45","noteIndex":0},"citationItems":[{"id":504,"uris":["http://zotero.org/groups/5563646/items/Q8HKGPFY"],"itemData":{"id":504,"type":"webpage","title":"Time Series | U.S. Drought Monitor","URL":"https://droughtmonitor.unl.edu/DmData/TimeSeries.aspx","author":[{"literal":"U.S. Department of Agriculture"},{"literal":"National Drought Mitigation Center at the University of Nebraska-Lincoln"},{"literal":"National Oceanic and Atmospheric Administration"}],"accessed":{"date-parts":[["2024",7,15]]},"issued":{"date-parts":[["2024"]]}}}],"schema":"https://github.com/citation-style-language/schema/raw/master/csl-citation.json"} </w:instrText>
      </w:r>
      <w:r w:rsidR="008972B2">
        <w:fldChar w:fldCharType="separate"/>
      </w:r>
      <w:r w:rsidR="00801FB9" w:rsidRPr="00801FB9">
        <w:rPr>
          <w:rFonts w:cs="Arial"/>
          <w:vertAlign w:val="superscript"/>
        </w:rPr>
        <w:t>45</w:t>
      </w:r>
      <w:r w:rsidR="008972B2">
        <w:fldChar w:fldCharType="end"/>
      </w:r>
    </w:p>
    <w:p w14:paraId="70E58B3E" w14:textId="3B6314D0" w:rsidR="00D525D8" w:rsidRPr="00D525D8" w:rsidRDefault="00D525D8" w:rsidP="006D7DE6">
      <w:pPr>
        <w:pStyle w:val="BodyTextFirstIndent"/>
      </w:pPr>
      <w:r w:rsidRPr="00D525D8">
        <w:t>The Alliance for Water Efficiency’s 2022 U.S. State Policy Scorecard for Water Efficiency and Sustainability evaluates and scores states by their adoption of policies and laws that advance water efficiency, conservation, and sustainability.</w:t>
      </w:r>
      <w:r w:rsidRPr="00D525D8">
        <w:fldChar w:fldCharType="begin"/>
      </w:r>
      <w:r w:rsidR="00801FB9">
        <w:instrText xml:space="preserve"> ADDIN ZOTERO_ITEM CSL_CITATION {"citationID":"Lx9ozH2X","properties":{"formattedCitation":"\\super 48\\nosupersub{}","plainCitation":"48","noteIndex":0},"citationItems":[{"id":361,"uris":["http://zotero.org/groups/5563646/items/9SCGJK7T"],"itemData":{"id":361,"type":"report","language":"en","source":"Zotero","title":"2022 State Policy Scorecard for Water Efficiency and Sustainability","URL":"https://www.allianceforwaterefficiency.org/sites/default/files/assets/AWE%202022%20Scorecard%20Full%20Report.pdf","author":[{"family":"Alliance for Water Efficiency","given":""}],"issued":{"date-parts":[["2022"]]}}}],"schema":"https://github.com/citation-style-language/schema/raw/master/csl-citation.json"} </w:instrText>
      </w:r>
      <w:r w:rsidRPr="00D525D8">
        <w:fldChar w:fldCharType="separate"/>
      </w:r>
      <w:r w:rsidR="00801FB9" w:rsidRPr="00801FB9">
        <w:rPr>
          <w:rFonts w:cs="Arial"/>
          <w:vertAlign w:val="superscript"/>
        </w:rPr>
        <w:t>48</w:t>
      </w:r>
      <w:r w:rsidRPr="00D525D8">
        <w:fldChar w:fldCharType="end"/>
      </w:r>
      <w:r w:rsidRPr="00D525D8">
        <w:t xml:space="preserve"> On the 2022 scorecard, Massachusetts scored the most points for incorporating water efficiency in plumbing fixture standards and codes and providing state funding for water efficiency </w:t>
      </w:r>
      <w:r w:rsidRPr="00D525D8">
        <w:lastRenderedPageBreak/>
        <w:t>programs</w:t>
      </w:r>
      <w:r w:rsidR="00D6470B">
        <w:t>; however, t</w:t>
      </w:r>
      <w:r w:rsidRPr="00D525D8">
        <w:t>he Commonwealth</w:t>
      </w:r>
      <w:r w:rsidR="00D6470B">
        <w:t xml:space="preserve"> </w:t>
      </w:r>
      <w:r w:rsidRPr="00D525D8">
        <w:t xml:space="preserve">scored low on water conservation planning and drought preparedness planning, among other things. If Massachusetts schools </w:t>
      </w:r>
      <w:r w:rsidR="001336C4">
        <w:t>collectively increase</w:t>
      </w:r>
      <w:r w:rsidRPr="00D525D8">
        <w:t xml:space="preserve"> </w:t>
      </w:r>
      <w:r w:rsidR="001336C4">
        <w:t xml:space="preserve">their </w:t>
      </w:r>
      <w:r w:rsidRPr="00D525D8">
        <w:t xml:space="preserve">focus on optimizing water efficiency, they can help the state </w:t>
      </w:r>
      <w:r w:rsidR="001336C4">
        <w:t xml:space="preserve">better </w:t>
      </w:r>
      <w:r w:rsidRPr="00D525D8">
        <w:t xml:space="preserve">prepare for drought and manage its water resources. </w:t>
      </w:r>
    </w:p>
    <w:p w14:paraId="58D1308E" w14:textId="311BC023" w:rsidR="00D525D8" w:rsidRDefault="00D525D8" w:rsidP="006D7DE6">
      <w:pPr>
        <w:pStyle w:val="BodyTextFirstIndent"/>
      </w:pPr>
      <w:r w:rsidRPr="00D525D8">
        <w:t>Schools use water in restrooms and cafeterias and can use water for building and process cooling, irrigation, pools, laundries, and laboratories. Methods and best practices to optimize water use overall and by specific end use are discussed in this section</w:t>
      </w:r>
      <w:r>
        <w:t>.</w:t>
      </w:r>
    </w:p>
    <w:p w14:paraId="1C4551AB" w14:textId="51FB1B12" w:rsidR="00D525D8" w:rsidRDefault="00D525D8" w:rsidP="00D525D8">
      <w:pPr>
        <w:pStyle w:val="Heading3"/>
      </w:pPr>
      <w:r>
        <w:t>Methods and Best Practices</w:t>
      </w:r>
    </w:p>
    <w:p w14:paraId="6A4CF3B0" w14:textId="36BC07E8" w:rsidR="008E18E5" w:rsidRDefault="00712267" w:rsidP="006D7DE6">
      <w:pPr>
        <w:pStyle w:val="BodyTextFirstIndent"/>
      </w:pPr>
      <w:r w:rsidRPr="00926BF3">
        <w:t xml:space="preserve">There are many methods and best practices for optimizing water efficiency in schools, including monitoring and managing water use, optimizing water efficiency of end uses and systems, and using alternative water sources. </w:t>
      </w:r>
      <w:bookmarkStart w:id="101" w:name="_Toc171518364"/>
      <w:bookmarkStart w:id="102" w:name="_Toc171519317"/>
      <w:r w:rsidR="00AB4DD0">
        <w:fldChar w:fldCharType="begin"/>
      </w:r>
      <w:r w:rsidR="00AB4DD0">
        <w:instrText xml:space="preserve"> REF _Ref172894613 \h </w:instrText>
      </w:r>
      <w:r w:rsidR="00AB4DD0">
        <w:fldChar w:fldCharType="separate"/>
      </w:r>
      <w:r w:rsidR="00307850">
        <w:t xml:space="preserve">Table </w:t>
      </w:r>
      <w:r w:rsidR="00307850">
        <w:rPr>
          <w:noProof/>
        </w:rPr>
        <w:t>7</w:t>
      </w:r>
      <w:r w:rsidR="00AB4DD0">
        <w:fldChar w:fldCharType="end"/>
      </w:r>
      <w:r w:rsidR="008E18E5" w:rsidRPr="00B0455B">
        <w:t xml:space="preserve"> summarizes methods and best practices for optimizing water efficiency in schools. For each method/best practice, the table presents the approximate capital and operating costs, implementation timeframe, and ease of implementation.</w:t>
      </w:r>
      <w:r w:rsidR="00BD357B">
        <w:t xml:space="preserve"> See </w:t>
      </w:r>
      <w:hyperlink w:anchor="SectVI_1b" w:history="1">
        <w:r w:rsidR="006302AE" w:rsidRPr="006302AE">
          <w:rPr>
            <w:rStyle w:val="Hyperlink"/>
          </w:rPr>
          <w:t>Section VI, Objective 1b</w:t>
        </w:r>
      </w:hyperlink>
      <w:r w:rsidR="00BD357B">
        <w:t xml:space="preserve"> for additional narrative descriptions of each of the methods and best practices.</w:t>
      </w:r>
    </w:p>
    <w:p w14:paraId="393A7209" w14:textId="5EBCB81A" w:rsidR="00852369" w:rsidRDefault="00852369" w:rsidP="00B30C96">
      <w:pPr>
        <w:pStyle w:val="Caption"/>
      </w:pPr>
      <w:bookmarkStart w:id="103" w:name="_Ref172894613"/>
      <w:bookmarkStart w:id="104" w:name="_Toc192711673"/>
      <w:bookmarkStart w:id="105" w:name="_Toc193112555"/>
      <w:bookmarkStart w:id="106" w:name="_Toc193116954"/>
      <w:r>
        <w:lastRenderedPageBreak/>
        <w:t xml:space="preserve">Table </w:t>
      </w:r>
      <w:fldSimple w:instr=" SEQ Table \* ARABIC ">
        <w:r w:rsidR="00307850">
          <w:rPr>
            <w:noProof/>
          </w:rPr>
          <w:t>7</w:t>
        </w:r>
      </w:fldSimple>
      <w:bookmarkEnd w:id="103"/>
      <w:r>
        <w:t xml:space="preserve">. Methods and </w:t>
      </w:r>
      <w:r w:rsidR="00D137CF">
        <w:t>B</w:t>
      </w:r>
      <w:r w:rsidR="0023018C">
        <w:t xml:space="preserve">est </w:t>
      </w:r>
      <w:r w:rsidR="00D137CF">
        <w:t>P</w:t>
      </w:r>
      <w:r w:rsidR="0023018C">
        <w:t xml:space="preserve">ractices </w:t>
      </w:r>
      <w:r w:rsidR="00341356">
        <w:t>for</w:t>
      </w:r>
      <w:r w:rsidR="00AB4DD0">
        <w:t xml:space="preserve"> </w:t>
      </w:r>
      <w:r w:rsidR="00D137CF">
        <w:t>O</w:t>
      </w:r>
      <w:r w:rsidR="0023018C">
        <w:t xml:space="preserve">ptimizing </w:t>
      </w:r>
      <w:r w:rsidR="00D137CF">
        <w:t>W</w:t>
      </w:r>
      <w:r w:rsidR="00AB4DD0">
        <w:t xml:space="preserve">ater </w:t>
      </w:r>
      <w:r w:rsidR="00D137CF">
        <w:t>E</w:t>
      </w:r>
      <w:r w:rsidR="00AB4DD0">
        <w:t>f</w:t>
      </w:r>
      <w:r w:rsidR="00341356">
        <w:t>f</w:t>
      </w:r>
      <w:r w:rsidR="00AB4DD0">
        <w:t>ic</w:t>
      </w:r>
      <w:r w:rsidR="00341356">
        <w:t>i</w:t>
      </w:r>
      <w:r w:rsidR="00AB4DD0">
        <w:t>ency</w:t>
      </w:r>
      <w:bookmarkEnd w:id="104"/>
      <w:bookmarkEnd w:id="105"/>
      <w:bookmarkEnd w:id="106"/>
    </w:p>
    <w:tbl>
      <w:tblPr>
        <w:tblW w:w="9350" w:type="dxa"/>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optimizing water efficiency."/>
      </w:tblPr>
      <w:tblGrid>
        <w:gridCol w:w="543"/>
        <w:gridCol w:w="6292"/>
        <w:gridCol w:w="628"/>
        <w:gridCol w:w="629"/>
        <w:gridCol w:w="629"/>
        <w:gridCol w:w="629"/>
      </w:tblGrid>
      <w:tr w:rsidR="00052833" w:rsidRPr="00C8094D" w14:paraId="2826A0FA" w14:textId="77777777" w:rsidTr="00F61DBC">
        <w:trPr>
          <w:cantSplit/>
          <w:trHeight w:val="2420"/>
          <w:tblHeader/>
          <w:jc w:val="center"/>
        </w:trPr>
        <w:tc>
          <w:tcPr>
            <w:tcW w:w="683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7E0B544C" w14:textId="77777777" w:rsidR="00052833" w:rsidRDefault="00052833" w:rsidP="00F61DBC">
            <w:pPr>
              <w:pStyle w:val="TableColumnHeader"/>
            </w:pPr>
            <w:r>
              <w:t>Methods/Best Practices</w:t>
            </w:r>
          </w:p>
        </w:tc>
        <w:tc>
          <w:tcPr>
            <w:tcW w:w="628" w:type="dxa"/>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3ADE6B1" w14:textId="77777777" w:rsidR="00052833" w:rsidRPr="00C8094D" w:rsidRDefault="00052833" w:rsidP="00F61DBC">
            <w:pPr>
              <w:pStyle w:val="TableColumnHeader"/>
              <w:jc w:val="left"/>
            </w:pPr>
            <w:r>
              <w:t xml:space="preserve">Capital </w:t>
            </w:r>
            <w:r w:rsidRPr="00C8094D">
              <w:t>Cost</w:t>
            </w:r>
          </w:p>
        </w:tc>
        <w:tc>
          <w:tcPr>
            <w:tcW w:w="629"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1177CA2D" w14:textId="77777777" w:rsidR="00052833" w:rsidRDefault="00052833" w:rsidP="00F61DBC">
            <w:pPr>
              <w:pStyle w:val="TableColumnHeader"/>
              <w:jc w:val="left"/>
            </w:pPr>
            <w:r>
              <w:t>Operating Cost</w:t>
            </w:r>
          </w:p>
        </w:tc>
        <w:tc>
          <w:tcPr>
            <w:tcW w:w="629" w:type="dxa"/>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B93EAD4" w14:textId="77777777" w:rsidR="00052833" w:rsidRPr="00C8094D" w:rsidRDefault="00052833" w:rsidP="00F61DBC">
            <w:pPr>
              <w:pStyle w:val="TableColumnHeader"/>
              <w:jc w:val="left"/>
            </w:pPr>
            <w:r>
              <w:t xml:space="preserve">Implementation </w:t>
            </w:r>
            <w:r w:rsidRPr="00C8094D">
              <w:t>Timeframe</w:t>
            </w:r>
          </w:p>
        </w:tc>
        <w:tc>
          <w:tcPr>
            <w:tcW w:w="629" w:type="dxa"/>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4A48F9F" w14:textId="77777777" w:rsidR="00052833" w:rsidRPr="00C8094D" w:rsidRDefault="00052833" w:rsidP="00F61DBC">
            <w:pPr>
              <w:pStyle w:val="TableColumnHeader"/>
              <w:jc w:val="left"/>
            </w:pPr>
            <w:r>
              <w:t xml:space="preserve">Ease of </w:t>
            </w:r>
            <w:r w:rsidRPr="00C8094D">
              <w:t>Implementation</w:t>
            </w:r>
          </w:p>
        </w:tc>
      </w:tr>
      <w:tr w:rsidR="00052833" w:rsidRPr="00C8094D" w14:paraId="101DF835" w14:textId="77777777" w:rsidTr="00F61DBC">
        <w:trPr>
          <w:cantSplit/>
          <w:trHeight w:val="255"/>
          <w:tblHeader/>
          <w:jc w:val="center"/>
        </w:trPr>
        <w:tc>
          <w:tcPr>
            <w:tcW w:w="6835" w:type="dxa"/>
            <w:gridSpan w:val="2"/>
            <w:tcBorders>
              <w:top w:val="nil"/>
              <w:left w:val="single" w:sz="4" w:space="0" w:color="auto"/>
              <w:bottom w:val="single" w:sz="4" w:space="0" w:color="auto"/>
              <w:right w:val="single" w:sz="4" w:space="0" w:color="auto"/>
            </w:tcBorders>
            <w:shd w:val="clear" w:color="auto" w:fill="1F497D" w:themeFill="text2"/>
          </w:tcPr>
          <w:p w14:paraId="6CFA64F8" w14:textId="77777777" w:rsidR="00052833" w:rsidRPr="00276B41" w:rsidRDefault="00052833" w:rsidP="006F0602">
            <w:pPr>
              <w:pStyle w:val="TableRowHeader"/>
            </w:pPr>
            <w:r>
              <w:t>Monitor and Manage Water Use</w:t>
            </w:r>
          </w:p>
        </w:tc>
        <w:tc>
          <w:tcPr>
            <w:tcW w:w="628" w:type="dxa"/>
            <w:tcBorders>
              <w:top w:val="nil"/>
              <w:left w:val="single" w:sz="4" w:space="0" w:color="auto"/>
              <w:bottom w:val="single" w:sz="4" w:space="0" w:color="auto"/>
              <w:right w:val="single" w:sz="4" w:space="0" w:color="auto"/>
            </w:tcBorders>
            <w:shd w:val="clear" w:color="auto" w:fill="1F497D" w:themeFill="text2"/>
            <w:vAlign w:val="center"/>
          </w:tcPr>
          <w:p w14:paraId="5D00693D" w14:textId="77777777" w:rsidR="00052833" w:rsidRPr="00276B41"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3D23FC5" w14:textId="77777777" w:rsidR="00052833" w:rsidRPr="00276B41"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3E55702" w14:textId="77777777" w:rsidR="00052833" w:rsidRPr="00276B41"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047DE09" w14:textId="77777777" w:rsidR="00052833" w:rsidRPr="00276B41" w:rsidRDefault="00052833" w:rsidP="006F0602">
            <w:pPr>
              <w:pStyle w:val="TableRowHeader"/>
            </w:pPr>
          </w:p>
        </w:tc>
      </w:tr>
      <w:tr w:rsidR="00052833" w:rsidRPr="00C8094D" w14:paraId="10F5741A" w14:textId="77777777" w:rsidTr="00F61DBC">
        <w:trPr>
          <w:cantSplit/>
          <w:trHeight w:val="255"/>
          <w:tblHeader/>
          <w:jc w:val="center"/>
        </w:trPr>
        <w:tc>
          <w:tcPr>
            <w:tcW w:w="543" w:type="dxa"/>
            <w:tcBorders>
              <w:top w:val="nil"/>
              <w:left w:val="single" w:sz="4" w:space="0" w:color="auto"/>
              <w:bottom w:val="single" w:sz="4" w:space="0" w:color="auto"/>
            </w:tcBorders>
            <w:shd w:val="clear" w:color="auto" w:fill="auto"/>
          </w:tcPr>
          <w:p w14:paraId="68C7C352" w14:textId="77777777" w:rsidR="00052833" w:rsidRDefault="00052833" w:rsidP="00F61DBC">
            <w:pPr>
              <w:pStyle w:val="TableText"/>
            </w:pPr>
            <w:r>
              <w:t>(1)</w:t>
            </w:r>
          </w:p>
        </w:tc>
        <w:tc>
          <w:tcPr>
            <w:tcW w:w="6292" w:type="dxa"/>
            <w:tcBorders>
              <w:top w:val="single" w:sz="4" w:space="0" w:color="auto"/>
              <w:bottom w:val="single" w:sz="4" w:space="0" w:color="auto"/>
              <w:right w:val="single" w:sz="4" w:space="0" w:color="auto"/>
            </w:tcBorders>
          </w:tcPr>
          <w:p w14:paraId="529D1839" w14:textId="0B600A49" w:rsidR="00052833" w:rsidRDefault="00052833" w:rsidP="00F61DBC">
            <w:pPr>
              <w:pStyle w:val="TableText"/>
            </w:pPr>
            <w:r>
              <w:t xml:space="preserve">Meter and </w:t>
            </w:r>
            <w:r w:rsidR="00463F34">
              <w:t>t</w:t>
            </w:r>
            <w:r>
              <w:t xml:space="preserve">rack </w:t>
            </w:r>
            <w:r w:rsidR="00463F34">
              <w:t>w</w:t>
            </w:r>
            <w:r>
              <w:t xml:space="preserve">ater </w:t>
            </w:r>
            <w:r w:rsidR="00463F34">
              <w:t>u</w:t>
            </w:r>
            <w:r>
              <w:t xml:space="preserve">se </w:t>
            </w:r>
          </w:p>
        </w:tc>
        <w:tc>
          <w:tcPr>
            <w:tcW w:w="628" w:type="dxa"/>
            <w:tcBorders>
              <w:top w:val="nil"/>
              <w:left w:val="single" w:sz="4" w:space="0" w:color="auto"/>
              <w:bottom w:val="single" w:sz="4" w:space="0" w:color="auto"/>
              <w:right w:val="single" w:sz="4" w:space="0" w:color="auto"/>
            </w:tcBorders>
            <w:shd w:val="clear" w:color="auto" w:fill="auto"/>
            <w:vAlign w:val="center"/>
          </w:tcPr>
          <w:p w14:paraId="6FB73113" w14:textId="77777777" w:rsidR="00052833" w:rsidRPr="00C8094D" w:rsidRDefault="00052833" w:rsidP="00F61DBC">
            <w:pPr>
              <w:pStyle w:val="TableText"/>
            </w:pPr>
            <w:r>
              <w:t>0-$</w:t>
            </w:r>
          </w:p>
        </w:tc>
        <w:tc>
          <w:tcPr>
            <w:tcW w:w="629" w:type="dxa"/>
            <w:tcBorders>
              <w:top w:val="single" w:sz="4" w:space="0" w:color="auto"/>
              <w:left w:val="single" w:sz="4" w:space="0" w:color="auto"/>
              <w:bottom w:val="single" w:sz="4" w:space="0" w:color="auto"/>
              <w:right w:val="single" w:sz="4" w:space="0" w:color="auto"/>
            </w:tcBorders>
            <w:vAlign w:val="center"/>
          </w:tcPr>
          <w:p w14:paraId="61E29518" w14:textId="77777777" w:rsidR="00052833" w:rsidRPr="00C8094D" w:rsidRDefault="00052833" w:rsidP="00F61DBC">
            <w:pPr>
              <w:pStyle w:val="TableText"/>
            </w:pPr>
            <w: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C7EA8D6" w14:textId="77777777" w:rsidR="00052833" w:rsidRPr="00C8094D" w:rsidRDefault="00052833" w:rsidP="00F61DBC">
            <w:pPr>
              <w:pStyle w:val="TableText"/>
            </w:pPr>
            <w:r>
              <w: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322001E5" w14:textId="77777777" w:rsidR="00052833" w:rsidRPr="00C8094D" w:rsidRDefault="00052833" w:rsidP="00F61DBC">
            <w:pPr>
              <w:pStyle w:val="TableText"/>
            </w:pPr>
            <w:r>
              <w:t>1</w:t>
            </w:r>
          </w:p>
        </w:tc>
      </w:tr>
      <w:tr w:rsidR="00052833" w:rsidRPr="00C8094D" w14:paraId="575DC0EC"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3373CEFB" w14:textId="77777777" w:rsidR="00052833" w:rsidRDefault="00052833" w:rsidP="00F61DBC">
            <w:pPr>
              <w:pStyle w:val="TableText"/>
            </w:pPr>
            <w:r>
              <w:t>(2)</w:t>
            </w:r>
          </w:p>
        </w:tc>
        <w:tc>
          <w:tcPr>
            <w:tcW w:w="6292" w:type="dxa"/>
            <w:tcBorders>
              <w:top w:val="single" w:sz="4" w:space="0" w:color="auto"/>
              <w:bottom w:val="single" w:sz="4" w:space="0" w:color="auto"/>
              <w:right w:val="single" w:sz="4" w:space="0" w:color="auto"/>
            </w:tcBorders>
          </w:tcPr>
          <w:p w14:paraId="7CD83C3C" w14:textId="1094603F" w:rsidR="00052833" w:rsidRDefault="00052833" w:rsidP="00F61DBC">
            <w:pPr>
              <w:pStyle w:val="TableText"/>
            </w:pPr>
            <w:r>
              <w:t xml:space="preserve">Benchmark </w:t>
            </w:r>
            <w:r w:rsidR="00463F34">
              <w:t>w</w:t>
            </w:r>
            <w:r>
              <w:t xml:space="preserve">ater </w:t>
            </w:r>
            <w:r w:rsidR="00463F34">
              <w:t>u</w:t>
            </w:r>
            <w:r>
              <w:t>se</w:t>
            </w:r>
          </w:p>
        </w:tc>
        <w:tc>
          <w:tcPr>
            <w:tcW w:w="628" w:type="dxa"/>
            <w:tcBorders>
              <w:top w:val="nil"/>
              <w:left w:val="single" w:sz="4" w:space="0" w:color="auto"/>
              <w:bottom w:val="single" w:sz="4" w:space="0" w:color="auto"/>
              <w:right w:val="single" w:sz="4" w:space="0" w:color="auto"/>
            </w:tcBorders>
            <w:shd w:val="clear" w:color="auto" w:fill="auto"/>
            <w:vAlign w:val="center"/>
          </w:tcPr>
          <w:p w14:paraId="0E8BCDD3" w14:textId="77777777" w:rsidR="00052833" w:rsidRDefault="00052833" w:rsidP="00F61DBC">
            <w:pPr>
              <w:pStyle w:val="TableText"/>
            </w:pPr>
            <w:r>
              <w:t>0-$</w:t>
            </w:r>
          </w:p>
        </w:tc>
        <w:tc>
          <w:tcPr>
            <w:tcW w:w="629" w:type="dxa"/>
            <w:tcBorders>
              <w:top w:val="single" w:sz="4" w:space="0" w:color="auto"/>
              <w:left w:val="single" w:sz="4" w:space="0" w:color="auto"/>
              <w:bottom w:val="single" w:sz="4" w:space="0" w:color="auto"/>
              <w:right w:val="single" w:sz="4" w:space="0" w:color="auto"/>
            </w:tcBorders>
            <w:vAlign w:val="center"/>
          </w:tcPr>
          <w:p w14:paraId="2463CD3A" w14:textId="77777777" w:rsidR="00052833" w:rsidRDefault="00052833" w:rsidP="00F61DBC">
            <w:pPr>
              <w:pStyle w:val="TableText"/>
            </w:pPr>
            <w: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3C4FF0B" w14:textId="77777777" w:rsidR="00052833" w:rsidRDefault="00052833" w:rsidP="00F61DBC">
            <w:pPr>
              <w:pStyle w:val="TableText"/>
            </w:pPr>
            <w:r>
              <w: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5778FBB9" w14:textId="77777777" w:rsidR="00052833" w:rsidRDefault="00052833" w:rsidP="00F61DBC">
            <w:pPr>
              <w:pStyle w:val="TableText"/>
            </w:pPr>
            <w:r>
              <w:t>1</w:t>
            </w:r>
          </w:p>
        </w:tc>
      </w:tr>
      <w:tr w:rsidR="00052833" w:rsidRPr="00C8094D" w14:paraId="7F97AA8A"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42BEF9F9" w14:textId="77777777" w:rsidR="00052833" w:rsidRDefault="00052833" w:rsidP="00F61DBC">
            <w:pPr>
              <w:pStyle w:val="TableText"/>
            </w:pPr>
            <w:r>
              <w:t>(3)</w:t>
            </w:r>
          </w:p>
        </w:tc>
        <w:tc>
          <w:tcPr>
            <w:tcW w:w="6292" w:type="dxa"/>
            <w:tcBorders>
              <w:top w:val="single" w:sz="4" w:space="0" w:color="auto"/>
              <w:bottom w:val="single" w:sz="4" w:space="0" w:color="auto"/>
              <w:right w:val="single" w:sz="4" w:space="0" w:color="auto"/>
            </w:tcBorders>
          </w:tcPr>
          <w:p w14:paraId="33888FF0" w14:textId="3AC20239" w:rsidR="00052833" w:rsidRDefault="00052833" w:rsidP="00F61DBC">
            <w:pPr>
              <w:pStyle w:val="TableText"/>
            </w:pPr>
            <w:r>
              <w:t xml:space="preserve">Conduct </w:t>
            </w:r>
            <w:r w:rsidR="00463F34">
              <w:t>w</w:t>
            </w:r>
            <w:r>
              <w:t xml:space="preserve">ater </w:t>
            </w:r>
            <w:r w:rsidR="00463F34">
              <w:t>a</w:t>
            </w:r>
            <w:r>
              <w:t>ssessments</w:t>
            </w:r>
          </w:p>
        </w:tc>
        <w:tc>
          <w:tcPr>
            <w:tcW w:w="628" w:type="dxa"/>
            <w:tcBorders>
              <w:top w:val="nil"/>
              <w:left w:val="single" w:sz="4" w:space="0" w:color="auto"/>
              <w:bottom w:val="single" w:sz="4" w:space="0" w:color="auto"/>
              <w:right w:val="single" w:sz="4" w:space="0" w:color="auto"/>
            </w:tcBorders>
            <w:shd w:val="clear" w:color="auto" w:fill="auto"/>
            <w:vAlign w:val="center"/>
          </w:tcPr>
          <w:p w14:paraId="1906B2CC" w14:textId="77777777" w:rsidR="00052833"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3105EFF6" w14:textId="77777777" w:rsidR="00052833"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BD37E84" w14:textId="77777777" w:rsidR="00052833" w:rsidRDefault="00052833" w:rsidP="00F61DBC">
            <w:pPr>
              <w:pStyle w:val="TableText"/>
            </w:pPr>
            <w:r>
              <w:t>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0BA9791B" w14:textId="77777777" w:rsidR="00052833" w:rsidRDefault="00052833" w:rsidP="00F61DBC">
            <w:pPr>
              <w:pStyle w:val="TableText"/>
            </w:pPr>
            <w:r>
              <w:t>1</w:t>
            </w:r>
          </w:p>
        </w:tc>
      </w:tr>
      <w:tr w:rsidR="00052833" w:rsidRPr="00C8094D" w14:paraId="2B15198A" w14:textId="77777777" w:rsidTr="00F61DBC">
        <w:trPr>
          <w:cantSplit/>
          <w:trHeight w:val="255"/>
          <w:tblHeader/>
          <w:jc w:val="center"/>
        </w:trPr>
        <w:tc>
          <w:tcPr>
            <w:tcW w:w="683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8767700" w14:textId="77777777" w:rsidR="00052833" w:rsidRPr="00AC1587" w:rsidRDefault="00052833" w:rsidP="006F0602">
            <w:pPr>
              <w:pStyle w:val="TableRowHeader"/>
            </w:pPr>
            <w:r>
              <w:t>Optimize Water Efficiency of End Uses and Systems</w:t>
            </w:r>
          </w:p>
        </w:tc>
        <w:tc>
          <w:tcPr>
            <w:tcW w:w="628" w:type="dxa"/>
            <w:tcBorders>
              <w:top w:val="nil"/>
              <w:left w:val="single" w:sz="4" w:space="0" w:color="auto"/>
              <w:bottom w:val="single" w:sz="4" w:space="0" w:color="auto"/>
              <w:right w:val="single" w:sz="4" w:space="0" w:color="auto"/>
            </w:tcBorders>
            <w:shd w:val="clear" w:color="auto" w:fill="1F4987"/>
            <w:vAlign w:val="center"/>
          </w:tcPr>
          <w:p w14:paraId="73C03967" w14:textId="77777777" w:rsidR="00052833"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87"/>
            <w:vAlign w:val="center"/>
          </w:tcPr>
          <w:p w14:paraId="30670EBE" w14:textId="77777777" w:rsidR="00052833"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87"/>
            <w:vAlign w:val="center"/>
          </w:tcPr>
          <w:p w14:paraId="7CAD5F45" w14:textId="77777777" w:rsidR="00052833"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87"/>
            <w:vAlign w:val="center"/>
          </w:tcPr>
          <w:p w14:paraId="222CC883" w14:textId="77777777" w:rsidR="00052833" w:rsidRDefault="00052833" w:rsidP="006F0602">
            <w:pPr>
              <w:pStyle w:val="TableRowHeader"/>
            </w:pPr>
          </w:p>
        </w:tc>
      </w:tr>
      <w:tr w:rsidR="00052833" w:rsidRPr="00C8094D" w14:paraId="0985DDA9"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638195B4" w14:textId="77777777" w:rsidR="00052833" w:rsidRDefault="00052833" w:rsidP="00F61DBC">
            <w:pPr>
              <w:pStyle w:val="TableText"/>
            </w:pPr>
            <w:r>
              <w:t>(4)</w:t>
            </w:r>
          </w:p>
        </w:tc>
        <w:tc>
          <w:tcPr>
            <w:tcW w:w="6292" w:type="dxa"/>
            <w:tcBorders>
              <w:top w:val="single" w:sz="4" w:space="0" w:color="auto"/>
              <w:bottom w:val="single" w:sz="4" w:space="0" w:color="auto"/>
              <w:right w:val="single" w:sz="4" w:space="0" w:color="auto"/>
            </w:tcBorders>
          </w:tcPr>
          <w:p w14:paraId="7D58FAAC" w14:textId="1EB65823" w:rsidR="00052833" w:rsidRDefault="00052833" w:rsidP="00F61DBC">
            <w:pPr>
              <w:pStyle w:val="TableText"/>
            </w:pPr>
            <w:r>
              <w:t xml:space="preserve">Install WaterSense </w:t>
            </w:r>
            <w:r w:rsidR="006614C7">
              <w:t>l</w:t>
            </w:r>
            <w:r>
              <w:t xml:space="preserve">abeled, ENERGY STAR </w:t>
            </w:r>
            <w:r w:rsidR="006614C7">
              <w:t>c</w:t>
            </w:r>
            <w:r>
              <w:t xml:space="preserve">ertified, and </w:t>
            </w:r>
            <w:r w:rsidR="006614C7">
              <w:t>o</w:t>
            </w:r>
            <w:r>
              <w:t xml:space="preserve">ther </w:t>
            </w:r>
            <w:r w:rsidR="006614C7">
              <w:t>h</w:t>
            </w:r>
            <w:r>
              <w:t>igh-</w:t>
            </w:r>
            <w:r w:rsidR="006614C7">
              <w:t>e</w:t>
            </w:r>
            <w:r>
              <w:t xml:space="preserve">fficiency </w:t>
            </w:r>
            <w:r w:rsidR="006614C7">
              <w:t>p</w:t>
            </w:r>
            <w:r>
              <w:t xml:space="preserve">roducts in </w:t>
            </w:r>
            <w:r w:rsidR="006614C7">
              <w:t>r</w:t>
            </w:r>
            <w:r>
              <w:t xml:space="preserve">estrooms and </w:t>
            </w:r>
            <w:r w:rsidR="006614C7">
              <w:t>c</w:t>
            </w:r>
            <w:r>
              <w:t>afeterias</w:t>
            </w:r>
          </w:p>
        </w:tc>
        <w:tc>
          <w:tcPr>
            <w:tcW w:w="628" w:type="dxa"/>
            <w:tcBorders>
              <w:top w:val="nil"/>
              <w:left w:val="single" w:sz="4" w:space="0" w:color="auto"/>
              <w:bottom w:val="single" w:sz="4" w:space="0" w:color="auto"/>
              <w:right w:val="single" w:sz="4" w:space="0" w:color="auto"/>
            </w:tcBorders>
            <w:shd w:val="clear" w:color="auto" w:fill="auto"/>
            <w:vAlign w:val="center"/>
          </w:tcPr>
          <w:p w14:paraId="599581FB" w14:textId="77777777" w:rsidR="00052833"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57A870CB" w14:textId="768CE5A4" w:rsidR="00052833" w:rsidRPr="00F94B8B" w:rsidRDefault="00F94B8B" w:rsidP="00F61DBC">
            <w:pPr>
              <w:pStyle w:val="TableText"/>
            </w:pPr>
            <w:r w:rsidRPr="00F94B8B">
              <w:rPr>
                <w:color w:val="00B050"/>
              </w:rPr>
              <w:t>-</w:t>
            </w:r>
            <w:r w:rsidR="00052833"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73FC0A30" w14:textId="77777777" w:rsidR="00052833" w:rsidRDefault="00052833" w:rsidP="00F61DBC">
            <w:pPr>
              <w:pStyle w:val="TableText"/>
            </w:pPr>
            <w:r>
              <w:t>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71FC99A" w14:textId="77777777" w:rsidR="00052833" w:rsidRDefault="00052833" w:rsidP="00F61DBC">
            <w:pPr>
              <w:pStyle w:val="TableText"/>
            </w:pPr>
            <w:r>
              <w:t>1</w:t>
            </w:r>
          </w:p>
        </w:tc>
      </w:tr>
      <w:tr w:rsidR="00052833" w:rsidRPr="00C8094D" w14:paraId="64B579F2"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6F953F29" w14:textId="77777777" w:rsidR="00052833" w:rsidRDefault="00052833" w:rsidP="00F61DBC">
            <w:pPr>
              <w:pStyle w:val="TableText"/>
            </w:pPr>
            <w:r>
              <w:t>(5)</w:t>
            </w:r>
          </w:p>
        </w:tc>
        <w:tc>
          <w:tcPr>
            <w:tcW w:w="6292" w:type="dxa"/>
            <w:tcBorders>
              <w:top w:val="single" w:sz="4" w:space="0" w:color="auto"/>
              <w:bottom w:val="single" w:sz="4" w:space="0" w:color="auto"/>
              <w:right w:val="single" w:sz="4" w:space="0" w:color="auto"/>
            </w:tcBorders>
          </w:tcPr>
          <w:p w14:paraId="4BA4EC86" w14:textId="461EBF38" w:rsidR="00052833" w:rsidRDefault="00052833" w:rsidP="00F61DBC">
            <w:pPr>
              <w:pStyle w:val="TableText"/>
            </w:pPr>
            <w:r>
              <w:t xml:space="preserve">Implement </w:t>
            </w:r>
            <w:r w:rsidR="006614C7">
              <w:t>w</w:t>
            </w:r>
            <w:r>
              <w:t>ater-</w:t>
            </w:r>
            <w:r w:rsidR="006614C7">
              <w:t>e</w:t>
            </w:r>
            <w:r>
              <w:t xml:space="preserve">fficient </w:t>
            </w:r>
            <w:r w:rsidR="006614C7">
              <w:t>o</w:t>
            </w:r>
            <w:r>
              <w:t xml:space="preserve">perations, </w:t>
            </w:r>
            <w:r w:rsidR="00157BD6">
              <w:t>m</w:t>
            </w:r>
            <w:r>
              <w:t xml:space="preserve">aintenance, and </w:t>
            </w:r>
            <w:r w:rsidR="00157BD6">
              <w:t>u</w:t>
            </w:r>
            <w:r>
              <w:t xml:space="preserve">ser </w:t>
            </w:r>
            <w:r w:rsidR="00157BD6">
              <w:t>e</w:t>
            </w:r>
            <w:r>
              <w:t xml:space="preserve">ducation in </w:t>
            </w:r>
            <w:r w:rsidR="00157BD6">
              <w:t>r</w:t>
            </w:r>
            <w:r>
              <w:t xml:space="preserve">estrooms and </w:t>
            </w:r>
            <w:r w:rsidR="00157BD6">
              <w:t>c</w:t>
            </w:r>
            <w:r>
              <w:t>afeterias</w:t>
            </w:r>
          </w:p>
        </w:tc>
        <w:tc>
          <w:tcPr>
            <w:tcW w:w="628" w:type="dxa"/>
            <w:tcBorders>
              <w:top w:val="nil"/>
              <w:left w:val="single" w:sz="4" w:space="0" w:color="auto"/>
              <w:bottom w:val="single" w:sz="4" w:space="0" w:color="auto"/>
              <w:right w:val="single" w:sz="4" w:space="0" w:color="auto"/>
            </w:tcBorders>
            <w:shd w:val="clear" w:color="auto" w:fill="auto"/>
            <w:vAlign w:val="center"/>
          </w:tcPr>
          <w:p w14:paraId="1112A86D" w14:textId="77777777" w:rsidR="00052833" w:rsidRDefault="00052833" w:rsidP="00F61DBC">
            <w:pPr>
              <w:pStyle w:val="TableText"/>
            </w:pPr>
            <w:r>
              <w:t>0-$</w:t>
            </w:r>
          </w:p>
        </w:tc>
        <w:tc>
          <w:tcPr>
            <w:tcW w:w="629" w:type="dxa"/>
            <w:tcBorders>
              <w:top w:val="single" w:sz="4" w:space="0" w:color="auto"/>
              <w:left w:val="single" w:sz="4" w:space="0" w:color="auto"/>
              <w:bottom w:val="single" w:sz="4" w:space="0" w:color="auto"/>
              <w:right w:val="single" w:sz="4" w:space="0" w:color="auto"/>
            </w:tcBorders>
            <w:vAlign w:val="center"/>
          </w:tcPr>
          <w:p w14:paraId="13D4059D" w14:textId="377BF8E9" w:rsidR="00052833" w:rsidRPr="00AF3DE5" w:rsidRDefault="00F94B8B" w:rsidP="00F61DBC">
            <w:pPr>
              <w:pStyle w:val="TableText"/>
              <w:rPr>
                <w:i/>
                <w:iCs/>
              </w:rPr>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7E80B5C" w14:textId="77777777" w:rsidR="00052833" w:rsidRDefault="00052833" w:rsidP="00F61DBC">
            <w:pPr>
              <w:pStyle w:val="TableText"/>
            </w:pPr>
            <w:r>
              <w: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C08B286" w14:textId="77777777" w:rsidR="00052833" w:rsidRDefault="00052833" w:rsidP="00F61DBC">
            <w:pPr>
              <w:pStyle w:val="TableText"/>
            </w:pPr>
            <w:r>
              <w:t>1</w:t>
            </w:r>
          </w:p>
        </w:tc>
      </w:tr>
      <w:tr w:rsidR="00052833" w:rsidRPr="00C8094D" w14:paraId="156B22B2"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21142CC1" w14:textId="77777777" w:rsidR="00052833" w:rsidRPr="00C8094D" w:rsidRDefault="00052833" w:rsidP="00F61DBC">
            <w:pPr>
              <w:pStyle w:val="TableText"/>
            </w:pPr>
            <w:r>
              <w:t>(6)</w:t>
            </w:r>
          </w:p>
        </w:tc>
        <w:tc>
          <w:tcPr>
            <w:tcW w:w="6292" w:type="dxa"/>
            <w:tcBorders>
              <w:top w:val="single" w:sz="4" w:space="0" w:color="auto"/>
              <w:bottom w:val="single" w:sz="4" w:space="0" w:color="auto"/>
              <w:right w:val="single" w:sz="4" w:space="0" w:color="auto"/>
            </w:tcBorders>
          </w:tcPr>
          <w:p w14:paraId="1E05BAE9" w14:textId="7A644F07" w:rsidR="00052833" w:rsidRPr="00C8094D" w:rsidRDefault="00052833" w:rsidP="00F61DBC">
            <w:pPr>
              <w:pStyle w:val="TableText"/>
            </w:pPr>
            <w:r>
              <w:t xml:space="preserve">Eliminate </w:t>
            </w:r>
            <w:r w:rsidR="00157BD6">
              <w:t>i</w:t>
            </w:r>
            <w:r>
              <w:t xml:space="preserve">rrigated </w:t>
            </w:r>
            <w:r w:rsidR="00157BD6">
              <w:t>n</w:t>
            </w:r>
            <w:r>
              <w:t>on-</w:t>
            </w:r>
            <w:r w:rsidR="00157BD6">
              <w:t>f</w:t>
            </w:r>
            <w:r>
              <w:t xml:space="preserve">unctional </w:t>
            </w:r>
            <w:r w:rsidR="00543A4F">
              <w:t xml:space="preserve">turf </w:t>
            </w:r>
            <w:r>
              <w:t xml:space="preserve">and </w:t>
            </w:r>
            <w:r w:rsidR="00157BD6">
              <w:t>i</w:t>
            </w:r>
            <w:r>
              <w:t xml:space="preserve">nstall </w:t>
            </w:r>
            <w:r w:rsidR="00157BD6">
              <w:t>w</w:t>
            </w:r>
            <w:r>
              <w:t>ater-</w:t>
            </w:r>
            <w:r w:rsidR="00157BD6">
              <w:t>e</w:t>
            </w:r>
            <w:r>
              <w:t xml:space="preserve">fficient </w:t>
            </w:r>
            <w:r w:rsidR="00157BD6">
              <w:t>l</w:t>
            </w:r>
            <w:r>
              <w:t>andscaping</w:t>
            </w:r>
          </w:p>
        </w:tc>
        <w:tc>
          <w:tcPr>
            <w:tcW w:w="628" w:type="dxa"/>
            <w:tcBorders>
              <w:top w:val="nil"/>
              <w:left w:val="single" w:sz="4" w:space="0" w:color="auto"/>
              <w:bottom w:val="single" w:sz="4" w:space="0" w:color="auto"/>
              <w:right w:val="single" w:sz="4" w:space="0" w:color="auto"/>
            </w:tcBorders>
            <w:shd w:val="clear" w:color="auto" w:fill="auto"/>
            <w:vAlign w:val="center"/>
          </w:tcPr>
          <w:p w14:paraId="5CE04B78" w14:textId="77777777" w:rsidR="00052833" w:rsidRPr="00F45120"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23BC17BB" w14:textId="3549DBD3"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01E7324F" w14:textId="77777777" w:rsidR="00052833" w:rsidRPr="00F45120" w:rsidRDefault="00052833" w:rsidP="00F61DBC">
            <w:pPr>
              <w:pStyle w:val="TableText"/>
            </w:pPr>
            <w:r>
              <w:t>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1D81BE38" w14:textId="77777777" w:rsidR="00052833" w:rsidRPr="00F45120" w:rsidRDefault="00052833" w:rsidP="00F61DBC">
            <w:pPr>
              <w:pStyle w:val="TableText"/>
            </w:pPr>
            <w:r>
              <w:t>3</w:t>
            </w:r>
          </w:p>
        </w:tc>
      </w:tr>
      <w:tr w:rsidR="00052833" w:rsidRPr="00C8094D" w14:paraId="4C112EF1"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4A1EC18F" w14:textId="77777777" w:rsidR="00052833" w:rsidRPr="00C8094D" w:rsidRDefault="00052833" w:rsidP="00F61DBC">
            <w:pPr>
              <w:pStyle w:val="TableText"/>
            </w:pPr>
            <w:r>
              <w:t>(7)</w:t>
            </w:r>
          </w:p>
        </w:tc>
        <w:tc>
          <w:tcPr>
            <w:tcW w:w="6292" w:type="dxa"/>
            <w:tcBorders>
              <w:top w:val="single" w:sz="4" w:space="0" w:color="auto"/>
              <w:bottom w:val="single" w:sz="4" w:space="0" w:color="auto"/>
              <w:right w:val="single" w:sz="4" w:space="0" w:color="auto"/>
            </w:tcBorders>
          </w:tcPr>
          <w:p w14:paraId="18F45BF3" w14:textId="2B889A08" w:rsidR="00052833" w:rsidRDefault="00052833" w:rsidP="00F61DBC">
            <w:pPr>
              <w:pStyle w:val="TableText"/>
            </w:pPr>
            <w:r>
              <w:t xml:space="preserve">Optimize </w:t>
            </w:r>
            <w:r w:rsidR="00157BD6">
              <w:t>i</w:t>
            </w:r>
            <w:r>
              <w:t xml:space="preserve">rrigation </w:t>
            </w:r>
            <w:r w:rsidR="00157BD6">
              <w:t>s</w:t>
            </w:r>
            <w:r>
              <w:t xml:space="preserve">ystems and </w:t>
            </w:r>
            <w:r w:rsidR="00157BD6">
              <w:t>i</w:t>
            </w:r>
            <w:r>
              <w:t xml:space="preserve">nstall WaterSense </w:t>
            </w:r>
            <w:r w:rsidR="00157BD6">
              <w:t>l</w:t>
            </w:r>
            <w:r>
              <w:t xml:space="preserve">abeled </w:t>
            </w:r>
            <w:r w:rsidR="00157BD6">
              <w:t>i</w:t>
            </w:r>
            <w:r>
              <w:t xml:space="preserve">rrigation </w:t>
            </w:r>
            <w:r w:rsidR="00157BD6">
              <w:t>p</w:t>
            </w:r>
            <w:r>
              <w:t>roducts</w:t>
            </w:r>
          </w:p>
        </w:tc>
        <w:tc>
          <w:tcPr>
            <w:tcW w:w="628" w:type="dxa"/>
            <w:tcBorders>
              <w:top w:val="nil"/>
              <w:left w:val="single" w:sz="4" w:space="0" w:color="auto"/>
              <w:bottom w:val="single" w:sz="4" w:space="0" w:color="auto"/>
              <w:right w:val="single" w:sz="4" w:space="0" w:color="auto"/>
            </w:tcBorders>
            <w:shd w:val="clear" w:color="auto" w:fill="auto"/>
            <w:vAlign w:val="center"/>
          </w:tcPr>
          <w:p w14:paraId="71783A50" w14:textId="77777777" w:rsidR="00052833" w:rsidRPr="00F45120"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2C620261" w14:textId="688C7442"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7020BB2" w14:textId="77777777" w:rsidR="00052833" w:rsidRPr="00F45120" w:rsidRDefault="00052833" w:rsidP="00F61DBC">
            <w:pPr>
              <w:pStyle w:val="TableText"/>
            </w:pPr>
            <w:r>
              <w:t>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348777F1" w14:textId="77777777" w:rsidR="00052833" w:rsidRPr="00F45120" w:rsidRDefault="00052833" w:rsidP="00F61DBC">
            <w:pPr>
              <w:pStyle w:val="TableText"/>
            </w:pPr>
            <w:r>
              <w:t>1</w:t>
            </w:r>
          </w:p>
        </w:tc>
      </w:tr>
      <w:tr w:rsidR="00052833" w:rsidRPr="00C8094D" w14:paraId="25ADB98E"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4A42BDF3" w14:textId="77777777" w:rsidR="00052833" w:rsidRPr="00C8094D" w:rsidRDefault="00052833" w:rsidP="00F61DBC">
            <w:pPr>
              <w:pStyle w:val="TableText"/>
            </w:pPr>
            <w:r>
              <w:t>(8)</w:t>
            </w:r>
          </w:p>
        </w:tc>
        <w:tc>
          <w:tcPr>
            <w:tcW w:w="6292" w:type="dxa"/>
            <w:tcBorders>
              <w:top w:val="single" w:sz="4" w:space="0" w:color="auto"/>
              <w:bottom w:val="single" w:sz="4" w:space="0" w:color="auto"/>
              <w:right w:val="single" w:sz="4" w:space="0" w:color="auto"/>
            </w:tcBorders>
          </w:tcPr>
          <w:p w14:paraId="7D7DEA6A" w14:textId="07B7A210" w:rsidR="00052833" w:rsidRPr="00C8094D" w:rsidRDefault="00052833" w:rsidP="00F61DBC">
            <w:pPr>
              <w:pStyle w:val="TableText"/>
            </w:pPr>
            <w:r>
              <w:t xml:space="preserve">Eliminate </w:t>
            </w:r>
            <w:r w:rsidR="00157BD6">
              <w:t>s</w:t>
            </w:r>
            <w:r>
              <w:t>ingle-</w:t>
            </w:r>
            <w:r w:rsidR="00157BD6">
              <w:t>p</w:t>
            </w:r>
            <w:r>
              <w:t xml:space="preserve">ass </w:t>
            </w:r>
            <w:r w:rsidR="00157BD6">
              <w:t>c</w:t>
            </w:r>
            <w:r>
              <w:t>ooling</w:t>
            </w:r>
          </w:p>
        </w:tc>
        <w:tc>
          <w:tcPr>
            <w:tcW w:w="628" w:type="dxa"/>
            <w:tcBorders>
              <w:top w:val="nil"/>
              <w:left w:val="single" w:sz="4" w:space="0" w:color="auto"/>
              <w:bottom w:val="single" w:sz="4" w:space="0" w:color="auto"/>
              <w:right w:val="single" w:sz="4" w:space="0" w:color="auto"/>
            </w:tcBorders>
            <w:shd w:val="clear" w:color="auto" w:fill="auto"/>
            <w:vAlign w:val="center"/>
          </w:tcPr>
          <w:p w14:paraId="6296EE39" w14:textId="77777777" w:rsidR="00052833" w:rsidRPr="00F45120"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533DFB83" w14:textId="0CF46A50"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0BE6C5A2" w14:textId="77777777" w:rsidR="00052833" w:rsidRPr="00F45120" w:rsidRDefault="00052833" w:rsidP="00F61DBC">
            <w:pPr>
              <w:pStyle w:val="TableText"/>
            </w:pPr>
            <w:r>
              <w:t>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F3880B0" w14:textId="77777777" w:rsidR="00052833" w:rsidRPr="00F45120" w:rsidRDefault="00052833" w:rsidP="00F61DBC">
            <w:pPr>
              <w:pStyle w:val="TableText"/>
            </w:pPr>
            <w:r>
              <w:t>1</w:t>
            </w:r>
          </w:p>
        </w:tc>
      </w:tr>
      <w:tr w:rsidR="00052833" w:rsidRPr="00C8094D" w14:paraId="6ED8ACD4"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14B4395B" w14:textId="77777777" w:rsidR="00052833" w:rsidRPr="00C8094D" w:rsidRDefault="00052833" w:rsidP="00F61DBC">
            <w:pPr>
              <w:pStyle w:val="TableText"/>
            </w:pPr>
            <w:r>
              <w:t>(9)</w:t>
            </w:r>
          </w:p>
        </w:tc>
        <w:tc>
          <w:tcPr>
            <w:tcW w:w="6292" w:type="dxa"/>
            <w:tcBorders>
              <w:top w:val="single" w:sz="4" w:space="0" w:color="auto"/>
              <w:bottom w:val="single" w:sz="4" w:space="0" w:color="auto"/>
              <w:right w:val="single" w:sz="4" w:space="0" w:color="auto"/>
            </w:tcBorders>
          </w:tcPr>
          <w:p w14:paraId="61091772" w14:textId="3AE3B1B5" w:rsidR="00052833" w:rsidRDefault="00052833" w:rsidP="00F61DBC">
            <w:pPr>
              <w:pStyle w:val="TableText"/>
            </w:pPr>
            <w:r>
              <w:t xml:space="preserve">Optimize </w:t>
            </w:r>
            <w:r w:rsidR="00157BD6">
              <w:t>c</w:t>
            </w:r>
            <w:r>
              <w:t xml:space="preserve">ooling </w:t>
            </w:r>
            <w:r w:rsidR="00157BD6">
              <w:t>t</w:t>
            </w:r>
            <w:r>
              <w:t xml:space="preserve">owers and </w:t>
            </w:r>
            <w:r w:rsidR="00157BD6">
              <w:t>s</w:t>
            </w:r>
            <w:r>
              <w:t xml:space="preserve">team </w:t>
            </w:r>
            <w:r w:rsidR="00157BD6">
              <w:t>b</w:t>
            </w:r>
            <w:r>
              <w:t>oilers</w:t>
            </w:r>
          </w:p>
        </w:tc>
        <w:tc>
          <w:tcPr>
            <w:tcW w:w="628" w:type="dxa"/>
            <w:tcBorders>
              <w:top w:val="nil"/>
              <w:left w:val="single" w:sz="4" w:space="0" w:color="auto"/>
              <w:bottom w:val="single" w:sz="4" w:space="0" w:color="auto"/>
              <w:right w:val="single" w:sz="4" w:space="0" w:color="auto"/>
            </w:tcBorders>
            <w:shd w:val="clear" w:color="auto" w:fill="auto"/>
            <w:vAlign w:val="center"/>
          </w:tcPr>
          <w:p w14:paraId="34D563E1" w14:textId="77777777" w:rsidR="00052833" w:rsidRPr="00F45120"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7965850D" w14:textId="05642AB3"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6AE4D84" w14:textId="77777777" w:rsidR="00052833" w:rsidRPr="00F45120" w:rsidRDefault="00052833" w:rsidP="00F61DBC">
            <w:pPr>
              <w:pStyle w:val="TableText"/>
            </w:pPr>
            <w:r>
              <w: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7E09C4B" w14:textId="77777777" w:rsidR="00052833" w:rsidRPr="00F45120" w:rsidRDefault="00052833" w:rsidP="00F61DBC">
            <w:pPr>
              <w:pStyle w:val="TableText"/>
            </w:pPr>
            <w:r>
              <w:t>1</w:t>
            </w:r>
          </w:p>
        </w:tc>
      </w:tr>
      <w:tr w:rsidR="00052833" w:rsidRPr="00C8094D" w14:paraId="1A229CF5"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096B3B14" w14:textId="77777777" w:rsidR="00052833" w:rsidRDefault="00052833" w:rsidP="00F61DBC">
            <w:pPr>
              <w:pStyle w:val="TableText"/>
            </w:pPr>
            <w:r>
              <w:t>(10)</w:t>
            </w:r>
          </w:p>
        </w:tc>
        <w:tc>
          <w:tcPr>
            <w:tcW w:w="6292" w:type="dxa"/>
            <w:tcBorders>
              <w:top w:val="single" w:sz="4" w:space="0" w:color="auto"/>
              <w:bottom w:val="single" w:sz="4" w:space="0" w:color="auto"/>
              <w:right w:val="single" w:sz="4" w:space="0" w:color="auto"/>
            </w:tcBorders>
          </w:tcPr>
          <w:p w14:paraId="71C61DB1" w14:textId="010D1054" w:rsidR="00052833" w:rsidRDefault="00052833" w:rsidP="00F61DBC">
            <w:pPr>
              <w:pStyle w:val="TableText"/>
            </w:pPr>
            <w:r>
              <w:t xml:space="preserve">Optimize </w:t>
            </w:r>
            <w:r w:rsidR="00157BD6">
              <w:t>w</w:t>
            </w:r>
            <w:r>
              <w:t xml:space="preserve">ater </w:t>
            </w:r>
            <w:r w:rsidR="00157BD6">
              <w:t>e</w:t>
            </w:r>
            <w:r>
              <w:t xml:space="preserve">fficiency of </w:t>
            </w:r>
            <w:r w:rsidR="00157BD6">
              <w:t>u</w:t>
            </w:r>
            <w:r>
              <w:t xml:space="preserve">ncommon </w:t>
            </w:r>
            <w:r w:rsidR="00157BD6">
              <w:t>e</w:t>
            </w:r>
            <w:r>
              <w:t xml:space="preserve">nd </w:t>
            </w:r>
            <w:r w:rsidR="00157BD6">
              <w:t>u</w:t>
            </w:r>
            <w:r>
              <w:t xml:space="preserve">ses, </w:t>
            </w:r>
            <w:r w:rsidR="00157BD6">
              <w:t>w</w:t>
            </w:r>
            <w:r>
              <w:t xml:space="preserve">here </w:t>
            </w:r>
            <w:r w:rsidR="00157BD6">
              <w:t>a</w:t>
            </w:r>
            <w:r>
              <w:t>pplicable (</w:t>
            </w:r>
            <w:r w:rsidR="00157BD6">
              <w:t>p</w:t>
            </w:r>
            <w:r>
              <w:t xml:space="preserve">ools, </w:t>
            </w:r>
            <w:r w:rsidR="00157BD6">
              <w:t>l</w:t>
            </w:r>
            <w:r>
              <w:t xml:space="preserve">aundries, </w:t>
            </w:r>
            <w:r w:rsidR="00157BD6">
              <w:t>l</w:t>
            </w:r>
            <w:r>
              <w:t>aboratories)</w:t>
            </w:r>
          </w:p>
        </w:tc>
        <w:tc>
          <w:tcPr>
            <w:tcW w:w="628" w:type="dxa"/>
            <w:tcBorders>
              <w:top w:val="nil"/>
              <w:left w:val="single" w:sz="4" w:space="0" w:color="auto"/>
              <w:bottom w:val="single" w:sz="4" w:space="0" w:color="auto"/>
              <w:right w:val="single" w:sz="4" w:space="0" w:color="auto"/>
            </w:tcBorders>
            <w:shd w:val="clear" w:color="auto" w:fill="auto"/>
            <w:vAlign w:val="center"/>
          </w:tcPr>
          <w:p w14:paraId="586E0EAD" w14:textId="77777777" w:rsidR="00052833"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1135FAF6" w14:textId="56AF9525"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5EE9695C" w14:textId="77777777" w:rsidR="00052833" w:rsidRPr="00F45120" w:rsidRDefault="00052833" w:rsidP="00F61DBC">
            <w:pPr>
              <w:pStyle w:val="TableText"/>
            </w:pPr>
            <w:r>
              <w:t>1-3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3B7BDEE4" w14:textId="77777777" w:rsidR="00052833" w:rsidRPr="00F45120" w:rsidRDefault="00052833" w:rsidP="00F61DBC">
            <w:pPr>
              <w:pStyle w:val="TableText"/>
            </w:pPr>
            <w:r>
              <w:t>1</w:t>
            </w:r>
          </w:p>
        </w:tc>
      </w:tr>
      <w:tr w:rsidR="00052833" w:rsidRPr="00C8094D" w14:paraId="56E246AE" w14:textId="77777777" w:rsidTr="00F61DBC">
        <w:trPr>
          <w:cantSplit/>
          <w:trHeight w:val="255"/>
          <w:tblHeader/>
          <w:jc w:val="center"/>
        </w:trPr>
        <w:tc>
          <w:tcPr>
            <w:tcW w:w="683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CEC2B76" w14:textId="77777777" w:rsidR="00052833" w:rsidRPr="007254CD" w:rsidRDefault="00052833" w:rsidP="006F0602">
            <w:pPr>
              <w:pStyle w:val="TableRowHeader"/>
            </w:pPr>
            <w:r w:rsidRPr="007254CD">
              <w:t>Use Alternative Water Sources</w:t>
            </w:r>
            <w:r>
              <w:t xml:space="preserve"> </w:t>
            </w:r>
          </w:p>
        </w:tc>
        <w:tc>
          <w:tcPr>
            <w:tcW w:w="628"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B4C1A25" w14:textId="77777777" w:rsidR="00052833" w:rsidRPr="00F45120"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193D3D5" w14:textId="77777777" w:rsidR="00052833" w:rsidRPr="00F45120"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F327CC7" w14:textId="77777777" w:rsidR="00052833" w:rsidRPr="00F45120" w:rsidRDefault="00052833" w:rsidP="006F0602">
            <w:pPr>
              <w:pStyle w:val="TableRowHeader"/>
            </w:pPr>
          </w:p>
        </w:tc>
        <w:tc>
          <w:tcPr>
            <w:tcW w:w="629"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EE9B570" w14:textId="77777777" w:rsidR="00052833" w:rsidRPr="00F45120" w:rsidRDefault="00052833" w:rsidP="006F0602">
            <w:pPr>
              <w:pStyle w:val="TableRowHeader"/>
            </w:pPr>
          </w:p>
        </w:tc>
      </w:tr>
      <w:tr w:rsidR="00052833" w:rsidRPr="00C8094D" w14:paraId="5725F116" w14:textId="77777777" w:rsidTr="00F61DBC">
        <w:trPr>
          <w:cantSplit/>
          <w:trHeight w:val="255"/>
          <w:tblHeader/>
          <w:jc w:val="center"/>
        </w:trPr>
        <w:tc>
          <w:tcPr>
            <w:tcW w:w="543" w:type="dxa"/>
            <w:tcBorders>
              <w:top w:val="single" w:sz="4" w:space="0" w:color="auto"/>
              <w:left w:val="single" w:sz="4" w:space="0" w:color="auto"/>
              <w:bottom w:val="single" w:sz="4" w:space="0" w:color="auto"/>
            </w:tcBorders>
            <w:shd w:val="clear" w:color="auto" w:fill="auto"/>
          </w:tcPr>
          <w:p w14:paraId="41BE5581" w14:textId="77777777" w:rsidR="00052833" w:rsidRDefault="00052833" w:rsidP="00F61DBC">
            <w:pPr>
              <w:pStyle w:val="TableText"/>
            </w:pPr>
            <w:r>
              <w:t>(11)</w:t>
            </w:r>
          </w:p>
        </w:tc>
        <w:tc>
          <w:tcPr>
            <w:tcW w:w="6292" w:type="dxa"/>
            <w:tcBorders>
              <w:top w:val="single" w:sz="4" w:space="0" w:color="auto"/>
              <w:bottom w:val="single" w:sz="4" w:space="0" w:color="auto"/>
              <w:right w:val="single" w:sz="4" w:space="0" w:color="auto"/>
            </w:tcBorders>
          </w:tcPr>
          <w:p w14:paraId="3DE31CF7" w14:textId="27D74AC0" w:rsidR="00052833" w:rsidRPr="006C255E" w:rsidRDefault="00052833" w:rsidP="00F61DBC">
            <w:pPr>
              <w:pStyle w:val="TableText"/>
            </w:pPr>
            <w:bookmarkStart w:id="107" w:name="_Hlk172144445"/>
            <w:r>
              <w:t xml:space="preserve">Use </w:t>
            </w:r>
            <w:r w:rsidR="00157BD6">
              <w:t>o</w:t>
            </w:r>
            <w:r>
              <w:t xml:space="preserve">nsite </w:t>
            </w:r>
            <w:r w:rsidR="00157BD6">
              <w:t>a</w:t>
            </w:r>
            <w:r>
              <w:t xml:space="preserve">lternative </w:t>
            </w:r>
            <w:r w:rsidR="00157BD6">
              <w:t>w</w:t>
            </w:r>
            <w:r>
              <w:t xml:space="preserve">ater </w:t>
            </w:r>
            <w:r w:rsidR="00157BD6">
              <w:t>s</w:t>
            </w:r>
            <w:r>
              <w:t xml:space="preserve">ources for </w:t>
            </w:r>
            <w:r w:rsidR="00157BD6">
              <w:t>i</w:t>
            </w:r>
            <w:r>
              <w:t xml:space="preserve">rrigation, </w:t>
            </w:r>
            <w:r w:rsidR="00157BD6">
              <w:t>c</w:t>
            </w:r>
            <w:r>
              <w:t xml:space="preserve">ooling </w:t>
            </w:r>
            <w:r w:rsidR="00157BD6">
              <w:t>t</w:t>
            </w:r>
            <w:r>
              <w:t xml:space="preserve">owers, and </w:t>
            </w:r>
            <w:r w:rsidR="00157BD6">
              <w:t>t</w:t>
            </w:r>
            <w:r>
              <w:t xml:space="preserve">oilet and </w:t>
            </w:r>
            <w:r w:rsidR="00157BD6">
              <w:t>u</w:t>
            </w:r>
            <w:r>
              <w:t xml:space="preserve">rinal </w:t>
            </w:r>
            <w:r w:rsidR="008D35BE">
              <w:t>f</w:t>
            </w:r>
            <w:r>
              <w:t>lushing</w:t>
            </w:r>
            <w:bookmarkEnd w:id="107"/>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14:paraId="4CDB072C" w14:textId="77777777" w:rsidR="00052833" w:rsidRPr="00F45120" w:rsidRDefault="00052833" w:rsidP="00F61DBC">
            <w:pPr>
              <w:pStyle w:val="TableText"/>
            </w:pPr>
            <w:r>
              <w:t>$-$$$</w:t>
            </w:r>
          </w:p>
        </w:tc>
        <w:tc>
          <w:tcPr>
            <w:tcW w:w="629" w:type="dxa"/>
            <w:tcBorders>
              <w:top w:val="single" w:sz="4" w:space="0" w:color="auto"/>
              <w:left w:val="single" w:sz="4" w:space="0" w:color="auto"/>
              <w:bottom w:val="single" w:sz="4" w:space="0" w:color="auto"/>
              <w:right w:val="single" w:sz="4" w:space="0" w:color="auto"/>
            </w:tcBorders>
            <w:vAlign w:val="center"/>
          </w:tcPr>
          <w:p w14:paraId="09AEFBDA" w14:textId="613E26A5" w:rsidR="00052833" w:rsidRPr="00F45120" w:rsidRDefault="00F94B8B" w:rsidP="00F61DBC">
            <w:pPr>
              <w:pStyle w:val="TableText"/>
            </w:pPr>
            <w:r w:rsidRPr="00F94B8B">
              <w:rPr>
                <w:color w:val="00B050"/>
              </w:rPr>
              <w:t>-$</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19009E02" w14:textId="77777777" w:rsidR="00052833" w:rsidRPr="00F45120" w:rsidRDefault="00052833" w:rsidP="00F61DBC">
            <w:pPr>
              <w:pStyle w:val="TableText"/>
            </w:pPr>
            <w:r>
              <w:t>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7BA74F7" w14:textId="77777777" w:rsidR="00052833" w:rsidRPr="00F45120" w:rsidRDefault="00052833" w:rsidP="00F61DBC">
            <w:pPr>
              <w:pStyle w:val="TableText"/>
            </w:pPr>
            <w:r>
              <w:t>3</w:t>
            </w:r>
          </w:p>
        </w:tc>
      </w:tr>
      <w:tr w:rsidR="006F0602" w:rsidRPr="00C8094D" w14:paraId="1BABB65B" w14:textId="77777777" w:rsidTr="006F0602">
        <w:trPr>
          <w:cantSplit/>
          <w:trHeight w:val="1313"/>
          <w:tblHeader/>
          <w:jc w:val="center"/>
        </w:trPr>
        <w:tc>
          <w:tcPr>
            <w:tcW w:w="9350" w:type="dxa"/>
            <w:gridSpan w:val="6"/>
            <w:tcBorders>
              <w:top w:val="single" w:sz="4" w:space="0" w:color="auto"/>
              <w:left w:val="single" w:sz="4" w:space="0" w:color="auto"/>
              <w:bottom w:val="single" w:sz="4" w:space="0" w:color="auto"/>
              <w:right w:val="single" w:sz="4" w:space="0" w:color="auto"/>
            </w:tcBorders>
            <w:shd w:val="clear" w:color="auto" w:fill="auto"/>
          </w:tcPr>
          <w:p w14:paraId="417A7694" w14:textId="77777777" w:rsidR="006F0602" w:rsidRPr="006F0602" w:rsidRDefault="006F0602" w:rsidP="006F0602">
            <w:pPr>
              <w:rPr>
                <w:rFonts w:ascii="Arial" w:hAnsi="Arial" w:cs="Arial"/>
                <w:b/>
                <w:bCs/>
                <w:sz w:val="20"/>
                <w:szCs w:val="20"/>
                <w:u w:val="single"/>
              </w:rPr>
            </w:pPr>
            <w:r w:rsidRPr="006F0602">
              <w:rPr>
                <w:rFonts w:ascii="Arial" w:hAnsi="Arial" w:cs="Arial"/>
                <w:b/>
                <w:bCs/>
                <w:sz w:val="20"/>
                <w:szCs w:val="20"/>
                <w:u w:val="single"/>
              </w:rPr>
              <w:t>Key:</w:t>
            </w:r>
          </w:p>
          <w:p w14:paraId="1223EF6C" w14:textId="455C5F13" w:rsidR="006F0602" w:rsidRPr="006F0602" w:rsidRDefault="006F0602" w:rsidP="006F0602">
            <w:pPr>
              <w:rPr>
                <w:rFonts w:ascii="Arial" w:hAnsi="Arial" w:cs="Arial"/>
                <w:sz w:val="20"/>
                <w:szCs w:val="20"/>
              </w:rPr>
            </w:pPr>
            <w:r w:rsidRPr="00A739F9">
              <w:rPr>
                <w:rFonts w:ascii="Arial" w:hAnsi="Arial" w:cs="Arial"/>
                <w:b/>
                <w:bCs/>
                <w:sz w:val="20"/>
                <w:szCs w:val="20"/>
              </w:rPr>
              <w:t>Cost:</w:t>
            </w:r>
            <w:r w:rsidRPr="006F0602">
              <w:rPr>
                <w:rFonts w:ascii="Arial" w:hAnsi="Arial" w:cs="Arial"/>
                <w:sz w:val="20"/>
                <w:szCs w:val="20"/>
              </w:rPr>
              <w:t xml:space="preserve"> 0 = no cost; $ = low cost (&lt;$25k), $$ = medium cost ($25-100k), $$$ = high cost (&gt;$100k) </w:t>
            </w:r>
          </w:p>
          <w:p w14:paraId="07A4CC0B" w14:textId="42E8E0AF" w:rsidR="006F0602" w:rsidRPr="006F0602" w:rsidRDefault="006F0602" w:rsidP="006F0602">
            <w:pPr>
              <w:rPr>
                <w:rFonts w:ascii="Arial" w:hAnsi="Arial" w:cs="Arial"/>
                <w:sz w:val="20"/>
                <w:szCs w:val="20"/>
              </w:rPr>
            </w:pPr>
            <w:r w:rsidRPr="006A6A41">
              <w:rPr>
                <w:rFonts w:ascii="Arial" w:hAnsi="Arial" w:cs="Arial"/>
                <w:b/>
                <w:bCs/>
                <w:sz w:val="20"/>
                <w:szCs w:val="20"/>
              </w:rPr>
              <w:t>Implementation Timeframe</w:t>
            </w:r>
            <w:r w:rsidRPr="006F0602">
              <w:rPr>
                <w:rFonts w:ascii="Arial" w:hAnsi="Arial" w:cs="Arial"/>
                <w:sz w:val="20"/>
                <w:szCs w:val="20"/>
              </w:rPr>
              <w:t>: 1 = near-term (0-3 months); 2 = medium-term (4-12 months); 3 = long-term (</w:t>
            </w:r>
            <w:r w:rsidR="004E2293">
              <w:rPr>
                <w:rFonts w:ascii="Arial" w:hAnsi="Arial" w:cs="Arial"/>
                <w:sz w:val="20"/>
                <w:szCs w:val="20"/>
              </w:rPr>
              <w:t>&gt;</w:t>
            </w:r>
            <w:r w:rsidRPr="006F0602">
              <w:rPr>
                <w:rFonts w:ascii="Arial" w:hAnsi="Arial" w:cs="Arial"/>
                <w:sz w:val="20"/>
                <w:szCs w:val="20"/>
              </w:rPr>
              <w:t>12 months)</w:t>
            </w:r>
          </w:p>
          <w:p w14:paraId="20B082D5" w14:textId="77777777" w:rsidR="006F0602" w:rsidRDefault="006F0602" w:rsidP="006F0602">
            <w:pPr>
              <w:rPr>
                <w:rFonts w:ascii="Arial" w:hAnsi="Arial" w:cs="Arial"/>
                <w:sz w:val="20"/>
                <w:szCs w:val="20"/>
              </w:rPr>
            </w:pPr>
            <w:r w:rsidRPr="006A6A41">
              <w:rPr>
                <w:rFonts w:ascii="Arial" w:hAnsi="Arial" w:cs="Arial"/>
                <w:b/>
                <w:bCs/>
                <w:sz w:val="20"/>
                <w:szCs w:val="20"/>
              </w:rPr>
              <w:t>Ease of Implementation:</w:t>
            </w:r>
            <w:r w:rsidRPr="006F0602">
              <w:rPr>
                <w:rFonts w:ascii="Arial" w:hAnsi="Arial" w:cs="Arial"/>
                <w:sz w:val="20"/>
                <w:szCs w:val="20"/>
              </w:rPr>
              <w:t xml:space="preserve"> 1= easier to implement; 3 = more difficult to implement</w:t>
            </w:r>
          </w:p>
          <w:p w14:paraId="0E74E442" w14:textId="77777777" w:rsidR="00906305" w:rsidRDefault="00906305" w:rsidP="006F0602">
            <w:pPr>
              <w:rPr>
                <w:rFonts w:ascii="Arial" w:hAnsi="Arial" w:cs="Arial"/>
                <w:sz w:val="20"/>
                <w:szCs w:val="22"/>
              </w:rPr>
            </w:pPr>
            <w:r w:rsidRPr="00906305">
              <w:rPr>
                <w:rFonts w:ascii="Arial" w:hAnsi="Arial" w:cs="Arial"/>
                <w:sz w:val="20"/>
                <w:szCs w:val="22"/>
              </w:rPr>
              <w:t>Note: Negative costs (presented in green and with a negative sign) suggest a measure will likely contribute to reduced operating costs.</w:t>
            </w:r>
          </w:p>
          <w:p w14:paraId="32B24C3B" w14:textId="77777777" w:rsidR="002C75FB" w:rsidRDefault="002C75FB" w:rsidP="006F0602">
            <w:pPr>
              <w:rPr>
                <w:rFonts w:ascii="Arial" w:hAnsi="Arial" w:cs="Arial"/>
                <w:sz w:val="20"/>
                <w:szCs w:val="22"/>
              </w:rPr>
            </w:pPr>
          </w:p>
          <w:p w14:paraId="2CD8FE97" w14:textId="6FE40669" w:rsidR="002C75FB" w:rsidRPr="00906305" w:rsidRDefault="002C75FB" w:rsidP="002C75FB">
            <w:pPr>
              <w:pStyle w:val="TableText"/>
              <w:rPr>
                <w:szCs w:val="22"/>
              </w:rPr>
            </w:pPr>
            <w:r>
              <w:t xml:space="preserve">Note: </w:t>
            </w:r>
            <w:r w:rsidRPr="009D0139">
              <w:rPr>
                <w:color w:val="00B050"/>
              </w:rPr>
              <w:t>-$</w:t>
            </w:r>
            <w:r>
              <w:t xml:space="preserve"> </w:t>
            </w:r>
            <w:r w:rsidRPr="005F67DA">
              <w:t>(presented in green and with a negative sign)</w:t>
            </w:r>
            <w:r>
              <w:t xml:space="preserve"> = Cost savings</w:t>
            </w:r>
            <w:r w:rsidRPr="005F67DA">
              <w:t xml:space="preserve"> </w:t>
            </w:r>
            <w:r>
              <w:t>(</w:t>
            </w:r>
            <w:r w:rsidRPr="005F67DA">
              <w:t>a measure will likely contribute to reduced operating costs</w:t>
            </w:r>
            <w:r>
              <w:t>)</w:t>
            </w:r>
          </w:p>
        </w:tc>
      </w:tr>
    </w:tbl>
    <w:p w14:paraId="0D7EFDD6" w14:textId="77777777" w:rsidR="008E18E5" w:rsidRDefault="008E18E5" w:rsidP="008805E1"/>
    <w:p w14:paraId="54EE0E24" w14:textId="27AF2554" w:rsidR="00BD7D67" w:rsidRDefault="00BD7D67" w:rsidP="00BD7D67">
      <w:pPr>
        <w:pStyle w:val="Heading3"/>
      </w:pPr>
      <w:r w:rsidRPr="00B40F18">
        <w:t xml:space="preserve">Barriers and Challenges </w:t>
      </w:r>
    </w:p>
    <w:p w14:paraId="4BA1555E" w14:textId="478DD119" w:rsidR="00BD7D67" w:rsidRDefault="00BD7D67" w:rsidP="006D7DE6">
      <w:pPr>
        <w:pStyle w:val="BodyTextFirstIndent"/>
      </w:pPr>
      <w:r>
        <w:t xml:space="preserve">The two primary barriers and challenges to optimizing water efficiency in schools are necessary funding and staff availability. Schools and school districts may not have </w:t>
      </w:r>
      <w:r>
        <w:lastRenderedPageBreak/>
        <w:t>funding for some of the larger-scale water efficiency projects identified in this section,</w:t>
      </w:r>
      <w:r w:rsidR="005606DE">
        <w:t xml:space="preserve"> </w:t>
      </w:r>
      <w:r>
        <w:t xml:space="preserve">but </w:t>
      </w:r>
      <w:r w:rsidR="00CF7843">
        <w:t xml:space="preserve">they </w:t>
      </w:r>
      <w:r>
        <w:t>may be able to implement the lower-cost projects</w:t>
      </w:r>
      <w:r w:rsidR="00CF7843">
        <w:t xml:space="preserve"> more easily</w:t>
      </w:r>
      <w:r>
        <w:t xml:space="preserve">. </w:t>
      </w:r>
    </w:p>
    <w:p w14:paraId="0754CC45" w14:textId="2346E810" w:rsidR="00BD7D67" w:rsidRDefault="00BD7D67" w:rsidP="006D7DE6">
      <w:pPr>
        <w:pStyle w:val="BodyTextFirstIndent"/>
      </w:pPr>
      <w:r>
        <w:t xml:space="preserve">Some water efficiency methods and best practices require trained and knowledgeable staff. For example, facility water assessments and irrigation system audits require trained professionals to accurately and efficiently evaluate buildings and systems and identify efficiency opportunities. Some schools </w:t>
      </w:r>
      <w:r w:rsidR="006C1397">
        <w:t>may not</w:t>
      </w:r>
      <w:r>
        <w:t xml:space="preserve"> have the resources to hire these professionals and</w:t>
      </w:r>
      <w:r w:rsidR="00CF7843">
        <w:t>,</w:t>
      </w:r>
      <w:r>
        <w:t xml:space="preserve"> further, do</w:t>
      </w:r>
      <w:r w:rsidR="00E30D06">
        <w:t xml:space="preserve"> not</w:t>
      </w:r>
      <w:r>
        <w:t xml:space="preserve"> have full-time facility management staff on</w:t>
      </w:r>
      <w:r w:rsidR="00700347">
        <w:t xml:space="preserve"> </w:t>
      </w:r>
      <w:r>
        <w:t xml:space="preserve">site to do the work themselves. Where facility management staff </w:t>
      </w:r>
      <w:r w:rsidR="00E30D06">
        <w:t>are</w:t>
      </w:r>
      <w:r>
        <w:t xml:space="preserve"> present, they can be trained on water-using systems and water efficiency to implement the methods and best practices to optimize water efficiency identified here.  </w:t>
      </w:r>
    </w:p>
    <w:p w14:paraId="520BBEB8" w14:textId="762EADE4" w:rsidR="00CA09EA" w:rsidRDefault="00CA09EA" w:rsidP="001C7888">
      <w:pPr>
        <w:pStyle w:val="Heading2"/>
      </w:pPr>
      <w:bookmarkStart w:id="108" w:name="_Toc193116896"/>
      <w:r>
        <w:t>Objective 1c. Optimize Solid Waste Reduction and Diversion</w:t>
      </w:r>
      <w:bookmarkEnd w:id="101"/>
      <w:bookmarkEnd w:id="102"/>
      <w:bookmarkEnd w:id="108"/>
    </w:p>
    <w:p w14:paraId="325D8F97" w14:textId="77777777" w:rsidR="00472661" w:rsidRDefault="00472661" w:rsidP="00472661">
      <w:pPr>
        <w:pStyle w:val="Heading3"/>
      </w:pPr>
      <w:bookmarkStart w:id="109" w:name="_Toc171518365"/>
      <w:bookmarkStart w:id="110" w:name="_Toc171519318"/>
      <w:bookmarkEnd w:id="88"/>
      <w:r>
        <w:t>Background</w:t>
      </w:r>
      <w:r w:rsidRPr="0029407F">
        <w:t xml:space="preserve"> </w:t>
      </w:r>
    </w:p>
    <w:p w14:paraId="4A5A7470" w14:textId="2A003EB9" w:rsidR="00472661" w:rsidRDefault="00472661" w:rsidP="006D7DE6">
      <w:pPr>
        <w:pStyle w:val="BodyTextFirstIndent"/>
      </w:pPr>
      <w:r>
        <w:t>Virtually all human activities, including the construction, day-to-day operation, and disposition of school facilities</w:t>
      </w:r>
      <w:r w:rsidR="00CF7843">
        <w:t>,</w:t>
      </w:r>
      <w:r>
        <w:t xml:space="preserve"> generate some form of waste. Solid waste, also commonly referred to as “trash” or “garbage,” consists of both municipal solid waste (items that consumers dispose of after use, including food; organic materials; plastic, glass, and aluminum containers and consumer packaging; corrugated cardboard</w:t>
      </w:r>
      <w:r w:rsidR="00CF7843">
        <w:t xml:space="preserve">; </w:t>
      </w:r>
      <w:r>
        <w:t>furniture</w:t>
      </w:r>
      <w:r w:rsidR="00CF7843">
        <w:t xml:space="preserve">; </w:t>
      </w:r>
      <w:r>
        <w:t>electronics</w:t>
      </w:r>
      <w:r w:rsidR="00CF7843">
        <w:t xml:space="preserve">; </w:t>
      </w:r>
      <w:r>
        <w:t>and appliances)</w:t>
      </w:r>
      <w:r>
        <w:fldChar w:fldCharType="begin"/>
      </w:r>
      <w:r w:rsidR="00801FB9">
        <w:instrText xml:space="preserve"> ADDIN ZOTERO_ITEM CSL_CITATION {"citationID":"40j1ss8e","properties":{"formattedCitation":"\\super 49\\nosupersub{}","plainCitation":"49","noteIndex":0},"citationItems":[{"id":53,"uris":["http://zotero.org/groups/5563646/items/XJIN792K"],"itemData":{"id":53,"type":"webpage","abstract":"These pages show the generation, recycling, composting, combustion with energy recovery, and landfilling of the materials and products studied from 1960 through 2014. These pages also show recycling and composting trends from 1960 to 2014.","genre":"Overviews and Factsheets","language":"en","title":"National Overview: Facts and Figures on Materials, Wastes and Recycling","title-short":"National Overview","URL":"https://www.epa.gov/facts-and-figures-about-materials-waste-and-recycling/national-overview-facts-and-figures-materials","author":[{"family":"US EPA","given":""}],"accessed":{"date-parts":[["2024",6,12]]},"issued":{"date-parts":[["2023",11,22]]}}}],"schema":"https://github.com/citation-style-language/schema/raw/master/csl-citation.json"} </w:instrText>
      </w:r>
      <w:r>
        <w:fldChar w:fldCharType="separate"/>
      </w:r>
      <w:r w:rsidR="00801FB9" w:rsidRPr="00801FB9">
        <w:rPr>
          <w:rFonts w:cs="Arial"/>
          <w:vertAlign w:val="superscript"/>
        </w:rPr>
        <w:t>49</w:t>
      </w:r>
      <w:r>
        <w:fldChar w:fldCharType="end"/>
      </w:r>
      <w:r>
        <w:t xml:space="preserve"> and non-municipal solid waste, which includes construction and demolition debris. </w:t>
      </w:r>
    </w:p>
    <w:p w14:paraId="0B31CBB3" w14:textId="224C9608" w:rsidR="00472661" w:rsidRDefault="00472661" w:rsidP="006D7DE6">
      <w:pPr>
        <w:pStyle w:val="BodyTextFirstIndent"/>
      </w:pPr>
      <w:r>
        <w:t xml:space="preserve">Solid waste can </w:t>
      </w:r>
      <w:r w:rsidR="00543A4F">
        <w:t>have</w:t>
      </w:r>
      <w:r>
        <w:t xml:space="preserve"> detrimental impacts </w:t>
      </w:r>
      <w:r w:rsidR="00543A4F">
        <w:t xml:space="preserve">on </w:t>
      </w:r>
      <w:r>
        <w:t>the environment. Municipal solid waste landfills u</w:t>
      </w:r>
      <w:r w:rsidR="0041451F">
        <w:t>tilized</w:t>
      </w:r>
      <w:r>
        <w:t xml:space="preserve"> to dispose of solid waste release methane gas as organic waste decomposes</w:t>
      </w:r>
      <w:r w:rsidR="0041451F">
        <w:t>. The release of this methane</w:t>
      </w:r>
      <w:r>
        <w:t xml:space="preserve"> contributes to global climate change. Landfills represent the third largest source of human-related methane emissions in the United States.</w:t>
      </w:r>
      <w:r>
        <w:fldChar w:fldCharType="begin"/>
      </w:r>
      <w:r w:rsidR="00801FB9">
        <w:instrText xml:space="preserve"> ADDIN ZOTERO_ITEM CSL_CITATION {"citationID":"I0edVfgs","properties":{"formattedCitation":"\\super 50\\nosupersub{}","plainCitation":"50","noteIndex":0},"citationItems":[{"id":58,"uris":["http://zotero.org/groups/5563646/items/WKWYXTTH"],"itemData":{"id":58,"type":"webpage","abstract":"Learn about methane emissions from landfills, how landfill gas is collected and treated, and the types of landfill gas energy projects.","genre":"Overviews and Factsheets","language":"en","title":"Basic Information about Landfill Gas","URL":"https://www.epa.gov/lmop/basic-information-about-landfill-gas","author":[{"family":"US EPA","given":""}],"accessed":{"date-parts":[["2024",6,12]]},"issued":{"date-parts":[["2024",4,25]]}}}],"schema":"https://github.com/citation-style-language/schema/raw/master/csl-citation.json"} </w:instrText>
      </w:r>
      <w:r>
        <w:fldChar w:fldCharType="separate"/>
      </w:r>
      <w:r w:rsidR="00801FB9" w:rsidRPr="00801FB9">
        <w:rPr>
          <w:rFonts w:cs="Arial"/>
          <w:vertAlign w:val="superscript"/>
        </w:rPr>
        <w:t>50</w:t>
      </w:r>
      <w:r>
        <w:fldChar w:fldCharType="end"/>
      </w:r>
      <w:r>
        <w:t xml:space="preserve"> Landfills also produce leachate, which forms when rainwater passes through waste materials in a landfill and leaches chemicals from the various materials. If not properly collected and treated, leachate can find its way into and contaminate groundwater.</w:t>
      </w:r>
      <w:r>
        <w:fldChar w:fldCharType="begin"/>
      </w:r>
      <w:r w:rsidR="00801FB9">
        <w:instrText xml:space="preserve"> ADDIN ZOTERO_ITEM CSL_CITATION {"citationID":"Q2aL457w","properties":{"formattedCitation":"\\super 51\\nosupersub{}","plainCitation":"51","noteIndex":0},"citationItems":[{"id":60,"uris":["http://zotero.org/groups/5563646/items/3N2B6GC4"],"itemData":{"id":60,"type":"webpage","abstract":"this page describes municipal solid waste landfills","genre":"Overviews and Factsheets","language":"en","title":"Municipal Solid Waste Landfills","URL":"https://www.epa.gov/landfills/municipal-solid-waste-landfills","author":[{"family":"US EPA","given":""}],"accessed":{"date-parts":[["2024",6,12]]},"issued":{"date-parts":[["2024",2,21]]}}}],"schema":"https://github.com/citation-style-language/schema/raw/master/csl-citation.json"} </w:instrText>
      </w:r>
      <w:r>
        <w:fldChar w:fldCharType="separate"/>
      </w:r>
      <w:r w:rsidR="00801FB9" w:rsidRPr="00801FB9">
        <w:rPr>
          <w:rFonts w:cs="Arial"/>
          <w:vertAlign w:val="superscript"/>
        </w:rPr>
        <w:t>51</w:t>
      </w:r>
      <w:r>
        <w:fldChar w:fldCharType="end"/>
      </w:r>
      <w:r>
        <w:t xml:space="preserve"> An alternative to </w:t>
      </w:r>
      <w:r w:rsidR="00BA2692">
        <w:t xml:space="preserve">sending solid waste to </w:t>
      </w:r>
      <w:r w:rsidR="000001DB">
        <w:t>landfills</w:t>
      </w:r>
      <w:r>
        <w:t xml:space="preserve">, waste incineration (also referred to as “energy recovery” or “waste-to-energy”) releases harmful pollutants such as </w:t>
      </w:r>
      <w:r w:rsidR="00543A4F">
        <w:t>particulate matter (</w:t>
      </w:r>
      <w:r w:rsidR="002021D3">
        <w:t>PM</w:t>
      </w:r>
      <w:r w:rsidR="00543A4F">
        <w:t>)</w:t>
      </w:r>
      <w:r>
        <w:t>, lead, mercury, p</w:t>
      </w:r>
      <w:r w:rsidRPr="0039034A">
        <w:t>er- and polyfluoroalkyl substances</w:t>
      </w:r>
      <w:r>
        <w:t xml:space="preserve"> (PFAS), and dioxins, which enter the air, water, and food supply near waste incinerators.</w:t>
      </w:r>
      <w:r>
        <w:fldChar w:fldCharType="begin"/>
      </w:r>
      <w:r w:rsidR="00801FB9">
        <w:instrText xml:space="preserve"> ADDIN ZOTERO_ITEM CSL_CITATION {"citationID":"cN0ApHnS","properties":{"formattedCitation":"\\super 52\\nosupersub{}","plainCitation":"52","noteIndex":0},"citationItems":[{"id":62,"uris":["http://zotero.org/groups/5563646/items/DXWAQW9M"],"itemData":{"id":62,"type":"post-weblog","abstract":"As legislation to protect the environment moves through Congress, polluting industries are using greenwashing terms like \"waste to energy\" and \"chemical recycling\" to build support for a dirty and unsafe technology: incineration.","container-title":"Burned: Why Waste Incineration Is Harmful","language":"en","title":"Burned: Why Waste Incineration Is Harmful","title-short":"Burned","URL":"https://www.nrdc.org/bio/daniel-rosenberg/burned-why-waste-incineration-harmful","author":[{"family":"Rosenberg","given":"Daniel"},{"family":"Singla","given":"Veena"},{"family":"Hoover","given":"Darby"}],"accessed":{"date-parts":[["2024",6,12]]},"issued":{"date-parts":[["2021",7,19]]}}}],"schema":"https://github.com/citation-style-language/schema/raw/master/csl-citation.json"} </w:instrText>
      </w:r>
      <w:r>
        <w:fldChar w:fldCharType="separate"/>
      </w:r>
      <w:r w:rsidR="00801FB9" w:rsidRPr="00801FB9">
        <w:rPr>
          <w:rFonts w:cs="Arial"/>
          <w:vertAlign w:val="superscript"/>
        </w:rPr>
        <w:t>52</w:t>
      </w:r>
      <w:r>
        <w:fldChar w:fldCharType="end"/>
      </w:r>
      <w:r>
        <w:t xml:space="preserve"> </w:t>
      </w:r>
    </w:p>
    <w:p w14:paraId="106051CB" w14:textId="0CE18275" w:rsidR="00472661" w:rsidRDefault="00472661" w:rsidP="006D7DE6">
      <w:pPr>
        <w:pStyle w:val="BodyTextFirstIndent"/>
      </w:pPr>
      <w:r>
        <w:t>In 2022, Massachusetts disposed of 6 million tons of solid waste, of which 3.4 million tons were disposed of in-state (the remaining 2.6 tons were exported for disposal out-of-state).</w:t>
      </w:r>
      <w:r>
        <w:fldChar w:fldCharType="begin"/>
      </w:r>
      <w:r w:rsidR="00801FB9">
        <w:instrText xml:space="preserve"> ADDIN ZOTERO_ITEM CSL_CITATION {"citationID":"DqkrFKz6","properties":{"formattedCitation":"\\super 53\\nosupersub{}","plainCitation":"53","noteIndex":0},"citationItems":[{"id":65,"uris":["http://zotero.org/groups/5563646/items/YN8XJFDZ"],"itemData":{"id":65,"type":"report","language":"en","source":"Zotero","title":"2022 Solid Waste Data Update November 2023","URL":"https://www.mass.gov/doc/2022-solid-waste-data-update/download","author":[{"family":"Massachusetts Department of Environmental Protection","given":""}],"accessed":{"date-parts":[["2024",6,12]]},"issued":{"date-parts":[["2023",11]]}}}],"schema":"https://github.com/citation-style-language/schema/raw/master/csl-citation.json"} </w:instrText>
      </w:r>
      <w:r>
        <w:fldChar w:fldCharType="separate"/>
      </w:r>
      <w:r w:rsidR="00801FB9" w:rsidRPr="00801FB9">
        <w:rPr>
          <w:rFonts w:cs="Arial"/>
          <w:vertAlign w:val="superscript"/>
        </w:rPr>
        <w:t>53</w:t>
      </w:r>
      <w:r>
        <w:fldChar w:fldCharType="end"/>
      </w:r>
      <w:r>
        <w:t xml:space="preserve"> Of the portion of solid waste disposed of in-state, nearly 86 percent of the Commonwealth’s solid waste is incinerated in waste-to-energy facilities, while the remaining 14 percent </w:t>
      </w:r>
      <w:r w:rsidR="000001DB">
        <w:t>goes to landfills</w:t>
      </w:r>
      <w:r>
        <w:t>.</w:t>
      </w:r>
      <w:r w:rsidRPr="002158F5">
        <w:rPr>
          <w:vertAlign w:val="superscript"/>
        </w:rPr>
        <w:t>6</w:t>
      </w:r>
      <w:r>
        <w:t xml:space="preserve"> In 2020, the incineration and </w:t>
      </w:r>
      <w:r w:rsidR="000001DB">
        <w:t xml:space="preserve">disposal </w:t>
      </w:r>
      <w:r>
        <w:t xml:space="preserve">of solid waste </w:t>
      </w:r>
      <w:r w:rsidR="000F58F2">
        <w:t xml:space="preserve">in landfills </w:t>
      </w:r>
      <w:r>
        <w:t>in Massachusetts generated 1.44 million metric tons of carbon dioxide equivalent (MMTCO</w:t>
      </w:r>
      <w:r w:rsidRPr="00B25A4F">
        <w:rPr>
          <w:vertAlign w:val="subscript"/>
        </w:rPr>
        <w:t>2</w:t>
      </w:r>
      <w:r>
        <w:t>e), representing 2.2 percent of Massachusetts’ gross GHG emissions in 2020.</w:t>
      </w:r>
      <w:r>
        <w:fldChar w:fldCharType="begin"/>
      </w:r>
      <w:r w:rsidR="00801FB9">
        <w:instrText xml:space="preserve"> ADDIN ZOTERO_ITEM CSL_CITATION {"citationID":"LbOzh8T2","properties":{"formattedCitation":"\\super 54\\nosupersub{}","plainCitation":"54","noteIndex":0},"citationItems":[{"id":66,"uris":["http://zotero.org/groups/5563646/items/XRNN42RQ"],"itemData":{"id":66,"type":"dataset","abstract":"The agency prepares inventories on a periodic basis under the federal Clean Air Act and the Massachusetts Global Warming Solutions Act.","language":"en","title":"Greenhouse Gas Baseline &amp; Inventory, Appendix C: Massachusetts Annual Greenhouse Gas Emissions Inventory: 1990-2020, with Partial 2021 &amp; 2022 Data","URL":"https://www.mass.gov/lists/massdep-emissions-inventories#greenhouse-gas-baseline-&amp;-inventory-","author":[{"family":"Massachusetts Department of Environmental Protection","given":""}],"accessed":{"date-parts":[["2024",6,12]]},"issued":{"date-parts":[["2023"]]}}}],"schema":"https://github.com/citation-style-language/schema/raw/master/csl-citation.json"} </w:instrText>
      </w:r>
      <w:r>
        <w:fldChar w:fldCharType="separate"/>
      </w:r>
      <w:r w:rsidR="00801FB9" w:rsidRPr="00801FB9">
        <w:rPr>
          <w:rFonts w:cs="Arial"/>
          <w:vertAlign w:val="superscript"/>
        </w:rPr>
        <w:t>54</w:t>
      </w:r>
      <w:r>
        <w:fldChar w:fldCharType="end"/>
      </w:r>
      <w:r>
        <w:t xml:space="preserve">  In </w:t>
      </w:r>
      <w:r w:rsidR="000001DB">
        <w:t xml:space="preserve">the </w:t>
      </w:r>
      <w:r w:rsidR="000F58F2">
        <w:t>Commonwealth</w:t>
      </w:r>
      <w:r w:rsidR="000001DB">
        <w:t xml:space="preserve">’s </w:t>
      </w:r>
      <w:r>
        <w:t>2030 Solid Waste Management Plan, MassDEP</w:t>
      </w:r>
      <w:r w:rsidR="003B4533">
        <w:t xml:space="preserve"> </w:t>
      </w:r>
      <w:r>
        <w:t xml:space="preserve">has established a goal of reducing annual solid waste disposal by 30 percent by 2030 and by 90 percent by 2050, relative to a 2018 baseline. MassDEP has identified food waste as the largest single material category found in the </w:t>
      </w:r>
      <w:r>
        <w:lastRenderedPageBreak/>
        <w:t>Commonwealth’s solid waste, representing the greatest opportunity for solid waste reduction.</w:t>
      </w:r>
      <w:r>
        <w:fldChar w:fldCharType="begin"/>
      </w:r>
      <w:r w:rsidR="00801FB9">
        <w:instrText xml:space="preserve"> ADDIN ZOTERO_ITEM CSL_CITATION {"citationID":"IdwUiB0S","properties":{"formattedCitation":"\\super 55\\nosupersub{}","plainCitation":"55","noteIndex":0},"citationItems":[{"id":71,"uris":["http://zotero.org/groups/5563646/items/CUNCJD29"],"itemData":{"id":71,"type":"report","title":"Massachusetts 2030 Solid Waste Master Plan: Working Together Toward Zero Waste","URL":"https://www.mass.gov/doc/2030-solid-waste-master-plan-working-together-toward-zero-waste/download","accessed":{"date-parts":[["2024",6,12]]},"issued":{"date-parts":[["2021",10]]}}}],"schema":"https://github.com/citation-style-language/schema/raw/master/csl-citation.json"} </w:instrText>
      </w:r>
      <w:r>
        <w:fldChar w:fldCharType="separate"/>
      </w:r>
      <w:r w:rsidR="00801FB9" w:rsidRPr="00801FB9">
        <w:rPr>
          <w:rFonts w:cs="Arial"/>
          <w:vertAlign w:val="superscript"/>
        </w:rPr>
        <w:t>55</w:t>
      </w:r>
      <w:r>
        <w:fldChar w:fldCharType="end"/>
      </w:r>
    </w:p>
    <w:p w14:paraId="5A2EA253" w14:textId="77777777" w:rsidR="00472661" w:rsidRDefault="00472661" w:rsidP="00472661">
      <w:pPr>
        <w:pStyle w:val="Heading3"/>
      </w:pPr>
      <w:r>
        <w:t>Methods and Best Practices</w:t>
      </w:r>
    </w:p>
    <w:p w14:paraId="30CB6D21" w14:textId="14282643" w:rsidR="00465D2D" w:rsidRDefault="00465D2D" w:rsidP="006D7DE6">
      <w:pPr>
        <w:pStyle w:val="BodyTextFirstIndent"/>
      </w:pPr>
      <w:r>
        <w:fldChar w:fldCharType="begin"/>
      </w:r>
      <w:r>
        <w:instrText xml:space="preserve"> REF _Ref172896934 \h </w:instrText>
      </w:r>
      <w:r>
        <w:fldChar w:fldCharType="separate"/>
      </w:r>
      <w:r w:rsidR="00307850">
        <w:t xml:space="preserve">Table </w:t>
      </w:r>
      <w:r w:rsidR="00307850">
        <w:rPr>
          <w:noProof/>
        </w:rPr>
        <w:t>8</w:t>
      </w:r>
      <w:r>
        <w:fldChar w:fldCharType="end"/>
      </w:r>
      <w:r>
        <w:t xml:space="preserve"> </w:t>
      </w:r>
      <w:r w:rsidRPr="00B40F18">
        <w:t xml:space="preserve">summarizes </w:t>
      </w:r>
      <w:r>
        <w:t xml:space="preserve">methods and best practices for optimizing solid waste reduction and diversion </w:t>
      </w:r>
      <w:r w:rsidR="00A4198F" w:rsidRPr="00926BF3">
        <w:t>in schools</w:t>
      </w:r>
      <w:r w:rsidR="00A4198F">
        <w:t xml:space="preserve"> across two categories: reducing solid waste generation and effectively managing the solid waste that schools generate through routine operations.</w:t>
      </w:r>
      <w:r>
        <w:t xml:space="preserve"> For each method/best practice, the table presents </w:t>
      </w:r>
      <w:r w:rsidRPr="00B40F18">
        <w:t>the approximate</w:t>
      </w:r>
      <w:r>
        <w:t xml:space="preserve"> capital and operating</w:t>
      </w:r>
      <w:r w:rsidRPr="00B40F18">
        <w:t xml:space="preserve"> cost</w:t>
      </w:r>
      <w:r>
        <w:t>s</w:t>
      </w:r>
      <w:r w:rsidRPr="00B40F18">
        <w:t>,</w:t>
      </w:r>
      <w:r>
        <w:t xml:space="preserve"> implementation timeframe</w:t>
      </w:r>
      <w:r w:rsidRPr="00B40F18">
        <w:t>, and</w:t>
      </w:r>
      <w:r>
        <w:t xml:space="preserve"> ease of</w:t>
      </w:r>
      <w:r w:rsidRPr="00B40F18">
        <w:t xml:space="preserve"> implementation</w:t>
      </w:r>
      <w:r>
        <w:t xml:space="preserve">. </w:t>
      </w:r>
      <w:r w:rsidR="009A577C">
        <w:t xml:space="preserve">See </w:t>
      </w:r>
      <w:hyperlink w:anchor="SectVI_1c" w:history="1">
        <w:r w:rsidR="006302AE" w:rsidRPr="006302AE">
          <w:rPr>
            <w:rStyle w:val="Hyperlink"/>
          </w:rPr>
          <w:t>Section VI, Objective 1c</w:t>
        </w:r>
      </w:hyperlink>
      <w:r w:rsidR="009A577C">
        <w:t xml:space="preserve"> for additional narrative descriptions of each of the methods and best practices.</w:t>
      </w:r>
    </w:p>
    <w:p w14:paraId="07265732" w14:textId="5735EBEE" w:rsidR="00465D2D" w:rsidRPr="00291ACA" w:rsidRDefault="00465D2D" w:rsidP="00B30C96">
      <w:pPr>
        <w:pStyle w:val="Caption"/>
      </w:pPr>
      <w:bookmarkStart w:id="111" w:name="_Ref172896934"/>
      <w:bookmarkStart w:id="112" w:name="_Toc192711674"/>
      <w:bookmarkStart w:id="113" w:name="_Toc193112556"/>
      <w:bookmarkStart w:id="114" w:name="_Toc193116955"/>
      <w:r>
        <w:lastRenderedPageBreak/>
        <w:t xml:space="preserve">Table </w:t>
      </w:r>
      <w:fldSimple w:instr=" SEQ Table \* ARABIC ">
        <w:r w:rsidR="00307850">
          <w:rPr>
            <w:noProof/>
          </w:rPr>
          <w:t>8</w:t>
        </w:r>
      </w:fldSimple>
      <w:bookmarkEnd w:id="111"/>
      <w:r>
        <w:t xml:space="preserve">. </w:t>
      </w:r>
      <w:r w:rsidRPr="00837CC4">
        <w:t>Methods</w:t>
      </w:r>
      <w:r w:rsidR="00E33249">
        <w:t xml:space="preserve"> and </w:t>
      </w:r>
      <w:r w:rsidR="00D137CF">
        <w:t>B</w:t>
      </w:r>
      <w:r w:rsidR="0023018C" w:rsidRPr="00837CC4">
        <w:t xml:space="preserve">est </w:t>
      </w:r>
      <w:r w:rsidR="00D137CF">
        <w:t>P</w:t>
      </w:r>
      <w:r w:rsidRPr="00837CC4">
        <w:t xml:space="preserve">ractices </w:t>
      </w:r>
      <w:r w:rsidR="002C3726">
        <w:t>for</w:t>
      </w:r>
      <w:r w:rsidRPr="00837CC4">
        <w:t xml:space="preserve"> </w:t>
      </w:r>
      <w:r w:rsidR="00D137CF">
        <w:t>O</w:t>
      </w:r>
      <w:r w:rsidRPr="00837CC4">
        <w:t>ptimiz</w:t>
      </w:r>
      <w:r>
        <w:t>ing</w:t>
      </w:r>
      <w:r w:rsidRPr="00837CC4">
        <w:t xml:space="preserve"> </w:t>
      </w:r>
      <w:r w:rsidR="00D137CF">
        <w:t>S</w:t>
      </w:r>
      <w:r w:rsidRPr="00837CC4">
        <w:t xml:space="preserve">olid </w:t>
      </w:r>
      <w:r w:rsidR="00D137CF">
        <w:t>W</w:t>
      </w:r>
      <w:r w:rsidRPr="00837CC4">
        <w:t xml:space="preserve">aste </w:t>
      </w:r>
      <w:r w:rsidR="00D137CF">
        <w:t>R</w:t>
      </w:r>
      <w:r w:rsidRPr="00837CC4">
        <w:t>eduction</w:t>
      </w:r>
      <w:r w:rsidR="0023018C">
        <w:t xml:space="preserve"> </w:t>
      </w:r>
      <w:r w:rsidRPr="00837CC4">
        <w:t xml:space="preserve">and </w:t>
      </w:r>
      <w:r w:rsidR="00D137CF">
        <w:t>D</w:t>
      </w:r>
      <w:r w:rsidRPr="00837CC4">
        <w:t>iversion</w:t>
      </w:r>
      <w:bookmarkEnd w:id="112"/>
      <w:bookmarkEnd w:id="113"/>
      <w:bookmarkEnd w:id="114"/>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optimizing solid waste reduction and diversion."/>
      </w:tblPr>
      <w:tblGrid>
        <w:gridCol w:w="545"/>
        <w:gridCol w:w="6242"/>
        <w:gridCol w:w="641"/>
        <w:gridCol w:w="641"/>
        <w:gridCol w:w="641"/>
        <w:gridCol w:w="640"/>
      </w:tblGrid>
      <w:tr w:rsidR="00465D2D" w:rsidRPr="00C8094D" w14:paraId="61E284D6" w14:textId="77777777" w:rsidTr="00BC7D0E">
        <w:trPr>
          <w:cantSplit/>
          <w:trHeight w:val="2420"/>
          <w:tblHeader/>
          <w:jc w:val="center"/>
        </w:trPr>
        <w:tc>
          <w:tcPr>
            <w:tcW w:w="3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64EBC239" w14:textId="77777777" w:rsidR="00465D2D" w:rsidRDefault="00465D2D" w:rsidP="00E02568">
            <w:pPr>
              <w:pStyle w:val="TableColumnHeader"/>
            </w:pPr>
            <w:r>
              <w:t>Methods/Best Practices</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386F33A" w14:textId="77777777" w:rsidR="00465D2D" w:rsidRPr="00C8094D" w:rsidRDefault="00465D2D" w:rsidP="00E02568">
            <w:pPr>
              <w:pStyle w:val="TableColumnHeader"/>
              <w:jc w:val="left"/>
            </w:pPr>
            <w:r>
              <w:t xml:space="preserve">Capital </w:t>
            </w:r>
            <w:r w:rsidRPr="00C8094D">
              <w:t>Cost</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2B2DCED7" w14:textId="77777777" w:rsidR="00465D2D" w:rsidRDefault="00465D2D" w:rsidP="00E02568">
            <w:pPr>
              <w:pStyle w:val="TableColumnHeader"/>
              <w:jc w:val="left"/>
            </w:pPr>
            <w:r>
              <w:t>Operating Cost</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764CE9F" w14:textId="77777777" w:rsidR="00465D2D" w:rsidRPr="00C8094D" w:rsidRDefault="00465D2D" w:rsidP="00E02568">
            <w:pPr>
              <w:pStyle w:val="TableColumnHeader"/>
              <w:jc w:val="left"/>
            </w:pPr>
            <w:r>
              <w:t xml:space="preserve">Implementation </w:t>
            </w:r>
            <w:r w:rsidRPr="00C8094D">
              <w:t>Timeframe</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1576C4D" w14:textId="77777777" w:rsidR="00465D2D" w:rsidRPr="00C8094D" w:rsidRDefault="00465D2D" w:rsidP="00E02568">
            <w:pPr>
              <w:pStyle w:val="TableColumnHeader"/>
              <w:jc w:val="left"/>
            </w:pPr>
            <w:r>
              <w:t xml:space="preserve">Ease of </w:t>
            </w:r>
            <w:r w:rsidRPr="00C8094D">
              <w:t>Implementation</w:t>
            </w:r>
          </w:p>
        </w:tc>
      </w:tr>
      <w:tr w:rsidR="00465D2D" w:rsidRPr="00C8094D" w14:paraId="0EAF6BF5" w14:textId="77777777" w:rsidTr="00BC7D0E">
        <w:trPr>
          <w:cantSplit/>
          <w:trHeight w:val="255"/>
          <w:tblHeader/>
          <w:jc w:val="center"/>
        </w:trPr>
        <w:tc>
          <w:tcPr>
            <w:tcW w:w="3629" w:type="pct"/>
            <w:gridSpan w:val="2"/>
            <w:tcBorders>
              <w:top w:val="nil"/>
              <w:left w:val="single" w:sz="4" w:space="0" w:color="auto"/>
              <w:bottom w:val="single" w:sz="4" w:space="0" w:color="auto"/>
              <w:right w:val="single" w:sz="4" w:space="0" w:color="auto"/>
            </w:tcBorders>
            <w:shd w:val="clear" w:color="auto" w:fill="1F497D"/>
          </w:tcPr>
          <w:p w14:paraId="4A0EEECB" w14:textId="4E8D8A06" w:rsidR="00465D2D" w:rsidRPr="00276B41" w:rsidRDefault="00D23FF1" w:rsidP="00E02568">
            <w:pPr>
              <w:pStyle w:val="TableRowHeader"/>
            </w:pPr>
            <w:r>
              <w:t xml:space="preserve">Reduce </w:t>
            </w:r>
            <w:r w:rsidR="00AF1E0E">
              <w:t xml:space="preserve">Solid </w:t>
            </w:r>
            <w:r w:rsidR="00465D2D" w:rsidRPr="00276B41">
              <w:t>Waste Generation</w:t>
            </w:r>
          </w:p>
        </w:tc>
        <w:tc>
          <w:tcPr>
            <w:tcW w:w="343" w:type="pct"/>
            <w:tcBorders>
              <w:top w:val="nil"/>
              <w:left w:val="single" w:sz="4" w:space="0" w:color="auto"/>
              <w:bottom w:val="single" w:sz="4" w:space="0" w:color="auto"/>
              <w:right w:val="single" w:sz="4" w:space="0" w:color="auto"/>
            </w:tcBorders>
            <w:shd w:val="clear" w:color="auto" w:fill="1F497D"/>
            <w:vAlign w:val="center"/>
          </w:tcPr>
          <w:p w14:paraId="39EBAE8C"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219411AB"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48769AAC"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09189241" w14:textId="77777777" w:rsidR="00465D2D" w:rsidRPr="00276B41" w:rsidRDefault="00465D2D" w:rsidP="00E02568">
            <w:pPr>
              <w:pStyle w:val="TableText"/>
              <w:rPr>
                <w:color w:val="FFFFFF" w:themeColor="background1"/>
              </w:rPr>
            </w:pPr>
          </w:p>
        </w:tc>
      </w:tr>
      <w:tr w:rsidR="00465D2D" w:rsidRPr="00C8094D" w14:paraId="3C13C432" w14:textId="77777777" w:rsidTr="00BC7D0E">
        <w:trPr>
          <w:cantSplit/>
          <w:trHeight w:val="255"/>
          <w:tblHeader/>
          <w:jc w:val="center"/>
        </w:trPr>
        <w:tc>
          <w:tcPr>
            <w:tcW w:w="291" w:type="pct"/>
            <w:tcBorders>
              <w:top w:val="nil"/>
              <w:left w:val="single" w:sz="4" w:space="0" w:color="auto"/>
              <w:bottom w:val="single" w:sz="4" w:space="0" w:color="auto"/>
            </w:tcBorders>
            <w:shd w:val="clear" w:color="auto" w:fill="auto"/>
          </w:tcPr>
          <w:p w14:paraId="7ACD4D26" w14:textId="77777777" w:rsidR="00465D2D" w:rsidRDefault="00465D2D" w:rsidP="00E02568">
            <w:pPr>
              <w:pStyle w:val="TableText"/>
            </w:pPr>
            <w:r>
              <w:t>(1)</w:t>
            </w:r>
          </w:p>
        </w:tc>
        <w:tc>
          <w:tcPr>
            <w:tcW w:w="3337" w:type="pct"/>
            <w:tcBorders>
              <w:top w:val="single" w:sz="4" w:space="0" w:color="auto"/>
              <w:bottom w:val="single" w:sz="4" w:space="0" w:color="auto"/>
              <w:right w:val="single" w:sz="4" w:space="0" w:color="auto"/>
            </w:tcBorders>
          </w:tcPr>
          <w:p w14:paraId="31159F05" w14:textId="64093D78" w:rsidR="00465D2D" w:rsidRDefault="00465D2D" w:rsidP="00E02568">
            <w:pPr>
              <w:pStyle w:val="TableText"/>
            </w:pPr>
            <w:r>
              <w:t xml:space="preserve">Reduce </w:t>
            </w:r>
            <w:r w:rsidR="006B74B6">
              <w:t>c</w:t>
            </w:r>
            <w:r>
              <w:t xml:space="preserve">afeteria </w:t>
            </w:r>
            <w:r w:rsidR="006B74B6">
              <w:t>w</w:t>
            </w:r>
            <w:r>
              <w:t>aste</w:t>
            </w:r>
          </w:p>
        </w:tc>
        <w:tc>
          <w:tcPr>
            <w:tcW w:w="343" w:type="pct"/>
            <w:tcBorders>
              <w:top w:val="nil"/>
              <w:left w:val="single" w:sz="4" w:space="0" w:color="auto"/>
              <w:bottom w:val="single" w:sz="4" w:space="0" w:color="auto"/>
              <w:right w:val="single" w:sz="4" w:space="0" w:color="auto"/>
            </w:tcBorders>
            <w:shd w:val="clear" w:color="auto" w:fill="auto"/>
            <w:vAlign w:val="center"/>
          </w:tcPr>
          <w:p w14:paraId="2582522B" w14:textId="77777777" w:rsidR="00465D2D" w:rsidRPr="00C8094D" w:rsidRDefault="00465D2D" w:rsidP="00E02568">
            <w:pPr>
              <w:pStyle w:val="TableText"/>
            </w:pPr>
            <w:r>
              <w:t>$</w:t>
            </w:r>
          </w:p>
        </w:tc>
        <w:tc>
          <w:tcPr>
            <w:tcW w:w="343" w:type="pct"/>
            <w:tcBorders>
              <w:top w:val="single" w:sz="4" w:space="0" w:color="auto"/>
              <w:left w:val="single" w:sz="4" w:space="0" w:color="auto"/>
              <w:bottom w:val="single" w:sz="4" w:space="0" w:color="auto"/>
              <w:right w:val="single" w:sz="4" w:space="0" w:color="auto"/>
            </w:tcBorders>
            <w:vAlign w:val="center"/>
          </w:tcPr>
          <w:p w14:paraId="1396FCD0" w14:textId="77777777" w:rsidR="00465D2D" w:rsidRPr="00C8094D" w:rsidRDefault="00465D2D" w:rsidP="00E02568">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26D6C17" w14:textId="77777777" w:rsidR="00465D2D" w:rsidRPr="00C8094D" w:rsidRDefault="00465D2D" w:rsidP="00E02568">
            <w:pPr>
              <w:pStyle w:val="TableText"/>
            </w:pPr>
            <w:r>
              <w:t>1</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5AD86E7E" w14:textId="77777777" w:rsidR="00465D2D" w:rsidRPr="00C8094D" w:rsidRDefault="00465D2D" w:rsidP="00E02568">
            <w:pPr>
              <w:pStyle w:val="TableText"/>
            </w:pPr>
            <w:r>
              <w:t>1</w:t>
            </w:r>
          </w:p>
        </w:tc>
      </w:tr>
      <w:tr w:rsidR="00465D2D" w:rsidRPr="00C8094D" w14:paraId="060CB738"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5D5A85A2" w14:textId="77777777" w:rsidR="00465D2D" w:rsidRPr="00C8094D" w:rsidRDefault="00465D2D" w:rsidP="00E02568">
            <w:pPr>
              <w:pStyle w:val="TableText"/>
            </w:pPr>
            <w:r>
              <w:t>(2)</w:t>
            </w:r>
          </w:p>
        </w:tc>
        <w:tc>
          <w:tcPr>
            <w:tcW w:w="3337" w:type="pct"/>
            <w:tcBorders>
              <w:top w:val="single" w:sz="4" w:space="0" w:color="auto"/>
              <w:bottom w:val="single" w:sz="4" w:space="0" w:color="auto"/>
              <w:right w:val="single" w:sz="4" w:space="0" w:color="auto"/>
            </w:tcBorders>
          </w:tcPr>
          <w:p w14:paraId="74C57F06" w14:textId="46524E1D" w:rsidR="00465D2D" w:rsidRPr="00C8094D" w:rsidRDefault="00465D2D" w:rsidP="00E02568">
            <w:pPr>
              <w:pStyle w:val="TableText"/>
            </w:pPr>
            <w:r>
              <w:t xml:space="preserve">Educate </w:t>
            </w:r>
            <w:r w:rsidR="006B74B6">
              <w:t>s</w:t>
            </w:r>
            <w:r w:rsidR="005C70D3">
              <w:t xml:space="preserve">taff and </w:t>
            </w:r>
            <w:r w:rsidR="006B74B6">
              <w:t>s</w:t>
            </w:r>
            <w:r w:rsidR="005C70D3">
              <w:t xml:space="preserve">tudents </w:t>
            </w:r>
            <w:r>
              <w:t xml:space="preserve">to </w:t>
            </w:r>
            <w:r w:rsidR="006B74B6">
              <w:t>t</w:t>
            </w:r>
            <w:r>
              <w:t xml:space="preserve">ransform </w:t>
            </w:r>
            <w:r w:rsidR="006B74B6">
              <w:t>h</w:t>
            </w:r>
            <w:r>
              <w:t>abits</w:t>
            </w:r>
          </w:p>
        </w:tc>
        <w:tc>
          <w:tcPr>
            <w:tcW w:w="343" w:type="pct"/>
            <w:tcBorders>
              <w:top w:val="nil"/>
              <w:left w:val="single" w:sz="4" w:space="0" w:color="auto"/>
              <w:bottom w:val="single" w:sz="4" w:space="0" w:color="auto"/>
              <w:right w:val="single" w:sz="4" w:space="0" w:color="auto"/>
            </w:tcBorders>
            <w:shd w:val="clear" w:color="auto" w:fill="auto"/>
            <w:vAlign w:val="center"/>
          </w:tcPr>
          <w:p w14:paraId="57A70DF4" w14:textId="77777777" w:rsidR="00465D2D" w:rsidRPr="00C8094D" w:rsidRDefault="00465D2D" w:rsidP="00E02568">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3ECF1E63" w14:textId="77777777" w:rsidR="00465D2D" w:rsidRPr="00C8094D" w:rsidRDefault="00465D2D" w:rsidP="00E02568">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ACD8027" w14:textId="77777777" w:rsidR="00465D2D" w:rsidRPr="00C8094D" w:rsidRDefault="00465D2D" w:rsidP="00E02568">
            <w:pPr>
              <w:pStyle w:val="TableText"/>
            </w:pPr>
            <w:r>
              <w:t>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8BA16E2" w14:textId="77777777" w:rsidR="00465D2D" w:rsidRPr="00C8094D" w:rsidRDefault="00465D2D" w:rsidP="00E02568">
            <w:pPr>
              <w:pStyle w:val="TableText"/>
            </w:pPr>
            <w:r>
              <w:t>2</w:t>
            </w:r>
          </w:p>
        </w:tc>
      </w:tr>
      <w:tr w:rsidR="00465D2D" w:rsidRPr="00C8094D" w14:paraId="52ADD4D0"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30DD8E06" w14:textId="77777777" w:rsidR="00465D2D" w:rsidRDefault="00465D2D" w:rsidP="00E02568">
            <w:pPr>
              <w:pStyle w:val="TableText"/>
            </w:pPr>
            <w:r>
              <w:t>(3)</w:t>
            </w:r>
          </w:p>
        </w:tc>
        <w:tc>
          <w:tcPr>
            <w:tcW w:w="3337" w:type="pct"/>
            <w:tcBorders>
              <w:top w:val="single" w:sz="4" w:space="0" w:color="auto"/>
              <w:bottom w:val="single" w:sz="4" w:space="0" w:color="auto"/>
              <w:right w:val="single" w:sz="4" w:space="0" w:color="auto"/>
            </w:tcBorders>
          </w:tcPr>
          <w:p w14:paraId="3E9E5C3D" w14:textId="61320D36" w:rsidR="00465D2D" w:rsidRDefault="00465D2D" w:rsidP="00E02568">
            <w:pPr>
              <w:pStyle w:val="TableText"/>
            </w:pPr>
            <w:r>
              <w:t xml:space="preserve">Institute </w:t>
            </w:r>
            <w:r w:rsidR="006B74B6">
              <w:t>i</w:t>
            </w:r>
            <w:r>
              <w:t xml:space="preserve">tem </w:t>
            </w:r>
            <w:r w:rsidR="006B74B6">
              <w:t>e</w:t>
            </w:r>
            <w:r>
              <w:t xml:space="preserve">xchange </w:t>
            </w:r>
            <w:r w:rsidR="006B74B6">
              <w:t>o</w:t>
            </w:r>
            <w:r>
              <w:t>pportunities</w:t>
            </w:r>
          </w:p>
        </w:tc>
        <w:tc>
          <w:tcPr>
            <w:tcW w:w="343" w:type="pct"/>
            <w:tcBorders>
              <w:top w:val="nil"/>
              <w:left w:val="single" w:sz="4" w:space="0" w:color="auto"/>
              <w:bottom w:val="single" w:sz="4" w:space="0" w:color="auto"/>
              <w:right w:val="single" w:sz="4" w:space="0" w:color="auto"/>
            </w:tcBorders>
            <w:shd w:val="clear" w:color="auto" w:fill="auto"/>
            <w:vAlign w:val="center"/>
          </w:tcPr>
          <w:p w14:paraId="5C4564C1" w14:textId="77777777" w:rsidR="00465D2D" w:rsidRPr="00C8094D" w:rsidRDefault="00465D2D" w:rsidP="00E02568">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6D371CB9" w14:textId="77777777" w:rsidR="00465D2D" w:rsidRPr="00C8094D" w:rsidRDefault="00465D2D" w:rsidP="00E02568">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7655D286" w14:textId="77777777" w:rsidR="00465D2D" w:rsidRPr="00C8094D" w:rsidRDefault="00465D2D" w:rsidP="00E02568">
            <w:pPr>
              <w:pStyle w:val="TableText"/>
            </w:pPr>
            <w:r>
              <w:t>1</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557A5F7B" w14:textId="77777777" w:rsidR="00465D2D" w:rsidRPr="00C8094D" w:rsidRDefault="00465D2D" w:rsidP="00E02568">
            <w:pPr>
              <w:pStyle w:val="TableText"/>
            </w:pPr>
            <w:r>
              <w:t>2</w:t>
            </w:r>
          </w:p>
        </w:tc>
      </w:tr>
      <w:tr w:rsidR="00465D2D" w:rsidRPr="00C8094D" w14:paraId="6BC124B9" w14:textId="77777777" w:rsidTr="00BC7D0E">
        <w:trPr>
          <w:cantSplit/>
          <w:trHeight w:val="255"/>
          <w:tblHeader/>
          <w:jc w:val="center"/>
        </w:trPr>
        <w:tc>
          <w:tcPr>
            <w:tcW w:w="3629" w:type="pct"/>
            <w:gridSpan w:val="2"/>
            <w:tcBorders>
              <w:top w:val="single" w:sz="4" w:space="0" w:color="auto"/>
              <w:left w:val="single" w:sz="4" w:space="0" w:color="auto"/>
              <w:bottom w:val="single" w:sz="4" w:space="0" w:color="auto"/>
              <w:right w:val="single" w:sz="4" w:space="0" w:color="auto"/>
            </w:tcBorders>
            <w:shd w:val="clear" w:color="auto" w:fill="1F497D"/>
          </w:tcPr>
          <w:p w14:paraId="28AD3CE8" w14:textId="78AD21C7" w:rsidR="00465D2D" w:rsidRPr="00276B41" w:rsidRDefault="00B0569A" w:rsidP="00E02568">
            <w:pPr>
              <w:pStyle w:val="TableRowHeader"/>
            </w:pPr>
            <w:r>
              <w:t xml:space="preserve">Effectively </w:t>
            </w:r>
            <w:r w:rsidR="00465D2D" w:rsidRPr="00276B41">
              <w:t xml:space="preserve">Manage Generated </w:t>
            </w:r>
            <w:r w:rsidR="00AF1E0E">
              <w:t xml:space="preserve">Solid </w:t>
            </w:r>
            <w:r w:rsidR="00465D2D" w:rsidRPr="00276B41">
              <w:t>Waste</w:t>
            </w:r>
          </w:p>
        </w:tc>
        <w:tc>
          <w:tcPr>
            <w:tcW w:w="343" w:type="pct"/>
            <w:tcBorders>
              <w:top w:val="nil"/>
              <w:left w:val="single" w:sz="4" w:space="0" w:color="auto"/>
              <w:bottom w:val="single" w:sz="4" w:space="0" w:color="auto"/>
              <w:right w:val="single" w:sz="4" w:space="0" w:color="auto"/>
            </w:tcBorders>
            <w:shd w:val="clear" w:color="auto" w:fill="1F497D"/>
            <w:vAlign w:val="center"/>
          </w:tcPr>
          <w:p w14:paraId="1906531F"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22AF80A4"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41E6C5C8" w14:textId="77777777" w:rsidR="00465D2D" w:rsidRPr="00276B41" w:rsidRDefault="00465D2D" w:rsidP="00E02568">
            <w:pPr>
              <w:pStyle w:val="TableText"/>
              <w:rPr>
                <w:color w:val="FFFFFF" w:themeColor="background1"/>
              </w:rPr>
            </w:pPr>
          </w:p>
        </w:tc>
        <w:tc>
          <w:tcPr>
            <w:tcW w:w="343" w:type="pct"/>
            <w:tcBorders>
              <w:top w:val="single" w:sz="4" w:space="0" w:color="auto"/>
              <w:left w:val="single" w:sz="4" w:space="0" w:color="auto"/>
              <w:bottom w:val="single" w:sz="4" w:space="0" w:color="auto"/>
              <w:right w:val="single" w:sz="4" w:space="0" w:color="auto"/>
            </w:tcBorders>
            <w:shd w:val="clear" w:color="auto" w:fill="1F497D"/>
            <w:vAlign w:val="center"/>
          </w:tcPr>
          <w:p w14:paraId="4D3E57F5" w14:textId="77777777" w:rsidR="00465D2D" w:rsidRPr="00276B41" w:rsidRDefault="00465D2D" w:rsidP="00E02568">
            <w:pPr>
              <w:pStyle w:val="TableText"/>
              <w:rPr>
                <w:color w:val="FFFFFF" w:themeColor="background1"/>
              </w:rPr>
            </w:pPr>
          </w:p>
        </w:tc>
      </w:tr>
      <w:tr w:rsidR="00BC7D0E" w:rsidRPr="00C8094D" w14:paraId="6F781C5A"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4FF5B9C0" w14:textId="596596BF" w:rsidR="00BC7D0E" w:rsidRDefault="00BC7D0E" w:rsidP="00BC7D0E">
            <w:pPr>
              <w:pStyle w:val="TableText"/>
            </w:pPr>
            <w:r>
              <w:t>(4)</w:t>
            </w:r>
          </w:p>
        </w:tc>
        <w:tc>
          <w:tcPr>
            <w:tcW w:w="3337" w:type="pct"/>
            <w:tcBorders>
              <w:top w:val="single" w:sz="4" w:space="0" w:color="auto"/>
              <w:bottom w:val="single" w:sz="4" w:space="0" w:color="auto"/>
              <w:right w:val="single" w:sz="4" w:space="0" w:color="auto"/>
            </w:tcBorders>
          </w:tcPr>
          <w:p w14:paraId="20E3EB5F" w14:textId="3252BE15" w:rsidR="00BC7D0E" w:rsidRDefault="001560B2" w:rsidP="00BC7D0E">
            <w:pPr>
              <w:pStyle w:val="TableText"/>
            </w:pPr>
            <w:r>
              <w:t>Establish</w:t>
            </w:r>
            <w:r w:rsidR="00BB6629">
              <w:t xml:space="preserve"> an </w:t>
            </w:r>
            <w:r w:rsidR="006B74B6">
              <w:t>e</w:t>
            </w:r>
            <w:r w:rsidR="00935CFC">
              <w:t xml:space="preserve">lectronic </w:t>
            </w:r>
            <w:r w:rsidR="006B74B6">
              <w:t>w</w:t>
            </w:r>
            <w:r w:rsidR="00BB6629">
              <w:t xml:space="preserve">aste </w:t>
            </w:r>
            <w:r w:rsidR="006B74B6">
              <w:t>r</w:t>
            </w:r>
            <w:r w:rsidR="00BB6629">
              <w:t xml:space="preserve">ecycling </w:t>
            </w:r>
            <w:r w:rsidR="006B74B6">
              <w:t>p</w:t>
            </w:r>
            <w:r w:rsidR="00AA2C1E">
              <w:t>lan</w:t>
            </w:r>
            <w:r w:rsidR="00BB6629">
              <w:t xml:space="preserve"> for</w:t>
            </w:r>
            <w:r w:rsidR="00BC7D0E">
              <w:t xml:space="preserve"> </w:t>
            </w:r>
            <w:r w:rsidR="006B74B6">
              <w:t>e</w:t>
            </w:r>
            <w:r w:rsidR="00BC7D0E">
              <w:t xml:space="preserve">lectronic </w:t>
            </w:r>
            <w:r w:rsidR="006B74B6">
              <w:t>l</w:t>
            </w:r>
            <w:r w:rsidR="00BC7D0E">
              <w:t xml:space="preserve">earning </w:t>
            </w:r>
            <w:r w:rsidR="006B74B6">
              <w:t>t</w:t>
            </w:r>
            <w:r w:rsidR="00BC7D0E">
              <w:t>ools</w:t>
            </w:r>
          </w:p>
        </w:tc>
        <w:tc>
          <w:tcPr>
            <w:tcW w:w="343" w:type="pct"/>
            <w:tcBorders>
              <w:top w:val="nil"/>
              <w:left w:val="single" w:sz="4" w:space="0" w:color="auto"/>
              <w:bottom w:val="single" w:sz="4" w:space="0" w:color="auto"/>
              <w:right w:val="single" w:sz="4" w:space="0" w:color="auto"/>
            </w:tcBorders>
            <w:shd w:val="clear" w:color="auto" w:fill="auto"/>
            <w:vAlign w:val="center"/>
          </w:tcPr>
          <w:p w14:paraId="62C94F36" w14:textId="3AFC44FC" w:rsidR="00BC7D0E" w:rsidRDefault="00BC7D0E" w:rsidP="00BC7D0E">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5FF0B131" w14:textId="7AEF5188" w:rsidR="00BC7D0E"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FCA9831" w14:textId="4A17D461" w:rsidR="00BC7D0E" w:rsidRDefault="00BC7D0E" w:rsidP="00BC7D0E">
            <w:pPr>
              <w:pStyle w:val="TableText"/>
            </w:pPr>
            <w:r>
              <w:t>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0A3D5F27" w14:textId="0F3B5E64" w:rsidR="00BC7D0E" w:rsidRDefault="00BC7D0E" w:rsidP="00BC7D0E">
            <w:pPr>
              <w:pStyle w:val="TableText"/>
            </w:pPr>
            <w:r>
              <w:t>1</w:t>
            </w:r>
          </w:p>
        </w:tc>
      </w:tr>
      <w:tr w:rsidR="00BC7D0E" w:rsidRPr="00C8094D" w14:paraId="45893C93"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6BAABB6D" w14:textId="77777777" w:rsidR="00BC7D0E" w:rsidRPr="00C8094D" w:rsidRDefault="00BC7D0E" w:rsidP="00BC7D0E">
            <w:pPr>
              <w:pStyle w:val="TableText"/>
            </w:pPr>
            <w:r>
              <w:t>(5)</w:t>
            </w:r>
          </w:p>
        </w:tc>
        <w:tc>
          <w:tcPr>
            <w:tcW w:w="3337" w:type="pct"/>
            <w:tcBorders>
              <w:top w:val="single" w:sz="4" w:space="0" w:color="auto"/>
              <w:bottom w:val="single" w:sz="4" w:space="0" w:color="auto"/>
              <w:right w:val="single" w:sz="4" w:space="0" w:color="auto"/>
            </w:tcBorders>
          </w:tcPr>
          <w:p w14:paraId="0FE525EF" w14:textId="66F92EDE" w:rsidR="00BC7D0E" w:rsidRPr="00C8094D" w:rsidRDefault="00BC7D0E" w:rsidP="00BC7D0E">
            <w:pPr>
              <w:pStyle w:val="TableText"/>
            </w:pPr>
            <w:r>
              <w:t xml:space="preserve">Designate </w:t>
            </w:r>
            <w:r w:rsidR="00D11B29">
              <w:t>s</w:t>
            </w:r>
            <w:r w:rsidR="005C70D3">
              <w:t xml:space="preserve">taff </w:t>
            </w:r>
            <w:r w:rsidR="00543A4F">
              <w:t xml:space="preserve">members </w:t>
            </w:r>
            <w:r w:rsidR="005C70D3">
              <w:t xml:space="preserve">and </w:t>
            </w:r>
            <w:r w:rsidR="00D11B29">
              <w:t>s</w:t>
            </w:r>
            <w:r w:rsidR="005C70D3">
              <w:t>tudents to</w:t>
            </w:r>
            <w:r>
              <w:t xml:space="preserve"> </w:t>
            </w:r>
            <w:r w:rsidR="001B0571">
              <w:t xml:space="preserve">implement and </w:t>
            </w:r>
            <w:r w:rsidR="00D11B29">
              <w:t>m</w:t>
            </w:r>
            <w:r>
              <w:t xml:space="preserve">anage </w:t>
            </w:r>
            <w:r w:rsidR="0011415F">
              <w:t>implement</w:t>
            </w:r>
            <w:r>
              <w:t xml:space="preserve"> </w:t>
            </w:r>
            <w:r w:rsidR="00D11B29">
              <w:t>w</w:t>
            </w:r>
            <w:r>
              <w:t xml:space="preserve">aste </w:t>
            </w:r>
            <w:r w:rsidR="00D11B29">
              <w:t>p</w:t>
            </w:r>
            <w:r>
              <w:t xml:space="preserve">rograms </w:t>
            </w:r>
          </w:p>
        </w:tc>
        <w:tc>
          <w:tcPr>
            <w:tcW w:w="343" w:type="pct"/>
            <w:tcBorders>
              <w:top w:val="nil"/>
              <w:left w:val="single" w:sz="4" w:space="0" w:color="auto"/>
              <w:bottom w:val="single" w:sz="4" w:space="0" w:color="auto"/>
              <w:right w:val="single" w:sz="4" w:space="0" w:color="auto"/>
            </w:tcBorders>
            <w:shd w:val="clear" w:color="auto" w:fill="auto"/>
            <w:vAlign w:val="center"/>
          </w:tcPr>
          <w:p w14:paraId="64ECF380" w14:textId="77777777" w:rsidR="00BC7D0E" w:rsidRPr="00C8094D" w:rsidRDefault="00BC7D0E" w:rsidP="00BC7D0E">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71465FBF" w14:textId="77777777" w:rsidR="00BC7D0E" w:rsidRPr="00C8094D"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3D411F5" w14:textId="77777777" w:rsidR="00BC7D0E" w:rsidRPr="00C8094D" w:rsidRDefault="00BC7D0E" w:rsidP="00BC7D0E">
            <w:pPr>
              <w:pStyle w:val="TableText"/>
            </w:pPr>
            <w:r>
              <w:t>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69C1A94F" w14:textId="77777777" w:rsidR="00BC7D0E" w:rsidRPr="00C8094D" w:rsidRDefault="00BC7D0E" w:rsidP="00BC7D0E">
            <w:pPr>
              <w:pStyle w:val="TableText"/>
            </w:pPr>
            <w:r>
              <w:t>3</w:t>
            </w:r>
          </w:p>
        </w:tc>
      </w:tr>
      <w:tr w:rsidR="00BC7D0E" w:rsidRPr="00C8094D" w14:paraId="7DBE549B"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3CE5BD6D" w14:textId="77777777" w:rsidR="00BC7D0E" w:rsidRPr="00C8094D" w:rsidRDefault="00BC7D0E" w:rsidP="00BC7D0E">
            <w:pPr>
              <w:pStyle w:val="TableText"/>
            </w:pPr>
            <w:r>
              <w:t>(6)</w:t>
            </w:r>
          </w:p>
        </w:tc>
        <w:tc>
          <w:tcPr>
            <w:tcW w:w="3337" w:type="pct"/>
            <w:tcBorders>
              <w:top w:val="single" w:sz="4" w:space="0" w:color="auto"/>
              <w:bottom w:val="single" w:sz="4" w:space="0" w:color="auto"/>
              <w:right w:val="single" w:sz="4" w:space="0" w:color="auto"/>
            </w:tcBorders>
          </w:tcPr>
          <w:p w14:paraId="54A0D943" w14:textId="41836E39" w:rsidR="00BC7D0E" w:rsidRDefault="00BC7D0E" w:rsidP="00BC7D0E">
            <w:pPr>
              <w:pStyle w:val="TableText"/>
            </w:pPr>
            <w:r>
              <w:t xml:space="preserve">Collect </w:t>
            </w:r>
            <w:r w:rsidR="00D11B29">
              <w:t>d</w:t>
            </w:r>
            <w:r>
              <w:t xml:space="preserve">ivertible </w:t>
            </w:r>
            <w:r w:rsidR="00D11B29">
              <w:t>w</w:t>
            </w:r>
            <w:r>
              <w:t xml:space="preserve">aste </w:t>
            </w:r>
          </w:p>
        </w:tc>
        <w:tc>
          <w:tcPr>
            <w:tcW w:w="343" w:type="pct"/>
            <w:tcBorders>
              <w:top w:val="nil"/>
              <w:left w:val="single" w:sz="4" w:space="0" w:color="auto"/>
              <w:bottom w:val="single" w:sz="4" w:space="0" w:color="auto"/>
              <w:right w:val="single" w:sz="4" w:space="0" w:color="auto"/>
            </w:tcBorders>
            <w:shd w:val="clear" w:color="auto" w:fill="auto"/>
            <w:vAlign w:val="center"/>
          </w:tcPr>
          <w:p w14:paraId="39BBB0F0" w14:textId="77777777" w:rsidR="00BC7D0E" w:rsidRPr="00C8094D"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vAlign w:val="center"/>
          </w:tcPr>
          <w:p w14:paraId="707FB99B" w14:textId="77777777" w:rsidR="00BC7D0E" w:rsidRPr="00E86258" w:rsidRDefault="00BC7D0E" w:rsidP="00BC7D0E">
            <w:pPr>
              <w:pStyle w:val="TableText"/>
            </w:pPr>
            <w:r w:rsidRPr="00E86258">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6F006804" w14:textId="77777777" w:rsidR="00BC7D0E" w:rsidRPr="00E86258" w:rsidRDefault="00BC7D0E" w:rsidP="00BC7D0E">
            <w:pPr>
              <w:pStyle w:val="TableText"/>
            </w:pPr>
            <w:r w:rsidRPr="00E86258">
              <w:t>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7DA35344" w14:textId="77777777" w:rsidR="00BC7D0E" w:rsidRPr="00C8094D" w:rsidRDefault="00BC7D0E" w:rsidP="00BC7D0E">
            <w:pPr>
              <w:pStyle w:val="TableText"/>
            </w:pPr>
            <w:r>
              <w:t>3</w:t>
            </w:r>
          </w:p>
        </w:tc>
      </w:tr>
      <w:tr w:rsidR="00BC7D0E" w:rsidRPr="00C8094D" w14:paraId="607745E1"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09C0B6B9" w14:textId="77777777" w:rsidR="00BC7D0E" w:rsidRPr="00C8094D" w:rsidRDefault="00BC7D0E" w:rsidP="00BC7D0E">
            <w:pPr>
              <w:pStyle w:val="TableText"/>
            </w:pPr>
            <w:r>
              <w:t>(7)</w:t>
            </w:r>
          </w:p>
        </w:tc>
        <w:tc>
          <w:tcPr>
            <w:tcW w:w="3337" w:type="pct"/>
            <w:tcBorders>
              <w:top w:val="single" w:sz="4" w:space="0" w:color="auto"/>
              <w:bottom w:val="single" w:sz="4" w:space="0" w:color="auto"/>
              <w:right w:val="single" w:sz="4" w:space="0" w:color="auto"/>
            </w:tcBorders>
          </w:tcPr>
          <w:p w14:paraId="412E86C9" w14:textId="18C9F4C1" w:rsidR="00BC7D0E" w:rsidRDefault="00BC7D0E" w:rsidP="00BC7D0E">
            <w:pPr>
              <w:pStyle w:val="TableText"/>
            </w:pPr>
            <w:r>
              <w:t xml:space="preserve">Optimize </w:t>
            </w:r>
            <w:r w:rsidR="00D11B29">
              <w:t>b</w:t>
            </w:r>
            <w:r>
              <w:t xml:space="preserve">in </w:t>
            </w:r>
            <w:r w:rsidR="00D11B29">
              <w:t>l</w:t>
            </w:r>
            <w:r>
              <w:t xml:space="preserve">ocation and </w:t>
            </w:r>
            <w:r w:rsidR="00D11B29">
              <w:t>l</w:t>
            </w:r>
            <w:r>
              <w:t>abeling</w:t>
            </w:r>
          </w:p>
        </w:tc>
        <w:tc>
          <w:tcPr>
            <w:tcW w:w="343" w:type="pct"/>
            <w:tcBorders>
              <w:top w:val="nil"/>
              <w:left w:val="single" w:sz="4" w:space="0" w:color="auto"/>
              <w:bottom w:val="single" w:sz="4" w:space="0" w:color="auto"/>
              <w:right w:val="single" w:sz="4" w:space="0" w:color="auto"/>
            </w:tcBorders>
            <w:shd w:val="clear" w:color="auto" w:fill="auto"/>
            <w:vAlign w:val="center"/>
          </w:tcPr>
          <w:p w14:paraId="30F5B3F9" w14:textId="77777777" w:rsidR="00BC7D0E" w:rsidRPr="00C8094D"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vAlign w:val="center"/>
          </w:tcPr>
          <w:p w14:paraId="5D0620F6" w14:textId="77777777" w:rsidR="00BC7D0E" w:rsidRPr="00E86258" w:rsidRDefault="00BC7D0E" w:rsidP="00BC7D0E">
            <w:pPr>
              <w:pStyle w:val="TableText"/>
            </w:pPr>
            <w:r w:rsidRPr="00E86258">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F2B5E79" w14:textId="77777777" w:rsidR="00BC7D0E" w:rsidRPr="00E86258" w:rsidRDefault="00BC7D0E" w:rsidP="00BC7D0E">
            <w:pPr>
              <w:pStyle w:val="TableText"/>
            </w:pPr>
            <w:r w:rsidRPr="00E86258">
              <w:t>1</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DD43161" w14:textId="77777777" w:rsidR="00BC7D0E" w:rsidRPr="00C8094D" w:rsidRDefault="00BC7D0E" w:rsidP="00BC7D0E">
            <w:pPr>
              <w:pStyle w:val="TableText"/>
            </w:pPr>
            <w:r>
              <w:t>1</w:t>
            </w:r>
          </w:p>
        </w:tc>
      </w:tr>
      <w:tr w:rsidR="00BC7D0E" w:rsidRPr="00C8094D" w14:paraId="1C5EDBAC"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5AC0BB4D" w14:textId="77777777" w:rsidR="00BC7D0E" w:rsidRDefault="00BC7D0E" w:rsidP="00BC7D0E">
            <w:pPr>
              <w:pStyle w:val="TableText"/>
            </w:pPr>
            <w:r>
              <w:t>(8)</w:t>
            </w:r>
          </w:p>
        </w:tc>
        <w:tc>
          <w:tcPr>
            <w:tcW w:w="3337" w:type="pct"/>
            <w:tcBorders>
              <w:top w:val="single" w:sz="4" w:space="0" w:color="auto"/>
              <w:bottom w:val="single" w:sz="4" w:space="0" w:color="auto"/>
              <w:right w:val="single" w:sz="4" w:space="0" w:color="auto"/>
            </w:tcBorders>
          </w:tcPr>
          <w:p w14:paraId="2EDE6EC3" w14:textId="297354A7" w:rsidR="00BC7D0E" w:rsidRDefault="00BC7D0E" w:rsidP="00BC7D0E">
            <w:pPr>
              <w:pStyle w:val="TableText"/>
            </w:pPr>
            <w:r>
              <w:t xml:space="preserve">Process </w:t>
            </w:r>
            <w:r w:rsidR="00D11B29">
              <w:t>o</w:t>
            </w:r>
            <w:r>
              <w:t xml:space="preserve">rganic </w:t>
            </w:r>
            <w:r w:rsidR="00D11B29">
              <w:t>w</w:t>
            </w:r>
            <w:r>
              <w:t xml:space="preserve">aste </w:t>
            </w:r>
            <w:r w:rsidR="00D11B29">
              <w:t>o</w:t>
            </w:r>
            <w:r>
              <w:t>n</w:t>
            </w:r>
            <w:r w:rsidR="00D11B29">
              <w:t xml:space="preserve"> s</w:t>
            </w:r>
            <w:r>
              <w:t>ite</w:t>
            </w:r>
          </w:p>
        </w:tc>
        <w:tc>
          <w:tcPr>
            <w:tcW w:w="343" w:type="pct"/>
            <w:tcBorders>
              <w:top w:val="nil"/>
              <w:left w:val="single" w:sz="4" w:space="0" w:color="auto"/>
              <w:bottom w:val="single" w:sz="4" w:space="0" w:color="auto"/>
              <w:right w:val="single" w:sz="4" w:space="0" w:color="auto"/>
            </w:tcBorders>
            <w:shd w:val="clear" w:color="auto" w:fill="auto"/>
            <w:vAlign w:val="center"/>
          </w:tcPr>
          <w:p w14:paraId="264BF6FF" w14:textId="77777777" w:rsidR="00BC7D0E" w:rsidRPr="00C8094D"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vAlign w:val="center"/>
          </w:tcPr>
          <w:p w14:paraId="4B4F6B67" w14:textId="77777777" w:rsidR="00BC7D0E" w:rsidRPr="00E86258" w:rsidRDefault="00BC7D0E" w:rsidP="00BC7D0E">
            <w:pPr>
              <w:pStyle w:val="TableText"/>
            </w:pPr>
            <w:r w:rsidRPr="00E86258">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0D8354B" w14:textId="77777777" w:rsidR="00BC7D0E" w:rsidRPr="00E86258" w:rsidRDefault="00BC7D0E" w:rsidP="00BC7D0E">
            <w:pPr>
              <w:pStyle w:val="TableText"/>
            </w:pPr>
            <w:r w:rsidRPr="00E86258">
              <w:t>2</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1816725" w14:textId="77777777" w:rsidR="00BC7D0E" w:rsidRPr="00C8094D" w:rsidRDefault="00BC7D0E" w:rsidP="00BC7D0E">
            <w:pPr>
              <w:pStyle w:val="TableText"/>
            </w:pPr>
            <w:r>
              <w:t>2</w:t>
            </w:r>
          </w:p>
        </w:tc>
      </w:tr>
      <w:tr w:rsidR="00BC7D0E" w:rsidRPr="00C8094D" w14:paraId="33ECFEFE"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7E1E182B" w14:textId="77777777" w:rsidR="00BC7D0E" w:rsidRDefault="00BC7D0E" w:rsidP="00BC7D0E">
            <w:pPr>
              <w:pStyle w:val="TableText"/>
            </w:pPr>
            <w:r>
              <w:t>(9)</w:t>
            </w:r>
          </w:p>
        </w:tc>
        <w:tc>
          <w:tcPr>
            <w:tcW w:w="3337" w:type="pct"/>
            <w:tcBorders>
              <w:top w:val="single" w:sz="4" w:space="0" w:color="auto"/>
              <w:bottom w:val="single" w:sz="4" w:space="0" w:color="auto"/>
              <w:right w:val="single" w:sz="4" w:space="0" w:color="auto"/>
            </w:tcBorders>
          </w:tcPr>
          <w:p w14:paraId="63921CC9" w14:textId="2648C91E" w:rsidR="00BC7D0E" w:rsidRDefault="005C70D3" w:rsidP="00BC7D0E">
            <w:pPr>
              <w:pStyle w:val="TableText"/>
            </w:pPr>
            <w:r>
              <w:t xml:space="preserve">Leave </w:t>
            </w:r>
            <w:r w:rsidR="00D11B29">
              <w:t>l</w:t>
            </w:r>
            <w:r w:rsidR="00BC7D0E">
              <w:t xml:space="preserve">awn </w:t>
            </w:r>
            <w:r w:rsidR="00D11B29">
              <w:t>c</w:t>
            </w:r>
            <w:r w:rsidR="00BC7D0E">
              <w:t>lippings</w:t>
            </w:r>
            <w:r>
              <w:t xml:space="preserve"> in </w:t>
            </w:r>
            <w:r w:rsidR="00D11B29">
              <w:t>p</w:t>
            </w:r>
            <w:r>
              <w:t xml:space="preserve">lace or </w:t>
            </w:r>
            <w:r w:rsidR="00D11B29">
              <w:t>c</w:t>
            </w:r>
            <w:r>
              <w:t>ompost</w:t>
            </w:r>
          </w:p>
        </w:tc>
        <w:tc>
          <w:tcPr>
            <w:tcW w:w="343" w:type="pct"/>
            <w:tcBorders>
              <w:top w:val="nil"/>
              <w:left w:val="single" w:sz="4" w:space="0" w:color="auto"/>
              <w:bottom w:val="single" w:sz="4" w:space="0" w:color="auto"/>
              <w:right w:val="single" w:sz="4" w:space="0" w:color="auto"/>
            </w:tcBorders>
            <w:shd w:val="clear" w:color="auto" w:fill="auto"/>
            <w:vAlign w:val="center"/>
          </w:tcPr>
          <w:p w14:paraId="77672BE6" w14:textId="77777777" w:rsidR="00BC7D0E" w:rsidRDefault="00BC7D0E" w:rsidP="00BC7D0E">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4C0C1170" w14:textId="77777777" w:rsidR="00BC7D0E" w:rsidRPr="00E86258" w:rsidRDefault="00BC7D0E" w:rsidP="00BC7D0E">
            <w:pPr>
              <w:pStyle w:val="TableText"/>
            </w:pPr>
            <w:r>
              <w:t>0</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0605CB56" w14:textId="77777777" w:rsidR="00BC7D0E" w:rsidRPr="00E86258" w:rsidRDefault="00BC7D0E" w:rsidP="00BC7D0E">
            <w:pPr>
              <w:pStyle w:val="TableText"/>
            </w:pPr>
            <w:r>
              <w:t>1</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75646F5" w14:textId="77777777" w:rsidR="00BC7D0E" w:rsidRDefault="00BC7D0E" w:rsidP="00BC7D0E">
            <w:pPr>
              <w:pStyle w:val="TableText"/>
            </w:pPr>
            <w:r>
              <w:t>1</w:t>
            </w:r>
          </w:p>
        </w:tc>
      </w:tr>
      <w:tr w:rsidR="00BC7D0E" w:rsidRPr="00C8094D" w14:paraId="592516F8" w14:textId="77777777" w:rsidTr="00BC7D0E">
        <w:trPr>
          <w:cantSplit/>
          <w:trHeight w:val="255"/>
          <w:tblHeader/>
          <w:jc w:val="center"/>
        </w:trPr>
        <w:tc>
          <w:tcPr>
            <w:tcW w:w="291" w:type="pct"/>
            <w:tcBorders>
              <w:top w:val="single" w:sz="4" w:space="0" w:color="auto"/>
              <w:left w:val="single" w:sz="4" w:space="0" w:color="auto"/>
              <w:bottom w:val="single" w:sz="4" w:space="0" w:color="auto"/>
            </w:tcBorders>
            <w:shd w:val="clear" w:color="auto" w:fill="auto"/>
          </w:tcPr>
          <w:p w14:paraId="25FF35E2" w14:textId="77777777" w:rsidR="00BC7D0E" w:rsidRDefault="00BC7D0E" w:rsidP="00BC7D0E">
            <w:pPr>
              <w:pStyle w:val="TableText"/>
            </w:pPr>
            <w:r>
              <w:t>(10)</w:t>
            </w:r>
          </w:p>
        </w:tc>
        <w:tc>
          <w:tcPr>
            <w:tcW w:w="3337" w:type="pct"/>
            <w:tcBorders>
              <w:top w:val="single" w:sz="4" w:space="0" w:color="auto"/>
              <w:bottom w:val="single" w:sz="4" w:space="0" w:color="auto"/>
              <w:right w:val="single" w:sz="4" w:space="0" w:color="auto"/>
            </w:tcBorders>
          </w:tcPr>
          <w:p w14:paraId="4AC2F040" w14:textId="7AE17327" w:rsidR="00BC7D0E" w:rsidRDefault="00BC7D0E" w:rsidP="00BC7D0E">
            <w:pPr>
              <w:pStyle w:val="TableText"/>
            </w:pPr>
            <w:r>
              <w:t xml:space="preserve">Use </w:t>
            </w:r>
            <w:r w:rsidR="006A6682">
              <w:t>s</w:t>
            </w:r>
            <w:r>
              <w:t xml:space="preserve">mart </w:t>
            </w:r>
            <w:r w:rsidR="006A6682">
              <w:t>w</w:t>
            </w:r>
            <w:r>
              <w:t xml:space="preserve">aste </w:t>
            </w:r>
            <w:r w:rsidR="006A6682">
              <w:t>m</w:t>
            </w:r>
            <w:r>
              <w:t xml:space="preserve">onitoring </w:t>
            </w:r>
            <w:r w:rsidR="006A6682">
              <w:t>t</w:t>
            </w:r>
            <w:r>
              <w:t>echnology</w:t>
            </w:r>
          </w:p>
        </w:tc>
        <w:tc>
          <w:tcPr>
            <w:tcW w:w="343" w:type="pct"/>
            <w:tcBorders>
              <w:top w:val="nil"/>
              <w:left w:val="single" w:sz="4" w:space="0" w:color="auto"/>
              <w:bottom w:val="nil"/>
              <w:right w:val="single" w:sz="4" w:space="0" w:color="auto"/>
            </w:tcBorders>
            <w:shd w:val="clear" w:color="auto" w:fill="auto"/>
            <w:vAlign w:val="center"/>
          </w:tcPr>
          <w:p w14:paraId="3387963A" w14:textId="77777777" w:rsidR="00BC7D0E" w:rsidRPr="00C8094D" w:rsidRDefault="00BC7D0E" w:rsidP="00BC7D0E">
            <w:pPr>
              <w:pStyle w:val="TableText"/>
            </w:pPr>
            <w:r>
              <w:t>$</w:t>
            </w:r>
          </w:p>
        </w:tc>
        <w:tc>
          <w:tcPr>
            <w:tcW w:w="343" w:type="pct"/>
            <w:tcBorders>
              <w:top w:val="single" w:sz="4" w:space="0" w:color="auto"/>
              <w:left w:val="single" w:sz="4" w:space="0" w:color="auto"/>
              <w:bottom w:val="single" w:sz="4" w:space="0" w:color="auto"/>
              <w:right w:val="single" w:sz="4" w:space="0" w:color="auto"/>
            </w:tcBorders>
            <w:vAlign w:val="center"/>
          </w:tcPr>
          <w:p w14:paraId="739AF3C7" w14:textId="6713451E" w:rsidR="00BC7D0E" w:rsidRPr="002A24C5" w:rsidRDefault="002A24C5" w:rsidP="00BC7D0E">
            <w:pPr>
              <w:pStyle w:val="TableText"/>
            </w:pPr>
            <w:r w:rsidRPr="002A24C5">
              <w:rPr>
                <w:color w:val="00B050"/>
              </w:rPr>
              <w:t>-</w:t>
            </w:r>
            <w:r w:rsidR="00BC7D0E" w:rsidRPr="002A24C5">
              <w:rPr>
                <w:color w:val="00B050"/>
              </w:rP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A8708CA" w14:textId="77777777" w:rsidR="00BC7D0E" w:rsidRPr="00C8094D" w:rsidRDefault="00BC7D0E" w:rsidP="00BC7D0E">
            <w:pPr>
              <w:pStyle w:val="TableText"/>
            </w:pPr>
            <w:r>
              <w:t>1</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968EBA6" w14:textId="77777777" w:rsidR="00BC7D0E" w:rsidRPr="00C8094D" w:rsidRDefault="00BC7D0E" w:rsidP="00BC7D0E">
            <w:pPr>
              <w:pStyle w:val="TableText"/>
            </w:pPr>
            <w:r>
              <w:t>1</w:t>
            </w:r>
          </w:p>
        </w:tc>
      </w:tr>
      <w:tr w:rsidR="00BC7D0E" w:rsidRPr="00C8094D" w14:paraId="44E08413" w14:textId="77777777" w:rsidTr="00E02568">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FC2E58A" w14:textId="77777777" w:rsidR="00BC7D0E" w:rsidRPr="00E02568" w:rsidRDefault="00BC7D0E" w:rsidP="00BC7D0E">
            <w:pPr>
              <w:rPr>
                <w:rFonts w:ascii="Arial" w:hAnsi="Arial" w:cs="Arial"/>
                <w:b/>
                <w:bCs/>
                <w:sz w:val="20"/>
                <w:szCs w:val="20"/>
                <w:u w:val="single"/>
              </w:rPr>
            </w:pPr>
            <w:r w:rsidRPr="00E02568">
              <w:rPr>
                <w:rFonts w:ascii="Arial" w:hAnsi="Arial" w:cs="Arial"/>
                <w:b/>
                <w:bCs/>
                <w:sz w:val="20"/>
                <w:szCs w:val="20"/>
                <w:u w:val="single"/>
              </w:rPr>
              <w:t>Key:</w:t>
            </w:r>
          </w:p>
          <w:p w14:paraId="12EC9430" w14:textId="77777777" w:rsidR="00BC7D0E" w:rsidRPr="00E02568" w:rsidRDefault="00BC7D0E" w:rsidP="00BC7D0E">
            <w:pPr>
              <w:rPr>
                <w:rFonts w:ascii="Arial" w:hAnsi="Arial" w:cs="Arial"/>
                <w:sz w:val="20"/>
                <w:szCs w:val="20"/>
              </w:rPr>
            </w:pPr>
            <w:r w:rsidRPr="00E02568">
              <w:rPr>
                <w:rFonts w:ascii="Arial" w:hAnsi="Arial" w:cs="Arial"/>
                <w:b/>
                <w:bCs/>
                <w:sz w:val="20"/>
                <w:szCs w:val="20"/>
              </w:rPr>
              <w:t>Cost:</w:t>
            </w:r>
            <w:r w:rsidRPr="00E02568">
              <w:rPr>
                <w:rFonts w:ascii="Arial" w:hAnsi="Arial" w:cs="Arial"/>
                <w:sz w:val="20"/>
                <w:szCs w:val="20"/>
              </w:rPr>
              <w:t xml:space="preserve"> 0 = no cost; $ = low cost (&lt;$25k), $$ = medium cost ($25-100k), $$$ = high cost (&gt;$100k) </w:t>
            </w:r>
          </w:p>
          <w:p w14:paraId="18FDB0A2" w14:textId="1EA8824F" w:rsidR="00BC7D0E" w:rsidRPr="00E02568" w:rsidRDefault="00BC7D0E" w:rsidP="00BC7D0E">
            <w:pPr>
              <w:rPr>
                <w:rFonts w:ascii="Arial" w:hAnsi="Arial" w:cs="Arial"/>
                <w:sz w:val="20"/>
                <w:szCs w:val="20"/>
              </w:rPr>
            </w:pPr>
            <w:r w:rsidRPr="00E02568">
              <w:rPr>
                <w:rFonts w:ascii="Arial" w:hAnsi="Arial" w:cs="Arial"/>
                <w:b/>
                <w:bCs/>
                <w:sz w:val="20"/>
                <w:szCs w:val="20"/>
              </w:rPr>
              <w:t xml:space="preserve">Implementation Timeframe: </w:t>
            </w:r>
            <w:r w:rsidRPr="00E02568">
              <w:rPr>
                <w:rFonts w:ascii="Arial" w:hAnsi="Arial" w:cs="Arial"/>
                <w:sz w:val="20"/>
                <w:szCs w:val="20"/>
              </w:rPr>
              <w:t>1 = near-term (0-3 months); 2 = medium-term (4-12 months); 3 = long-term (</w:t>
            </w:r>
            <w:r w:rsidR="001A352A">
              <w:rPr>
                <w:rFonts w:ascii="Arial" w:hAnsi="Arial" w:cs="Arial"/>
                <w:sz w:val="20"/>
                <w:szCs w:val="20"/>
              </w:rPr>
              <w:t>&gt;</w:t>
            </w:r>
            <w:r w:rsidRPr="00E02568">
              <w:rPr>
                <w:rFonts w:ascii="Arial" w:hAnsi="Arial" w:cs="Arial"/>
                <w:sz w:val="20"/>
                <w:szCs w:val="20"/>
              </w:rPr>
              <w:t>12 months)</w:t>
            </w:r>
          </w:p>
          <w:p w14:paraId="6FB8FA2C" w14:textId="77777777" w:rsidR="00BC7D0E" w:rsidRDefault="00BC7D0E" w:rsidP="00BC7D0E">
            <w:pPr>
              <w:rPr>
                <w:rFonts w:ascii="Arial" w:hAnsi="Arial" w:cs="Arial"/>
                <w:sz w:val="20"/>
                <w:szCs w:val="20"/>
              </w:rPr>
            </w:pPr>
            <w:r w:rsidRPr="00E02568">
              <w:rPr>
                <w:rFonts w:ascii="Arial" w:hAnsi="Arial" w:cs="Arial"/>
                <w:b/>
                <w:bCs/>
                <w:sz w:val="20"/>
                <w:szCs w:val="20"/>
              </w:rPr>
              <w:t>Ease of Implementation:</w:t>
            </w:r>
            <w:r w:rsidRPr="00E02568">
              <w:rPr>
                <w:rFonts w:ascii="Arial" w:hAnsi="Arial" w:cs="Arial"/>
                <w:sz w:val="20"/>
                <w:szCs w:val="20"/>
              </w:rPr>
              <w:t xml:space="preserve"> 1= easier to implement; 3 = more difficult to implement</w:t>
            </w:r>
          </w:p>
          <w:p w14:paraId="3DA7B968" w14:textId="77777777" w:rsidR="002A24C5" w:rsidRDefault="002A24C5" w:rsidP="00BC7D0E">
            <w:pPr>
              <w:rPr>
                <w:rFonts w:ascii="Arial" w:hAnsi="Arial" w:cs="Arial"/>
                <w:sz w:val="20"/>
                <w:szCs w:val="20"/>
              </w:rPr>
            </w:pPr>
            <w:r w:rsidRPr="002A24C5">
              <w:rPr>
                <w:rFonts w:ascii="Arial" w:hAnsi="Arial" w:cs="Arial"/>
                <w:sz w:val="20"/>
                <w:szCs w:val="20"/>
              </w:rPr>
              <w:t>Note: Negative costs (presented in green and with a negative sign) suggest a measure will likely contribute to reduced operating costs.</w:t>
            </w:r>
          </w:p>
          <w:p w14:paraId="74734DE4" w14:textId="77777777" w:rsidR="000D1E7B" w:rsidRDefault="000D1E7B" w:rsidP="00BC7D0E">
            <w:pPr>
              <w:rPr>
                <w:rFonts w:ascii="Arial" w:hAnsi="Arial" w:cs="Arial"/>
                <w:sz w:val="20"/>
                <w:szCs w:val="20"/>
              </w:rPr>
            </w:pPr>
          </w:p>
          <w:p w14:paraId="14CE2EA7" w14:textId="106190E4" w:rsidR="000D1E7B" w:rsidRPr="002A24C5" w:rsidRDefault="000D1E7B" w:rsidP="000D1E7B">
            <w:pPr>
              <w:pStyle w:val="TableText"/>
            </w:pPr>
            <w:r>
              <w:t xml:space="preserve">Note: </w:t>
            </w:r>
            <w:r w:rsidRPr="009D0139">
              <w:rPr>
                <w:color w:val="00B050"/>
              </w:rPr>
              <w:t>-$</w:t>
            </w:r>
            <w:r>
              <w:t xml:space="preserve"> </w:t>
            </w:r>
            <w:r w:rsidRPr="005F67DA">
              <w:t>(presented in green and with a negative sign)</w:t>
            </w:r>
            <w:r>
              <w:t xml:space="preserve"> = Cost savings</w:t>
            </w:r>
            <w:r w:rsidRPr="005F67DA">
              <w:t xml:space="preserve"> </w:t>
            </w:r>
            <w:r>
              <w:t>(</w:t>
            </w:r>
            <w:r w:rsidRPr="005F67DA">
              <w:t>a measure will likely contribute to reduced operating costs</w:t>
            </w:r>
            <w:r>
              <w:t>)</w:t>
            </w:r>
          </w:p>
        </w:tc>
      </w:tr>
    </w:tbl>
    <w:p w14:paraId="1C2F6462" w14:textId="77777777" w:rsidR="009A577C" w:rsidRDefault="009A577C">
      <w:pPr>
        <w:rPr>
          <w:rFonts w:ascii="Arial" w:hAnsi="Arial" w:cs="Arial"/>
          <w:b/>
          <w:bCs/>
          <w:color w:val="4F6228" w:themeColor="accent3" w:themeShade="80"/>
          <w:sz w:val="26"/>
          <w:szCs w:val="22"/>
        </w:rPr>
      </w:pPr>
      <w:r>
        <w:br w:type="page"/>
      </w:r>
    </w:p>
    <w:p w14:paraId="13A48D95" w14:textId="31FB9928" w:rsidR="00472661" w:rsidRDefault="00472661" w:rsidP="00472661">
      <w:pPr>
        <w:pStyle w:val="Heading3"/>
      </w:pPr>
      <w:r w:rsidRPr="00B40F18">
        <w:lastRenderedPageBreak/>
        <w:t xml:space="preserve">Barriers and Challenges </w:t>
      </w:r>
    </w:p>
    <w:p w14:paraId="2AD84E65" w14:textId="5BB31C44" w:rsidR="00472661" w:rsidRDefault="00472661" w:rsidP="006D7DE6">
      <w:pPr>
        <w:pStyle w:val="BodyTextFirstIndent"/>
      </w:pPr>
      <w:r>
        <w:t xml:space="preserve">Schools face several challenges in </w:t>
      </w:r>
      <w:r w:rsidR="000E6D10">
        <w:t xml:space="preserve">pursuing </w:t>
      </w:r>
      <w:r>
        <w:t>zero-waste</w:t>
      </w:r>
      <w:r w:rsidR="000E6D10">
        <w:t xml:space="preserve"> operations</w:t>
      </w:r>
      <w:r>
        <w:t xml:space="preserve">. Namely, many schools lack professional oversight over organics management. In this absence, students often volunteer to staff </w:t>
      </w:r>
      <w:r w:rsidR="002D39E9">
        <w:t>smaller-</w:t>
      </w:r>
      <w:r>
        <w:t>scale composting programs</w:t>
      </w:r>
      <w:r w:rsidR="002D39E9">
        <w:t>,</w:t>
      </w:r>
      <w:r>
        <w:t xml:space="preserve"> </w:t>
      </w:r>
      <w:r w:rsidR="002D39E9">
        <w:t xml:space="preserve">which, </w:t>
      </w:r>
      <w:r>
        <w:t xml:space="preserve">while educational for the student, do not provide the long-term staffing that waste management requires. Schools may not have dedicated waste diversion professionals but rather depend on district or county-level support. Negotiations with janitorial or custodial unions are often cited as bottlenecks that derail progress toward implementing a compost program because janitors or custodians may view composting as an additional responsibility outside of their agreed responsibilities. Roles and responsibilities must be mutually agreeable, and an effectively implemented compost program should not require </w:t>
      </w:r>
      <w:r w:rsidR="4391B241">
        <w:t xml:space="preserve">significant </w:t>
      </w:r>
      <w:r>
        <w:t xml:space="preserve">additional labor from janitorial or custodial staff since the </w:t>
      </w:r>
      <w:r w:rsidR="009B1072">
        <w:t xml:space="preserve">total </w:t>
      </w:r>
      <w:r>
        <w:t>amount of waste produced does not change.</w:t>
      </w:r>
    </w:p>
    <w:p w14:paraId="4744342F" w14:textId="77777777" w:rsidR="00472661" w:rsidRDefault="00472661" w:rsidP="006D7DE6">
      <w:pPr>
        <w:pStyle w:val="BodyTextFirstIndent"/>
      </w:pPr>
      <w:r>
        <w:t>Zero-waste options are sometimes seen as being costly because of upfront capital costs or increased labor costs. However, savings from lower procurement costs, decreased hauling fees, and potential rebates or incentives can make zero-waste cost-saving.</w:t>
      </w:r>
    </w:p>
    <w:p w14:paraId="7A759CBB" w14:textId="7172C9A4" w:rsidR="00227930" w:rsidRDefault="00227930" w:rsidP="001C7888">
      <w:pPr>
        <w:pStyle w:val="Heading2"/>
      </w:pPr>
      <w:bookmarkStart w:id="115" w:name="Objective_1d"/>
      <w:bookmarkStart w:id="116" w:name="_Toc193116897"/>
      <w:bookmarkEnd w:id="115"/>
      <w:r>
        <w:t>Objective 1</w:t>
      </w:r>
      <w:r w:rsidR="005510ED">
        <w:t>d</w:t>
      </w:r>
      <w:r>
        <w:t>. Electrify School Bus Fleets</w:t>
      </w:r>
      <w:bookmarkEnd w:id="109"/>
      <w:bookmarkEnd w:id="110"/>
      <w:bookmarkEnd w:id="116"/>
    </w:p>
    <w:p w14:paraId="0AE35BCB" w14:textId="77777777" w:rsidR="00942B11" w:rsidRDefault="00942B11" w:rsidP="00942B11">
      <w:pPr>
        <w:pStyle w:val="Heading3"/>
      </w:pPr>
      <w:bookmarkStart w:id="117" w:name="_Toc171518366"/>
      <w:bookmarkStart w:id="118" w:name="_Toc171519319"/>
      <w:r>
        <w:t>Background</w:t>
      </w:r>
      <w:r w:rsidRPr="0029407F">
        <w:t xml:space="preserve"> </w:t>
      </w:r>
    </w:p>
    <w:p w14:paraId="4F4541DA" w14:textId="7AC1BB88" w:rsidR="00942B11" w:rsidRDefault="00942B11" w:rsidP="006D7DE6">
      <w:pPr>
        <w:pStyle w:val="BodyTextFirstIndent"/>
      </w:pPr>
      <w:r>
        <w:t xml:space="preserve">Historically, the most frequent passengers of school buses are students from </w:t>
      </w:r>
      <w:r w:rsidR="00CB7CD5">
        <w:t>Black households</w:t>
      </w:r>
      <w:r>
        <w:t xml:space="preserve"> and low-income backgrounds.</w:t>
      </w:r>
      <w:r w:rsidR="00A94107">
        <w:fldChar w:fldCharType="begin"/>
      </w:r>
      <w:r w:rsidR="00801FB9">
        <w:instrText xml:space="preserve"> ADDIN ZOTERO_ITEM CSL_CITATION {"citationID":"a9lvrnmcps","properties":{"formattedCitation":"\\super 56,57\\nosupersub{}","plainCitation":"56,57","noteIndex":0},"citationItems":[{"id":787,"uris":["http://zotero.org/groups/5563646/items/W2G2LNZ6"],"itemData":{"id":787,"type":"webpage","container-title":"Federal Highway Administration","title":"National Household Travel Survey","URL":"https://nhts.ornl.gov/","accessed":{"date-parts":[["2024",7,22]]}}},{"id":788,"uris":["http://zotero.org/groups/5563646/items/ERQ4DY8R"],"itemData":{"id":788,"type":"webpage","container-title":"Bureau of Transportation Statistics","title":"The Longer Route To School","URL":"https://www.bts.gov/topics/passenger-travel/back-school-2019","accessed":{"date-parts":[["2024",7,22]]},"issued":{"date-parts":[["2021",1,12]]}}}],"schema":"https://github.com/citation-style-language/schema/raw/master/csl-citation.json"} </w:instrText>
      </w:r>
      <w:r w:rsidR="00A94107">
        <w:fldChar w:fldCharType="separate"/>
      </w:r>
      <w:r w:rsidR="00801FB9" w:rsidRPr="00801FB9">
        <w:rPr>
          <w:rFonts w:cs="Arial"/>
          <w:vertAlign w:val="superscript"/>
        </w:rPr>
        <w:t>56,57</w:t>
      </w:r>
      <w:r w:rsidR="00A94107">
        <w:fldChar w:fldCharType="end"/>
      </w:r>
      <w:r>
        <w:t xml:space="preserve"> While school buses provide a crucial service to families </w:t>
      </w:r>
      <w:r w:rsidR="008E0F20">
        <w:t xml:space="preserve">who </w:t>
      </w:r>
      <w:r>
        <w:t>may otherwise be unable to get their children to school</w:t>
      </w:r>
      <w:r w:rsidR="0037732E">
        <w:t xml:space="preserve"> due to working schedules or other circumstances</w:t>
      </w:r>
      <w:r>
        <w:t xml:space="preserve">, these vehicles are not without their drawbacks. Emissions from internal combustion engine (ICE) school buses have been linked to worsening air quality, increased </w:t>
      </w:r>
      <w:r w:rsidR="00CF2F22">
        <w:t>GHG</w:t>
      </w:r>
      <w:r>
        <w:t xml:space="preserve"> emissions, and adverse health effects.</w:t>
      </w:r>
      <w:r w:rsidR="00D56E11">
        <w:fldChar w:fldCharType="begin"/>
      </w:r>
      <w:r w:rsidR="00801FB9">
        <w:instrText xml:space="preserve"> ADDIN ZOTERO_ITEM CSL_CITATION {"citationID":"an43bk1vcv","properties":{"formattedCitation":"\\super 58\\nosupersub{}","plainCitation":"58","noteIndex":0},"citationItems":[{"id":649,"uris":["http://zotero.org/groups/5563646/items/7ZRAZDJ2"],"itemData":{"id":649,"type":"webpage","abstract":"Students deserve a clean, healthy ride to school – and the transition must start with those most impacted.","container-title":"Electric School Bus Initiative","language":"en","title":"Why We Need to Transition to Electric School Buses | Electric School Bus Initiative","URL":"https://electricschoolbusinitiative.org/why-we-need-transition-electric-school-buses","accessed":{"date-parts":[["2024",7,17]]},"issued":{"date-parts":[["2022",10,17]]}}}],"schema":"https://github.com/citation-style-language/schema/raw/master/csl-citation.json"} </w:instrText>
      </w:r>
      <w:r w:rsidR="00D56E11">
        <w:fldChar w:fldCharType="separate"/>
      </w:r>
      <w:r w:rsidR="00801FB9" w:rsidRPr="00801FB9">
        <w:rPr>
          <w:rFonts w:cs="Arial"/>
          <w:vertAlign w:val="superscript"/>
        </w:rPr>
        <w:t>58</w:t>
      </w:r>
      <w:r w:rsidR="00D56E11">
        <w:fldChar w:fldCharType="end"/>
      </w:r>
      <w:r>
        <w:t xml:space="preserve"> Diesel exhaust,</w:t>
      </w:r>
      <w:r w:rsidR="00C3647E">
        <w:t xml:space="preserve"> </w:t>
      </w:r>
      <w:r>
        <w:t xml:space="preserve">a known carcinogen, has been associated with respiratory illness, heart disease, and </w:t>
      </w:r>
      <w:r w:rsidR="009F6953">
        <w:t>low</w:t>
      </w:r>
      <w:r>
        <w:t xml:space="preserve"> attendance rates.</w:t>
      </w:r>
      <w:r>
        <w:fldChar w:fldCharType="begin"/>
      </w:r>
      <w:r w:rsidR="00801FB9">
        <w:instrText xml:space="preserve"> ADDIN ZOTERO_ITEM CSL_CITATION {"citationID":"gH2op5di","properties":{"formattedCitation":"\\super 58,59\\nosupersub{}","plainCitation":"58,59","noteIndex":0},"citationItems":[{"id":648,"uris":["http://zotero.org/groups/5563646/items/QHLA4UGV"],"itemData":{"id":648,"type":"webpage","abstract":"Replacing all of the oldest school buses in the nation could lead to 1.3 million fewer daily absences annually, according to a University of Michigan study.","container-title":"University of Michigan News","language":"en-US","note":"section: Education &amp; Society","title":"Upgraded school buses linked to increased student attendance","URL":"https://news.umich.edu/upgraded-school-buses-linked-to-increased-student-attendance/","author":[{"family":"North Shine","given":"Kim"}],"accessed":{"date-parts":[["2024",7,17]]},"issued":{"date-parts":[["2023",4,10]]}}},{"id":649,"uris":["http://zotero.org/groups/5563646/items/7ZRAZDJ2"],"itemData":{"id":649,"type":"webpage","abstract":"Students deserve a clean, healthy ride to school – and the transition must start with those most impacted.","container-title":"Electric School Bus Initiative","language":"en","title":"Why We Need to Transition to Electric School Buses | Electric School Bus Initiative","URL":"https://electricschoolbusinitiative.org/why-we-need-transition-electric-school-buses","accessed":{"date-parts":[["2024",7,17]]},"issued":{"date-parts":[["2022",10,17]]}}}],"schema":"https://github.com/citation-style-language/schema/raw/master/csl-citation.json"} </w:instrText>
      </w:r>
      <w:r>
        <w:fldChar w:fldCharType="separate"/>
      </w:r>
      <w:r w:rsidR="00801FB9" w:rsidRPr="00801FB9">
        <w:rPr>
          <w:rFonts w:cs="Arial"/>
          <w:vertAlign w:val="superscript"/>
        </w:rPr>
        <w:t>58,59</w:t>
      </w:r>
      <w:r>
        <w:fldChar w:fldCharType="end"/>
      </w:r>
      <w:r>
        <w:t xml:space="preserve"> Furthermore, the passengers on school buses are children, who</w:t>
      </w:r>
      <w:r w:rsidR="00A9145A">
        <w:t>—</w:t>
      </w:r>
      <w:r>
        <w:t>along</w:t>
      </w:r>
      <w:r w:rsidR="00A9145A">
        <w:t xml:space="preserve"> </w:t>
      </w:r>
      <w:r>
        <w:t xml:space="preserve">with those </w:t>
      </w:r>
      <w:r w:rsidR="00A9145A">
        <w:t>having</w:t>
      </w:r>
      <w:r>
        <w:t xml:space="preserve"> pre-existing conditions</w:t>
      </w:r>
      <w:r w:rsidR="00A9145A">
        <w:t>—a</w:t>
      </w:r>
      <w:r>
        <w:t>re</w:t>
      </w:r>
      <w:r w:rsidR="00A9145A">
        <w:t xml:space="preserve"> </w:t>
      </w:r>
      <w:r>
        <w:t xml:space="preserve">most </w:t>
      </w:r>
      <w:r w:rsidR="00CD0DF4">
        <w:t>a</w:t>
      </w:r>
      <w:r>
        <w:t>ffected by diesel exhaust.</w:t>
      </w:r>
      <w:r>
        <w:fldChar w:fldCharType="begin"/>
      </w:r>
      <w:r w:rsidR="00801FB9">
        <w:instrText xml:space="preserve"> ADDIN ZOTERO_ITEM CSL_CITATION {"citationID":"onO29gCq","properties":{"formattedCitation":"\\super 60\\nosupersub{}","plainCitation":"60","noteIndex":0},"citationItems":[{"id":653,"uris":["http://zotero.org/groups/5563646/items/CJWB7787"],"itemData":{"id":653,"type":"article-journal","abstract":"Air pollution generated in urban areas is a global public health burden since half of the world’s population live in either cities, megacities or periurban areas. Its direct effects include initiating and exacerbating disease, with indirect effects ...","container-title":"BMJ Pediatrics Open","DOI":"10.1136/bmjpo-2017-000210","issue":"1","language":"en","note":"publisher: BMJ Publishing Group\nPMID: 29862329","source":"www.ncbi.nlm.nih.gov","title":"Diesel, children and respiratory disease","URL":"https://www.ncbi.nlm.nih.gov/pmc/articles/PMC5976105/","volume":"2","author":[{"family":"Liu","given":"Norrice M."},{"family":"Grigg","given":"Jonathan"}],"accessed":{"date-parts":[["2024",7,17]]},"issued":{"date-parts":[["2018"]]}}}],"schema":"https://github.com/citation-style-language/schema/raw/master/csl-citation.json"} </w:instrText>
      </w:r>
      <w:r>
        <w:fldChar w:fldCharType="separate"/>
      </w:r>
      <w:r w:rsidR="00801FB9" w:rsidRPr="00801FB9">
        <w:rPr>
          <w:rFonts w:cs="Arial"/>
          <w:vertAlign w:val="superscript"/>
        </w:rPr>
        <w:t>60</w:t>
      </w:r>
      <w:r>
        <w:fldChar w:fldCharType="end"/>
      </w:r>
      <w:r>
        <w:t xml:space="preserve"> The negative effects of these </w:t>
      </w:r>
      <w:r w:rsidR="002D39E9">
        <w:t>fossil</w:t>
      </w:r>
      <w:r w:rsidR="007922D8">
        <w:t xml:space="preserve"> </w:t>
      </w:r>
      <w:r w:rsidR="002D39E9">
        <w:t>fuel-</w:t>
      </w:r>
      <w:r>
        <w:t>burning buses are experienced</w:t>
      </w:r>
      <w:r w:rsidR="00CC511D">
        <w:t xml:space="preserve"> not only</w:t>
      </w:r>
      <w:r>
        <w:t xml:space="preserve"> by the communities </w:t>
      </w:r>
      <w:r w:rsidR="00CC511D">
        <w:t>in which</w:t>
      </w:r>
      <w:r>
        <w:t xml:space="preserve"> the buses operate</w:t>
      </w:r>
      <w:r w:rsidR="00BF3E36">
        <w:t xml:space="preserve"> </w:t>
      </w:r>
      <w:r>
        <w:t xml:space="preserve">but also by those </w:t>
      </w:r>
      <w:r w:rsidR="00BF3E36">
        <w:t>students riding</w:t>
      </w:r>
      <w:r>
        <w:t xml:space="preserve"> the bus</w:t>
      </w:r>
      <w:r w:rsidR="00CC511D">
        <w:t>,</w:t>
      </w:r>
      <w:r>
        <w:t xml:space="preserve"> where a lack of ventilation often leads to high levels of </w:t>
      </w:r>
      <w:r w:rsidR="00820A60">
        <w:t>pollution</w:t>
      </w:r>
      <w:r>
        <w:t xml:space="preserve"> within the vehicle cabin.</w:t>
      </w:r>
      <w:r>
        <w:fldChar w:fldCharType="begin"/>
      </w:r>
      <w:r w:rsidR="00801FB9">
        <w:instrText xml:space="preserve"> ADDIN ZOTERO_ITEM CSL_CITATION {"citationID":"3FT0cWbb","properties":{"formattedCitation":"\\super 61\\nosupersub{}","plainCitation":"61","noteIndex":0},"citationItems":[{"id":608,"uris":["http://zotero.org/groups/5563646/items/68F2ZB3D"],"itemData":{"id":608,"type":"document","title":"EDF_School_bus_pollution_studies.pdf"}}],"schema":"https://github.com/citation-style-language/schema/raw/master/csl-citation.json"} </w:instrText>
      </w:r>
      <w:r>
        <w:fldChar w:fldCharType="separate"/>
      </w:r>
      <w:r w:rsidR="00801FB9" w:rsidRPr="00801FB9">
        <w:rPr>
          <w:rFonts w:cs="Arial"/>
          <w:vertAlign w:val="superscript"/>
        </w:rPr>
        <w:t>61</w:t>
      </w:r>
      <w:r>
        <w:fldChar w:fldCharType="end"/>
      </w:r>
      <w:r>
        <w:t xml:space="preserve"> </w:t>
      </w:r>
    </w:p>
    <w:p w14:paraId="2EFC307F" w14:textId="7FE602E7" w:rsidR="00942B11" w:rsidRDefault="00942B11" w:rsidP="006D7DE6">
      <w:pPr>
        <w:pStyle w:val="BodyTextFirstIndent"/>
      </w:pPr>
      <w:r>
        <w:t>Electric school buses (ESBs) offer a zero-emission alternative to legacy ICE vehicles. These buses not only release zero direct</w:t>
      </w:r>
      <w:r w:rsidR="00C55032">
        <w:t xml:space="preserve"> </w:t>
      </w:r>
      <w:r>
        <w:t xml:space="preserve">emissions and have a smaller carbon footprint than traditional school buses but also generally have a lower total cost of ownership </w:t>
      </w:r>
      <w:r w:rsidR="00AB7E9F">
        <w:t>as compared to</w:t>
      </w:r>
      <w:r>
        <w:t xml:space="preserve"> ICE school bus</w:t>
      </w:r>
      <w:r w:rsidR="00AB7E9F">
        <w:t>es</w:t>
      </w:r>
      <w:r>
        <w:t>.</w:t>
      </w:r>
      <w:r>
        <w:fldChar w:fldCharType="begin"/>
      </w:r>
      <w:r w:rsidR="00801FB9">
        <w:instrText xml:space="preserve"> ADDIN ZOTERO_ITEM CSL_CITATION {"citationID":"GtLJFRt9","properties":{"formattedCitation":"\\super 62\\nosupersub{}","plainCitation":"62","noteIndex":0},"citationItems":[{"id":607,"uris":["http://zotero.org/groups/5563646/items/RZECXBZW"],"itemData":{"id":607,"type":"document","title":"EDF: ELECTRIC SCHOOL BUSES: GOOD FOR THE ENVIRONMENT AND THE BOTTOM LINE"}}],"schema":"https://github.com/citation-style-language/schema/raw/master/csl-citation.json"} </w:instrText>
      </w:r>
      <w:r>
        <w:fldChar w:fldCharType="separate"/>
      </w:r>
      <w:r w:rsidR="00801FB9" w:rsidRPr="00801FB9">
        <w:rPr>
          <w:rFonts w:cs="Arial"/>
          <w:vertAlign w:val="superscript"/>
        </w:rPr>
        <w:t>62</w:t>
      </w:r>
      <w:r>
        <w:fldChar w:fldCharType="end"/>
      </w:r>
      <w:r>
        <w:t xml:space="preserve"> Despite a higher</w:t>
      </w:r>
      <w:r w:rsidR="001C22FB">
        <w:t xml:space="preserve"> </w:t>
      </w:r>
      <w:r>
        <w:t xml:space="preserve">upfront price, owners of </w:t>
      </w:r>
      <w:r w:rsidR="00711425">
        <w:t>ESBs</w:t>
      </w:r>
      <w:r>
        <w:t xml:space="preserve"> experience lifetime savings in lower fuel and mechanical costs.</w:t>
      </w:r>
      <w:r w:rsidR="00614402">
        <w:fldChar w:fldCharType="begin"/>
      </w:r>
      <w:r w:rsidR="00801FB9">
        <w:instrText xml:space="preserve"> ADDIN ZOTERO_ITEM CSL_CITATION {"citationID":"a16jfqde2dg","properties":{"formattedCitation":"\\super 63\\nosupersub{}","plainCitation":"63","noteIndex":0},"citationItems":[{"id":645,"uris":["http://zotero.org/groups/5563646/items/IAZPFD83"],"itemData":{"id":645,"type":"webpage","abstract":"With lower fuel expenses, reduced maintenance costs and record funding available to offset purchase costs, the total cost of owning an electric school bus can be hundreds of thousands of dollars less than for a diesel-burning school bus.","container-title":"Electric School Bus Initiative","language":"en","title":"All About Total Cost of Ownership (TCO) for Electric School Buses | Electric School Bus Initiative","URL":"https://electricschoolbusinitiative.org/all-about-total-cost-ownership-tco-electric-school-buses","author":[{"family":"Curran","given":"Alyssa"}],"accessed":{"date-parts":[["2024",7,17]]},"issued":{"date-parts":[["2023",4,17]]}}}],"schema":"https://github.com/citation-style-language/schema/raw/master/csl-citation.json"} </w:instrText>
      </w:r>
      <w:r w:rsidR="00614402">
        <w:fldChar w:fldCharType="separate"/>
      </w:r>
      <w:r w:rsidR="00801FB9" w:rsidRPr="00801FB9">
        <w:rPr>
          <w:rFonts w:cs="Arial"/>
          <w:vertAlign w:val="superscript"/>
        </w:rPr>
        <w:t>63</w:t>
      </w:r>
      <w:r w:rsidR="00614402">
        <w:fldChar w:fldCharType="end"/>
      </w:r>
      <w:r>
        <w:t xml:space="preserve"> These savings are realized in part because of the simplicity of an electric power</w:t>
      </w:r>
      <w:r w:rsidR="002D39E9">
        <w:t xml:space="preserve"> </w:t>
      </w:r>
      <w:r>
        <w:t xml:space="preserve">train. While a traditional ICE vehicle can have </w:t>
      </w:r>
      <w:r w:rsidR="002E6C6F">
        <w:t>more than</w:t>
      </w:r>
      <w:r>
        <w:t xml:space="preserve"> 200 moving parts, an electric vehicle usually has only about 17.</w:t>
      </w:r>
      <w:r>
        <w:fldChar w:fldCharType="begin"/>
      </w:r>
      <w:r w:rsidR="00801FB9">
        <w:instrText xml:space="preserve"> ADDIN ZOTERO_ITEM CSL_CITATION {"citationID":"yQ2zjTfr","properties":{"formattedCitation":"\\super 64\\nosupersub{}","plainCitation":"64","noteIndex":0},"citationItems":[{"id":647,"uris":["http://zotero.org/groups/5563646/items/NQR45AYG"],"itemData":{"id":647,"type":"webpage","abstract":"Curious about how an electric vehicle works and whether it's actually better for the environment? Spoiler: it is. Allow us to explain.","container-title":"NRDC","language":"en","title":"Electric Vehicle Basics","URL":"https://www.nrdc.org/bio/madhur-boloor/electric-vehicle-basics","author":[{"family":"Boloor","given":"Madhur"},{"family":"Valderrama","given":"Patricia"},{"family":"Statler","given":"Ada"},{"family":"Garcia","given":"Samuel"}],"accessed":{"date-parts":[["2024",7,17]]},"issued":{"date-parts":[["2019",7,31]]}}}],"schema":"https://github.com/citation-style-language/schema/raw/master/csl-citation.json"} </w:instrText>
      </w:r>
      <w:r>
        <w:fldChar w:fldCharType="separate"/>
      </w:r>
      <w:r w:rsidR="00801FB9" w:rsidRPr="00801FB9">
        <w:rPr>
          <w:rFonts w:cs="Arial"/>
          <w:vertAlign w:val="superscript"/>
        </w:rPr>
        <w:t>64</w:t>
      </w:r>
      <w:r>
        <w:fldChar w:fldCharType="end"/>
      </w:r>
      <w:r>
        <w:t xml:space="preserve"> With fewer parts </w:t>
      </w:r>
      <w:r w:rsidR="002C3B0C">
        <w:t>at risk of failure</w:t>
      </w:r>
      <w:r>
        <w:t xml:space="preserve">, </w:t>
      </w:r>
      <w:r w:rsidR="002C3B0C">
        <w:t xml:space="preserve">ESB </w:t>
      </w:r>
      <w:r>
        <w:t xml:space="preserve">owners find their vehicles spend less time </w:t>
      </w:r>
      <w:r w:rsidR="005E47C7">
        <w:t>undergoing maintenance</w:t>
      </w:r>
      <w:r>
        <w:t xml:space="preserve">. Additionally, it is </w:t>
      </w:r>
      <w:r w:rsidR="00F07FFA">
        <w:t>less expensive (on average)</w:t>
      </w:r>
      <w:r>
        <w:t xml:space="preserve"> to charge </w:t>
      </w:r>
      <w:r>
        <w:lastRenderedPageBreak/>
        <w:t xml:space="preserve">an ESB than it is to </w:t>
      </w:r>
      <w:r w:rsidR="00F07FFA">
        <w:t>fully fuel</w:t>
      </w:r>
      <w:r>
        <w:t xml:space="preserve"> an ICE vehicle. A study by school bus manufacturer Blue Bird found that while it costs 49 cents per mile to operate a diesel school bus, it only costs about 14 cents per mile to operate an electric school bus.</w:t>
      </w:r>
      <w:r>
        <w:fldChar w:fldCharType="begin"/>
      </w:r>
      <w:r w:rsidR="00801FB9">
        <w:instrText xml:space="preserve"> ADDIN ZOTERO_ITEM CSL_CITATION {"citationID":"QNDd48Ct","properties":{"formattedCitation":"\\super 65\\nosupersub{}","plainCitation":"65","noteIndex":0},"citationItems":[{"id":646,"uris":["http://zotero.org/groups/5563646/items/449SNLPZ"],"itemData":{"id":646,"type":"webpage","abstract":"Federal and state governments are practically giving away electric school buses.","container-title":"Axios","language":"en","title":"Electric school buses are practically free now","URL":"https://www.axios.com/2022/12/19/electric-school-buses","author":[{"family":"Muller","given":"Joann"}],"accessed":{"date-parts":[["2024",7,17]]},"issued":{"date-parts":[["2022",12,19]]}}}],"schema":"https://github.com/citation-style-language/schema/raw/master/csl-citation.json"} </w:instrText>
      </w:r>
      <w:r>
        <w:fldChar w:fldCharType="separate"/>
      </w:r>
      <w:r w:rsidR="00801FB9" w:rsidRPr="00801FB9">
        <w:rPr>
          <w:rFonts w:cs="Arial"/>
          <w:vertAlign w:val="superscript"/>
        </w:rPr>
        <w:t>65</w:t>
      </w:r>
      <w:r>
        <w:fldChar w:fldCharType="end"/>
      </w:r>
      <w:r>
        <w:t xml:space="preserve"> Estimates </w:t>
      </w:r>
      <w:r w:rsidR="003323A9">
        <w:t>have determined</w:t>
      </w:r>
      <w:r>
        <w:t xml:space="preserve"> that </w:t>
      </w:r>
      <w:r w:rsidR="003323A9">
        <w:t>owners</w:t>
      </w:r>
      <w:r>
        <w:t xml:space="preserve"> of electric school buses save around $100,000 </w:t>
      </w:r>
      <w:r w:rsidR="00175BD8">
        <w:t>throughout</w:t>
      </w:r>
      <w:r>
        <w:t xml:space="preserve"> the vehicle’s lifetime.</w:t>
      </w:r>
      <w:r>
        <w:fldChar w:fldCharType="begin"/>
      </w:r>
      <w:r w:rsidR="00801FB9">
        <w:instrText xml:space="preserve"> ADDIN ZOTERO_ITEM CSL_CITATION {"citationID":"rRWm7ZxO","properties":{"formattedCitation":"\\super 63\\nosupersub{}","plainCitation":"63","noteIndex":0},"citationItems":[{"id":645,"uris":["http://zotero.org/groups/5563646/items/IAZPFD83"],"itemData":{"id":645,"type":"webpage","abstract":"With lower fuel expenses, reduced maintenance costs and record funding available to offset purchase costs, the total cost of owning an electric school bus can be hundreds of thousands of dollars less than for a diesel-burning school bus.","container-title":"Electric School Bus Initiative","language":"en","title":"All About Total Cost of Ownership (TCO) for Electric School Buses | Electric School Bus Initiative","URL":"https://electricschoolbusinitiative.org/all-about-total-cost-ownership-tco-electric-school-buses","author":[{"family":"Curran","given":"Alyssa"}],"accessed":{"date-parts":[["2024",7,17]]},"issued":{"date-parts":[["2023",4,17]]}}}],"schema":"https://github.com/citation-style-language/schema/raw/master/csl-citation.json"} </w:instrText>
      </w:r>
      <w:r>
        <w:fldChar w:fldCharType="separate"/>
      </w:r>
      <w:r w:rsidR="00801FB9" w:rsidRPr="00801FB9">
        <w:rPr>
          <w:rFonts w:cs="Arial"/>
          <w:vertAlign w:val="superscript"/>
        </w:rPr>
        <w:t>63</w:t>
      </w:r>
      <w:r>
        <w:fldChar w:fldCharType="end"/>
      </w:r>
    </w:p>
    <w:p w14:paraId="1BDD4BFC" w14:textId="086F1DBC" w:rsidR="00942B11" w:rsidRDefault="00942B11" w:rsidP="006D7DE6">
      <w:pPr>
        <w:pStyle w:val="BodyTextFirstIndent"/>
      </w:pPr>
      <w:r>
        <w:t>Reports from ESB operator</w:t>
      </w:r>
      <w:r w:rsidR="00BF3EB0">
        <w:t>s</w:t>
      </w:r>
      <w:r>
        <w:t xml:space="preserve"> suggest that the vehicles are performing well. All ESBs have at least 100 miles of driving range per charge</w:t>
      </w:r>
      <w:r w:rsidR="002D39E9">
        <w:t>,</w:t>
      </w:r>
      <w:r>
        <w:t xml:space="preserve"> </w:t>
      </w:r>
      <w:r w:rsidR="00842CEC">
        <w:t>and</w:t>
      </w:r>
      <w:r>
        <w:t xml:space="preserve"> some buses </w:t>
      </w:r>
      <w:r w:rsidR="00842CEC">
        <w:t xml:space="preserve">can </w:t>
      </w:r>
      <w:r>
        <w:t>travel up to 210 miles on a single charge.</w:t>
      </w:r>
      <w:r>
        <w:fldChar w:fldCharType="begin"/>
      </w:r>
      <w:r w:rsidR="00801FB9">
        <w:instrText xml:space="preserve"> ADDIN ZOTERO_ITEM CSL_CITATION {"citationID":"dIHj7zg9","properties":{"formattedCitation":"\\super 66\\nosupersub{}","plainCitation":"66","noteIndex":0},"citationItems":[{"id":644,"uris":["http://zotero.org/groups/5563646/items/BDQ33D4T"],"itemData":{"id":644,"type":"webpage","abstract":"Electric school buses are reliable and ready now to meet your district’s needs.","container-title":"Electric School Bus Initiative","language":"en","title":"All About Range and Reliability | Electric School Bus Initiative","URL":"https://electricschoolbusinitiative.org/all-about-range-and-reliability","accessed":{"date-parts":[["2024",7,17]]}}}],"schema":"https://github.com/citation-style-language/schema/raw/master/csl-citation.json"} </w:instrText>
      </w:r>
      <w:r>
        <w:fldChar w:fldCharType="separate"/>
      </w:r>
      <w:r w:rsidR="00801FB9" w:rsidRPr="00801FB9">
        <w:rPr>
          <w:rFonts w:cs="Arial"/>
          <w:vertAlign w:val="superscript"/>
        </w:rPr>
        <w:t>66</w:t>
      </w:r>
      <w:r>
        <w:fldChar w:fldCharType="end"/>
      </w:r>
      <w:r>
        <w:t xml:space="preserve"> Drivers cite the vehicle</w:t>
      </w:r>
      <w:r w:rsidR="00756939">
        <w:t>’</w:t>
      </w:r>
      <w:r>
        <w:t xml:space="preserve">s smooth handling and quiet operation as major benefits </w:t>
      </w:r>
      <w:r w:rsidR="00EC0E69">
        <w:t>of</w:t>
      </w:r>
      <w:r>
        <w:t xml:space="preserve"> the technology.</w:t>
      </w:r>
      <w:r>
        <w:fldChar w:fldCharType="begin"/>
      </w:r>
      <w:r w:rsidR="00801FB9">
        <w:instrText xml:space="preserve"> ADDIN ZOTERO_ITEM CSL_CITATION {"citationID":"gWrFCoOp","properties":{"formattedCitation":"\\super 67\\nosupersub{}","plainCitation":"67","noteIndex":0},"citationItems":[{"id":643,"uris":["http://zotero.org/groups/5563646/items/KHYV9EVQ"],"itemData":{"id":643,"type":"post-weblog","abstract":"While electric buses are gaining traction for their contributions to reduced emissions, an equally important aspect of transitioning to a green fleet is the experiences of the drivers who are behind the wheel. A Sept. 26 webinar hosted by the Alliance for Electric School Buses and World Resource Institute’s (WRI) Electric School Bus Initiative facilitated […]","container-title":"School Transportation News","language":"en-US","title":"School Bus Drivers Discuss Real-Life Experiences Driving Electric Buses","URL":"https://stnonline.com/special-reports/school-bus-drivers-discuss-real-life-experiences-driving-electric-buses/","author":[{"family":"Ashmore","given":"Ruth"}],"accessed":{"date-parts":[["2024",7,17]]},"issued":{"date-parts":[["2023",10,18]]}}}],"schema":"https://github.com/citation-style-language/schema/raw/master/csl-citation.json"} </w:instrText>
      </w:r>
      <w:r>
        <w:fldChar w:fldCharType="separate"/>
      </w:r>
      <w:r w:rsidR="00801FB9" w:rsidRPr="00801FB9">
        <w:rPr>
          <w:rFonts w:cs="Arial"/>
          <w:vertAlign w:val="superscript"/>
        </w:rPr>
        <w:t>67</w:t>
      </w:r>
      <w:r>
        <w:fldChar w:fldCharType="end"/>
      </w:r>
      <w:r>
        <w:t xml:space="preserve"> Some drivers even suggest that the reduced noise from the ESB’s electric traction motor has had positive impacts on student behavior.</w:t>
      </w:r>
      <w:r>
        <w:fldChar w:fldCharType="begin"/>
      </w:r>
      <w:r w:rsidR="00801FB9">
        <w:instrText xml:space="preserve"> ADDIN ZOTERO_ITEM CSL_CITATION {"citationID":"pKADec9V","properties":{"formattedCitation":"\\super 67\\nosupersub{}","plainCitation":"67","noteIndex":0},"citationItems":[{"id":643,"uris":["http://zotero.org/groups/5563646/items/KHYV9EVQ"],"itemData":{"id":643,"type":"post-weblog","abstract":"While electric buses are gaining traction for their contributions to reduced emissions, an equally important aspect of transitioning to a green fleet is the experiences of the drivers who are behind the wheel. A Sept. 26 webinar hosted by the Alliance for Electric School Buses and World Resource Institute’s (WRI) Electric School Bus Initiative facilitated […]","container-title":"School Transportation News","language":"en-US","title":"School Bus Drivers Discuss Real-Life Experiences Driving Electric Buses","URL":"https://stnonline.com/special-reports/school-bus-drivers-discuss-real-life-experiences-driving-electric-buses/","author":[{"family":"Ashmore","given":"Ruth"}],"accessed":{"date-parts":[["2024",7,17]]},"issued":{"date-parts":[["2023",10,18]]}}}],"schema":"https://github.com/citation-style-language/schema/raw/master/csl-citation.json"} </w:instrText>
      </w:r>
      <w:r>
        <w:fldChar w:fldCharType="separate"/>
      </w:r>
      <w:r w:rsidR="00801FB9" w:rsidRPr="00801FB9">
        <w:rPr>
          <w:rFonts w:cs="Arial"/>
          <w:vertAlign w:val="superscript"/>
        </w:rPr>
        <w:t>67</w:t>
      </w:r>
      <w:r>
        <w:fldChar w:fldCharType="end"/>
      </w:r>
    </w:p>
    <w:p w14:paraId="13B8BFD7" w14:textId="362F4F98" w:rsidR="00942B11" w:rsidRDefault="00280420" w:rsidP="006D7DE6">
      <w:pPr>
        <w:pStyle w:val="BodyTextFirstIndent"/>
      </w:pPr>
      <w:r w:rsidRPr="00926BF3">
        <w:rPr>
          <w:noProof/>
        </w:rPr>
        <mc:AlternateContent>
          <mc:Choice Requires="wps">
            <w:drawing>
              <wp:anchor distT="0" distB="0" distL="114300" distR="114300" simplePos="0" relativeHeight="251630080" behindDoc="0" locked="0" layoutInCell="1" allowOverlap="1" wp14:anchorId="0B1E5A3E" wp14:editId="703FDE02">
                <wp:simplePos x="0" y="0"/>
                <wp:positionH relativeFrom="margin">
                  <wp:posOffset>3492500</wp:posOffset>
                </wp:positionH>
                <wp:positionV relativeFrom="paragraph">
                  <wp:posOffset>967740</wp:posOffset>
                </wp:positionV>
                <wp:extent cx="2437130" cy="2997200"/>
                <wp:effectExtent l="0" t="0" r="13970" b="12700"/>
                <wp:wrapSquare wrapText="bothSides"/>
                <wp:docPr id="774681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2997200"/>
                        </a:xfrm>
                        <a:prstGeom prst="rect">
                          <a:avLst/>
                        </a:prstGeom>
                        <a:solidFill>
                          <a:srgbClr val="DCE6F2"/>
                        </a:solidFill>
                        <a:ln w="9525">
                          <a:solidFill>
                            <a:srgbClr val="000000"/>
                          </a:solidFill>
                          <a:miter lim="800000"/>
                          <a:headEnd/>
                          <a:tailEnd/>
                        </a:ln>
                      </wps:spPr>
                      <wps:txbx>
                        <w:txbxContent>
                          <w:p w14:paraId="23E49C6C" w14:textId="77777777" w:rsidR="00C352BC" w:rsidRDefault="00C352BC" w:rsidP="00C352BC">
                            <w:pPr>
                              <w:pStyle w:val="TextBoxTitle"/>
                            </w:pPr>
                            <w:r w:rsidRPr="00C352BC">
                              <w:t>Multi-State ZEV Task Force</w:t>
                            </w:r>
                          </w:p>
                          <w:p w14:paraId="66B99807" w14:textId="676CA495" w:rsidR="006E29BA" w:rsidRPr="00DE1CDE" w:rsidRDefault="00C352BC" w:rsidP="00DE1CDE">
                            <w:pPr>
                              <w:pStyle w:val="TextBoxText"/>
                            </w:pPr>
                            <w:r>
                              <w:t xml:space="preserve">The Commonwealth of Massachusetts is </w:t>
                            </w:r>
                            <w:r w:rsidR="000E7252">
                              <w:t>one of 19 jurisdictions that comprises the Multi-State Z</w:t>
                            </w:r>
                            <w:r w:rsidR="005F30AA">
                              <w:t xml:space="preserve">ero </w:t>
                            </w:r>
                            <w:r w:rsidR="000E7252">
                              <w:t>E</w:t>
                            </w:r>
                            <w:r w:rsidR="005F30AA">
                              <w:t xml:space="preserve">mission </w:t>
                            </w:r>
                            <w:r w:rsidR="000E7252">
                              <w:t>V</w:t>
                            </w:r>
                            <w:r w:rsidR="005F30AA">
                              <w:t>ehicle (ZEV)</w:t>
                            </w:r>
                            <w:r w:rsidR="000E7252">
                              <w:t xml:space="preserve"> Task Force</w:t>
                            </w:r>
                            <w:r w:rsidR="00C75C0D">
                              <w:t xml:space="preserve">, which </w:t>
                            </w:r>
                            <w:r w:rsidR="00DE1CDE" w:rsidRPr="00DE1CDE">
                              <w:t>created a</w:t>
                            </w:r>
                            <w:r w:rsidR="00405123">
                              <w:t xml:space="preserve"> </w:t>
                            </w:r>
                            <w:hyperlink r:id="rId59" w:history="1">
                              <w:r w:rsidR="00405123" w:rsidRPr="00405123">
                                <w:rPr>
                                  <w:rStyle w:val="Hyperlink"/>
                                </w:rPr>
                                <w:t>Multi-State Medium- and Heavy-Duty Zero Emission Vehicle Action Pla</w:t>
                              </w:r>
                              <w:r w:rsidR="00DE1CDE" w:rsidRPr="00405123">
                                <w:rPr>
                                  <w:rStyle w:val="Hyperlink"/>
                                </w:rPr>
                                <w:t>n</w:t>
                              </w:r>
                            </w:hyperlink>
                            <w:r w:rsidR="00DE1CDE" w:rsidRPr="00DE1CDE">
                              <w:t xml:space="preserve"> for the deployment of medium- and heavy duty </w:t>
                            </w:r>
                            <w:r w:rsidR="00307850">
                              <w:t>electric vehicles (</w:t>
                            </w:r>
                            <w:r w:rsidR="00DE1CDE" w:rsidRPr="00DE1CDE">
                              <w:t>EVs</w:t>
                            </w:r>
                            <w:r w:rsidR="00307850">
                              <w:t>)</w:t>
                            </w:r>
                            <w:r w:rsidR="00DE1CDE" w:rsidRPr="00DE1CDE">
                              <w:t>. Among these recommendations are strategies to achieve 100 percent zero-emission school bus purchases and contracts by 2040.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B1E5A3E" id="_x0000_s1041" type="#_x0000_t202" style="position:absolute;margin-left:275pt;margin-top:76.2pt;width:191.9pt;height:236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" fillcolor="#dce6f2">
                <v:textbox>
                  <w:txbxContent>
                    <w:p w14:paraId="23E49C6C" w14:textId="77777777" w:rsidR="00C352BC" w:rsidRDefault="00C352BC" w:rsidP="00C352BC">
                      <w:pPr>
                        <w:pStyle w:val="TextBoxTitle"/>
                      </w:pPr>
                      <w:r w:rsidRPr="00C352BC">
                        <w:t>Multi-State ZEV Task Force</w:t>
                      </w:r>
                    </w:p>
                    <w:p w14:paraId="66B99807" w14:textId="676CA495" w:rsidR="006E29BA" w:rsidRPr="00DE1CDE" w:rsidRDefault="00C352BC" w:rsidP="00DE1CDE">
                      <w:pPr>
                        <w:pStyle w:val="TextBoxText"/>
                      </w:pPr>
                      <w:r>
                        <w:t xml:space="preserve">The Commonwealth of Massachusetts is </w:t>
                      </w:r>
                      <w:r w:rsidR="000E7252">
                        <w:t>one of 19 jurisdictions that comprises the Multi-State Z</w:t>
                      </w:r>
                      <w:r w:rsidR="005F30AA">
                        <w:t xml:space="preserve">ero </w:t>
                      </w:r>
                      <w:r w:rsidR="000E7252">
                        <w:t>E</w:t>
                      </w:r>
                      <w:r w:rsidR="005F30AA">
                        <w:t xml:space="preserve">mission </w:t>
                      </w:r>
                      <w:r w:rsidR="000E7252">
                        <w:t>V</w:t>
                      </w:r>
                      <w:r w:rsidR="005F30AA">
                        <w:t>ehicle (ZEV)</w:t>
                      </w:r>
                      <w:r w:rsidR="000E7252">
                        <w:t xml:space="preserve"> Task Force</w:t>
                      </w:r>
                      <w:r w:rsidR="00C75C0D">
                        <w:t xml:space="preserve">, which </w:t>
                      </w:r>
                      <w:r w:rsidR="00DE1CDE" w:rsidRPr="00DE1CDE">
                        <w:t>created a</w:t>
                      </w:r>
                      <w:r w:rsidR="00405123">
                        <w:t xml:space="preserve"> </w:t>
                      </w:r>
                      <w:hyperlink r:id="rId60" w:history="1">
                        <w:r w:rsidR="00405123" w:rsidRPr="00405123">
                          <w:rPr>
                            <w:rStyle w:val="Hyperlink"/>
                          </w:rPr>
                          <w:t>Multi-State Medium- and Heavy-Duty Zero Emission Vehicle Action Pla</w:t>
                        </w:r>
                        <w:r w:rsidR="00DE1CDE" w:rsidRPr="00405123">
                          <w:rPr>
                            <w:rStyle w:val="Hyperlink"/>
                          </w:rPr>
                          <w:t>n</w:t>
                        </w:r>
                      </w:hyperlink>
                      <w:r w:rsidR="00DE1CDE" w:rsidRPr="00DE1CDE">
                        <w:t xml:space="preserve"> for the deployment of medium- and heavy duty </w:t>
                      </w:r>
                      <w:r w:rsidR="00307850">
                        <w:t>electric vehicles (</w:t>
                      </w:r>
                      <w:r w:rsidR="00DE1CDE" w:rsidRPr="00DE1CDE">
                        <w:t>EVs</w:t>
                      </w:r>
                      <w:r w:rsidR="00307850">
                        <w:t>)</w:t>
                      </w:r>
                      <w:r w:rsidR="00DE1CDE" w:rsidRPr="00DE1CDE">
                        <w:t>. Among these recommendations are strategies to achieve 100 percent zero-emission school bus purchases and contracts by 2040.</w:t>
                      </w:r>
                    </w:p>
                  </w:txbxContent>
                </v:textbox>
                <w10:wrap type="square" anchorx="margin"/>
              </v:shape>
            </w:pict>
          </mc:Fallback>
        </mc:AlternateContent>
      </w:r>
      <w:r w:rsidR="00942B11">
        <w:t xml:space="preserve">A favorable policy environment has increased the presence of these vehicles on the road. A December 2023 estimate found </w:t>
      </w:r>
      <w:r w:rsidR="00051E47">
        <w:t xml:space="preserve">that </w:t>
      </w:r>
      <w:r w:rsidR="00942B11" w:rsidRPr="006556D7">
        <w:t>8,570</w:t>
      </w:r>
      <w:r w:rsidR="00942B11">
        <w:t xml:space="preserve"> ESBs </w:t>
      </w:r>
      <w:r w:rsidR="00051E47">
        <w:t xml:space="preserve">are </w:t>
      </w:r>
      <w:r w:rsidR="00942B11">
        <w:t xml:space="preserve">either on the road, on order, or </w:t>
      </w:r>
      <w:r w:rsidR="00051E47">
        <w:t xml:space="preserve">have been </w:t>
      </w:r>
      <w:r w:rsidR="00942B11">
        <w:t>awarded.</w:t>
      </w:r>
      <w:r w:rsidR="00942B11">
        <w:fldChar w:fldCharType="begin"/>
      </w:r>
      <w:r w:rsidR="00801FB9">
        <w:instrText xml:space="preserve"> ADDIN ZOTERO_ITEM CSL_CITATION {"citationID":"rrODpjvW","properties":{"formattedCitation":"\\super 68\\nosupersub{}","plainCitation":"68","noteIndex":0},"citationItems":[{"id":642,"uris":["http://zotero.org/groups/5563646/items/TYXA4Y35"],"itemData":{"id":642,"type":"article-journal","abstract":"School districts across the United States are making the switch to electric school buses. We're keeping track.","language":"en","source":"www.wri.org","title":"The State of Electric School Bus Adoption in the US","URL":"https://www.wri.org/insights/where-electric-school-buses-us","author":[{"family":"Freehafer","given":"Lydia"},{"family":"Lazer","given":"Leah"},{"family":"Zepka","given":"Brian"}],"accessed":{"date-parts":[["2024",7,17]]},"issued":{"date-parts":[["2024",7,1]]}}}],"schema":"https://github.com/citation-style-language/schema/raw/master/csl-citation.json"} </w:instrText>
      </w:r>
      <w:r w:rsidR="00942B11">
        <w:fldChar w:fldCharType="separate"/>
      </w:r>
      <w:r w:rsidR="00801FB9" w:rsidRPr="00801FB9">
        <w:rPr>
          <w:rFonts w:cs="Arial"/>
          <w:vertAlign w:val="superscript"/>
        </w:rPr>
        <w:t>68</w:t>
      </w:r>
      <w:r w:rsidR="00942B11">
        <w:fldChar w:fldCharType="end"/>
      </w:r>
      <w:r w:rsidR="00942B11">
        <w:t xml:space="preserve"> In addition, numerous states such as New York and California have passed mandates that all purchased or leased school buses be electric or zero-emission in the near future.</w:t>
      </w:r>
      <w:r w:rsidR="00942B11">
        <w:fldChar w:fldCharType="begin"/>
      </w:r>
      <w:r w:rsidR="00801FB9">
        <w:instrText xml:space="preserve"> ADDIN ZOTERO_ITEM CSL_CITATION {"citationID":"SeLz8jRb","properties":{"formattedCitation":"\\super 69,70\\nosupersub{}","plainCitation":"69,70","noteIndex":0},"citationItems":[{"id":640,"uris":["http://zotero.org/groups/5563646/items/YQMMKAX2"],"itemData":{"id":640,"type":"webpage","abstract":"New York's school buses are going all-electric. Here's everything you need to know electric school buses, including how they work and their benefits.","container-title":"NYSERDA","language":"en","title":"Electric School Buses","URL":"https://www.nyserda.ny.gov/All-Programs/Electric-School-Buses","accessed":{"date-parts":[["2024",7,17]]}}},{"id":641,"uris":["http://zotero.org/groups/5563646/items/9ELUJN98"],"itemData":{"id":641,"type":"webpage","abstract":"In states across the country, legislation to advance the electric school bus transition is being proposed. We’re keeping track.","language":"en","title":"Tracking Electric School Bus State Legislation | Electric School Bus Initiative","URL":"https://electricschoolbusinitiative.org/tracking-electric-school-bus-state-legislation","accessed":{"date-parts":[["2024",7,17]]},"issued":{"date-parts":[["2023",9,19]]}}}],"schema":"https://github.com/citation-style-language/schema/raw/master/csl-citation.json"} </w:instrText>
      </w:r>
      <w:r w:rsidR="00942B11">
        <w:fldChar w:fldCharType="separate"/>
      </w:r>
      <w:r w:rsidR="00801FB9" w:rsidRPr="00801FB9">
        <w:rPr>
          <w:rFonts w:cs="Arial"/>
          <w:vertAlign w:val="superscript"/>
        </w:rPr>
        <w:t>69,70</w:t>
      </w:r>
      <w:r w:rsidR="00942B11">
        <w:fldChar w:fldCharType="end"/>
      </w:r>
      <w:r w:rsidR="00942B11">
        <w:t xml:space="preserve"> Momentum for similar legislation is growing within Massachusetts. In February 2024, electric school bus supporters delivered a letter signed by dozens of elected officials across the state to the Massachusetts governor calling for the funding of statewide ESB programs.</w:t>
      </w:r>
      <w:r w:rsidR="00942B11">
        <w:fldChar w:fldCharType="begin"/>
      </w:r>
      <w:r w:rsidR="00801FB9">
        <w:instrText xml:space="preserve"> ADDIN ZOTERO_ITEM CSL_CITATION {"citationID":"FWpWW6la","properties":{"formattedCitation":"\\super 71\\nosupersub{}","plainCitation":"71","noteIndex":0},"citationItems":[{"id":639,"uris":["http://zotero.org/groups/5563646/items/PGGXWVWH"],"itemData":{"id":639,"type":"webpage","abstract":"Every year, 8,000 school buses transport over 400,000 Massachusetts students to school. These diesel powered buses create harmful air pollution and contribute to climate change, yet they serve as the primary mode of transportation for students every day. Transitioning to electric school buses would provide a safer option for students, but many communities need more financial and technical support for electrification. Massachusetts must step up to provide greater support for municipalities as they electrify their school bus fleets.","language":"en","title":"70 Municipal Officials Sign Letter to the Governor in Support of School Bus Electrification | Sierra Club","URL":"https://www.sierraclub.org/massachusetts/blog/2024/02/70-municipal-officials-sign-letter-governor-support-school-bus","accessed":{"date-parts":[["2024",7,17]]}}}],"schema":"https://github.com/citation-style-language/schema/raw/master/csl-citation.json"} </w:instrText>
      </w:r>
      <w:r w:rsidR="00942B11">
        <w:fldChar w:fldCharType="separate"/>
      </w:r>
      <w:r w:rsidR="00801FB9" w:rsidRPr="00801FB9">
        <w:rPr>
          <w:rFonts w:cs="Arial"/>
          <w:vertAlign w:val="superscript"/>
        </w:rPr>
        <w:t>71</w:t>
      </w:r>
      <w:r w:rsidR="00942B11">
        <w:fldChar w:fldCharType="end"/>
      </w:r>
      <w:r w:rsidR="00942B11">
        <w:t xml:space="preserve"> The Massachusetts Clean Energy Center has created the Accelerating Clean Transportation Program (ACT) as a way of addressing the increasing interest in electric school buses.</w:t>
      </w:r>
      <w:r w:rsidR="00942B11">
        <w:fldChar w:fldCharType="begin"/>
      </w:r>
      <w:r w:rsidR="00801FB9">
        <w:instrText xml:space="preserve"> ADDIN ZOTERO_ITEM CSL_CITATION {"citationID":"PiXcXSvI","properties":{"formattedCitation":"\\super 72\\nosupersub{}","plainCitation":"72","noteIndex":0},"citationItems":[{"id":638,"uris":["http://zotero.org/groups/5563646/items/M32BWGXP"],"itemData":{"id":638,"type":"webpage","container-title":"Massachusetts Clean Energy Center","title":"Accelerating Clean Transportation (ACT) School Bus: Overview | MassCEC","URL":"https://www.masscec.com/accelerating-clean-transportation-act-school-bus-overview","accessed":{"date-parts":[["2024",7,17]]}}}],"schema":"https://github.com/citation-style-language/schema/raw/master/csl-citation.json"} </w:instrText>
      </w:r>
      <w:r w:rsidR="00942B11">
        <w:fldChar w:fldCharType="separate"/>
      </w:r>
      <w:r w:rsidR="00801FB9" w:rsidRPr="00801FB9">
        <w:rPr>
          <w:rFonts w:cs="Arial"/>
          <w:vertAlign w:val="superscript"/>
        </w:rPr>
        <w:t>72</w:t>
      </w:r>
      <w:r w:rsidR="00942B11">
        <w:fldChar w:fldCharType="end"/>
      </w:r>
      <w:r w:rsidR="00942B11">
        <w:t xml:space="preserve"> This program partners with recipients of federal funding to provide both technical and financial assistance to the ESB planning and deployment process.</w:t>
      </w:r>
      <w:r w:rsidR="00DC48BD">
        <w:t xml:space="preserve"> Additionally, </w:t>
      </w:r>
      <w:r w:rsidR="00022426">
        <w:t>DOER</w:t>
      </w:r>
      <w:r w:rsidR="006A6967">
        <w:t xml:space="preserve"> offers rebates for zero-emission trucks</w:t>
      </w:r>
      <w:r w:rsidR="00C12E4B">
        <w:t xml:space="preserve"> through the </w:t>
      </w:r>
      <w:r w:rsidR="00307850">
        <w:t>MA Offers Rebates for Electric Vehicles (</w:t>
      </w:r>
      <w:r w:rsidR="00481044">
        <w:t>MOR-EV</w:t>
      </w:r>
      <w:r w:rsidR="00307850">
        <w:t>)</w:t>
      </w:r>
      <w:r w:rsidR="00C333E7">
        <w:t xml:space="preserve"> program</w:t>
      </w:r>
      <w:r w:rsidR="006A6967">
        <w:t>.</w:t>
      </w:r>
      <w:r w:rsidR="001B0658">
        <w:fldChar w:fldCharType="begin"/>
      </w:r>
      <w:r w:rsidR="00801FB9">
        <w:instrText xml:space="preserve"> ADDIN ZOTERO_ITEM CSL_CITATION {"citationID":"agjaljh7k7","properties":{"formattedCitation":"\\super 73\\nosupersub{}","plainCitation":"73","noteIndex":0},"citationItems":[{"id":769,"uris":["http://zotero.org/groups/5563646/items/98A82XU2"],"itemData":{"id":769,"type":"webpage","container-title":"MOR-EV.org","title":"About","URL":"https://mor-ev.org/about","accessed":{"date-parts":[["2024",7,23]]}}}],"schema":"https://github.com/citation-style-language/schema/raw/master/csl-citation.json"} </w:instrText>
      </w:r>
      <w:r w:rsidR="001B0658">
        <w:fldChar w:fldCharType="separate"/>
      </w:r>
      <w:r w:rsidR="00801FB9" w:rsidRPr="00801FB9">
        <w:rPr>
          <w:rFonts w:cs="Arial"/>
          <w:vertAlign w:val="superscript"/>
        </w:rPr>
        <w:t>73</w:t>
      </w:r>
      <w:r w:rsidR="001B0658">
        <w:fldChar w:fldCharType="end"/>
      </w:r>
      <w:r w:rsidR="006A6967">
        <w:t xml:space="preserve"> This program includes </w:t>
      </w:r>
      <w:r w:rsidR="002F54EA">
        <w:t>rebates valued up to $90,000</w:t>
      </w:r>
      <w:r w:rsidR="006A6967">
        <w:t xml:space="preserve"> for </w:t>
      </w:r>
      <w:r w:rsidR="00AA741D">
        <w:t xml:space="preserve">all-electric and hydrogen fuel cell </w:t>
      </w:r>
      <w:r w:rsidR="00B54150">
        <w:t xml:space="preserve">school </w:t>
      </w:r>
      <w:r w:rsidR="00AA741D">
        <w:t>buses.</w:t>
      </w:r>
      <w:r w:rsidR="00C460D3">
        <w:fldChar w:fldCharType="begin"/>
      </w:r>
      <w:r w:rsidR="00801FB9">
        <w:instrText xml:space="preserve"> ADDIN ZOTERO_ITEM CSL_CITATION {"citationID":"a29pg10qpot","properties":{"formattedCitation":"\\super 74\\nosupersub{}","plainCitation":"74","noteIndex":0},"citationItems":[{"id":770,"uris":["http://zotero.org/groups/5563646/items/TTRW7HFK"],"itemData":{"id":770,"type":"webpage","container-title":"MOR-EV.org","title":"Eligible Trucks","URL":"https://mor-ev.org/eligible-vehicles-trucks","accessed":{"date-parts":[["2024",7,23]]}}}],"schema":"https://github.com/citation-style-language/schema/raw/master/csl-citation.json"} </w:instrText>
      </w:r>
      <w:r w:rsidR="00C460D3">
        <w:fldChar w:fldCharType="separate"/>
      </w:r>
      <w:r w:rsidR="00801FB9" w:rsidRPr="00801FB9">
        <w:rPr>
          <w:rFonts w:cs="Arial"/>
          <w:vertAlign w:val="superscript"/>
        </w:rPr>
        <w:t>74</w:t>
      </w:r>
      <w:r w:rsidR="00C460D3">
        <w:fldChar w:fldCharType="end"/>
      </w:r>
    </w:p>
    <w:p w14:paraId="5C920DCA" w14:textId="77777777" w:rsidR="00887F8B" w:rsidRDefault="00887F8B" w:rsidP="00887F8B">
      <w:pPr>
        <w:pStyle w:val="Heading3"/>
      </w:pPr>
      <w:r>
        <w:t>Methods and Best Practices</w:t>
      </w:r>
    </w:p>
    <w:p w14:paraId="756F1966" w14:textId="53ADDE26" w:rsidR="00887F8B" w:rsidRDefault="002B1D99" w:rsidP="006D7DE6">
      <w:pPr>
        <w:pStyle w:val="BodyTextFirstIndent"/>
      </w:pPr>
      <w:r>
        <w:fldChar w:fldCharType="begin"/>
      </w:r>
      <w:r>
        <w:instrText xml:space="preserve"> REF _Ref172907973 \h </w:instrText>
      </w:r>
      <w:r>
        <w:fldChar w:fldCharType="separate"/>
      </w:r>
      <w:r w:rsidR="00307850">
        <w:t xml:space="preserve">Table </w:t>
      </w:r>
      <w:r w:rsidR="00307850">
        <w:rPr>
          <w:noProof/>
        </w:rPr>
        <w:t>9</w:t>
      </w:r>
      <w:r>
        <w:fldChar w:fldCharType="end"/>
      </w:r>
      <w:r w:rsidR="00887F8B">
        <w:t xml:space="preserve"> </w:t>
      </w:r>
      <w:r w:rsidR="00887F8B" w:rsidRPr="00B40F18">
        <w:t xml:space="preserve">summarizes </w:t>
      </w:r>
      <w:r w:rsidR="00887F8B">
        <w:t>methods and best practices for electric school bus adoption in schools</w:t>
      </w:r>
      <w:r w:rsidR="00A4198F">
        <w:t xml:space="preserve"> related to planning, acquisition, and operations</w:t>
      </w:r>
      <w:r w:rsidR="00887F8B">
        <w:t xml:space="preserve">. For each method/best practice, the table presents </w:t>
      </w:r>
      <w:r w:rsidR="00887F8B" w:rsidRPr="00B40F18">
        <w:t>the approximate</w:t>
      </w:r>
      <w:r w:rsidR="00887F8B">
        <w:t xml:space="preserve"> capital and operating</w:t>
      </w:r>
      <w:r w:rsidR="00887F8B" w:rsidRPr="00B40F18">
        <w:t xml:space="preserve"> cost</w:t>
      </w:r>
      <w:r w:rsidR="00887F8B">
        <w:t>s</w:t>
      </w:r>
      <w:r w:rsidR="00887F8B" w:rsidRPr="00B40F18">
        <w:t>,</w:t>
      </w:r>
      <w:r w:rsidR="00887F8B">
        <w:t xml:space="preserve"> implementation timeframe</w:t>
      </w:r>
      <w:r w:rsidR="00887F8B" w:rsidRPr="00B40F18">
        <w:t>, and</w:t>
      </w:r>
      <w:r w:rsidR="00887F8B">
        <w:t xml:space="preserve"> ease of</w:t>
      </w:r>
      <w:r w:rsidR="00887F8B" w:rsidRPr="00B40F18">
        <w:t xml:space="preserve"> implementation</w:t>
      </w:r>
      <w:r w:rsidR="00887F8B">
        <w:t xml:space="preserve">. </w:t>
      </w:r>
      <w:r w:rsidR="0062597D">
        <w:t xml:space="preserve">See </w:t>
      </w:r>
      <w:hyperlink w:anchor="SectVI_1d" w:history="1">
        <w:r w:rsidR="006302AE" w:rsidRPr="006302AE">
          <w:rPr>
            <w:rStyle w:val="Hyperlink"/>
          </w:rPr>
          <w:t>Section VI, Objective 1d</w:t>
        </w:r>
      </w:hyperlink>
      <w:r w:rsidR="0062597D">
        <w:t xml:space="preserve"> for additional narrative descriptions of each of the methods and best practices.</w:t>
      </w:r>
    </w:p>
    <w:p w14:paraId="422E55F1" w14:textId="6E32C3D0" w:rsidR="00887F8B" w:rsidRDefault="002B1D99" w:rsidP="00B30C96">
      <w:pPr>
        <w:pStyle w:val="Caption"/>
      </w:pPr>
      <w:bookmarkStart w:id="119" w:name="_Ref172907973"/>
      <w:bookmarkStart w:id="120" w:name="_Toc192711675"/>
      <w:bookmarkStart w:id="121" w:name="_Toc193112557"/>
      <w:bookmarkStart w:id="122" w:name="_Toc193116956"/>
      <w:r>
        <w:lastRenderedPageBreak/>
        <w:t xml:space="preserve">Table </w:t>
      </w:r>
      <w:fldSimple w:instr=" SEQ Table \* ARABIC ">
        <w:r w:rsidR="00307850">
          <w:rPr>
            <w:noProof/>
          </w:rPr>
          <w:t>9</w:t>
        </w:r>
      </w:fldSimple>
      <w:bookmarkEnd w:id="119"/>
      <w:r>
        <w:t>.</w:t>
      </w:r>
      <w:r w:rsidR="00887F8B">
        <w:t xml:space="preserve"> </w:t>
      </w:r>
      <w:r w:rsidR="00887F8B" w:rsidRPr="00837CC4">
        <w:t>Methods</w:t>
      </w:r>
      <w:r w:rsidR="00E33249">
        <w:t xml:space="preserve"> and </w:t>
      </w:r>
      <w:r w:rsidR="00D137CF">
        <w:t>B</w:t>
      </w:r>
      <w:r w:rsidR="00887F8B" w:rsidRPr="00837CC4">
        <w:t>est</w:t>
      </w:r>
      <w:r w:rsidR="00D137CF">
        <w:t xml:space="preserve"> P</w:t>
      </w:r>
      <w:r w:rsidR="00887F8B" w:rsidRPr="00837CC4">
        <w:t xml:space="preserve">ractices </w:t>
      </w:r>
      <w:r w:rsidR="0054069D">
        <w:t>for</w:t>
      </w:r>
      <w:r w:rsidR="00887F8B" w:rsidRPr="00837CC4">
        <w:t xml:space="preserve"> </w:t>
      </w:r>
      <w:r w:rsidR="00D137CF">
        <w:t>E</w:t>
      </w:r>
      <w:r w:rsidR="00887F8B">
        <w:t>lectrify</w:t>
      </w:r>
      <w:r>
        <w:t>ing</w:t>
      </w:r>
      <w:r w:rsidR="00887F8B">
        <w:t xml:space="preserve"> </w:t>
      </w:r>
      <w:r w:rsidR="00D137CF">
        <w:t>S</w:t>
      </w:r>
      <w:r w:rsidR="00887F8B">
        <w:t xml:space="preserve">chool </w:t>
      </w:r>
      <w:r w:rsidR="00D137CF">
        <w:t>B</w:t>
      </w:r>
      <w:r w:rsidR="00887F8B">
        <w:t xml:space="preserve">us </w:t>
      </w:r>
      <w:r w:rsidR="00D137CF">
        <w:t>F</w:t>
      </w:r>
      <w:r w:rsidR="00887F8B">
        <w:t>leets</w:t>
      </w:r>
      <w:bookmarkEnd w:id="120"/>
      <w:bookmarkEnd w:id="121"/>
      <w:bookmarkEnd w:id="122"/>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electrifying school bus fleets."/>
      </w:tblPr>
      <w:tblGrid>
        <w:gridCol w:w="480"/>
        <w:gridCol w:w="5454"/>
        <w:gridCol w:w="853"/>
        <w:gridCol w:w="855"/>
        <w:gridCol w:w="855"/>
        <w:gridCol w:w="853"/>
      </w:tblGrid>
      <w:tr w:rsidR="00887F8B" w:rsidRPr="00C8094D" w14:paraId="013A8B8D" w14:textId="77777777" w:rsidTr="001733AC">
        <w:trPr>
          <w:cantSplit/>
          <w:trHeight w:val="2420"/>
          <w:tblHeader/>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06A3CA02" w14:textId="77777777" w:rsidR="00887F8B" w:rsidRDefault="00887F8B" w:rsidP="00C83B3B">
            <w:pPr>
              <w:pStyle w:val="TableColumnHeader"/>
            </w:pPr>
            <w:r>
              <w:t>Methods/Best Practices</w:t>
            </w:r>
          </w:p>
        </w:tc>
        <w:tc>
          <w:tcPr>
            <w:tcW w:w="45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4895ED4" w14:textId="77777777" w:rsidR="00887F8B" w:rsidRPr="00C8094D" w:rsidRDefault="00887F8B" w:rsidP="00C83B3B">
            <w:pPr>
              <w:pStyle w:val="TableColumnHeader"/>
              <w:jc w:val="left"/>
            </w:pPr>
            <w:r>
              <w:t xml:space="preserve">Capital </w:t>
            </w:r>
            <w:r w:rsidRPr="00C8094D">
              <w:t>Cost</w:t>
            </w:r>
          </w:p>
        </w:tc>
        <w:tc>
          <w:tcPr>
            <w:tcW w:w="457"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3507DC62" w14:textId="77777777" w:rsidR="00887F8B" w:rsidRDefault="00887F8B" w:rsidP="00C83B3B">
            <w:pPr>
              <w:pStyle w:val="TableColumnHeader"/>
              <w:jc w:val="left"/>
            </w:pPr>
            <w:r>
              <w:t>Operating Cost</w:t>
            </w:r>
          </w:p>
        </w:tc>
        <w:tc>
          <w:tcPr>
            <w:tcW w:w="45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99E6EA0" w14:textId="77777777" w:rsidR="00887F8B" w:rsidRPr="00C8094D" w:rsidRDefault="00887F8B" w:rsidP="00C83B3B">
            <w:pPr>
              <w:pStyle w:val="TableColumnHeader"/>
              <w:jc w:val="left"/>
            </w:pPr>
            <w:r>
              <w:t xml:space="preserve">Implementation </w:t>
            </w:r>
            <w:r w:rsidRPr="00C8094D">
              <w:t>Timeframe</w:t>
            </w:r>
          </w:p>
        </w:tc>
        <w:tc>
          <w:tcPr>
            <w:tcW w:w="45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E06AD7E" w14:textId="77777777" w:rsidR="00887F8B" w:rsidRPr="00C8094D" w:rsidRDefault="00887F8B" w:rsidP="00C83B3B">
            <w:pPr>
              <w:pStyle w:val="TableColumnHeader"/>
              <w:jc w:val="left"/>
            </w:pPr>
            <w:r>
              <w:t xml:space="preserve">Ease of </w:t>
            </w:r>
            <w:r w:rsidRPr="00C8094D">
              <w:t>Implementation</w:t>
            </w:r>
          </w:p>
        </w:tc>
      </w:tr>
      <w:tr w:rsidR="001733AC" w:rsidRPr="00C8094D" w14:paraId="488964D8" w14:textId="77777777" w:rsidTr="001733AC">
        <w:trPr>
          <w:cantSplit/>
          <w:trHeight w:val="255"/>
          <w:tblHeader/>
          <w:jc w:val="center"/>
        </w:trPr>
        <w:tc>
          <w:tcPr>
            <w:tcW w:w="3173" w:type="pct"/>
            <w:gridSpan w:val="2"/>
            <w:tcBorders>
              <w:top w:val="nil"/>
              <w:left w:val="single" w:sz="4" w:space="0" w:color="auto"/>
              <w:bottom w:val="single" w:sz="4" w:space="0" w:color="auto"/>
              <w:right w:val="single" w:sz="4" w:space="0" w:color="auto"/>
            </w:tcBorders>
            <w:shd w:val="clear" w:color="auto" w:fill="002060"/>
          </w:tcPr>
          <w:p w14:paraId="4EA1ECB2" w14:textId="49D02F2E" w:rsidR="001733AC" w:rsidRDefault="001733AC" w:rsidP="001733AC">
            <w:pPr>
              <w:pStyle w:val="TableRowHeader"/>
            </w:pPr>
            <w:r>
              <w:t>Planning Considerations</w:t>
            </w:r>
          </w:p>
        </w:tc>
        <w:tc>
          <w:tcPr>
            <w:tcW w:w="456" w:type="pct"/>
            <w:tcBorders>
              <w:top w:val="nil"/>
              <w:left w:val="single" w:sz="4" w:space="0" w:color="auto"/>
              <w:bottom w:val="single" w:sz="4" w:space="0" w:color="auto"/>
              <w:right w:val="single" w:sz="4" w:space="0" w:color="auto"/>
            </w:tcBorders>
            <w:shd w:val="clear" w:color="auto" w:fill="002060"/>
            <w:vAlign w:val="center"/>
          </w:tcPr>
          <w:p w14:paraId="350247C0" w14:textId="77777777" w:rsidR="001733AC" w:rsidRDefault="001733AC" w:rsidP="00C83B3B">
            <w:pPr>
              <w:pStyle w:val="TableText"/>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3387577C" w14:textId="77777777" w:rsidR="001733AC" w:rsidRDefault="001733AC" w:rsidP="00C83B3B">
            <w:pPr>
              <w:pStyle w:val="TableText"/>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6A33F581" w14:textId="77777777" w:rsidR="001733AC" w:rsidRDefault="001733AC" w:rsidP="00C83B3B">
            <w:pPr>
              <w:pStyle w:val="TableText"/>
            </w:pPr>
          </w:p>
        </w:tc>
        <w:tc>
          <w:tcPr>
            <w:tcW w:w="456" w:type="pct"/>
            <w:tcBorders>
              <w:top w:val="single" w:sz="4" w:space="0" w:color="auto"/>
              <w:left w:val="single" w:sz="4" w:space="0" w:color="auto"/>
              <w:bottom w:val="single" w:sz="4" w:space="0" w:color="auto"/>
              <w:right w:val="single" w:sz="4" w:space="0" w:color="auto"/>
            </w:tcBorders>
            <w:shd w:val="clear" w:color="auto" w:fill="002060"/>
            <w:vAlign w:val="center"/>
          </w:tcPr>
          <w:p w14:paraId="665E3E50" w14:textId="77777777" w:rsidR="001733AC" w:rsidRDefault="001733AC" w:rsidP="00C83B3B">
            <w:pPr>
              <w:pStyle w:val="TableText"/>
            </w:pPr>
          </w:p>
        </w:tc>
      </w:tr>
      <w:tr w:rsidR="001733AC" w:rsidRPr="00C8094D" w14:paraId="3399E847"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69BDBD51" w14:textId="37FF5DE3" w:rsidR="001733AC" w:rsidRDefault="001733AC" w:rsidP="001733AC">
            <w:pPr>
              <w:pStyle w:val="TableText"/>
            </w:pPr>
            <w:r>
              <w:t>(1)</w:t>
            </w:r>
          </w:p>
        </w:tc>
        <w:tc>
          <w:tcPr>
            <w:tcW w:w="2917" w:type="pct"/>
            <w:tcBorders>
              <w:top w:val="single" w:sz="4" w:space="0" w:color="auto"/>
              <w:bottom w:val="single" w:sz="4" w:space="0" w:color="auto"/>
              <w:right w:val="single" w:sz="4" w:space="0" w:color="auto"/>
            </w:tcBorders>
          </w:tcPr>
          <w:p w14:paraId="2F14C13E" w14:textId="310EB6FE" w:rsidR="001733AC" w:rsidRDefault="001733AC" w:rsidP="001733AC">
            <w:pPr>
              <w:pStyle w:val="TableText"/>
            </w:pPr>
            <w:r>
              <w:t>Engage with electrical utilities early and often</w:t>
            </w:r>
          </w:p>
        </w:tc>
        <w:tc>
          <w:tcPr>
            <w:tcW w:w="456" w:type="pct"/>
            <w:tcBorders>
              <w:top w:val="nil"/>
              <w:left w:val="single" w:sz="4" w:space="0" w:color="auto"/>
              <w:bottom w:val="single" w:sz="4" w:space="0" w:color="auto"/>
              <w:right w:val="single" w:sz="4" w:space="0" w:color="auto"/>
            </w:tcBorders>
            <w:shd w:val="clear" w:color="auto" w:fill="auto"/>
            <w:vAlign w:val="center"/>
          </w:tcPr>
          <w:p w14:paraId="4A4621D1" w14:textId="6EBAE540" w:rsidR="001733AC" w:rsidRDefault="001733AC" w:rsidP="001733AC">
            <w:pPr>
              <w:pStyle w:val="TableText"/>
            </w:pPr>
            <w:r>
              <w:t>0</w:t>
            </w:r>
          </w:p>
        </w:tc>
        <w:tc>
          <w:tcPr>
            <w:tcW w:w="457" w:type="pct"/>
            <w:tcBorders>
              <w:top w:val="single" w:sz="4" w:space="0" w:color="auto"/>
              <w:left w:val="single" w:sz="4" w:space="0" w:color="auto"/>
              <w:bottom w:val="single" w:sz="4" w:space="0" w:color="auto"/>
              <w:right w:val="single" w:sz="4" w:space="0" w:color="auto"/>
            </w:tcBorders>
            <w:vAlign w:val="center"/>
          </w:tcPr>
          <w:p w14:paraId="7F8C34E6" w14:textId="23AFD9FF" w:rsidR="001733AC" w:rsidRDefault="001A352A" w:rsidP="001733AC">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40D663ED" w14:textId="11E54ED4" w:rsidR="001733AC" w:rsidRDefault="001733AC" w:rsidP="001733AC">
            <w:pPr>
              <w:pStyle w:val="TableText"/>
            </w:pPr>
            <w:r>
              <w:t>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7BC4450C" w14:textId="250DC607" w:rsidR="001733AC" w:rsidRDefault="001733AC" w:rsidP="001733AC">
            <w:pPr>
              <w:pStyle w:val="TableText"/>
            </w:pPr>
            <w:r>
              <w:t>2</w:t>
            </w:r>
          </w:p>
        </w:tc>
      </w:tr>
      <w:tr w:rsidR="001733AC" w:rsidRPr="00C8094D" w14:paraId="76D2CD0B"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3E084C5B" w14:textId="4959CA8F" w:rsidR="001733AC" w:rsidRDefault="001733AC" w:rsidP="001733AC">
            <w:pPr>
              <w:pStyle w:val="TableText"/>
            </w:pPr>
            <w:r>
              <w:t>(</w:t>
            </w:r>
            <w:r w:rsidR="00D814BA">
              <w:t>2</w:t>
            </w:r>
            <w:r>
              <w:t>)</w:t>
            </w:r>
          </w:p>
        </w:tc>
        <w:tc>
          <w:tcPr>
            <w:tcW w:w="2917" w:type="pct"/>
            <w:tcBorders>
              <w:top w:val="single" w:sz="4" w:space="0" w:color="auto"/>
              <w:bottom w:val="single" w:sz="4" w:space="0" w:color="auto"/>
              <w:right w:val="single" w:sz="4" w:space="0" w:color="auto"/>
            </w:tcBorders>
          </w:tcPr>
          <w:p w14:paraId="5F66185F" w14:textId="6F6D8219" w:rsidR="001733AC" w:rsidRDefault="001733AC" w:rsidP="001733AC">
            <w:pPr>
              <w:pStyle w:val="TableText"/>
            </w:pPr>
            <w:r>
              <w:t xml:space="preserve">Consider </w:t>
            </w:r>
            <w:r w:rsidR="00D814BA">
              <w:t>m</w:t>
            </w:r>
            <w:r>
              <w:t>icrogrids</w:t>
            </w:r>
            <w:r w:rsidR="00D814BA">
              <w:t xml:space="preserve"> for charging</w:t>
            </w:r>
          </w:p>
        </w:tc>
        <w:tc>
          <w:tcPr>
            <w:tcW w:w="456" w:type="pct"/>
            <w:tcBorders>
              <w:top w:val="nil"/>
              <w:left w:val="single" w:sz="4" w:space="0" w:color="auto"/>
              <w:bottom w:val="single" w:sz="4" w:space="0" w:color="auto"/>
              <w:right w:val="single" w:sz="4" w:space="0" w:color="auto"/>
            </w:tcBorders>
            <w:shd w:val="clear" w:color="auto" w:fill="auto"/>
            <w:vAlign w:val="center"/>
          </w:tcPr>
          <w:p w14:paraId="6AC1ED98" w14:textId="77777777" w:rsidR="001733AC" w:rsidRDefault="001733AC" w:rsidP="001733AC">
            <w:pPr>
              <w:pStyle w:val="TableText"/>
            </w:pPr>
            <w:r>
              <w:t>$$$</w:t>
            </w:r>
          </w:p>
        </w:tc>
        <w:tc>
          <w:tcPr>
            <w:tcW w:w="457" w:type="pct"/>
            <w:tcBorders>
              <w:top w:val="single" w:sz="4" w:space="0" w:color="auto"/>
              <w:left w:val="single" w:sz="4" w:space="0" w:color="auto"/>
              <w:bottom w:val="single" w:sz="4" w:space="0" w:color="auto"/>
              <w:right w:val="single" w:sz="4" w:space="0" w:color="auto"/>
            </w:tcBorders>
            <w:vAlign w:val="center"/>
          </w:tcPr>
          <w:p w14:paraId="2CC4CE71" w14:textId="77777777" w:rsidR="001733AC" w:rsidRDefault="001733AC" w:rsidP="001733AC">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15307FF3" w14:textId="77777777" w:rsidR="001733AC" w:rsidRDefault="001733AC" w:rsidP="001733AC">
            <w:pPr>
              <w:pStyle w:val="TableText"/>
            </w:pPr>
            <w:r>
              <w:t>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0A937EA" w14:textId="77777777" w:rsidR="001733AC" w:rsidRDefault="001733AC" w:rsidP="001733AC">
            <w:pPr>
              <w:pStyle w:val="TableText"/>
            </w:pPr>
            <w:r>
              <w:t>2</w:t>
            </w:r>
          </w:p>
        </w:tc>
      </w:tr>
      <w:tr w:rsidR="00D814BA" w:rsidRPr="00C8094D" w14:paraId="1B379BEF"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4ED6BCE5" w14:textId="67591AC5" w:rsidR="00D814BA" w:rsidRDefault="00D814BA" w:rsidP="00D814BA">
            <w:pPr>
              <w:pStyle w:val="TableText"/>
            </w:pPr>
            <w:r>
              <w:t>(</w:t>
            </w:r>
            <w:r w:rsidR="006431AA">
              <w:t>3</w:t>
            </w:r>
            <w:r>
              <w:t>)</w:t>
            </w:r>
          </w:p>
        </w:tc>
        <w:tc>
          <w:tcPr>
            <w:tcW w:w="2917" w:type="pct"/>
            <w:tcBorders>
              <w:top w:val="single" w:sz="4" w:space="0" w:color="auto"/>
              <w:bottom w:val="single" w:sz="4" w:space="0" w:color="auto"/>
              <w:right w:val="single" w:sz="4" w:space="0" w:color="auto"/>
            </w:tcBorders>
          </w:tcPr>
          <w:p w14:paraId="1F19729D" w14:textId="36EED8A3" w:rsidR="00D814BA" w:rsidRDefault="00D814BA" w:rsidP="00D814BA">
            <w:pPr>
              <w:pStyle w:val="TableText"/>
            </w:pPr>
            <w:r>
              <w:t xml:space="preserve">Explore </w:t>
            </w:r>
            <w:r w:rsidR="00307850">
              <w:t>Vehicle-to-Grid/Vehicle-to Load (</w:t>
            </w:r>
            <w:r>
              <w:t>V2G/V2L</w:t>
            </w:r>
            <w:r w:rsidR="00307850">
              <w:t>)</w:t>
            </w:r>
            <w:r w:rsidR="003D2F2D">
              <w:t xml:space="preserve"> technology</w:t>
            </w:r>
          </w:p>
        </w:tc>
        <w:tc>
          <w:tcPr>
            <w:tcW w:w="456" w:type="pct"/>
            <w:tcBorders>
              <w:top w:val="nil"/>
              <w:left w:val="single" w:sz="4" w:space="0" w:color="auto"/>
              <w:bottom w:val="single" w:sz="4" w:space="0" w:color="auto"/>
              <w:right w:val="single" w:sz="4" w:space="0" w:color="auto"/>
            </w:tcBorders>
            <w:shd w:val="clear" w:color="auto" w:fill="auto"/>
            <w:vAlign w:val="center"/>
          </w:tcPr>
          <w:p w14:paraId="2E4EA736" w14:textId="55E94CAC" w:rsidR="00D814BA" w:rsidRDefault="00D814BA" w:rsidP="00D814BA">
            <w:pPr>
              <w:pStyle w:val="TableText"/>
            </w:pPr>
            <w:r>
              <w:t>$$$</w:t>
            </w:r>
          </w:p>
        </w:tc>
        <w:tc>
          <w:tcPr>
            <w:tcW w:w="457" w:type="pct"/>
            <w:tcBorders>
              <w:top w:val="single" w:sz="4" w:space="0" w:color="auto"/>
              <w:left w:val="single" w:sz="4" w:space="0" w:color="auto"/>
              <w:bottom w:val="single" w:sz="4" w:space="0" w:color="auto"/>
              <w:right w:val="single" w:sz="4" w:space="0" w:color="auto"/>
            </w:tcBorders>
            <w:vAlign w:val="center"/>
          </w:tcPr>
          <w:p w14:paraId="1A71829C" w14:textId="722F43AA" w:rsidR="00D814BA" w:rsidRDefault="00D814BA" w:rsidP="00D814BA">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0FAC52CC" w14:textId="1A43C127" w:rsidR="00D814BA" w:rsidRDefault="00D814BA" w:rsidP="00D814BA">
            <w:pPr>
              <w:pStyle w:val="TableText"/>
            </w:pPr>
            <w: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60F11175" w14:textId="3455BA54" w:rsidR="00D814BA" w:rsidRDefault="00D814BA" w:rsidP="00D814BA">
            <w:pPr>
              <w:pStyle w:val="TableText"/>
            </w:pPr>
            <w:r>
              <w:t>3</w:t>
            </w:r>
          </w:p>
        </w:tc>
      </w:tr>
      <w:tr w:rsidR="003D2F2D" w:rsidRPr="00C8094D" w14:paraId="1444161F" w14:textId="77777777" w:rsidTr="003D2F2D">
        <w:trPr>
          <w:cantSplit/>
          <w:trHeight w:val="255"/>
          <w:tblHeader/>
          <w:jc w:val="center"/>
        </w:trPr>
        <w:tc>
          <w:tcPr>
            <w:tcW w:w="3173" w:type="pct"/>
            <w:gridSpan w:val="2"/>
            <w:tcBorders>
              <w:top w:val="nil"/>
              <w:left w:val="single" w:sz="4" w:space="0" w:color="auto"/>
              <w:bottom w:val="single" w:sz="4" w:space="0" w:color="auto"/>
              <w:right w:val="single" w:sz="4" w:space="0" w:color="auto"/>
            </w:tcBorders>
            <w:shd w:val="clear" w:color="auto" w:fill="002060"/>
          </w:tcPr>
          <w:p w14:paraId="7B0E415F" w14:textId="0C799154" w:rsidR="003D2F2D" w:rsidRDefault="00C61289" w:rsidP="003D2F2D">
            <w:pPr>
              <w:pStyle w:val="TableRowHeader"/>
            </w:pPr>
            <w:r w:rsidRPr="00C61289">
              <w:t>Electric School Bus Acquisition</w:t>
            </w:r>
          </w:p>
        </w:tc>
        <w:tc>
          <w:tcPr>
            <w:tcW w:w="456" w:type="pct"/>
            <w:tcBorders>
              <w:top w:val="nil"/>
              <w:left w:val="single" w:sz="4" w:space="0" w:color="auto"/>
              <w:bottom w:val="single" w:sz="4" w:space="0" w:color="auto"/>
              <w:right w:val="single" w:sz="4" w:space="0" w:color="auto"/>
            </w:tcBorders>
            <w:shd w:val="clear" w:color="auto" w:fill="002060"/>
            <w:vAlign w:val="center"/>
          </w:tcPr>
          <w:p w14:paraId="6CEEDEBB" w14:textId="77777777" w:rsidR="003D2F2D" w:rsidRDefault="003D2F2D" w:rsidP="00D814BA">
            <w:pPr>
              <w:pStyle w:val="TableText"/>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22E3AAA4" w14:textId="77777777" w:rsidR="003D2F2D" w:rsidRDefault="003D2F2D" w:rsidP="00D814BA">
            <w:pPr>
              <w:pStyle w:val="TableText"/>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13160F0D" w14:textId="77777777" w:rsidR="003D2F2D" w:rsidRDefault="003D2F2D" w:rsidP="00D814BA">
            <w:pPr>
              <w:pStyle w:val="TableText"/>
            </w:pPr>
          </w:p>
        </w:tc>
        <w:tc>
          <w:tcPr>
            <w:tcW w:w="456" w:type="pct"/>
            <w:tcBorders>
              <w:top w:val="single" w:sz="4" w:space="0" w:color="auto"/>
              <w:left w:val="single" w:sz="4" w:space="0" w:color="auto"/>
              <w:bottom w:val="single" w:sz="4" w:space="0" w:color="auto"/>
              <w:right w:val="single" w:sz="4" w:space="0" w:color="auto"/>
            </w:tcBorders>
            <w:shd w:val="clear" w:color="auto" w:fill="002060"/>
            <w:vAlign w:val="center"/>
          </w:tcPr>
          <w:p w14:paraId="504C2569" w14:textId="77777777" w:rsidR="003D2F2D" w:rsidRDefault="003D2F2D" w:rsidP="00D814BA">
            <w:pPr>
              <w:pStyle w:val="TableText"/>
            </w:pPr>
          </w:p>
        </w:tc>
      </w:tr>
      <w:tr w:rsidR="006431AA" w:rsidRPr="00C8094D" w14:paraId="554DB6EC"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039E3F64" w14:textId="06EBA535" w:rsidR="006431AA" w:rsidRDefault="006431AA" w:rsidP="006431AA">
            <w:pPr>
              <w:pStyle w:val="TableText"/>
            </w:pPr>
            <w:r>
              <w:t>(4)</w:t>
            </w:r>
          </w:p>
        </w:tc>
        <w:tc>
          <w:tcPr>
            <w:tcW w:w="2917" w:type="pct"/>
            <w:tcBorders>
              <w:top w:val="single" w:sz="4" w:space="0" w:color="auto"/>
              <w:bottom w:val="single" w:sz="4" w:space="0" w:color="auto"/>
              <w:right w:val="single" w:sz="4" w:space="0" w:color="auto"/>
            </w:tcBorders>
          </w:tcPr>
          <w:p w14:paraId="68F299D8" w14:textId="7D254426" w:rsidR="006431AA" w:rsidRDefault="006431AA" w:rsidP="006431AA">
            <w:pPr>
              <w:pStyle w:val="TableText"/>
            </w:pPr>
            <w:r>
              <w:t>Leverage available funding programs</w:t>
            </w:r>
          </w:p>
        </w:tc>
        <w:tc>
          <w:tcPr>
            <w:tcW w:w="456" w:type="pct"/>
            <w:tcBorders>
              <w:top w:val="nil"/>
              <w:left w:val="single" w:sz="4" w:space="0" w:color="auto"/>
              <w:bottom w:val="single" w:sz="4" w:space="0" w:color="auto"/>
              <w:right w:val="single" w:sz="4" w:space="0" w:color="auto"/>
            </w:tcBorders>
            <w:shd w:val="clear" w:color="auto" w:fill="auto"/>
            <w:vAlign w:val="center"/>
          </w:tcPr>
          <w:p w14:paraId="3E04EE5A" w14:textId="00BEE30C" w:rsidR="006431AA" w:rsidRDefault="006431AA" w:rsidP="006431AA">
            <w:pPr>
              <w:pStyle w:val="TableText"/>
            </w:pPr>
            <w:r>
              <w:t>0</w:t>
            </w:r>
          </w:p>
        </w:tc>
        <w:tc>
          <w:tcPr>
            <w:tcW w:w="457" w:type="pct"/>
            <w:tcBorders>
              <w:top w:val="single" w:sz="4" w:space="0" w:color="auto"/>
              <w:left w:val="single" w:sz="4" w:space="0" w:color="auto"/>
              <w:bottom w:val="single" w:sz="4" w:space="0" w:color="auto"/>
              <w:right w:val="single" w:sz="4" w:space="0" w:color="auto"/>
            </w:tcBorders>
            <w:vAlign w:val="center"/>
          </w:tcPr>
          <w:p w14:paraId="5E38C856" w14:textId="3618EE72" w:rsidR="006431AA" w:rsidRDefault="006431AA" w:rsidP="006431AA">
            <w:pPr>
              <w:pStyle w:val="TableText"/>
            </w:pPr>
            <w:r>
              <w:t>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436A7CAF" w14:textId="75804FE6" w:rsidR="006431AA" w:rsidRDefault="006431AA" w:rsidP="006431AA">
            <w:pPr>
              <w:pStyle w:val="TableText"/>
            </w:pPr>
            <w:r>
              <w:t>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673E1F90" w14:textId="5686109B" w:rsidR="006431AA" w:rsidRDefault="006431AA" w:rsidP="006431AA">
            <w:pPr>
              <w:pStyle w:val="TableText"/>
            </w:pPr>
            <w:r>
              <w:t>2</w:t>
            </w:r>
          </w:p>
        </w:tc>
      </w:tr>
      <w:tr w:rsidR="006431AA" w:rsidRPr="00C8094D" w14:paraId="670EB67B"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3D1909C7" w14:textId="0BA01B46" w:rsidR="006431AA" w:rsidRDefault="006431AA" w:rsidP="006431AA">
            <w:pPr>
              <w:pStyle w:val="TableText"/>
            </w:pPr>
            <w:r>
              <w:t>(5)</w:t>
            </w:r>
          </w:p>
        </w:tc>
        <w:tc>
          <w:tcPr>
            <w:tcW w:w="2917" w:type="pct"/>
            <w:tcBorders>
              <w:top w:val="single" w:sz="4" w:space="0" w:color="auto"/>
              <w:bottom w:val="single" w:sz="4" w:space="0" w:color="auto"/>
              <w:right w:val="single" w:sz="4" w:space="0" w:color="auto"/>
            </w:tcBorders>
          </w:tcPr>
          <w:p w14:paraId="0498EB71" w14:textId="2FCBC08E" w:rsidR="006431AA" w:rsidRDefault="006431AA" w:rsidP="006431AA">
            <w:pPr>
              <w:pStyle w:val="TableText"/>
            </w:pPr>
            <w:r>
              <w:t xml:space="preserve">Work with </w:t>
            </w:r>
            <w:r w:rsidR="00D437B8">
              <w:t xml:space="preserve">a </w:t>
            </w:r>
            <w:r w:rsidR="00D845CE">
              <w:t>l</w:t>
            </w:r>
            <w:r w:rsidR="00D437B8">
              <w:t xml:space="preserve">ocal </w:t>
            </w:r>
            <w:r w:rsidR="00D845CE">
              <w:t>v</w:t>
            </w:r>
            <w:r w:rsidR="00D437B8">
              <w:t xml:space="preserve">ehicle </w:t>
            </w:r>
            <w:r w:rsidR="00D845CE">
              <w:t>d</w:t>
            </w:r>
            <w:r>
              <w:t>ealer</w:t>
            </w:r>
          </w:p>
        </w:tc>
        <w:tc>
          <w:tcPr>
            <w:tcW w:w="456" w:type="pct"/>
            <w:tcBorders>
              <w:top w:val="nil"/>
              <w:left w:val="single" w:sz="4" w:space="0" w:color="auto"/>
              <w:bottom w:val="single" w:sz="4" w:space="0" w:color="auto"/>
              <w:right w:val="single" w:sz="4" w:space="0" w:color="auto"/>
            </w:tcBorders>
            <w:shd w:val="clear" w:color="auto" w:fill="auto"/>
            <w:vAlign w:val="center"/>
          </w:tcPr>
          <w:p w14:paraId="798D00D9" w14:textId="77E3DB61" w:rsidR="006431AA" w:rsidRDefault="006431AA" w:rsidP="006431AA">
            <w:pPr>
              <w:pStyle w:val="TableText"/>
            </w:pPr>
            <w:r>
              <w:t>0</w:t>
            </w:r>
          </w:p>
        </w:tc>
        <w:tc>
          <w:tcPr>
            <w:tcW w:w="457" w:type="pct"/>
            <w:tcBorders>
              <w:top w:val="single" w:sz="4" w:space="0" w:color="auto"/>
              <w:left w:val="single" w:sz="4" w:space="0" w:color="auto"/>
              <w:bottom w:val="single" w:sz="4" w:space="0" w:color="auto"/>
              <w:right w:val="single" w:sz="4" w:space="0" w:color="auto"/>
            </w:tcBorders>
            <w:vAlign w:val="center"/>
          </w:tcPr>
          <w:p w14:paraId="31668AE1" w14:textId="7B641A76" w:rsidR="006431AA" w:rsidRDefault="006431AA" w:rsidP="006431AA">
            <w:pPr>
              <w:pStyle w:val="TableText"/>
            </w:pPr>
            <w:r>
              <w:t>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45EAB1EE" w14:textId="4A581561" w:rsidR="006431AA" w:rsidRDefault="006431AA" w:rsidP="006431AA">
            <w:pPr>
              <w:pStyle w:val="TableText"/>
            </w:pPr>
            <w:r>
              <w:t>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57B8C948" w14:textId="30391576" w:rsidR="006431AA" w:rsidRDefault="006431AA" w:rsidP="006431AA">
            <w:pPr>
              <w:pStyle w:val="TableText"/>
            </w:pPr>
            <w:r>
              <w:t>2</w:t>
            </w:r>
          </w:p>
        </w:tc>
      </w:tr>
      <w:tr w:rsidR="006431AA" w:rsidRPr="00C8094D" w14:paraId="1F7B7498" w14:textId="77777777" w:rsidTr="003D2F2D">
        <w:trPr>
          <w:cantSplit/>
          <w:trHeight w:val="255"/>
          <w:tblHeader/>
          <w:jc w:val="center"/>
        </w:trPr>
        <w:tc>
          <w:tcPr>
            <w:tcW w:w="257" w:type="pct"/>
            <w:tcBorders>
              <w:top w:val="nil"/>
              <w:left w:val="single" w:sz="4" w:space="0" w:color="auto"/>
              <w:bottom w:val="single" w:sz="4" w:space="0" w:color="auto"/>
            </w:tcBorders>
            <w:shd w:val="clear" w:color="auto" w:fill="auto"/>
          </w:tcPr>
          <w:p w14:paraId="7854D50A" w14:textId="3A3B55E0" w:rsidR="006431AA" w:rsidRDefault="006431AA" w:rsidP="006431AA">
            <w:pPr>
              <w:pStyle w:val="TableText"/>
            </w:pPr>
            <w:r>
              <w:t>(6)</w:t>
            </w:r>
          </w:p>
        </w:tc>
        <w:tc>
          <w:tcPr>
            <w:tcW w:w="2917" w:type="pct"/>
            <w:tcBorders>
              <w:top w:val="single" w:sz="4" w:space="0" w:color="auto"/>
              <w:bottom w:val="single" w:sz="4" w:space="0" w:color="auto"/>
              <w:right w:val="single" w:sz="4" w:space="0" w:color="auto"/>
            </w:tcBorders>
          </w:tcPr>
          <w:p w14:paraId="697DE5DA" w14:textId="2102EED2" w:rsidR="006431AA" w:rsidRDefault="006431AA" w:rsidP="006431AA">
            <w:pPr>
              <w:pStyle w:val="TableText"/>
            </w:pPr>
            <w:r>
              <w:t>Purchase vehicle warranties</w:t>
            </w:r>
          </w:p>
        </w:tc>
        <w:tc>
          <w:tcPr>
            <w:tcW w:w="456" w:type="pct"/>
            <w:tcBorders>
              <w:top w:val="nil"/>
              <w:left w:val="single" w:sz="4" w:space="0" w:color="auto"/>
              <w:bottom w:val="single" w:sz="4" w:space="0" w:color="auto"/>
              <w:right w:val="single" w:sz="4" w:space="0" w:color="auto"/>
            </w:tcBorders>
            <w:shd w:val="clear" w:color="auto" w:fill="auto"/>
            <w:vAlign w:val="center"/>
          </w:tcPr>
          <w:p w14:paraId="1DE7DAE7" w14:textId="517DDC64" w:rsidR="006431AA" w:rsidRDefault="006431AA" w:rsidP="006431AA">
            <w:pPr>
              <w:pStyle w:val="TableText"/>
            </w:pPr>
            <w:r>
              <w:t>$</w:t>
            </w:r>
          </w:p>
        </w:tc>
        <w:tc>
          <w:tcPr>
            <w:tcW w:w="457" w:type="pct"/>
            <w:tcBorders>
              <w:top w:val="single" w:sz="4" w:space="0" w:color="auto"/>
              <w:left w:val="single" w:sz="4" w:space="0" w:color="auto"/>
              <w:bottom w:val="single" w:sz="4" w:space="0" w:color="auto"/>
              <w:right w:val="single" w:sz="4" w:space="0" w:color="auto"/>
            </w:tcBorders>
            <w:vAlign w:val="center"/>
          </w:tcPr>
          <w:p w14:paraId="62C58950" w14:textId="647CCE27" w:rsidR="006431AA" w:rsidRDefault="006431AA" w:rsidP="006431AA">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4F31A125" w14:textId="22FDA89A" w:rsidR="006431AA" w:rsidRDefault="006431AA" w:rsidP="006431AA">
            <w:pPr>
              <w:pStyle w:val="TableText"/>
            </w:pPr>
            <w: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3DFFF58A" w14:textId="7839EE23" w:rsidR="006431AA" w:rsidRDefault="006431AA" w:rsidP="006431AA">
            <w:pPr>
              <w:pStyle w:val="TableText"/>
            </w:pPr>
            <w:r>
              <w:t>1</w:t>
            </w:r>
          </w:p>
        </w:tc>
      </w:tr>
      <w:tr w:rsidR="006431AA" w:rsidRPr="00C8094D" w14:paraId="2450EC3C" w14:textId="77777777" w:rsidTr="006431AA">
        <w:trPr>
          <w:cantSplit/>
          <w:trHeight w:val="255"/>
          <w:tblHeader/>
          <w:jc w:val="center"/>
        </w:trPr>
        <w:tc>
          <w:tcPr>
            <w:tcW w:w="3173" w:type="pct"/>
            <w:gridSpan w:val="2"/>
            <w:tcBorders>
              <w:top w:val="nil"/>
              <w:left w:val="single" w:sz="4" w:space="0" w:color="auto"/>
              <w:bottom w:val="single" w:sz="4" w:space="0" w:color="auto"/>
              <w:right w:val="single" w:sz="4" w:space="0" w:color="auto"/>
            </w:tcBorders>
            <w:shd w:val="clear" w:color="auto" w:fill="002060"/>
          </w:tcPr>
          <w:p w14:paraId="79F85B0E" w14:textId="7413BB77" w:rsidR="006431AA" w:rsidRDefault="00C61289" w:rsidP="006431AA">
            <w:pPr>
              <w:pStyle w:val="TableRowHeader"/>
            </w:pPr>
            <w:r w:rsidRPr="00C61289">
              <w:t>Electric School Bus Operations</w:t>
            </w:r>
          </w:p>
        </w:tc>
        <w:tc>
          <w:tcPr>
            <w:tcW w:w="456" w:type="pct"/>
            <w:tcBorders>
              <w:top w:val="nil"/>
              <w:left w:val="single" w:sz="4" w:space="0" w:color="auto"/>
              <w:bottom w:val="single" w:sz="4" w:space="0" w:color="auto"/>
              <w:right w:val="single" w:sz="4" w:space="0" w:color="auto"/>
            </w:tcBorders>
            <w:shd w:val="clear" w:color="auto" w:fill="002060"/>
            <w:vAlign w:val="center"/>
          </w:tcPr>
          <w:p w14:paraId="47CA19AD" w14:textId="09B74E43" w:rsidR="006431AA" w:rsidRDefault="006431AA" w:rsidP="006431AA">
            <w:pPr>
              <w:pStyle w:val="TableRowHeader"/>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2F47E9C6" w14:textId="5B9F4F6F" w:rsidR="006431AA" w:rsidRDefault="006431AA" w:rsidP="006431AA">
            <w:pPr>
              <w:pStyle w:val="TableRowHeader"/>
            </w:pPr>
          </w:p>
        </w:tc>
        <w:tc>
          <w:tcPr>
            <w:tcW w:w="457" w:type="pct"/>
            <w:tcBorders>
              <w:top w:val="single" w:sz="4" w:space="0" w:color="auto"/>
              <w:left w:val="single" w:sz="4" w:space="0" w:color="auto"/>
              <w:bottom w:val="single" w:sz="4" w:space="0" w:color="auto"/>
              <w:right w:val="single" w:sz="4" w:space="0" w:color="auto"/>
            </w:tcBorders>
            <w:shd w:val="clear" w:color="auto" w:fill="002060"/>
            <w:vAlign w:val="center"/>
          </w:tcPr>
          <w:p w14:paraId="74E0284B" w14:textId="581FEBA0" w:rsidR="006431AA" w:rsidRDefault="006431AA" w:rsidP="006431AA">
            <w:pPr>
              <w:pStyle w:val="TableRowHeader"/>
            </w:pPr>
          </w:p>
        </w:tc>
        <w:tc>
          <w:tcPr>
            <w:tcW w:w="456" w:type="pct"/>
            <w:tcBorders>
              <w:top w:val="single" w:sz="4" w:space="0" w:color="auto"/>
              <w:left w:val="single" w:sz="4" w:space="0" w:color="auto"/>
              <w:bottom w:val="single" w:sz="4" w:space="0" w:color="auto"/>
              <w:right w:val="single" w:sz="4" w:space="0" w:color="auto"/>
            </w:tcBorders>
            <w:shd w:val="clear" w:color="auto" w:fill="002060"/>
            <w:vAlign w:val="center"/>
          </w:tcPr>
          <w:p w14:paraId="5676BD81" w14:textId="6160C2D9" w:rsidR="006431AA" w:rsidRDefault="006431AA" w:rsidP="006431AA">
            <w:pPr>
              <w:pStyle w:val="TableRowHeader"/>
            </w:pPr>
          </w:p>
        </w:tc>
      </w:tr>
      <w:tr w:rsidR="006431AA" w:rsidRPr="00C8094D" w14:paraId="0A5A7C8A" w14:textId="77777777" w:rsidTr="003D2F2D">
        <w:trPr>
          <w:cantSplit/>
          <w:trHeight w:val="255"/>
          <w:tblHeader/>
          <w:jc w:val="center"/>
        </w:trPr>
        <w:tc>
          <w:tcPr>
            <w:tcW w:w="257" w:type="pct"/>
            <w:tcBorders>
              <w:top w:val="single" w:sz="4" w:space="0" w:color="auto"/>
              <w:left w:val="single" w:sz="4" w:space="0" w:color="auto"/>
              <w:bottom w:val="single" w:sz="4" w:space="0" w:color="auto"/>
            </w:tcBorders>
            <w:shd w:val="clear" w:color="auto" w:fill="auto"/>
          </w:tcPr>
          <w:p w14:paraId="4F8382A0" w14:textId="384FA173" w:rsidR="006431AA" w:rsidRPr="00C8094D" w:rsidRDefault="006431AA" w:rsidP="006431AA">
            <w:pPr>
              <w:pStyle w:val="TableText"/>
            </w:pPr>
            <w:r>
              <w:t>(7)</w:t>
            </w:r>
          </w:p>
        </w:tc>
        <w:tc>
          <w:tcPr>
            <w:tcW w:w="2917" w:type="pct"/>
            <w:tcBorders>
              <w:top w:val="single" w:sz="4" w:space="0" w:color="auto"/>
              <w:bottom w:val="single" w:sz="4" w:space="0" w:color="auto"/>
              <w:right w:val="single" w:sz="4" w:space="0" w:color="auto"/>
            </w:tcBorders>
          </w:tcPr>
          <w:p w14:paraId="0337233F" w14:textId="55C9B195" w:rsidR="006431AA" w:rsidRPr="00C8094D" w:rsidRDefault="006431AA" w:rsidP="006431AA">
            <w:pPr>
              <w:pStyle w:val="TableText"/>
            </w:pPr>
            <w:r>
              <w:t>Deploy telematics</w:t>
            </w:r>
          </w:p>
        </w:tc>
        <w:tc>
          <w:tcPr>
            <w:tcW w:w="456" w:type="pct"/>
            <w:tcBorders>
              <w:top w:val="nil"/>
              <w:left w:val="single" w:sz="4" w:space="0" w:color="auto"/>
              <w:bottom w:val="single" w:sz="4" w:space="0" w:color="auto"/>
              <w:right w:val="single" w:sz="4" w:space="0" w:color="auto"/>
            </w:tcBorders>
            <w:shd w:val="clear" w:color="auto" w:fill="auto"/>
            <w:vAlign w:val="center"/>
          </w:tcPr>
          <w:p w14:paraId="754FE9AC" w14:textId="07AFF5D2" w:rsidR="006431AA" w:rsidRPr="00C8094D" w:rsidRDefault="006431AA" w:rsidP="006431AA">
            <w:pPr>
              <w:pStyle w:val="TableText"/>
            </w:pPr>
            <w:r>
              <w:t>$</w:t>
            </w:r>
          </w:p>
        </w:tc>
        <w:tc>
          <w:tcPr>
            <w:tcW w:w="457" w:type="pct"/>
            <w:tcBorders>
              <w:top w:val="single" w:sz="4" w:space="0" w:color="auto"/>
              <w:left w:val="single" w:sz="4" w:space="0" w:color="auto"/>
              <w:bottom w:val="single" w:sz="4" w:space="0" w:color="auto"/>
              <w:right w:val="single" w:sz="4" w:space="0" w:color="auto"/>
            </w:tcBorders>
            <w:vAlign w:val="center"/>
          </w:tcPr>
          <w:p w14:paraId="15C457C3" w14:textId="047632C3" w:rsidR="006431AA" w:rsidRPr="00C8094D" w:rsidRDefault="006431AA" w:rsidP="006431AA">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28678A04" w14:textId="45862287" w:rsidR="006431AA" w:rsidRPr="00C8094D" w:rsidRDefault="006431AA" w:rsidP="006431AA">
            <w:pPr>
              <w:pStyle w:val="TableText"/>
            </w:pPr>
            <w: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27267B72" w14:textId="45E77E04" w:rsidR="006431AA" w:rsidRPr="00C8094D" w:rsidRDefault="006431AA" w:rsidP="006431AA">
            <w:pPr>
              <w:pStyle w:val="TableText"/>
            </w:pPr>
            <w:r>
              <w:t>1</w:t>
            </w:r>
          </w:p>
        </w:tc>
      </w:tr>
      <w:tr w:rsidR="006431AA" w:rsidRPr="00C8094D" w14:paraId="4EFE9EF1" w14:textId="77777777" w:rsidTr="003D2F2D">
        <w:trPr>
          <w:cantSplit/>
          <w:trHeight w:val="255"/>
          <w:tblHeader/>
          <w:jc w:val="center"/>
        </w:trPr>
        <w:tc>
          <w:tcPr>
            <w:tcW w:w="257" w:type="pct"/>
            <w:tcBorders>
              <w:top w:val="single" w:sz="4" w:space="0" w:color="auto"/>
              <w:left w:val="single" w:sz="4" w:space="0" w:color="auto"/>
              <w:bottom w:val="single" w:sz="4" w:space="0" w:color="auto"/>
            </w:tcBorders>
            <w:shd w:val="clear" w:color="auto" w:fill="auto"/>
          </w:tcPr>
          <w:p w14:paraId="227B2BF0" w14:textId="4829E5B5" w:rsidR="006431AA" w:rsidRDefault="006431AA" w:rsidP="006431AA">
            <w:pPr>
              <w:pStyle w:val="TableText"/>
            </w:pPr>
            <w:r>
              <w:t>(8)</w:t>
            </w:r>
          </w:p>
        </w:tc>
        <w:tc>
          <w:tcPr>
            <w:tcW w:w="2917" w:type="pct"/>
            <w:tcBorders>
              <w:top w:val="single" w:sz="4" w:space="0" w:color="auto"/>
              <w:bottom w:val="single" w:sz="4" w:space="0" w:color="auto"/>
              <w:right w:val="single" w:sz="4" w:space="0" w:color="auto"/>
            </w:tcBorders>
          </w:tcPr>
          <w:p w14:paraId="6A51526D" w14:textId="555EDA57" w:rsidR="006431AA" w:rsidRDefault="006431AA" w:rsidP="006431AA">
            <w:pPr>
              <w:pStyle w:val="TableText"/>
            </w:pPr>
            <w:r>
              <w:t>Implement operator training</w:t>
            </w:r>
          </w:p>
        </w:tc>
        <w:tc>
          <w:tcPr>
            <w:tcW w:w="456" w:type="pct"/>
            <w:tcBorders>
              <w:top w:val="nil"/>
              <w:left w:val="single" w:sz="4" w:space="0" w:color="auto"/>
              <w:bottom w:val="single" w:sz="4" w:space="0" w:color="auto"/>
              <w:right w:val="single" w:sz="4" w:space="0" w:color="auto"/>
            </w:tcBorders>
            <w:shd w:val="clear" w:color="auto" w:fill="auto"/>
            <w:vAlign w:val="center"/>
          </w:tcPr>
          <w:p w14:paraId="4CD4214C" w14:textId="77777777" w:rsidR="006431AA" w:rsidRDefault="006431AA" w:rsidP="006431AA">
            <w:pPr>
              <w:pStyle w:val="TableText"/>
            </w:pPr>
            <w:r>
              <w:t>0</w:t>
            </w:r>
          </w:p>
        </w:tc>
        <w:tc>
          <w:tcPr>
            <w:tcW w:w="457" w:type="pct"/>
            <w:tcBorders>
              <w:top w:val="single" w:sz="4" w:space="0" w:color="auto"/>
              <w:left w:val="single" w:sz="4" w:space="0" w:color="auto"/>
              <w:bottom w:val="single" w:sz="4" w:space="0" w:color="auto"/>
              <w:right w:val="single" w:sz="4" w:space="0" w:color="auto"/>
            </w:tcBorders>
            <w:vAlign w:val="center"/>
          </w:tcPr>
          <w:p w14:paraId="010E4A90" w14:textId="78496B63" w:rsidR="006431AA" w:rsidRDefault="001A352A" w:rsidP="006431AA">
            <w:pPr>
              <w:pStyle w:val="TableText"/>
            </w:pPr>
            <w: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1C4F23A6" w14:textId="77777777" w:rsidR="006431AA" w:rsidRDefault="006431AA" w:rsidP="006431AA">
            <w:pPr>
              <w:pStyle w:val="TableText"/>
            </w:pPr>
            <w:r>
              <w:t>2-3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231746AA" w14:textId="77777777" w:rsidR="006431AA" w:rsidRDefault="006431AA" w:rsidP="006431AA">
            <w:pPr>
              <w:pStyle w:val="TableText"/>
            </w:pPr>
            <w:r>
              <w:t>1</w:t>
            </w:r>
          </w:p>
        </w:tc>
      </w:tr>
      <w:tr w:rsidR="00447066" w:rsidRPr="00C8094D" w14:paraId="400F3BB8" w14:textId="77777777" w:rsidTr="00447066">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F9205D1" w14:textId="77777777" w:rsidR="00447066" w:rsidRPr="00973CB6" w:rsidRDefault="00447066" w:rsidP="00447066">
            <w:pPr>
              <w:rPr>
                <w:rFonts w:ascii="Arial" w:hAnsi="Arial" w:cs="Arial"/>
                <w:b/>
                <w:bCs/>
                <w:sz w:val="20"/>
                <w:szCs w:val="20"/>
                <w:u w:val="single"/>
              </w:rPr>
            </w:pPr>
            <w:r w:rsidRPr="00973CB6">
              <w:rPr>
                <w:rFonts w:ascii="Arial" w:hAnsi="Arial" w:cs="Arial"/>
                <w:b/>
                <w:bCs/>
                <w:sz w:val="20"/>
                <w:szCs w:val="20"/>
                <w:u w:val="single"/>
              </w:rPr>
              <w:t>Key:</w:t>
            </w:r>
          </w:p>
          <w:p w14:paraId="5FF5FEC9" w14:textId="77777777" w:rsidR="00447066" w:rsidRPr="00447066" w:rsidRDefault="00447066" w:rsidP="00447066">
            <w:pPr>
              <w:rPr>
                <w:rFonts w:ascii="Arial" w:hAnsi="Arial" w:cs="Arial"/>
                <w:sz w:val="20"/>
                <w:szCs w:val="20"/>
              </w:rPr>
            </w:pPr>
            <w:r w:rsidRPr="00973CB6">
              <w:rPr>
                <w:rFonts w:ascii="Arial" w:hAnsi="Arial" w:cs="Arial"/>
                <w:b/>
                <w:bCs/>
                <w:sz w:val="20"/>
                <w:szCs w:val="20"/>
              </w:rPr>
              <w:t>Cost:</w:t>
            </w:r>
            <w:r w:rsidRPr="00447066">
              <w:rPr>
                <w:rFonts w:ascii="Arial" w:hAnsi="Arial" w:cs="Arial"/>
                <w:sz w:val="20"/>
                <w:szCs w:val="20"/>
              </w:rPr>
              <w:t xml:space="preserve"> 0 = no cost; $ = low cost (&lt;$25k), $$ = medium cost ($25-100k), $$$ = high cost (&gt;$100k) </w:t>
            </w:r>
          </w:p>
          <w:p w14:paraId="7B3C5961" w14:textId="3474638B" w:rsidR="00447066" w:rsidRPr="00447066" w:rsidRDefault="00447066" w:rsidP="00447066">
            <w:pPr>
              <w:rPr>
                <w:rFonts w:ascii="Arial" w:hAnsi="Arial" w:cs="Arial"/>
                <w:sz w:val="20"/>
                <w:szCs w:val="20"/>
              </w:rPr>
            </w:pPr>
            <w:r w:rsidRPr="00973CB6">
              <w:rPr>
                <w:rFonts w:ascii="Arial" w:hAnsi="Arial" w:cs="Arial"/>
                <w:b/>
                <w:bCs/>
                <w:sz w:val="20"/>
                <w:szCs w:val="20"/>
              </w:rPr>
              <w:t>Implementation Timeframe:</w:t>
            </w:r>
            <w:r w:rsidRPr="00447066">
              <w:rPr>
                <w:rFonts w:ascii="Arial" w:hAnsi="Arial" w:cs="Arial"/>
                <w:sz w:val="20"/>
                <w:szCs w:val="20"/>
              </w:rPr>
              <w:t xml:space="preserve"> 1 = near-term (0-3 months); 2 = medium-term (4-12 months); 3 = long-term (</w:t>
            </w:r>
            <w:r w:rsidR="001A352A">
              <w:rPr>
                <w:rFonts w:ascii="Arial" w:hAnsi="Arial" w:cs="Arial"/>
                <w:sz w:val="20"/>
                <w:szCs w:val="20"/>
              </w:rPr>
              <w:t>&gt;</w:t>
            </w:r>
            <w:r w:rsidRPr="00447066">
              <w:rPr>
                <w:rFonts w:ascii="Arial" w:hAnsi="Arial" w:cs="Arial"/>
                <w:sz w:val="20"/>
                <w:szCs w:val="20"/>
              </w:rPr>
              <w:t>12 months)</w:t>
            </w:r>
          </w:p>
          <w:p w14:paraId="002FAD12" w14:textId="0B9B0051" w:rsidR="00447066" w:rsidRPr="00447066" w:rsidRDefault="00447066" w:rsidP="00447066">
            <w:pPr>
              <w:rPr>
                <w:sz w:val="20"/>
                <w:szCs w:val="22"/>
              </w:rPr>
            </w:pPr>
            <w:r w:rsidRPr="00973CB6">
              <w:rPr>
                <w:rFonts w:ascii="Arial" w:hAnsi="Arial" w:cs="Arial"/>
                <w:b/>
                <w:bCs/>
                <w:sz w:val="20"/>
                <w:szCs w:val="20"/>
              </w:rPr>
              <w:t>Ease of Implementation:</w:t>
            </w:r>
            <w:r w:rsidRPr="00447066">
              <w:rPr>
                <w:rFonts w:ascii="Arial" w:hAnsi="Arial" w:cs="Arial"/>
                <w:sz w:val="20"/>
                <w:szCs w:val="20"/>
              </w:rPr>
              <w:t xml:space="preserve"> 1= easier to implement; 3 = more difficult to implement</w:t>
            </w:r>
          </w:p>
        </w:tc>
      </w:tr>
    </w:tbl>
    <w:p w14:paraId="3552D2A7" w14:textId="6881B5FB" w:rsidR="00942B11" w:rsidRDefault="00942B11" w:rsidP="00D94B2F">
      <w:pPr>
        <w:pStyle w:val="Heading3"/>
      </w:pPr>
      <w:r w:rsidRPr="00B40F18">
        <w:t xml:space="preserve">Barriers and Challenges </w:t>
      </w:r>
    </w:p>
    <w:p w14:paraId="456816F3" w14:textId="2D4435CE" w:rsidR="00942B11" w:rsidRDefault="00942B11" w:rsidP="006D7DE6">
      <w:pPr>
        <w:pStyle w:val="BodyTextFirstIndent"/>
      </w:pPr>
      <w:r>
        <w:t>One of the most frequent concerns for school bus operators is the effect</w:t>
      </w:r>
      <w:r w:rsidR="00F969C9">
        <w:t xml:space="preserve"> that</w:t>
      </w:r>
      <w:r>
        <w:t xml:space="preserve"> </w:t>
      </w:r>
      <w:r w:rsidR="00D41414">
        <w:t xml:space="preserve">cold </w:t>
      </w:r>
      <w:r>
        <w:t xml:space="preserve">weather can have on vehicle performance. </w:t>
      </w:r>
      <w:r w:rsidR="00506EBD">
        <w:t>T</w:t>
      </w:r>
      <w:r w:rsidR="00FA612B">
        <w:t>his concern</w:t>
      </w:r>
      <w:r w:rsidR="00CF540E">
        <w:t xml:space="preserve"> is valid</w:t>
      </w:r>
      <w:r w:rsidR="00FA612B">
        <w:t xml:space="preserve"> as</w:t>
      </w:r>
      <w:r>
        <w:t xml:space="preserve"> the range of </w:t>
      </w:r>
      <w:r w:rsidR="00FA612B">
        <w:t xml:space="preserve">an </w:t>
      </w:r>
      <w:r>
        <w:t xml:space="preserve">electric school bus </w:t>
      </w:r>
      <w:r w:rsidR="00FA612B">
        <w:t xml:space="preserve">can </w:t>
      </w:r>
      <w:r>
        <w:t>decrease</w:t>
      </w:r>
      <w:r w:rsidR="00FA612B">
        <w:t xml:space="preserve"> in cold temperatures</w:t>
      </w:r>
      <w:r>
        <w:t xml:space="preserve"> </w:t>
      </w:r>
      <w:r w:rsidR="00B45C96">
        <w:t>as</w:t>
      </w:r>
      <w:r>
        <w:t xml:space="preserve"> the vehicle pulls energy from the battery to heat the cabin and the vehicle battery itself.</w:t>
      </w:r>
      <w:r>
        <w:fldChar w:fldCharType="begin"/>
      </w:r>
      <w:r w:rsidR="00801FB9">
        <w:instrText xml:space="preserve"> ADDIN ZOTERO_ITEM CSL_CITATION {"citationID":"I5j78ZOj","properties":{"formattedCitation":"\\super 75\\nosupersub{}","plainCitation":"75","noteIndex":0},"citationItems":[{"id":636,"uris":["http://zotero.org/groups/5563646/items/X6UG2M9D"],"itemData":{"id":636,"type":"webpage","abstract":"Electric school buses are proven to operate effectively in cold weather with some adjustments. Here’s what to know.","container-title":"Electric School Bus Initiative","language":"en","title":"All About Operating Electric School Buses in Cold Weather | Electric School Bus Initiative","URL":"https://electricschoolbusinitiative.org/all-about-operating-electric-school-buses-cold-weather","accessed":{"date-parts":[["2024",7,17]]},"issued":{"date-parts":[["2024",2,27]]}}}],"schema":"https://github.com/citation-style-language/schema/raw/master/csl-citation.json"} </w:instrText>
      </w:r>
      <w:r>
        <w:fldChar w:fldCharType="separate"/>
      </w:r>
      <w:r w:rsidR="00801FB9" w:rsidRPr="00801FB9">
        <w:rPr>
          <w:rFonts w:cs="Arial"/>
          <w:vertAlign w:val="superscript"/>
        </w:rPr>
        <w:t>75</w:t>
      </w:r>
      <w:r>
        <w:fldChar w:fldCharType="end"/>
      </w:r>
      <w:r>
        <w:t xml:space="preserve"> </w:t>
      </w:r>
      <w:r w:rsidR="00FC7C2D">
        <w:t>Districts</w:t>
      </w:r>
      <w:r>
        <w:t xml:space="preserve"> have reported a 10</w:t>
      </w:r>
      <w:r w:rsidR="00307850">
        <w:t>–</w:t>
      </w:r>
      <w:r>
        <w:t>15</w:t>
      </w:r>
      <w:r w:rsidR="0081636E">
        <w:t xml:space="preserve"> percent</w:t>
      </w:r>
      <w:r>
        <w:t xml:space="preserve"> decrease in battery capacity during winter months.</w:t>
      </w:r>
      <w:r>
        <w:fldChar w:fldCharType="begin"/>
      </w:r>
      <w:r w:rsidR="00801FB9">
        <w:instrText xml:space="preserve"> ADDIN ZOTERO_ITEM CSL_CITATION {"citationID":"ZmabT0K1","properties":{"formattedCitation":"\\super 75\\nosupersub{}","plainCitation":"75","noteIndex":0},"citationItems":[{"id":636,"uris":["http://zotero.org/groups/5563646/items/X6UG2M9D"],"itemData":{"id":636,"type":"webpage","abstract":"Electric school buses are proven to operate effectively in cold weather with some adjustments. Here’s what to know.","container-title":"Electric School Bus Initiative","language":"en","title":"All About Operating Electric School Buses in Cold Weather | Electric School Bus Initiative","URL":"https://electricschoolbusinitiative.org/all-about-operating-electric-school-buses-cold-weather","accessed":{"date-parts":[["2024",7,17]]},"issued":{"date-parts":[["2024",2,27]]}}}],"schema":"https://github.com/citation-style-language/schema/raw/master/csl-citation.json"} </w:instrText>
      </w:r>
      <w:r>
        <w:fldChar w:fldCharType="separate"/>
      </w:r>
      <w:r w:rsidR="00801FB9" w:rsidRPr="00801FB9">
        <w:rPr>
          <w:rFonts w:cs="Arial"/>
          <w:vertAlign w:val="superscript"/>
        </w:rPr>
        <w:t>75</w:t>
      </w:r>
      <w:r>
        <w:fldChar w:fldCharType="end"/>
      </w:r>
      <w:r>
        <w:t xml:space="preserve"> Studies of electric transit buses have reported a 33</w:t>
      </w:r>
      <w:r w:rsidR="0081636E">
        <w:t xml:space="preserve"> </w:t>
      </w:r>
      <w:r w:rsidR="003A2C73">
        <w:t>percent</w:t>
      </w:r>
      <w:r>
        <w:t xml:space="preserve"> decrease in range when temperatures dropped below 25</w:t>
      </w:r>
      <w:r w:rsidR="00AF7F0C">
        <w:rPr>
          <w:rFonts w:ascii="Roboto" w:hAnsi="Roboto"/>
          <w:color w:val="001D35"/>
          <w:sz w:val="27"/>
          <w:szCs w:val="27"/>
          <w:shd w:val="clear" w:color="auto" w:fill="FFFFFF"/>
        </w:rPr>
        <w:t xml:space="preserve">° </w:t>
      </w:r>
      <w:r>
        <w:t>Fahrenheit</w:t>
      </w:r>
      <w:r w:rsidR="00307850">
        <w:t xml:space="preserve"> (F)</w:t>
      </w:r>
      <w:r>
        <w:t>.</w:t>
      </w:r>
      <w:r>
        <w:fldChar w:fldCharType="begin"/>
      </w:r>
      <w:r w:rsidR="00801FB9">
        <w:instrText xml:space="preserve"> ADDIN ZOTERO_ITEM CSL_CITATION {"citationID":"wuNlKMam","properties":{"formattedCitation":"\\super 76\\nosupersub{}","plainCitation":"76","noteIndex":0},"citationItems":[{"id":610,"uris":["http://zotero.org/groups/5563646/items/RB6BFN8Q"],"itemData":{"id":610,"type":"webpage","container-title":"Joint Office of Energy and Transportation","language":"en","title":"Cold Weather Impacts on Electric School Buses"}}],"schema":"https://github.com/citation-style-language/schema/raw/master/csl-citation.json"} </w:instrText>
      </w:r>
      <w:r>
        <w:fldChar w:fldCharType="separate"/>
      </w:r>
      <w:r w:rsidR="00801FB9" w:rsidRPr="00801FB9">
        <w:rPr>
          <w:rFonts w:cs="Arial"/>
          <w:vertAlign w:val="superscript"/>
        </w:rPr>
        <w:t>76</w:t>
      </w:r>
      <w:r>
        <w:fldChar w:fldCharType="end"/>
      </w:r>
      <w:r>
        <w:t xml:space="preserve"> Despite this, </w:t>
      </w:r>
      <w:r w:rsidR="00AF7F0C">
        <w:t xml:space="preserve">ESBs are present in cold weather </w:t>
      </w:r>
      <w:r w:rsidR="00B756EA">
        <w:t>climates</w:t>
      </w:r>
      <w:r w:rsidR="006D2AF7">
        <w:t xml:space="preserve">. In fact, </w:t>
      </w:r>
      <w:r>
        <w:t xml:space="preserve">49 states have electric school buses </w:t>
      </w:r>
      <w:r w:rsidR="00307850">
        <w:t xml:space="preserve">either </w:t>
      </w:r>
      <w:r>
        <w:t>operating or committed.</w:t>
      </w:r>
      <w:r>
        <w:fldChar w:fldCharType="begin"/>
      </w:r>
      <w:r w:rsidR="00801FB9">
        <w:instrText xml:space="preserve"> ADDIN ZOTERO_ITEM CSL_CITATION {"citationID":"BJPyRrIw","properties":{"formattedCitation":"\\super 68\\nosupersub{}","plainCitation":"68","noteIndex":0},"citationItems":[{"id":642,"uris":["http://zotero.org/groups/5563646/items/TYXA4Y35"],"itemData":{"id":642,"type":"article-journal","abstract":"School districts across the United States are making the switch to electric school buses. We're keeping track.","language":"en","source":"www.wri.org","title":"The State of Electric School Bus Adoption in the US","URL":"https://www.wri.org/insights/where-electric-school-buses-us","author":[{"family":"Freehafer","given":"Lydia"},{"family":"Lazer","given":"Leah"},{"family":"Zepka","given":"Brian"}],"accessed":{"date-parts":[["2024",7,17]]},"issued":{"date-parts":[["2024",7,1]]}}}],"schema":"https://github.com/citation-style-language/schema/raw/master/csl-citation.json"} </w:instrText>
      </w:r>
      <w:r>
        <w:fldChar w:fldCharType="separate"/>
      </w:r>
      <w:r w:rsidR="00801FB9" w:rsidRPr="00801FB9">
        <w:rPr>
          <w:rFonts w:cs="Arial"/>
          <w:vertAlign w:val="superscript"/>
        </w:rPr>
        <w:t>68</w:t>
      </w:r>
      <w:r>
        <w:fldChar w:fldCharType="end"/>
      </w:r>
      <w:r>
        <w:t xml:space="preserve"> There are even electric school buses as far north as Alaska</w:t>
      </w:r>
      <w:r w:rsidR="00D437B8">
        <w:t>,</w:t>
      </w:r>
      <w:r>
        <w:t xml:space="preserve"> where Tok Transportation has been successfully operating an ESB in temperatures as low as -40</w:t>
      </w:r>
      <w:r w:rsidR="00C131F1">
        <w:rPr>
          <w:rFonts w:ascii="Roboto" w:hAnsi="Roboto"/>
          <w:color w:val="001D35"/>
          <w:sz w:val="27"/>
          <w:szCs w:val="27"/>
          <w:shd w:val="clear" w:color="auto" w:fill="FFFFFF"/>
        </w:rPr>
        <w:t xml:space="preserve">° </w:t>
      </w:r>
      <w:r w:rsidR="00307850">
        <w:t xml:space="preserve">F </w:t>
      </w:r>
      <w:r>
        <w:t>since 2019.</w:t>
      </w:r>
      <w:r>
        <w:fldChar w:fldCharType="begin"/>
      </w:r>
      <w:r w:rsidR="00801FB9">
        <w:instrText xml:space="preserve"> ADDIN ZOTERO_ITEM CSL_CITATION {"citationID":"3uSSf76U","properties":{"formattedCitation":"\\super 77\\nosupersub{}","plainCitation":"77","noteIndex":0},"citationItems":[{"id":635,"uris":["http://zotero.org/groups/5563646/items/BH6YJMQI"],"itemData":{"id":635,"type":"post-weblog","abstract":"\"It has not missed a single day of school,” says Tok Transportation co-owner Gerald Blackard.","container-title":"Alaska Public Media","language":"en-US","title":"Alaska's first electric-powered school bus is performing well – even at 40 below","URL":"https://alaskapublic.org/2021/11/16/alaskas-first-electric-powered-school-bus-is-performing-well-even-at-40-below/","author":[{"family":"Ellis","given":"Tim"}],"accessed":{"date-parts":[["2024",7,17]]},"issued":{"date-parts":[["2021",11,16]]}}}],"schema":"https://github.com/citation-style-language/schema/raw/master/csl-citation.json"} </w:instrText>
      </w:r>
      <w:r>
        <w:fldChar w:fldCharType="separate"/>
      </w:r>
      <w:r w:rsidR="00801FB9" w:rsidRPr="00801FB9">
        <w:rPr>
          <w:rFonts w:cs="Arial"/>
          <w:vertAlign w:val="superscript"/>
        </w:rPr>
        <w:t>77</w:t>
      </w:r>
      <w:r>
        <w:fldChar w:fldCharType="end"/>
      </w:r>
      <w:r>
        <w:t xml:space="preserve"> Some districts have gone as far</w:t>
      </w:r>
      <w:r w:rsidR="004F17A6">
        <w:t xml:space="preserve"> as</w:t>
      </w:r>
      <w:r>
        <w:t xml:space="preserve"> to say that they prefer their ESBs in the winter </w:t>
      </w:r>
      <w:r w:rsidR="00997189">
        <w:t xml:space="preserve">since </w:t>
      </w:r>
      <w:r>
        <w:t xml:space="preserve">they start more </w:t>
      </w:r>
      <w:r w:rsidR="00307850">
        <w:t>reliab</w:t>
      </w:r>
      <w:r w:rsidR="00460586">
        <w:t>l</w:t>
      </w:r>
      <w:r w:rsidR="00307850">
        <w:t xml:space="preserve">y </w:t>
      </w:r>
      <w:r>
        <w:t>and their comparatively heavier weight makes the vehicles more stable on icy roads.</w:t>
      </w:r>
      <w:r>
        <w:fldChar w:fldCharType="begin"/>
      </w:r>
      <w:r w:rsidR="00801FB9">
        <w:instrText xml:space="preserve"> ADDIN ZOTERO_ITEM CSL_CITATION {"citationID":"MCYKnPVK","properties":{"formattedCitation":"\\super 78\\nosupersub{}","plainCitation":"78","noteIndex":0},"citationItems":[{"id":633,"uris":["http://zotero.org/groups/5563646/items/YC4CPK3H"],"itemData":{"id":633,"type":"webpage","abstract":"Electric school buses are successfully operating in all manner of weather and climates – such as Three Rivers, Michigan.","language":"en","title":"The Electric School Bus Series: Successfully Operating in Cold Weather in Three Rivers, Michigan | Electric School Bus Initiative","title-short":"The Electric School Bus Series","URL":"https://electricschoolbusinitiative.org/electric-school-bus-series-successfully-operating-cold-weather-three-rivers-michigan-0","author":[{"family":"Dumont","given":"Alex"},{"family":"Burgoyne-Allen","given":"Phillip"}],"accessed":{"date-parts":[["2024",7,17]]},"issued":{"date-parts":[["2023",8,25]]}}}],"schema":"https://github.com/citation-style-language/schema/raw/master/csl-citation.json"} </w:instrText>
      </w:r>
      <w:r>
        <w:fldChar w:fldCharType="separate"/>
      </w:r>
      <w:r w:rsidR="00801FB9" w:rsidRPr="00801FB9">
        <w:rPr>
          <w:rFonts w:cs="Arial"/>
          <w:vertAlign w:val="superscript"/>
        </w:rPr>
        <w:t>78</w:t>
      </w:r>
      <w:r>
        <w:fldChar w:fldCharType="end"/>
      </w:r>
      <w:r>
        <w:t xml:space="preserve"> To combat </w:t>
      </w:r>
      <w:r w:rsidR="00D437B8">
        <w:t xml:space="preserve">the decrease in the </w:t>
      </w:r>
      <w:r>
        <w:t>cold weather range, districts have installed auxiliary diesel heaters to warm the vehicle cabin</w:t>
      </w:r>
      <w:r w:rsidR="00D437B8">
        <w:t>s</w:t>
      </w:r>
      <w:r>
        <w:t xml:space="preserve">. Other districts have found preconditioning, a process where the vehicle is warmed while still connected to the charger, a successful strategy to avoid losing battery capacity to cold weather. </w:t>
      </w:r>
    </w:p>
    <w:p w14:paraId="454550A7" w14:textId="3A6543FC" w:rsidR="00942B11" w:rsidRDefault="00942B11" w:rsidP="006D7DE6">
      <w:pPr>
        <w:pStyle w:val="BodyTextFirstIndent"/>
      </w:pPr>
      <w:r>
        <w:lastRenderedPageBreak/>
        <w:t xml:space="preserve">Extreme heat can also affect </w:t>
      </w:r>
      <w:r w:rsidR="00307850">
        <w:t xml:space="preserve">the </w:t>
      </w:r>
      <w:r>
        <w:t>ESB battery range to a lesser extent. A study of electric transit buses determined that energy used by the vehicle</w:t>
      </w:r>
      <w:r w:rsidR="00B55EDD">
        <w:t>’</w:t>
      </w:r>
      <w:r>
        <w:t>s HVAC and ventilation reduce</w:t>
      </w:r>
      <w:r w:rsidR="00133DF8">
        <w:t>d</w:t>
      </w:r>
      <w:r>
        <w:t xml:space="preserve"> the vehicle</w:t>
      </w:r>
      <w:r w:rsidR="00DE4BCE">
        <w:t>’</w:t>
      </w:r>
      <w:r>
        <w:t>s range.</w:t>
      </w:r>
      <w:r>
        <w:fldChar w:fldCharType="begin"/>
      </w:r>
      <w:r w:rsidR="00801FB9">
        <w:instrText xml:space="preserve"> ADDIN ZOTERO_ITEM CSL_CITATION {"citationID":"Fpw114oJ","properties":{"formattedCitation":"\\super 79\\nosupersub{}","plainCitation":"79","noteIndex":0},"citationItems":[{"id":609,"uris":["http://zotero.org/groups/5563646/items/GPIK69S7"],"itemData":{"id":609,"type":"webpage","container-title":"Joint Office of Energy and Transportation","language":"en","title":"Hot Weather Impacts on Battery-Electric Transit Buses"}}],"schema":"https://github.com/citation-style-language/schema/raw/master/csl-citation.json"} </w:instrText>
      </w:r>
      <w:r>
        <w:fldChar w:fldCharType="separate"/>
      </w:r>
      <w:r w:rsidR="00801FB9" w:rsidRPr="00801FB9">
        <w:rPr>
          <w:rFonts w:cs="Arial"/>
          <w:vertAlign w:val="superscript"/>
        </w:rPr>
        <w:t>79</w:t>
      </w:r>
      <w:r>
        <w:fldChar w:fldCharType="end"/>
      </w:r>
      <w:r>
        <w:t xml:space="preserve"> While there isn’t available data to quantify this loss for buses specifically, studies that have analyzed EVs generally found that when temperatures climb above 95</w:t>
      </w:r>
      <w:r w:rsidR="00D14B50">
        <w:rPr>
          <w:rFonts w:ascii="Roboto" w:hAnsi="Roboto"/>
          <w:color w:val="001D35"/>
          <w:sz w:val="27"/>
          <w:szCs w:val="27"/>
          <w:shd w:val="clear" w:color="auto" w:fill="FFFFFF"/>
        </w:rPr>
        <w:t xml:space="preserve">° </w:t>
      </w:r>
      <w:r>
        <w:t xml:space="preserve">Fahrenheit, </w:t>
      </w:r>
      <w:r w:rsidR="00702DA8">
        <w:t xml:space="preserve">the </w:t>
      </w:r>
      <w:r>
        <w:t>range decreases by around 4</w:t>
      </w:r>
      <w:r w:rsidR="0081636E">
        <w:t xml:space="preserve"> percent</w:t>
      </w:r>
      <w:r>
        <w:t>.</w:t>
      </w:r>
      <w:r>
        <w:fldChar w:fldCharType="begin"/>
      </w:r>
      <w:r w:rsidR="00801FB9">
        <w:instrText xml:space="preserve"> ADDIN ZOTERO_ITEM CSL_CITATION {"citationID":"rOKRfezJ","properties":{"formattedCitation":"\\super 80\\nosupersub{}","plainCitation":"80","noteIndex":0},"citationItems":[{"id":634,"uris":["http://zotero.org/groups/5563646/items/82ZFKVSL"],"itemData":{"id":634,"type":"webpage","container-title":"CNBC","title":"AAA confirms what Tesla, BMW, Nissan EV owners suspected of cold weather","URL":"https://www.cnbc.com/2019/02/06/aaa-confirms-what-tesla-bmw-nissan-ev-owners-suspected-of-cold-weather.html","author":[{"family":"Eisenstein","given":"Paul"}],"accessed":{"date-parts":[["2024",7,17]]},"issued":{"date-parts":[["2019",2,7]]}}}],"schema":"https://github.com/citation-style-language/schema/raw/master/csl-citation.json"} </w:instrText>
      </w:r>
      <w:r>
        <w:fldChar w:fldCharType="separate"/>
      </w:r>
      <w:r w:rsidR="00801FB9" w:rsidRPr="00801FB9">
        <w:rPr>
          <w:rFonts w:cs="Arial"/>
          <w:vertAlign w:val="superscript"/>
        </w:rPr>
        <w:t>80</w:t>
      </w:r>
      <w:r>
        <w:fldChar w:fldCharType="end"/>
      </w:r>
      <w:r>
        <w:t xml:space="preserve">  Similar strategies can be used to limit </w:t>
      </w:r>
      <w:r w:rsidR="00961185">
        <w:t xml:space="preserve">the effect of </w:t>
      </w:r>
      <w:r>
        <w:t xml:space="preserve">heat on </w:t>
      </w:r>
      <w:r w:rsidR="00997189">
        <w:t xml:space="preserve">the </w:t>
      </w:r>
      <w:r>
        <w:t>ESB range</w:t>
      </w:r>
      <w:r w:rsidR="00997189">
        <w:t>,</w:t>
      </w:r>
      <w:r>
        <w:t xml:space="preserve"> such as preconditioning. Furthermore, some fleets find storing their vehicles and chargers in shaded or covered areas helpful in reducing range loss. </w:t>
      </w:r>
    </w:p>
    <w:p w14:paraId="1C9413E8" w14:textId="5E8F74D1" w:rsidR="00BC416D" w:rsidRDefault="002D20CE" w:rsidP="006D7DE6">
      <w:pPr>
        <w:pStyle w:val="BodyTextFirstIndent"/>
      </w:pPr>
      <w:r>
        <w:t xml:space="preserve">Some districts are hesitant to pursue ESBs due to range anxiety. </w:t>
      </w:r>
      <w:r w:rsidR="00F62967">
        <w:t xml:space="preserve">Fears of electric buses losing power </w:t>
      </w:r>
      <w:r w:rsidR="001D7E7D">
        <w:t xml:space="preserve">and needing to be towed while on routes </w:t>
      </w:r>
      <w:r w:rsidR="0012390C">
        <w:t xml:space="preserve">have slowed the adoption of the technology. However, </w:t>
      </w:r>
      <w:r w:rsidR="00F427F6">
        <w:t>with careful planning</w:t>
      </w:r>
      <w:r w:rsidR="00997189">
        <w:t>,</w:t>
      </w:r>
      <w:r w:rsidR="00F427F6">
        <w:t xml:space="preserve"> these scenarios can be </w:t>
      </w:r>
      <w:r w:rsidR="005408FF">
        <w:t xml:space="preserve">avoided. </w:t>
      </w:r>
      <w:r w:rsidR="00F11CB3">
        <w:t xml:space="preserve">All </w:t>
      </w:r>
      <w:r w:rsidR="00C4356D">
        <w:t>ESB</w:t>
      </w:r>
      <w:r w:rsidR="00F11CB3">
        <w:t xml:space="preserve"> models on the market can travel at least 100 miles on a single charge</w:t>
      </w:r>
      <w:r w:rsidR="00997189">
        <w:t>,</w:t>
      </w:r>
      <w:r w:rsidR="00F11CB3">
        <w:t xml:space="preserve"> and some models can </w:t>
      </w:r>
      <w:r w:rsidR="006A6404">
        <w:t>travel 210 miles or more</w:t>
      </w:r>
      <w:r w:rsidR="00553D26">
        <w:t>.</w:t>
      </w:r>
      <w:r w:rsidR="00BA5611">
        <w:fldChar w:fldCharType="begin"/>
      </w:r>
      <w:r w:rsidR="00801FB9">
        <w:instrText xml:space="preserve"> ADDIN ZOTERO_ITEM CSL_CITATION {"citationID":"a80jm3i5c","properties":{"formattedCitation":"\\super 66\\nosupersub{}","plainCitation":"66","noteIndex":0},"citationItems":[{"id":644,"uris":["http://zotero.org/groups/5563646/items/BDQ33D4T"],"itemData":{"id":644,"type":"webpage","abstract":"Electric school buses are reliable and ready now to meet your district’s needs.","container-title":"Electric School Bus Initiative","language":"en","title":"All About Range and Reliability | Electric School Bus Initiative","URL":"https://electricschoolbusinitiative.org/all-about-range-and-reliability","accessed":{"date-parts":[["2024",7,17]]}}}],"schema":"https://github.com/citation-style-language/schema/raw/master/csl-citation.json"} </w:instrText>
      </w:r>
      <w:r w:rsidR="00BA5611">
        <w:fldChar w:fldCharType="separate"/>
      </w:r>
      <w:r w:rsidR="00801FB9" w:rsidRPr="00801FB9">
        <w:rPr>
          <w:rFonts w:cs="Arial"/>
          <w:vertAlign w:val="superscript"/>
        </w:rPr>
        <w:t>66</w:t>
      </w:r>
      <w:r w:rsidR="00BA5611">
        <w:fldChar w:fldCharType="end"/>
      </w:r>
      <w:r w:rsidR="00D160E5">
        <w:t xml:space="preserve"> Districts that place ESBs on routes </w:t>
      </w:r>
      <w:r w:rsidR="00F97BE0">
        <w:t xml:space="preserve">within their actual range </w:t>
      </w:r>
      <w:r w:rsidR="00D160E5">
        <w:t xml:space="preserve">or account for range loss by utilizing mid-day charging have found </w:t>
      </w:r>
      <w:r w:rsidR="00F97BE0">
        <w:t>electric school buses to be a reliable alternative to ICE buses.</w:t>
      </w:r>
      <w:r w:rsidR="002514BA">
        <w:fldChar w:fldCharType="begin"/>
      </w:r>
      <w:r w:rsidR="00801FB9">
        <w:instrText xml:space="preserve"> ADDIN ZOTERO_ITEM CSL_CITATION {"citationID":"aq1jhuffdg","properties":{"formattedCitation":"\\super 66\\nosupersub{}","plainCitation":"66","noteIndex":0},"citationItems":[{"id":644,"uris":["http://zotero.org/groups/5563646/items/BDQ33D4T"],"itemData":{"id":644,"type":"webpage","abstract":"Electric school buses are reliable and ready now to meet your district’s needs.","container-title":"Electric School Bus Initiative","language":"en","title":"All About Range and Reliability | Electric School Bus Initiative","URL":"https://electricschoolbusinitiative.org/all-about-range-and-reliability","accessed":{"date-parts":[["2024",7,17]]}}}],"schema":"https://github.com/citation-style-language/schema/raw/master/csl-citation.json"} </w:instrText>
      </w:r>
      <w:r w:rsidR="002514BA">
        <w:fldChar w:fldCharType="separate"/>
      </w:r>
      <w:r w:rsidR="00801FB9" w:rsidRPr="00801FB9">
        <w:rPr>
          <w:rFonts w:cs="Arial"/>
          <w:vertAlign w:val="superscript"/>
        </w:rPr>
        <w:t>66</w:t>
      </w:r>
      <w:r w:rsidR="002514BA">
        <w:fldChar w:fldCharType="end"/>
      </w:r>
      <w:r w:rsidR="00F97BE0">
        <w:t xml:space="preserve"> </w:t>
      </w:r>
      <w:r w:rsidR="00F62967">
        <w:t xml:space="preserve"> </w:t>
      </w:r>
    </w:p>
    <w:p w14:paraId="254B9FDA" w14:textId="7947B844" w:rsidR="00281F46" w:rsidRDefault="00942B11" w:rsidP="006D7DE6">
      <w:pPr>
        <w:pStyle w:val="BodyTextFirstIndent"/>
      </w:pPr>
      <w:r>
        <w:t xml:space="preserve">The costs associated with ESBs </w:t>
      </w:r>
      <w:r w:rsidR="00CF14C0">
        <w:t>are</w:t>
      </w:r>
      <w:r>
        <w:t xml:space="preserve"> a common deterrent to the technology. The initial purchase price of an electric school bus can be about </w:t>
      </w:r>
      <w:r w:rsidR="00997189">
        <w:t xml:space="preserve">three </w:t>
      </w:r>
      <w:r>
        <w:t>times more expensive</w:t>
      </w:r>
      <w:r w:rsidR="00937D80">
        <w:t xml:space="preserve"> than an ICE bus</w:t>
      </w:r>
      <w:r w:rsidR="00997189">
        <w:t>,</w:t>
      </w:r>
      <w:r>
        <w:t xml:space="preserve"> with some models going for </w:t>
      </w:r>
      <w:r w:rsidR="00937D80">
        <w:t>as much as</w:t>
      </w:r>
      <w:r>
        <w:t xml:space="preserve"> $400,000.</w:t>
      </w:r>
      <w:r>
        <w:fldChar w:fldCharType="begin"/>
      </w:r>
      <w:r w:rsidR="00801FB9">
        <w:instrText xml:space="preserve"> ADDIN ZOTERO_ITEM CSL_CITATION {"citationID":"Nxsxg6OC","properties":{"formattedCitation":"\\super 81\\nosupersub{}","plainCitation":"81","noteIndex":0},"citationItems":[{"id":632,"uris":["http://zotero.org/groups/5563646/items/N5GK9KSL"],"itemData":{"id":632,"type":"webpage","abstract":"Twenty-eight Michigan school districts received a combined $24 million in federal rebates to purchase electric buses. It’s the latest in a series of federal awards to eliminate aging diesel buses.","container-title":"Bridge Michigan","language":"en","title":"Michigan schools receive $24 million to buy electric buses","URL":"https://www.bridgemi.com/michigan-environment-watch/michigan-schools-receive-24-million-buy-electric-buses","author":[{"family":"Nelson","given":"Gabrielle"}],"accessed":{"date-parts":[["2024",7,17]]},"issued":{"date-parts":[["2024",4,30]]}}}],"schema":"https://github.com/citation-style-language/schema/raw/master/csl-citation.json"} </w:instrText>
      </w:r>
      <w:r>
        <w:fldChar w:fldCharType="separate"/>
      </w:r>
      <w:r w:rsidR="00801FB9" w:rsidRPr="00801FB9">
        <w:rPr>
          <w:rFonts w:cs="Arial"/>
          <w:vertAlign w:val="superscript"/>
        </w:rPr>
        <w:t>81</w:t>
      </w:r>
      <w:r>
        <w:fldChar w:fldCharType="end"/>
      </w:r>
      <w:r>
        <w:t xml:space="preserve"> In addition, fleets that are just beginning their electrification journey can expect $10,000 to $30,000 in infrastructure expenses per bus.</w:t>
      </w:r>
      <w:r>
        <w:fldChar w:fldCharType="begin"/>
      </w:r>
      <w:r w:rsidR="00801FB9">
        <w:instrText xml:space="preserve"> ADDIN ZOTERO_ITEM CSL_CITATION {"citationID":"1ErzKc9X","properties":{"formattedCitation":"\\super 82\\nosupersub{}","plainCitation":"82","noteIndex":0},"citationItems":[{"id":631,"uris":["http://zotero.org/groups/5563646/items/E2T6UIUS"],"itemData":{"id":631,"type":"webpage","abstract":"First Student shares its findings on the cost effectiveness of electric buses for your district and its needs.","container-title":"First Student, Inc.","language":"en-US","title":"Total Cost of Ownership: Determining if Electric Buses are Right for Your District","title-short":"Total Cost of Ownership","URL":"https://firststudentinc.com/resources/electric/total-cost-of-ownership-determining-if-electric-buses-are-right-for-your-district/","author":[{"family":"Matthews","given":"Kevin"}],"accessed":{"date-parts":[["2024",7,17]]},"issued":{"date-parts":[["2021",3,6]]}}}],"schema":"https://github.com/citation-style-language/schema/raw/master/csl-citation.json"} </w:instrText>
      </w:r>
      <w:r>
        <w:fldChar w:fldCharType="separate"/>
      </w:r>
      <w:r w:rsidR="00801FB9" w:rsidRPr="00801FB9">
        <w:rPr>
          <w:rFonts w:cs="Arial"/>
          <w:vertAlign w:val="superscript"/>
        </w:rPr>
        <w:t>82</w:t>
      </w:r>
      <w:r>
        <w:fldChar w:fldCharType="end"/>
      </w:r>
      <w:r>
        <w:t xml:space="preserve"> While initial costs may be higher for an electric vehicle, ESB owners can expect to save $100,000 in lifetime fuel and maintenance costs.</w:t>
      </w:r>
      <w:r>
        <w:fldChar w:fldCharType="begin"/>
      </w:r>
      <w:r w:rsidR="00801FB9">
        <w:instrText xml:space="preserve"> ADDIN ZOTERO_ITEM CSL_CITATION {"citationID":"cNHugWpl","properties":{"formattedCitation":"\\super 63\\nosupersub{}","plainCitation":"63","noteIndex":0},"citationItems":[{"id":645,"uris":["http://zotero.org/groups/5563646/items/IAZPFD83"],"itemData":{"id":645,"type":"webpage","abstract":"With lower fuel expenses, reduced maintenance costs and record funding available to offset purchase costs, the total cost of owning an electric school bus can be hundreds of thousands of dollars less than for a diesel-burning school bus.","container-title":"Electric School Bus Initiative","language":"en","title":"All About Total Cost of Ownership (TCO) for Electric School Buses | Electric School Bus Initiative","URL":"https://electricschoolbusinitiative.org/all-about-total-cost-ownership-tco-electric-school-buses","author":[{"family":"Curran","given":"Alyssa"}],"accessed":{"date-parts":[["2024",7,17]]},"issued":{"date-parts":[["2023",4,17]]}}}],"schema":"https://github.com/citation-style-language/schema/raw/master/csl-citation.json"} </w:instrText>
      </w:r>
      <w:r>
        <w:fldChar w:fldCharType="separate"/>
      </w:r>
      <w:r w:rsidR="00801FB9" w:rsidRPr="00801FB9">
        <w:rPr>
          <w:rFonts w:cs="Arial"/>
          <w:vertAlign w:val="superscript"/>
        </w:rPr>
        <w:t>63</w:t>
      </w:r>
      <w:r>
        <w:fldChar w:fldCharType="end"/>
      </w:r>
      <w:r>
        <w:t xml:space="preserve"> Additionally, numerous tax credits and funding programs are offered by federal, state, and local governments</w:t>
      </w:r>
      <w:r w:rsidR="00997189">
        <w:t>,</w:t>
      </w:r>
      <w:r>
        <w:t xml:space="preserve"> as well as electrical utilities. On average, this leads to ESBs having a lower total cost of ownership than ICE buses.</w:t>
      </w:r>
      <w:r>
        <w:fldChar w:fldCharType="begin"/>
      </w:r>
      <w:r w:rsidR="00801FB9">
        <w:instrText xml:space="preserve"> ADDIN ZOTERO_ITEM CSL_CITATION {"citationID":"LP9bSnhx","properties":{"formattedCitation":"\\super 63\\nosupersub{}","plainCitation":"63","noteIndex":0},"citationItems":[{"id":645,"uris":["http://zotero.org/groups/5563646/items/IAZPFD83"],"itemData":{"id":645,"type":"webpage","abstract":"With lower fuel expenses, reduced maintenance costs and record funding available to offset purchase costs, the total cost of owning an electric school bus can be hundreds of thousands of dollars less than for a diesel-burning school bus.","container-title":"Electric School Bus Initiative","language":"en","title":"All About Total Cost of Ownership (TCO) for Electric School Buses | Electric School Bus Initiative","URL":"https://electricschoolbusinitiative.org/all-about-total-cost-ownership-tco-electric-school-buses","author":[{"family":"Curran","given":"Alyssa"}],"accessed":{"date-parts":[["2024",7,17]]},"issued":{"date-parts":[["2023",4,17]]}}}],"schema":"https://github.com/citation-style-language/schema/raw/master/csl-citation.json"} </w:instrText>
      </w:r>
      <w:r>
        <w:fldChar w:fldCharType="separate"/>
      </w:r>
      <w:r w:rsidR="00801FB9" w:rsidRPr="00801FB9">
        <w:rPr>
          <w:rFonts w:cs="Arial"/>
          <w:vertAlign w:val="superscript"/>
        </w:rPr>
        <w:t>63</w:t>
      </w:r>
      <w:r>
        <w:fldChar w:fldCharType="end"/>
      </w:r>
    </w:p>
    <w:p w14:paraId="54362A65" w14:textId="775A5437" w:rsidR="00227930" w:rsidRDefault="00227930" w:rsidP="001C7888">
      <w:pPr>
        <w:pStyle w:val="Heading2"/>
      </w:pPr>
      <w:bookmarkStart w:id="123" w:name="Objective_1e"/>
      <w:bookmarkStart w:id="124" w:name="_Toc193116898"/>
      <w:bookmarkEnd w:id="123"/>
      <w:r>
        <w:t>Objective 1</w:t>
      </w:r>
      <w:r w:rsidR="005510ED">
        <w:t>e</w:t>
      </w:r>
      <w:r>
        <w:t>. Provide Electric Vehicle Charging Stations for School Staff and Public Use</w:t>
      </w:r>
      <w:bookmarkEnd w:id="117"/>
      <w:bookmarkEnd w:id="118"/>
      <w:bookmarkEnd w:id="124"/>
    </w:p>
    <w:p w14:paraId="0A2B8698" w14:textId="77777777" w:rsidR="002D35FB" w:rsidRDefault="002D35FB" w:rsidP="002D35FB">
      <w:pPr>
        <w:pStyle w:val="Heading3"/>
      </w:pPr>
      <w:bookmarkStart w:id="125" w:name="_Toc171518367"/>
      <w:bookmarkStart w:id="126" w:name="_Toc171519320"/>
      <w:r>
        <w:t>Background</w:t>
      </w:r>
      <w:r w:rsidRPr="0029407F">
        <w:t xml:space="preserve"> </w:t>
      </w:r>
    </w:p>
    <w:p w14:paraId="42D721E0" w14:textId="42CB58F4" w:rsidR="002D35FB" w:rsidRDefault="002D35FB" w:rsidP="006D7DE6">
      <w:pPr>
        <w:pStyle w:val="BodyTextFirstIndent"/>
      </w:pPr>
      <w:r>
        <w:t>The federal government has provided record funding for electric vehicle</w:t>
      </w:r>
      <w:r w:rsidR="000D117B">
        <w:t xml:space="preserve"> (EV)</w:t>
      </w:r>
      <w:r>
        <w:t xml:space="preserve"> projects </w:t>
      </w:r>
      <w:r w:rsidR="004D0126">
        <w:t>in</w:t>
      </w:r>
      <w:r>
        <w:t xml:space="preserve"> recent years. The </w:t>
      </w:r>
      <w:r w:rsidRPr="001F74D0">
        <w:t>Bipartisan Infrastructure Law</w:t>
      </w:r>
      <w:r>
        <w:t xml:space="preserve"> (2021) and the Inflation Reduction Act (2022) offer a combined </w:t>
      </w:r>
      <w:r w:rsidRPr="0083661A">
        <w:t>$100 billion</w:t>
      </w:r>
      <w:r>
        <w:t xml:space="preserve"> in EV project</w:t>
      </w:r>
      <w:r w:rsidR="0084065B">
        <w:t>-</w:t>
      </w:r>
      <w:r>
        <w:t>eligible funding.</w:t>
      </w:r>
      <w:r>
        <w:fldChar w:fldCharType="begin"/>
      </w:r>
      <w:r w:rsidR="00801FB9">
        <w:instrText xml:space="preserve"> ADDIN ZOTERO_ITEM CSL_CITATION {"citationID":"T3R4S8Tm","properties":{"formattedCitation":"\\super 83\\nosupersub{}","plainCitation":"83","noteIndex":0},"citationItems":[{"id":630,"uris":["http://zotero.org/groups/5563646/items/92CA6R8P"],"itemData":{"id":630,"type":"post-weblog","abstract":"Correction: An earlier version of this data story stated that there is $150 billion in IIJA and IRA eligible for EVs. While this figure is accurate if loan programs and tax credits are included, the number has been revised to exclude loan programs and tax credits, providing a more appropriate comparison with the funding tracked","container-title":"Atlas EV Hub","language":"en-US","title":"EV eligible funding in IIJA and IRA represents nearly 30 times the total EV funding awarded by U.S. government to date","URL":"https://www.atlasevhub.com/data_story/3-billion-in-federal-funding-for-evs-to-date/","author":[{"family":"Burget","given":"Spencer"}],"accessed":{"date-parts":[["2024",7,17]]},"issued":{"date-parts":[["2022",9,2]]}}}],"schema":"https://github.com/citation-style-language/schema/raw/master/csl-citation.json"} </w:instrText>
      </w:r>
      <w:r>
        <w:fldChar w:fldCharType="separate"/>
      </w:r>
      <w:r w:rsidR="00801FB9" w:rsidRPr="00801FB9">
        <w:rPr>
          <w:rFonts w:cs="Arial"/>
          <w:sz w:val="22"/>
          <w:vertAlign w:val="superscript"/>
        </w:rPr>
        <w:t>83</w:t>
      </w:r>
      <w:r>
        <w:fldChar w:fldCharType="end"/>
      </w:r>
      <w:r>
        <w:t xml:space="preserve"> Generally, this funding has been met with enthusiasm as annual EV sales surpassed 1 million for the first time in 2023.</w:t>
      </w:r>
      <w:r>
        <w:fldChar w:fldCharType="begin"/>
      </w:r>
      <w:r w:rsidR="00801FB9">
        <w:instrText xml:space="preserve"> ADDIN ZOTERO_ITEM CSL_CITATION {"citationID":"t93kvy8O","properties":{"formattedCitation":"\\super 84\\nosupersub{}","plainCitation":"84","noteIndex":0},"citationItems":[{"id":629,"uris":["http://zotero.org/groups/5563646/items/VXSFYCKN"],"itemData":{"id":629,"type":"post-weblog","abstract":"That more than 1 million light-duty electric vehicles were sold in the United States in just the first three quarters of 2023, 58% higher than the same period in 2022, signals a strong positive trend for EV adoption in the country.","container-title":"International Council on Clean Transportation","language":"en-US","title":"U.S. electric vehicle sales soar into ‘24","URL":"https://theicct.org/us-ev-sales-soar-into-24-jan24/","author":[{"family":"Slowik","given":"Peter"},{"family":"Isenstadt","given":"Aaron"}],"accessed":{"date-parts":[["2024",7,17]]},"issued":{"date-parts":[["2024",1,26]]}}}],"schema":"https://github.com/citation-style-language/schema/raw/master/csl-citation.json"} </w:instrText>
      </w:r>
      <w:r>
        <w:fldChar w:fldCharType="separate"/>
      </w:r>
      <w:r w:rsidR="00801FB9" w:rsidRPr="00801FB9">
        <w:rPr>
          <w:rFonts w:cs="Arial"/>
          <w:sz w:val="22"/>
          <w:vertAlign w:val="superscript"/>
        </w:rPr>
        <w:t>84</w:t>
      </w:r>
      <w:r>
        <w:fldChar w:fldCharType="end"/>
      </w:r>
      <w:r>
        <w:t xml:space="preserve"> To support this influx of EVs on the road, robust EV charging infrastructure is needed. Research suggests that roughly 45 million EV charging stations will need to be operational by 2032</w:t>
      </w:r>
      <w:r w:rsidR="00997189">
        <w:t>,</w:t>
      </w:r>
      <w:r>
        <w:t xml:space="preserve"> with a suggested </w:t>
      </w:r>
      <w:r w:rsidRPr="009E1D08">
        <w:t>3.7 million Level 2 chargers at public locations and workplaces</w:t>
      </w:r>
      <w:r>
        <w:t xml:space="preserve"> alone.</w:t>
      </w:r>
      <w:r>
        <w:fldChar w:fldCharType="begin"/>
      </w:r>
      <w:r w:rsidR="00801FB9">
        <w:instrText xml:space="preserve"> ADDIN ZOTERO_ITEM CSL_CITATION {"citationID":"8bf9KyXn","properties":{"formattedCitation":"\\super 85\\nosupersub{}","plainCitation":"85","noteIndex":0},"citationItems":[{"id":628,"uris":["http://zotero.org/groups/5563646/items/CW3HFKIK"],"itemData":{"id":628,"type":"post-weblog","abstract":"Evaluates the projected growth and charging needs of the U.S. BEV fleet through 2032 against the future supply of chargers, based on an analysis of more than 160 announcements of charging infrastructure deployments.","container-title":"International Council on Clean Transportation","language":"en-US","title":"Assessment of U.S. electric vehicle charging needs and announced deployment through 2032","URL":"https://theicct.org/publication/assessment-of-us-ev-charging-needs-and-announced-deployment-through-2032-mar24/","author":[{"family":"Pierce","given":"Logan"},{"family":"Slowik","given":"Peter"}],"accessed":{"date-parts":[["2024",7,17]]},"issued":{"date-parts":[["2024",3,13]]}}}],"schema":"https://github.com/citation-style-language/schema/raw/master/csl-citation.json"} </w:instrText>
      </w:r>
      <w:r>
        <w:fldChar w:fldCharType="separate"/>
      </w:r>
      <w:r w:rsidR="00801FB9" w:rsidRPr="00801FB9">
        <w:rPr>
          <w:rFonts w:cs="Arial"/>
          <w:sz w:val="22"/>
          <w:vertAlign w:val="superscript"/>
        </w:rPr>
        <w:t>85</w:t>
      </w:r>
      <w:r>
        <w:fldChar w:fldCharType="end"/>
      </w:r>
    </w:p>
    <w:p w14:paraId="523B721B" w14:textId="6F57B056" w:rsidR="002D35FB" w:rsidRDefault="002D35FB" w:rsidP="006D7DE6">
      <w:pPr>
        <w:pStyle w:val="BodyTextFirstIndent"/>
      </w:pPr>
      <w:r>
        <w:t>The three most common EV charger levels are level 1, level 2, and direct current</w:t>
      </w:r>
      <w:r w:rsidR="004A402A">
        <w:t xml:space="preserve"> (DC)</w:t>
      </w:r>
      <w:r>
        <w:t xml:space="preserve"> fast chargers.</w:t>
      </w:r>
      <w:r w:rsidR="00FF7A83">
        <w:t xml:space="preserve"> Level 1 and </w:t>
      </w:r>
      <w:r w:rsidR="00370309">
        <w:t>l</w:t>
      </w:r>
      <w:r w:rsidR="00FF7A83">
        <w:t>evel 2 chargers deliver energy in an alternating current while DC fast chargers deliver energy in a direct current.</w:t>
      </w:r>
      <w:r>
        <w:t xml:space="preserve"> Level 1 chargers are usually used for long charging sessions with light-duty vehicles</w:t>
      </w:r>
      <w:r w:rsidR="001A1196">
        <w:t xml:space="preserve"> (such as overnight charging)</w:t>
      </w:r>
      <w:r>
        <w:t>. These chargers are commonly found in residential settings</w:t>
      </w:r>
      <w:r w:rsidR="001A1196">
        <w:t xml:space="preserve"> for personal use</w:t>
      </w:r>
      <w:r>
        <w:t>. Level 2 chargers</w:t>
      </w:r>
      <w:r w:rsidR="00997189">
        <w:t>,</w:t>
      </w:r>
      <w:r>
        <w:t xml:space="preserve"> in turn</w:t>
      </w:r>
      <w:r w:rsidR="00997189">
        <w:t>,</w:t>
      </w:r>
      <w:r>
        <w:t xml:space="preserve"> can charge a light-duty vehicle in </w:t>
      </w:r>
      <w:r w:rsidR="00997189">
        <w:t>4</w:t>
      </w:r>
      <w:r w:rsidR="002C3A64">
        <w:t xml:space="preserve"> to </w:t>
      </w:r>
      <w:r w:rsidR="00997189">
        <w:t>10</w:t>
      </w:r>
      <w:r>
        <w:t xml:space="preserve"> hours and </w:t>
      </w:r>
      <w:r w:rsidR="00FF7A83">
        <w:t xml:space="preserve">a </w:t>
      </w:r>
      <w:r>
        <w:t xml:space="preserve">heavy-duty vehicle (such </w:t>
      </w:r>
      <w:r>
        <w:lastRenderedPageBreak/>
        <w:t>as an ESB) in 6</w:t>
      </w:r>
      <w:r w:rsidR="002C3A64">
        <w:t xml:space="preserve"> to </w:t>
      </w:r>
      <w:r>
        <w:t>11 hours.</w:t>
      </w:r>
      <w:r>
        <w:fldChar w:fldCharType="begin"/>
      </w:r>
      <w:r w:rsidR="00801FB9">
        <w:instrText xml:space="preserve"> ADDIN ZOTERO_ITEM CSL_CITATION {"citationID":"vxlqBkFp","properties":{"formattedCitation":"\\super 86,87\\nosupersub{}","plainCitation":"86,87","noteIndex":0},"citationItems":[{"id":627,"uris":["http://zotero.org/groups/5563646/items/R5A3YHL9"],"itemData":{"id":627,"type":"webpage","container-title":"US Department of Transportation","title":"Charger Types and Speeds | US Department of Transportation","URL":"https://www.transportation.gov/rural/ev/toolkit/ev-basics/charging-speeds","accessed":{"date-parts":[["2024",7,17]]},"issued":{"date-parts":[["2023",6,22]]}}},{"id":603,"uris":["http://zotero.org/groups/5563646/items/QA6UEKVL"],"itemData":{"id":603,"type":"webpage","container-title":"NYSERDA","language":"en","title":"Electric School Bus Guidebook - Guide 3: Charger Purchasing","URL":"https://www.nyserda.ny.gov/-/media/Project/Nyserda/Files/Programs/Electric-School-Bus/Electric-School-Bus-Charger-Purchasing.pdf"}}],"schema":"https://github.com/citation-style-language/schema/raw/master/csl-citation.json"} </w:instrText>
      </w:r>
      <w:r>
        <w:fldChar w:fldCharType="separate"/>
      </w:r>
      <w:r w:rsidR="00801FB9" w:rsidRPr="00801FB9">
        <w:rPr>
          <w:rFonts w:cs="Arial"/>
          <w:sz w:val="22"/>
          <w:vertAlign w:val="superscript"/>
        </w:rPr>
        <w:t>86,87</w:t>
      </w:r>
      <w:r>
        <w:fldChar w:fldCharType="end"/>
      </w:r>
      <w:r w:rsidR="001A1196">
        <w:t xml:space="preserve"> These chargers may be more common in </w:t>
      </w:r>
      <w:r w:rsidR="00C84C07">
        <w:t xml:space="preserve">shared </w:t>
      </w:r>
      <w:r w:rsidR="00370309">
        <w:t>residential</w:t>
      </w:r>
      <w:r w:rsidR="00C84C07">
        <w:t xml:space="preserve"> spaces</w:t>
      </w:r>
      <w:r w:rsidR="00AD53C6">
        <w:t>,</w:t>
      </w:r>
      <w:r w:rsidR="00C84C07">
        <w:t xml:space="preserve"> workplaces</w:t>
      </w:r>
      <w:r w:rsidR="00AD53C6">
        <w:t xml:space="preserve">, or </w:t>
      </w:r>
      <w:r w:rsidR="00F604A2">
        <w:t>facilities housing EV</w:t>
      </w:r>
      <w:r w:rsidR="000145B9">
        <w:t xml:space="preserve"> fleets</w:t>
      </w:r>
      <w:r w:rsidR="00C84C07">
        <w:t>.</w:t>
      </w:r>
      <w:r>
        <w:t xml:space="preserve"> Finally, DC fast chargers offer the ability to charge a light-duty EV in 20 minutes to an hour and a heavy</w:t>
      </w:r>
      <w:r w:rsidR="00C70E55">
        <w:t>-</w:t>
      </w:r>
      <w:r>
        <w:t>duty vehicle in 1 hour to 4.5 hours.</w:t>
      </w:r>
      <w:r>
        <w:fldChar w:fldCharType="begin"/>
      </w:r>
      <w:r w:rsidR="00801FB9">
        <w:instrText xml:space="preserve"> ADDIN ZOTERO_ITEM CSL_CITATION {"citationID":"SQCWlZQT","properties":{"formattedCitation":"\\super 86,88\\nosupersub{}","plainCitation":"86,88","noteIndex":0},"citationItems":[{"id":627,"uris":["http://zotero.org/groups/5563646/items/R5A3YHL9"],"itemData":{"id":627,"type":"webpage","container-title":"US Department of Transportation","title":"Charger Types and Speeds | US Department of Transportation","URL":"https://www.transportation.gov/rural/ev/toolkit/ev-basics/charging-speeds","accessed":{"date-parts":[["2024",7,17]]},"issued":{"date-parts":[["2023",6,22]]}}},{"id":626,"uris":["http://zotero.org/groups/5563646/items/U662UEAP"],"itemData":{"id":626,"type":"webpage","abstract":"You’ve got questions. We’ve got answers.","container-title":"Electric School Bus Initiative","language":"en","title":"Frequently Asked Questions (FAQs) | Electric School Bus Initiative","URL":"https://electricschoolbusinitiative.org/frequently-asked-questions-faqs","accessed":{"date-parts":[["2024",7,17]]}}}],"schema":"https://github.com/citation-style-language/schema/raw/master/csl-citation.json"} </w:instrText>
      </w:r>
      <w:r>
        <w:fldChar w:fldCharType="separate"/>
      </w:r>
      <w:r w:rsidR="00801FB9" w:rsidRPr="00801FB9">
        <w:rPr>
          <w:rFonts w:cs="Arial"/>
          <w:sz w:val="22"/>
          <w:vertAlign w:val="superscript"/>
        </w:rPr>
        <w:t>86,88</w:t>
      </w:r>
      <w:r>
        <w:fldChar w:fldCharType="end"/>
      </w:r>
      <w:r w:rsidR="00C84C07">
        <w:t xml:space="preserve"> These chargers are most common along major roadways</w:t>
      </w:r>
      <w:r w:rsidR="00AD53C6">
        <w:t xml:space="preserve"> or with </w:t>
      </w:r>
      <w:r w:rsidR="00B124A6">
        <w:t>EV</w:t>
      </w:r>
      <w:r w:rsidR="00AD53C6">
        <w:t xml:space="preserve"> fleets</w:t>
      </w:r>
      <w:r w:rsidR="00C84C07">
        <w:t xml:space="preserve">. </w:t>
      </w:r>
    </w:p>
    <w:p w14:paraId="762BFB0C" w14:textId="77777777" w:rsidR="00D03DB7" w:rsidRDefault="002D35FB" w:rsidP="006D7DE6">
      <w:pPr>
        <w:pStyle w:val="BodyTextFirstIndent"/>
      </w:pPr>
      <w:r>
        <w:t xml:space="preserve">Making electric vehicle supply equipment (EVSE) accessible </w:t>
      </w:r>
      <w:r w:rsidR="00E75FC1">
        <w:t xml:space="preserve">in school parking lots </w:t>
      </w:r>
      <w:r>
        <w:t xml:space="preserve">for use by staff and the public presents opportunities to expand EV utilization, reduce local air pollution, and potentially create revenue for school districts. School districts that install EVSE will need to </w:t>
      </w:r>
      <w:r w:rsidR="00C2786E">
        <w:t>establish policies regarding permissible</w:t>
      </w:r>
      <w:r>
        <w:t xml:space="preserve"> </w:t>
      </w:r>
      <w:r w:rsidR="00C2786E">
        <w:t xml:space="preserve">users of the </w:t>
      </w:r>
      <w:r>
        <w:t xml:space="preserve">charging stations. </w:t>
      </w:r>
    </w:p>
    <w:p w14:paraId="281A4FA1" w14:textId="02258D64" w:rsidR="00D03DB7" w:rsidRDefault="002D35FB" w:rsidP="006D7DE6">
      <w:pPr>
        <w:pStyle w:val="BodyTextFirstIndent"/>
      </w:pPr>
      <w:r>
        <w:t xml:space="preserve">Some schools choose to </w:t>
      </w:r>
      <w:r w:rsidR="00997189">
        <w:t xml:space="preserve">allow </w:t>
      </w:r>
      <w:r>
        <w:t xml:space="preserve">only district fleet vehicles to access charging stations. The </w:t>
      </w:r>
      <w:r w:rsidR="009455B2">
        <w:t>benefit</w:t>
      </w:r>
      <w:r>
        <w:t xml:space="preserve"> </w:t>
      </w:r>
      <w:r w:rsidR="005B685A">
        <w:t>of</w:t>
      </w:r>
      <w:r>
        <w:t xml:space="preserve"> this approach is that chargers are available</w:t>
      </w:r>
      <w:r w:rsidR="00101708">
        <w:t xml:space="preserve"> when needed</w:t>
      </w:r>
      <w:r>
        <w:t xml:space="preserve"> and are properly maintained. Additionally, there </w:t>
      </w:r>
      <w:r w:rsidR="00901B85">
        <w:t xml:space="preserve">would </w:t>
      </w:r>
      <w:r>
        <w:t xml:space="preserve">likely be </w:t>
      </w:r>
      <w:r w:rsidR="00901B85">
        <w:t>no</w:t>
      </w:r>
      <w:r>
        <w:t xml:space="preserve"> need </w:t>
      </w:r>
      <w:r w:rsidR="00997189">
        <w:t xml:space="preserve">to have payment systems installed in </w:t>
      </w:r>
      <w:r>
        <w:t>the</w:t>
      </w:r>
      <w:r w:rsidR="00997189">
        <w:t xml:space="preserve"> chargers</w:t>
      </w:r>
      <w:r w:rsidR="006251C7">
        <w:t>;</w:t>
      </w:r>
      <w:r>
        <w:t xml:space="preserve"> </w:t>
      </w:r>
      <w:r w:rsidR="0003467E">
        <w:t xml:space="preserve">a digital key can be issued to eligible vehicles that will allow them to access the charger while preventing unauthorized users. </w:t>
      </w:r>
    </w:p>
    <w:p w14:paraId="66974591" w14:textId="77777777" w:rsidR="00136A6A" w:rsidRDefault="002D35FB" w:rsidP="006D7DE6">
      <w:pPr>
        <w:pStyle w:val="BodyTextFirstIndent"/>
      </w:pPr>
      <w:r>
        <w:t>Other schools prefer to allow their staff to access the chargers</w:t>
      </w:r>
      <w:r w:rsidR="00136A6A">
        <w:t xml:space="preserve"> to charge their personally owned vehicles</w:t>
      </w:r>
      <w:r>
        <w:t xml:space="preserve">. Doing so helps incentivize </w:t>
      </w:r>
      <w:r w:rsidR="000401A3">
        <w:t xml:space="preserve">the </w:t>
      </w:r>
      <w:r>
        <w:t xml:space="preserve">staff to </w:t>
      </w:r>
      <w:r w:rsidR="0003467E">
        <w:t>adopt</w:t>
      </w:r>
      <w:r>
        <w:t xml:space="preserve"> EVs. Additionally, the inclusion or exclusion of payment systems can make the chargers either a revenue creator for the school or a </w:t>
      </w:r>
      <w:r w:rsidR="000401A3">
        <w:t xml:space="preserve">free </w:t>
      </w:r>
      <w:r>
        <w:t xml:space="preserve">perk for district employees. </w:t>
      </w:r>
    </w:p>
    <w:p w14:paraId="553C48FC" w14:textId="0CF30E6E" w:rsidR="00B70CAC" w:rsidRDefault="002D35FB" w:rsidP="006D7DE6">
      <w:pPr>
        <w:pStyle w:val="BodyTextFirstIndent"/>
      </w:pPr>
      <w:r>
        <w:t xml:space="preserve">Finally, </w:t>
      </w:r>
      <w:r w:rsidR="00B97355">
        <w:t>some districts may choose</w:t>
      </w:r>
      <w:r>
        <w:t xml:space="preserve"> to make the chargers accessible to the general public. Doing so presents the opportunity to create revenue through payment systems and incentivize</w:t>
      </w:r>
      <w:r w:rsidR="006732A3">
        <w:t>s</w:t>
      </w:r>
      <w:r>
        <w:t xml:space="preserve"> the presence of </w:t>
      </w:r>
      <w:r w:rsidR="00B70CAC">
        <w:t xml:space="preserve">EVs </w:t>
      </w:r>
      <w:r>
        <w:t xml:space="preserve">on campus. </w:t>
      </w:r>
    </w:p>
    <w:p w14:paraId="4D954695" w14:textId="30F0B163" w:rsidR="002D35FB" w:rsidRDefault="002D35FB" w:rsidP="006D7DE6">
      <w:pPr>
        <w:pStyle w:val="BodyTextFirstIndent"/>
      </w:pPr>
      <w:r>
        <w:t xml:space="preserve">As EVs become more common near schools, there will </w:t>
      </w:r>
      <w:r w:rsidR="00B17AE3">
        <w:t>likely</w:t>
      </w:r>
      <w:r>
        <w:t xml:space="preserve"> be local air quality improvements. According to the </w:t>
      </w:r>
      <w:r w:rsidR="003B5C1B">
        <w:t>U.S. Environmental Protection Agency (</w:t>
      </w:r>
      <w:r>
        <w:t>EPA</w:t>
      </w:r>
      <w:r w:rsidR="003B5C1B">
        <w:t>)</w:t>
      </w:r>
      <w:r>
        <w:t>, vehicle emissions have been linked to certain cancers, as well as “</w:t>
      </w:r>
      <w:r w:rsidRPr="001978CB">
        <w:t>neurological, cardiovascular, respiratory, reproductive and/or immune system damage</w:t>
      </w:r>
      <w:r>
        <w:t>.”</w:t>
      </w:r>
      <w:r>
        <w:fldChar w:fldCharType="begin"/>
      </w:r>
      <w:r w:rsidR="00801FB9">
        <w:instrText xml:space="preserve"> ADDIN ZOTERO_ITEM CSL_CITATION {"citationID":"3aLRbS8E","properties":{"formattedCitation":"\\super 89\\nosupersub{}","plainCitation":"89","noteIndex":0},"citationItems":[{"id":625,"uris":["http://zotero.org/groups/5563646/items/DFMXQB2C"],"itemData":{"id":625,"type":"webpage","container-title":"EPA","title":"Research on Health Effects, Exposure, &amp; Risk from Mobile Source Pollution | US EPA","URL":"https://www.epa.gov/mobile-source-pollution/research-health-effects-exposure-risk-mobile-source-pollution","accessed":{"date-parts":[["2024",7,17]]},"issued":{"date-parts":[["2024",5,7]]}}}],"schema":"https://github.com/citation-style-language/schema/raw/master/csl-citation.json"} </w:instrText>
      </w:r>
      <w:r>
        <w:fldChar w:fldCharType="separate"/>
      </w:r>
      <w:r w:rsidR="00801FB9" w:rsidRPr="00801FB9">
        <w:rPr>
          <w:rFonts w:cs="Arial"/>
          <w:sz w:val="22"/>
          <w:vertAlign w:val="superscript"/>
        </w:rPr>
        <w:t>89</w:t>
      </w:r>
      <w:r>
        <w:fldChar w:fldCharType="end"/>
      </w:r>
    </w:p>
    <w:p w14:paraId="72C1949F" w14:textId="70AE331E" w:rsidR="002D35FB" w:rsidRDefault="002D35FB" w:rsidP="006D7DE6">
      <w:pPr>
        <w:pStyle w:val="BodyTextFirstIndent"/>
      </w:pPr>
      <w:r>
        <w:t>Recognizing the benefits of EVSE at workplaces, the Massachusetts government has offered numerous incentive programs to encourage their deployment. Most of these funding opportunities are offered through t</w:t>
      </w:r>
      <w:r w:rsidRPr="00387A02">
        <w:t>he Massachusetts Electric Vehicle Incentive Program (MassEVIP)</w:t>
      </w:r>
      <w:r>
        <w:t xml:space="preserve">. The following are recent </w:t>
      </w:r>
      <w:r w:rsidR="00691C97">
        <w:t>Mass</w:t>
      </w:r>
      <w:r>
        <w:t>EVIP opportunities that school districts might qualify for:</w:t>
      </w:r>
    </w:p>
    <w:p w14:paraId="076F9771" w14:textId="789A49E7" w:rsidR="002D35FB" w:rsidRDefault="002D35FB" w:rsidP="006D7DE6">
      <w:pPr>
        <w:pStyle w:val="BodyTextFirstIndent"/>
        <w:numPr>
          <w:ilvl w:val="0"/>
          <w:numId w:val="15"/>
        </w:numPr>
      </w:pPr>
      <w:hyperlink r:id="rId61" w:history="1">
        <w:r w:rsidRPr="00AF3DF4">
          <w:rPr>
            <w:rStyle w:val="Hyperlink"/>
          </w:rPr>
          <w:t>MassEVIP Public Access Charging</w:t>
        </w:r>
      </w:hyperlink>
    </w:p>
    <w:p w14:paraId="5F11914E" w14:textId="1964D5D8" w:rsidR="002D35FB" w:rsidRDefault="002D35FB" w:rsidP="006D7DE6">
      <w:pPr>
        <w:pStyle w:val="BodyTextFirstIndent"/>
        <w:numPr>
          <w:ilvl w:val="0"/>
          <w:numId w:val="15"/>
        </w:numPr>
      </w:pPr>
      <w:hyperlink r:id="rId62" w:history="1">
        <w:r w:rsidRPr="00574C16">
          <w:rPr>
            <w:rStyle w:val="Hyperlink"/>
          </w:rPr>
          <w:t>MassEVIP Multi-Unit Dwelling &amp; Educational Campus Charging</w:t>
        </w:r>
      </w:hyperlink>
    </w:p>
    <w:p w14:paraId="40005393" w14:textId="78FB0EA4" w:rsidR="002D35FB" w:rsidRPr="002E2DA3" w:rsidRDefault="002D35FB" w:rsidP="006D7DE6">
      <w:pPr>
        <w:pStyle w:val="BodyTextFirstIndent"/>
        <w:numPr>
          <w:ilvl w:val="0"/>
          <w:numId w:val="15"/>
        </w:numPr>
        <w:rPr>
          <w:rStyle w:val="Hyperlink"/>
          <w:color w:val="auto"/>
          <w:u w:val="none"/>
        </w:rPr>
      </w:pPr>
      <w:hyperlink r:id="rId63" w:history="1">
        <w:r w:rsidRPr="00452A3A">
          <w:rPr>
            <w:rStyle w:val="Hyperlink"/>
          </w:rPr>
          <w:t>MassEVIP Workplace and Fleet Charging Program Requirements</w:t>
        </w:r>
      </w:hyperlink>
    </w:p>
    <w:p w14:paraId="614D2B2E" w14:textId="539B94E3" w:rsidR="002E2DA3" w:rsidRPr="00E34C64" w:rsidRDefault="00E34C64" w:rsidP="006D7DE6">
      <w:pPr>
        <w:pStyle w:val="BodyTextFirstIndent"/>
        <w:numPr>
          <w:ilvl w:val="0"/>
          <w:numId w:val="15"/>
        </w:numPr>
        <w:rPr>
          <w:rStyle w:val="Hyperlink"/>
        </w:rPr>
      </w:pPr>
      <w:r>
        <w:fldChar w:fldCharType="begin"/>
      </w:r>
      <w:r>
        <w:instrText>HYPERLINK "https://www.mass.gov/how-to/apply-for-massevip-direct-current-fast-charging-incentives"</w:instrText>
      </w:r>
      <w:r>
        <w:fldChar w:fldCharType="separate"/>
      </w:r>
      <w:r w:rsidRPr="00E34C64">
        <w:rPr>
          <w:rStyle w:val="Hyperlink"/>
        </w:rPr>
        <w:t xml:space="preserve">MassEVIP </w:t>
      </w:r>
      <w:r w:rsidR="002E2DA3" w:rsidRPr="00E34C64">
        <w:rPr>
          <w:rStyle w:val="Hyperlink"/>
        </w:rPr>
        <w:t>Direct Current Fast Charging</w:t>
      </w:r>
    </w:p>
    <w:p w14:paraId="6792FA01" w14:textId="3E05C232" w:rsidR="002D35FB" w:rsidRPr="00226715" w:rsidRDefault="00E34C64" w:rsidP="006D7DE6">
      <w:pPr>
        <w:pStyle w:val="BodyTextFirstIndent"/>
      </w:pPr>
      <w:r>
        <w:lastRenderedPageBreak/>
        <w:fldChar w:fldCharType="end"/>
      </w:r>
      <w:r w:rsidR="002D35FB">
        <w:t>The</w:t>
      </w:r>
      <w:r w:rsidR="002C3A64">
        <w:t>se</w:t>
      </w:r>
      <w:r w:rsidR="002D35FB">
        <w:t xml:space="preserve"> programs offer various funding amounts and have different eligibility requirements. </w:t>
      </w:r>
      <w:r w:rsidR="004C3569">
        <w:t>Prior to applying to any program, i</w:t>
      </w:r>
      <w:r w:rsidR="002D35FB">
        <w:t>t is important that project</w:t>
      </w:r>
      <w:r w:rsidR="004C3569">
        <w:t>s</w:t>
      </w:r>
      <w:r w:rsidR="002D35FB">
        <w:t xml:space="preserve"> meet all eligibility requirements. </w:t>
      </w:r>
    </w:p>
    <w:p w14:paraId="71F4795F" w14:textId="77777777" w:rsidR="00FA7267" w:rsidRDefault="00FA7267" w:rsidP="00FA7267">
      <w:pPr>
        <w:pStyle w:val="Heading3"/>
      </w:pPr>
      <w:r>
        <w:t>Methods and Best Practices</w:t>
      </w:r>
    </w:p>
    <w:p w14:paraId="279CBDB7" w14:textId="5BDB62F1" w:rsidR="008F3DDF" w:rsidRDefault="008E5487" w:rsidP="006D7DE6">
      <w:pPr>
        <w:pStyle w:val="BodyTextFirstIndent"/>
      </w:pPr>
      <w:r>
        <w:fldChar w:fldCharType="begin"/>
      </w:r>
      <w:r>
        <w:instrText xml:space="preserve"> REF _Ref173011165 \h </w:instrText>
      </w:r>
      <w:r>
        <w:fldChar w:fldCharType="separate"/>
      </w:r>
      <w:r w:rsidR="00307850">
        <w:t xml:space="preserve">Table </w:t>
      </w:r>
      <w:r w:rsidR="00307850">
        <w:rPr>
          <w:noProof/>
        </w:rPr>
        <w:t>10</w:t>
      </w:r>
      <w:r>
        <w:fldChar w:fldCharType="end"/>
      </w:r>
      <w:r w:rsidR="002B68A9">
        <w:t xml:space="preserve"> </w:t>
      </w:r>
      <w:r w:rsidR="008F3DDF" w:rsidRPr="00B40F18">
        <w:t xml:space="preserve">summarizes </w:t>
      </w:r>
      <w:r w:rsidR="008F3DDF">
        <w:t xml:space="preserve">methods and best practices for EV charger </w:t>
      </w:r>
      <w:r w:rsidR="00C37512">
        <w:t xml:space="preserve">installation </w:t>
      </w:r>
      <w:r w:rsidR="008F3DDF">
        <w:t>in schools</w:t>
      </w:r>
      <w:r w:rsidR="00236FD3">
        <w:t xml:space="preserve"> related to planning, acquisition, and operations</w:t>
      </w:r>
      <w:r w:rsidR="008F3DDF">
        <w:t xml:space="preserve">. For each method/best practice, the table presents </w:t>
      </w:r>
      <w:r w:rsidR="008F3DDF" w:rsidRPr="00B40F18">
        <w:t>the approximate</w:t>
      </w:r>
      <w:r w:rsidR="008F3DDF">
        <w:t xml:space="preserve"> capital and operating</w:t>
      </w:r>
      <w:r w:rsidR="008F3DDF" w:rsidRPr="00B40F18">
        <w:t xml:space="preserve"> cost</w:t>
      </w:r>
      <w:r w:rsidR="008F3DDF">
        <w:t>s</w:t>
      </w:r>
      <w:r w:rsidR="008F3DDF" w:rsidRPr="00B40F18">
        <w:t>,</w:t>
      </w:r>
      <w:r w:rsidR="008F3DDF">
        <w:t xml:space="preserve"> implementation timeframe</w:t>
      </w:r>
      <w:r w:rsidR="008F3DDF" w:rsidRPr="00B40F18">
        <w:t>, and</w:t>
      </w:r>
      <w:r w:rsidR="008F3DDF">
        <w:t xml:space="preserve"> ease of</w:t>
      </w:r>
      <w:r w:rsidR="008F3DDF" w:rsidRPr="00B40F18">
        <w:t xml:space="preserve"> implementation</w:t>
      </w:r>
      <w:r w:rsidR="008F3DDF">
        <w:t xml:space="preserve">. </w:t>
      </w:r>
      <w:r w:rsidR="00236FD3">
        <w:t xml:space="preserve">See </w:t>
      </w:r>
      <w:hyperlink w:anchor="SectVI_1e" w:history="1">
        <w:r w:rsidR="006302AE" w:rsidRPr="006302AE">
          <w:rPr>
            <w:rStyle w:val="Hyperlink"/>
          </w:rPr>
          <w:t>Section VI, Objective 1e</w:t>
        </w:r>
      </w:hyperlink>
      <w:r w:rsidR="00236FD3">
        <w:t xml:space="preserve"> for additional narrative descriptions of each of the methods and best practices.</w:t>
      </w:r>
    </w:p>
    <w:p w14:paraId="4326D2A0" w14:textId="6BE777DC" w:rsidR="008F3DDF" w:rsidRDefault="008E5487" w:rsidP="00B30C96">
      <w:pPr>
        <w:pStyle w:val="Caption"/>
      </w:pPr>
      <w:bookmarkStart w:id="127" w:name="_Ref173011165"/>
      <w:bookmarkStart w:id="128" w:name="_Toc192711676"/>
      <w:bookmarkStart w:id="129" w:name="_Toc193112558"/>
      <w:bookmarkStart w:id="130" w:name="_Toc193116957"/>
      <w:r>
        <w:t xml:space="preserve">Table </w:t>
      </w:r>
      <w:fldSimple w:instr=" SEQ Table \* ARABIC ">
        <w:r w:rsidR="00307850">
          <w:rPr>
            <w:noProof/>
          </w:rPr>
          <w:t>10</w:t>
        </w:r>
      </w:fldSimple>
      <w:bookmarkEnd w:id="127"/>
      <w:r>
        <w:t xml:space="preserve">. </w:t>
      </w:r>
      <w:r w:rsidR="008F3DDF" w:rsidRPr="00837CC4">
        <w:t>Methods</w:t>
      </w:r>
      <w:r w:rsidR="00E33249">
        <w:t xml:space="preserve"> and </w:t>
      </w:r>
      <w:r w:rsidR="00D137CF">
        <w:t>B</w:t>
      </w:r>
      <w:r w:rsidR="002C3A64" w:rsidRPr="00837CC4">
        <w:t xml:space="preserve">est </w:t>
      </w:r>
      <w:r w:rsidR="00D137CF">
        <w:t>P</w:t>
      </w:r>
      <w:r w:rsidR="008F3DDF" w:rsidRPr="00837CC4">
        <w:t xml:space="preserve">ractices </w:t>
      </w:r>
      <w:r w:rsidR="00285DC1">
        <w:t>for</w:t>
      </w:r>
      <w:r w:rsidR="008F3DDF" w:rsidRPr="00837CC4">
        <w:t xml:space="preserve"> </w:t>
      </w:r>
      <w:r w:rsidR="00D137CF">
        <w:t>P</w:t>
      </w:r>
      <w:r w:rsidR="008F3DDF" w:rsidRPr="000D3F1F">
        <w:t>rovid</w:t>
      </w:r>
      <w:r>
        <w:t>ing</w:t>
      </w:r>
      <w:r w:rsidR="008F3DDF" w:rsidRPr="000D3F1F">
        <w:t xml:space="preserve"> </w:t>
      </w:r>
      <w:r w:rsidR="00D137CF">
        <w:t>E</w:t>
      </w:r>
      <w:r w:rsidR="008F3DDF" w:rsidRPr="000D3F1F">
        <w:t xml:space="preserve">lectric </w:t>
      </w:r>
      <w:r w:rsidR="00D137CF">
        <w:t>V</w:t>
      </w:r>
      <w:r w:rsidR="008F3DDF" w:rsidRPr="000D3F1F">
        <w:t xml:space="preserve">ehicle </w:t>
      </w:r>
      <w:r w:rsidR="00D137CF">
        <w:t>C</w:t>
      </w:r>
      <w:r w:rsidR="008F3DDF" w:rsidRPr="000D3F1F">
        <w:t xml:space="preserve">harging </w:t>
      </w:r>
      <w:r w:rsidR="00D137CF">
        <w:t>S</w:t>
      </w:r>
      <w:r w:rsidR="008F3DDF" w:rsidRPr="000D3F1F">
        <w:t xml:space="preserve">tations for </w:t>
      </w:r>
      <w:r w:rsidR="00D137CF">
        <w:t>S</w:t>
      </w:r>
      <w:r w:rsidR="008F3DDF" w:rsidRPr="000D3F1F">
        <w:t xml:space="preserve">chool </w:t>
      </w:r>
      <w:r w:rsidR="00D137CF">
        <w:t>S</w:t>
      </w:r>
      <w:r w:rsidR="008F3DDF" w:rsidRPr="000D3F1F">
        <w:t xml:space="preserve">taff and </w:t>
      </w:r>
      <w:r w:rsidR="00D137CF">
        <w:t>P</w:t>
      </w:r>
      <w:r w:rsidR="008F3DDF" w:rsidRPr="000D3F1F">
        <w:t xml:space="preserve">ublic </w:t>
      </w:r>
      <w:r w:rsidR="00D137CF">
        <w:t>U</w:t>
      </w:r>
      <w:r w:rsidR="008F3DDF" w:rsidRPr="000D3F1F">
        <w:t>se</w:t>
      </w:r>
      <w:bookmarkEnd w:id="128"/>
      <w:bookmarkEnd w:id="129"/>
      <w:bookmarkEnd w:id="130"/>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providing electric vehicle charging stations for school staff and public use."/>
      </w:tblPr>
      <w:tblGrid>
        <w:gridCol w:w="543"/>
        <w:gridCol w:w="5935"/>
        <w:gridCol w:w="718"/>
        <w:gridCol w:w="718"/>
        <w:gridCol w:w="718"/>
        <w:gridCol w:w="718"/>
      </w:tblGrid>
      <w:tr w:rsidR="008F3DDF" w:rsidRPr="00C8094D" w14:paraId="3946A83F" w14:textId="77777777" w:rsidTr="000445E9">
        <w:trPr>
          <w:cantSplit/>
          <w:trHeight w:val="2420"/>
          <w:tblHeader/>
          <w:jc w:val="center"/>
        </w:trPr>
        <w:tc>
          <w:tcPr>
            <w:tcW w:w="346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36B16FF" w14:textId="77777777" w:rsidR="008F3DDF" w:rsidRDefault="008F3DDF" w:rsidP="009A5AD2">
            <w:pPr>
              <w:pStyle w:val="TableColumnHeader"/>
            </w:pPr>
            <w:r>
              <w:t>Methods/Best Practices</w:t>
            </w:r>
          </w:p>
        </w:tc>
        <w:tc>
          <w:tcPr>
            <w:tcW w:w="384"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E5E0A6D" w14:textId="77777777" w:rsidR="008F3DDF" w:rsidRPr="00C8094D" w:rsidRDefault="008F3DDF" w:rsidP="009A5AD2">
            <w:pPr>
              <w:pStyle w:val="TableColumnHeader"/>
              <w:jc w:val="left"/>
            </w:pPr>
            <w:r>
              <w:t xml:space="preserve">Capital </w:t>
            </w:r>
            <w:r w:rsidRPr="00C8094D">
              <w:t>Cost</w:t>
            </w:r>
          </w:p>
        </w:tc>
        <w:tc>
          <w:tcPr>
            <w:tcW w:w="384"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8C2F6F9" w14:textId="77777777" w:rsidR="008F3DDF" w:rsidRDefault="008F3DDF" w:rsidP="009A5AD2">
            <w:pPr>
              <w:pStyle w:val="TableColumnHeader"/>
              <w:jc w:val="left"/>
            </w:pPr>
            <w:r>
              <w:t>Operating Cost</w:t>
            </w:r>
          </w:p>
        </w:tc>
        <w:tc>
          <w:tcPr>
            <w:tcW w:w="384"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A89A691" w14:textId="77777777" w:rsidR="008F3DDF" w:rsidRPr="00C8094D" w:rsidRDefault="008F3DDF" w:rsidP="009A5AD2">
            <w:pPr>
              <w:pStyle w:val="TableColumnHeader"/>
              <w:jc w:val="left"/>
            </w:pPr>
            <w:r>
              <w:t xml:space="preserve">Implementation </w:t>
            </w:r>
            <w:r w:rsidRPr="00C8094D">
              <w:t>Timeframe</w:t>
            </w:r>
          </w:p>
        </w:tc>
        <w:tc>
          <w:tcPr>
            <w:tcW w:w="384"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DC7E91C" w14:textId="77777777" w:rsidR="008F3DDF" w:rsidRPr="00C8094D" w:rsidRDefault="008F3DDF" w:rsidP="009A5AD2">
            <w:pPr>
              <w:pStyle w:val="TableColumnHeader"/>
              <w:jc w:val="left"/>
            </w:pPr>
            <w:r>
              <w:t xml:space="preserve">Ease of </w:t>
            </w:r>
            <w:r w:rsidRPr="00C8094D">
              <w:t>Implementation</w:t>
            </w:r>
          </w:p>
        </w:tc>
      </w:tr>
      <w:tr w:rsidR="000445E9" w:rsidRPr="00C8094D" w14:paraId="7BAB7008" w14:textId="77777777" w:rsidTr="000445E9">
        <w:trPr>
          <w:cantSplit/>
          <w:trHeight w:val="255"/>
          <w:tblHeader/>
          <w:jc w:val="center"/>
        </w:trPr>
        <w:tc>
          <w:tcPr>
            <w:tcW w:w="3464" w:type="pct"/>
            <w:gridSpan w:val="2"/>
            <w:tcBorders>
              <w:top w:val="nil"/>
              <w:left w:val="single" w:sz="4" w:space="0" w:color="auto"/>
              <w:bottom w:val="single" w:sz="4" w:space="0" w:color="auto"/>
              <w:right w:val="single" w:sz="4" w:space="0" w:color="auto"/>
            </w:tcBorders>
            <w:shd w:val="clear" w:color="auto" w:fill="002060"/>
          </w:tcPr>
          <w:p w14:paraId="772F1916" w14:textId="5DE502FF" w:rsidR="000445E9" w:rsidRPr="00336AE0" w:rsidRDefault="000445E9" w:rsidP="000445E9">
            <w:pPr>
              <w:pStyle w:val="TableRowHeader"/>
            </w:pPr>
            <w:r>
              <w:t>Planning Considerations</w:t>
            </w:r>
          </w:p>
        </w:tc>
        <w:tc>
          <w:tcPr>
            <w:tcW w:w="384" w:type="pct"/>
            <w:tcBorders>
              <w:top w:val="nil"/>
              <w:left w:val="single" w:sz="4" w:space="0" w:color="auto"/>
              <w:bottom w:val="single" w:sz="4" w:space="0" w:color="auto"/>
              <w:right w:val="single" w:sz="4" w:space="0" w:color="auto"/>
            </w:tcBorders>
            <w:shd w:val="clear" w:color="auto" w:fill="002060"/>
            <w:vAlign w:val="center"/>
          </w:tcPr>
          <w:p w14:paraId="64E25E32" w14:textId="77777777" w:rsidR="000445E9" w:rsidRDefault="000445E9" w:rsidP="009A5AD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5B449215" w14:textId="77777777" w:rsidR="000445E9" w:rsidRDefault="000445E9" w:rsidP="009A5AD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70A51B60" w14:textId="77777777" w:rsidR="000445E9" w:rsidRDefault="000445E9" w:rsidP="009A5AD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0918135C" w14:textId="77777777" w:rsidR="000445E9" w:rsidRDefault="000445E9" w:rsidP="009A5AD2">
            <w:pPr>
              <w:pStyle w:val="TableText"/>
            </w:pPr>
          </w:p>
        </w:tc>
      </w:tr>
      <w:tr w:rsidR="001C7F7C" w:rsidRPr="00C8094D" w14:paraId="544C3AD3"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06D45217" w14:textId="6B4C11BE" w:rsidR="001C7F7C" w:rsidRDefault="001C7F7C" w:rsidP="001C7F7C">
            <w:pPr>
              <w:pStyle w:val="TableText"/>
            </w:pPr>
            <w:r>
              <w:t>(1)</w:t>
            </w:r>
          </w:p>
        </w:tc>
        <w:tc>
          <w:tcPr>
            <w:tcW w:w="3174" w:type="pct"/>
            <w:tcBorders>
              <w:top w:val="single" w:sz="4" w:space="0" w:color="auto"/>
              <w:bottom w:val="single" w:sz="4" w:space="0" w:color="auto"/>
              <w:right w:val="single" w:sz="4" w:space="0" w:color="auto"/>
            </w:tcBorders>
          </w:tcPr>
          <w:p w14:paraId="1A5DE738" w14:textId="4B39F8EE" w:rsidR="001C7F7C" w:rsidRPr="00336AE0" w:rsidRDefault="001C7F7C" w:rsidP="001C7F7C">
            <w:pPr>
              <w:pStyle w:val="TableText"/>
            </w:pPr>
            <w:r>
              <w:t>Engage with the utility provider early and often</w:t>
            </w:r>
          </w:p>
        </w:tc>
        <w:tc>
          <w:tcPr>
            <w:tcW w:w="384" w:type="pct"/>
            <w:tcBorders>
              <w:top w:val="nil"/>
              <w:left w:val="single" w:sz="4" w:space="0" w:color="auto"/>
              <w:bottom w:val="single" w:sz="4" w:space="0" w:color="auto"/>
              <w:right w:val="single" w:sz="4" w:space="0" w:color="auto"/>
            </w:tcBorders>
            <w:shd w:val="clear" w:color="auto" w:fill="auto"/>
            <w:vAlign w:val="center"/>
          </w:tcPr>
          <w:p w14:paraId="1F7BFEED" w14:textId="5AB0B2B6" w:rsidR="001C7F7C" w:rsidRDefault="001C7F7C" w:rsidP="001C7F7C">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72EF8AAF" w14:textId="43B5C973" w:rsidR="001C7F7C" w:rsidRDefault="00471C92" w:rsidP="001C7F7C">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6AA84B71" w14:textId="66F705F8" w:rsidR="001C7F7C" w:rsidRDefault="001C7F7C" w:rsidP="001C7F7C">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55630F3B" w14:textId="2DACFBAC" w:rsidR="001C7F7C" w:rsidRDefault="001C7F7C" w:rsidP="001C7F7C">
            <w:pPr>
              <w:pStyle w:val="TableText"/>
            </w:pPr>
            <w:r>
              <w:t>2</w:t>
            </w:r>
          </w:p>
        </w:tc>
      </w:tr>
      <w:tr w:rsidR="001C7F7C" w:rsidRPr="00C8094D" w14:paraId="0BB297A7"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66B140E4" w14:textId="0B9BAFF8" w:rsidR="001C7F7C" w:rsidRDefault="001C7F7C" w:rsidP="001C7F7C">
            <w:pPr>
              <w:pStyle w:val="TableText"/>
            </w:pPr>
            <w:r>
              <w:t>(</w:t>
            </w:r>
            <w:r w:rsidR="005936E6">
              <w:t>2</w:t>
            </w:r>
            <w:r>
              <w:t>)</w:t>
            </w:r>
          </w:p>
        </w:tc>
        <w:tc>
          <w:tcPr>
            <w:tcW w:w="3174" w:type="pct"/>
            <w:tcBorders>
              <w:top w:val="single" w:sz="4" w:space="0" w:color="auto"/>
              <w:bottom w:val="single" w:sz="4" w:space="0" w:color="auto"/>
              <w:right w:val="single" w:sz="4" w:space="0" w:color="auto"/>
            </w:tcBorders>
          </w:tcPr>
          <w:p w14:paraId="39135A06" w14:textId="127C7C09" w:rsidR="001C7F7C" w:rsidRDefault="001C7F7C" w:rsidP="001C7F7C">
            <w:pPr>
              <w:pStyle w:val="TableText"/>
            </w:pPr>
            <w:r w:rsidRPr="00336AE0">
              <w:t xml:space="preserve">Confirm the </w:t>
            </w:r>
            <w:r>
              <w:t>o</w:t>
            </w:r>
            <w:r w:rsidRPr="00336AE0">
              <w:t xml:space="preserve">nboard </w:t>
            </w:r>
            <w:r>
              <w:t>c</w:t>
            </w:r>
            <w:r w:rsidRPr="00336AE0">
              <w:t xml:space="preserve">harger </w:t>
            </w:r>
            <w:r>
              <w:t>c</w:t>
            </w:r>
            <w:r w:rsidRPr="00336AE0">
              <w:t xml:space="preserve">apacity of </w:t>
            </w:r>
            <w:r>
              <w:t>f</w:t>
            </w:r>
            <w:r w:rsidRPr="00336AE0">
              <w:t xml:space="preserve">leet </w:t>
            </w:r>
            <w:r>
              <w:t>v</w:t>
            </w:r>
            <w:r w:rsidRPr="00336AE0">
              <w:t>ehicles</w:t>
            </w:r>
          </w:p>
        </w:tc>
        <w:tc>
          <w:tcPr>
            <w:tcW w:w="384" w:type="pct"/>
            <w:tcBorders>
              <w:top w:val="nil"/>
              <w:left w:val="single" w:sz="4" w:space="0" w:color="auto"/>
              <w:bottom w:val="single" w:sz="4" w:space="0" w:color="auto"/>
              <w:right w:val="single" w:sz="4" w:space="0" w:color="auto"/>
            </w:tcBorders>
            <w:shd w:val="clear" w:color="auto" w:fill="auto"/>
            <w:vAlign w:val="center"/>
          </w:tcPr>
          <w:p w14:paraId="367160F0" w14:textId="77777777" w:rsidR="001C7F7C" w:rsidRPr="00C8094D" w:rsidRDefault="001C7F7C" w:rsidP="001C7F7C">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36A098FA" w14:textId="77777777" w:rsidR="001C7F7C" w:rsidRPr="00C8094D" w:rsidRDefault="001C7F7C" w:rsidP="001C7F7C">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4A1974BA" w14:textId="77777777" w:rsidR="001C7F7C" w:rsidRPr="00C8094D" w:rsidRDefault="001C7F7C" w:rsidP="001C7F7C">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4D9FEF77" w14:textId="3828010C" w:rsidR="001C7F7C" w:rsidRPr="00C8094D" w:rsidRDefault="001C7F7C" w:rsidP="001C7F7C">
            <w:pPr>
              <w:pStyle w:val="TableText"/>
            </w:pPr>
            <w:r>
              <w:t>2</w:t>
            </w:r>
          </w:p>
        </w:tc>
      </w:tr>
      <w:tr w:rsidR="005868DC" w:rsidRPr="00C8094D" w14:paraId="68FF8A21"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45989612" w14:textId="688314F0" w:rsidR="005868DC" w:rsidRDefault="005868DC" w:rsidP="005868DC">
            <w:pPr>
              <w:pStyle w:val="TableText"/>
            </w:pPr>
            <w:r>
              <w:t>(3)</w:t>
            </w:r>
          </w:p>
        </w:tc>
        <w:tc>
          <w:tcPr>
            <w:tcW w:w="3174" w:type="pct"/>
            <w:tcBorders>
              <w:top w:val="single" w:sz="4" w:space="0" w:color="auto"/>
              <w:bottom w:val="single" w:sz="4" w:space="0" w:color="auto"/>
              <w:right w:val="single" w:sz="4" w:space="0" w:color="auto"/>
            </w:tcBorders>
          </w:tcPr>
          <w:p w14:paraId="09C203B7" w14:textId="75A3ED81" w:rsidR="005868DC" w:rsidRPr="00336AE0" w:rsidRDefault="005868DC" w:rsidP="005868DC">
            <w:pPr>
              <w:pStyle w:val="TableText"/>
            </w:pPr>
            <w:r>
              <w:t>Determine the charger rating needs of vehicles</w:t>
            </w:r>
          </w:p>
        </w:tc>
        <w:tc>
          <w:tcPr>
            <w:tcW w:w="384" w:type="pct"/>
            <w:tcBorders>
              <w:top w:val="nil"/>
              <w:left w:val="single" w:sz="4" w:space="0" w:color="auto"/>
              <w:bottom w:val="single" w:sz="4" w:space="0" w:color="auto"/>
              <w:right w:val="single" w:sz="4" w:space="0" w:color="auto"/>
            </w:tcBorders>
            <w:shd w:val="clear" w:color="auto" w:fill="auto"/>
            <w:vAlign w:val="center"/>
          </w:tcPr>
          <w:p w14:paraId="7315286B" w14:textId="1BBC504B" w:rsidR="005868DC" w:rsidRDefault="005868DC" w:rsidP="005868DC">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0DBC7FC5" w14:textId="2261169A" w:rsidR="005868DC" w:rsidRDefault="005868DC" w:rsidP="005868DC">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137E5574" w14:textId="01ACE51F" w:rsidR="005868DC" w:rsidRDefault="005868DC" w:rsidP="005868DC">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70A0EF0C" w14:textId="60DE7B33" w:rsidR="005868DC" w:rsidRDefault="005868DC" w:rsidP="005868DC">
            <w:pPr>
              <w:pStyle w:val="TableText"/>
            </w:pPr>
            <w:r>
              <w:t>2</w:t>
            </w:r>
          </w:p>
        </w:tc>
      </w:tr>
      <w:tr w:rsidR="003709D6" w:rsidRPr="00C8094D" w14:paraId="2EF50E60"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0EC5DBA8" w14:textId="592135B7" w:rsidR="003709D6" w:rsidRDefault="003709D6" w:rsidP="003709D6">
            <w:pPr>
              <w:pStyle w:val="TableText"/>
            </w:pPr>
            <w:r>
              <w:t>(4)</w:t>
            </w:r>
          </w:p>
        </w:tc>
        <w:tc>
          <w:tcPr>
            <w:tcW w:w="3174" w:type="pct"/>
            <w:tcBorders>
              <w:top w:val="single" w:sz="4" w:space="0" w:color="auto"/>
              <w:bottom w:val="single" w:sz="4" w:space="0" w:color="auto"/>
              <w:right w:val="single" w:sz="4" w:space="0" w:color="auto"/>
            </w:tcBorders>
          </w:tcPr>
          <w:p w14:paraId="578869E3" w14:textId="26EF2F52" w:rsidR="003709D6" w:rsidRDefault="003709D6" w:rsidP="003709D6">
            <w:pPr>
              <w:pStyle w:val="TableText"/>
            </w:pPr>
            <w:r>
              <w:t>Explore V2G/V2L technology</w:t>
            </w:r>
          </w:p>
        </w:tc>
        <w:tc>
          <w:tcPr>
            <w:tcW w:w="384" w:type="pct"/>
            <w:tcBorders>
              <w:top w:val="nil"/>
              <w:left w:val="single" w:sz="4" w:space="0" w:color="auto"/>
              <w:bottom w:val="single" w:sz="4" w:space="0" w:color="auto"/>
              <w:right w:val="single" w:sz="4" w:space="0" w:color="auto"/>
            </w:tcBorders>
            <w:shd w:val="clear" w:color="auto" w:fill="auto"/>
            <w:vAlign w:val="center"/>
          </w:tcPr>
          <w:p w14:paraId="2753099A" w14:textId="0D6D63EB" w:rsidR="003709D6" w:rsidRDefault="003709D6" w:rsidP="003709D6">
            <w:pPr>
              <w:pStyle w:val="TableText"/>
            </w:pPr>
            <w:r>
              <w:t>$$$</w:t>
            </w:r>
          </w:p>
        </w:tc>
        <w:tc>
          <w:tcPr>
            <w:tcW w:w="384" w:type="pct"/>
            <w:tcBorders>
              <w:top w:val="single" w:sz="4" w:space="0" w:color="auto"/>
              <w:left w:val="single" w:sz="4" w:space="0" w:color="auto"/>
              <w:bottom w:val="single" w:sz="4" w:space="0" w:color="auto"/>
              <w:right w:val="single" w:sz="4" w:space="0" w:color="auto"/>
            </w:tcBorders>
            <w:vAlign w:val="center"/>
          </w:tcPr>
          <w:p w14:paraId="37A40E25" w14:textId="389EF9C0" w:rsidR="003709D6" w:rsidRDefault="003709D6" w:rsidP="003709D6">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2BBF79EF" w14:textId="45E00A40" w:rsidR="003709D6" w:rsidRDefault="003709D6" w:rsidP="003709D6">
            <w:pPr>
              <w:pStyle w:val="TableText"/>
            </w:pPr>
            <w:r>
              <w:t>2</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6BB58D27" w14:textId="3EF60860" w:rsidR="003709D6" w:rsidRDefault="003709D6" w:rsidP="003709D6">
            <w:pPr>
              <w:pStyle w:val="TableText"/>
            </w:pPr>
            <w:r>
              <w:t>3</w:t>
            </w:r>
          </w:p>
        </w:tc>
      </w:tr>
      <w:tr w:rsidR="0085153F" w:rsidRPr="00C8094D" w14:paraId="78E4108B"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6144B2B0" w14:textId="7C5854FA" w:rsidR="0085153F" w:rsidRDefault="0085153F" w:rsidP="0085153F">
            <w:pPr>
              <w:pStyle w:val="TableText"/>
            </w:pPr>
            <w:r>
              <w:t>(5)</w:t>
            </w:r>
          </w:p>
        </w:tc>
        <w:tc>
          <w:tcPr>
            <w:tcW w:w="3174" w:type="pct"/>
            <w:tcBorders>
              <w:top w:val="single" w:sz="4" w:space="0" w:color="auto"/>
              <w:bottom w:val="single" w:sz="4" w:space="0" w:color="auto"/>
              <w:right w:val="single" w:sz="4" w:space="0" w:color="auto"/>
            </w:tcBorders>
          </w:tcPr>
          <w:p w14:paraId="2387F041" w14:textId="3F97D0E8" w:rsidR="0085153F" w:rsidRDefault="0085153F" w:rsidP="0085153F">
            <w:pPr>
              <w:pStyle w:val="TableText"/>
            </w:pPr>
            <w:r>
              <w:t>Utilize networked and managed charging</w:t>
            </w:r>
          </w:p>
        </w:tc>
        <w:tc>
          <w:tcPr>
            <w:tcW w:w="384" w:type="pct"/>
            <w:tcBorders>
              <w:top w:val="nil"/>
              <w:left w:val="single" w:sz="4" w:space="0" w:color="auto"/>
              <w:bottom w:val="single" w:sz="4" w:space="0" w:color="auto"/>
              <w:right w:val="single" w:sz="4" w:space="0" w:color="auto"/>
            </w:tcBorders>
            <w:shd w:val="clear" w:color="auto" w:fill="auto"/>
            <w:vAlign w:val="center"/>
          </w:tcPr>
          <w:p w14:paraId="3118B565" w14:textId="7CC34AA2" w:rsidR="0085153F" w:rsidRDefault="0085153F" w:rsidP="0085153F">
            <w:pPr>
              <w:pStyle w:val="TableText"/>
            </w:pPr>
            <w:r>
              <w:t>$$</w:t>
            </w:r>
          </w:p>
        </w:tc>
        <w:tc>
          <w:tcPr>
            <w:tcW w:w="384" w:type="pct"/>
            <w:tcBorders>
              <w:top w:val="single" w:sz="4" w:space="0" w:color="auto"/>
              <w:left w:val="single" w:sz="4" w:space="0" w:color="auto"/>
              <w:bottom w:val="single" w:sz="4" w:space="0" w:color="auto"/>
              <w:right w:val="single" w:sz="4" w:space="0" w:color="auto"/>
            </w:tcBorders>
            <w:vAlign w:val="center"/>
          </w:tcPr>
          <w:p w14:paraId="1BF3BDFC" w14:textId="6B132588" w:rsidR="0085153F" w:rsidRDefault="0085153F" w:rsidP="0085153F">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70CC1B4D" w14:textId="5893B5D6" w:rsidR="0085153F" w:rsidRDefault="0085153F" w:rsidP="0085153F">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61403FFF" w14:textId="35B3AE15" w:rsidR="0085153F" w:rsidRDefault="0085153F" w:rsidP="0085153F">
            <w:pPr>
              <w:pStyle w:val="TableText"/>
            </w:pPr>
            <w:r>
              <w:t>2</w:t>
            </w:r>
          </w:p>
        </w:tc>
      </w:tr>
      <w:tr w:rsidR="00341D4C" w:rsidRPr="00C8094D" w14:paraId="7764C711"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6B31FF58" w14:textId="2AC1AE3B" w:rsidR="00341D4C" w:rsidRDefault="00341D4C" w:rsidP="00341D4C">
            <w:pPr>
              <w:pStyle w:val="TableText"/>
            </w:pPr>
            <w:r>
              <w:t>(6)</w:t>
            </w:r>
          </w:p>
        </w:tc>
        <w:tc>
          <w:tcPr>
            <w:tcW w:w="3174" w:type="pct"/>
            <w:tcBorders>
              <w:top w:val="single" w:sz="4" w:space="0" w:color="auto"/>
              <w:bottom w:val="single" w:sz="4" w:space="0" w:color="auto"/>
              <w:right w:val="single" w:sz="4" w:space="0" w:color="auto"/>
            </w:tcBorders>
          </w:tcPr>
          <w:p w14:paraId="781DC7B4" w14:textId="19307970" w:rsidR="00341D4C" w:rsidRDefault="00E31437" w:rsidP="00341D4C">
            <w:pPr>
              <w:pStyle w:val="TableText"/>
            </w:pPr>
            <w:r>
              <w:t>Evaluate</w:t>
            </w:r>
            <w:r w:rsidR="00341D4C">
              <w:t xml:space="preserve"> parking locations of </w:t>
            </w:r>
            <w:r w:rsidR="001D26D9">
              <w:t>EVs</w:t>
            </w:r>
          </w:p>
        </w:tc>
        <w:tc>
          <w:tcPr>
            <w:tcW w:w="384" w:type="pct"/>
            <w:tcBorders>
              <w:top w:val="nil"/>
              <w:left w:val="single" w:sz="4" w:space="0" w:color="auto"/>
              <w:bottom w:val="single" w:sz="4" w:space="0" w:color="auto"/>
              <w:right w:val="single" w:sz="4" w:space="0" w:color="auto"/>
            </w:tcBorders>
            <w:shd w:val="clear" w:color="auto" w:fill="auto"/>
            <w:vAlign w:val="center"/>
          </w:tcPr>
          <w:p w14:paraId="29834498" w14:textId="0AB35582" w:rsidR="00341D4C" w:rsidRDefault="00341D4C" w:rsidP="00341D4C">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2BEB4CF8" w14:textId="1CE40FA1" w:rsidR="00341D4C" w:rsidRDefault="00341D4C" w:rsidP="00341D4C">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7CF48016" w14:textId="74385E30" w:rsidR="00341D4C" w:rsidRDefault="00341D4C" w:rsidP="00341D4C">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4AE2BC76" w14:textId="31825B50" w:rsidR="00341D4C" w:rsidRDefault="00341D4C" w:rsidP="00341D4C">
            <w:pPr>
              <w:pStyle w:val="TableText"/>
            </w:pPr>
            <w:r>
              <w:t>1</w:t>
            </w:r>
          </w:p>
        </w:tc>
      </w:tr>
      <w:tr w:rsidR="00680512" w:rsidRPr="00C8094D" w14:paraId="31A07A6F"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3D0B9CD8" w14:textId="6E68A22A" w:rsidR="00680512" w:rsidRDefault="00680512" w:rsidP="00680512">
            <w:pPr>
              <w:pStyle w:val="TableText"/>
            </w:pPr>
            <w:r>
              <w:t>(7)</w:t>
            </w:r>
          </w:p>
        </w:tc>
        <w:tc>
          <w:tcPr>
            <w:tcW w:w="3174" w:type="pct"/>
            <w:tcBorders>
              <w:top w:val="single" w:sz="4" w:space="0" w:color="auto"/>
              <w:bottom w:val="single" w:sz="4" w:space="0" w:color="auto"/>
              <w:right w:val="single" w:sz="4" w:space="0" w:color="auto"/>
            </w:tcBorders>
          </w:tcPr>
          <w:p w14:paraId="018CDD0B" w14:textId="0131DB31" w:rsidR="00680512" w:rsidRDefault="00680512" w:rsidP="00680512">
            <w:pPr>
              <w:pStyle w:val="TableText"/>
            </w:pPr>
            <w:r>
              <w:t xml:space="preserve">Explore </w:t>
            </w:r>
            <w:r w:rsidR="00B2662C">
              <w:t xml:space="preserve">potential </w:t>
            </w:r>
            <w:r>
              <w:t>liability concerns</w:t>
            </w:r>
          </w:p>
        </w:tc>
        <w:tc>
          <w:tcPr>
            <w:tcW w:w="384" w:type="pct"/>
            <w:tcBorders>
              <w:top w:val="nil"/>
              <w:left w:val="single" w:sz="4" w:space="0" w:color="auto"/>
              <w:bottom w:val="single" w:sz="4" w:space="0" w:color="auto"/>
              <w:right w:val="single" w:sz="4" w:space="0" w:color="auto"/>
            </w:tcBorders>
            <w:shd w:val="clear" w:color="auto" w:fill="auto"/>
            <w:vAlign w:val="center"/>
          </w:tcPr>
          <w:p w14:paraId="1408A8EB" w14:textId="4BC6BDC2" w:rsidR="00680512" w:rsidRDefault="00680512" w:rsidP="00680512">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2B450282" w14:textId="302F46E2" w:rsidR="00680512" w:rsidRDefault="00471C92" w:rsidP="00680512">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117E10FB" w14:textId="6F08C96C" w:rsidR="00680512" w:rsidRDefault="00680512" w:rsidP="00680512">
            <w:pPr>
              <w:pStyle w:val="TableText"/>
            </w:pPr>
            <w:r>
              <w:t>3</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2C5E1D8D" w14:textId="3F241FC2" w:rsidR="00680512" w:rsidRDefault="00680512" w:rsidP="00680512">
            <w:pPr>
              <w:pStyle w:val="TableText"/>
            </w:pPr>
            <w:r>
              <w:t>3</w:t>
            </w:r>
          </w:p>
        </w:tc>
      </w:tr>
      <w:tr w:rsidR="004B49D3" w:rsidRPr="00C8094D" w14:paraId="1B392B28" w14:textId="77777777" w:rsidTr="004B49D3">
        <w:trPr>
          <w:cantSplit/>
          <w:trHeight w:val="255"/>
          <w:tblHeader/>
          <w:jc w:val="center"/>
        </w:trPr>
        <w:tc>
          <w:tcPr>
            <w:tcW w:w="3464" w:type="pct"/>
            <w:gridSpan w:val="2"/>
            <w:tcBorders>
              <w:top w:val="nil"/>
              <w:left w:val="single" w:sz="4" w:space="0" w:color="auto"/>
              <w:bottom w:val="single" w:sz="4" w:space="0" w:color="auto"/>
              <w:right w:val="single" w:sz="4" w:space="0" w:color="auto"/>
            </w:tcBorders>
            <w:shd w:val="clear" w:color="auto" w:fill="002060"/>
          </w:tcPr>
          <w:p w14:paraId="7EA7BE4A" w14:textId="739096A5" w:rsidR="004B49D3" w:rsidRDefault="004B49D3" w:rsidP="004B49D3">
            <w:pPr>
              <w:pStyle w:val="TableRowHeader"/>
            </w:pPr>
            <w:r>
              <w:t>Acquisition and Installation</w:t>
            </w:r>
          </w:p>
        </w:tc>
        <w:tc>
          <w:tcPr>
            <w:tcW w:w="384" w:type="pct"/>
            <w:tcBorders>
              <w:top w:val="nil"/>
              <w:left w:val="single" w:sz="4" w:space="0" w:color="auto"/>
              <w:bottom w:val="single" w:sz="4" w:space="0" w:color="auto"/>
              <w:right w:val="single" w:sz="4" w:space="0" w:color="auto"/>
            </w:tcBorders>
            <w:shd w:val="clear" w:color="auto" w:fill="002060"/>
            <w:vAlign w:val="center"/>
          </w:tcPr>
          <w:p w14:paraId="043C1333" w14:textId="014E8FD7" w:rsidR="004B49D3" w:rsidRDefault="004B49D3" w:rsidP="0068051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0FB937D0" w14:textId="41B614F3" w:rsidR="004B49D3" w:rsidRDefault="004B49D3" w:rsidP="0068051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4F9EE773" w14:textId="3E5443B4" w:rsidR="004B49D3" w:rsidRDefault="004B49D3" w:rsidP="00680512">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1E220C28" w14:textId="6F237534" w:rsidR="004B49D3" w:rsidRDefault="004B49D3" w:rsidP="00680512">
            <w:pPr>
              <w:pStyle w:val="TableText"/>
            </w:pPr>
          </w:p>
        </w:tc>
      </w:tr>
      <w:tr w:rsidR="00D06630" w:rsidRPr="00C8094D" w14:paraId="42E68C9B"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2B676D6A" w14:textId="400A83CA" w:rsidR="00D06630" w:rsidRDefault="00D06630" w:rsidP="00D06630">
            <w:pPr>
              <w:pStyle w:val="TableText"/>
            </w:pPr>
            <w:r>
              <w:t>(8)</w:t>
            </w:r>
          </w:p>
        </w:tc>
        <w:tc>
          <w:tcPr>
            <w:tcW w:w="3174" w:type="pct"/>
            <w:tcBorders>
              <w:top w:val="single" w:sz="4" w:space="0" w:color="auto"/>
              <w:bottom w:val="single" w:sz="4" w:space="0" w:color="auto"/>
              <w:right w:val="single" w:sz="4" w:space="0" w:color="auto"/>
            </w:tcBorders>
          </w:tcPr>
          <w:p w14:paraId="39DD5832" w14:textId="55680135" w:rsidR="00D06630" w:rsidRDefault="00D06630" w:rsidP="00D06630">
            <w:pPr>
              <w:pStyle w:val="TableText"/>
            </w:pPr>
            <w:r>
              <w:t>Leverage available funding programs</w:t>
            </w:r>
          </w:p>
        </w:tc>
        <w:tc>
          <w:tcPr>
            <w:tcW w:w="384" w:type="pct"/>
            <w:tcBorders>
              <w:top w:val="nil"/>
              <w:left w:val="single" w:sz="4" w:space="0" w:color="auto"/>
              <w:bottom w:val="single" w:sz="4" w:space="0" w:color="auto"/>
              <w:right w:val="single" w:sz="4" w:space="0" w:color="auto"/>
            </w:tcBorders>
            <w:shd w:val="clear" w:color="auto" w:fill="auto"/>
            <w:vAlign w:val="center"/>
          </w:tcPr>
          <w:p w14:paraId="7B8D4416" w14:textId="6B7BDDDC" w:rsidR="00D06630" w:rsidRDefault="00D06630" w:rsidP="00D06630">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7579FC98" w14:textId="09FB3451" w:rsidR="00D06630" w:rsidRDefault="00D06630" w:rsidP="00D06630">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63DC561E" w14:textId="0512B06A" w:rsidR="00D06630" w:rsidRDefault="00D06630" w:rsidP="00D06630">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16E0A354" w14:textId="390693B2" w:rsidR="00D06630" w:rsidRDefault="00D06630" w:rsidP="00D06630">
            <w:pPr>
              <w:pStyle w:val="TableText"/>
            </w:pPr>
            <w:r>
              <w:t>2</w:t>
            </w:r>
          </w:p>
        </w:tc>
      </w:tr>
      <w:tr w:rsidR="00037033" w:rsidRPr="00C8094D" w14:paraId="7334EE96"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3ABC668A" w14:textId="149DBA0F" w:rsidR="00037033" w:rsidRDefault="00037033" w:rsidP="00037033">
            <w:pPr>
              <w:pStyle w:val="TableText"/>
            </w:pPr>
            <w:r>
              <w:t>(9)</w:t>
            </w:r>
          </w:p>
        </w:tc>
        <w:tc>
          <w:tcPr>
            <w:tcW w:w="3174" w:type="pct"/>
            <w:tcBorders>
              <w:top w:val="single" w:sz="4" w:space="0" w:color="auto"/>
              <w:bottom w:val="single" w:sz="4" w:space="0" w:color="auto"/>
              <w:right w:val="single" w:sz="4" w:space="0" w:color="auto"/>
            </w:tcBorders>
          </w:tcPr>
          <w:p w14:paraId="68B6912D" w14:textId="16C45AAA" w:rsidR="00037033" w:rsidRDefault="00037033" w:rsidP="00037033">
            <w:pPr>
              <w:pStyle w:val="TableText"/>
            </w:pPr>
            <w:r>
              <w:t>Plan for long lead times</w:t>
            </w:r>
          </w:p>
        </w:tc>
        <w:tc>
          <w:tcPr>
            <w:tcW w:w="384" w:type="pct"/>
            <w:tcBorders>
              <w:top w:val="nil"/>
              <w:left w:val="single" w:sz="4" w:space="0" w:color="auto"/>
              <w:bottom w:val="single" w:sz="4" w:space="0" w:color="auto"/>
              <w:right w:val="single" w:sz="4" w:space="0" w:color="auto"/>
            </w:tcBorders>
            <w:shd w:val="clear" w:color="auto" w:fill="auto"/>
            <w:vAlign w:val="center"/>
          </w:tcPr>
          <w:p w14:paraId="3EEC4B68" w14:textId="240347DC" w:rsidR="00037033" w:rsidRDefault="00037033" w:rsidP="00037033">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0A15A961" w14:textId="2CE887B6" w:rsidR="00037033" w:rsidRDefault="00037033" w:rsidP="00037033">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7C0FA47C" w14:textId="6FAB11DA" w:rsidR="00037033" w:rsidRDefault="00037033" w:rsidP="00037033">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7F26165D" w14:textId="10D8D601" w:rsidR="00037033" w:rsidRDefault="00037033" w:rsidP="00037033">
            <w:pPr>
              <w:pStyle w:val="TableText"/>
            </w:pPr>
            <w:r>
              <w:t>1</w:t>
            </w:r>
          </w:p>
        </w:tc>
      </w:tr>
      <w:tr w:rsidR="004F5D6B" w:rsidRPr="00C8094D" w14:paraId="418FB069"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2FF26EA2" w14:textId="694A0B86" w:rsidR="004F5D6B" w:rsidRDefault="004F5D6B" w:rsidP="004F5D6B">
            <w:pPr>
              <w:pStyle w:val="TableText"/>
            </w:pPr>
            <w:r>
              <w:t>(</w:t>
            </w:r>
            <w:r w:rsidR="00A31653">
              <w:t>10</w:t>
            </w:r>
            <w:r>
              <w:t>)</w:t>
            </w:r>
          </w:p>
        </w:tc>
        <w:tc>
          <w:tcPr>
            <w:tcW w:w="3174" w:type="pct"/>
            <w:tcBorders>
              <w:top w:val="single" w:sz="4" w:space="0" w:color="auto"/>
              <w:bottom w:val="single" w:sz="4" w:space="0" w:color="auto"/>
              <w:right w:val="single" w:sz="4" w:space="0" w:color="auto"/>
            </w:tcBorders>
          </w:tcPr>
          <w:p w14:paraId="028AF760" w14:textId="0C53DEB6" w:rsidR="004F5D6B" w:rsidRDefault="004F5D6B" w:rsidP="004F5D6B">
            <w:pPr>
              <w:pStyle w:val="TableText"/>
            </w:pPr>
            <w:r>
              <w:t>Deploy charger retractors</w:t>
            </w:r>
          </w:p>
        </w:tc>
        <w:tc>
          <w:tcPr>
            <w:tcW w:w="384" w:type="pct"/>
            <w:tcBorders>
              <w:top w:val="nil"/>
              <w:left w:val="single" w:sz="4" w:space="0" w:color="auto"/>
              <w:bottom w:val="single" w:sz="4" w:space="0" w:color="auto"/>
              <w:right w:val="single" w:sz="4" w:space="0" w:color="auto"/>
            </w:tcBorders>
            <w:shd w:val="clear" w:color="auto" w:fill="auto"/>
            <w:vAlign w:val="center"/>
          </w:tcPr>
          <w:p w14:paraId="2840CC08" w14:textId="68D5F4CD" w:rsidR="004F5D6B" w:rsidRDefault="004F5D6B" w:rsidP="004F5D6B">
            <w:pPr>
              <w:pStyle w:val="TableText"/>
            </w:pPr>
            <w:r>
              <w:t>$</w:t>
            </w:r>
          </w:p>
        </w:tc>
        <w:tc>
          <w:tcPr>
            <w:tcW w:w="384" w:type="pct"/>
            <w:tcBorders>
              <w:top w:val="single" w:sz="4" w:space="0" w:color="auto"/>
              <w:left w:val="single" w:sz="4" w:space="0" w:color="auto"/>
              <w:bottom w:val="single" w:sz="4" w:space="0" w:color="auto"/>
              <w:right w:val="single" w:sz="4" w:space="0" w:color="auto"/>
            </w:tcBorders>
            <w:vAlign w:val="center"/>
          </w:tcPr>
          <w:p w14:paraId="58E0248D" w14:textId="1C1AEB0E" w:rsidR="004F5D6B" w:rsidRDefault="00471C92" w:rsidP="004F5D6B">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29E7174E" w14:textId="45E9C801" w:rsidR="004F5D6B" w:rsidRDefault="004F5D6B" w:rsidP="004F5D6B">
            <w:pPr>
              <w:pStyle w:val="TableText"/>
            </w:pPr>
            <w:r>
              <w:t>2</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2175DC43" w14:textId="34AABAC9" w:rsidR="004F5D6B" w:rsidRDefault="004F5D6B" w:rsidP="004F5D6B">
            <w:pPr>
              <w:pStyle w:val="TableText"/>
            </w:pPr>
            <w:r>
              <w:t>1</w:t>
            </w:r>
          </w:p>
        </w:tc>
      </w:tr>
      <w:tr w:rsidR="00A31653" w:rsidRPr="00C8094D" w14:paraId="20A53417"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46E02551" w14:textId="0ABC8C48" w:rsidR="00A31653" w:rsidRDefault="00A31653" w:rsidP="00A31653">
            <w:pPr>
              <w:pStyle w:val="TableText"/>
            </w:pPr>
            <w:r>
              <w:t>(11)</w:t>
            </w:r>
          </w:p>
        </w:tc>
        <w:tc>
          <w:tcPr>
            <w:tcW w:w="3174" w:type="pct"/>
            <w:tcBorders>
              <w:top w:val="single" w:sz="4" w:space="0" w:color="auto"/>
              <w:bottom w:val="single" w:sz="4" w:space="0" w:color="auto"/>
              <w:right w:val="single" w:sz="4" w:space="0" w:color="auto"/>
            </w:tcBorders>
          </w:tcPr>
          <w:p w14:paraId="20046FC4" w14:textId="5EAAEEDC" w:rsidR="00A31653" w:rsidRDefault="00A31653" w:rsidP="00A31653">
            <w:pPr>
              <w:pStyle w:val="TableText"/>
            </w:pPr>
            <w:r>
              <w:t>Purchase charger warranties</w:t>
            </w:r>
          </w:p>
        </w:tc>
        <w:tc>
          <w:tcPr>
            <w:tcW w:w="384" w:type="pct"/>
            <w:tcBorders>
              <w:top w:val="nil"/>
              <w:left w:val="single" w:sz="4" w:space="0" w:color="auto"/>
              <w:bottom w:val="single" w:sz="4" w:space="0" w:color="auto"/>
              <w:right w:val="single" w:sz="4" w:space="0" w:color="auto"/>
            </w:tcBorders>
            <w:shd w:val="clear" w:color="auto" w:fill="auto"/>
            <w:vAlign w:val="center"/>
          </w:tcPr>
          <w:p w14:paraId="654075C9" w14:textId="6B7EB67A" w:rsidR="00A31653" w:rsidRDefault="00A31653" w:rsidP="00A31653">
            <w:pPr>
              <w:pStyle w:val="TableText"/>
            </w:pPr>
            <w:r>
              <w:t>$</w:t>
            </w:r>
          </w:p>
        </w:tc>
        <w:tc>
          <w:tcPr>
            <w:tcW w:w="384" w:type="pct"/>
            <w:tcBorders>
              <w:top w:val="single" w:sz="4" w:space="0" w:color="auto"/>
              <w:left w:val="single" w:sz="4" w:space="0" w:color="auto"/>
              <w:bottom w:val="single" w:sz="4" w:space="0" w:color="auto"/>
              <w:right w:val="single" w:sz="4" w:space="0" w:color="auto"/>
            </w:tcBorders>
            <w:vAlign w:val="center"/>
          </w:tcPr>
          <w:p w14:paraId="74F39A13" w14:textId="772B6339" w:rsidR="00A31653" w:rsidRDefault="00A31653" w:rsidP="00A31653">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406AC6FC" w14:textId="568A7A1E" w:rsidR="00A31653" w:rsidRDefault="00A31653" w:rsidP="00A31653">
            <w:pPr>
              <w:pStyle w:val="TableText"/>
            </w:pPr>
            <w:r>
              <w:t>2</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5B608398" w14:textId="197BA6D8" w:rsidR="00A31653" w:rsidRDefault="00A31653" w:rsidP="00A31653">
            <w:pPr>
              <w:pStyle w:val="TableText"/>
            </w:pPr>
            <w:r>
              <w:t>1</w:t>
            </w:r>
          </w:p>
        </w:tc>
      </w:tr>
      <w:tr w:rsidR="00574257" w:rsidRPr="00C8094D" w14:paraId="5C52ED22" w14:textId="77777777" w:rsidTr="00574257">
        <w:trPr>
          <w:cantSplit/>
          <w:trHeight w:val="255"/>
          <w:tblHeader/>
          <w:jc w:val="center"/>
        </w:trPr>
        <w:tc>
          <w:tcPr>
            <w:tcW w:w="3464" w:type="pct"/>
            <w:gridSpan w:val="2"/>
            <w:tcBorders>
              <w:top w:val="nil"/>
              <w:left w:val="single" w:sz="4" w:space="0" w:color="auto"/>
              <w:bottom w:val="single" w:sz="4" w:space="0" w:color="auto"/>
              <w:right w:val="single" w:sz="4" w:space="0" w:color="auto"/>
            </w:tcBorders>
            <w:shd w:val="clear" w:color="auto" w:fill="002060"/>
          </w:tcPr>
          <w:p w14:paraId="487DE153" w14:textId="68071E93" w:rsidR="00574257" w:rsidRDefault="00527A69" w:rsidP="00527A69">
            <w:pPr>
              <w:pStyle w:val="TableRowHeader"/>
            </w:pPr>
            <w:r>
              <w:t>Operations and Maintenance</w:t>
            </w:r>
          </w:p>
        </w:tc>
        <w:tc>
          <w:tcPr>
            <w:tcW w:w="384" w:type="pct"/>
            <w:tcBorders>
              <w:top w:val="nil"/>
              <w:left w:val="single" w:sz="4" w:space="0" w:color="auto"/>
              <w:bottom w:val="single" w:sz="4" w:space="0" w:color="auto"/>
              <w:right w:val="single" w:sz="4" w:space="0" w:color="auto"/>
            </w:tcBorders>
            <w:shd w:val="clear" w:color="auto" w:fill="002060"/>
            <w:vAlign w:val="center"/>
          </w:tcPr>
          <w:p w14:paraId="203A0259" w14:textId="77777777" w:rsidR="00574257" w:rsidRDefault="00574257" w:rsidP="00A31653">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6C78D7F6" w14:textId="77777777" w:rsidR="00574257" w:rsidRDefault="00574257" w:rsidP="00A31653">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7301EB14" w14:textId="77777777" w:rsidR="00574257" w:rsidRDefault="00574257" w:rsidP="00A31653">
            <w:pPr>
              <w:pStyle w:val="TableText"/>
            </w:pPr>
          </w:p>
        </w:tc>
        <w:tc>
          <w:tcPr>
            <w:tcW w:w="384" w:type="pct"/>
            <w:tcBorders>
              <w:top w:val="single" w:sz="4" w:space="0" w:color="auto"/>
              <w:left w:val="single" w:sz="4" w:space="0" w:color="auto"/>
              <w:bottom w:val="single" w:sz="4" w:space="0" w:color="auto"/>
              <w:right w:val="single" w:sz="4" w:space="0" w:color="auto"/>
            </w:tcBorders>
            <w:shd w:val="clear" w:color="auto" w:fill="002060"/>
            <w:vAlign w:val="center"/>
          </w:tcPr>
          <w:p w14:paraId="2BA46211" w14:textId="77777777" w:rsidR="00574257" w:rsidRDefault="00574257" w:rsidP="00A31653">
            <w:pPr>
              <w:pStyle w:val="TableText"/>
            </w:pPr>
          </w:p>
        </w:tc>
      </w:tr>
      <w:tr w:rsidR="00574257" w:rsidRPr="00C8094D" w14:paraId="3B91AD5F"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260738CB" w14:textId="78C590DE" w:rsidR="00574257" w:rsidRDefault="00574257" w:rsidP="00574257">
            <w:pPr>
              <w:pStyle w:val="TableText"/>
            </w:pPr>
            <w:r>
              <w:t>(12)</w:t>
            </w:r>
          </w:p>
        </w:tc>
        <w:tc>
          <w:tcPr>
            <w:tcW w:w="3174" w:type="pct"/>
            <w:tcBorders>
              <w:top w:val="single" w:sz="4" w:space="0" w:color="auto"/>
              <w:bottom w:val="single" w:sz="4" w:space="0" w:color="auto"/>
              <w:right w:val="single" w:sz="4" w:space="0" w:color="auto"/>
            </w:tcBorders>
          </w:tcPr>
          <w:p w14:paraId="7E1A90B2" w14:textId="3E8BB2ED" w:rsidR="00574257" w:rsidRDefault="00574257" w:rsidP="00574257">
            <w:pPr>
              <w:pStyle w:val="TableText"/>
            </w:pPr>
            <w:r>
              <w:t>Develop a maintenance plan</w:t>
            </w:r>
          </w:p>
        </w:tc>
        <w:tc>
          <w:tcPr>
            <w:tcW w:w="384" w:type="pct"/>
            <w:tcBorders>
              <w:top w:val="nil"/>
              <w:left w:val="single" w:sz="4" w:space="0" w:color="auto"/>
              <w:bottom w:val="single" w:sz="4" w:space="0" w:color="auto"/>
              <w:right w:val="single" w:sz="4" w:space="0" w:color="auto"/>
            </w:tcBorders>
            <w:shd w:val="clear" w:color="auto" w:fill="auto"/>
            <w:vAlign w:val="center"/>
          </w:tcPr>
          <w:p w14:paraId="5C2DEB68" w14:textId="4C4D328B" w:rsidR="00574257" w:rsidRDefault="00574257" w:rsidP="00574257">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68ACE09A" w14:textId="3AEE7383" w:rsidR="00574257" w:rsidRDefault="00471C92" w:rsidP="00574257">
            <w:pPr>
              <w:pStyle w:val="TableText"/>
            </w:pPr>
            <w:r>
              <w:t>$</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4B315C65" w14:textId="29967997" w:rsidR="00574257" w:rsidRDefault="00574257" w:rsidP="00574257">
            <w:pPr>
              <w:pStyle w:val="TableText"/>
            </w:pPr>
            <w:r>
              <w:t>1</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3FB27079" w14:textId="0CC35D1E" w:rsidR="00574257" w:rsidRDefault="00574257" w:rsidP="00574257">
            <w:pPr>
              <w:pStyle w:val="TableText"/>
            </w:pPr>
            <w:r>
              <w:t>2</w:t>
            </w:r>
          </w:p>
        </w:tc>
      </w:tr>
      <w:tr w:rsidR="00574257" w:rsidRPr="00C8094D" w14:paraId="4260B07A" w14:textId="77777777" w:rsidTr="000445E9">
        <w:trPr>
          <w:cantSplit/>
          <w:trHeight w:val="255"/>
          <w:tblHeader/>
          <w:jc w:val="center"/>
        </w:trPr>
        <w:tc>
          <w:tcPr>
            <w:tcW w:w="290" w:type="pct"/>
            <w:tcBorders>
              <w:top w:val="nil"/>
              <w:left w:val="single" w:sz="4" w:space="0" w:color="auto"/>
              <w:bottom w:val="single" w:sz="4" w:space="0" w:color="auto"/>
            </w:tcBorders>
            <w:shd w:val="clear" w:color="auto" w:fill="auto"/>
          </w:tcPr>
          <w:p w14:paraId="5D7098F7" w14:textId="36204875" w:rsidR="00574257" w:rsidRDefault="00574257" w:rsidP="00574257">
            <w:pPr>
              <w:pStyle w:val="TableText"/>
            </w:pPr>
            <w:r>
              <w:t>(13)</w:t>
            </w:r>
          </w:p>
        </w:tc>
        <w:tc>
          <w:tcPr>
            <w:tcW w:w="3174" w:type="pct"/>
            <w:tcBorders>
              <w:top w:val="single" w:sz="4" w:space="0" w:color="auto"/>
              <w:bottom w:val="single" w:sz="4" w:space="0" w:color="auto"/>
              <w:right w:val="single" w:sz="4" w:space="0" w:color="auto"/>
            </w:tcBorders>
          </w:tcPr>
          <w:p w14:paraId="43A91785" w14:textId="66578898" w:rsidR="00574257" w:rsidRDefault="00574257" w:rsidP="00574257">
            <w:pPr>
              <w:pStyle w:val="TableText"/>
            </w:pPr>
            <w:r>
              <w:t>Create expectations for charger</w:t>
            </w:r>
            <w:r w:rsidR="00897107">
              <w:t xml:space="preserve"> use</w:t>
            </w:r>
            <w:r>
              <w:t xml:space="preserve"> etiquette </w:t>
            </w:r>
          </w:p>
        </w:tc>
        <w:tc>
          <w:tcPr>
            <w:tcW w:w="384" w:type="pct"/>
            <w:tcBorders>
              <w:top w:val="nil"/>
              <w:left w:val="single" w:sz="4" w:space="0" w:color="auto"/>
              <w:bottom w:val="single" w:sz="4" w:space="0" w:color="auto"/>
              <w:right w:val="single" w:sz="4" w:space="0" w:color="auto"/>
            </w:tcBorders>
            <w:shd w:val="clear" w:color="auto" w:fill="auto"/>
            <w:vAlign w:val="center"/>
          </w:tcPr>
          <w:p w14:paraId="48F81059" w14:textId="77777777" w:rsidR="00574257" w:rsidRPr="00C8094D" w:rsidRDefault="00574257" w:rsidP="00574257">
            <w:pPr>
              <w:pStyle w:val="TableText"/>
            </w:pPr>
            <w:r>
              <w:t>0</w:t>
            </w:r>
          </w:p>
        </w:tc>
        <w:tc>
          <w:tcPr>
            <w:tcW w:w="384" w:type="pct"/>
            <w:tcBorders>
              <w:top w:val="single" w:sz="4" w:space="0" w:color="auto"/>
              <w:left w:val="single" w:sz="4" w:space="0" w:color="auto"/>
              <w:bottom w:val="single" w:sz="4" w:space="0" w:color="auto"/>
              <w:right w:val="single" w:sz="4" w:space="0" w:color="auto"/>
            </w:tcBorders>
            <w:vAlign w:val="center"/>
          </w:tcPr>
          <w:p w14:paraId="6F9807A9" w14:textId="77777777" w:rsidR="00574257" w:rsidRPr="00C8094D" w:rsidRDefault="00574257" w:rsidP="00574257">
            <w:pPr>
              <w:pStyle w:val="TableText"/>
            </w:pPr>
            <w:r>
              <w:t>0</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366ADCB9" w14:textId="77777777" w:rsidR="00574257" w:rsidRPr="00C8094D" w:rsidRDefault="00574257" w:rsidP="00574257">
            <w:pPr>
              <w:pStyle w:val="TableText"/>
            </w:pPr>
            <w:r>
              <w:t>3</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14:paraId="3CA288A3" w14:textId="77777777" w:rsidR="00574257" w:rsidRPr="00C8094D" w:rsidRDefault="00574257" w:rsidP="00574257">
            <w:pPr>
              <w:pStyle w:val="TableText"/>
            </w:pPr>
            <w:r>
              <w:t>2</w:t>
            </w:r>
          </w:p>
        </w:tc>
      </w:tr>
      <w:tr w:rsidR="00527A69" w:rsidRPr="00C8094D" w14:paraId="6094A8BA" w14:textId="77777777" w:rsidTr="00527A69">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D881CED" w14:textId="77777777" w:rsidR="00527A69" w:rsidRPr="00527A69" w:rsidRDefault="00527A69" w:rsidP="00527A69">
            <w:pPr>
              <w:rPr>
                <w:rFonts w:ascii="Arial" w:hAnsi="Arial" w:cs="Arial"/>
                <w:b/>
                <w:bCs/>
                <w:sz w:val="20"/>
                <w:szCs w:val="20"/>
                <w:u w:val="single"/>
              </w:rPr>
            </w:pPr>
            <w:r w:rsidRPr="00527A69">
              <w:rPr>
                <w:rFonts w:ascii="Arial" w:hAnsi="Arial" w:cs="Arial"/>
                <w:b/>
                <w:bCs/>
                <w:sz w:val="20"/>
                <w:szCs w:val="20"/>
                <w:u w:val="single"/>
              </w:rPr>
              <w:t>Key:</w:t>
            </w:r>
          </w:p>
          <w:p w14:paraId="29CA79AE" w14:textId="77777777" w:rsidR="00527A69" w:rsidRPr="00527A69" w:rsidRDefault="00527A69" w:rsidP="00527A69">
            <w:pPr>
              <w:rPr>
                <w:rFonts w:ascii="Arial" w:hAnsi="Arial" w:cs="Arial"/>
                <w:sz w:val="20"/>
                <w:szCs w:val="20"/>
              </w:rPr>
            </w:pPr>
            <w:r w:rsidRPr="00527A69">
              <w:rPr>
                <w:rFonts w:ascii="Arial" w:hAnsi="Arial" w:cs="Arial"/>
                <w:b/>
                <w:bCs/>
                <w:sz w:val="20"/>
                <w:szCs w:val="20"/>
              </w:rPr>
              <w:t>Cost:</w:t>
            </w:r>
            <w:r w:rsidRPr="00527A69">
              <w:rPr>
                <w:rFonts w:ascii="Arial" w:hAnsi="Arial" w:cs="Arial"/>
                <w:sz w:val="20"/>
                <w:szCs w:val="20"/>
              </w:rPr>
              <w:t xml:space="preserve"> 0 = no cost; $ = low cost (&lt;$25k), $$ = medium cost ($25-100k), $$$ = high cost (&gt;$100k) </w:t>
            </w:r>
          </w:p>
          <w:p w14:paraId="57AAC9EC" w14:textId="0CE100C8" w:rsidR="00527A69" w:rsidRPr="00527A69" w:rsidRDefault="00527A69" w:rsidP="00527A69">
            <w:pPr>
              <w:rPr>
                <w:rFonts w:ascii="Arial" w:hAnsi="Arial" w:cs="Arial"/>
                <w:sz w:val="20"/>
                <w:szCs w:val="20"/>
              </w:rPr>
            </w:pPr>
            <w:r w:rsidRPr="00527A69">
              <w:rPr>
                <w:rFonts w:ascii="Arial" w:hAnsi="Arial" w:cs="Arial"/>
                <w:b/>
                <w:bCs/>
                <w:sz w:val="20"/>
                <w:szCs w:val="20"/>
              </w:rPr>
              <w:t>Implementation Timeframe:</w:t>
            </w:r>
            <w:r w:rsidRPr="00527A69">
              <w:rPr>
                <w:rFonts w:ascii="Arial" w:hAnsi="Arial" w:cs="Arial"/>
                <w:sz w:val="20"/>
                <w:szCs w:val="20"/>
              </w:rPr>
              <w:t xml:space="preserve"> 1 = near-term (0-3 months); 2 = medium-term (4-12 months); 3 = long-term (</w:t>
            </w:r>
            <w:r w:rsidR="00960688">
              <w:rPr>
                <w:rFonts w:ascii="Arial" w:hAnsi="Arial" w:cs="Arial"/>
                <w:sz w:val="20"/>
                <w:szCs w:val="20"/>
              </w:rPr>
              <w:t>&gt;</w:t>
            </w:r>
            <w:r w:rsidRPr="00527A69">
              <w:rPr>
                <w:rFonts w:ascii="Arial" w:hAnsi="Arial" w:cs="Arial"/>
                <w:sz w:val="20"/>
                <w:szCs w:val="20"/>
              </w:rPr>
              <w:t>12 months)</w:t>
            </w:r>
          </w:p>
          <w:p w14:paraId="3419E5E1" w14:textId="456F0F2B" w:rsidR="00527A69" w:rsidRPr="00527A69" w:rsidRDefault="00527A69" w:rsidP="00527A69">
            <w:pPr>
              <w:rPr>
                <w:sz w:val="20"/>
                <w:szCs w:val="22"/>
              </w:rPr>
            </w:pPr>
            <w:r w:rsidRPr="00527A69">
              <w:rPr>
                <w:rFonts w:ascii="Arial" w:hAnsi="Arial" w:cs="Arial"/>
                <w:b/>
                <w:bCs/>
                <w:sz w:val="20"/>
                <w:szCs w:val="20"/>
              </w:rPr>
              <w:t>Ease of Implementation:</w:t>
            </w:r>
            <w:r w:rsidRPr="00527A69">
              <w:rPr>
                <w:rFonts w:ascii="Arial" w:hAnsi="Arial" w:cs="Arial"/>
                <w:sz w:val="20"/>
                <w:szCs w:val="20"/>
              </w:rPr>
              <w:t xml:space="preserve"> 1= easier to implement; 3 = more difficult to implement</w:t>
            </w:r>
          </w:p>
        </w:tc>
      </w:tr>
    </w:tbl>
    <w:p w14:paraId="576C7E7F" w14:textId="77777777" w:rsidR="002D55AE" w:rsidRDefault="002D55AE" w:rsidP="002D35FB">
      <w:pPr>
        <w:pStyle w:val="Heading3"/>
      </w:pPr>
    </w:p>
    <w:p w14:paraId="4665C676" w14:textId="218DC933" w:rsidR="002D35FB" w:rsidRDefault="002D35FB" w:rsidP="002D35FB">
      <w:pPr>
        <w:pStyle w:val="Heading3"/>
      </w:pPr>
      <w:r w:rsidRPr="00B40F18">
        <w:lastRenderedPageBreak/>
        <w:t xml:space="preserve">Barriers and Challenges </w:t>
      </w:r>
    </w:p>
    <w:p w14:paraId="497B7F53" w14:textId="2AF436FD" w:rsidR="002D35FB" w:rsidRDefault="4C8BB744" w:rsidP="006D7DE6">
      <w:pPr>
        <w:pStyle w:val="BodyTextFirstIndent"/>
      </w:pPr>
      <w:r>
        <w:t xml:space="preserve">When </w:t>
      </w:r>
      <w:r w:rsidR="498DC0ED">
        <w:t xml:space="preserve">procuring </w:t>
      </w:r>
      <w:r>
        <w:t xml:space="preserve">new EVSE, an important first step in the commissioning process is testing the compatibility of an EV and </w:t>
      </w:r>
      <w:r w:rsidR="03212440">
        <w:t xml:space="preserve">the </w:t>
      </w:r>
      <w:r>
        <w:t xml:space="preserve">charger together. If the technologies have an issue, the fix can </w:t>
      </w:r>
      <w:r w:rsidR="6521FC9B">
        <w:t xml:space="preserve">require a range of </w:t>
      </w:r>
      <w:r w:rsidR="305C99B6">
        <w:t xml:space="preserve">actions. The resolution could involve </w:t>
      </w:r>
      <w:r>
        <w:t xml:space="preserve">quick on-site </w:t>
      </w:r>
      <w:r w:rsidR="72DF3132">
        <w:t>adjustments or</w:t>
      </w:r>
      <w:r>
        <w:t xml:space="preserve"> </w:t>
      </w:r>
      <w:r w:rsidR="6F28BAC3">
        <w:t>could require</w:t>
      </w:r>
      <w:r>
        <w:t xml:space="preserve"> </w:t>
      </w:r>
      <w:r w:rsidR="125DD6E5">
        <w:t>sending the charger</w:t>
      </w:r>
      <w:r>
        <w:t xml:space="preserve"> back to the </w:t>
      </w:r>
      <w:r w:rsidR="00C37512">
        <w:t>original equipment manufacturer (</w:t>
      </w:r>
      <w:r>
        <w:t>OEM</w:t>
      </w:r>
      <w:r w:rsidR="00C37512">
        <w:t>)</w:t>
      </w:r>
      <w:r>
        <w:t xml:space="preserve"> for a repair. To avoid this scenario, </w:t>
      </w:r>
      <w:r w:rsidR="05F9B14C">
        <w:t>schools</w:t>
      </w:r>
      <w:r>
        <w:t xml:space="preserve"> should consult the OEM of the charger and the OEM of the primary vehicle it will be charging</w:t>
      </w:r>
      <w:r w:rsidR="125DD6E5">
        <w:t xml:space="preserve"> (if applicable)</w:t>
      </w:r>
      <w:r>
        <w:t xml:space="preserve"> to ensure compatibility.  </w:t>
      </w:r>
    </w:p>
    <w:p w14:paraId="21D0608E" w14:textId="50F36B56" w:rsidR="002D35FB" w:rsidRDefault="002D35FB" w:rsidP="006D7DE6">
      <w:pPr>
        <w:pStyle w:val="BodyTextFirstIndent"/>
      </w:pPr>
      <w:r>
        <w:t xml:space="preserve">Depending on the </w:t>
      </w:r>
      <w:r w:rsidR="00326AD2">
        <w:t>charger type</w:t>
      </w:r>
      <w:r>
        <w:t xml:space="preserve">, EVSE can have a high upfront cost. While there are grant programs to </w:t>
      </w:r>
      <w:r w:rsidR="00B216D7">
        <w:t>help defray</w:t>
      </w:r>
      <w:r>
        <w:t xml:space="preserve"> these costs, not every </w:t>
      </w:r>
      <w:r w:rsidR="00326AD2">
        <w:t xml:space="preserve">school </w:t>
      </w:r>
      <w:r>
        <w:t xml:space="preserve">district may qualify. In particular, DC fast chargers can be expensive </w:t>
      </w:r>
      <w:r w:rsidR="000A65E8">
        <w:t>from both an acquisition and operation</w:t>
      </w:r>
      <w:r w:rsidR="00CC70A9">
        <w:t>al</w:t>
      </w:r>
      <w:r w:rsidR="000A65E8">
        <w:t xml:space="preserve"> standpoint</w:t>
      </w:r>
      <w:r>
        <w:t xml:space="preserve">. To address this, some </w:t>
      </w:r>
      <w:r w:rsidR="00CC70A9">
        <w:t xml:space="preserve">EVSE owners </w:t>
      </w:r>
      <w:r>
        <w:t xml:space="preserve">choose to install payment </w:t>
      </w:r>
      <w:r w:rsidR="00326AD2">
        <w:t>platforms</w:t>
      </w:r>
      <w:r>
        <w:t xml:space="preserve"> on their chargers </w:t>
      </w:r>
      <w:r w:rsidR="00CC70A9">
        <w:t xml:space="preserve">as a means of </w:t>
      </w:r>
      <w:r w:rsidR="00724D41">
        <w:t xml:space="preserve">collecting </w:t>
      </w:r>
      <w:r w:rsidR="00326AD2">
        <w:t xml:space="preserve">revenue </w:t>
      </w:r>
      <w:r w:rsidR="00724D41">
        <w:t>to help offset operational costs</w:t>
      </w:r>
      <w:r>
        <w:t xml:space="preserve">. This may be a </w:t>
      </w:r>
      <w:r w:rsidR="00724D41">
        <w:t>suitable strategy for</w:t>
      </w:r>
      <w:r>
        <w:t xml:space="preserve"> reducing some of the upfront cost barriers.</w:t>
      </w:r>
    </w:p>
    <w:p w14:paraId="5214F36A" w14:textId="143EE4B7" w:rsidR="002D35FB" w:rsidRDefault="002D35FB" w:rsidP="006D7DE6">
      <w:pPr>
        <w:pStyle w:val="BodyTextFirstIndent"/>
      </w:pPr>
      <w:r>
        <w:t>A common concern for EVSE owners is how their monthly energy bill will be impacted by vehicle charging. This is an especially important consideration for districts that plan to charge vehicles during peak energy demand hours when many utilities will use dynamic pricing and increase the rate at which they are charging for electricity. While peak electrical demand hours will vary by location, the grid is typically the busiest anywhere from 9</w:t>
      </w:r>
      <w:r w:rsidR="00E32207">
        <w:t xml:space="preserve"> </w:t>
      </w:r>
      <w:r>
        <w:t>a</w:t>
      </w:r>
      <w:r w:rsidR="008171A9">
        <w:t>.</w:t>
      </w:r>
      <w:r>
        <w:t>m</w:t>
      </w:r>
      <w:r w:rsidR="008171A9">
        <w:t>.</w:t>
      </w:r>
      <w:r>
        <w:t xml:space="preserve"> to 9</w:t>
      </w:r>
      <w:r w:rsidR="008171A9">
        <w:t xml:space="preserve"> </w:t>
      </w:r>
      <w:r>
        <w:t>p</w:t>
      </w:r>
      <w:r w:rsidR="008171A9">
        <w:t>.</w:t>
      </w:r>
      <w:r>
        <w:t>m.</w:t>
      </w:r>
      <w:r>
        <w:fldChar w:fldCharType="begin"/>
      </w:r>
      <w:r w:rsidR="00801FB9">
        <w:instrText xml:space="preserve"> ADDIN ZOTERO_ITEM CSL_CITATION {"citationID":"atKm6Wtd","properties":{"formattedCitation":"\\super 90\\nosupersub{}","plainCitation":"90","noteIndex":0},"citationItems":[{"id":614,"uris":["http://zotero.org/groups/5563646/items/26284BHF"],"itemData":{"id":614,"type":"webpage","container-title":"CNET","title":"Peak and Off-Peak Energy Explainer: Here’s the Cheapest Time to Use Electricity","URL":"https://www.cnet.com/home/energy-and-utilities/peak-and-off-peak-energy-explainer-heres-the-cheapest-time-to-use-electricity/","author":[{"family":"Dellinger","given":"AJ"}],"accessed":{"date-parts":[["2024",7,17]]}}}],"schema":"https://github.com/citation-style-language/schema/raw/master/csl-citation.json"} </w:instrText>
      </w:r>
      <w:r>
        <w:fldChar w:fldCharType="separate"/>
      </w:r>
      <w:r w:rsidR="00801FB9" w:rsidRPr="00801FB9">
        <w:rPr>
          <w:rFonts w:cs="Arial"/>
          <w:sz w:val="22"/>
          <w:vertAlign w:val="superscript"/>
        </w:rPr>
        <w:t>90</w:t>
      </w:r>
      <w:r>
        <w:fldChar w:fldCharType="end"/>
      </w:r>
      <w:r>
        <w:t xml:space="preserve"> </w:t>
      </w:r>
      <w:r w:rsidR="00996647">
        <w:t>Many school d</w:t>
      </w:r>
      <w:r>
        <w:t xml:space="preserve">istricts have found managed charging to be a helpful strategy to reduce the impact of vehicle charging on monthly </w:t>
      </w:r>
      <w:r w:rsidR="00996647">
        <w:t>utility expenditures</w:t>
      </w:r>
      <w:r>
        <w:t>. This technology allows vehicle owners to schedule their vehicle charging sessions</w:t>
      </w:r>
      <w:r w:rsidR="005258DF">
        <w:t xml:space="preserve"> to occur at</w:t>
      </w:r>
      <w:r>
        <w:t xml:space="preserve"> times when electricity is comparatively cheaper</w:t>
      </w:r>
      <w:r w:rsidR="008171A9">
        <w:t>,</w:t>
      </w:r>
      <w:r>
        <w:t xml:space="preserve"> such as </w:t>
      </w:r>
      <w:r w:rsidR="008171A9">
        <w:t xml:space="preserve">in </w:t>
      </w:r>
      <w:r>
        <w:t xml:space="preserve">the middle of the night. While managed charging is not a </w:t>
      </w:r>
      <w:r w:rsidR="00615FF2">
        <w:t>feasible</w:t>
      </w:r>
      <w:r>
        <w:t xml:space="preserve"> solution for every district</w:t>
      </w:r>
      <w:r w:rsidR="0032560F">
        <w:t xml:space="preserve"> (</w:t>
      </w:r>
      <w:r>
        <w:t>such as those that need to utilize mid-day charging</w:t>
      </w:r>
      <w:r w:rsidR="0032560F">
        <w:t>)</w:t>
      </w:r>
      <w:r w:rsidR="00615FF2">
        <w:t>,</w:t>
      </w:r>
      <w:r>
        <w:t xml:space="preserve"> it can help </w:t>
      </w:r>
      <w:r w:rsidR="00615FF2">
        <w:t>minimize</w:t>
      </w:r>
      <w:r>
        <w:t xml:space="preserve"> charging costs</w:t>
      </w:r>
      <w:r w:rsidR="00615FF2">
        <w:t xml:space="preserve"> when implemented</w:t>
      </w:r>
      <w:r>
        <w:t xml:space="preserve">. </w:t>
      </w:r>
    </w:p>
    <w:p w14:paraId="08CAFC75" w14:textId="544ED6C5" w:rsidR="002D35FB" w:rsidRDefault="002D35FB" w:rsidP="006D7DE6">
      <w:pPr>
        <w:pStyle w:val="BodyTextFirstIndent"/>
      </w:pPr>
      <w:r w:rsidRPr="00695079">
        <w:t>Because EVSE is high-voltage equipment, some charger owners run into issues finding electricians who are certified to</w:t>
      </w:r>
      <w:r w:rsidR="0032560F" w:rsidRPr="00695079">
        <w:t xml:space="preserve"> </w:t>
      </w:r>
      <w:r w:rsidR="00ED413E" w:rsidRPr="00695079">
        <w:t xml:space="preserve">service </w:t>
      </w:r>
      <w:r w:rsidR="0032560F" w:rsidRPr="00695079">
        <w:t>them</w:t>
      </w:r>
      <w:r w:rsidRPr="00695079">
        <w:t xml:space="preserve">. </w:t>
      </w:r>
      <w:r w:rsidR="00ED413E" w:rsidRPr="00695079">
        <w:t>M</w:t>
      </w:r>
      <w:r w:rsidRPr="00695079">
        <w:t xml:space="preserve">any EVSE funding programs </w:t>
      </w:r>
      <w:r w:rsidR="00ED413E" w:rsidRPr="00695079">
        <w:t xml:space="preserve">require </w:t>
      </w:r>
      <w:r w:rsidRPr="00695079">
        <w:t xml:space="preserve">that electricians </w:t>
      </w:r>
      <w:r w:rsidR="00ED413E" w:rsidRPr="00695079">
        <w:t>performing work on</w:t>
      </w:r>
      <w:r w:rsidRPr="00695079">
        <w:t xml:space="preserve"> chargers purchased with </w:t>
      </w:r>
      <w:r w:rsidR="00D5377F" w:rsidRPr="00695079">
        <w:t>grant</w:t>
      </w:r>
      <w:r w:rsidRPr="00695079">
        <w:t xml:space="preserve"> fund</w:t>
      </w:r>
      <w:r w:rsidR="00D5377F" w:rsidRPr="00695079">
        <w:t>ing</w:t>
      </w:r>
      <w:r w:rsidRPr="00695079">
        <w:t xml:space="preserve"> be certified through the EVITP. Because this is a newer certification, many electricians may not yet be certified to work on EV charging stations. Service contracts and warranties </w:t>
      </w:r>
      <w:r w:rsidR="00F425BD" w:rsidRPr="00695079">
        <w:t xml:space="preserve">can </w:t>
      </w:r>
      <w:r w:rsidRPr="00695079">
        <w:t xml:space="preserve">help </w:t>
      </w:r>
      <w:r w:rsidR="00F425BD" w:rsidRPr="00695079">
        <w:t xml:space="preserve">connect </w:t>
      </w:r>
      <w:r w:rsidRPr="00695079">
        <w:t>EVSE owners to qualified technicians.</w:t>
      </w:r>
      <w:r>
        <w:t xml:space="preserve"> </w:t>
      </w:r>
    </w:p>
    <w:p w14:paraId="6E43CAE6" w14:textId="5983C685" w:rsidR="002D35FB" w:rsidRDefault="002D35FB" w:rsidP="006D7DE6">
      <w:pPr>
        <w:pStyle w:val="BodyTextFirstIndent"/>
      </w:pPr>
      <w:r>
        <w:t xml:space="preserve">EV chargers that are left exposed in winter conditions may experience issues such as the charger handle freezing to the charger body or a vehicle. The process of removing a frozen charger handle can be difficult and time consuming. Districts </w:t>
      </w:r>
      <w:r w:rsidR="000127F9">
        <w:t xml:space="preserve">in </w:t>
      </w:r>
      <w:r w:rsidR="000B48CB">
        <w:t xml:space="preserve">especially </w:t>
      </w:r>
      <w:r w:rsidR="000127F9">
        <w:t>cold weather climates</w:t>
      </w:r>
      <w:r>
        <w:t xml:space="preserve"> should consider installing EVSE in covered areas. </w:t>
      </w:r>
    </w:p>
    <w:p w14:paraId="39CBD4D0" w14:textId="480B500B" w:rsidR="002D35FB" w:rsidRDefault="002D35FB" w:rsidP="006D7DE6">
      <w:pPr>
        <w:pStyle w:val="BodyTextFirstIndent"/>
      </w:pPr>
      <w:r>
        <w:t>A</w:t>
      </w:r>
      <w:r w:rsidR="00523C1C">
        <w:t>nother</w:t>
      </w:r>
      <w:r>
        <w:t xml:space="preserve"> concern for EVSE located in public areas is vandalism. The vandalism of EV charging stations can include anything from graffiti, the theft of charger cables (likely for the copper inside), or purposefully short-circuiting the charger.</w:t>
      </w:r>
      <w:r>
        <w:fldChar w:fldCharType="begin"/>
      </w:r>
      <w:r w:rsidR="00801FB9">
        <w:instrText xml:space="preserve"> ADDIN ZOTERO_ITEM CSL_CITATION {"citationID":"F0j0Fhrh","properties":{"formattedCitation":"\\super 91\\nosupersub{}","plainCitation":"91","noteIndex":0},"citationItems":[{"id":613,"uris":["http://zotero.org/groups/5563646/items/AV8UL7UV"],"itemData":{"id":613,"type":"webpage","container-title":"Fox29","title":"Thieves target electric vehicle charging stations, likely for copper in cables: officials","URL":"https://www.fox29.com/news/thieves-target-electric-vehicle-charging-stations","author":[{"family":"Lee","given":"Jennifer"}],"accessed":{"date-parts":[["2024",7,17]]}}}],"schema":"https://github.com/citation-style-language/schema/raw/master/csl-citation.json"} </w:instrText>
      </w:r>
      <w:r>
        <w:fldChar w:fldCharType="separate"/>
      </w:r>
      <w:r w:rsidR="00801FB9" w:rsidRPr="00801FB9">
        <w:rPr>
          <w:rFonts w:cs="Arial"/>
          <w:sz w:val="22"/>
          <w:vertAlign w:val="superscript"/>
        </w:rPr>
        <w:t>91</w:t>
      </w:r>
      <w:r>
        <w:fldChar w:fldCharType="end"/>
      </w:r>
      <w:r>
        <w:t xml:space="preserve"> There can also be issues </w:t>
      </w:r>
      <w:r w:rsidR="000127F9">
        <w:t xml:space="preserve">with </w:t>
      </w:r>
      <w:r w:rsidR="00B64513">
        <w:t>users not treating the equipment well</w:t>
      </w:r>
      <w:r>
        <w:t xml:space="preserve">, such as someone who charges their vehicle but then leaves the cord on the ground when they leave. Solutions to curbing </w:t>
      </w:r>
      <w:r w:rsidR="008171A9">
        <w:lastRenderedPageBreak/>
        <w:t xml:space="preserve">vandalism </w:t>
      </w:r>
      <w:r>
        <w:t>include</w:t>
      </w:r>
      <w:r w:rsidR="00C52231">
        <w:t xml:space="preserve"> </w:t>
      </w:r>
      <w:r>
        <w:t xml:space="preserve">protecting chargers behind cages </w:t>
      </w:r>
      <w:r w:rsidR="00C52231">
        <w:t xml:space="preserve">and the use of retractable cables, </w:t>
      </w:r>
      <w:r>
        <w:t>bollards</w:t>
      </w:r>
      <w:r w:rsidR="006826F4">
        <w:t>,</w:t>
      </w:r>
      <w:r>
        <w:t xml:space="preserve"> and security cameras.</w:t>
      </w:r>
      <w:r>
        <w:fldChar w:fldCharType="begin"/>
      </w:r>
      <w:r w:rsidR="00801FB9">
        <w:instrText xml:space="preserve"> ADDIN ZOTERO_ITEM CSL_CITATION {"citationID":"eRYHyZxs","properties":{"formattedCitation":"\\super 92\\nosupersub{}","plainCitation":"92","noteIndex":0},"citationItems":[{"id":612,"uris":["http://zotero.org/groups/5563646/items/4RINQQUK"],"itemData":{"id":612,"type":"webpage","abstract":"The #1 trusted source of information for decision makers in the convenience industry.","container-title":"NACS - Magazine","title":"Protect Your EV Charging Station from Vandals","URL":"https://www.nacsmagazine.com/Issues/April-2024/Protect-Your-EV-Charging-Station-from-Vandals","author":[{"family":"Pape","given":"Pat"}],"accessed":{"date-parts":[["2024",7,17]]},"issued":{"date-parts":[["2024",4]]}}}],"schema":"https://github.com/citation-style-language/schema/raw/master/csl-citation.json"} </w:instrText>
      </w:r>
      <w:r>
        <w:fldChar w:fldCharType="separate"/>
      </w:r>
      <w:r w:rsidR="00801FB9" w:rsidRPr="00801FB9">
        <w:rPr>
          <w:rFonts w:cs="Arial"/>
          <w:sz w:val="22"/>
          <w:vertAlign w:val="superscript"/>
        </w:rPr>
        <w:t>92</w:t>
      </w:r>
      <w:r>
        <w:fldChar w:fldCharType="end"/>
      </w:r>
    </w:p>
    <w:p w14:paraId="34D46603" w14:textId="24AD2302" w:rsidR="00227930" w:rsidRPr="008B241F" w:rsidRDefault="3FDB3B3E" w:rsidP="001C7888">
      <w:pPr>
        <w:pStyle w:val="Heading2"/>
      </w:pPr>
      <w:bookmarkStart w:id="131" w:name="Objective_1f"/>
      <w:bookmarkStart w:id="132" w:name="_Ref177549714"/>
      <w:bookmarkStart w:id="133" w:name="_Ref177639044"/>
      <w:bookmarkStart w:id="134" w:name="_Toc193116899"/>
      <w:bookmarkEnd w:id="131"/>
      <w:r>
        <w:t>Objective 1</w:t>
      </w:r>
      <w:r w:rsidR="5BA4732C">
        <w:t>f</w:t>
      </w:r>
      <w:r>
        <w:t>. Enhance Climate Resilience</w:t>
      </w:r>
      <w:bookmarkEnd w:id="125"/>
      <w:bookmarkEnd w:id="126"/>
      <w:bookmarkEnd w:id="132"/>
      <w:bookmarkEnd w:id="133"/>
      <w:bookmarkEnd w:id="134"/>
    </w:p>
    <w:p w14:paraId="5488ADA2" w14:textId="0E9BEEAA" w:rsidR="005F10EB" w:rsidRDefault="005F10EB" w:rsidP="005F10EB">
      <w:pPr>
        <w:pStyle w:val="Heading3"/>
      </w:pPr>
      <w:bookmarkStart w:id="135" w:name="_Toc171518368"/>
      <w:bookmarkStart w:id="136" w:name="_Toc171519321"/>
      <w:r>
        <w:t>Background</w:t>
      </w:r>
      <w:r w:rsidRPr="0029407F">
        <w:t xml:space="preserve"> </w:t>
      </w:r>
    </w:p>
    <w:p w14:paraId="50494933" w14:textId="3B5BACA6" w:rsidR="00485AD9" w:rsidRPr="003966AF" w:rsidRDefault="00485AD9" w:rsidP="006D7DE6">
      <w:pPr>
        <w:pStyle w:val="BodyTextFirstIndent"/>
      </w:pPr>
      <w:r w:rsidRPr="003966AF">
        <w:t>Resilience refers to “the capacity of individuals, communities, businesses, institutions, and governments to adapt to changing conditions and prepare for, withstand, and rapidly recover from disruptions to everyday life, such as hazard events.”</w:t>
      </w:r>
      <w:r w:rsidRPr="003966AF">
        <w:fldChar w:fldCharType="begin"/>
      </w:r>
      <w:r w:rsidR="00FB6368">
        <w:instrText xml:space="preserve"> ADDIN ZOTERO_ITEM CSL_CITATION {"citationID":"a1kt97akqjj","properties":{"formattedCitation":"\\super 93\\nosupersub{}","plainCitation":"93","noteIndex":0},"citationItems":[{"id":725,"uris":["http://zotero.org/groups/5563646/items/73DR4RJP"],"itemData":{"id":725,"type":"document","language":"en","source":"Zotero","title":"ResilientMass Plan - Chapter 1 Introduction","URL":"https://www.mass.gov/doc/resilientmass-plan-chapter-1-introduction/download","author":[{"literal":"Massachusetts Executive Office of Energy and Environmental Affairs"}],"issued":{"date-parts":[["2023"]]}}}],"schema":"https://github.com/citation-style-language/schema/raw/master/csl-citation.json"} </w:instrText>
      </w:r>
      <w:r w:rsidRPr="003966AF">
        <w:fldChar w:fldCharType="separate"/>
      </w:r>
      <w:r w:rsidR="00801FB9" w:rsidRPr="00801FB9">
        <w:rPr>
          <w:rFonts w:cs="Arial"/>
          <w:vertAlign w:val="superscript"/>
        </w:rPr>
        <w:t>93</w:t>
      </w:r>
      <w:r w:rsidRPr="003966AF">
        <w:fldChar w:fldCharType="end"/>
      </w:r>
      <w:r w:rsidRPr="003966AF">
        <w:t xml:space="preserve"> Nationwide</w:t>
      </w:r>
      <w:r w:rsidR="008171A9">
        <w:t>,</w:t>
      </w:r>
      <w:r w:rsidRPr="003966AF">
        <w:t xml:space="preserve"> schools are faced with increases in lost learning time from closures due to extreme heat, wildfires, </w:t>
      </w:r>
      <w:r>
        <w:t xml:space="preserve">flooding, </w:t>
      </w:r>
      <w:r w:rsidRPr="003966AF">
        <w:t>and other extreme weather events</w:t>
      </w:r>
      <w:r>
        <w:t xml:space="preserve"> that are exacerbated by climate change</w:t>
      </w:r>
      <w:r w:rsidRPr="003966AF">
        <w:t>.</w:t>
      </w:r>
      <w:r w:rsidRPr="003966AF">
        <w:fldChar w:fldCharType="begin"/>
      </w:r>
      <w:r w:rsidR="00B3051B">
        <w:instrText xml:space="preserve"> ADDIN ZOTERO_ITEM CSL_CITATION {"citationID":"a181fipjhal","properties":{"formattedCitation":"\\super 94\\nosupersub{}","plainCitation":"94","noteIndex":0},"citationItems":[{"id":611,"uris":["http://zotero.org/groups/5563646/items/P9WTHPVV"],"itemData":{"id":611,"type":"webpage","container-title":"UndauntedK12","language":"en-US","title":"Extreme Weather, School Closures, and Lost Learning Time","URL":"https://www.undauntedk12.org/lostlearningtime","accessed":{"date-parts":[["2024",7,17]]}}}],"schema":"https://github.com/citation-style-language/schema/raw/master/csl-citation.json"} </w:instrText>
      </w:r>
      <w:r w:rsidRPr="003966AF">
        <w:fldChar w:fldCharType="separate"/>
      </w:r>
      <w:r w:rsidR="00801FB9" w:rsidRPr="00801FB9">
        <w:rPr>
          <w:rFonts w:cs="Arial"/>
          <w:vertAlign w:val="superscript"/>
        </w:rPr>
        <w:t>94</w:t>
      </w:r>
      <w:r w:rsidRPr="003966AF">
        <w:fldChar w:fldCharType="end"/>
      </w:r>
      <w:r w:rsidRPr="003966AF">
        <w:t xml:space="preserve"> </w:t>
      </w:r>
      <w:r>
        <w:t>Aging facilities and</w:t>
      </w:r>
      <w:r w:rsidRPr="003966AF">
        <w:t xml:space="preserve"> </w:t>
      </w:r>
      <w:r>
        <w:t xml:space="preserve">infrastructure, building </w:t>
      </w:r>
      <w:r w:rsidRPr="003966AF">
        <w:t>condition</w:t>
      </w:r>
      <w:r>
        <w:t>s,</w:t>
      </w:r>
      <w:r w:rsidRPr="003966AF">
        <w:t xml:space="preserve"> </w:t>
      </w:r>
      <w:r>
        <w:t>and</w:t>
      </w:r>
      <w:r w:rsidRPr="003966AF">
        <w:t xml:space="preserve"> lack of sufficient </w:t>
      </w:r>
      <w:r>
        <w:t>long-term maintenance and investments</w:t>
      </w:r>
      <w:r w:rsidRPr="003966AF">
        <w:t xml:space="preserve"> ha</w:t>
      </w:r>
      <w:r>
        <w:t>ve</w:t>
      </w:r>
      <w:r w:rsidRPr="003966AF">
        <w:t xml:space="preserve"> forced </w:t>
      </w:r>
      <w:r w:rsidR="00B81FB6">
        <w:t>school d</w:t>
      </w:r>
      <w:r w:rsidRPr="003966AF">
        <w:t>istricts to make difficult decision</w:t>
      </w:r>
      <w:r>
        <w:t>s</w:t>
      </w:r>
      <w:r w:rsidRPr="003966AF">
        <w:t xml:space="preserve"> </w:t>
      </w:r>
      <w:r>
        <w:t>regarding</w:t>
      </w:r>
      <w:r w:rsidRPr="003966AF">
        <w:t xml:space="preserve"> learning </w:t>
      </w:r>
      <w:r>
        <w:t xml:space="preserve">disruption </w:t>
      </w:r>
      <w:r w:rsidRPr="003966AF">
        <w:t xml:space="preserve">to </w:t>
      </w:r>
      <w:r>
        <w:t xml:space="preserve">protect </w:t>
      </w:r>
      <w:r w:rsidRPr="003966AF">
        <w:t xml:space="preserve">students and staff </w:t>
      </w:r>
      <w:r>
        <w:t>from</w:t>
      </w:r>
      <w:r w:rsidRPr="003966AF">
        <w:t xml:space="preserve"> unhealthy conditions </w:t>
      </w:r>
      <w:r>
        <w:t>related to hazards</w:t>
      </w:r>
      <w:r w:rsidRPr="003966AF">
        <w:t xml:space="preserve">. </w:t>
      </w:r>
      <w:r>
        <w:t>In addition to providing critical education facilities, s</w:t>
      </w:r>
      <w:r w:rsidRPr="003966AF">
        <w:t>chools serve the broader community in times of need as emergency shelters, food and aid distribution sites, cooling centers</w:t>
      </w:r>
      <w:r>
        <w:t>, and resilience hubs</w:t>
      </w:r>
      <w:r w:rsidRPr="003966AF">
        <w:t>.</w:t>
      </w:r>
      <w:r w:rsidR="00863294">
        <w:t xml:space="preserve"> Thes</w:t>
      </w:r>
      <w:r w:rsidR="000A53D1">
        <w:t xml:space="preserve">e </w:t>
      </w:r>
      <w:r w:rsidR="008B0EB8">
        <w:t>roles</w:t>
      </w:r>
      <w:r w:rsidR="00101062">
        <w:t xml:space="preserve"> servicing</w:t>
      </w:r>
      <w:r w:rsidR="000A53D1">
        <w:t xml:space="preserve"> the broader community</w:t>
      </w:r>
      <w:r w:rsidR="001B2251">
        <w:t xml:space="preserve"> require </w:t>
      </w:r>
      <w:r w:rsidR="005944F1">
        <w:t xml:space="preserve">close </w:t>
      </w:r>
      <w:r w:rsidR="001B2251">
        <w:t>coordinat</w:t>
      </w:r>
      <w:r w:rsidR="00C37512">
        <w:t>ion</w:t>
      </w:r>
      <w:r w:rsidR="00FD5ADF">
        <w:t xml:space="preserve"> </w:t>
      </w:r>
      <w:r w:rsidR="005944F1">
        <w:t xml:space="preserve">between schools and </w:t>
      </w:r>
      <w:r w:rsidR="002E48CB">
        <w:t>local</w:t>
      </w:r>
      <w:r w:rsidR="00FD5ADF">
        <w:t xml:space="preserve"> municipal programs working on climate resilience.</w:t>
      </w:r>
      <w:r w:rsidRPr="003966AF">
        <w:t xml:space="preserve"> </w:t>
      </w:r>
      <w:r>
        <w:t>To reduce educational disruptions associated with natural hazards, a</w:t>
      </w:r>
      <w:r w:rsidRPr="003966AF">
        <w:t xml:space="preserve">n increasing number of </w:t>
      </w:r>
      <w:r w:rsidR="00C46555">
        <w:t>school d</w:t>
      </w:r>
      <w:r w:rsidRPr="003966AF">
        <w:t xml:space="preserve">istricts have passed climate resilience resolutions to </w:t>
      </w:r>
      <w:r>
        <w:t>encourage comprehensive</w:t>
      </w:r>
      <w:r w:rsidRPr="003966AF">
        <w:t xml:space="preserve"> planning and </w:t>
      </w:r>
      <w:r>
        <w:t xml:space="preserve">associated </w:t>
      </w:r>
      <w:r w:rsidRPr="003966AF">
        <w:t>infrastructure improvements.</w:t>
      </w:r>
    </w:p>
    <w:p w14:paraId="56471AE1" w14:textId="7BCC7F94" w:rsidR="00213409" w:rsidRPr="003966AF" w:rsidRDefault="00F569EF" w:rsidP="006D7DE6">
      <w:pPr>
        <w:pStyle w:val="BodyTextFirstIndent"/>
      </w:pPr>
      <w:r>
        <w:rPr>
          <w:noProof/>
        </w:rPr>
        <mc:AlternateContent>
          <mc:Choice Requires="wps">
            <w:drawing>
              <wp:anchor distT="0" distB="0" distL="114300" distR="114300" simplePos="0" relativeHeight="251642368" behindDoc="0" locked="0" layoutInCell="1" allowOverlap="1" wp14:anchorId="6BD8A4FC" wp14:editId="555825A5">
                <wp:simplePos x="0" y="0"/>
                <wp:positionH relativeFrom="margin">
                  <wp:posOffset>3302000</wp:posOffset>
                </wp:positionH>
                <wp:positionV relativeFrom="paragraph">
                  <wp:posOffset>574968</wp:posOffset>
                </wp:positionV>
                <wp:extent cx="2799080" cy="2497455"/>
                <wp:effectExtent l="0" t="0" r="7620" b="17145"/>
                <wp:wrapSquare wrapText="bothSides"/>
                <wp:docPr id="1862931139" name="Text Box 1"/>
                <wp:cNvGraphicFramePr/>
                <a:graphic xmlns:a="http://schemas.openxmlformats.org/drawingml/2006/main">
                  <a:graphicData uri="http://schemas.microsoft.com/office/word/2010/wordprocessingShape">
                    <wps:wsp>
                      <wps:cNvSpPr txBox="1"/>
                      <wps:spPr bwMode="auto">
                        <a:xfrm>
                          <a:off x="0" y="0"/>
                          <a:ext cx="2799080" cy="2497455"/>
                        </a:xfrm>
                        <a:prstGeom prst="rect">
                          <a:avLst/>
                        </a:prstGeom>
                        <a:solidFill>
                          <a:schemeClr val="accent1">
                            <a:lumMod val="20000"/>
                            <a:lumOff val="80000"/>
                          </a:schemeClr>
                        </a:solidFill>
                        <a:ln w="9525">
                          <a:solidFill>
                            <a:schemeClr val="tx1"/>
                          </a:solidFill>
                          <a:miter lim="800000"/>
                          <a:headEnd/>
                          <a:tailEnd/>
                        </a:ln>
                      </wps:spPr>
                      <wps:txbx>
                        <w:txbxContent>
                          <w:p w14:paraId="52B57A5A" w14:textId="2DFE131D" w:rsidR="00A12CBD" w:rsidRDefault="002761DA" w:rsidP="00A12CBD">
                            <w:pPr>
                              <w:pStyle w:val="TextBoxTitle"/>
                            </w:pPr>
                            <w:r>
                              <w:t xml:space="preserve">Impacts to </w:t>
                            </w:r>
                            <w:r w:rsidR="00A12CBD">
                              <w:t xml:space="preserve">Schools </w:t>
                            </w:r>
                            <w:r w:rsidR="00421865">
                              <w:t>N</w:t>
                            </w:r>
                            <w:r w:rsidR="009A24AE">
                              <w:t>oted in</w:t>
                            </w:r>
                            <w:r w:rsidR="003D62BB">
                              <w:t xml:space="preserve"> the</w:t>
                            </w:r>
                            <w:r w:rsidR="00B01341">
                              <w:t xml:space="preserve"> </w:t>
                            </w:r>
                            <w:r w:rsidR="003D62BB">
                              <w:t xml:space="preserve">2022 </w:t>
                            </w:r>
                            <w:hyperlink r:id="rId64" w:history="1">
                              <w:r w:rsidR="00B01341" w:rsidRPr="00904B95">
                                <w:rPr>
                                  <w:rStyle w:val="Hyperlink"/>
                                </w:rPr>
                                <w:t xml:space="preserve">Massachusetts Climate </w:t>
                              </w:r>
                              <w:r w:rsidR="0045389D" w:rsidRPr="00904B95">
                                <w:rPr>
                                  <w:rStyle w:val="Hyperlink"/>
                                </w:rPr>
                                <w:t xml:space="preserve">Change </w:t>
                              </w:r>
                              <w:r w:rsidR="00B01341" w:rsidRPr="00904B95">
                                <w:rPr>
                                  <w:rStyle w:val="Hyperlink"/>
                                </w:rPr>
                                <w:t>Assessment</w:t>
                              </w:r>
                            </w:hyperlink>
                          </w:p>
                          <w:p w14:paraId="1723B0EE" w14:textId="4B60342B" w:rsidR="00A12CBD" w:rsidRDefault="003D36EA" w:rsidP="008B45B5">
                            <w:pPr>
                              <w:pStyle w:val="ListParagraph"/>
                            </w:pPr>
                            <w:r>
                              <w:t>Missed school</w:t>
                            </w:r>
                            <w:r w:rsidR="000020A5">
                              <w:t xml:space="preserve"> days</w:t>
                            </w:r>
                            <w:r w:rsidR="006E0E2E">
                              <w:t xml:space="preserve"> (and missed work for caretakers)</w:t>
                            </w:r>
                          </w:p>
                          <w:p w14:paraId="005C623A" w14:textId="10CB967B" w:rsidR="000020A5" w:rsidRDefault="00CE5A94" w:rsidP="008B45B5">
                            <w:pPr>
                              <w:pStyle w:val="ListParagraph"/>
                            </w:pPr>
                            <w:r>
                              <w:t>Early closure</w:t>
                            </w:r>
                            <w:r w:rsidR="002761DA">
                              <w:t>s</w:t>
                            </w:r>
                            <w:r>
                              <w:t xml:space="preserve"> due to </w:t>
                            </w:r>
                            <w:r w:rsidR="00676A35">
                              <w:t>extreme</w:t>
                            </w:r>
                            <w:r>
                              <w:t xml:space="preserve"> heat</w:t>
                            </w:r>
                          </w:p>
                          <w:p w14:paraId="6DA15E75" w14:textId="67FD5238" w:rsidR="003F3683" w:rsidRDefault="00795CE0" w:rsidP="008B45B5">
                            <w:pPr>
                              <w:pStyle w:val="ListParagraph"/>
                            </w:pPr>
                            <w:r>
                              <w:t xml:space="preserve">Decreased test performance </w:t>
                            </w:r>
                            <w:r w:rsidR="00676A35">
                              <w:t>due to</w:t>
                            </w:r>
                            <w:r>
                              <w:t xml:space="preserve"> </w:t>
                            </w:r>
                            <w:r w:rsidR="00676A35">
                              <w:t>extreme</w:t>
                            </w:r>
                            <w:r>
                              <w:t xml:space="preserve"> heat</w:t>
                            </w:r>
                          </w:p>
                          <w:p w14:paraId="028104DC" w14:textId="07CFC7F9" w:rsidR="00EA500F" w:rsidRDefault="00321450" w:rsidP="008B45B5">
                            <w:pPr>
                              <w:pStyle w:val="ListParagraph"/>
                            </w:pPr>
                            <w:r>
                              <w:t>Shifting enrollment from climate migration</w:t>
                            </w:r>
                          </w:p>
                          <w:p w14:paraId="3E9DA448" w14:textId="57B654F1" w:rsidR="002761DA" w:rsidRPr="00C61717" w:rsidRDefault="0029147B" w:rsidP="008B45B5">
                            <w:pPr>
                              <w:pStyle w:val="ListParagraph"/>
                            </w:pPr>
                            <w:r>
                              <w:t>B</w:t>
                            </w:r>
                            <w:r w:rsidR="00E70C70">
                              <w:t>udget pressure</w:t>
                            </w:r>
                            <w:r>
                              <w:t>s</w:t>
                            </w:r>
                            <w:r w:rsidR="00E70C70">
                              <w:t xml:space="preserve"> from </w:t>
                            </w:r>
                            <w:r w:rsidR="0007595A">
                              <w:t>climate hazard damage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D8A4FC" id="_x0000_s1042" type="#_x0000_t202" style="position:absolute;margin-left:260pt;margin-top:45.25pt;width:220.4pt;height:196.6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" fillcolor="#dbe5f1 [660]" strokecolor="black [3213]">
                <v:textbox>
                  <w:txbxContent>
                    <w:p w14:paraId="52B57A5A" w14:textId="2DFE131D" w:rsidR="00A12CBD" w:rsidRDefault="002761DA" w:rsidP="00A12CBD">
                      <w:pPr>
                        <w:pStyle w:val="TextBoxTitle"/>
                      </w:pPr>
                      <w:r>
                        <w:t xml:space="preserve">Impacts to </w:t>
                      </w:r>
                      <w:r w:rsidR="00A12CBD">
                        <w:t xml:space="preserve">Schools </w:t>
                      </w:r>
                      <w:r w:rsidR="00421865">
                        <w:t>N</w:t>
                      </w:r>
                      <w:r w:rsidR="009A24AE">
                        <w:t>oted in</w:t>
                      </w:r>
                      <w:r w:rsidR="003D62BB">
                        <w:t xml:space="preserve"> the</w:t>
                      </w:r>
                      <w:r w:rsidR="00B01341">
                        <w:t xml:space="preserve"> </w:t>
                      </w:r>
                      <w:r w:rsidR="003D62BB">
                        <w:t xml:space="preserve">2022 </w:t>
                      </w:r>
                      <w:hyperlink r:id="rId65" w:history="1">
                        <w:r w:rsidR="00B01341" w:rsidRPr="00904B95">
                          <w:rPr>
                            <w:rStyle w:val="Hyperlink"/>
                          </w:rPr>
                          <w:t xml:space="preserve">Massachusetts Climate </w:t>
                        </w:r>
                        <w:r w:rsidR="0045389D" w:rsidRPr="00904B95">
                          <w:rPr>
                            <w:rStyle w:val="Hyperlink"/>
                          </w:rPr>
                          <w:t xml:space="preserve">Change </w:t>
                        </w:r>
                        <w:r w:rsidR="00B01341" w:rsidRPr="00904B95">
                          <w:rPr>
                            <w:rStyle w:val="Hyperlink"/>
                          </w:rPr>
                          <w:t>Assessment</w:t>
                        </w:r>
                      </w:hyperlink>
                    </w:p>
                    <w:p w14:paraId="1723B0EE" w14:textId="4B60342B" w:rsidR="00A12CBD" w:rsidRDefault="003D36EA" w:rsidP="008B45B5">
                      <w:pPr>
                        <w:pStyle w:val="ListParagraph"/>
                      </w:pPr>
                      <w:r>
                        <w:t>Missed school</w:t>
                      </w:r>
                      <w:r w:rsidR="000020A5">
                        <w:t xml:space="preserve"> days</w:t>
                      </w:r>
                      <w:r w:rsidR="006E0E2E">
                        <w:t xml:space="preserve"> (and missed work for caretakers)</w:t>
                      </w:r>
                    </w:p>
                    <w:p w14:paraId="005C623A" w14:textId="10CB967B" w:rsidR="000020A5" w:rsidRDefault="00CE5A94" w:rsidP="008B45B5">
                      <w:pPr>
                        <w:pStyle w:val="ListParagraph"/>
                      </w:pPr>
                      <w:r>
                        <w:t>Early closure</w:t>
                      </w:r>
                      <w:r w:rsidR="002761DA">
                        <w:t>s</w:t>
                      </w:r>
                      <w:r>
                        <w:t xml:space="preserve"> due to </w:t>
                      </w:r>
                      <w:r w:rsidR="00676A35">
                        <w:t>extreme</w:t>
                      </w:r>
                      <w:r>
                        <w:t xml:space="preserve"> heat</w:t>
                      </w:r>
                    </w:p>
                    <w:p w14:paraId="6DA15E75" w14:textId="67FD5238" w:rsidR="003F3683" w:rsidRDefault="00795CE0" w:rsidP="008B45B5">
                      <w:pPr>
                        <w:pStyle w:val="ListParagraph"/>
                      </w:pPr>
                      <w:r>
                        <w:t xml:space="preserve">Decreased test performance </w:t>
                      </w:r>
                      <w:r w:rsidR="00676A35">
                        <w:t>due to</w:t>
                      </w:r>
                      <w:r>
                        <w:t xml:space="preserve"> </w:t>
                      </w:r>
                      <w:r w:rsidR="00676A35">
                        <w:t>extreme</w:t>
                      </w:r>
                      <w:r>
                        <w:t xml:space="preserve"> heat</w:t>
                      </w:r>
                    </w:p>
                    <w:p w14:paraId="028104DC" w14:textId="07CFC7F9" w:rsidR="00EA500F" w:rsidRDefault="00321450" w:rsidP="008B45B5">
                      <w:pPr>
                        <w:pStyle w:val="ListParagraph"/>
                      </w:pPr>
                      <w:r>
                        <w:t>Shifting enrollment from climate migration</w:t>
                      </w:r>
                    </w:p>
                    <w:p w14:paraId="3E9DA448" w14:textId="57B654F1" w:rsidR="002761DA" w:rsidRPr="00C61717" w:rsidRDefault="0029147B" w:rsidP="008B45B5">
                      <w:pPr>
                        <w:pStyle w:val="ListParagraph"/>
                      </w:pPr>
                      <w:r>
                        <w:t>B</w:t>
                      </w:r>
                      <w:r w:rsidR="00E70C70">
                        <w:t>udget pressure</w:t>
                      </w:r>
                      <w:r>
                        <w:t>s</w:t>
                      </w:r>
                      <w:r w:rsidR="00E70C70">
                        <w:t xml:space="preserve"> from </w:t>
                      </w:r>
                      <w:r w:rsidR="0007595A">
                        <w:t>climate hazard damage</w:t>
                      </w:r>
                    </w:p>
                  </w:txbxContent>
                </v:textbox>
                <w10:wrap type="square" anchorx="margin"/>
              </v:shape>
            </w:pict>
          </mc:Fallback>
        </mc:AlternateContent>
      </w:r>
      <w:r w:rsidR="1534CEE0">
        <w:t>ResilientMass is the statewide initiative led</w:t>
      </w:r>
      <w:r w:rsidR="6E997707">
        <w:t xml:space="preserve"> by</w:t>
      </w:r>
      <w:r w:rsidR="1534CEE0">
        <w:t xml:space="preserve"> the Massachusetts Emergency Management Agency </w:t>
      </w:r>
      <w:r w:rsidR="29ED2731">
        <w:t>(MEMA) in conjunction with EEA</w:t>
      </w:r>
      <w:r w:rsidR="4132BA17">
        <w:t>;</w:t>
      </w:r>
      <w:r w:rsidR="29ED2731">
        <w:t xml:space="preserve"> </w:t>
      </w:r>
      <w:r w:rsidR="4132BA17">
        <w:t xml:space="preserve">it </w:t>
      </w:r>
      <w:r w:rsidR="1534CEE0">
        <w:t xml:space="preserve">covers resilience and climate adaptation programs, policies, and initiatives. </w:t>
      </w:r>
      <w:r w:rsidR="00485778">
        <w:t>BCEH</w:t>
      </w:r>
      <w:r w:rsidR="3E89FA31">
        <w:t xml:space="preserve"> provided </w:t>
      </w:r>
      <w:r w:rsidR="3F7B1ED2">
        <w:t xml:space="preserve">data metrics on negative health impacts associated with climate change to inform </w:t>
      </w:r>
      <w:r w:rsidR="3FB43795">
        <w:t>and coordinate DPH</w:t>
      </w:r>
      <w:r w:rsidR="00485778">
        <w:t>’s</w:t>
      </w:r>
      <w:r w:rsidR="3FB43795">
        <w:t xml:space="preserve"> support for </w:t>
      </w:r>
      <w:r w:rsidR="3F7B1ED2">
        <w:t xml:space="preserve">this initiative. </w:t>
      </w:r>
      <w:r w:rsidR="29ED2731">
        <w:t xml:space="preserve">The </w:t>
      </w:r>
      <w:hyperlink r:id="rId66">
        <w:r w:rsidR="29ED2731" w:rsidRPr="1ED3059A">
          <w:rPr>
            <w:rStyle w:val="Hyperlink"/>
          </w:rPr>
          <w:t>ResilientMass</w:t>
        </w:r>
        <w:r w:rsidR="1534CEE0" w:rsidRPr="1ED3059A">
          <w:rPr>
            <w:rStyle w:val="Hyperlink"/>
          </w:rPr>
          <w:t xml:space="preserve"> Plan</w:t>
        </w:r>
      </w:hyperlink>
      <w:r w:rsidR="1534CEE0">
        <w:t xml:space="preserve"> </w:t>
      </w:r>
      <w:r w:rsidR="29ED2731">
        <w:t>is an integrated and comprehensive climate adaptation and hazard mitigation plan that</w:t>
      </w:r>
      <w:r w:rsidR="1534CEE0">
        <w:t xml:space="preserve"> includes a risk assessment of the vulnerability of people, infrastructure, natural resources, economy, and governance to climate change impacts</w:t>
      </w:r>
      <w:r w:rsidR="29ED2731">
        <w:t xml:space="preserve"> throughout the Commonwealth.</w:t>
      </w:r>
      <w:r w:rsidR="1534CEE0">
        <w:t xml:space="preserve"> In response to vulnerabilities, the </w:t>
      </w:r>
      <w:r w:rsidR="29ED2731">
        <w:t xml:space="preserve">ResilientMass Plan identifies actions, adaptation, and hazard mitigation strategies to protect the most vulnerable populations from </w:t>
      </w:r>
      <w:r w:rsidR="4132BA17">
        <w:t xml:space="preserve">the </w:t>
      </w:r>
      <w:r w:rsidR="29ED2731">
        <w:t xml:space="preserve">impacts of climate change. The Commonwealth has had great success with implementing climate adaptation actions at the local level through the  </w:t>
      </w:r>
      <w:hyperlink r:id="rId67">
        <w:r w:rsidR="29ED2731" w:rsidRPr="1ED3059A">
          <w:rPr>
            <w:rStyle w:val="Hyperlink"/>
          </w:rPr>
          <w:t>Municipal Vulnerability Preparedness (MVP) Program</w:t>
        </w:r>
      </w:hyperlink>
      <w:r w:rsidR="29ED2731">
        <w:t>, which provides grant funding and climate adaptation planning resources to communities.</w:t>
      </w:r>
      <w:r w:rsidR="1534CEE0">
        <w:t xml:space="preserve"> </w:t>
      </w:r>
    </w:p>
    <w:p w14:paraId="00DF06BA" w14:textId="34BC80EB" w:rsidR="00213409" w:rsidRPr="003966AF" w:rsidRDefault="003C15BF" w:rsidP="006D7DE6">
      <w:pPr>
        <w:pStyle w:val="BodyTextFirstIndent"/>
      </w:pPr>
      <w:r>
        <w:lastRenderedPageBreak/>
        <w:fldChar w:fldCharType="begin"/>
      </w:r>
      <w:r>
        <w:instrText xml:space="preserve"> REF _Ref172883735 \h </w:instrText>
      </w:r>
      <w:r>
        <w:fldChar w:fldCharType="separate"/>
      </w:r>
      <w:r w:rsidR="00307850">
        <w:t xml:space="preserve">Figure </w:t>
      </w:r>
      <w:r w:rsidR="00307850">
        <w:rPr>
          <w:noProof/>
        </w:rPr>
        <w:t>4</w:t>
      </w:r>
      <w:r>
        <w:fldChar w:fldCharType="end"/>
      </w:r>
      <w:r w:rsidR="006E38D5">
        <w:t xml:space="preserve"> </w:t>
      </w:r>
      <w:r w:rsidR="00047705">
        <w:t>presents</w:t>
      </w:r>
      <w:r w:rsidR="00AD30F4">
        <w:t xml:space="preserve"> a framework </w:t>
      </w:r>
      <w:r w:rsidR="00047705">
        <w:t xml:space="preserve">from the ResilientMass Plan </w:t>
      </w:r>
      <w:r w:rsidR="00AD30F4">
        <w:t>for ra</w:t>
      </w:r>
      <w:r w:rsidR="00987EC1">
        <w:t>n</w:t>
      </w:r>
      <w:r w:rsidR="00AD30F4">
        <w:t>king</w:t>
      </w:r>
      <w:r w:rsidR="00213409">
        <w:t xml:space="preserve"> the magnitude of consequences </w:t>
      </w:r>
      <w:r w:rsidR="00AD30F4">
        <w:t xml:space="preserve">for various hazards as informed by the </w:t>
      </w:r>
      <w:r w:rsidR="00213409">
        <w:t xml:space="preserve">risk assessment. </w:t>
      </w:r>
      <w:r w:rsidR="00AD30F4" w:rsidRPr="003966AF">
        <w:t xml:space="preserve">While this </w:t>
      </w:r>
      <w:r w:rsidR="00AD30F4">
        <w:t xml:space="preserve">framework </w:t>
      </w:r>
      <w:r w:rsidR="00AD30F4" w:rsidRPr="003966AF">
        <w:t>is a helpful reference</w:t>
      </w:r>
      <w:r w:rsidR="00AD30F4">
        <w:t xml:space="preserve"> at the statewide level</w:t>
      </w:r>
      <w:r w:rsidR="00AD30F4" w:rsidRPr="003966AF">
        <w:t xml:space="preserve">, </w:t>
      </w:r>
      <w:r w:rsidR="00AD30F4">
        <w:t xml:space="preserve">individual </w:t>
      </w:r>
      <w:r w:rsidR="003B2A28">
        <w:t>school d</w:t>
      </w:r>
      <w:r w:rsidR="00AD30F4">
        <w:t>istricts and schools may face hazards at differing magnitudes of consequences depending upon their geographic location and adaptation capacity and, thus, are encouraged to evaluate risk at the local or facilit</w:t>
      </w:r>
      <w:r w:rsidR="003B2A28">
        <w:t>y</w:t>
      </w:r>
      <w:r w:rsidR="00AD30F4">
        <w:t xml:space="preserve"> level using the methods described below.</w:t>
      </w:r>
      <w:r w:rsidR="00C13ED0">
        <w:t xml:space="preserve"> </w:t>
      </w:r>
      <w:r w:rsidR="00C13ED0" w:rsidRPr="00C13ED0">
        <w:t>At a minimum, the hazards associated with extreme heat should be a priority consideration for planning purposes.</w:t>
      </w:r>
      <w:r w:rsidR="006217A6">
        <w:t xml:space="preserve"> The 2022 Massachusetts Climate Change Assessment notes th</w:t>
      </w:r>
      <w:r w:rsidR="008C3E58">
        <w:t xml:space="preserve">at researchers </w:t>
      </w:r>
      <w:r w:rsidR="008C3E58" w:rsidRPr="008C3E58">
        <w:t xml:space="preserve">estimated that </w:t>
      </w:r>
      <w:r w:rsidR="00400CC0">
        <w:t>“</w:t>
      </w:r>
      <w:r w:rsidR="008C3E58" w:rsidRPr="008C3E58">
        <w:t>at least 40 percent and as much as 100 percent of classrooms in Massachusetts counties lack air conditioning, compared to 0 to 20 percent of classrooms in southeastern U.S. states that are better adapted to extreme heat</w:t>
      </w:r>
      <w:r w:rsidR="005E628C">
        <w:t>.”</w:t>
      </w:r>
      <w:r w:rsidR="005D275E">
        <w:t xml:space="preserve"> These same researchers</w:t>
      </w:r>
      <w:r w:rsidR="001948B2">
        <w:t xml:space="preserve"> estimated that—on a national scale</w:t>
      </w:r>
      <w:r w:rsidR="0018686B">
        <w:t>—</w:t>
      </w:r>
      <w:r w:rsidR="001948B2">
        <w:t>each</w:t>
      </w:r>
      <w:r w:rsidR="0018686B">
        <w:t xml:space="preserve"> 1</w:t>
      </w:r>
      <w:r w:rsidR="0018686B">
        <w:rPr>
          <w:rFonts w:cs="Arial"/>
        </w:rPr>
        <w:t>⁰</w:t>
      </w:r>
      <w:r w:rsidR="0018686B">
        <w:t xml:space="preserve">F </w:t>
      </w:r>
      <w:r w:rsidR="00735239">
        <w:t>increase in school year temperature without air conditioning reduced</w:t>
      </w:r>
      <w:r w:rsidR="00666FFF">
        <w:t xml:space="preserve"> the amount learned that year by one percent, as measured by test performance.</w:t>
      </w:r>
      <w:r w:rsidR="000E3B70">
        <w:fldChar w:fldCharType="begin"/>
      </w:r>
      <w:r w:rsidR="00801FB9">
        <w:instrText xml:space="preserve"> ADDIN ZOTERO_ITEM CSL_CITATION {"citationID":"a2g11ju0bc0","properties":{"formattedCitation":"\\super 22\\nosupersub{}","plainCitation":"22","noteIndex":0},"citationItems":[{"id":1103,"uris":["http://zotero.org/groups/5563646/items/3E8VUIJ4"],"itemData":{"id":1103,"type":"webpage","abstract":"The MA Climate Change Assessment is a statewide analysis detailing how Massachusetts people, environments, and infrastructure may be affected by climate change and related hazards through the end of the century. This assessment directly informed the first five-year update to the State Hazard Mitigation and Climate Adaptation Plan (SHMCAP), ResilientMass, that was released in Fall 2023.","language":"en","title":"2022 Massachusetts Climate Change Assessment","URL":"https://www.mass.gov/info-details/massachusetts-climate-change-assessment#read-the-report-","author":[{"family":"Executive Office of Energy and Environmental Affairs","given":""}],"accessed":{"date-parts":[["2024",9,25]]},"issued":{"date-parts":[["2022",12]]}}}],"schema":"https://github.com/citation-style-language/schema/raw/master/csl-citation.json"} </w:instrText>
      </w:r>
      <w:r w:rsidR="000E3B70">
        <w:fldChar w:fldCharType="separate"/>
      </w:r>
      <w:r w:rsidR="00801FB9" w:rsidRPr="00801FB9">
        <w:rPr>
          <w:rFonts w:cs="Arial"/>
          <w:vertAlign w:val="superscript"/>
        </w:rPr>
        <w:t>22</w:t>
      </w:r>
      <w:r w:rsidR="000E3B70">
        <w:fldChar w:fldCharType="end"/>
      </w:r>
    </w:p>
    <w:p w14:paraId="050822CF" w14:textId="7F2C64E5" w:rsidR="00894C72" w:rsidRPr="003966AF" w:rsidRDefault="007E3430" w:rsidP="00B30C96">
      <w:pPr>
        <w:pStyle w:val="Caption"/>
        <w:rPr>
          <w:rFonts w:cs="Arial"/>
        </w:rPr>
      </w:pPr>
      <w:bookmarkStart w:id="137" w:name="_Ref172883735"/>
      <w:bookmarkStart w:id="138" w:name="_Ref172883726"/>
      <w:bookmarkStart w:id="139" w:name="_Toc193112291"/>
      <w:bookmarkStart w:id="140" w:name="_Toc193117048"/>
      <w:r>
        <w:t xml:space="preserve">Figure </w:t>
      </w:r>
      <w:fldSimple w:instr=" SEQ Figure \* ARABIC ">
        <w:r w:rsidR="00307850">
          <w:rPr>
            <w:noProof/>
          </w:rPr>
          <w:t>4</w:t>
        </w:r>
      </w:fldSimple>
      <w:bookmarkEnd w:id="137"/>
      <w:r>
        <w:t xml:space="preserve">. </w:t>
      </w:r>
      <w:r w:rsidR="00C40AF9">
        <w:t>Ranking the</w:t>
      </w:r>
      <w:r w:rsidR="00894C72" w:rsidRPr="006E20B3">
        <w:t xml:space="preserve"> </w:t>
      </w:r>
      <w:r w:rsidR="00D137CF">
        <w:t>M</w:t>
      </w:r>
      <w:r w:rsidR="002C3A64" w:rsidRPr="006E20B3">
        <w:t xml:space="preserve">agnitude </w:t>
      </w:r>
      <w:r w:rsidR="00894C72" w:rsidRPr="006E20B3">
        <w:t xml:space="preserve">of </w:t>
      </w:r>
      <w:r w:rsidR="00D137CF">
        <w:t>C</w:t>
      </w:r>
      <w:r w:rsidR="00894C72" w:rsidRPr="006E20B3">
        <w:t>onsequences</w:t>
      </w:r>
      <w:bookmarkEnd w:id="138"/>
      <w:r w:rsidR="00B04BA4">
        <w:t xml:space="preserve"> from </w:t>
      </w:r>
      <w:r w:rsidR="00D137CF">
        <w:t>C</w:t>
      </w:r>
      <w:r w:rsidR="00B04BA4">
        <w:t xml:space="preserve">limate </w:t>
      </w:r>
      <w:r w:rsidR="00D137CF">
        <w:t>H</w:t>
      </w:r>
      <w:r w:rsidR="00B04BA4">
        <w:t>azards</w:t>
      </w:r>
      <w:bookmarkEnd w:id="139"/>
      <w:bookmarkEnd w:id="140"/>
    </w:p>
    <w:p w14:paraId="018E2A6E" w14:textId="6617AAAE" w:rsidR="005F10EB" w:rsidRDefault="00213409" w:rsidP="00D07145">
      <w:pPr>
        <w:pStyle w:val="BodyTextFirstIndent"/>
        <w:spacing w:after="120"/>
        <w:jc w:val="center"/>
      </w:pPr>
      <w:r w:rsidRPr="003966AF">
        <w:rPr>
          <w:noProof/>
        </w:rPr>
        <w:drawing>
          <wp:inline distT="0" distB="0" distL="0" distR="0" wp14:anchorId="474F4F8C" wp14:editId="753BA572">
            <wp:extent cx="4181856" cy="3169920"/>
            <wp:effectExtent l="0" t="0" r="9525" b="0"/>
            <wp:docPr id="281936337" name="Picture 1" descr="Figure depicting which climate hazards pose very high magnitude consequences (marked in red) and low magnitude hazards (mark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36337" name="Picture 1" descr="Figure depicting which climate hazards pose very high magnitude consequences (marked in red) and low magnitude hazards (marked in green)."/>
                    <pic:cNvPicPr/>
                  </pic:nvPicPr>
                  <pic:blipFill rotWithShape="1">
                    <a:blip r:embed="rId68"/>
                    <a:srcRect l="3186" t="5845" r="1783" b="2025"/>
                    <a:stretch/>
                  </pic:blipFill>
                  <pic:spPr bwMode="auto">
                    <a:xfrm>
                      <a:off x="0" y="0"/>
                      <a:ext cx="4188484" cy="3174944"/>
                    </a:xfrm>
                    <a:prstGeom prst="rect">
                      <a:avLst/>
                    </a:prstGeom>
                    <a:ln>
                      <a:noFill/>
                    </a:ln>
                    <a:extLst>
                      <a:ext uri="{53640926-AAD7-44D8-BBD7-CCE9431645EC}">
                        <a14:shadowObscured xmlns:a14="http://schemas.microsoft.com/office/drawing/2010/main"/>
                      </a:ext>
                    </a:extLst>
                  </pic:spPr>
                </pic:pic>
              </a:graphicData>
            </a:graphic>
          </wp:inline>
        </w:drawing>
      </w:r>
    </w:p>
    <w:p w14:paraId="6065D5E8" w14:textId="73A3C83C" w:rsidR="00D12386" w:rsidRDefault="00D12386" w:rsidP="0023018C">
      <w:pPr>
        <w:pStyle w:val="SourceCaption"/>
      </w:pPr>
      <w:r>
        <w:t>Source</w:t>
      </w:r>
      <w:r w:rsidR="0060497F">
        <w:t xml:space="preserve">: </w:t>
      </w:r>
      <w:hyperlink r:id="rId69" w:history="1">
        <w:r w:rsidR="0060497F" w:rsidRPr="00141F81">
          <w:rPr>
            <w:rStyle w:val="Hyperlink"/>
          </w:rPr>
          <w:t>ResilientMass Plan</w:t>
        </w:r>
      </w:hyperlink>
      <w:r w:rsidR="0060497F">
        <w:t xml:space="preserve"> (Table 5.1-4)</w:t>
      </w:r>
    </w:p>
    <w:p w14:paraId="0EC530D1" w14:textId="77777777" w:rsidR="005F10EB" w:rsidRPr="003966AF" w:rsidRDefault="005F10EB" w:rsidP="005F10EB">
      <w:pPr>
        <w:pStyle w:val="Heading3"/>
        <w:rPr>
          <w:sz w:val="24"/>
          <w:szCs w:val="24"/>
        </w:rPr>
      </w:pPr>
      <w:r w:rsidRPr="003966AF">
        <w:rPr>
          <w:sz w:val="24"/>
          <w:szCs w:val="24"/>
        </w:rPr>
        <w:t>Methods and Best Practices</w:t>
      </w:r>
    </w:p>
    <w:p w14:paraId="6097A6E5" w14:textId="58DEE9C5" w:rsidR="00213409" w:rsidRPr="003966AF" w:rsidRDefault="007875FC" w:rsidP="006D7DE6">
      <w:pPr>
        <w:pStyle w:val="BodyTextFirstIndent"/>
      </w:pPr>
      <w:r>
        <w:t>School d</w:t>
      </w:r>
      <w:r w:rsidR="00213409" w:rsidRPr="003966AF">
        <w:t xml:space="preserve">istricts can build </w:t>
      </w:r>
      <w:r w:rsidR="008A26C9">
        <w:t>on</w:t>
      </w:r>
      <w:r w:rsidR="008A26C9" w:rsidRPr="003966AF">
        <w:t xml:space="preserve"> </w:t>
      </w:r>
      <w:r w:rsidR="00213409" w:rsidRPr="003966AF">
        <w:t>state-level efforts</w:t>
      </w:r>
      <w:r w:rsidR="00213409">
        <w:t xml:space="preserve"> </w:t>
      </w:r>
      <w:r w:rsidR="0073063D">
        <w:t>presented in the ResilientMass Plan</w:t>
      </w:r>
      <w:r w:rsidR="0073063D" w:rsidRPr="003966AF">
        <w:t xml:space="preserve"> </w:t>
      </w:r>
      <w:r w:rsidR="00213409" w:rsidRPr="003966AF">
        <w:t xml:space="preserve">by conducting planning activities and implementing school-level resilience projects </w:t>
      </w:r>
      <w:r w:rsidR="0073063D">
        <w:t xml:space="preserve">by </w:t>
      </w:r>
      <w:r w:rsidR="00C37512">
        <w:t xml:space="preserve">using </w:t>
      </w:r>
      <w:r w:rsidR="0073063D">
        <w:t xml:space="preserve">the </w:t>
      </w:r>
      <w:r w:rsidR="004B3323">
        <w:t>methods and best practices</w:t>
      </w:r>
      <w:r w:rsidR="0073063D">
        <w:t xml:space="preserve"> </w:t>
      </w:r>
      <w:r w:rsidR="00213409" w:rsidRPr="003966AF">
        <w:t xml:space="preserve">described </w:t>
      </w:r>
      <w:r w:rsidR="00DE0492">
        <w:t xml:space="preserve">in </w:t>
      </w:r>
      <w:r w:rsidR="00B06D0D">
        <w:fldChar w:fldCharType="begin"/>
      </w:r>
      <w:r w:rsidR="00B06D0D">
        <w:instrText xml:space="preserve"> REF _Ref172532682 \h </w:instrText>
      </w:r>
      <w:r w:rsidR="00B06D0D">
        <w:fldChar w:fldCharType="separate"/>
      </w:r>
      <w:r w:rsidR="00C40980" w:rsidRPr="003966AF">
        <w:t xml:space="preserve">Table </w:t>
      </w:r>
      <w:r w:rsidR="00C40980">
        <w:rPr>
          <w:noProof/>
        </w:rPr>
        <w:t>11</w:t>
      </w:r>
      <w:r w:rsidR="00B06D0D">
        <w:fldChar w:fldCharType="end"/>
      </w:r>
      <w:r w:rsidR="00DE0492">
        <w:t>.</w:t>
      </w:r>
      <w:r w:rsidR="00B06D0D">
        <w:t xml:space="preserve"> </w:t>
      </w:r>
      <w:r w:rsidR="00213409" w:rsidRPr="003966AF">
        <w:t>For each method/best practice, the table presents the approximate capital and operating costs, implementation timeframe, and ease of implementation.</w:t>
      </w:r>
      <w:r w:rsidR="0061039D">
        <w:t xml:space="preserve"> See </w:t>
      </w:r>
      <w:hyperlink w:anchor="SectVI_1f" w:history="1">
        <w:r w:rsidR="006302AE" w:rsidRPr="006604A3">
          <w:rPr>
            <w:rStyle w:val="Hyperlink"/>
          </w:rPr>
          <w:t>Section</w:t>
        </w:r>
        <w:r w:rsidR="006604A3" w:rsidRPr="006604A3">
          <w:rPr>
            <w:rStyle w:val="Hyperlink"/>
          </w:rPr>
          <w:t xml:space="preserve"> VI, Objective 1f</w:t>
        </w:r>
      </w:hyperlink>
      <w:r w:rsidR="0061039D">
        <w:t xml:space="preserve"> for additional narrative descriptions of each of the methods and best practices.</w:t>
      </w:r>
    </w:p>
    <w:p w14:paraId="34EA8851" w14:textId="5BBFDD61" w:rsidR="00213409" w:rsidRPr="003966AF" w:rsidRDefault="00213409" w:rsidP="00B30C96">
      <w:pPr>
        <w:pStyle w:val="Caption"/>
      </w:pPr>
      <w:bookmarkStart w:id="141" w:name="_Ref172532682"/>
      <w:bookmarkStart w:id="142" w:name="_Ref172532674"/>
      <w:bookmarkStart w:id="143" w:name="_Toc192711677"/>
      <w:bookmarkStart w:id="144" w:name="_Toc193112559"/>
      <w:bookmarkStart w:id="145" w:name="_Toc193116958"/>
      <w:r w:rsidRPr="003966AF">
        <w:lastRenderedPageBreak/>
        <w:t xml:space="preserve">Table </w:t>
      </w:r>
      <w:fldSimple w:instr=" SEQ Table \* ARABIC ">
        <w:r w:rsidR="00307850">
          <w:rPr>
            <w:noProof/>
          </w:rPr>
          <w:t>11</w:t>
        </w:r>
      </w:fldSimple>
      <w:bookmarkEnd w:id="141"/>
      <w:r w:rsidRPr="003966AF">
        <w:t>. Methods</w:t>
      </w:r>
      <w:r w:rsidR="00E33249">
        <w:t xml:space="preserve"> and </w:t>
      </w:r>
      <w:r w:rsidR="00D137CF">
        <w:t>B</w:t>
      </w:r>
      <w:r w:rsidR="002C3A64" w:rsidRPr="003966AF">
        <w:t xml:space="preserve">est </w:t>
      </w:r>
      <w:r w:rsidR="00D137CF">
        <w:t>P</w:t>
      </w:r>
      <w:r w:rsidRPr="003966AF">
        <w:t xml:space="preserve">ractices </w:t>
      </w:r>
      <w:r w:rsidR="00B06D0D">
        <w:t>for</w:t>
      </w:r>
      <w:r w:rsidRPr="003966AF">
        <w:t xml:space="preserve"> </w:t>
      </w:r>
      <w:r w:rsidR="00D137CF">
        <w:t>E</w:t>
      </w:r>
      <w:r w:rsidRPr="003966AF">
        <w:t>nhanc</w:t>
      </w:r>
      <w:r w:rsidR="00C26543">
        <w:t>ing</w:t>
      </w:r>
      <w:r w:rsidRPr="003966AF">
        <w:t xml:space="preserve"> </w:t>
      </w:r>
      <w:r w:rsidR="00D137CF">
        <w:t>C</w:t>
      </w:r>
      <w:r w:rsidRPr="003966AF">
        <w:t xml:space="preserve">limate </w:t>
      </w:r>
      <w:r w:rsidR="00D137CF">
        <w:t>R</w:t>
      </w:r>
      <w:r w:rsidRPr="003966AF">
        <w:t>esilience</w:t>
      </w:r>
      <w:bookmarkEnd w:id="142"/>
      <w:r w:rsidR="00D137CF">
        <w:t xml:space="preserve"> </w:t>
      </w:r>
      <w:r w:rsidR="00C26543">
        <w:t>in Schools</w:t>
      </w:r>
      <w:bookmarkEnd w:id="143"/>
      <w:bookmarkEnd w:id="144"/>
      <w:bookmarkEnd w:id="145"/>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enhancing climate resilience in schools."/>
      </w:tblPr>
      <w:tblGrid>
        <w:gridCol w:w="495"/>
        <w:gridCol w:w="4722"/>
        <w:gridCol w:w="989"/>
        <w:gridCol w:w="1081"/>
        <w:gridCol w:w="1079"/>
        <w:gridCol w:w="984"/>
      </w:tblGrid>
      <w:tr w:rsidR="00213409" w:rsidRPr="003966AF" w14:paraId="2EC0798A" w14:textId="77777777" w:rsidTr="00C678A3">
        <w:trPr>
          <w:cantSplit/>
          <w:trHeight w:val="1949"/>
          <w:tblHeader/>
          <w:jc w:val="center"/>
        </w:trPr>
        <w:tc>
          <w:tcPr>
            <w:tcW w:w="27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247C5F33" w14:textId="77777777" w:rsidR="00213409" w:rsidRPr="003966AF" w:rsidRDefault="00213409">
            <w:pPr>
              <w:jc w:val="center"/>
              <w:rPr>
                <w:rFonts w:ascii="Arial" w:hAnsi="Arial" w:cs="Arial"/>
                <w:b/>
                <w:bCs/>
                <w:sz w:val="24"/>
              </w:rPr>
            </w:pPr>
            <w:r w:rsidRPr="003966AF">
              <w:rPr>
                <w:rFonts w:ascii="Arial" w:hAnsi="Arial" w:cs="Arial"/>
                <w:b/>
                <w:bCs/>
                <w:sz w:val="24"/>
              </w:rPr>
              <w:t>Methods/Best Practices</w:t>
            </w:r>
          </w:p>
        </w:tc>
        <w:tc>
          <w:tcPr>
            <w:tcW w:w="529"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25CDDD9" w14:textId="77777777" w:rsidR="00213409" w:rsidRPr="003966AF" w:rsidRDefault="00213409">
            <w:pPr>
              <w:rPr>
                <w:rFonts w:ascii="Arial" w:hAnsi="Arial" w:cs="Arial"/>
                <w:b/>
                <w:bCs/>
                <w:sz w:val="24"/>
              </w:rPr>
            </w:pPr>
            <w:r w:rsidRPr="003966AF">
              <w:rPr>
                <w:rFonts w:ascii="Arial" w:hAnsi="Arial" w:cs="Arial"/>
                <w:b/>
                <w:bCs/>
                <w:sz w:val="24"/>
              </w:rPr>
              <w:t>Capital Cost</w:t>
            </w:r>
          </w:p>
        </w:tc>
        <w:tc>
          <w:tcPr>
            <w:tcW w:w="5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4FB7C21F" w14:textId="77777777" w:rsidR="00213409" w:rsidRPr="003966AF" w:rsidRDefault="00213409">
            <w:pPr>
              <w:rPr>
                <w:rFonts w:ascii="Arial" w:hAnsi="Arial" w:cs="Arial"/>
                <w:b/>
                <w:bCs/>
                <w:sz w:val="24"/>
              </w:rPr>
            </w:pPr>
            <w:r w:rsidRPr="003966AF">
              <w:rPr>
                <w:rFonts w:ascii="Arial" w:hAnsi="Arial" w:cs="Arial"/>
                <w:b/>
                <w:bCs/>
                <w:sz w:val="24"/>
              </w:rPr>
              <w:t>Operating Cost</w:t>
            </w:r>
          </w:p>
        </w:tc>
        <w:tc>
          <w:tcPr>
            <w:tcW w:w="5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79EF581" w14:textId="77777777" w:rsidR="00213409" w:rsidRPr="003966AF" w:rsidRDefault="00213409">
            <w:pPr>
              <w:rPr>
                <w:rFonts w:ascii="Arial" w:hAnsi="Arial" w:cs="Arial"/>
                <w:b/>
                <w:bCs/>
                <w:sz w:val="24"/>
              </w:rPr>
            </w:pPr>
            <w:r w:rsidRPr="003966AF">
              <w:rPr>
                <w:rFonts w:ascii="Arial" w:hAnsi="Arial" w:cs="Arial"/>
                <w:b/>
                <w:bCs/>
                <w:sz w:val="24"/>
              </w:rPr>
              <w:t>Implementation Timeframe</w:t>
            </w:r>
          </w:p>
        </w:tc>
        <w:tc>
          <w:tcPr>
            <w:tcW w:w="52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83D3254" w14:textId="77777777" w:rsidR="00213409" w:rsidRPr="003966AF" w:rsidRDefault="00213409">
            <w:pPr>
              <w:rPr>
                <w:rFonts w:ascii="Arial" w:hAnsi="Arial" w:cs="Arial"/>
                <w:b/>
                <w:bCs/>
                <w:sz w:val="24"/>
              </w:rPr>
            </w:pPr>
            <w:r w:rsidRPr="003966AF">
              <w:rPr>
                <w:rFonts w:ascii="Arial" w:hAnsi="Arial" w:cs="Arial"/>
                <w:b/>
                <w:bCs/>
                <w:sz w:val="24"/>
              </w:rPr>
              <w:t>Ease of Implementation</w:t>
            </w:r>
          </w:p>
        </w:tc>
      </w:tr>
      <w:tr w:rsidR="00213409" w:rsidRPr="003966AF" w14:paraId="1246FDB5" w14:textId="77777777" w:rsidTr="00C678A3">
        <w:trPr>
          <w:cantSplit/>
          <w:trHeight w:val="348"/>
          <w:tblHeader/>
          <w:jc w:val="center"/>
        </w:trPr>
        <w:tc>
          <w:tcPr>
            <w:tcW w:w="265" w:type="pct"/>
            <w:tcBorders>
              <w:top w:val="nil"/>
              <w:left w:val="single" w:sz="4" w:space="0" w:color="auto"/>
              <w:bottom w:val="single" w:sz="4" w:space="0" w:color="auto"/>
            </w:tcBorders>
            <w:shd w:val="clear" w:color="auto" w:fill="auto"/>
          </w:tcPr>
          <w:p w14:paraId="29035F60" w14:textId="77777777" w:rsidR="00213409" w:rsidRPr="003966AF" w:rsidRDefault="00213409">
            <w:pPr>
              <w:jc w:val="center"/>
              <w:rPr>
                <w:rFonts w:ascii="Arial" w:hAnsi="Arial" w:cs="Arial"/>
                <w:color w:val="000000"/>
                <w:sz w:val="24"/>
              </w:rPr>
            </w:pPr>
            <w:r w:rsidRPr="003966AF">
              <w:rPr>
                <w:rFonts w:ascii="Arial" w:hAnsi="Arial" w:cs="Arial"/>
                <w:color w:val="000000"/>
                <w:sz w:val="24"/>
              </w:rPr>
              <w:t>(1)</w:t>
            </w:r>
          </w:p>
        </w:tc>
        <w:tc>
          <w:tcPr>
            <w:tcW w:w="2525" w:type="pct"/>
            <w:tcBorders>
              <w:top w:val="single" w:sz="4" w:space="0" w:color="auto"/>
              <w:bottom w:val="single" w:sz="4" w:space="0" w:color="auto"/>
              <w:right w:val="single" w:sz="4" w:space="0" w:color="auto"/>
            </w:tcBorders>
          </w:tcPr>
          <w:p w14:paraId="016EC137" w14:textId="223B2D56" w:rsidR="00213409" w:rsidRPr="003966AF" w:rsidRDefault="004B3323">
            <w:pPr>
              <w:rPr>
                <w:rFonts w:ascii="Arial" w:hAnsi="Arial" w:cs="Arial"/>
                <w:color w:val="000000"/>
                <w:sz w:val="24"/>
              </w:rPr>
            </w:pPr>
            <w:r>
              <w:rPr>
                <w:rFonts w:ascii="Arial" w:hAnsi="Arial" w:cs="Arial"/>
                <w:color w:val="000000"/>
                <w:sz w:val="24"/>
              </w:rPr>
              <w:t xml:space="preserve">Conduct </w:t>
            </w:r>
            <w:r w:rsidR="004A78D5">
              <w:rPr>
                <w:rFonts w:ascii="Arial" w:hAnsi="Arial" w:cs="Arial"/>
                <w:color w:val="000000"/>
                <w:sz w:val="24"/>
              </w:rPr>
              <w:t>v</w:t>
            </w:r>
            <w:r w:rsidR="00213409" w:rsidRPr="003966AF">
              <w:rPr>
                <w:rFonts w:ascii="Arial" w:hAnsi="Arial" w:cs="Arial"/>
                <w:color w:val="000000"/>
                <w:sz w:val="24"/>
              </w:rPr>
              <w:t xml:space="preserve">ulnerability </w:t>
            </w:r>
            <w:r w:rsidR="004A78D5">
              <w:rPr>
                <w:rFonts w:ascii="Arial" w:hAnsi="Arial" w:cs="Arial"/>
                <w:color w:val="000000"/>
                <w:sz w:val="24"/>
              </w:rPr>
              <w:t>a</w:t>
            </w:r>
            <w:r w:rsidR="00213409" w:rsidRPr="003966AF">
              <w:rPr>
                <w:rFonts w:ascii="Arial" w:hAnsi="Arial" w:cs="Arial"/>
                <w:color w:val="000000"/>
                <w:sz w:val="24"/>
              </w:rPr>
              <w:t>ssessments</w:t>
            </w:r>
          </w:p>
        </w:tc>
        <w:tc>
          <w:tcPr>
            <w:tcW w:w="529" w:type="pct"/>
            <w:tcBorders>
              <w:top w:val="nil"/>
              <w:left w:val="single" w:sz="4" w:space="0" w:color="auto"/>
              <w:bottom w:val="single" w:sz="4" w:space="0" w:color="auto"/>
              <w:right w:val="single" w:sz="4" w:space="0" w:color="auto"/>
            </w:tcBorders>
            <w:shd w:val="clear" w:color="auto" w:fill="auto"/>
            <w:vAlign w:val="center"/>
          </w:tcPr>
          <w:p w14:paraId="10F71E92" w14:textId="6C456A94" w:rsidR="00213409" w:rsidRPr="003966AF" w:rsidRDefault="00810416" w:rsidP="00174B17">
            <w:pPr>
              <w:rPr>
                <w:rFonts w:ascii="Arial" w:hAnsi="Arial" w:cs="Arial"/>
                <w:color w:val="000000"/>
                <w:sz w:val="24"/>
              </w:rPr>
            </w:pPr>
            <w:r>
              <w:rPr>
                <w:rFonts w:ascii="Arial" w:hAnsi="Arial" w:cs="Arial"/>
                <w:color w:val="000000"/>
                <w:sz w:val="24"/>
              </w:rPr>
              <w:t>0</w:t>
            </w:r>
          </w:p>
        </w:tc>
        <w:tc>
          <w:tcPr>
            <w:tcW w:w="578" w:type="pct"/>
            <w:tcBorders>
              <w:top w:val="single" w:sz="4" w:space="0" w:color="auto"/>
              <w:left w:val="single" w:sz="4" w:space="0" w:color="auto"/>
              <w:bottom w:val="single" w:sz="4" w:space="0" w:color="auto"/>
              <w:right w:val="single" w:sz="4" w:space="0" w:color="auto"/>
            </w:tcBorders>
            <w:vAlign w:val="center"/>
          </w:tcPr>
          <w:p w14:paraId="735C745E"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3CE941BB"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1</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B8B83AA"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1</w:t>
            </w:r>
          </w:p>
        </w:tc>
      </w:tr>
      <w:tr w:rsidR="00213409" w:rsidRPr="003966AF" w14:paraId="4E43E259" w14:textId="77777777" w:rsidTr="00C678A3">
        <w:trPr>
          <w:cantSplit/>
          <w:trHeight w:val="348"/>
          <w:tblHeader/>
          <w:jc w:val="center"/>
        </w:trPr>
        <w:tc>
          <w:tcPr>
            <w:tcW w:w="265" w:type="pct"/>
            <w:tcBorders>
              <w:top w:val="nil"/>
              <w:left w:val="single" w:sz="4" w:space="0" w:color="auto"/>
              <w:bottom w:val="single" w:sz="4" w:space="0" w:color="auto"/>
            </w:tcBorders>
            <w:shd w:val="clear" w:color="auto" w:fill="auto"/>
          </w:tcPr>
          <w:p w14:paraId="487FC047" w14:textId="77777777" w:rsidR="00213409" w:rsidRPr="003966AF" w:rsidRDefault="00213409">
            <w:pPr>
              <w:jc w:val="center"/>
              <w:rPr>
                <w:rFonts w:ascii="Arial" w:hAnsi="Arial" w:cs="Arial"/>
                <w:color w:val="000000"/>
                <w:sz w:val="24"/>
              </w:rPr>
            </w:pPr>
            <w:r w:rsidRPr="003966AF">
              <w:rPr>
                <w:rFonts w:ascii="Arial" w:hAnsi="Arial" w:cs="Arial"/>
                <w:color w:val="000000"/>
                <w:sz w:val="24"/>
              </w:rPr>
              <w:t>(2)</w:t>
            </w:r>
          </w:p>
        </w:tc>
        <w:tc>
          <w:tcPr>
            <w:tcW w:w="2525" w:type="pct"/>
            <w:tcBorders>
              <w:top w:val="single" w:sz="4" w:space="0" w:color="auto"/>
              <w:bottom w:val="single" w:sz="4" w:space="0" w:color="auto"/>
              <w:right w:val="single" w:sz="4" w:space="0" w:color="auto"/>
            </w:tcBorders>
          </w:tcPr>
          <w:p w14:paraId="68002E1F" w14:textId="7AA8D61C" w:rsidR="00213409" w:rsidRPr="003966AF" w:rsidRDefault="00F44B31">
            <w:pPr>
              <w:rPr>
                <w:rFonts w:ascii="Arial" w:hAnsi="Arial" w:cs="Arial"/>
                <w:color w:val="000000"/>
                <w:sz w:val="24"/>
              </w:rPr>
            </w:pPr>
            <w:r>
              <w:rPr>
                <w:rFonts w:ascii="Arial" w:hAnsi="Arial" w:cs="Arial"/>
                <w:color w:val="000000"/>
                <w:sz w:val="24"/>
              </w:rPr>
              <w:t xml:space="preserve">Prepare a </w:t>
            </w:r>
            <w:r w:rsidR="004A78D5">
              <w:rPr>
                <w:rFonts w:ascii="Arial" w:hAnsi="Arial" w:cs="Arial"/>
                <w:color w:val="000000"/>
                <w:sz w:val="24"/>
              </w:rPr>
              <w:t>c</w:t>
            </w:r>
            <w:r w:rsidR="00213409" w:rsidRPr="003966AF">
              <w:rPr>
                <w:rFonts w:ascii="Arial" w:hAnsi="Arial" w:cs="Arial"/>
                <w:color w:val="000000"/>
                <w:sz w:val="24"/>
              </w:rPr>
              <w:t xml:space="preserve">omprehensive </w:t>
            </w:r>
            <w:r w:rsidR="004A78D5">
              <w:rPr>
                <w:rFonts w:ascii="Arial" w:hAnsi="Arial" w:cs="Arial"/>
                <w:color w:val="000000"/>
                <w:sz w:val="24"/>
              </w:rPr>
              <w:t>c</w:t>
            </w:r>
            <w:r w:rsidR="00213409" w:rsidRPr="003966AF">
              <w:rPr>
                <w:rFonts w:ascii="Arial" w:hAnsi="Arial" w:cs="Arial"/>
                <w:color w:val="000000"/>
                <w:sz w:val="24"/>
              </w:rPr>
              <w:t xml:space="preserve">limate </w:t>
            </w:r>
            <w:r w:rsidR="004A78D5">
              <w:rPr>
                <w:rFonts w:ascii="Arial" w:hAnsi="Arial" w:cs="Arial"/>
                <w:color w:val="000000"/>
                <w:sz w:val="24"/>
              </w:rPr>
              <w:t>a</w:t>
            </w:r>
            <w:r w:rsidR="00213409" w:rsidRPr="003966AF">
              <w:rPr>
                <w:rFonts w:ascii="Arial" w:hAnsi="Arial" w:cs="Arial"/>
                <w:color w:val="000000"/>
                <w:sz w:val="24"/>
              </w:rPr>
              <w:t xml:space="preserve">ction </w:t>
            </w:r>
            <w:r w:rsidR="004A78D5">
              <w:rPr>
                <w:rFonts w:ascii="Arial" w:hAnsi="Arial" w:cs="Arial"/>
                <w:color w:val="000000"/>
                <w:sz w:val="24"/>
              </w:rPr>
              <w:t>p</w:t>
            </w:r>
            <w:r w:rsidR="00213409" w:rsidRPr="003966AF">
              <w:rPr>
                <w:rFonts w:ascii="Arial" w:hAnsi="Arial" w:cs="Arial"/>
                <w:color w:val="000000"/>
                <w:sz w:val="24"/>
              </w:rPr>
              <w:t>lan</w:t>
            </w:r>
          </w:p>
        </w:tc>
        <w:tc>
          <w:tcPr>
            <w:tcW w:w="529" w:type="pct"/>
            <w:tcBorders>
              <w:top w:val="nil"/>
              <w:left w:val="single" w:sz="4" w:space="0" w:color="auto"/>
              <w:bottom w:val="single" w:sz="4" w:space="0" w:color="auto"/>
              <w:right w:val="single" w:sz="4" w:space="0" w:color="auto"/>
            </w:tcBorders>
            <w:shd w:val="clear" w:color="auto" w:fill="auto"/>
            <w:vAlign w:val="center"/>
          </w:tcPr>
          <w:p w14:paraId="69F63C4B" w14:textId="54B3E048" w:rsidR="00213409" w:rsidRPr="003966AF" w:rsidRDefault="00810416" w:rsidP="00174B17">
            <w:pPr>
              <w:rPr>
                <w:rFonts w:ascii="Arial" w:hAnsi="Arial" w:cs="Arial"/>
                <w:color w:val="000000"/>
                <w:sz w:val="24"/>
              </w:rPr>
            </w:pPr>
            <w:r>
              <w:rPr>
                <w:rFonts w:ascii="Arial" w:hAnsi="Arial" w:cs="Arial"/>
                <w:color w:val="000000"/>
                <w:sz w:val="24"/>
              </w:rPr>
              <w:t>0</w:t>
            </w:r>
          </w:p>
        </w:tc>
        <w:tc>
          <w:tcPr>
            <w:tcW w:w="578" w:type="pct"/>
            <w:tcBorders>
              <w:top w:val="single" w:sz="4" w:space="0" w:color="auto"/>
              <w:left w:val="single" w:sz="4" w:space="0" w:color="auto"/>
              <w:bottom w:val="single" w:sz="4" w:space="0" w:color="auto"/>
              <w:right w:val="single" w:sz="4" w:space="0" w:color="auto"/>
            </w:tcBorders>
            <w:vAlign w:val="center"/>
          </w:tcPr>
          <w:p w14:paraId="2673EBB4"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82625CB"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2</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7A84A892"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1</w:t>
            </w:r>
          </w:p>
        </w:tc>
      </w:tr>
      <w:tr w:rsidR="00213409" w:rsidRPr="003966AF" w14:paraId="48EF0CDF" w14:textId="77777777" w:rsidTr="00C678A3">
        <w:trPr>
          <w:cantSplit/>
          <w:trHeight w:val="348"/>
          <w:tblHeader/>
          <w:jc w:val="center"/>
        </w:trPr>
        <w:tc>
          <w:tcPr>
            <w:tcW w:w="265" w:type="pct"/>
            <w:tcBorders>
              <w:top w:val="single" w:sz="4" w:space="0" w:color="auto"/>
              <w:left w:val="single" w:sz="4" w:space="0" w:color="auto"/>
              <w:bottom w:val="single" w:sz="4" w:space="0" w:color="auto"/>
            </w:tcBorders>
            <w:shd w:val="clear" w:color="auto" w:fill="auto"/>
          </w:tcPr>
          <w:p w14:paraId="1D4F4D2C" w14:textId="77777777" w:rsidR="00213409" w:rsidRPr="003966AF" w:rsidRDefault="00213409">
            <w:pPr>
              <w:jc w:val="center"/>
              <w:rPr>
                <w:rFonts w:ascii="Arial" w:hAnsi="Arial" w:cs="Arial"/>
                <w:color w:val="000000"/>
                <w:sz w:val="24"/>
              </w:rPr>
            </w:pPr>
            <w:r w:rsidRPr="003966AF">
              <w:rPr>
                <w:rFonts w:ascii="Arial" w:hAnsi="Arial" w:cs="Arial"/>
                <w:color w:val="000000"/>
                <w:sz w:val="24"/>
              </w:rPr>
              <w:t>(3)</w:t>
            </w:r>
          </w:p>
        </w:tc>
        <w:tc>
          <w:tcPr>
            <w:tcW w:w="2525" w:type="pct"/>
            <w:tcBorders>
              <w:top w:val="single" w:sz="4" w:space="0" w:color="auto"/>
              <w:bottom w:val="single" w:sz="4" w:space="0" w:color="auto"/>
              <w:right w:val="single" w:sz="4" w:space="0" w:color="auto"/>
            </w:tcBorders>
          </w:tcPr>
          <w:p w14:paraId="0650467D" w14:textId="0F860A05" w:rsidR="00213409" w:rsidRPr="003966AF" w:rsidRDefault="00564D93">
            <w:pPr>
              <w:rPr>
                <w:rFonts w:ascii="Arial" w:hAnsi="Arial" w:cs="Arial"/>
                <w:color w:val="000000"/>
                <w:sz w:val="24"/>
              </w:rPr>
            </w:pPr>
            <w:r>
              <w:rPr>
                <w:rFonts w:ascii="Arial" w:hAnsi="Arial" w:cs="Arial"/>
                <w:color w:val="000000"/>
                <w:sz w:val="24"/>
              </w:rPr>
              <w:t xml:space="preserve">Incorporate </w:t>
            </w:r>
            <w:r w:rsidR="004A78D5">
              <w:rPr>
                <w:rFonts w:ascii="Arial" w:hAnsi="Arial" w:cs="Arial"/>
                <w:color w:val="000000"/>
                <w:sz w:val="24"/>
              </w:rPr>
              <w:t>r</w:t>
            </w:r>
            <w:r w:rsidR="00213409" w:rsidRPr="003966AF">
              <w:rPr>
                <w:rFonts w:ascii="Arial" w:hAnsi="Arial" w:cs="Arial"/>
                <w:color w:val="000000"/>
                <w:sz w:val="24"/>
              </w:rPr>
              <w:t>esilien</w:t>
            </w:r>
            <w:r>
              <w:rPr>
                <w:rFonts w:ascii="Arial" w:hAnsi="Arial" w:cs="Arial"/>
                <w:color w:val="000000"/>
                <w:sz w:val="24"/>
              </w:rPr>
              <w:t>ce into</w:t>
            </w:r>
            <w:r w:rsidR="00213409" w:rsidRPr="003966AF">
              <w:rPr>
                <w:rFonts w:ascii="Arial" w:hAnsi="Arial" w:cs="Arial"/>
                <w:color w:val="000000"/>
                <w:sz w:val="24"/>
              </w:rPr>
              <w:t xml:space="preserve"> </w:t>
            </w:r>
            <w:r w:rsidR="004A78D5">
              <w:rPr>
                <w:rFonts w:ascii="Arial" w:hAnsi="Arial" w:cs="Arial"/>
                <w:color w:val="000000"/>
                <w:sz w:val="24"/>
              </w:rPr>
              <w:t>n</w:t>
            </w:r>
            <w:r w:rsidR="00213409" w:rsidRPr="003966AF">
              <w:rPr>
                <w:rFonts w:ascii="Arial" w:hAnsi="Arial" w:cs="Arial"/>
                <w:color w:val="000000"/>
                <w:sz w:val="24"/>
              </w:rPr>
              <w:t xml:space="preserve">ew </w:t>
            </w:r>
            <w:r w:rsidR="004A78D5">
              <w:rPr>
                <w:rFonts w:ascii="Arial" w:hAnsi="Arial" w:cs="Arial"/>
                <w:color w:val="000000"/>
                <w:sz w:val="24"/>
              </w:rPr>
              <w:t>c</w:t>
            </w:r>
            <w:r w:rsidR="00213409" w:rsidRPr="003966AF">
              <w:rPr>
                <w:rFonts w:ascii="Arial" w:hAnsi="Arial" w:cs="Arial"/>
                <w:color w:val="000000"/>
                <w:sz w:val="24"/>
              </w:rPr>
              <w:t xml:space="preserve">onstruction and </w:t>
            </w:r>
            <w:r w:rsidR="004A78D5">
              <w:rPr>
                <w:rFonts w:ascii="Arial" w:hAnsi="Arial" w:cs="Arial"/>
                <w:color w:val="000000"/>
                <w:sz w:val="24"/>
              </w:rPr>
              <w:t>m</w:t>
            </w:r>
            <w:r w:rsidR="00213409" w:rsidRPr="003966AF">
              <w:rPr>
                <w:rFonts w:ascii="Arial" w:hAnsi="Arial" w:cs="Arial"/>
                <w:color w:val="000000"/>
                <w:sz w:val="24"/>
              </w:rPr>
              <w:t>odernization</w:t>
            </w:r>
            <w:r w:rsidR="004A78D5">
              <w:rPr>
                <w:rFonts w:ascii="Arial" w:hAnsi="Arial" w:cs="Arial"/>
                <w:color w:val="000000"/>
                <w:sz w:val="24"/>
              </w:rPr>
              <w:t xml:space="preserve"> projects</w:t>
            </w:r>
          </w:p>
        </w:tc>
        <w:tc>
          <w:tcPr>
            <w:tcW w:w="529" w:type="pct"/>
            <w:tcBorders>
              <w:top w:val="nil"/>
              <w:left w:val="single" w:sz="4" w:space="0" w:color="auto"/>
              <w:bottom w:val="single" w:sz="4" w:space="0" w:color="auto"/>
              <w:right w:val="single" w:sz="4" w:space="0" w:color="auto"/>
            </w:tcBorders>
            <w:shd w:val="clear" w:color="auto" w:fill="auto"/>
            <w:vAlign w:val="center"/>
          </w:tcPr>
          <w:p w14:paraId="50ACD10C"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w:t>
            </w:r>
          </w:p>
        </w:tc>
        <w:tc>
          <w:tcPr>
            <w:tcW w:w="578" w:type="pct"/>
            <w:tcBorders>
              <w:top w:val="single" w:sz="4" w:space="0" w:color="auto"/>
              <w:left w:val="single" w:sz="4" w:space="0" w:color="auto"/>
              <w:bottom w:val="single" w:sz="4" w:space="0" w:color="auto"/>
              <w:right w:val="single" w:sz="4" w:space="0" w:color="auto"/>
            </w:tcBorders>
            <w:vAlign w:val="center"/>
          </w:tcPr>
          <w:p w14:paraId="10DC9693" w14:textId="653B7733" w:rsidR="00213409" w:rsidRPr="00174B17" w:rsidRDefault="00174B17" w:rsidP="00174B17">
            <w:pPr>
              <w:rPr>
                <w:rFonts w:ascii="Arial" w:hAnsi="Arial" w:cs="Arial"/>
                <w:color w:val="000000"/>
                <w:sz w:val="24"/>
              </w:rPr>
            </w:pPr>
            <w:r w:rsidRPr="00174B17">
              <w:rPr>
                <w:rFonts w:ascii="Arial" w:hAnsi="Arial" w:cs="Arial"/>
                <w:color w:val="00B050"/>
                <w:sz w:val="24"/>
              </w:rPr>
              <w:t>-</w:t>
            </w:r>
            <w:r w:rsidR="004E055A" w:rsidRPr="00174B17">
              <w:rPr>
                <w:rFonts w:ascii="Arial" w:hAnsi="Arial" w:cs="Arial"/>
                <w:color w:val="00B050"/>
                <w:sz w:val="24"/>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79893760"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3</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01E6400"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2</w:t>
            </w:r>
          </w:p>
        </w:tc>
      </w:tr>
      <w:tr w:rsidR="00213409" w:rsidRPr="003966AF" w14:paraId="7C4312E0" w14:textId="77777777" w:rsidTr="00C678A3">
        <w:trPr>
          <w:cantSplit/>
          <w:trHeight w:val="348"/>
          <w:tblHeader/>
          <w:jc w:val="center"/>
        </w:trPr>
        <w:tc>
          <w:tcPr>
            <w:tcW w:w="265" w:type="pct"/>
            <w:tcBorders>
              <w:top w:val="single" w:sz="4" w:space="0" w:color="auto"/>
              <w:left w:val="single" w:sz="4" w:space="0" w:color="auto"/>
              <w:bottom w:val="single" w:sz="4" w:space="0" w:color="auto"/>
            </w:tcBorders>
            <w:shd w:val="clear" w:color="auto" w:fill="auto"/>
          </w:tcPr>
          <w:p w14:paraId="15CD9BAF" w14:textId="77777777" w:rsidR="00213409" w:rsidRPr="003966AF" w:rsidRDefault="00213409">
            <w:pPr>
              <w:jc w:val="center"/>
              <w:rPr>
                <w:rFonts w:ascii="Arial" w:hAnsi="Arial" w:cs="Arial"/>
                <w:color w:val="000000"/>
                <w:sz w:val="24"/>
              </w:rPr>
            </w:pPr>
            <w:r w:rsidRPr="003966AF">
              <w:rPr>
                <w:rFonts w:ascii="Arial" w:hAnsi="Arial" w:cs="Arial"/>
                <w:color w:val="000000"/>
                <w:sz w:val="24"/>
              </w:rPr>
              <w:t>(4)</w:t>
            </w:r>
          </w:p>
        </w:tc>
        <w:tc>
          <w:tcPr>
            <w:tcW w:w="2525" w:type="pct"/>
            <w:tcBorders>
              <w:top w:val="single" w:sz="4" w:space="0" w:color="auto"/>
              <w:bottom w:val="single" w:sz="4" w:space="0" w:color="auto"/>
              <w:right w:val="single" w:sz="4" w:space="0" w:color="auto"/>
            </w:tcBorders>
          </w:tcPr>
          <w:p w14:paraId="0BDA45CB" w14:textId="21A115C2" w:rsidR="00213409" w:rsidRPr="003966AF" w:rsidRDefault="0057438F">
            <w:pPr>
              <w:rPr>
                <w:rFonts w:ascii="Arial" w:hAnsi="Arial" w:cs="Arial"/>
                <w:color w:val="000000"/>
                <w:sz w:val="24"/>
              </w:rPr>
            </w:pPr>
            <w:r>
              <w:rPr>
                <w:rFonts w:ascii="Arial" w:hAnsi="Arial" w:cs="Arial"/>
                <w:color w:val="000000"/>
                <w:sz w:val="24"/>
              </w:rPr>
              <w:t xml:space="preserve">Implement </w:t>
            </w:r>
            <w:r w:rsidR="004A78D5">
              <w:rPr>
                <w:rFonts w:ascii="Arial" w:hAnsi="Arial" w:cs="Arial"/>
                <w:color w:val="000000"/>
                <w:sz w:val="24"/>
              </w:rPr>
              <w:t>r</w:t>
            </w:r>
            <w:r w:rsidR="00213409" w:rsidRPr="003966AF">
              <w:rPr>
                <w:rFonts w:ascii="Arial" w:hAnsi="Arial" w:cs="Arial"/>
                <w:color w:val="000000"/>
                <w:sz w:val="24"/>
              </w:rPr>
              <w:t>etrofit</w:t>
            </w:r>
            <w:r w:rsidR="004A78D5">
              <w:rPr>
                <w:rFonts w:ascii="Arial" w:hAnsi="Arial" w:cs="Arial"/>
                <w:color w:val="000000"/>
                <w:sz w:val="24"/>
              </w:rPr>
              <w:t xml:space="preserve"> project</w:t>
            </w:r>
            <w:r w:rsidR="00213409" w:rsidRPr="003966AF">
              <w:rPr>
                <w:rFonts w:ascii="Arial" w:hAnsi="Arial" w:cs="Arial"/>
                <w:color w:val="000000"/>
                <w:sz w:val="24"/>
              </w:rPr>
              <w:t>s</w:t>
            </w:r>
            <w:r w:rsidR="004A78D5">
              <w:rPr>
                <w:rFonts w:ascii="Arial" w:hAnsi="Arial" w:cs="Arial"/>
                <w:color w:val="000000"/>
                <w:sz w:val="24"/>
              </w:rPr>
              <w:t xml:space="preserve"> targeting resilience</w:t>
            </w:r>
          </w:p>
        </w:tc>
        <w:tc>
          <w:tcPr>
            <w:tcW w:w="529" w:type="pct"/>
            <w:tcBorders>
              <w:top w:val="nil"/>
              <w:left w:val="single" w:sz="4" w:space="0" w:color="auto"/>
              <w:bottom w:val="single" w:sz="4" w:space="0" w:color="auto"/>
              <w:right w:val="single" w:sz="4" w:space="0" w:color="auto"/>
            </w:tcBorders>
            <w:shd w:val="clear" w:color="auto" w:fill="auto"/>
            <w:vAlign w:val="center"/>
          </w:tcPr>
          <w:p w14:paraId="4FB43F95"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w:t>
            </w:r>
          </w:p>
        </w:tc>
        <w:tc>
          <w:tcPr>
            <w:tcW w:w="578" w:type="pct"/>
            <w:tcBorders>
              <w:top w:val="single" w:sz="4" w:space="0" w:color="auto"/>
              <w:left w:val="single" w:sz="4" w:space="0" w:color="auto"/>
              <w:bottom w:val="single" w:sz="4" w:space="0" w:color="auto"/>
              <w:right w:val="single" w:sz="4" w:space="0" w:color="auto"/>
            </w:tcBorders>
            <w:vAlign w:val="center"/>
          </w:tcPr>
          <w:p w14:paraId="50F811DE" w14:textId="187A1A0D" w:rsidR="00213409" w:rsidRPr="00174B17" w:rsidRDefault="00174B17" w:rsidP="00174B17">
            <w:pPr>
              <w:rPr>
                <w:rFonts w:ascii="Arial" w:hAnsi="Arial" w:cs="Arial"/>
                <w:color w:val="000000"/>
                <w:sz w:val="24"/>
              </w:rPr>
            </w:pPr>
            <w:r w:rsidRPr="00174B17">
              <w:rPr>
                <w:rFonts w:ascii="Arial" w:hAnsi="Arial" w:cs="Arial"/>
                <w:color w:val="00B050"/>
                <w:sz w:val="24"/>
              </w:rPr>
              <w:t>-</w:t>
            </w:r>
            <w:r w:rsidR="004E055A" w:rsidRPr="00174B17">
              <w:rPr>
                <w:rFonts w:ascii="Arial" w:hAnsi="Arial" w:cs="Arial"/>
                <w:color w:val="00B050"/>
                <w:sz w:val="24"/>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57D24A36"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2</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975EE48"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3</w:t>
            </w:r>
          </w:p>
        </w:tc>
      </w:tr>
      <w:tr w:rsidR="00213409" w:rsidRPr="003966AF" w14:paraId="048C178A" w14:textId="77777777" w:rsidTr="00C678A3">
        <w:trPr>
          <w:cantSplit/>
          <w:trHeight w:val="348"/>
          <w:tblHeader/>
          <w:jc w:val="center"/>
        </w:trPr>
        <w:tc>
          <w:tcPr>
            <w:tcW w:w="265" w:type="pct"/>
            <w:tcBorders>
              <w:top w:val="single" w:sz="4" w:space="0" w:color="auto"/>
              <w:left w:val="single" w:sz="4" w:space="0" w:color="auto"/>
              <w:bottom w:val="single" w:sz="4" w:space="0" w:color="auto"/>
            </w:tcBorders>
            <w:shd w:val="clear" w:color="auto" w:fill="auto"/>
          </w:tcPr>
          <w:p w14:paraId="34380998" w14:textId="77777777" w:rsidR="00213409" w:rsidRPr="003966AF" w:rsidRDefault="00213409">
            <w:pPr>
              <w:jc w:val="center"/>
              <w:rPr>
                <w:rFonts w:ascii="Arial" w:hAnsi="Arial" w:cs="Arial"/>
                <w:color w:val="000000"/>
                <w:sz w:val="24"/>
              </w:rPr>
            </w:pPr>
            <w:r w:rsidRPr="003966AF">
              <w:rPr>
                <w:rFonts w:ascii="Arial" w:hAnsi="Arial" w:cs="Arial"/>
                <w:color w:val="000000"/>
                <w:sz w:val="24"/>
              </w:rPr>
              <w:t>(5)</w:t>
            </w:r>
          </w:p>
        </w:tc>
        <w:tc>
          <w:tcPr>
            <w:tcW w:w="2525" w:type="pct"/>
            <w:tcBorders>
              <w:top w:val="single" w:sz="4" w:space="0" w:color="auto"/>
              <w:bottom w:val="single" w:sz="4" w:space="0" w:color="auto"/>
              <w:right w:val="single" w:sz="4" w:space="0" w:color="auto"/>
            </w:tcBorders>
          </w:tcPr>
          <w:p w14:paraId="64D4ED8C" w14:textId="3CD0E994" w:rsidR="00213409" w:rsidRPr="003966AF" w:rsidRDefault="00FF4CD3">
            <w:pPr>
              <w:rPr>
                <w:rFonts w:ascii="Arial" w:hAnsi="Arial" w:cs="Arial"/>
                <w:color w:val="000000"/>
                <w:sz w:val="24"/>
              </w:rPr>
            </w:pPr>
            <w:r>
              <w:rPr>
                <w:rFonts w:ascii="Arial" w:hAnsi="Arial" w:cs="Arial"/>
                <w:color w:val="000000"/>
                <w:sz w:val="24"/>
              </w:rPr>
              <w:t xml:space="preserve">Perform </w:t>
            </w:r>
            <w:r w:rsidR="004A78D5">
              <w:rPr>
                <w:rFonts w:ascii="Arial" w:hAnsi="Arial" w:cs="Arial"/>
                <w:color w:val="000000"/>
                <w:sz w:val="24"/>
              </w:rPr>
              <w:t>r</w:t>
            </w:r>
            <w:r w:rsidR="00213409" w:rsidRPr="003966AF">
              <w:rPr>
                <w:rFonts w:ascii="Arial" w:hAnsi="Arial" w:cs="Arial"/>
                <w:color w:val="000000"/>
                <w:sz w:val="24"/>
              </w:rPr>
              <w:t xml:space="preserve">esilient </w:t>
            </w:r>
            <w:r w:rsidR="004A78D5">
              <w:rPr>
                <w:rFonts w:ascii="Arial" w:hAnsi="Arial" w:cs="Arial"/>
                <w:color w:val="000000"/>
                <w:sz w:val="24"/>
              </w:rPr>
              <w:t>O&amp;M</w:t>
            </w:r>
          </w:p>
        </w:tc>
        <w:tc>
          <w:tcPr>
            <w:tcW w:w="529" w:type="pct"/>
            <w:tcBorders>
              <w:top w:val="nil"/>
              <w:left w:val="single" w:sz="4" w:space="0" w:color="auto"/>
              <w:bottom w:val="single" w:sz="4" w:space="0" w:color="auto"/>
              <w:right w:val="single" w:sz="4" w:space="0" w:color="auto"/>
            </w:tcBorders>
            <w:shd w:val="clear" w:color="auto" w:fill="auto"/>
            <w:vAlign w:val="center"/>
          </w:tcPr>
          <w:p w14:paraId="57AA1230" w14:textId="2DD03640" w:rsidR="00213409" w:rsidRPr="003966AF" w:rsidRDefault="00810416" w:rsidP="00174B17">
            <w:pPr>
              <w:rPr>
                <w:rFonts w:ascii="Arial" w:hAnsi="Arial" w:cs="Arial"/>
                <w:color w:val="000000"/>
                <w:sz w:val="24"/>
              </w:rPr>
            </w:pPr>
            <w:r>
              <w:rPr>
                <w:rFonts w:ascii="Arial" w:hAnsi="Arial" w:cs="Arial"/>
                <w:color w:val="000000"/>
                <w:sz w:val="24"/>
              </w:rPr>
              <w:t>0</w:t>
            </w:r>
          </w:p>
        </w:tc>
        <w:tc>
          <w:tcPr>
            <w:tcW w:w="578" w:type="pct"/>
            <w:tcBorders>
              <w:top w:val="single" w:sz="4" w:space="0" w:color="auto"/>
              <w:left w:val="single" w:sz="4" w:space="0" w:color="auto"/>
              <w:bottom w:val="single" w:sz="4" w:space="0" w:color="auto"/>
              <w:right w:val="single" w:sz="4" w:space="0" w:color="auto"/>
            </w:tcBorders>
            <w:vAlign w:val="center"/>
          </w:tcPr>
          <w:p w14:paraId="32889EB8"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3E3DC62C"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2</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62E84AD7" w14:textId="77777777" w:rsidR="00213409" w:rsidRPr="003966AF" w:rsidRDefault="00213409" w:rsidP="00174B17">
            <w:pPr>
              <w:rPr>
                <w:rFonts w:ascii="Arial" w:hAnsi="Arial" w:cs="Arial"/>
                <w:color w:val="000000"/>
                <w:sz w:val="24"/>
              </w:rPr>
            </w:pPr>
            <w:r w:rsidRPr="003966AF">
              <w:rPr>
                <w:rFonts w:ascii="Arial" w:hAnsi="Arial" w:cs="Arial"/>
                <w:color w:val="000000"/>
                <w:sz w:val="24"/>
              </w:rPr>
              <w:t>2</w:t>
            </w:r>
          </w:p>
        </w:tc>
      </w:tr>
      <w:tr w:rsidR="00960688" w:rsidRPr="003966AF" w14:paraId="265DDB3B" w14:textId="77777777" w:rsidTr="00C678A3">
        <w:trPr>
          <w:cantSplit/>
          <w:trHeight w:val="348"/>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E7CC57A" w14:textId="77777777" w:rsidR="00960688" w:rsidRPr="00527A69" w:rsidRDefault="00960688" w:rsidP="00960688">
            <w:pPr>
              <w:rPr>
                <w:rFonts w:ascii="Arial" w:hAnsi="Arial" w:cs="Arial"/>
                <w:b/>
                <w:bCs/>
                <w:sz w:val="20"/>
                <w:szCs w:val="20"/>
                <w:u w:val="single"/>
              </w:rPr>
            </w:pPr>
            <w:r w:rsidRPr="00527A69">
              <w:rPr>
                <w:rFonts w:ascii="Arial" w:hAnsi="Arial" w:cs="Arial"/>
                <w:b/>
                <w:bCs/>
                <w:sz w:val="20"/>
                <w:szCs w:val="20"/>
                <w:u w:val="single"/>
              </w:rPr>
              <w:t>Key:</w:t>
            </w:r>
          </w:p>
          <w:p w14:paraId="63B08F91" w14:textId="77777777" w:rsidR="00960688" w:rsidRPr="00527A69" w:rsidRDefault="00960688" w:rsidP="00960688">
            <w:pPr>
              <w:rPr>
                <w:rFonts w:ascii="Arial" w:hAnsi="Arial" w:cs="Arial"/>
                <w:sz w:val="20"/>
                <w:szCs w:val="20"/>
              </w:rPr>
            </w:pPr>
            <w:r w:rsidRPr="00527A69">
              <w:rPr>
                <w:rFonts w:ascii="Arial" w:hAnsi="Arial" w:cs="Arial"/>
                <w:b/>
                <w:bCs/>
                <w:sz w:val="20"/>
                <w:szCs w:val="20"/>
              </w:rPr>
              <w:t>Cost:</w:t>
            </w:r>
            <w:r w:rsidRPr="00527A69">
              <w:rPr>
                <w:rFonts w:ascii="Arial" w:hAnsi="Arial" w:cs="Arial"/>
                <w:sz w:val="20"/>
                <w:szCs w:val="20"/>
              </w:rPr>
              <w:t xml:space="preserve"> 0 = no cost; $ = low cost (&lt;$25k), $$ = medium cost ($25-100k), $$$ = high cost (&gt;$100k) </w:t>
            </w:r>
          </w:p>
          <w:p w14:paraId="07809B00" w14:textId="77777777" w:rsidR="00960688" w:rsidRPr="00527A69" w:rsidRDefault="00960688" w:rsidP="00960688">
            <w:pPr>
              <w:rPr>
                <w:rFonts w:ascii="Arial" w:hAnsi="Arial" w:cs="Arial"/>
                <w:sz w:val="20"/>
                <w:szCs w:val="20"/>
              </w:rPr>
            </w:pPr>
            <w:r w:rsidRPr="00527A69">
              <w:rPr>
                <w:rFonts w:ascii="Arial" w:hAnsi="Arial" w:cs="Arial"/>
                <w:b/>
                <w:bCs/>
                <w:sz w:val="20"/>
                <w:szCs w:val="20"/>
              </w:rPr>
              <w:t>Implementation Timeframe:</w:t>
            </w:r>
            <w:r w:rsidRPr="00527A69">
              <w:rPr>
                <w:rFonts w:ascii="Arial" w:hAnsi="Arial" w:cs="Arial"/>
                <w:sz w:val="20"/>
                <w:szCs w:val="20"/>
              </w:rPr>
              <w:t xml:space="preserve"> 1 = near-term (0-3 months); 2 = medium-term (4-12 months); 3 = long-term (</w:t>
            </w:r>
            <w:r>
              <w:rPr>
                <w:rFonts w:ascii="Arial" w:hAnsi="Arial" w:cs="Arial"/>
                <w:sz w:val="20"/>
                <w:szCs w:val="20"/>
              </w:rPr>
              <w:t>&gt;</w:t>
            </w:r>
            <w:r w:rsidRPr="00527A69">
              <w:rPr>
                <w:rFonts w:ascii="Arial" w:hAnsi="Arial" w:cs="Arial"/>
                <w:sz w:val="20"/>
                <w:szCs w:val="20"/>
              </w:rPr>
              <w:t>12 months)</w:t>
            </w:r>
          </w:p>
          <w:p w14:paraId="7B0C359D" w14:textId="77777777" w:rsidR="00960688" w:rsidRDefault="00960688" w:rsidP="00960688">
            <w:pPr>
              <w:rPr>
                <w:rFonts w:ascii="Arial" w:hAnsi="Arial" w:cs="Arial"/>
                <w:sz w:val="20"/>
                <w:szCs w:val="20"/>
              </w:rPr>
            </w:pPr>
            <w:r w:rsidRPr="00527A69">
              <w:rPr>
                <w:rFonts w:ascii="Arial" w:hAnsi="Arial" w:cs="Arial"/>
                <w:b/>
                <w:bCs/>
                <w:sz w:val="20"/>
                <w:szCs w:val="20"/>
              </w:rPr>
              <w:t>Ease of Implementation:</w:t>
            </w:r>
            <w:r w:rsidRPr="00527A69">
              <w:rPr>
                <w:rFonts w:ascii="Arial" w:hAnsi="Arial" w:cs="Arial"/>
                <w:sz w:val="20"/>
                <w:szCs w:val="20"/>
              </w:rPr>
              <w:t xml:space="preserve"> 1= easier to implement; 3 = more difficult to implement</w:t>
            </w:r>
          </w:p>
          <w:p w14:paraId="012CCA4C" w14:textId="77777777" w:rsidR="000D1E7B" w:rsidRDefault="000D1E7B" w:rsidP="00960688">
            <w:pPr>
              <w:rPr>
                <w:rFonts w:ascii="Arial" w:hAnsi="Arial" w:cs="Arial"/>
                <w:color w:val="000000"/>
                <w:sz w:val="24"/>
                <w:szCs w:val="20"/>
              </w:rPr>
            </w:pPr>
          </w:p>
          <w:p w14:paraId="3EC1A82F" w14:textId="20F8B2D6" w:rsidR="000D1E7B" w:rsidRPr="003966AF" w:rsidRDefault="000D1E7B" w:rsidP="000D1E7B">
            <w:pPr>
              <w:pStyle w:val="TextBoxText"/>
              <w:rPr>
                <w:color w:val="000000"/>
              </w:rPr>
            </w:pPr>
            <w:r>
              <w:t xml:space="preserve">Note: </w:t>
            </w:r>
            <w:r w:rsidRPr="009D0139">
              <w:rPr>
                <w:color w:val="00B050"/>
              </w:rPr>
              <w:t>-$</w:t>
            </w:r>
            <w:r>
              <w:t xml:space="preserve"> </w:t>
            </w:r>
            <w:r w:rsidRPr="005F67DA">
              <w:t>(presented in green and with a negative sign)</w:t>
            </w:r>
            <w:r>
              <w:t xml:space="preserve"> = Cost savings</w:t>
            </w:r>
            <w:r w:rsidRPr="005F67DA">
              <w:t xml:space="preserve"> </w:t>
            </w:r>
            <w:r>
              <w:t>(</w:t>
            </w:r>
            <w:r w:rsidRPr="005F67DA">
              <w:t>a measure will likely contribute to reduced operating costs</w:t>
            </w:r>
            <w:r>
              <w:t>)</w:t>
            </w:r>
          </w:p>
        </w:tc>
      </w:tr>
    </w:tbl>
    <w:p w14:paraId="533D3ACC" w14:textId="77777777" w:rsidR="00213409" w:rsidRPr="003966AF" w:rsidRDefault="00213409" w:rsidP="00213409">
      <w:pPr>
        <w:pStyle w:val="Heading3"/>
        <w:rPr>
          <w:sz w:val="24"/>
          <w:szCs w:val="24"/>
        </w:rPr>
      </w:pPr>
      <w:r w:rsidRPr="003966AF">
        <w:rPr>
          <w:sz w:val="24"/>
          <w:szCs w:val="24"/>
        </w:rPr>
        <w:t xml:space="preserve">Barriers and Challenges </w:t>
      </w:r>
    </w:p>
    <w:p w14:paraId="6F058D28" w14:textId="5DA21603" w:rsidR="00213409" w:rsidRPr="003966AF" w:rsidRDefault="00213409" w:rsidP="006D7DE6">
      <w:pPr>
        <w:pStyle w:val="BodyTextFirstIndent"/>
      </w:pPr>
      <w:r w:rsidRPr="003966AF">
        <w:t xml:space="preserve">While larger </w:t>
      </w:r>
      <w:r w:rsidR="00126661">
        <w:t>school d</w:t>
      </w:r>
      <w:r w:rsidRPr="003966AF">
        <w:t xml:space="preserve">istricts may have the capacity to perform vulnerability assessments and develop </w:t>
      </w:r>
      <w:r w:rsidR="006D7DE6">
        <w:t>climate action plans</w:t>
      </w:r>
      <w:r w:rsidRPr="003966AF">
        <w:t>, small</w:t>
      </w:r>
      <w:r w:rsidR="00D8739F">
        <w:t>er</w:t>
      </w:r>
      <w:r w:rsidRPr="003966AF">
        <w:t xml:space="preserve"> </w:t>
      </w:r>
      <w:r w:rsidR="00126661">
        <w:t>school d</w:t>
      </w:r>
      <w:r w:rsidRPr="003966AF">
        <w:t xml:space="preserve">istricts may be more </w:t>
      </w:r>
      <w:r w:rsidR="00C50DE9" w:rsidRPr="003966AF">
        <w:t>resource</w:t>
      </w:r>
      <w:r w:rsidR="00C50DE9">
        <w:t>-</w:t>
      </w:r>
      <w:r w:rsidRPr="003966AF">
        <w:t>constrained. Where planning efforts do move forward, this can lead to a more limited engagement process with environmental justice and other priority populations</w:t>
      </w:r>
      <w:r w:rsidR="00180B2C">
        <w:t>, which can have disproportional negative impacts on these underserved communities</w:t>
      </w:r>
      <w:r w:rsidRPr="003966AF">
        <w:t>.</w:t>
      </w:r>
      <w:r w:rsidRPr="003966AF">
        <w:fldChar w:fldCharType="begin"/>
      </w:r>
      <w:r w:rsidR="00210DBB">
        <w:instrText xml:space="preserve"> ADDIN ZOTERO_ITEM CSL_CITATION {"citationID":"CtZ9ZRke","properties":{"formattedCitation":"\\super 95\\nosupersub{}","plainCitation":"95","noteIndex":0},"citationItems":[{"id":724,"uris":["http://zotero.org/groups/5563646/items/VC6XBYLJ"],"itemData":{"id":724,"type":"document","language":"en","source":"Zotero","title":"ResilientMass Plan","URL":"https://www.mass.gov/doc/resilientmass-plan-2023/download","author":[{"literal":"Massachusetts Executive Office of Energy and Environmental Affairs"}],"issued":{"date-parts":[["2023"]]}}}],"schema":"https://github.com/citation-style-language/schema/raw/master/csl-citation.json"} </w:instrText>
      </w:r>
      <w:r w:rsidRPr="003966AF">
        <w:fldChar w:fldCharType="separate"/>
      </w:r>
      <w:r w:rsidR="00801FB9" w:rsidRPr="00801FB9">
        <w:rPr>
          <w:rFonts w:cs="Arial"/>
          <w:vertAlign w:val="superscript"/>
        </w:rPr>
        <w:t>95</w:t>
      </w:r>
      <w:r w:rsidRPr="003966AF">
        <w:fldChar w:fldCharType="end"/>
      </w:r>
      <w:r w:rsidRPr="003966AF">
        <w:t xml:space="preserve"> In the absence of planning, </w:t>
      </w:r>
      <w:r w:rsidR="003B141F">
        <w:t>school d</w:t>
      </w:r>
      <w:r w:rsidRPr="003966AF">
        <w:t>istricts may only begin to consider implementing resilience strategies after a hazard event damages assets or otherwise disrupts school operations</w:t>
      </w:r>
      <w:r w:rsidR="00C50DE9">
        <w:t>,</w:t>
      </w:r>
      <w:r w:rsidR="00B44419" w:rsidRPr="00B44419">
        <w:t xml:space="preserve"> </w:t>
      </w:r>
      <w:r w:rsidR="00B44419">
        <w:t>as opposed to proactively developing plans and strategies to mitigate impacts from hazards</w:t>
      </w:r>
      <w:r w:rsidRPr="003966AF">
        <w:t xml:space="preserve">. Some projects described in this section have significant capital costs and may not result in operating cost savings, hampering the ability to use some alternative financing options such as </w:t>
      </w:r>
      <w:r w:rsidR="00C37512">
        <w:t>Energy Management Services (</w:t>
      </w:r>
      <w:r w:rsidRPr="003966AF">
        <w:t xml:space="preserve">EMS. This can make the upfront investment challenging, even while </w:t>
      </w:r>
      <w:r w:rsidR="00D0164F">
        <w:t>school d</w:t>
      </w:r>
      <w:r w:rsidRPr="003966AF">
        <w:t>istricts may recognize the potential for avoided costs from a partial or total loss of assets or operational disruptions.</w:t>
      </w:r>
    </w:p>
    <w:p w14:paraId="43052AB2" w14:textId="48117720" w:rsidR="000F164C" w:rsidRDefault="00213409" w:rsidP="006D7DE6">
      <w:pPr>
        <w:pStyle w:val="BodyTextFirstIndent"/>
      </w:pPr>
      <w:r w:rsidRPr="003966AF">
        <w:t xml:space="preserve">Assessing the exposure to certain hazards can also be challenging due to limitations in available data. As an example, the Metropolitan Area Planning Council </w:t>
      </w:r>
      <w:r w:rsidR="00C50DE9">
        <w:t xml:space="preserve">(MAPC) </w:t>
      </w:r>
      <w:r w:rsidRPr="003966AF">
        <w:t xml:space="preserve">released a report analyzing data on the 2010 flood event in the Greater Boston area </w:t>
      </w:r>
      <w:r w:rsidR="00864581">
        <w:t xml:space="preserve">       </w:t>
      </w:r>
      <w:r w:rsidRPr="003966AF">
        <w:lastRenderedPageBreak/>
        <w:t>and found that</w:t>
      </w:r>
      <w:r w:rsidR="006560DB">
        <w:t xml:space="preserve"> the</w:t>
      </w:r>
      <w:r w:rsidRPr="003966AF">
        <w:t xml:space="preserve"> </w:t>
      </w:r>
      <w:r w:rsidR="00C37512">
        <w:t>Federal Emergency Management Agency (</w:t>
      </w:r>
      <w:r w:rsidRPr="003966AF">
        <w:t>FEMA</w:t>
      </w:r>
      <w:r w:rsidR="00C37512">
        <w:t>)</w:t>
      </w:r>
      <w:r w:rsidRPr="003966AF">
        <w:t xml:space="preserve"> Flood Maps did not reflect where stormwater flooding </w:t>
      </w:r>
      <w:r w:rsidR="00C50DE9">
        <w:t xml:space="preserve">occurred </w:t>
      </w:r>
      <w:r w:rsidRPr="003966AF">
        <w:t>during the event.</w:t>
      </w:r>
      <w:r w:rsidRPr="003966AF">
        <w:fldChar w:fldCharType="begin"/>
      </w:r>
      <w:r w:rsidR="00801FB9">
        <w:instrText xml:space="preserve"> ADDIN ZOTERO_ITEM CSL_CITATION {"citationID":"lgML8uDt","properties":{"formattedCitation":"\\super 96\\nosupersub{}","plainCitation":"96","noteIndex":0},"citationItems":[{"id":717,"uris":["http://zotero.org/groups/5563646/items/PN84PSKJ"],"itemData":{"id":717,"type":"article-journal","language":"en","source":"Zotero","title":"Water, Water, Everywhere: The Increasing Threat of Stormwater Flooding in Greater Boston"}}],"schema":"https://github.com/citation-style-language/schema/raw/master/csl-citation.json"} </w:instrText>
      </w:r>
      <w:r w:rsidRPr="003966AF">
        <w:fldChar w:fldCharType="separate"/>
      </w:r>
      <w:r w:rsidR="00801FB9" w:rsidRPr="00801FB9">
        <w:rPr>
          <w:rFonts w:cs="Arial"/>
          <w:vertAlign w:val="superscript"/>
        </w:rPr>
        <w:t>96</w:t>
      </w:r>
      <w:r w:rsidRPr="003966AF">
        <w:fldChar w:fldCharType="end"/>
      </w:r>
      <w:r w:rsidRPr="003966AF">
        <w:t xml:space="preserve"> </w:t>
      </w:r>
      <w:r w:rsidR="000F164C">
        <w:br w:type="page"/>
      </w:r>
    </w:p>
    <w:p w14:paraId="51AC3A9F" w14:textId="2965ABD1" w:rsidR="00CE6BDD" w:rsidRDefault="00700C52" w:rsidP="00A90558">
      <w:pPr>
        <w:pStyle w:val="Heading1"/>
      </w:pPr>
      <w:bookmarkStart w:id="146" w:name="_Toc193116900"/>
      <w:r>
        <w:rPr>
          <w:noProof/>
        </w:rPr>
        <w:lastRenderedPageBreak/>
        <w:drawing>
          <wp:anchor distT="0" distB="182880" distL="114300" distR="114300" simplePos="0" relativeHeight="251617792" behindDoc="0" locked="0" layoutInCell="1" allowOverlap="1" wp14:anchorId="53A77FC0" wp14:editId="1DB78F8F">
            <wp:simplePos x="0" y="0"/>
            <wp:positionH relativeFrom="margin">
              <wp:align>left</wp:align>
            </wp:positionH>
            <wp:positionV relativeFrom="paragraph">
              <wp:posOffset>520700</wp:posOffset>
            </wp:positionV>
            <wp:extent cx="5907024" cy="3941064"/>
            <wp:effectExtent l="0" t="0" r="0" b="2540"/>
            <wp:wrapSquare wrapText="bothSides"/>
            <wp:docPr id="1180850844" name="Picture 3" descr="Picture of a young child, zoomed in on the face with a blurred background, covering his nose and mouth with a clear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50844" name="Picture 3" descr="Picture of a young child, zoomed in on the face with a blurred background, covering his nose and mouth with a clear respirator."/>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907024" cy="3941064"/>
                    </a:xfrm>
                    <a:prstGeom prst="rect">
                      <a:avLst/>
                    </a:prstGeom>
                    <a:noFill/>
                    <a:ln>
                      <a:noFill/>
                    </a:ln>
                  </pic:spPr>
                </pic:pic>
              </a:graphicData>
            </a:graphic>
            <wp14:sizeRelH relativeFrom="page">
              <wp14:pctWidth>0</wp14:pctWidth>
            </wp14:sizeRelH>
            <wp14:sizeRelV relativeFrom="page">
              <wp14:pctHeight>0</wp14:pctHeight>
            </wp14:sizeRelV>
          </wp:anchor>
        </w:drawing>
      </w:r>
      <w:r w:rsidR="000F789A">
        <w:t xml:space="preserve">III. </w:t>
      </w:r>
      <w:r w:rsidR="00CE6BDD">
        <w:t>Goal 2: Achieve Healthy Schools</w:t>
      </w:r>
      <w:bookmarkEnd w:id="135"/>
      <w:bookmarkEnd w:id="136"/>
      <w:bookmarkEnd w:id="146"/>
    </w:p>
    <w:p w14:paraId="02CF004C" w14:textId="1411FE02" w:rsidR="00074A48" w:rsidRDefault="09C8B5BD" w:rsidP="006D7DE6">
      <w:pPr>
        <w:pStyle w:val="BodyTextFirstIndent"/>
      </w:pPr>
      <w:r>
        <w:t>C</w:t>
      </w:r>
      <w:r w:rsidR="44609A81">
        <w:t xml:space="preserve">hildren, teachers, and </w:t>
      </w:r>
      <w:r w:rsidR="317979E3">
        <w:t>other</w:t>
      </w:r>
      <w:r w:rsidR="44609A81">
        <w:t xml:space="preserve"> school staff </w:t>
      </w:r>
      <w:r w:rsidR="1A66F2C6">
        <w:t xml:space="preserve">spend </w:t>
      </w:r>
      <w:r w:rsidR="0CC81CDB">
        <w:t>approximately 1</w:t>
      </w:r>
      <w:r w:rsidR="6DAAECC9">
        <w:t>,</w:t>
      </w:r>
      <w:r w:rsidR="0CC81CDB">
        <w:t>000</w:t>
      </w:r>
      <w:r w:rsidR="510CB050">
        <w:t xml:space="preserve"> </w:t>
      </w:r>
      <w:r w:rsidR="5B6E3576">
        <w:t>hour</w:t>
      </w:r>
      <w:r w:rsidR="510CB050">
        <w:t>s in</w:t>
      </w:r>
      <w:r w:rsidR="317979E3">
        <w:t>side</w:t>
      </w:r>
      <w:r w:rsidR="510CB050">
        <w:t xml:space="preserve"> school</w:t>
      </w:r>
      <w:r w:rsidR="1E554A40">
        <w:t>s</w:t>
      </w:r>
      <w:r w:rsidR="510CB050">
        <w:t xml:space="preserve"> </w:t>
      </w:r>
      <w:r w:rsidR="0CC81CDB">
        <w:t>each year</w:t>
      </w:r>
      <w:r w:rsidR="283A12D6">
        <w:t xml:space="preserve"> and </w:t>
      </w:r>
      <w:r w:rsidR="0CC81CDB">
        <w:t xml:space="preserve">possibly more for </w:t>
      </w:r>
      <w:r w:rsidR="1E554A40">
        <w:t>extracurricular</w:t>
      </w:r>
      <w:r w:rsidR="283A12D6">
        <w:t xml:space="preserve"> activities.</w:t>
      </w:r>
      <w:r w:rsidR="510CB050">
        <w:t xml:space="preserve"> </w:t>
      </w:r>
      <w:r w:rsidR="1E554A40">
        <w:t>Children</w:t>
      </w:r>
      <w:r w:rsidR="562EC50A">
        <w:t xml:space="preserve"> are exposed to </w:t>
      </w:r>
      <w:r w:rsidR="1EFC8289">
        <w:t xml:space="preserve">building conditions—both healthful and </w:t>
      </w:r>
      <w:r w:rsidR="562EC50A">
        <w:t>hazard</w:t>
      </w:r>
      <w:r w:rsidR="1EFC8289">
        <w:t>ous—for</w:t>
      </w:r>
      <w:r w:rsidR="562EC50A">
        <w:t xml:space="preserve"> </w:t>
      </w:r>
      <w:r w:rsidR="296CEA2A">
        <w:t>much of their lives</w:t>
      </w:r>
      <w:r w:rsidR="3DFED4BA">
        <w:t xml:space="preserve"> and</w:t>
      </w:r>
      <w:r w:rsidR="296CEA2A">
        <w:t xml:space="preserve"> are biologically more susceptible to certain environmental hazards than adults because of </w:t>
      </w:r>
      <w:r w:rsidR="5B6E3576">
        <w:t xml:space="preserve">their smaller size and </w:t>
      </w:r>
      <w:r w:rsidR="6D1775CF">
        <w:t>developmental stage.</w:t>
      </w:r>
      <w:r w:rsidR="509226ED">
        <w:t xml:space="preserve"> Many students also have asthma</w:t>
      </w:r>
      <w:r w:rsidR="00B77CD2">
        <w:t>,</w:t>
      </w:r>
      <w:r w:rsidR="00A7446E">
        <w:t xml:space="preserve"> </w:t>
      </w:r>
      <w:r w:rsidR="00B77CD2">
        <w:t>which increases their susceptibility to respiratory irritants. D</w:t>
      </w:r>
      <w:r w:rsidR="00B7622F">
        <w:t>uring the 2022</w:t>
      </w:r>
      <w:r w:rsidR="006560DB">
        <w:t>–</w:t>
      </w:r>
      <w:r w:rsidR="00B7622F">
        <w:t>2023 school year</w:t>
      </w:r>
      <w:r w:rsidR="00DB7831">
        <w:t>,</w:t>
      </w:r>
      <w:r w:rsidR="509226ED">
        <w:t xml:space="preserve"> </w:t>
      </w:r>
      <w:r w:rsidR="509226ED" w:rsidRPr="008E4DEB">
        <w:rPr>
          <w:b/>
          <w:bCs/>
        </w:rPr>
        <w:t>9.9</w:t>
      </w:r>
      <w:r w:rsidR="00DB7831" w:rsidRPr="008E4DEB">
        <w:rPr>
          <w:b/>
          <w:bCs/>
        </w:rPr>
        <w:t xml:space="preserve"> percent of all </w:t>
      </w:r>
      <w:r w:rsidR="00C25FCD" w:rsidRPr="008E4DEB">
        <w:rPr>
          <w:b/>
          <w:bCs/>
        </w:rPr>
        <w:t>enrolled students</w:t>
      </w:r>
      <w:r w:rsidR="00C25FCD">
        <w:t xml:space="preserve"> </w:t>
      </w:r>
      <w:r w:rsidR="00F1139D">
        <w:t xml:space="preserve">in Massachusetts </w:t>
      </w:r>
      <w:r w:rsidR="00FA024E">
        <w:t>had confirmed instances of asthma</w:t>
      </w:r>
      <w:r w:rsidR="008E4DEB">
        <w:t>.</w:t>
      </w:r>
      <w:r w:rsidR="00AD4365">
        <w:fldChar w:fldCharType="begin"/>
      </w:r>
      <w:r w:rsidR="00801FB9">
        <w:instrText xml:space="preserve"> ADDIN ZOTERO_ITEM CSL_CITATION {"citationID":"a831u9b6pr","properties":{"formattedCitation":"\\super 97\\nosupersub{}","plainCitation":"97","noteIndex":0},"citationItems":[{"id":1087,"uris":["http://zotero.org/groups/5563646/items/4LBYYMH6"],"itemData":{"id":1087,"type":"webpage","title":"MEPHT | Asthma Overview","URL":"https://matracking.ehs.state.ma.us/Health-Data/Asthma/index.html","accessed":{"date-parts":[["2024",9,23]]}}}],"schema":"https://github.com/citation-style-language/schema/raw/master/csl-citation.json"} </w:instrText>
      </w:r>
      <w:r w:rsidR="00AD4365">
        <w:fldChar w:fldCharType="separate"/>
      </w:r>
      <w:r w:rsidR="00801FB9" w:rsidRPr="00801FB9">
        <w:rPr>
          <w:rFonts w:cs="Arial"/>
          <w:vertAlign w:val="superscript"/>
        </w:rPr>
        <w:t>97</w:t>
      </w:r>
      <w:r w:rsidR="00AD4365">
        <w:fldChar w:fldCharType="end"/>
      </w:r>
      <w:r w:rsidR="7FADB6CD">
        <w:t xml:space="preserve"> </w:t>
      </w:r>
      <w:r w:rsidR="54C2B2D9">
        <w:t xml:space="preserve">Given </w:t>
      </w:r>
      <w:r w:rsidR="3B3C9F57">
        <w:t>children’s</w:t>
      </w:r>
      <w:r w:rsidR="54C2B2D9">
        <w:t xml:space="preserve"> </w:t>
      </w:r>
      <w:r w:rsidR="7386D097">
        <w:t>constant exposure to school buildings</w:t>
      </w:r>
      <w:r w:rsidR="3B3C9F57">
        <w:t xml:space="preserve"> and their susceptibility, </w:t>
      </w:r>
      <w:r w:rsidR="2C83AF46">
        <w:t xml:space="preserve">achieving a healthy school free of hazardous substances and with clean air and water is </w:t>
      </w:r>
      <w:r w:rsidR="64462103">
        <w:t>essential.</w:t>
      </w:r>
    </w:p>
    <w:p w14:paraId="3404481A" w14:textId="0B1E7723" w:rsidR="00E3070F" w:rsidRDefault="43CB241A" w:rsidP="006D7DE6">
      <w:pPr>
        <w:pStyle w:val="BodyTextFirstIndent"/>
      </w:pPr>
      <w:r>
        <w:t>N</w:t>
      </w:r>
      <w:r w:rsidR="58601E71">
        <w:t xml:space="preserve">ew buildings are not always free from </w:t>
      </w:r>
      <w:r w:rsidR="64462103">
        <w:t>environmental hazards</w:t>
      </w:r>
      <w:r w:rsidR="244F12B2">
        <w:t xml:space="preserve">. </w:t>
      </w:r>
      <w:r w:rsidR="181E0678">
        <w:t>In recent years, newer environmental health concerns have arisen in schools, such as exposure to airborne infectious diseases</w:t>
      </w:r>
      <w:r w:rsidR="58601E71">
        <w:t xml:space="preserve"> and </w:t>
      </w:r>
      <w:r w:rsidR="1DEB3A27">
        <w:t xml:space="preserve">possible exposures from the </w:t>
      </w:r>
      <w:r w:rsidR="181E0678">
        <w:t xml:space="preserve">use of artificial turf fields. Not only should schools be free from hazards, but schools should also strive </w:t>
      </w:r>
      <w:r w:rsidR="3D9726C2">
        <w:t>for</w:t>
      </w:r>
      <w:r w:rsidR="181E0678">
        <w:t xml:space="preserve"> proactively healthy environments, which includes maintaining a comfortable learning environment and properly designing spaces. </w:t>
      </w:r>
      <w:r w:rsidR="35AB4C10">
        <w:t xml:space="preserve">Both </w:t>
      </w:r>
      <w:r w:rsidR="3D9726C2">
        <w:t>existing</w:t>
      </w:r>
      <w:r w:rsidR="1E0EEE77">
        <w:t xml:space="preserve"> and </w:t>
      </w:r>
      <w:r w:rsidR="35AB4C10">
        <w:t xml:space="preserve">future </w:t>
      </w:r>
      <w:r w:rsidR="5812F528">
        <w:t xml:space="preserve">buildings can be retrofitted or designed to </w:t>
      </w:r>
      <w:r w:rsidR="73E7CD06">
        <w:t xml:space="preserve">achieve a healthy </w:t>
      </w:r>
      <w:r w:rsidR="6B79CAEA">
        <w:t>and productive</w:t>
      </w:r>
      <w:r w:rsidR="73E7CD06">
        <w:t xml:space="preserve"> learning environment</w:t>
      </w:r>
      <w:r w:rsidR="3D9726C2">
        <w:t xml:space="preserve"> for all</w:t>
      </w:r>
      <w:r w:rsidR="73E7CD06">
        <w:t>.</w:t>
      </w:r>
    </w:p>
    <w:p w14:paraId="0DAAA328" w14:textId="2ACD3C07" w:rsidR="001F1775" w:rsidRDefault="007307CA" w:rsidP="006D7DE6">
      <w:pPr>
        <w:pStyle w:val="BodyTextFirstIndent"/>
      </w:pPr>
      <w:r>
        <w:rPr>
          <w:noProof/>
        </w:rPr>
        <w:lastRenderedPageBreak/>
        <mc:AlternateContent>
          <mc:Choice Requires="wps">
            <w:drawing>
              <wp:anchor distT="0" distB="0" distL="114300" distR="114300" simplePos="0" relativeHeight="251649536" behindDoc="0" locked="0" layoutInCell="1" allowOverlap="1" wp14:anchorId="5778A583" wp14:editId="00C54FB3">
                <wp:simplePos x="0" y="0"/>
                <wp:positionH relativeFrom="margin">
                  <wp:align>right</wp:align>
                </wp:positionH>
                <wp:positionV relativeFrom="paragraph">
                  <wp:posOffset>-580</wp:posOffset>
                </wp:positionV>
                <wp:extent cx="2824480" cy="3331210"/>
                <wp:effectExtent l="0" t="0" r="13970" b="21590"/>
                <wp:wrapSquare wrapText="bothSides"/>
                <wp:docPr id="573844153" name="Text Box 1"/>
                <wp:cNvGraphicFramePr/>
                <a:graphic xmlns:a="http://schemas.openxmlformats.org/drawingml/2006/main">
                  <a:graphicData uri="http://schemas.microsoft.com/office/word/2010/wordprocessingShape">
                    <wps:wsp>
                      <wps:cNvSpPr txBox="1"/>
                      <wps:spPr bwMode="auto">
                        <a:xfrm>
                          <a:off x="0" y="0"/>
                          <a:ext cx="2824480" cy="3331210"/>
                        </a:xfrm>
                        <a:prstGeom prst="rect">
                          <a:avLst/>
                        </a:prstGeom>
                        <a:solidFill>
                          <a:schemeClr val="accent1">
                            <a:lumMod val="20000"/>
                            <a:lumOff val="80000"/>
                          </a:schemeClr>
                        </a:solidFill>
                        <a:ln w="9525">
                          <a:solidFill>
                            <a:schemeClr val="tx1"/>
                          </a:solidFill>
                          <a:miter lim="800000"/>
                          <a:headEnd/>
                          <a:tailEnd/>
                        </a:ln>
                      </wps:spPr>
                      <wps:txbx>
                        <w:txbxContent>
                          <w:p w14:paraId="6F2EF6F7" w14:textId="4FE80F9E" w:rsidR="00007776" w:rsidRDefault="001366A3" w:rsidP="004F1C58">
                            <w:pPr>
                              <w:pStyle w:val="TextBoxTitle"/>
                            </w:pPr>
                            <w:r>
                              <w:t>Local Public Health Departments</w:t>
                            </w:r>
                          </w:p>
                          <w:p w14:paraId="1174FEB4" w14:textId="0A36C818" w:rsidR="001366A3" w:rsidRDefault="006A3E07" w:rsidP="004F1C58">
                            <w:pPr>
                              <w:pStyle w:val="TextBoxText"/>
                            </w:pPr>
                            <w:r>
                              <w:t xml:space="preserve">Local </w:t>
                            </w:r>
                            <w:r w:rsidR="00FF0387">
                              <w:t xml:space="preserve">and regional </w:t>
                            </w:r>
                            <w:r>
                              <w:t xml:space="preserve">public health </w:t>
                            </w:r>
                            <w:r w:rsidR="00FF0387">
                              <w:t xml:space="preserve">departments are essential partners to </w:t>
                            </w:r>
                            <w:r w:rsidR="0010194C">
                              <w:t>school districts wishing to implement the strategies</w:t>
                            </w:r>
                            <w:r w:rsidR="00D101FE">
                              <w:t xml:space="preserve"> outlined in this report</w:t>
                            </w:r>
                            <w:r w:rsidR="0010194C">
                              <w:t xml:space="preserve">, including </w:t>
                            </w:r>
                            <w:r w:rsidR="00D101FE">
                              <w:t xml:space="preserve">addressing health equity, identifying </w:t>
                            </w:r>
                            <w:r w:rsidR="0046348B">
                              <w:t xml:space="preserve">environmental justice concerns, reviewing possible sites for new buildings, and providing health data </w:t>
                            </w:r>
                            <w:r w:rsidR="0010194C">
                              <w:t>for local funding</w:t>
                            </w:r>
                            <w:r w:rsidR="0046348B">
                              <w:t xml:space="preserve"> requests</w:t>
                            </w:r>
                            <w:r w:rsidR="0010194C">
                              <w:t>.</w:t>
                            </w:r>
                          </w:p>
                          <w:p w14:paraId="669B45B5" w14:textId="77777777" w:rsidR="0078229A" w:rsidRDefault="0078229A" w:rsidP="004F1C58">
                            <w:pPr>
                              <w:pStyle w:val="TextBoxText"/>
                            </w:pPr>
                          </w:p>
                          <w:p w14:paraId="4DA4074A" w14:textId="55CA1914" w:rsidR="00797DD0" w:rsidRPr="00BA3297" w:rsidRDefault="00797DD0" w:rsidP="004F1C58">
                            <w:pPr>
                              <w:pStyle w:val="TextBoxText"/>
                            </w:pPr>
                            <w:r>
                              <w:t xml:space="preserve">Local public health officials </w:t>
                            </w:r>
                            <w:r w:rsidR="00131EF1">
                              <w:t xml:space="preserve">should be at the table for </w:t>
                            </w:r>
                            <w:r>
                              <w:t xml:space="preserve">local policy </w:t>
                            </w:r>
                            <w:r w:rsidR="005A63DF">
                              <w:t xml:space="preserve">changes and </w:t>
                            </w:r>
                            <w:r w:rsidR="0021115B">
                              <w:t xml:space="preserve">to </w:t>
                            </w:r>
                            <w:r w:rsidR="00131EF1">
                              <w:t xml:space="preserve">support </w:t>
                            </w:r>
                            <w:r w:rsidR="005A63DF">
                              <w:t xml:space="preserve">the school district in prioritizing buildings to meet equity </w:t>
                            </w:r>
                            <w:r w:rsidR="00066CD2">
                              <w:t>g</w:t>
                            </w:r>
                            <w:r w:rsidR="005A63DF">
                              <w:t xml:space="preserve">oals by collaboration on data analysis and community outreach.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8A583" id="_x0000_s1043" type="#_x0000_t202" style="position:absolute;margin-left:171.2pt;margin-top:-.05pt;width:222.4pt;height:262.3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" fillcolor="#dbe5f1 [660]" strokecolor="black [3213]">
                <v:textbox>
                  <w:txbxContent>
                    <w:p w14:paraId="6F2EF6F7" w14:textId="4FE80F9E" w:rsidR="00007776" w:rsidRDefault="001366A3" w:rsidP="004F1C58">
                      <w:pPr>
                        <w:pStyle w:val="TextBoxTitle"/>
                      </w:pPr>
                      <w:r>
                        <w:t>Local Public Health Departments</w:t>
                      </w:r>
                    </w:p>
                    <w:p w14:paraId="1174FEB4" w14:textId="0A36C818" w:rsidR="001366A3" w:rsidRDefault="006A3E07" w:rsidP="004F1C58">
                      <w:pPr>
                        <w:pStyle w:val="TextBoxText"/>
                      </w:pPr>
                      <w:r>
                        <w:t xml:space="preserve">Local </w:t>
                      </w:r>
                      <w:r w:rsidR="00FF0387">
                        <w:t xml:space="preserve">and regional </w:t>
                      </w:r>
                      <w:r>
                        <w:t xml:space="preserve">public health </w:t>
                      </w:r>
                      <w:r w:rsidR="00FF0387">
                        <w:t xml:space="preserve">departments are essential partners to </w:t>
                      </w:r>
                      <w:r w:rsidR="0010194C">
                        <w:t>school districts wishing to implement the strategies</w:t>
                      </w:r>
                      <w:r w:rsidR="00D101FE">
                        <w:t xml:space="preserve"> outlined in this report</w:t>
                      </w:r>
                      <w:r w:rsidR="0010194C">
                        <w:t xml:space="preserve">, including </w:t>
                      </w:r>
                      <w:r w:rsidR="00D101FE">
                        <w:t xml:space="preserve">addressing health equity, identifying </w:t>
                      </w:r>
                      <w:r w:rsidR="0046348B">
                        <w:t xml:space="preserve">environmental justice concerns, reviewing possible sites for new buildings, and providing health data </w:t>
                      </w:r>
                      <w:r w:rsidR="0010194C">
                        <w:t>for local funding</w:t>
                      </w:r>
                      <w:r w:rsidR="0046348B">
                        <w:t xml:space="preserve"> requests</w:t>
                      </w:r>
                      <w:r w:rsidR="0010194C">
                        <w:t>.</w:t>
                      </w:r>
                    </w:p>
                    <w:p w14:paraId="669B45B5" w14:textId="77777777" w:rsidR="0078229A" w:rsidRDefault="0078229A" w:rsidP="004F1C58">
                      <w:pPr>
                        <w:pStyle w:val="TextBoxText"/>
                      </w:pPr>
                    </w:p>
                    <w:p w14:paraId="4DA4074A" w14:textId="55CA1914" w:rsidR="00797DD0" w:rsidRPr="00BA3297" w:rsidRDefault="00797DD0" w:rsidP="004F1C58">
                      <w:pPr>
                        <w:pStyle w:val="TextBoxText"/>
                      </w:pPr>
                      <w:r>
                        <w:t xml:space="preserve">Local public health officials </w:t>
                      </w:r>
                      <w:r w:rsidR="00131EF1">
                        <w:t xml:space="preserve">should be at the table for </w:t>
                      </w:r>
                      <w:r>
                        <w:t xml:space="preserve">local policy </w:t>
                      </w:r>
                      <w:r w:rsidR="005A63DF">
                        <w:t xml:space="preserve">changes and </w:t>
                      </w:r>
                      <w:r w:rsidR="0021115B">
                        <w:t xml:space="preserve">to </w:t>
                      </w:r>
                      <w:r w:rsidR="00131EF1">
                        <w:t xml:space="preserve">support </w:t>
                      </w:r>
                      <w:r w:rsidR="005A63DF">
                        <w:t xml:space="preserve">the school district in prioritizing buildings to meet equity </w:t>
                      </w:r>
                      <w:r w:rsidR="00066CD2">
                        <w:t>g</w:t>
                      </w:r>
                      <w:r w:rsidR="005A63DF">
                        <w:t xml:space="preserve">oals by collaboration on data analysis and community outreach. </w:t>
                      </w:r>
                    </w:p>
                  </w:txbxContent>
                </v:textbox>
                <w10:wrap type="square" anchorx="margin"/>
              </v:shape>
            </w:pict>
          </mc:Fallback>
        </mc:AlternateContent>
      </w:r>
      <w:r w:rsidR="00EE78EC" w:rsidRPr="00EE78EC">
        <w:t xml:space="preserve">This section presents a tabular summary of the methods and best practices that can help school districts across the Commonwealth achieve </w:t>
      </w:r>
      <w:r w:rsidR="00EE78EC">
        <w:t>healthy</w:t>
      </w:r>
      <w:r w:rsidR="00EE78EC" w:rsidRPr="00EE78EC">
        <w:t xml:space="preserve"> schools and a brief discussion of notable barriers and challenges that schools are likely to face. </w:t>
      </w:r>
      <w:r w:rsidR="001F1775">
        <w:t xml:space="preserve">Content is provided across the following </w:t>
      </w:r>
      <w:r w:rsidR="00362927">
        <w:t>10</w:t>
      </w:r>
      <w:r w:rsidR="001F1775">
        <w:t xml:space="preserve"> objectives: </w:t>
      </w:r>
    </w:p>
    <w:p w14:paraId="4C989BA7" w14:textId="1598423E" w:rsidR="008849BA" w:rsidRDefault="008849BA" w:rsidP="0073680D">
      <w:pPr>
        <w:pStyle w:val="ListLetter"/>
        <w:numPr>
          <w:ilvl w:val="0"/>
          <w:numId w:val="8"/>
        </w:numPr>
      </w:pPr>
      <w:r>
        <w:t>Improve air quality</w:t>
      </w:r>
    </w:p>
    <w:p w14:paraId="6641F54B" w14:textId="28B1EB32" w:rsidR="001F1775" w:rsidRPr="00CE319F" w:rsidRDefault="00892993" w:rsidP="0073680D">
      <w:pPr>
        <w:pStyle w:val="ListLetter"/>
        <w:numPr>
          <w:ilvl w:val="0"/>
          <w:numId w:val="8"/>
        </w:numPr>
      </w:pPr>
      <w:r>
        <w:t>Improve water quality</w:t>
      </w:r>
    </w:p>
    <w:p w14:paraId="5034CF83" w14:textId="60069E3E" w:rsidR="001F1775" w:rsidRPr="00CE319F" w:rsidRDefault="00362927" w:rsidP="0073680D">
      <w:pPr>
        <w:pStyle w:val="ListLetter"/>
      </w:pPr>
      <w:r>
        <w:t>Maintain thermal comfort</w:t>
      </w:r>
    </w:p>
    <w:p w14:paraId="1509B9E5" w14:textId="49EE1B3B" w:rsidR="001F1775" w:rsidRPr="00CE319F" w:rsidRDefault="00DA1E91" w:rsidP="0073680D">
      <w:pPr>
        <w:pStyle w:val="ListLetter"/>
      </w:pPr>
      <w:r>
        <w:t>U</w:t>
      </w:r>
      <w:r w:rsidR="001C0335">
        <w:t>se</w:t>
      </w:r>
      <w:r>
        <w:t xml:space="preserve"> integrate</w:t>
      </w:r>
      <w:r w:rsidR="00C37512">
        <w:t>d</w:t>
      </w:r>
      <w:r>
        <w:t xml:space="preserve"> pest management</w:t>
      </w:r>
    </w:p>
    <w:p w14:paraId="312D4FD9" w14:textId="3331F326" w:rsidR="001F1775" w:rsidRDefault="00DA1E91" w:rsidP="0073680D">
      <w:pPr>
        <w:pStyle w:val="ListLetter"/>
      </w:pPr>
      <w:r>
        <w:t>Procure and use green cleaning supplies</w:t>
      </w:r>
      <w:r w:rsidR="006C0659">
        <w:t>/</w:t>
      </w:r>
      <w:r>
        <w:t>chemicals</w:t>
      </w:r>
    </w:p>
    <w:p w14:paraId="56D0561D" w14:textId="550CFFA0" w:rsidR="00B36507" w:rsidRDefault="00B36507" w:rsidP="0073680D">
      <w:pPr>
        <w:pStyle w:val="ListLetter"/>
      </w:pPr>
      <w:r>
        <w:t>Minimize exposure to hazardous substances</w:t>
      </w:r>
    </w:p>
    <w:p w14:paraId="1349C624" w14:textId="78A5B31A" w:rsidR="00B36507" w:rsidRDefault="00B36507" w:rsidP="0073680D">
      <w:pPr>
        <w:pStyle w:val="ListLetter"/>
      </w:pPr>
      <w:r>
        <w:t>Safely procure, use, and dispose of crumb rubber</w:t>
      </w:r>
    </w:p>
    <w:p w14:paraId="0C0C2AB6" w14:textId="5DF0A4B2" w:rsidR="00B36507" w:rsidRDefault="00B36507" w:rsidP="0073680D">
      <w:pPr>
        <w:pStyle w:val="ListLetter"/>
      </w:pPr>
      <w:r>
        <w:t xml:space="preserve">Create </w:t>
      </w:r>
      <w:r w:rsidR="00B94771">
        <w:t xml:space="preserve">a </w:t>
      </w:r>
      <w:r>
        <w:t>safe environment</w:t>
      </w:r>
      <w:r w:rsidR="00B94771">
        <w:t xml:space="preserve"> for students with life-threatening food allergies</w:t>
      </w:r>
    </w:p>
    <w:p w14:paraId="1DAF60A4" w14:textId="6DF38A1D" w:rsidR="00B94771" w:rsidRDefault="00B94771" w:rsidP="0073680D">
      <w:pPr>
        <w:pStyle w:val="ListLetter"/>
      </w:pPr>
      <w:r>
        <w:t>Create a productive learning environment for all students</w:t>
      </w:r>
    </w:p>
    <w:p w14:paraId="1715FF13" w14:textId="6552558C" w:rsidR="00B94771" w:rsidRDefault="00510D0E" w:rsidP="0073680D">
      <w:pPr>
        <w:pStyle w:val="ListLetter"/>
      </w:pPr>
      <w:r w:rsidRPr="00510D0E">
        <w:t>Design the Built Environment to Foster a Peaceful School Community</w:t>
      </w:r>
    </w:p>
    <w:p w14:paraId="12CB9A30" w14:textId="764F6927" w:rsidR="00811057" w:rsidRDefault="006604A3" w:rsidP="006D7DE6">
      <w:pPr>
        <w:pStyle w:val="BodyTextFirstIndent"/>
      </w:pPr>
      <w:hyperlink w:anchor="Section_VII" w:history="1">
        <w:r w:rsidRPr="006604A3">
          <w:rPr>
            <w:rStyle w:val="Hyperlink"/>
          </w:rPr>
          <w:t>Section VII</w:t>
        </w:r>
      </w:hyperlink>
      <w:r w:rsidR="00811057" w:rsidRPr="00811057">
        <w:t xml:space="preserve"> provides a more detailed narrative description of the methods and best practices, details related to the relevant statutory/regulatory framework and notable standards, and relevant resources across each of the </w:t>
      </w:r>
      <w:r w:rsidR="00811057">
        <w:t>10</w:t>
      </w:r>
      <w:r w:rsidR="00811057" w:rsidRPr="00811057">
        <w:t xml:space="preserve"> objectives.</w:t>
      </w:r>
    </w:p>
    <w:p w14:paraId="6CF33BB9" w14:textId="7EAC5F10" w:rsidR="00D74A55" w:rsidRDefault="008849BA" w:rsidP="001C7888">
      <w:pPr>
        <w:pStyle w:val="Heading2"/>
      </w:pPr>
      <w:bookmarkStart w:id="147" w:name="Objective_2a"/>
      <w:bookmarkStart w:id="148" w:name="_Toc193116901"/>
      <w:bookmarkStart w:id="149" w:name="_Toc171518369"/>
      <w:bookmarkStart w:id="150" w:name="_Toc171519322"/>
      <w:bookmarkEnd w:id="147"/>
      <w:r>
        <w:t xml:space="preserve">Objective 2a. </w:t>
      </w:r>
      <w:r w:rsidR="00FE3DB9">
        <w:t>Improve</w:t>
      </w:r>
      <w:r>
        <w:t xml:space="preserve"> Air Quality</w:t>
      </w:r>
      <w:bookmarkEnd w:id="148"/>
    </w:p>
    <w:p w14:paraId="52C877C9" w14:textId="0D4EFD4C" w:rsidR="005B76C8" w:rsidRDefault="000F3FB4" w:rsidP="006D7DE6">
      <w:pPr>
        <w:pStyle w:val="BodyTextFirstIndent"/>
      </w:pPr>
      <w:r>
        <w:t>Improving air quality is a ke</w:t>
      </w:r>
      <w:r w:rsidR="00E75696">
        <w:t>y aspect of achieving a healthy school</w:t>
      </w:r>
      <w:r w:rsidR="006A514E">
        <w:t>. E</w:t>
      </w:r>
      <w:r w:rsidR="000302A7">
        <w:t>xposure to many environmental hazards occurs through the air</w:t>
      </w:r>
      <w:r w:rsidR="006A514E">
        <w:t xml:space="preserve">, </w:t>
      </w:r>
      <w:r w:rsidR="000302A7">
        <w:t xml:space="preserve">and </w:t>
      </w:r>
      <w:r w:rsidR="00091CD8">
        <w:t xml:space="preserve">children breathe more air relative to their size than adults. </w:t>
      </w:r>
      <w:r w:rsidR="00206879">
        <w:t>This section pr</w:t>
      </w:r>
      <w:r w:rsidR="00383FDF">
        <w:t>esents background information and a high-level summary of methods and best practices</w:t>
      </w:r>
      <w:r w:rsidR="00BB1C51">
        <w:t xml:space="preserve"> </w:t>
      </w:r>
      <w:r w:rsidR="00E1131A">
        <w:t>for mitigating</w:t>
      </w:r>
      <w:r w:rsidR="00BB1C51">
        <w:t xml:space="preserve"> the following </w:t>
      </w:r>
      <w:r w:rsidR="0004559D">
        <w:t xml:space="preserve">seven </w:t>
      </w:r>
      <w:r w:rsidR="00BB1C51">
        <w:t>indoor air quality exposure hazards</w:t>
      </w:r>
      <w:r w:rsidR="00E1131A">
        <w:t>:</w:t>
      </w:r>
      <w:r w:rsidR="00383FDF">
        <w:t xml:space="preserve"> </w:t>
      </w:r>
    </w:p>
    <w:p w14:paraId="2AB643C3" w14:textId="486ACB51" w:rsidR="005B76C8" w:rsidRDefault="005B76C8" w:rsidP="0073680D">
      <w:pPr>
        <w:pStyle w:val="ListNumber"/>
        <w:numPr>
          <w:ilvl w:val="0"/>
          <w:numId w:val="34"/>
        </w:numPr>
      </w:pPr>
      <w:r>
        <w:t>Airborne</w:t>
      </w:r>
      <w:r w:rsidR="0004559D">
        <w:t xml:space="preserve"> transmission of disease</w:t>
      </w:r>
    </w:p>
    <w:p w14:paraId="2A086453" w14:textId="288D323A" w:rsidR="0004559D" w:rsidRDefault="001C69F5" w:rsidP="0073680D">
      <w:pPr>
        <w:pStyle w:val="ListNumber"/>
        <w:numPr>
          <w:ilvl w:val="0"/>
          <w:numId w:val="34"/>
        </w:numPr>
      </w:pPr>
      <w:r>
        <w:t>Asbestos</w:t>
      </w:r>
    </w:p>
    <w:p w14:paraId="5900150D" w14:textId="7EE540F2" w:rsidR="001C69F5" w:rsidRDefault="001C69F5" w:rsidP="0073680D">
      <w:pPr>
        <w:pStyle w:val="ListNumber"/>
        <w:numPr>
          <w:ilvl w:val="0"/>
          <w:numId w:val="34"/>
        </w:numPr>
      </w:pPr>
      <w:r>
        <w:t>Carbon monoxide</w:t>
      </w:r>
    </w:p>
    <w:p w14:paraId="3285FB38" w14:textId="6201D5FD" w:rsidR="001C69F5" w:rsidRDefault="001C69F5" w:rsidP="0073680D">
      <w:pPr>
        <w:pStyle w:val="ListNumber"/>
        <w:numPr>
          <w:ilvl w:val="0"/>
          <w:numId w:val="34"/>
        </w:numPr>
      </w:pPr>
      <w:r>
        <w:t>Mold and moisture</w:t>
      </w:r>
    </w:p>
    <w:p w14:paraId="2824F58F" w14:textId="3130433D" w:rsidR="001C69F5" w:rsidRDefault="001C69F5" w:rsidP="0073680D">
      <w:pPr>
        <w:pStyle w:val="ListNumber"/>
        <w:numPr>
          <w:ilvl w:val="0"/>
          <w:numId w:val="34"/>
        </w:numPr>
      </w:pPr>
      <w:r>
        <w:t>PCBs</w:t>
      </w:r>
    </w:p>
    <w:p w14:paraId="18B2ACB8" w14:textId="454C2A7A" w:rsidR="001C69F5" w:rsidRDefault="001C69F5" w:rsidP="0073680D">
      <w:pPr>
        <w:pStyle w:val="ListNumber"/>
        <w:numPr>
          <w:ilvl w:val="0"/>
          <w:numId w:val="34"/>
        </w:numPr>
      </w:pPr>
      <w:r>
        <w:t>Radon</w:t>
      </w:r>
    </w:p>
    <w:p w14:paraId="2FFB135E" w14:textId="129AF6FA" w:rsidR="001C69F5" w:rsidRDefault="001C69F5" w:rsidP="0073680D">
      <w:pPr>
        <w:pStyle w:val="ListNumber"/>
        <w:numPr>
          <w:ilvl w:val="0"/>
          <w:numId w:val="34"/>
        </w:numPr>
      </w:pPr>
      <w:r>
        <w:lastRenderedPageBreak/>
        <w:t>Outdoor air pollutants</w:t>
      </w:r>
    </w:p>
    <w:p w14:paraId="51B46DA2" w14:textId="78403BCE" w:rsidR="0034141F" w:rsidRDefault="00333003" w:rsidP="006D7DE6">
      <w:pPr>
        <w:pStyle w:val="BodyTextFirstIndent"/>
      </w:pPr>
      <w:r>
        <w:t>A</w:t>
      </w:r>
      <w:r w:rsidR="0068583D">
        <w:t>ddressing th</w:t>
      </w:r>
      <w:r w:rsidR="005D44D3">
        <w:t xml:space="preserve">is range of airborne </w:t>
      </w:r>
      <w:r>
        <w:t>hazards</w:t>
      </w:r>
      <w:r w:rsidR="005D44D3">
        <w:t xml:space="preserve"> </w:t>
      </w:r>
      <w:r w:rsidR="002D2AC5">
        <w:t>can</w:t>
      </w:r>
      <w:r w:rsidR="005D44D3">
        <w:t xml:space="preserve"> help improve air quality in schools</w:t>
      </w:r>
      <w:r w:rsidR="002D2AC5">
        <w:t xml:space="preserve"> and</w:t>
      </w:r>
      <w:r w:rsidR="005D44D3">
        <w:t xml:space="preserve"> reduce </w:t>
      </w:r>
      <w:r w:rsidR="002D2AC5">
        <w:t xml:space="preserve">acute and chronic illnesses </w:t>
      </w:r>
      <w:r w:rsidR="00AE1154">
        <w:t>among</w:t>
      </w:r>
      <w:r w:rsidR="002D2AC5">
        <w:t xml:space="preserve"> children and </w:t>
      </w:r>
      <w:r w:rsidR="00F02A83">
        <w:t>school staff.</w:t>
      </w:r>
    </w:p>
    <w:p w14:paraId="0F013244" w14:textId="00560784" w:rsidR="00D74A55" w:rsidRDefault="000C7142" w:rsidP="00D74A55">
      <w:pPr>
        <w:pStyle w:val="AirQualitySubheading"/>
      </w:pPr>
      <w:bookmarkStart w:id="151" w:name="ReduceAirTransmission"/>
      <w:r>
        <w:t>2a(1)</w:t>
      </w:r>
      <w:r>
        <w:tab/>
      </w:r>
      <w:r w:rsidR="00CB247E">
        <w:t>Reduc</w:t>
      </w:r>
      <w:r w:rsidR="00601812">
        <w:t>e</w:t>
      </w:r>
      <w:r w:rsidR="00CB247E">
        <w:t xml:space="preserve"> </w:t>
      </w:r>
      <w:r w:rsidR="00D74A55">
        <w:t>Airborne Transmission of Disease</w:t>
      </w:r>
      <w:bookmarkEnd w:id="151"/>
    </w:p>
    <w:bookmarkEnd w:id="149"/>
    <w:bookmarkEnd w:id="150"/>
    <w:p w14:paraId="5032A528" w14:textId="571E4C81" w:rsidR="008849BA" w:rsidRDefault="006D258D" w:rsidP="006D258D">
      <w:pPr>
        <w:pStyle w:val="Heading3"/>
      </w:pPr>
      <w:r>
        <w:t>Background</w:t>
      </w:r>
    </w:p>
    <w:p w14:paraId="7685D83F" w14:textId="59BCA3ED" w:rsidR="00CC48F9" w:rsidRDefault="00CC48F9" w:rsidP="006D7DE6">
      <w:pPr>
        <w:pStyle w:val="BodyTextFirstIndent"/>
      </w:pPr>
      <w:r>
        <w:t>Infections can spread in schools through numerous pathways</w:t>
      </w:r>
      <w:r w:rsidR="00C50DE9">
        <w:t>,</w:t>
      </w:r>
      <w:r>
        <w:t xml:space="preserve"> such as physical contact, touching shared objects, or breathing air with infectious particles.</w:t>
      </w:r>
      <w:r>
        <w:fldChar w:fldCharType="begin"/>
      </w:r>
      <w:r w:rsidR="00801FB9">
        <w:instrText xml:space="preserve"> ADDIN ZOTERO_ITEM CSL_CITATION {"citationID":"ynBlKXy9","properties":{"formattedCitation":"\\super 98\\nosupersub{}","plainCitation":"98","noteIndex":0},"citationItems":[{"id":720,"uris":["http://zotero.org/groups/5563646/items/DPPQBBR3"],"itemData":{"id":720,"type":"webpage","abstract":"Center for Preparedness and Response","container-title":"CDC.gov","language":"en-us","title":"Preventing Spread of Infections in K-12 Schools","URL":"https://www.cdc.gov/orr/school-preparedness/infection-prevention/index.html","author":[{"family":"CDC","given":""}],"accessed":{"date-parts":[["2024",7,19]]},"issued":{"date-parts":[["2024",5,17]]}}}],"schema":"https://github.com/citation-style-language/schema/raw/master/csl-citation.json"} </w:instrText>
      </w:r>
      <w:r>
        <w:fldChar w:fldCharType="separate"/>
      </w:r>
      <w:r w:rsidR="00801FB9" w:rsidRPr="00801FB9">
        <w:rPr>
          <w:rFonts w:cs="Arial"/>
          <w:vertAlign w:val="superscript"/>
        </w:rPr>
        <w:t>98</w:t>
      </w:r>
      <w:r>
        <w:fldChar w:fldCharType="end"/>
      </w:r>
      <w:r>
        <w:t xml:space="preserve"> While different diseases are spread by different transmission pathways, this section focuses on reducing transmission of diseases that can spread via airborne transmission. SARS-CoV-2 (which causes COVID-19), influenza viruses, and respiratory syncytial virus are some of the major pathogens that spread in schools through airborne transmission. Reducing airborne transmission of disease can reduce illness among students and staff</w:t>
      </w:r>
      <w:r w:rsidR="00C50DE9">
        <w:t>,</w:t>
      </w:r>
      <w:r>
        <w:t xml:space="preserve"> as well as illness-related absenteeism.</w:t>
      </w:r>
      <w:r>
        <w:fldChar w:fldCharType="begin"/>
      </w:r>
      <w:r w:rsidR="000D02BC">
        <w:instrText xml:space="preserve"> ADDIN ZOTERO_ITEM CSL_CITATION {"citationID":"gTYMwG6j","properties":{"formattedCitation":"\\super 98\\nosupersub{}","plainCitation":"98","noteIndex":0},"citationItems":[{"id":720,"uris":["http://zotero.org/groups/5563646/items/DPPQBBR3"],"itemData":{"id":720,"type":"webpage","abstract":"Center for Preparedness and Response","container-title":"CDC.gov","language":"en-us","title":"Preventing Spread of Infections in K-12 Schools","URL":"https://www.cdc.gov/orr/school-preparedness/infection-prevention/index.html","author":[{"family":"CDC","given":""}],"accessed":{"date-parts":[["2024",7,19]]},"issued":{"date-parts":[["2024",5,17]]}}}],"schema":"https://github.com/citation-style-language/schema/raw/master/csl-citation.json"} </w:instrText>
      </w:r>
      <w:r>
        <w:fldChar w:fldCharType="separate"/>
      </w:r>
      <w:r w:rsidR="000D02BC" w:rsidRPr="000D02BC">
        <w:rPr>
          <w:rFonts w:cs="Arial"/>
          <w:vertAlign w:val="superscript"/>
        </w:rPr>
        <w:t>98</w:t>
      </w:r>
      <w:r>
        <w:fldChar w:fldCharType="end"/>
      </w:r>
      <w:r>
        <w:t xml:space="preserve"> </w:t>
      </w:r>
    </w:p>
    <w:p w14:paraId="4FF4DBFB" w14:textId="7FA80040" w:rsidR="00AD69B5" w:rsidRDefault="00AD69B5" w:rsidP="004453C8">
      <w:pPr>
        <w:pStyle w:val="Heading3"/>
      </w:pPr>
      <w:r>
        <w:t>Methods and Best Practices</w:t>
      </w:r>
    </w:p>
    <w:p w14:paraId="39EE5C56" w14:textId="569EE5AC" w:rsidR="007935AE" w:rsidRDefault="00AC684F" w:rsidP="006D7DE6">
      <w:pPr>
        <w:pStyle w:val="BodyTextFirstIndent"/>
      </w:pPr>
      <w:r>
        <w:t xml:space="preserve">The first category of recommendations are practices that schools can use in their </w:t>
      </w:r>
      <w:r w:rsidR="00B2572A">
        <w:t>daily</w:t>
      </w:r>
      <w:r>
        <w:t xml:space="preserve"> operations to reduce the airborne transmission of disease. The second category </w:t>
      </w:r>
      <w:r w:rsidR="00B2572A">
        <w:t>is steps</w:t>
      </w:r>
      <w:r w:rsidR="00403706">
        <w:t xml:space="preserve"> for when an individual is sick or </w:t>
      </w:r>
      <w:r w:rsidR="007455B8">
        <w:t xml:space="preserve">when </w:t>
      </w:r>
      <w:r w:rsidR="00B2572A">
        <w:t xml:space="preserve">rates of disease are high </w:t>
      </w:r>
      <w:r w:rsidR="00C50DE9">
        <w:t xml:space="preserve">in </w:t>
      </w:r>
      <w:r w:rsidR="00B2572A">
        <w:t>a school community.</w:t>
      </w:r>
      <w:r w:rsidR="00167B55">
        <w:t xml:space="preserve"> </w:t>
      </w:r>
      <w:r w:rsidR="00FC2E7D">
        <w:fldChar w:fldCharType="begin"/>
      </w:r>
      <w:r w:rsidR="00FC2E7D">
        <w:instrText xml:space="preserve"> REF _Ref171606485 \h </w:instrText>
      </w:r>
      <w:r w:rsidR="00FC2E7D">
        <w:fldChar w:fldCharType="separate"/>
      </w:r>
      <w:r w:rsidR="00307850">
        <w:t xml:space="preserve">Table </w:t>
      </w:r>
      <w:r w:rsidR="00307850">
        <w:rPr>
          <w:noProof/>
        </w:rPr>
        <w:t>12</w:t>
      </w:r>
      <w:r w:rsidR="00FC2E7D">
        <w:fldChar w:fldCharType="end"/>
      </w:r>
      <w:r w:rsidR="00FC2E7D">
        <w:t xml:space="preserve"> </w:t>
      </w:r>
      <w:r w:rsidR="007935AE" w:rsidRPr="007935AE">
        <w:t xml:space="preserve">summarizes </w:t>
      </w:r>
      <w:r w:rsidR="00BD5C01">
        <w:t xml:space="preserve">the </w:t>
      </w:r>
      <w:r w:rsidR="007935AE" w:rsidRPr="007935AE">
        <w:t xml:space="preserve">methods and best practices for </w:t>
      </w:r>
      <w:r w:rsidR="007935AE">
        <w:t>reducing airborne tr</w:t>
      </w:r>
      <w:r w:rsidR="00D26B51">
        <w:t>ansmission of disease/illness in</w:t>
      </w:r>
      <w:r w:rsidR="007935AE" w:rsidRPr="007935AE">
        <w:t xml:space="preserve"> schools. For each method and best practice, the table presents the approximate capital and operating costs, implementation timeframe, and ease of implementation.</w:t>
      </w:r>
      <w:r w:rsidR="00C43978">
        <w:t xml:space="preserve"> </w:t>
      </w:r>
      <w:r w:rsidR="00C43978" w:rsidRPr="00C43978">
        <w:t xml:space="preserve">See </w:t>
      </w:r>
      <w:bookmarkStart w:id="152" w:name="_Hlk180441888"/>
      <w:r w:rsidR="00CE6C0B">
        <w:fldChar w:fldCharType="begin"/>
      </w:r>
      <w:r w:rsidR="00CE6C0B">
        <w:instrText>HYPERLINK  \l "SectVII_2a1"</w:instrText>
      </w:r>
      <w:r w:rsidR="00CE6C0B">
        <w:fldChar w:fldCharType="separate"/>
      </w:r>
      <w:r w:rsidR="00CE6C0B" w:rsidRPr="00CE6C0B">
        <w:rPr>
          <w:rStyle w:val="Hyperlink"/>
        </w:rPr>
        <w:t>Section VII, Objective 2a(1)</w:t>
      </w:r>
      <w:r w:rsidR="00CE6C0B">
        <w:fldChar w:fldCharType="end"/>
      </w:r>
      <w:bookmarkEnd w:id="152"/>
      <w:r w:rsidR="00C43978" w:rsidRPr="00C43978">
        <w:t xml:space="preserve"> for additional narrative descriptions of each of the methods and best practices.</w:t>
      </w:r>
    </w:p>
    <w:p w14:paraId="7AE8E096" w14:textId="41E94AAF" w:rsidR="000B161A" w:rsidRDefault="000B161A" w:rsidP="00B30C96">
      <w:pPr>
        <w:pStyle w:val="TableTitle"/>
      </w:pPr>
      <w:bookmarkStart w:id="153" w:name="_Ref171606485"/>
      <w:bookmarkStart w:id="154" w:name="_Toc192711678"/>
      <w:bookmarkStart w:id="155" w:name="_Toc193112560"/>
      <w:bookmarkStart w:id="156" w:name="_Toc193116959"/>
      <w:r>
        <w:lastRenderedPageBreak/>
        <w:t xml:space="preserve">Table </w:t>
      </w:r>
      <w:fldSimple w:instr=" SEQ Table \* ARABIC ">
        <w:r w:rsidR="00307850">
          <w:rPr>
            <w:noProof/>
          </w:rPr>
          <w:t>12</w:t>
        </w:r>
      </w:fldSimple>
      <w:bookmarkEnd w:id="153"/>
      <w:r>
        <w:t>. Methods</w:t>
      </w:r>
      <w:r w:rsidR="00E33249">
        <w:t xml:space="preserve"> and </w:t>
      </w:r>
      <w:r w:rsidR="00D137CF">
        <w:t>B</w:t>
      </w:r>
      <w:r>
        <w:t xml:space="preserve">est </w:t>
      </w:r>
      <w:r w:rsidR="00D137CF">
        <w:t>P</w:t>
      </w:r>
      <w:r>
        <w:t xml:space="preserve">ractices </w:t>
      </w:r>
      <w:r w:rsidR="00624D92">
        <w:t>for</w:t>
      </w:r>
      <w:r>
        <w:t xml:space="preserve"> </w:t>
      </w:r>
      <w:r w:rsidR="00D137CF">
        <w:t>R</w:t>
      </w:r>
      <w:r w:rsidRPr="000B161A">
        <w:t>educ</w:t>
      </w:r>
      <w:r w:rsidR="00AC16A1">
        <w:t>ing</w:t>
      </w:r>
      <w:r w:rsidRPr="000B161A">
        <w:t xml:space="preserve"> </w:t>
      </w:r>
      <w:r w:rsidR="00D137CF">
        <w:t>A</w:t>
      </w:r>
      <w:r w:rsidRPr="000B161A">
        <w:t xml:space="preserve">irborne </w:t>
      </w:r>
      <w:r w:rsidR="00D137CF">
        <w:t>T</w:t>
      </w:r>
      <w:r w:rsidRPr="000B161A">
        <w:t xml:space="preserve">ransmission of </w:t>
      </w:r>
      <w:r w:rsidR="00D137CF">
        <w:t>R</w:t>
      </w:r>
      <w:r w:rsidRPr="000B161A">
        <w:t>espiratory</w:t>
      </w:r>
      <w:r w:rsidR="00D137CF">
        <w:t xml:space="preserve"> D</w:t>
      </w:r>
      <w:r w:rsidRPr="000B161A">
        <w:t>isease/Illness</w:t>
      </w:r>
      <w:bookmarkEnd w:id="154"/>
      <w:bookmarkEnd w:id="155"/>
      <w:bookmarkEnd w:id="156"/>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airborne transmission of respiratory disease/illness."/>
      </w:tblPr>
      <w:tblGrid>
        <w:gridCol w:w="570"/>
        <w:gridCol w:w="5952"/>
        <w:gridCol w:w="707"/>
        <w:gridCol w:w="707"/>
        <w:gridCol w:w="707"/>
        <w:gridCol w:w="707"/>
      </w:tblGrid>
      <w:tr w:rsidR="000B161A" w:rsidRPr="00C8094D" w14:paraId="1FEC8A0C"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52FCCE7B" w14:textId="77777777" w:rsidR="000B161A" w:rsidRDefault="000B161A">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78A256A" w14:textId="77777777" w:rsidR="000B161A" w:rsidRPr="00C8094D" w:rsidRDefault="000B161A" w:rsidP="00D63A6B">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19CA4075" w14:textId="77777777" w:rsidR="000B161A" w:rsidRDefault="000B161A" w:rsidP="00D63A6B">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F178006" w14:textId="77777777" w:rsidR="000B161A" w:rsidRPr="00C8094D" w:rsidRDefault="000B161A" w:rsidP="00D63A6B">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39756DF" w14:textId="77777777" w:rsidR="000B161A" w:rsidRPr="00C8094D" w:rsidRDefault="000B161A" w:rsidP="00D63A6B">
            <w:pPr>
              <w:pStyle w:val="TableColumnHeader"/>
              <w:jc w:val="left"/>
            </w:pPr>
            <w:r>
              <w:t xml:space="preserve">Ease of </w:t>
            </w:r>
            <w:r w:rsidRPr="00C8094D">
              <w:t>Implementation</w:t>
            </w:r>
          </w:p>
        </w:tc>
      </w:tr>
      <w:tr w:rsidR="000B161A" w:rsidRPr="00C8094D" w14:paraId="4F46FE5D" w14:textId="77777777" w:rsidTr="006F5AAC">
        <w:trPr>
          <w:cantSplit/>
          <w:trHeight w:val="255"/>
          <w:tblHeader/>
          <w:jc w:val="center"/>
        </w:trPr>
        <w:tc>
          <w:tcPr>
            <w:tcW w:w="3487" w:type="pct"/>
            <w:gridSpan w:val="2"/>
            <w:tcBorders>
              <w:top w:val="nil"/>
              <w:left w:val="single" w:sz="4" w:space="0" w:color="auto"/>
              <w:bottom w:val="single" w:sz="4" w:space="0" w:color="auto"/>
              <w:right w:val="single" w:sz="4" w:space="0" w:color="auto"/>
            </w:tcBorders>
            <w:shd w:val="clear" w:color="auto" w:fill="1F497D" w:themeFill="text2"/>
          </w:tcPr>
          <w:p w14:paraId="5078AA74" w14:textId="31DEC135" w:rsidR="000B161A" w:rsidRPr="00276B41" w:rsidRDefault="00B26FAE">
            <w:pPr>
              <w:pStyle w:val="TableRowHeader"/>
            </w:pPr>
            <w:r>
              <w:t xml:space="preserve">In </w:t>
            </w:r>
            <w:r w:rsidR="0054774A">
              <w:t>Everyday Operations</w:t>
            </w:r>
          </w:p>
        </w:tc>
        <w:tc>
          <w:tcPr>
            <w:tcW w:w="378" w:type="pct"/>
            <w:tcBorders>
              <w:top w:val="nil"/>
              <w:left w:val="single" w:sz="4" w:space="0" w:color="auto"/>
              <w:bottom w:val="single" w:sz="4" w:space="0" w:color="auto"/>
              <w:right w:val="single" w:sz="4" w:space="0" w:color="auto"/>
            </w:tcBorders>
            <w:shd w:val="clear" w:color="auto" w:fill="1F497D" w:themeFill="text2"/>
            <w:vAlign w:val="center"/>
          </w:tcPr>
          <w:p w14:paraId="402FF18B"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A522D54"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DA19C1A"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BEE47D9" w14:textId="77777777" w:rsidR="000B161A" w:rsidRPr="00276B41" w:rsidRDefault="000B161A">
            <w:pPr>
              <w:pStyle w:val="TableText"/>
            </w:pPr>
          </w:p>
        </w:tc>
      </w:tr>
      <w:tr w:rsidR="000B161A" w:rsidRPr="00C8094D" w14:paraId="1C6BEA44"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719907E7" w14:textId="77777777" w:rsidR="000B161A" w:rsidRDefault="000B161A">
            <w:pPr>
              <w:pStyle w:val="TableText"/>
            </w:pPr>
            <w:r>
              <w:t>(1)</w:t>
            </w:r>
          </w:p>
        </w:tc>
        <w:tc>
          <w:tcPr>
            <w:tcW w:w="3183" w:type="pct"/>
            <w:tcBorders>
              <w:top w:val="single" w:sz="4" w:space="0" w:color="auto"/>
              <w:bottom w:val="single" w:sz="4" w:space="0" w:color="auto"/>
              <w:right w:val="single" w:sz="4" w:space="0" w:color="auto"/>
            </w:tcBorders>
          </w:tcPr>
          <w:p w14:paraId="16D12C1F" w14:textId="7D0CBC4F" w:rsidR="000B161A" w:rsidRDefault="001209F8">
            <w:pPr>
              <w:pStyle w:val="TableText"/>
            </w:pPr>
            <w:r w:rsidRPr="001209F8">
              <w:t>Increase ventilation to bring more outdoor air to indoor spaces</w:t>
            </w:r>
            <w:r w:rsidR="00830F8A">
              <w:t xml:space="preserve"> </w:t>
            </w:r>
          </w:p>
        </w:tc>
        <w:tc>
          <w:tcPr>
            <w:tcW w:w="378" w:type="pct"/>
            <w:tcBorders>
              <w:top w:val="nil"/>
              <w:left w:val="single" w:sz="4" w:space="0" w:color="auto"/>
              <w:bottom w:val="single" w:sz="4" w:space="0" w:color="auto"/>
              <w:right w:val="single" w:sz="4" w:space="0" w:color="auto"/>
            </w:tcBorders>
            <w:shd w:val="clear" w:color="auto" w:fill="auto"/>
            <w:vAlign w:val="center"/>
          </w:tcPr>
          <w:p w14:paraId="719656D5" w14:textId="09EAE09C" w:rsidR="000B161A" w:rsidRPr="00C8094D" w:rsidRDefault="00CE5647">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2F8E24B6" w14:textId="30FD43D4" w:rsidR="000B161A" w:rsidRPr="00C8094D" w:rsidRDefault="00432E3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B23335A" w14:textId="3BE73759" w:rsidR="000B161A" w:rsidRPr="00C8094D" w:rsidRDefault="00AA71AF">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07610B7" w14:textId="3B41B3C0" w:rsidR="000B161A" w:rsidRPr="00C8094D" w:rsidRDefault="00AA71AF">
            <w:pPr>
              <w:pStyle w:val="TableText"/>
            </w:pPr>
            <w:r>
              <w:t>1</w:t>
            </w:r>
          </w:p>
        </w:tc>
      </w:tr>
      <w:tr w:rsidR="000B161A" w:rsidRPr="00C8094D" w14:paraId="755C212D"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306E580" w14:textId="77777777" w:rsidR="000B161A" w:rsidRPr="00C8094D" w:rsidRDefault="000B161A">
            <w:pPr>
              <w:pStyle w:val="TableText"/>
            </w:pPr>
            <w:r>
              <w:t>(2)</w:t>
            </w:r>
          </w:p>
        </w:tc>
        <w:tc>
          <w:tcPr>
            <w:tcW w:w="3183" w:type="pct"/>
            <w:tcBorders>
              <w:top w:val="single" w:sz="4" w:space="0" w:color="auto"/>
              <w:bottom w:val="single" w:sz="4" w:space="0" w:color="auto"/>
              <w:right w:val="single" w:sz="4" w:space="0" w:color="auto"/>
            </w:tcBorders>
          </w:tcPr>
          <w:p w14:paraId="6A9F658B" w14:textId="6B17653E" w:rsidR="000B161A" w:rsidRPr="00C8094D" w:rsidRDefault="00A105ED">
            <w:pPr>
              <w:pStyle w:val="TableText"/>
            </w:pPr>
            <w:r w:rsidRPr="00A105ED">
              <w:t>Filter indoor air</w:t>
            </w:r>
            <w:r w:rsidR="00830F8A" w:rsidRPr="00C8094D">
              <w:t xml:space="preserve"> </w:t>
            </w:r>
          </w:p>
        </w:tc>
        <w:tc>
          <w:tcPr>
            <w:tcW w:w="378" w:type="pct"/>
            <w:tcBorders>
              <w:top w:val="nil"/>
              <w:left w:val="single" w:sz="4" w:space="0" w:color="auto"/>
              <w:bottom w:val="single" w:sz="4" w:space="0" w:color="auto"/>
              <w:right w:val="single" w:sz="4" w:space="0" w:color="auto"/>
            </w:tcBorders>
            <w:shd w:val="clear" w:color="auto" w:fill="auto"/>
            <w:vAlign w:val="center"/>
          </w:tcPr>
          <w:p w14:paraId="0007840E" w14:textId="38AE0506" w:rsidR="000B161A" w:rsidRPr="00C8094D" w:rsidRDefault="0029335A">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3B61B88C" w14:textId="07037AFE" w:rsidR="000B161A" w:rsidRPr="00C8094D" w:rsidRDefault="0029335A">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EF193D3" w14:textId="2B922483" w:rsidR="000B161A" w:rsidRPr="00C8094D" w:rsidRDefault="0029335A">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4C0D947" w14:textId="47FF604C" w:rsidR="000B161A" w:rsidRPr="00C8094D" w:rsidRDefault="0029335A">
            <w:pPr>
              <w:pStyle w:val="TableText"/>
            </w:pPr>
            <w:r>
              <w:t>2</w:t>
            </w:r>
          </w:p>
        </w:tc>
      </w:tr>
      <w:tr w:rsidR="000B161A" w:rsidRPr="00C8094D" w14:paraId="31B77CC6"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35AC1127" w14:textId="77777777" w:rsidR="000B161A" w:rsidRDefault="000B161A">
            <w:pPr>
              <w:pStyle w:val="TableText"/>
            </w:pPr>
            <w:r>
              <w:t>(3)</w:t>
            </w:r>
          </w:p>
        </w:tc>
        <w:tc>
          <w:tcPr>
            <w:tcW w:w="3183" w:type="pct"/>
            <w:tcBorders>
              <w:top w:val="single" w:sz="4" w:space="0" w:color="auto"/>
              <w:bottom w:val="single" w:sz="4" w:space="0" w:color="auto"/>
              <w:right w:val="single" w:sz="4" w:space="0" w:color="auto"/>
            </w:tcBorders>
          </w:tcPr>
          <w:p w14:paraId="251ACA41" w14:textId="31278E72" w:rsidR="000B161A" w:rsidRDefault="00AD05AB">
            <w:pPr>
              <w:pStyle w:val="TableText"/>
            </w:pPr>
            <w:r w:rsidRPr="00AD05AB">
              <w:t>Move large gatherings to outdoor spaces</w:t>
            </w:r>
            <w:r w:rsidR="0011211A">
              <w:t xml:space="preserve"> </w:t>
            </w:r>
          </w:p>
        </w:tc>
        <w:tc>
          <w:tcPr>
            <w:tcW w:w="378" w:type="pct"/>
            <w:tcBorders>
              <w:top w:val="nil"/>
              <w:left w:val="single" w:sz="4" w:space="0" w:color="auto"/>
              <w:bottom w:val="single" w:sz="4" w:space="0" w:color="auto"/>
              <w:right w:val="single" w:sz="4" w:space="0" w:color="auto"/>
            </w:tcBorders>
            <w:shd w:val="clear" w:color="auto" w:fill="auto"/>
            <w:vAlign w:val="center"/>
          </w:tcPr>
          <w:p w14:paraId="0FCDE53A" w14:textId="280A5391" w:rsidR="000B161A" w:rsidRDefault="008F0840">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68DF8BBA" w14:textId="2F34B958" w:rsidR="000B161A" w:rsidRDefault="008F0840">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3005E79" w14:textId="14B72C61" w:rsidR="000B161A" w:rsidRDefault="008F0840">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035241F" w14:textId="341B1BC3" w:rsidR="000B161A" w:rsidRDefault="008F0840">
            <w:pPr>
              <w:pStyle w:val="TableText"/>
            </w:pPr>
            <w:r>
              <w:t>2</w:t>
            </w:r>
          </w:p>
        </w:tc>
      </w:tr>
      <w:tr w:rsidR="000B161A" w:rsidRPr="00C8094D" w14:paraId="6B24F974"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73A84A7" w14:textId="77777777" w:rsidR="000B161A" w:rsidRDefault="000B161A">
            <w:pPr>
              <w:pStyle w:val="TableText"/>
            </w:pPr>
            <w:r>
              <w:t>(4)</w:t>
            </w:r>
          </w:p>
        </w:tc>
        <w:tc>
          <w:tcPr>
            <w:tcW w:w="3183" w:type="pct"/>
            <w:tcBorders>
              <w:top w:val="single" w:sz="4" w:space="0" w:color="auto"/>
              <w:bottom w:val="single" w:sz="4" w:space="0" w:color="auto"/>
              <w:right w:val="single" w:sz="4" w:space="0" w:color="auto"/>
            </w:tcBorders>
          </w:tcPr>
          <w:p w14:paraId="4AFFFADF" w14:textId="53DCB190" w:rsidR="000B161A" w:rsidRDefault="0013059A">
            <w:pPr>
              <w:pStyle w:val="TableText"/>
            </w:pPr>
            <w:r w:rsidRPr="0013059A">
              <w:t>Teach and reinforce respiratory etiquette</w:t>
            </w:r>
            <w:r w:rsidR="0011211A">
              <w:t xml:space="preserve"> </w:t>
            </w:r>
          </w:p>
        </w:tc>
        <w:tc>
          <w:tcPr>
            <w:tcW w:w="378" w:type="pct"/>
            <w:tcBorders>
              <w:top w:val="nil"/>
              <w:left w:val="single" w:sz="4" w:space="0" w:color="auto"/>
              <w:bottom w:val="single" w:sz="4" w:space="0" w:color="auto"/>
              <w:right w:val="single" w:sz="4" w:space="0" w:color="auto"/>
            </w:tcBorders>
            <w:shd w:val="clear" w:color="auto" w:fill="auto"/>
            <w:vAlign w:val="center"/>
          </w:tcPr>
          <w:p w14:paraId="59480EAF" w14:textId="344B9452" w:rsidR="000B161A" w:rsidRDefault="00164423">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3C6828F7" w14:textId="5285DF03" w:rsidR="000B161A" w:rsidRDefault="00164423">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2F859F6" w14:textId="74C94C08" w:rsidR="000B161A" w:rsidRDefault="00164423">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C9FD7C3" w14:textId="6976B5DB" w:rsidR="000B161A" w:rsidRDefault="00164423">
            <w:pPr>
              <w:pStyle w:val="TableText"/>
            </w:pPr>
            <w:r>
              <w:t>1</w:t>
            </w:r>
          </w:p>
        </w:tc>
      </w:tr>
      <w:tr w:rsidR="000B161A" w:rsidRPr="00C8094D" w14:paraId="1BC8181A" w14:textId="77777777" w:rsidTr="006F5AAC">
        <w:trPr>
          <w:cantSplit/>
          <w:trHeight w:val="255"/>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76CC9171" w14:textId="25E0ABB3" w:rsidR="000B161A" w:rsidRPr="00276B41" w:rsidRDefault="00B26FAE">
            <w:pPr>
              <w:pStyle w:val="TableRowHeader"/>
            </w:pPr>
            <w:r>
              <w:t xml:space="preserve">During </w:t>
            </w:r>
            <w:r w:rsidR="0054774A">
              <w:t xml:space="preserve">Times </w:t>
            </w:r>
            <w:r>
              <w:t xml:space="preserve">of </w:t>
            </w:r>
            <w:r w:rsidR="0054774A">
              <w:t>Illness</w:t>
            </w:r>
          </w:p>
        </w:tc>
        <w:tc>
          <w:tcPr>
            <w:tcW w:w="378" w:type="pct"/>
            <w:tcBorders>
              <w:top w:val="nil"/>
              <w:left w:val="single" w:sz="4" w:space="0" w:color="auto"/>
              <w:bottom w:val="single" w:sz="4" w:space="0" w:color="auto"/>
              <w:right w:val="single" w:sz="4" w:space="0" w:color="auto"/>
            </w:tcBorders>
            <w:shd w:val="clear" w:color="auto" w:fill="1F497D" w:themeFill="text2"/>
            <w:vAlign w:val="center"/>
          </w:tcPr>
          <w:p w14:paraId="20F48BFF"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0AB777F"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D143661" w14:textId="77777777" w:rsidR="000B161A" w:rsidRPr="00276B41" w:rsidRDefault="000B161A">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B76E8A6" w14:textId="77777777" w:rsidR="000B161A" w:rsidRPr="00276B41" w:rsidRDefault="000B161A">
            <w:pPr>
              <w:pStyle w:val="TableText"/>
            </w:pPr>
          </w:p>
        </w:tc>
      </w:tr>
      <w:tr w:rsidR="000B161A" w:rsidRPr="00C8094D" w14:paraId="4272AFE9"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6515138" w14:textId="6508D857" w:rsidR="000B161A" w:rsidRPr="00C8094D" w:rsidRDefault="000B161A">
            <w:pPr>
              <w:pStyle w:val="TableText"/>
            </w:pPr>
            <w:r>
              <w:t>(</w:t>
            </w:r>
            <w:r w:rsidR="001209F8">
              <w:t>5</w:t>
            </w:r>
            <w:r>
              <w:t>)</w:t>
            </w:r>
          </w:p>
        </w:tc>
        <w:tc>
          <w:tcPr>
            <w:tcW w:w="3183" w:type="pct"/>
            <w:tcBorders>
              <w:top w:val="single" w:sz="4" w:space="0" w:color="auto"/>
              <w:bottom w:val="single" w:sz="4" w:space="0" w:color="auto"/>
              <w:right w:val="single" w:sz="4" w:space="0" w:color="auto"/>
            </w:tcBorders>
          </w:tcPr>
          <w:p w14:paraId="58A5BEE3" w14:textId="12302F17" w:rsidR="000B161A" w:rsidRPr="00C8094D" w:rsidRDefault="00B26FAE">
            <w:pPr>
              <w:pStyle w:val="TableText"/>
            </w:pPr>
            <w:r w:rsidRPr="00B26FAE">
              <w:t>Encourage students and staff to stay home when sic</w:t>
            </w:r>
            <w:r w:rsidR="005A290F">
              <w:t>k</w:t>
            </w:r>
            <w:r w:rsidR="005A290F" w:rsidRPr="00C8094D">
              <w:t xml:space="preserve"> </w:t>
            </w:r>
          </w:p>
        </w:tc>
        <w:tc>
          <w:tcPr>
            <w:tcW w:w="378" w:type="pct"/>
            <w:tcBorders>
              <w:top w:val="nil"/>
              <w:left w:val="single" w:sz="4" w:space="0" w:color="auto"/>
              <w:bottom w:val="single" w:sz="4" w:space="0" w:color="auto"/>
              <w:right w:val="single" w:sz="4" w:space="0" w:color="auto"/>
            </w:tcBorders>
            <w:shd w:val="clear" w:color="auto" w:fill="auto"/>
            <w:vAlign w:val="center"/>
          </w:tcPr>
          <w:p w14:paraId="6998F9BB" w14:textId="0A2B8294" w:rsidR="000B161A" w:rsidRPr="00F45120" w:rsidRDefault="00164423">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2CB17106" w14:textId="423D3072" w:rsidR="000B161A" w:rsidRPr="00F45120" w:rsidRDefault="00164423">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E49B0D9" w14:textId="34D3B5FF" w:rsidR="000B161A" w:rsidRPr="00F45120" w:rsidRDefault="007E75EF">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C123B1D" w14:textId="38F9C749" w:rsidR="000B161A" w:rsidRPr="00F45120" w:rsidRDefault="007E75EF">
            <w:pPr>
              <w:pStyle w:val="TableText"/>
            </w:pPr>
            <w:r>
              <w:t>1</w:t>
            </w:r>
          </w:p>
        </w:tc>
      </w:tr>
      <w:tr w:rsidR="000B161A" w:rsidRPr="00C8094D" w14:paraId="259DB5D8"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4D35875" w14:textId="53555FE6" w:rsidR="000B161A" w:rsidRDefault="000B161A">
            <w:pPr>
              <w:pStyle w:val="TableText"/>
            </w:pPr>
            <w:r>
              <w:t>(</w:t>
            </w:r>
            <w:r w:rsidR="001209F8">
              <w:t>6</w:t>
            </w:r>
            <w:r>
              <w:t>)</w:t>
            </w:r>
          </w:p>
        </w:tc>
        <w:tc>
          <w:tcPr>
            <w:tcW w:w="3183" w:type="pct"/>
            <w:tcBorders>
              <w:top w:val="single" w:sz="4" w:space="0" w:color="auto"/>
              <w:bottom w:val="single" w:sz="4" w:space="0" w:color="auto"/>
              <w:right w:val="single" w:sz="4" w:space="0" w:color="auto"/>
            </w:tcBorders>
          </w:tcPr>
          <w:p w14:paraId="7AF56009" w14:textId="60F502D4" w:rsidR="000B161A" w:rsidRDefault="00377E78">
            <w:pPr>
              <w:pStyle w:val="TableText"/>
            </w:pPr>
            <w:r w:rsidRPr="00377E78">
              <w:t>Take additional steps to minimize transmission during times of elevated rates of illnes</w:t>
            </w:r>
            <w:r w:rsidR="005A290F">
              <w:t xml:space="preserve">s </w:t>
            </w:r>
          </w:p>
        </w:tc>
        <w:tc>
          <w:tcPr>
            <w:tcW w:w="378" w:type="pct"/>
            <w:tcBorders>
              <w:top w:val="nil"/>
              <w:left w:val="single" w:sz="4" w:space="0" w:color="auto"/>
              <w:bottom w:val="single" w:sz="4" w:space="0" w:color="auto"/>
              <w:right w:val="single" w:sz="4" w:space="0" w:color="auto"/>
            </w:tcBorders>
            <w:shd w:val="clear" w:color="auto" w:fill="auto"/>
            <w:vAlign w:val="center"/>
          </w:tcPr>
          <w:p w14:paraId="327229D0" w14:textId="481143EF" w:rsidR="000B161A" w:rsidRDefault="00F91A5E">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60BAE3CE" w14:textId="5967F60C" w:rsidR="000B161A" w:rsidRDefault="00F91A5E">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CC24E78" w14:textId="427B593B" w:rsidR="000B161A" w:rsidRDefault="00774F5C">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5493C5E" w14:textId="0C96473C" w:rsidR="000B161A" w:rsidRDefault="00774F5C">
            <w:pPr>
              <w:pStyle w:val="TableText"/>
            </w:pPr>
            <w:r>
              <w:t>2</w:t>
            </w:r>
          </w:p>
        </w:tc>
      </w:tr>
      <w:tr w:rsidR="000B161A" w:rsidRPr="00C8094D" w14:paraId="13279079"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D0EDB1D" w14:textId="77777777" w:rsidR="000B161A" w:rsidRPr="00FF51E8" w:rsidRDefault="000B161A">
            <w:pPr>
              <w:rPr>
                <w:rFonts w:ascii="Arial" w:hAnsi="Arial" w:cs="Arial"/>
                <w:b/>
                <w:bCs/>
                <w:sz w:val="20"/>
                <w:szCs w:val="20"/>
                <w:u w:val="single"/>
              </w:rPr>
            </w:pPr>
            <w:r w:rsidRPr="00FF51E8">
              <w:rPr>
                <w:rFonts w:ascii="Arial" w:hAnsi="Arial" w:cs="Arial"/>
                <w:b/>
                <w:bCs/>
                <w:sz w:val="20"/>
                <w:szCs w:val="20"/>
                <w:u w:val="single"/>
              </w:rPr>
              <w:t>Key:</w:t>
            </w:r>
          </w:p>
          <w:p w14:paraId="1DF8D83B" w14:textId="77777777" w:rsidR="000B161A" w:rsidRPr="00FF51E8" w:rsidRDefault="000B161A">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6E8C0A1A" w14:textId="4C9F7C29" w:rsidR="000B161A" w:rsidRPr="00FF51E8" w:rsidRDefault="000B161A">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960688">
              <w:rPr>
                <w:rFonts w:ascii="Arial" w:hAnsi="Arial" w:cs="Arial"/>
                <w:sz w:val="20"/>
                <w:szCs w:val="20"/>
              </w:rPr>
              <w:t>&gt;</w:t>
            </w:r>
            <w:r w:rsidRPr="00FF51E8">
              <w:rPr>
                <w:rFonts w:ascii="Arial" w:hAnsi="Arial" w:cs="Arial"/>
                <w:sz w:val="20"/>
                <w:szCs w:val="20"/>
              </w:rPr>
              <w:t>12 months)</w:t>
            </w:r>
          </w:p>
          <w:p w14:paraId="0D6C69E8" w14:textId="77777777" w:rsidR="000B161A" w:rsidRPr="00FF51E8" w:rsidRDefault="000B161A">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768E751F" w14:textId="77777777" w:rsidR="008F652D" w:rsidRDefault="008F652D" w:rsidP="008F652D">
      <w:pPr>
        <w:pStyle w:val="Heading3"/>
      </w:pPr>
      <w:r>
        <w:t>Barriers and Challenges</w:t>
      </w:r>
    </w:p>
    <w:p w14:paraId="52300A71" w14:textId="0206567B" w:rsidR="008F652D" w:rsidRDefault="48DA70B4" w:rsidP="006D7DE6">
      <w:pPr>
        <w:pStyle w:val="BodyTextFirstIndent"/>
      </w:pPr>
      <w:r>
        <w:t>One major barrier to reducing airborne transmission of infectious diseases through ventilation and air filtration is the cost</w:t>
      </w:r>
      <w:r w:rsidR="406EECC5">
        <w:t>s</w:t>
      </w:r>
      <w:r>
        <w:t xml:space="preserve"> associated with updating many school ventilation systems and purchasing and maintaining portable air filters.</w:t>
      </w:r>
      <w:r w:rsidR="5DCE9229">
        <w:t xml:space="preserve"> While lower in cost, moving large events outdoors can </w:t>
      </w:r>
      <w:r w:rsidR="309D8464">
        <w:t>create</w:t>
      </w:r>
      <w:r w:rsidR="5DCE9229">
        <w:t xml:space="preserve"> a logistical challenge, depending on the space available at a given school, </w:t>
      </w:r>
      <w:r w:rsidR="2097EF32">
        <w:t>and the feasibility of outdoor events may not be possible due to weather, particularly in the winter when rates of respiratory infections are</w:t>
      </w:r>
      <w:r w:rsidR="005B71C2">
        <w:t xml:space="preserve"> generally</w:t>
      </w:r>
      <w:r w:rsidR="2097EF32">
        <w:t xml:space="preserve"> highest. </w:t>
      </w:r>
      <w:r w:rsidR="3DFF1870">
        <w:t xml:space="preserve">Another challenge may be implementing more rigorous </w:t>
      </w:r>
      <w:r w:rsidR="6863B885">
        <w:t xml:space="preserve">infection control measures during outbreaks or epidemics. For example, </w:t>
      </w:r>
      <w:r w:rsidR="24A7AB15">
        <w:t xml:space="preserve">very </w:t>
      </w:r>
      <w:r w:rsidR="6863B885">
        <w:t xml:space="preserve">young children often have difficulty wearing masks properly, and modifying class size, </w:t>
      </w:r>
      <w:r w:rsidR="064812BC">
        <w:t>establishing cohorts</w:t>
      </w:r>
      <w:r w:rsidR="6863B885">
        <w:t xml:space="preserve">, or changing </w:t>
      </w:r>
      <w:r w:rsidR="4B3ACD84">
        <w:t xml:space="preserve">schedules may be </w:t>
      </w:r>
      <w:r w:rsidR="26CAF1A5">
        <w:t>constrained by the size of school buildings.</w:t>
      </w:r>
    </w:p>
    <w:p w14:paraId="5D544099" w14:textId="77777777" w:rsidR="004F19C8" w:rsidRDefault="004F19C8">
      <w:pPr>
        <w:rPr>
          <w:rFonts w:ascii="Arial" w:hAnsi="Arial" w:cs="Arial"/>
          <w:b/>
          <w:bCs/>
          <w:color w:val="FFFFFF" w:themeColor="background1"/>
          <w:sz w:val="26"/>
          <w:szCs w:val="22"/>
        </w:rPr>
      </w:pPr>
      <w:r>
        <w:br w:type="page"/>
      </w:r>
    </w:p>
    <w:p w14:paraId="108019A4" w14:textId="26491917" w:rsidR="008849BA" w:rsidRDefault="00C4425A" w:rsidP="0053393F">
      <w:pPr>
        <w:pStyle w:val="AirQualitySubheading"/>
      </w:pPr>
      <w:r>
        <w:lastRenderedPageBreak/>
        <w:t>2a(2)</w:t>
      </w:r>
      <w:r>
        <w:tab/>
      </w:r>
      <w:r w:rsidR="000B161A">
        <w:t xml:space="preserve">Prevent Exposure to </w:t>
      </w:r>
      <w:r w:rsidR="00AF6A4C" w:rsidRPr="00174E28">
        <w:t>Asbestos</w:t>
      </w:r>
    </w:p>
    <w:p w14:paraId="2BB5025A" w14:textId="77777777" w:rsidR="00384C6D" w:rsidRDefault="00384C6D" w:rsidP="00384C6D">
      <w:pPr>
        <w:pStyle w:val="Heading3"/>
      </w:pPr>
      <w:r>
        <w:t>Background</w:t>
      </w:r>
      <w:r w:rsidRPr="0029407F">
        <w:t xml:space="preserve"> </w:t>
      </w:r>
    </w:p>
    <w:p w14:paraId="5A27EE71" w14:textId="7D628FEE" w:rsidR="00384C6D" w:rsidRDefault="411270A8" w:rsidP="006D7DE6">
      <w:pPr>
        <w:pStyle w:val="BodyTextFirstIndent"/>
      </w:pPr>
      <w:r>
        <w:t xml:space="preserve">Asbestos is a group of naturally occurring minerals. </w:t>
      </w:r>
      <w:r w:rsidR="006C23DC">
        <w:t>Historically, a</w:t>
      </w:r>
      <w:r>
        <w:t xml:space="preserve">sbestos </w:t>
      </w:r>
      <w:r w:rsidR="009A2632">
        <w:t>was</w:t>
      </w:r>
      <w:r>
        <w:t xml:space="preserve"> used extensively in diverse products due to </w:t>
      </w:r>
      <w:r w:rsidR="6CEBA6A4">
        <w:t>its</w:t>
      </w:r>
      <w:r>
        <w:t xml:space="preserve"> strength, flexibility, and resistance to heat and chemicals. </w:t>
      </w:r>
      <w:r w:rsidR="00F45353">
        <w:t>Asbestos-</w:t>
      </w:r>
      <w:r>
        <w:t>containing material (ACM</w:t>
      </w:r>
      <w:r w:rsidR="007755D4">
        <w:t>)</w:t>
      </w:r>
      <w:r>
        <w:t xml:space="preserve"> can be found in most primary, secondary</w:t>
      </w:r>
      <w:r w:rsidR="006A141B">
        <w:t>,</w:t>
      </w:r>
      <w:r>
        <w:t xml:space="preserve"> and charter schools, with building materials and insulation often being the most common ACM</w:t>
      </w:r>
      <w:r w:rsidR="007755D4">
        <w:t>s</w:t>
      </w:r>
      <w:r>
        <w:t>.</w:t>
      </w:r>
      <w:r w:rsidR="00384C6D">
        <w:fldChar w:fldCharType="begin"/>
      </w:r>
      <w:r w:rsidR="00973A10">
        <w:instrText xml:space="preserve"> ADDIN ZOTERO_ITEM CSL_CITATION {"citationID":"WLTUnHlI","properties":{"formattedCitation":"\\super 99,100\\nosupersub{}","plainCitation":"99,100","noteIndex":0},"citationItems":[{"id":12,"uris":["http://zotero.org/groups/5563646/items/4P4TGQ7E"],"itemData":{"id":12,"type":"report","language":"en","source":"Zotero","title":"Chemical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rsidR="00384C6D">
        <w:fldChar w:fldCharType="separate"/>
      </w:r>
      <w:r w:rsidR="00973A10" w:rsidRPr="00973A10">
        <w:rPr>
          <w:rFonts w:cs="Arial"/>
          <w:vertAlign w:val="superscript"/>
        </w:rPr>
        <w:t>99,100</w:t>
      </w:r>
      <w:r w:rsidR="00384C6D">
        <w:fldChar w:fldCharType="end"/>
      </w:r>
      <w:r>
        <w:t xml:space="preserve"> Building materials are considered ACM</w:t>
      </w:r>
      <w:r w:rsidR="007755D4">
        <w:t>s</w:t>
      </w:r>
      <w:r>
        <w:t xml:space="preserve"> if they are made of over </w:t>
      </w:r>
      <w:r w:rsidR="00F45353">
        <w:t xml:space="preserve">1 </w:t>
      </w:r>
      <w:r>
        <w:t>percent asbestos.</w:t>
      </w:r>
      <w:r w:rsidR="00384C6D">
        <w:fldChar w:fldCharType="begin"/>
      </w:r>
      <w:r w:rsidR="005D0715">
        <w:instrText xml:space="preserve"> ADDIN ZOTERO_ITEM CSL_CITATION {"citationID":"HwroMcCQ","properties":{"formattedCitation":"\\super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rsidR="00384C6D">
        <w:fldChar w:fldCharType="separate"/>
      </w:r>
      <w:r w:rsidR="005D0715" w:rsidRPr="005D0715">
        <w:rPr>
          <w:rFonts w:cs="Arial"/>
          <w:vertAlign w:val="superscript"/>
        </w:rPr>
        <w:t>100</w:t>
      </w:r>
      <w:r w:rsidR="00384C6D">
        <w:fldChar w:fldCharType="end"/>
      </w:r>
      <w:r>
        <w:t xml:space="preserve"> When ACM</w:t>
      </w:r>
      <w:r w:rsidR="007755D4">
        <w:t>s</w:t>
      </w:r>
      <w:r>
        <w:t xml:space="preserve"> deteriorate over time or are disturbed, they can release asbestos fibers, which can stay suspended in the air for hours or even day</w:t>
      </w:r>
      <w:r w:rsidR="0E6CF5EC">
        <w:t>s</w:t>
      </w:r>
      <w:r>
        <w:t>, posing an exposure risk.</w:t>
      </w:r>
      <w:r w:rsidR="00384C6D">
        <w:fldChar w:fldCharType="begin"/>
      </w:r>
      <w:r w:rsidR="0048224A">
        <w:instrText xml:space="preserve"> ADDIN ZOTERO_ITEM CSL_CITATION {"citationID":"TqZ9bNIP","properties":{"formattedCitation":"\\super 99\\uc0\\u8211{}101\\nosupersub{}","plainCitation":"99–101","noteIndex":0},"citationItems":[{"id":12,"uris":["http://zotero.org/groups/5563646/items/4P4TGQ7E"],"itemData":{"id":12,"type":"report","language":"en","source":"Zotero","title":"Chemical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EPA","given":""}],"issued":{"date-parts":[["2006"]]}}},{"id":10,"uris":["http://zotero.org/groups/5563646/items/RET9EIZX"],"itemData":{"id":10,"type":"report","language":"en","number":"EPA-908-R-12-0001","source":"Zotero","title":"Sensible Steps to Healthier School Environments","URL":"https://www.epa.gov/sites/default/files/2014-05/documents/sensible_steps.pdf","author":[{"family":"US EPA","given":""}],"issued":{"date-parts":[["2012",7]]}}},{"id":8,"uris":["http://zotero.org/groups/5563646/items/KSFS3HQF"],"itemData":{"id":8,"type":"report","number":"EPA-909-R-15-002","publisher":"Environmental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rsidR="00384C6D">
        <w:fldChar w:fldCharType="separate"/>
      </w:r>
      <w:r w:rsidR="0048224A" w:rsidRPr="0048224A">
        <w:rPr>
          <w:rFonts w:cs="Arial"/>
          <w:vertAlign w:val="superscript"/>
        </w:rPr>
        <w:t>99–101</w:t>
      </w:r>
      <w:r w:rsidR="00384C6D">
        <w:fldChar w:fldCharType="end"/>
      </w:r>
      <w:r>
        <w:t xml:space="preserve"> Exposure to asbestos fibers can cause serious health problems, including lung cancer, mesothelioma, and asbestosis.</w:t>
      </w:r>
      <w:r w:rsidR="00384C6D">
        <w:fldChar w:fldCharType="begin"/>
      </w:r>
      <w:r w:rsidR="00947E5A">
        <w:instrText xml:space="preserve"> ADDIN ZOTERO_ITEM CSL_CITATION {"citationID":"HQnWPNWr","properties":{"formattedCitation":"\\super 99,101\\nosupersub{}","plainCitation":"99,101","noteIndex":0},"citationItems":[{"id":12,"uris":["http://zotero.org/groups/5563646/items/4P4TGQ7E"],"itemData":{"id":12,"type":"report","language":"en","source":"Zotero","title":"Chemical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384C6D">
        <w:fldChar w:fldCharType="separate"/>
      </w:r>
      <w:r w:rsidR="00947E5A" w:rsidRPr="00947E5A">
        <w:rPr>
          <w:rFonts w:cs="Arial"/>
          <w:vertAlign w:val="superscript"/>
        </w:rPr>
        <w:t>99,101</w:t>
      </w:r>
      <w:r w:rsidR="00384C6D">
        <w:fldChar w:fldCharType="end"/>
      </w:r>
      <w:r>
        <w:t xml:space="preserve"> Generally, materials containing asbestos do not pose a health risk if they are maintained intact and undisturbed.</w:t>
      </w:r>
      <w:r w:rsidR="00384C6D">
        <w:fldChar w:fldCharType="begin"/>
      </w:r>
      <w:r w:rsidR="0054243C">
        <w:instrText xml:space="preserve"> ADDIN ZOTERO_ITEM CSL_CITATION {"citationID":"hvhScVa1","properties":{"formattedCitation":"\\super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384C6D">
        <w:fldChar w:fldCharType="separate"/>
      </w:r>
      <w:r w:rsidR="0054243C" w:rsidRPr="0054243C">
        <w:rPr>
          <w:rFonts w:cs="Arial"/>
          <w:vertAlign w:val="superscript"/>
        </w:rPr>
        <w:t>101</w:t>
      </w:r>
      <w:r w:rsidR="00384C6D">
        <w:fldChar w:fldCharType="end"/>
      </w:r>
      <w:r>
        <w:t xml:space="preserve"> </w:t>
      </w:r>
    </w:p>
    <w:p w14:paraId="28FEE5DC" w14:textId="77777777" w:rsidR="00384C6D" w:rsidRDefault="00384C6D" w:rsidP="00384C6D">
      <w:pPr>
        <w:pStyle w:val="Heading3"/>
        <w:keepNext/>
      </w:pPr>
      <w:r>
        <w:t>Methods and Best Practices</w:t>
      </w:r>
    </w:p>
    <w:p w14:paraId="19102049" w14:textId="2C1DFDF8" w:rsidR="00FF51E8" w:rsidRDefault="00FF51E8" w:rsidP="006D7DE6">
      <w:pPr>
        <w:pStyle w:val="BodyTextFirstIndent"/>
      </w:pPr>
      <w:r>
        <w:fldChar w:fldCharType="begin"/>
      </w:r>
      <w:r>
        <w:instrText xml:space="preserve"> REF _Ref170249261 \h </w:instrText>
      </w:r>
      <w:r>
        <w:fldChar w:fldCharType="separate"/>
      </w:r>
      <w:r w:rsidR="00307850">
        <w:t xml:space="preserve">Table </w:t>
      </w:r>
      <w:r w:rsidR="00307850">
        <w:rPr>
          <w:noProof/>
        </w:rPr>
        <w:t>13</w:t>
      </w:r>
      <w:r>
        <w:fldChar w:fldCharType="end"/>
      </w:r>
      <w:r>
        <w:t xml:space="preserve"> </w:t>
      </w:r>
      <w:r w:rsidRPr="00B40F18">
        <w:t xml:space="preserve">summarizes </w:t>
      </w:r>
      <w:r w:rsidR="006B757B">
        <w:t xml:space="preserve">the </w:t>
      </w:r>
      <w:r>
        <w:t>methods and best practices for preventing asbestos exposure in schools</w:t>
      </w:r>
      <w:r w:rsidR="006B757B">
        <w:t xml:space="preserve"> </w:t>
      </w:r>
      <w:r w:rsidR="00822AB6">
        <w:t>across three areas: preparation; continual monitoring and exposure mitigation; and exposure mitigation during renovations or abatement</w:t>
      </w:r>
      <w:r>
        <w:t xml:space="preserve">. For each method and best practice, the table presents </w:t>
      </w:r>
      <w:r w:rsidRPr="00B40F18">
        <w:t>the approximate</w:t>
      </w:r>
      <w:r>
        <w:t xml:space="preserve"> capital and operating</w:t>
      </w:r>
      <w:r w:rsidRPr="00B40F18">
        <w:t xml:space="preserve"> cost</w:t>
      </w:r>
      <w:r>
        <w:t>s</w:t>
      </w:r>
      <w:r w:rsidRPr="00B40F18">
        <w:t>,</w:t>
      </w:r>
      <w:r>
        <w:t xml:space="preserve"> implementation timeframe</w:t>
      </w:r>
      <w:r w:rsidRPr="00B40F18">
        <w:t>, and</w:t>
      </w:r>
      <w:r>
        <w:t xml:space="preserve"> ease of</w:t>
      </w:r>
      <w:r w:rsidRPr="00B40F18">
        <w:t xml:space="preserve"> implementation</w:t>
      </w:r>
      <w:r>
        <w:t xml:space="preserve">. </w:t>
      </w:r>
      <w:r w:rsidR="00822AB6" w:rsidRPr="00C43978">
        <w:t xml:space="preserve">See </w:t>
      </w:r>
      <w:hyperlink w:anchor="SectVII_2a2" w:history="1">
        <w:r w:rsidR="0040050E" w:rsidRPr="0040050E">
          <w:rPr>
            <w:rStyle w:val="Hyperlink"/>
          </w:rPr>
          <w:t>Section VII, Objective 2a(2)</w:t>
        </w:r>
      </w:hyperlink>
      <w:r w:rsidR="00822AB6" w:rsidRPr="00C43978">
        <w:t xml:space="preserve"> for additional narrative descriptions of each of the methods and best practices.</w:t>
      </w:r>
    </w:p>
    <w:p w14:paraId="1AB35768" w14:textId="56AFA407" w:rsidR="00FF51E8" w:rsidRDefault="00FF51E8" w:rsidP="00B30C96">
      <w:pPr>
        <w:pStyle w:val="TableTitle"/>
      </w:pPr>
      <w:bookmarkStart w:id="157" w:name="_Ref170249261"/>
      <w:bookmarkStart w:id="158" w:name="_Toc170345789"/>
      <w:bookmarkStart w:id="159" w:name="_Toc192711679"/>
      <w:bookmarkStart w:id="160" w:name="_Toc193112561"/>
      <w:bookmarkStart w:id="161" w:name="_Toc193116960"/>
      <w:r>
        <w:lastRenderedPageBreak/>
        <w:t xml:space="preserve">Table </w:t>
      </w:r>
      <w:fldSimple w:instr=" SEQ Table \* ARABIC ">
        <w:r w:rsidR="00307850">
          <w:rPr>
            <w:noProof/>
          </w:rPr>
          <w:t>13</w:t>
        </w:r>
      </w:fldSimple>
      <w:bookmarkEnd w:id="157"/>
      <w:r>
        <w:t>. Methods</w:t>
      </w:r>
      <w:r w:rsidR="00074426">
        <w:t xml:space="preserve"> and </w:t>
      </w:r>
      <w:r w:rsidR="00D137CF">
        <w:t>B</w:t>
      </w:r>
      <w:r w:rsidR="00AF438E">
        <w:t xml:space="preserve">est </w:t>
      </w:r>
      <w:r w:rsidR="00D137CF">
        <w:t>P</w:t>
      </w:r>
      <w:r>
        <w:t xml:space="preserve">ractices </w:t>
      </w:r>
      <w:r w:rsidR="00245EA4">
        <w:t>for</w:t>
      </w:r>
      <w:r>
        <w:t xml:space="preserve"> </w:t>
      </w:r>
      <w:r w:rsidR="00D137CF">
        <w:t>P</w:t>
      </w:r>
      <w:r>
        <w:t xml:space="preserve">reventing </w:t>
      </w:r>
      <w:r w:rsidR="00D137CF">
        <w:t>E</w:t>
      </w:r>
      <w:r w:rsidR="00AC16A1">
        <w:t xml:space="preserve">xposure to </w:t>
      </w:r>
      <w:bookmarkEnd w:id="158"/>
      <w:r w:rsidR="00D137CF">
        <w:t>A</w:t>
      </w:r>
      <w:r w:rsidR="00AF438E">
        <w:t>sbestos</w:t>
      </w:r>
      <w:bookmarkEnd w:id="159"/>
      <w:bookmarkEnd w:id="160"/>
      <w:bookmarkEnd w:id="161"/>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preventing exposure to asbestos."/>
      </w:tblPr>
      <w:tblGrid>
        <w:gridCol w:w="567"/>
        <w:gridCol w:w="6238"/>
        <w:gridCol w:w="434"/>
        <w:gridCol w:w="703"/>
        <w:gridCol w:w="703"/>
        <w:gridCol w:w="705"/>
      </w:tblGrid>
      <w:tr w:rsidR="00FF51E8" w:rsidRPr="00C8094D" w14:paraId="6A53AE0A" w14:textId="77777777" w:rsidTr="006F5AAC">
        <w:trPr>
          <w:cantSplit/>
          <w:trHeight w:val="2420"/>
          <w:tblHeader/>
          <w:jc w:val="center"/>
        </w:trPr>
        <w:tc>
          <w:tcPr>
            <w:tcW w:w="363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6D2CDDD0" w14:textId="77777777" w:rsidR="00FF51E8" w:rsidRDefault="00FF51E8">
            <w:pPr>
              <w:pStyle w:val="TableColumnHeader"/>
            </w:pPr>
            <w:r>
              <w:t>Methods/Best Practices</w:t>
            </w:r>
          </w:p>
        </w:tc>
        <w:tc>
          <w:tcPr>
            <w:tcW w:w="232"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D4654C5" w14:textId="77777777" w:rsidR="00FF51E8" w:rsidRPr="00C8094D" w:rsidRDefault="00FF51E8" w:rsidP="00787435">
            <w:pPr>
              <w:pStyle w:val="TableColumnHeader"/>
              <w:jc w:val="left"/>
            </w:pPr>
            <w:r>
              <w:t xml:space="preserve">Capital </w:t>
            </w:r>
            <w:r w:rsidRPr="00C8094D">
              <w:t>Cost</w:t>
            </w:r>
          </w:p>
        </w:tc>
        <w:tc>
          <w:tcPr>
            <w:tcW w:w="376"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3E2EEC19" w14:textId="77777777" w:rsidR="00FF51E8" w:rsidRDefault="00FF51E8" w:rsidP="00787435">
            <w:pPr>
              <w:pStyle w:val="TableColumnHeader"/>
              <w:jc w:val="left"/>
            </w:pPr>
            <w:r>
              <w:t>Operating Cost</w:t>
            </w:r>
          </w:p>
        </w:tc>
        <w:tc>
          <w:tcPr>
            <w:tcW w:w="37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29244F87" w14:textId="77777777" w:rsidR="00FF51E8" w:rsidRPr="00C8094D" w:rsidRDefault="00FF51E8" w:rsidP="00787435">
            <w:pPr>
              <w:pStyle w:val="TableColumnHeader"/>
              <w:jc w:val="left"/>
            </w:pPr>
            <w:r>
              <w:t xml:space="preserve">Implementation </w:t>
            </w:r>
            <w:r w:rsidRPr="00C8094D">
              <w:t>Timeframe</w:t>
            </w:r>
          </w:p>
        </w:tc>
        <w:tc>
          <w:tcPr>
            <w:tcW w:w="37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10BBCB7" w14:textId="77777777" w:rsidR="00FF51E8" w:rsidRPr="00C8094D" w:rsidRDefault="00FF51E8" w:rsidP="00787435">
            <w:pPr>
              <w:pStyle w:val="TableColumnHeader"/>
              <w:jc w:val="left"/>
            </w:pPr>
            <w:r>
              <w:t xml:space="preserve">Ease of </w:t>
            </w:r>
            <w:r w:rsidRPr="00C8094D">
              <w:t>Implementation</w:t>
            </w:r>
          </w:p>
        </w:tc>
      </w:tr>
      <w:tr w:rsidR="00FF51E8" w:rsidRPr="00C8094D" w14:paraId="7DDCEE4E" w14:textId="77777777" w:rsidTr="006F5AAC">
        <w:trPr>
          <w:cantSplit/>
          <w:trHeight w:val="255"/>
          <w:tblHeader/>
          <w:jc w:val="center"/>
        </w:trPr>
        <w:tc>
          <w:tcPr>
            <w:tcW w:w="3639" w:type="pct"/>
            <w:gridSpan w:val="2"/>
            <w:tcBorders>
              <w:top w:val="nil"/>
              <w:left w:val="single" w:sz="4" w:space="0" w:color="auto"/>
              <w:bottom w:val="single" w:sz="4" w:space="0" w:color="auto"/>
              <w:right w:val="single" w:sz="4" w:space="0" w:color="auto"/>
            </w:tcBorders>
            <w:shd w:val="clear" w:color="auto" w:fill="1F497D" w:themeFill="text2"/>
          </w:tcPr>
          <w:p w14:paraId="2748B5B0" w14:textId="77777777" w:rsidR="00FF51E8" w:rsidRPr="00276B41" w:rsidRDefault="00FF51E8">
            <w:pPr>
              <w:pStyle w:val="TableRowHeader"/>
            </w:pPr>
            <w:r>
              <w:t>Preparation (Education and Planning)</w:t>
            </w:r>
          </w:p>
        </w:tc>
        <w:tc>
          <w:tcPr>
            <w:tcW w:w="232" w:type="pct"/>
            <w:tcBorders>
              <w:top w:val="nil"/>
              <w:left w:val="single" w:sz="4" w:space="0" w:color="auto"/>
              <w:bottom w:val="single" w:sz="4" w:space="0" w:color="auto"/>
              <w:right w:val="single" w:sz="4" w:space="0" w:color="auto"/>
            </w:tcBorders>
            <w:shd w:val="clear" w:color="auto" w:fill="1F497D" w:themeFill="text2"/>
            <w:vAlign w:val="center"/>
          </w:tcPr>
          <w:p w14:paraId="2B6EE4AD"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8477C1D"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9715860"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C582DAC" w14:textId="77777777" w:rsidR="00FF51E8" w:rsidRPr="00276B41" w:rsidRDefault="00FF51E8">
            <w:pPr>
              <w:pStyle w:val="TableText"/>
            </w:pPr>
          </w:p>
        </w:tc>
      </w:tr>
      <w:tr w:rsidR="00FF51E8" w:rsidRPr="00C8094D" w14:paraId="6F2D9F50" w14:textId="77777777" w:rsidTr="006F5AAC">
        <w:trPr>
          <w:cantSplit/>
          <w:trHeight w:val="255"/>
          <w:tblHeader/>
          <w:jc w:val="center"/>
        </w:trPr>
        <w:tc>
          <w:tcPr>
            <w:tcW w:w="303" w:type="pct"/>
            <w:tcBorders>
              <w:top w:val="nil"/>
              <w:left w:val="single" w:sz="4" w:space="0" w:color="auto"/>
              <w:bottom w:val="single" w:sz="4" w:space="0" w:color="auto"/>
            </w:tcBorders>
            <w:shd w:val="clear" w:color="auto" w:fill="auto"/>
          </w:tcPr>
          <w:p w14:paraId="1FAF29D6" w14:textId="77777777" w:rsidR="00FF51E8" w:rsidRDefault="00FF51E8">
            <w:pPr>
              <w:pStyle w:val="TableText"/>
            </w:pPr>
            <w:r>
              <w:t>(1)</w:t>
            </w:r>
          </w:p>
        </w:tc>
        <w:tc>
          <w:tcPr>
            <w:tcW w:w="3336" w:type="pct"/>
            <w:tcBorders>
              <w:top w:val="single" w:sz="4" w:space="0" w:color="auto"/>
              <w:bottom w:val="single" w:sz="4" w:space="0" w:color="auto"/>
              <w:right w:val="single" w:sz="4" w:space="0" w:color="auto"/>
            </w:tcBorders>
          </w:tcPr>
          <w:p w14:paraId="1DE4C831" w14:textId="3C2FFF4C" w:rsidR="00FF51E8" w:rsidRDefault="00FF51E8">
            <w:pPr>
              <w:pStyle w:val="TableText"/>
            </w:pPr>
            <w:r>
              <w:t xml:space="preserve">Develop an </w:t>
            </w:r>
            <w:r w:rsidR="00A4234D">
              <w:t>Asbestos M</w:t>
            </w:r>
            <w:r>
              <w:t xml:space="preserve">anagement </w:t>
            </w:r>
            <w:r w:rsidR="00A4234D">
              <w:t>P</w:t>
            </w:r>
            <w:r>
              <w:t>lan (AMP) in accordance with</w:t>
            </w:r>
            <w:r w:rsidR="00AF438E">
              <w:t xml:space="preserve"> the</w:t>
            </w:r>
            <w:r>
              <w:t xml:space="preserve"> </w:t>
            </w:r>
            <w:r w:rsidR="00AF438E">
              <w:t>Asbestos Hazard Emergency Response Act (</w:t>
            </w:r>
            <w:r>
              <w:t>AHERA</w:t>
            </w:r>
            <w:r w:rsidR="00AF438E">
              <w:t>)</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6CE0C448" w14:textId="77777777" w:rsidR="00FF51E8" w:rsidRPr="00C8094D" w:rsidRDefault="00FF51E8">
            <w:pPr>
              <w:pStyle w:val="TableText"/>
            </w:pPr>
            <w:r>
              <w:t>$</w:t>
            </w:r>
          </w:p>
        </w:tc>
        <w:tc>
          <w:tcPr>
            <w:tcW w:w="376" w:type="pct"/>
            <w:tcBorders>
              <w:top w:val="single" w:sz="4" w:space="0" w:color="auto"/>
              <w:left w:val="single" w:sz="4" w:space="0" w:color="auto"/>
              <w:bottom w:val="single" w:sz="4" w:space="0" w:color="auto"/>
              <w:right w:val="single" w:sz="4" w:space="0" w:color="auto"/>
            </w:tcBorders>
            <w:vAlign w:val="center"/>
          </w:tcPr>
          <w:p w14:paraId="05D6FF1D" w14:textId="77777777" w:rsidR="00FF51E8" w:rsidRPr="00C8094D"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4059FE1" w14:textId="77777777" w:rsidR="00FF51E8" w:rsidRPr="00C8094D"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06D331E4" w14:textId="77777777" w:rsidR="00FF51E8" w:rsidRPr="00C8094D" w:rsidRDefault="00FF51E8">
            <w:pPr>
              <w:pStyle w:val="TableText"/>
            </w:pPr>
            <w:r>
              <w:t>1</w:t>
            </w:r>
          </w:p>
        </w:tc>
      </w:tr>
      <w:tr w:rsidR="00FF51E8" w:rsidRPr="00C8094D" w14:paraId="4AD328D0"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4445B5B3" w14:textId="77777777" w:rsidR="00FF51E8" w:rsidRPr="00C8094D" w:rsidRDefault="00FF51E8">
            <w:pPr>
              <w:pStyle w:val="TableText"/>
            </w:pPr>
            <w:r>
              <w:t>(2)</w:t>
            </w:r>
          </w:p>
        </w:tc>
        <w:tc>
          <w:tcPr>
            <w:tcW w:w="3336" w:type="pct"/>
            <w:tcBorders>
              <w:top w:val="single" w:sz="4" w:space="0" w:color="auto"/>
              <w:bottom w:val="single" w:sz="4" w:space="0" w:color="auto"/>
              <w:right w:val="single" w:sz="4" w:space="0" w:color="auto"/>
            </w:tcBorders>
          </w:tcPr>
          <w:p w14:paraId="415874C3" w14:textId="2295F8CF" w:rsidR="00FF51E8" w:rsidRPr="00C8094D" w:rsidRDefault="00A80E32">
            <w:pPr>
              <w:pStyle w:val="TableText"/>
            </w:pPr>
            <w:r w:rsidRPr="00A80E32">
              <w:t xml:space="preserve">Provide easy access to training </w:t>
            </w:r>
            <w:r w:rsidR="007227D4">
              <w:t>for</w:t>
            </w:r>
            <w:r w:rsidRPr="00A80E32">
              <w:t xml:space="preserve"> </w:t>
            </w:r>
            <w:r w:rsidR="003D2862">
              <w:t xml:space="preserve">the </w:t>
            </w:r>
            <w:r w:rsidRPr="00A80E32">
              <w:t>effective implementation of the AMP</w:t>
            </w:r>
          </w:p>
        </w:tc>
        <w:tc>
          <w:tcPr>
            <w:tcW w:w="232" w:type="pct"/>
            <w:tcBorders>
              <w:top w:val="nil"/>
              <w:left w:val="single" w:sz="4" w:space="0" w:color="auto"/>
              <w:bottom w:val="single" w:sz="4" w:space="0" w:color="auto"/>
              <w:right w:val="single" w:sz="4" w:space="0" w:color="auto"/>
            </w:tcBorders>
            <w:shd w:val="clear" w:color="auto" w:fill="auto"/>
            <w:vAlign w:val="center"/>
          </w:tcPr>
          <w:p w14:paraId="7984236B" w14:textId="77777777" w:rsidR="00FF51E8" w:rsidRPr="00C8094D" w:rsidRDefault="00FF51E8">
            <w:pPr>
              <w:pStyle w:val="TableText"/>
            </w:pPr>
            <w:r>
              <w:t>$</w:t>
            </w:r>
          </w:p>
        </w:tc>
        <w:tc>
          <w:tcPr>
            <w:tcW w:w="376" w:type="pct"/>
            <w:tcBorders>
              <w:top w:val="single" w:sz="4" w:space="0" w:color="auto"/>
              <w:left w:val="single" w:sz="4" w:space="0" w:color="auto"/>
              <w:bottom w:val="single" w:sz="4" w:space="0" w:color="auto"/>
              <w:right w:val="single" w:sz="4" w:space="0" w:color="auto"/>
            </w:tcBorders>
            <w:vAlign w:val="center"/>
          </w:tcPr>
          <w:p w14:paraId="5D4FC41E" w14:textId="77777777" w:rsidR="00FF51E8" w:rsidRPr="00C8094D"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823A3AA" w14:textId="77777777" w:rsidR="00FF51E8" w:rsidRPr="00C8094D"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6A4A98C2" w14:textId="77777777" w:rsidR="00FF51E8" w:rsidRPr="00C8094D" w:rsidRDefault="00FF51E8">
            <w:pPr>
              <w:pStyle w:val="TableText"/>
            </w:pPr>
            <w:r>
              <w:t>1</w:t>
            </w:r>
          </w:p>
        </w:tc>
      </w:tr>
      <w:tr w:rsidR="00FF51E8" w:rsidRPr="00C8094D" w14:paraId="4AE56D6D" w14:textId="77777777" w:rsidTr="006F5AAC">
        <w:trPr>
          <w:cantSplit/>
          <w:trHeight w:val="255"/>
          <w:tblHeader/>
          <w:jc w:val="center"/>
        </w:trPr>
        <w:tc>
          <w:tcPr>
            <w:tcW w:w="3639"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1D18157" w14:textId="77777777" w:rsidR="00FF51E8" w:rsidRPr="00381EF0" w:rsidRDefault="00FF51E8">
            <w:pPr>
              <w:pStyle w:val="TableRowHeader"/>
            </w:pPr>
            <w:r>
              <w:t>Continual Monitoring and Exposure Mitigation</w:t>
            </w:r>
          </w:p>
        </w:tc>
        <w:tc>
          <w:tcPr>
            <w:tcW w:w="232" w:type="pct"/>
            <w:tcBorders>
              <w:top w:val="nil"/>
              <w:left w:val="single" w:sz="4" w:space="0" w:color="auto"/>
              <w:bottom w:val="single" w:sz="4" w:space="0" w:color="auto"/>
              <w:right w:val="single" w:sz="4" w:space="0" w:color="auto"/>
            </w:tcBorders>
            <w:shd w:val="clear" w:color="auto" w:fill="1F497D" w:themeFill="text2"/>
            <w:vAlign w:val="center"/>
          </w:tcPr>
          <w:p w14:paraId="7D5BAEE8" w14:textId="77777777" w:rsidR="00FF51E8" w:rsidRPr="00381EF0"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1520559" w14:textId="77777777" w:rsidR="00FF51E8" w:rsidRPr="00381EF0"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2A405F8" w14:textId="77777777" w:rsidR="00FF51E8" w:rsidRPr="00381EF0"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tcPr>
          <w:p w14:paraId="6985BE61" w14:textId="77777777" w:rsidR="00FF51E8" w:rsidRPr="00381EF0" w:rsidRDefault="00FF51E8">
            <w:pPr>
              <w:pStyle w:val="TableText"/>
            </w:pPr>
          </w:p>
        </w:tc>
      </w:tr>
      <w:tr w:rsidR="00FF51E8" w:rsidRPr="00C8094D" w14:paraId="239E9502"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5EA3C570" w14:textId="77777777" w:rsidR="00FF51E8" w:rsidRDefault="00FF51E8">
            <w:pPr>
              <w:pStyle w:val="TableText"/>
            </w:pPr>
            <w:r>
              <w:t>(3)</w:t>
            </w:r>
          </w:p>
        </w:tc>
        <w:tc>
          <w:tcPr>
            <w:tcW w:w="3336" w:type="pct"/>
            <w:tcBorders>
              <w:top w:val="single" w:sz="4" w:space="0" w:color="auto"/>
              <w:bottom w:val="single" w:sz="4" w:space="0" w:color="auto"/>
              <w:right w:val="single" w:sz="4" w:space="0" w:color="auto"/>
            </w:tcBorders>
          </w:tcPr>
          <w:p w14:paraId="4BDA4788" w14:textId="51F42D8B" w:rsidR="00FF51E8" w:rsidRDefault="00FF51E8">
            <w:pPr>
              <w:pStyle w:val="TableText"/>
            </w:pPr>
            <w:r>
              <w:t>Inspect schools for asbestos every one to three years</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0FF71130"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145B1DAE" w14:textId="77777777" w:rsidR="00FF51E8" w:rsidRDefault="00FF51E8">
            <w:pPr>
              <w:pStyle w:val="TableText"/>
            </w:pPr>
            <w:r>
              <w:t>$</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068E5B61" w14:textId="77777777" w:rsidR="00FF51E8"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E545070" w14:textId="77777777" w:rsidR="00FF51E8" w:rsidRDefault="00FF51E8">
            <w:pPr>
              <w:pStyle w:val="TableText"/>
            </w:pPr>
            <w:r>
              <w:t>1</w:t>
            </w:r>
          </w:p>
        </w:tc>
      </w:tr>
      <w:tr w:rsidR="00FF51E8" w:rsidRPr="00C8094D" w14:paraId="1B6C57C8"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15C729AC" w14:textId="77777777" w:rsidR="00FF51E8" w:rsidRDefault="00FF51E8">
            <w:pPr>
              <w:pStyle w:val="TableText"/>
            </w:pPr>
            <w:r>
              <w:t>(4)</w:t>
            </w:r>
          </w:p>
        </w:tc>
        <w:tc>
          <w:tcPr>
            <w:tcW w:w="3336" w:type="pct"/>
            <w:tcBorders>
              <w:top w:val="single" w:sz="4" w:space="0" w:color="auto"/>
              <w:bottom w:val="single" w:sz="4" w:space="0" w:color="auto"/>
              <w:right w:val="single" w:sz="4" w:space="0" w:color="auto"/>
            </w:tcBorders>
          </w:tcPr>
          <w:p w14:paraId="14966AF4" w14:textId="798A26E4" w:rsidR="00FF51E8" w:rsidRDefault="00FF51E8">
            <w:pPr>
              <w:pStyle w:val="TableText"/>
            </w:pPr>
            <w:r>
              <w:t xml:space="preserve">Label all </w:t>
            </w:r>
            <w:r w:rsidR="00B37772">
              <w:t>ACM</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6991C058"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178CE888" w14:textId="63B30150" w:rsidR="00FF51E8" w:rsidRDefault="00494BDA">
            <w:pPr>
              <w:pStyle w:val="TableText"/>
            </w:pPr>
            <w:r>
              <w:t>$</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3C166DA" w14:textId="77777777" w:rsidR="00FF51E8"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7D936A92" w14:textId="77777777" w:rsidR="00FF51E8" w:rsidRDefault="00FF51E8">
            <w:pPr>
              <w:pStyle w:val="TableText"/>
            </w:pPr>
            <w:r>
              <w:t>1</w:t>
            </w:r>
          </w:p>
        </w:tc>
      </w:tr>
      <w:tr w:rsidR="00FF51E8" w:rsidRPr="00C8094D" w14:paraId="333F9A91"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26704722" w14:textId="77777777" w:rsidR="00FF51E8" w:rsidRDefault="00FF51E8">
            <w:pPr>
              <w:pStyle w:val="TableText"/>
            </w:pPr>
            <w:r>
              <w:t>(5)</w:t>
            </w:r>
          </w:p>
        </w:tc>
        <w:tc>
          <w:tcPr>
            <w:tcW w:w="3336" w:type="pct"/>
            <w:tcBorders>
              <w:top w:val="single" w:sz="4" w:space="0" w:color="auto"/>
              <w:bottom w:val="single" w:sz="4" w:space="0" w:color="auto"/>
              <w:right w:val="single" w:sz="4" w:space="0" w:color="auto"/>
            </w:tcBorders>
          </w:tcPr>
          <w:p w14:paraId="3C65B506" w14:textId="12198FE1" w:rsidR="00FF51E8" w:rsidRDefault="00FF51E8">
            <w:pPr>
              <w:pStyle w:val="TableText"/>
            </w:pPr>
            <w:r>
              <w:rPr>
                <w:color w:val="000000" w:themeColor="text1"/>
              </w:rPr>
              <w:t>Train staff to report</w:t>
            </w:r>
            <w:r w:rsidRPr="0648FBE6">
              <w:rPr>
                <w:color w:val="000000" w:themeColor="text1"/>
              </w:rPr>
              <w:t xml:space="preserve"> any asbestos exposure</w:t>
            </w:r>
            <w:r>
              <w:rPr>
                <w:color w:val="000000" w:themeColor="text1"/>
              </w:rPr>
              <w:t xml:space="preserve"> risks</w:t>
            </w:r>
            <w:r w:rsidRPr="0648FBE6">
              <w:rPr>
                <w:color w:val="000000" w:themeColor="text1"/>
              </w:rPr>
              <w:t xml:space="preserve"> to the building administrator</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24DE8092"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06F72F45" w14:textId="14B90261" w:rsidR="00FF51E8" w:rsidRDefault="00494BDA">
            <w:pPr>
              <w:pStyle w:val="TableText"/>
            </w:pPr>
            <w:r>
              <w:t>$</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3DD0F74" w14:textId="77777777" w:rsidR="00FF51E8"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62A6C77B" w14:textId="77777777" w:rsidR="00FF51E8" w:rsidRDefault="00FF51E8">
            <w:pPr>
              <w:pStyle w:val="TableText"/>
            </w:pPr>
            <w:r>
              <w:t>1</w:t>
            </w:r>
          </w:p>
        </w:tc>
      </w:tr>
      <w:tr w:rsidR="00FF51E8" w:rsidRPr="00C8094D" w14:paraId="756F202B"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2A198132" w14:textId="77777777" w:rsidR="00FF51E8" w:rsidRDefault="00FF51E8">
            <w:pPr>
              <w:pStyle w:val="TableText"/>
            </w:pPr>
            <w:r>
              <w:t>(6)</w:t>
            </w:r>
          </w:p>
        </w:tc>
        <w:tc>
          <w:tcPr>
            <w:tcW w:w="3336" w:type="pct"/>
            <w:tcBorders>
              <w:top w:val="single" w:sz="4" w:space="0" w:color="auto"/>
              <w:bottom w:val="single" w:sz="4" w:space="0" w:color="auto"/>
              <w:right w:val="single" w:sz="4" w:space="0" w:color="auto"/>
            </w:tcBorders>
          </w:tcPr>
          <w:p w14:paraId="2F7E30CF" w14:textId="354372BE" w:rsidR="00FF51E8" w:rsidRDefault="00FF51E8">
            <w:pPr>
              <w:pStyle w:val="TableText"/>
            </w:pPr>
            <w:r>
              <w:t>Conduct asbestos response actions to reduce exposure risk in accordance with AHERA</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17234048"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3E65BDC8" w14:textId="77777777" w:rsidR="00FF51E8" w:rsidRDefault="00FF51E8">
            <w:pPr>
              <w:pStyle w:val="TableText"/>
            </w:pPr>
            <w:r>
              <w:t>$</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602E8143" w14:textId="77777777" w:rsidR="00FF51E8"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7321DED9" w14:textId="77777777" w:rsidR="00FF51E8" w:rsidRDefault="00FF51E8">
            <w:pPr>
              <w:pStyle w:val="TableText"/>
            </w:pPr>
            <w:r>
              <w:t>1</w:t>
            </w:r>
          </w:p>
        </w:tc>
      </w:tr>
      <w:tr w:rsidR="00FF51E8" w:rsidRPr="00C8094D" w14:paraId="3B8BE6B1" w14:textId="77777777" w:rsidTr="006F5AAC">
        <w:trPr>
          <w:cantSplit/>
          <w:trHeight w:val="255"/>
          <w:tblHeader/>
          <w:jc w:val="center"/>
        </w:trPr>
        <w:tc>
          <w:tcPr>
            <w:tcW w:w="3639"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4331FCD8" w14:textId="77777777" w:rsidR="00FF51E8" w:rsidRPr="00276B41" w:rsidRDefault="00FF51E8">
            <w:pPr>
              <w:pStyle w:val="TableRowHeader"/>
            </w:pPr>
            <w:r>
              <w:t>Exposure Mitigation During Renovations</w:t>
            </w:r>
          </w:p>
        </w:tc>
        <w:tc>
          <w:tcPr>
            <w:tcW w:w="232" w:type="pct"/>
            <w:tcBorders>
              <w:top w:val="nil"/>
              <w:left w:val="single" w:sz="4" w:space="0" w:color="auto"/>
              <w:bottom w:val="single" w:sz="4" w:space="0" w:color="auto"/>
              <w:right w:val="single" w:sz="4" w:space="0" w:color="auto"/>
            </w:tcBorders>
            <w:shd w:val="clear" w:color="auto" w:fill="1F497D" w:themeFill="text2"/>
            <w:vAlign w:val="center"/>
          </w:tcPr>
          <w:p w14:paraId="6FBDC19C"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DB96106"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BCC1DFD" w14:textId="77777777" w:rsidR="00FF51E8" w:rsidRPr="00276B41" w:rsidRDefault="00FF51E8">
            <w:pPr>
              <w:pStyle w:val="TableText"/>
            </w:pPr>
          </w:p>
        </w:tc>
        <w:tc>
          <w:tcPr>
            <w:tcW w:w="376"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0A74196" w14:textId="77777777" w:rsidR="00FF51E8" w:rsidRPr="00276B41" w:rsidRDefault="00FF51E8">
            <w:pPr>
              <w:pStyle w:val="TableText"/>
            </w:pPr>
          </w:p>
        </w:tc>
      </w:tr>
      <w:tr w:rsidR="00FF51E8" w:rsidRPr="00C8094D" w14:paraId="0C9A8887"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011DEDEB" w14:textId="77777777" w:rsidR="00FF51E8" w:rsidRPr="00C8094D" w:rsidRDefault="00FF51E8">
            <w:pPr>
              <w:pStyle w:val="TableText"/>
            </w:pPr>
            <w:r>
              <w:t>(7)</w:t>
            </w:r>
          </w:p>
        </w:tc>
        <w:tc>
          <w:tcPr>
            <w:tcW w:w="3336" w:type="pct"/>
            <w:tcBorders>
              <w:top w:val="single" w:sz="4" w:space="0" w:color="auto"/>
              <w:bottom w:val="single" w:sz="4" w:space="0" w:color="auto"/>
              <w:right w:val="single" w:sz="4" w:space="0" w:color="auto"/>
            </w:tcBorders>
          </w:tcPr>
          <w:p w14:paraId="743D0D23" w14:textId="6197CDCA" w:rsidR="00FF51E8" w:rsidRPr="00C8094D" w:rsidRDefault="00FF51E8">
            <w:pPr>
              <w:pStyle w:val="TableText"/>
            </w:pPr>
            <w:r w:rsidRPr="0648FBE6">
              <w:rPr>
                <w:color w:val="000000" w:themeColor="text1"/>
              </w:rPr>
              <w:t xml:space="preserve">Minimize disturbance of </w:t>
            </w:r>
            <w:r w:rsidR="00706316">
              <w:rPr>
                <w:color w:val="000000" w:themeColor="text1"/>
              </w:rPr>
              <w:t xml:space="preserve">ACM </w:t>
            </w:r>
            <w:r w:rsidRPr="0648FBE6">
              <w:rPr>
                <w:color w:val="000000" w:themeColor="text1"/>
              </w:rPr>
              <w:t xml:space="preserve">during renovations or </w:t>
            </w:r>
            <w:r w:rsidR="00BA3E12">
              <w:rPr>
                <w:color w:val="000000" w:themeColor="text1"/>
              </w:rPr>
              <w:t xml:space="preserve">conduct appropriate </w:t>
            </w:r>
            <w:r w:rsidRPr="0648FBE6">
              <w:rPr>
                <w:color w:val="000000" w:themeColor="text1"/>
              </w:rPr>
              <w:t xml:space="preserve">abatement actions </w:t>
            </w:r>
          </w:p>
        </w:tc>
        <w:tc>
          <w:tcPr>
            <w:tcW w:w="232" w:type="pct"/>
            <w:tcBorders>
              <w:top w:val="nil"/>
              <w:left w:val="single" w:sz="4" w:space="0" w:color="auto"/>
              <w:bottom w:val="single" w:sz="4" w:space="0" w:color="auto"/>
              <w:right w:val="single" w:sz="4" w:space="0" w:color="auto"/>
            </w:tcBorders>
            <w:shd w:val="clear" w:color="auto" w:fill="auto"/>
            <w:vAlign w:val="center"/>
          </w:tcPr>
          <w:p w14:paraId="652DDD77" w14:textId="77777777" w:rsidR="00FF51E8" w:rsidRPr="00F45120"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2B961D3C" w14:textId="77777777" w:rsidR="00FF51E8" w:rsidRPr="00F45120"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8EC5C11" w14:textId="77777777" w:rsidR="00FF51E8" w:rsidRPr="00F45120"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E94C6C6" w14:textId="77777777" w:rsidR="00FF51E8" w:rsidRPr="00F45120" w:rsidRDefault="00FF51E8">
            <w:pPr>
              <w:pStyle w:val="TableText"/>
            </w:pPr>
            <w:r>
              <w:t>2</w:t>
            </w:r>
          </w:p>
        </w:tc>
      </w:tr>
      <w:tr w:rsidR="00FF51E8" w:rsidRPr="00C8094D" w14:paraId="33CB9345"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1F745A6B" w14:textId="77777777" w:rsidR="00FF51E8" w:rsidRDefault="00FF51E8">
            <w:pPr>
              <w:pStyle w:val="TableText"/>
            </w:pPr>
            <w:r>
              <w:t>(8)</w:t>
            </w:r>
          </w:p>
        </w:tc>
        <w:tc>
          <w:tcPr>
            <w:tcW w:w="3336" w:type="pct"/>
            <w:tcBorders>
              <w:top w:val="single" w:sz="4" w:space="0" w:color="auto"/>
              <w:bottom w:val="single" w:sz="4" w:space="0" w:color="auto"/>
              <w:right w:val="single" w:sz="4" w:space="0" w:color="auto"/>
            </w:tcBorders>
          </w:tcPr>
          <w:p w14:paraId="4DBD7743" w14:textId="1EC0616C" w:rsidR="00FF51E8" w:rsidRDefault="00FF51E8">
            <w:pPr>
              <w:pStyle w:val="TableText"/>
            </w:pPr>
            <w:r>
              <w:t>Schedule renovations or asbestos abatement activities when students and staff are not in the building</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78952E9C"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vAlign w:val="center"/>
          </w:tcPr>
          <w:p w14:paraId="0E2A1EBF" w14:textId="77777777" w:rsidR="00FF51E8"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00EA3379" w14:textId="77777777" w:rsidR="00FF51E8"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3C55145" w14:textId="77777777" w:rsidR="00FF51E8" w:rsidRDefault="00FF51E8">
            <w:pPr>
              <w:pStyle w:val="TableText"/>
            </w:pPr>
            <w:r>
              <w:t>1</w:t>
            </w:r>
          </w:p>
        </w:tc>
      </w:tr>
      <w:tr w:rsidR="00FF51E8" w:rsidRPr="00C8094D" w14:paraId="3CEBCD8E" w14:textId="77777777" w:rsidTr="006F5AAC">
        <w:trPr>
          <w:cantSplit/>
          <w:trHeight w:val="255"/>
          <w:tblHeader/>
          <w:jc w:val="center"/>
        </w:trPr>
        <w:tc>
          <w:tcPr>
            <w:tcW w:w="303" w:type="pct"/>
            <w:tcBorders>
              <w:top w:val="single" w:sz="4" w:space="0" w:color="auto"/>
              <w:left w:val="single" w:sz="4" w:space="0" w:color="auto"/>
              <w:bottom w:val="single" w:sz="4" w:space="0" w:color="auto"/>
            </w:tcBorders>
            <w:shd w:val="clear" w:color="auto" w:fill="auto"/>
          </w:tcPr>
          <w:p w14:paraId="23DD7CD2" w14:textId="77777777" w:rsidR="00FF51E8" w:rsidRPr="00C8094D" w:rsidRDefault="00FF51E8">
            <w:pPr>
              <w:pStyle w:val="TableText"/>
            </w:pPr>
            <w:r>
              <w:t>(9)</w:t>
            </w:r>
          </w:p>
        </w:tc>
        <w:tc>
          <w:tcPr>
            <w:tcW w:w="3336" w:type="pct"/>
            <w:tcBorders>
              <w:top w:val="single" w:sz="4" w:space="0" w:color="auto"/>
              <w:bottom w:val="single" w:sz="4" w:space="0" w:color="auto"/>
              <w:right w:val="single" w:sz="4" w:space="0" w:color="auto"/>
            </w:tcBorders>
          </w:tcPr>
          <w:p w14:paraId="030A4FB5" w14:textId="233910D4" w:rsidR="00FF51E8" w:rsidRDefault="00D9709B">
            <w:pPr>
              <w:pStyle w:val="TableText"/>
            </w:pPr>
            <w:r>
              <w:t>Confirm</w:t>
            </w:r>
            <w:r w:rsidR="00FF51E8">
              <w:t xml:space="preserve"> safe air quality sampling results prior to allowing students and staff to return to the building</w:t>
            </w:r>
            <w:r w:rsidR="00245EA4">
              <w:t xml:space="preserve"> </w:t>
            </w:r>
          </w:p>
        </w:tc>
        <w:tc>
          <w:tcPr>
            <w:tcW w:w="232" w:type="pct"/>
            <w:tcBorders>
              <w:top w:val="nil"/>
              <w:left w:val="single" w:sz="4" w:space="0" w:color="auto"/>
              <w:bottom w:val="single" w:sz="4" w:space="0" w:color="auto"/>
              <w:right w:val="single" w:sz="4" w:space="0" w:color="auto"/>
            </w:tcBorders>
            <w:shd w:val="clear" w:color="auto" w:fill="auto"/>
            <w:vAlign w:val="center"/>
          </w:tcPr>
          <w:p w14:paraId="3DA0928E" w14:textId="77777777" w:rsidR="00FF51E8" w:rsidRPr="00F45120" w:rsidRDefault="00FF51E8">
            <w:pPr>
              <w:pStyle w:val="TableText"/>
            </w:pPr>
            <w:r>
              <w:t>$</w:t>
            </w:r>
          </w:p>
        </w:tc>
        <w:tc>
          <w:tcPr>
            <w:tcW w:w="376" w:type="pct"/>
            <w:tcBorders>
              <w:top w:val="single" w:sz="4" w:space="0" w:color="auto"/>
              <w:left w:val="single" w:sz="4" w:space="0" w:color="auto"/>
              <w:bottom w:val="single" w:sz="4" w:space="0" w:color="auto"/>
              <w:right w:val="single" w:sz="4" w:space="0" w:color="auto"/>
            </w:tcBorders>
            <w:vAlign w:val="center"/>
          </w:tcPr>
          <w:p w14:paraId="542331D5" w14:textId="77777777" w:rsidR="00FF51E8" w:rsidRPr="00F45120" w:rsidRDefault="00FF51E8">
            <w:pPr>
              <w:pStyle w:val="TableText"/>
            </w:pPr>
            <w: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653BA22D" w14:textId="77777777" w:rsidR="00FF51E8" w:rsidRPr="00F45120" w:rsidRDefault="00FF51E8">
            <w:pPr>
              <w:pStyle w:val="TableText"/>
            </w:pPr>
            <w:r>
              <w:t>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BC98478" w14:textId="77777777" w:rsidR="00FF51E8" w:rsidRPr="00F45120" w:rsidRDefault="00FF51E8">
            <w:pPr>
              <w:pStyle w:val="TableText"/>
            </w:pPr>
            <w:r>
              <w:t>1</w:t>
            </w:r>
          </w:p>
        </w:tc>
      </w:tr>
      <w:tr w:rsidR="00FF51E8" w:rsidRPr="00C8094D" w14:paraId="03CC437A"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1BC8437" w14:textId="77777777" w:rsidR="00FF51E8" w:rsidRPr="00FF51E8" w:rsidRDefault="00FF51E8" w:rsidP="00FF51E8">
            <w:pPr>
              <w:rPr>
                <w:rFonts w:ascii="Arial" w:hAnsi="Arial" w:cs="Arial"/>
                <w:b/>
                <w:bCs/>
                <w:sz w:val="20"/>
                <w:szCs w:val="20"/>
                <w:u w:val="single"/>
              </w:rPr>
            </w:pPr>
            <w:r w:rsidRPr="00FF51E8">
              <w:rPr>
                <w:rFonts w:ascii="Arial" w:hAnsi="Arial" w:cs="Arial"/>
                <w:b/>
                <w:bCs/>
                <w:sz w:val="20"/>
                <w:szCs w:val="20"/>
                <w:u w:val="single"/>
              </w:rPr>
              <w:t>Key:</w:t>
            </w:r>
          </w:p>
          <w:p w14:paraId="3828DA11" w14:textId="77777777" w:rsidR="00FF51E8" w:rsidRPr="00FF51E8" w:rsidRDefault="00FF51E8" w:rsidP="00FF51E8">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12429ED7" w14:textId="335E50C3" w:rsidR="00FF51E8" w:rsidRPr="00FF51E8" w:rsidRDefault="00FF51E8" w:rsidP="00FF51E8">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6A2178">
              <w:rPr>
                <w:rFonts w:ascii="Arial" w:hAnsi="Arial" w:cs="Arial"/>
                <w:sz w:val="20"/>
                <w:szCs w:val="20"/>
              </w:rPr>
              <w:t>&gt;</w:t>
            </w:r>
            <w:r w:rsidRPr="00FF51E8">
              <w:rPr>
                <w:rFonts w:ascii="Arial" w:hAnsi="Arial" w:cs="Arial"/>
                <w:sz w:val="20"/>
                <w:szCs w:val="20"/>
              </w:rPr>
              <w:t>12 months)</w:t>
            </w:r>
          </w:p>
          <w:p w14:paraId="68DD106E" w14:textId="3B013CB0" w:rsidR="00FF51E8" w:rsidRPr="00FF51E8" w:rsidRDefault="00FF51E8" w:rsidP="00FF51E8">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503D8934" w14:textId="77777777" w:rsidR="00384C6D" w:rsidRDefault="411270A8" w:rsidP="00384C6D">
      <w:pPr>
        <w:pStyle w:val="Heading3"/>
      </w:pPr>
      <w:r>
        <w:t>Barriers and Challenges</w:t>
      </w:r>
    </w:p>
    <w:p w14:paraId="63C57D6F" w14:textId="1DE8B92C" w:rsidR="00384C6D" w:rsidRDefault="00345D95" w:rsidP="006D7DE6">
      <w:pPr>
        <w:pStyle w:val="BodyTextFirstIndent"/>
      </w:pPr>
      <w:r>
        <w:t>Challenges to asbestos</w:t>
      </w:r>
      <w:r w:rsidR="002B30A3">
        <w:t xml:space="preserve"> abatement can be both financial and logistical. Schools often lack funding to inspect for, </w:t>
      </w:r>
      <w:r w:rsidR="00E00076">
        <w:t>test, and remove ACM.</w:t>
      </w:r>
      <w:r w:rsidR="00CE3B3D">
        <w:fldChar w:fldCharType="begin"/>
      </w:r>
      <w:r w:rsidR="00EA7A27">
        <w:instrText xml:space="preserve"> ADDIN ZOTERO_ITEM CSL_CITATION {"citationID":"kRwuAgSa","properties":{"formattedCitation":"\\super 102\\nosupersub{}","plainCitation":"102","noteIndex":0},"citationItems":[{"id":358,"uris":["http://zotero.org/groups/5563646/items/IFHLZYMH"],"itemData":{"id":358,"type":"webpage","abstract":"Safely removing asbestos in schools has always been a top priority for administrators and city representatives, yet exposure keeps happening.","container-title":"Mesothelioma Hub","language":"en-US","title":"Asbestos in Schools Across United States","URL":"https://www.mesotheliomahub.com/blog/asbestos-in-schools/","author":[{"family":"Ernst","given":"Rachel"}],"accessed":{"date-parts":[["2024",6,26]]},"issued":{"date-parts":[["2023",10,2]]}}}],"schema":"https://github.com/citation-style-language/schema/raw/master/csl-citation.json"} </w:instrText>
      </w:r>
      <w:r w:rsidR="00CE3B3D">
        <w:fldChar w:fldCharType="separate"/>
      </w:r>
      <w:r w:rsidR="00EA7A27" w:rsidRPr="00EA7A27">
        <w:rPr>
          <w:rFonts w:cs="Arial"/>
          <w:vertAlign w:val="superscript"/>
        </w:rPr>
        <w:t>102</w:t>
      </w:r>
      <w:r w:rsidR="00CE3B3D">
        <w:fldChar w:fldCharType="end"/>
      </w:r>
      <w:r w:rsidR="00E00076">
        <w:t xml:space="preserve"> </w:t>
      </w:r>
      <w:r w:rsidR="00243995">
        <w:t>Asbestos abatement can be disruptive to normal school activities</w:t>
      </w:r>
      <w:r w:rsidR="00147423">
        <w:t xml:space="preserve"> </w:t>
      </w:r>
      <w:r w:rsidR="00AB6910">
        <w:t xml:space="preserve">since </w:t>
      </w:r>
      <w:r w:rsidR="00147423">
        <w:t xml:space="preserve">asbestos must be removed by professionals and </w:t>
      </w:r>
      <w:r w:rsidR="000036CC">
        <w:t>must comply</w:t>
      </w:r>
      <w:r w:rsidR="00147423">
        <w:t xml:space="preserve"> with safety measures required by state and federal regulations</w:t>
      </w:r>
      <w:r w:rsidR="00E30140">
        <w:t>.</w:t>
      </w:r>
      <w:r w:rsidR="00C2553D">
        <w:fldChar w:fldCharType="begin"/>
      </w:r>
      <w:r w:rsidR="00166525">
        <w:instrText xml:space="preserve"> ADDIN ZOTERO_ITEM CSL_CITATION {"citationID":"2NWWmAtL","properties":{"formattedCitation":"\\super 102\\nosupersub{}","plainCitation":"102","noteIndex":0},"citationItems":[{"id":358,"uris":["http://zotero.org/groups/5563646/items/IFHLZYMH"],"itemData":{"id":358,"type":"webpage","abstract":"Safely removing asbestos in schools has always been a top priority for administrators and city representatives, yet exposure keeps happening.","container-title":"Mesothelioma Hub","language":"en-US","title":"Asbestos in Schools Across United States","URL":"https://www.mesotheliomahub.com/blog/asbestos-in-schools/","author":[{"family":"Ernst","given":"Rachel"}],"accessed":{"date-parts":[["2024",6,26]]},"issued":{"date-parts":[["2023",10,2]]}}}],"schema":"https://github.com/citation-style-language/schema/raw/master/csl-citation.json"} </w:instrText>
      </w:r>
      <w:r w:rsidR="00C2553D">
        <w:fldChar w:fldCharType="separate"/>
      </w:r>
      <w:r w:rsidR="00166525" w:rsidRPr="00166525">
        <w:rPr>
          <w:rFonts w:cs="Arial"/>
          <w:vertAlign w:val="superscript"/>
        </w:rPr>
        <w:t>102</w:t>
      </w:r>
      <w:r w:rsidR="00C2553D">
        <w:fldChar w:fldCharType="end"/>
      </w:r>
      <w:r w:rsidR="00E30140">
        <w:t xml:space="preserve"> </w:t>
      </w:r>
    </w:p>
    <w:p w14:paraId="41410696" w14:textId="782CEB89" w:rsidR="006B757B" w:rsidRPr="006B757B" w:rsidRDefault="00232758" w:rsidP="006B757B">
      <w:pPr>
        <w:rPr>
          <w:highlight w:val="green"/>
        </w:rPr>
      </w:pPr>
      <w:r>
        <w:rPr>
          <w:noProof/>
        </w:rPr>
        <w:lastRenderedPageBreak/>
        <mc:AlternateContent>
          <mc:Choice Requires="wps">
            <w:drawing>
              <wp:anchor distT="0" distB="0" distL="114300" distR="114300" simplePos="0" relativeHeight="251647488" behindDoc="0" locked="0" layoutInCell="1" allowOverlap="1" wp14:anchorId="3CB5B619" wp14:editId="38676EEF">
                <wp:simplePos x="0" y="0"/>
                <wp:positionH relativeFrom="margin">
                  <wp:posOffset>-53340</wp:posOffset>
                </wp:positionH>
                <wp:positionV relativeFrom="paragraph">
                  <wp:posOffset>0</wp:posOffset>
                </wp:positionV>
                <wp:extent cx="5922645" cy="7162800"/>
                <wp:effectExtent l="0" t="0" r="20955" b="19050"/>
                <wp:wrapSquare wrapText="bothSides"/>
                <wp:docPr id="48331183" name="Text Box 1"/>
                <wp:cNvGraphicFramePr/>
                <a:graphic xmlns:a="http://schemas.openxmlformats.org/drawingml/2006/main">
                  <a:graphicData uri="http://schemas.microsoft.com/office/word/2010/wordprocessingShape">
                    <wps:wsp>
                      <wps:cNvSpPr txBox="1"/>
                      <wps:spPr bwMode="auto">
                        <a:xfrm>
                          <a:off x="0" y="0"/>
                          <a:ext cx="5922645" cy="7162800"/>
                        </a:xfrm>
                        <a:prstGeom prst="rect">
                          <a:avLst/>
                        </a:prstGeom>
                        <a:solidFill>
                          <a:schemeClr val="accent1">
                            <a:lumMod val="20000"/>
                            <a:lumOff val="80000"/>
                          </a:schemeClr>
                        </a:solidFill>
                        <a:ln w="9525">
                          <a:solidFill>
                            <a:schemeClr val="tx1"/>
                          </a:solidFill>
                          <a:miter lim="800000"/>
                          <a:headEnd/>
                          <a:tailEnd/>
                        </a:ln>
                      </wps:spPr>
                      <wps:txbx>
                        <w:txbxContent>
                          <w:p w14:paraId="6DC8C0D5" w14:textId="17727A4F" w:rsidR="001434BE" w:rsidRDefault="001434BE" w:rsidP="001434BE">
                            <w:pPr>
                              <w:ind w:left="360" w:hanging="360"/>
                              <w:rPr>
                                <w:rFonts w:ascii="Arial" w:hAnsi="Arial" w:cs="Arial"/>
                                <w:b/>
                                <w:bCs/>
                                <w:sz w:val="24"/>
                                <w:szCs w:val="28"/>
                              </w:rPr>
                            </w:pPr>
                            <w:r w:rsidRPr="001434BE">
                              <w:rPr>
                                <w:rFonts w:ascii="Arial" w:hAnsi="Arial" w:cs="Arial"/>
                                <w:b/>
                                <w:bCs/>
                                <w:sz w:val="24"/>
                                <w:szCs w:val="28"/>
                              </w:rPr>
                              <w:t>Considerations for Renovations</w:t>
                            </w:r>
                          </w:p>
                          <w:p w14:paraId="1DCE1729" w14:textId="77777777" w:rsidR="00DE4E07" w:rsidRDefault="00DE4E07" w:rsidP="001434BE">
                            <w:pPr>
                              <w:ind w:left="360" w:hanging="360"/>
                              <w:rPr>
                                <w:rFonts w:ascii="Arial" w:hAnsi="Arial" w:cs="Arial"/>
                                <w:b/>
                                <w:bCs/>
                                <w:sz w:val="24"/>
                                <w:szCs w:val="28"/>
                              </w:rPr>
                            </w:pPr>
                          </w:p>
                          <w:p w14:paraId="62FD7D9F" w14:textId="088AEF96" w:rsidR="00CF57AB" w:rsidRDefault="00DE4E07" w:rsidP="003510CF">
                            <w:pPr>
                              <w:pStyle w:val="TextBoxText"/>
                            </w:pPr>
                            <w:r>
                              <w:t xml:space="preserve">Massachusetts has many older school buildings </w:t>
                            </w:r>
                            <w:r w:rsidR="00DB6AA5">
                              <w:t>that</w:t>
                            </w:r>
                            <w:r>
                              <w:t xml:space="preserve"> periodically need renovations to maintain functionalit</w:t>
                            </w:r>
                            <w:r w:rsidR="00815542">
                              <w:t>y. Older buildings are</w:t>
                            </w:r>
                            <w:r w:rsidR="00AD6514">
                              <w:t xml:space="preserve"> also</w:t>
                            </w:r>
                            <w:r w:rsidR="00815542">
                              <w:t xml:space="preserve"> likely to have</w:t>
                            </w:r>
                            <w:r w:rsidR="00AD6514">
                              <w:t xml:space="preserve"> harmful substances </w:t>
                            </w:r>
                            <w:r w:rsidR="003C63CD">
                              <w:t xml:space="preserve">contained within legacy </w:t>
                            </w:r>
                            <w:r w:rsidR="00AD6514">
                              <w:t>building materials, such as</w:t>
                            </w:r>
                            <w:r w:rsidR="00815542">
                              <w:t xml:space="preserve"> asbestos, PCBs, lead, and mercury</w:t>
                            </w:r>
                            <w:r w:rsidR="00AD6514">
                              <w:t>.</w:t>
                            </w:r>
                            <w:r w:rsidR="00CF57AB">
                              <w:t xml:space="preserve"> </w:t>
                            </w:r>
                            <w:r w:rsidR="00844056">
                              <w:t>In addition, m</w:t>
                            </w:r>
                            <w:r w:rsidR="00602957">
                              <w:t>old</w:t>
                            </w:r>
                            <w:r w:rsidR="00213B65">
                              <w:t xml:space="preserve"> may be revealed by </w:t>
                            </w:r>
                            <w:r w:rsidR="007B712A">
                              <w:t>renovation projects</w:t>
                            </w:r>
                            <w:r w:rsidR="006A141B">
                              <w:t>,</w:t>
                            </w:r>
                            <w:r w:rsidR="00844056">
                              <w:t xml:space="preserve"> and renovations that </w:t>
                            </w:r>
                            <w:r w:rsidR="00EA50B4">
                              <w:t xml:space="preserve">change air flow or the building </w:t>
                            </w:r>
                            <w:r w:rsidR="001F473F">
                              <w:t>envelope</w:t>
                            </w:r>
                            <w:r w:rsidR="00EA50B4">
                              <w:t xml:space="preserve"> may im</w:t>
                            </w:r>
                            <w:r w:rsidR="000D487A">
                              <w:t>pact radon levels</w:t>
                            </w:r>
                            <w:r w:rsidR="007B712A">
                              <w:t xml:space="preserve">. </w:t>
                            </w:r>
                            <w:r w:rsidR="00CF57AB">
                              <w:t>Many of these materials only become a health risk when they are disturbed</w:t>
                            </w:r>
                            <w:r w:rsidR="00EB09F8">
                              <w:t xml:space="preserve">, </w:t>
                            </w:r>
                            <w:r w:rsidR="00CE120C">
                              <w:t xml:space="preserve">which includes </w:t>
                            </w:r>
                            <w:r w:rsidR="00EB09F8">
                              <w:t>renovation project</w:t>
                            </w:r>
                            <w:r w:rsidR="00CE120C">
                              <w:t>s</w:t>
                            </w:r>
                            <w:r w:rsidR="00EB09F8">
                              <w:t>. When disturbed, these substances can become airborne</w:t>
                            </w:r>
                            <w:r w:rsidR="009B234C">
                              <w:t xml:space="preserve"> </w:t>
                            </w:r>
                            <w:r w:rsidR="00A55301">
                              <w:t>and</w:t>
                            </w:r>
                            <w:r w:rsidR="009B234C">
                              <w:t xml:space="preserve"> accumulate in dust</w:t>
                            </w:r>
                            <w:r w:rsidR="00BA1CBD">
                              <w:t xml:space="preserve">. </w:t>
                            </w:r>
                            <w:r w:rsidR="00992BFE">
                              <w:t xml:space="preserve">Without proper renovation controls, school occupants can become exposed to these materials </w:t>
                            </w:r>
                            <w:r w:rsidR="00B6787A">
                              <w:t xml:space="preserve">through inhalation and </w:t>
                            </w:r>
                            <w:r w:rsidR="00E75816">
                              <w:t>ingestion</w:t>
                            </w:r>
                            <w:r w:rsidR="00B6787A">
                              <w:t xml:space="preserve"> pathways. </w:t>
                            </w:r>
                          </w:p>
                          <w:p w14:paraId="49CC0AFA" w14:textId="614B09A0" w:rsidR="00E75816" w:rsidRDefault="00E75816" w:rsidP="001434BE">
                            <w:pPr>
                              <w:ind w:left="360" w:hanging="360"/>
                              <w:rPr>
                                <w:rFonts w:ascii="Arial" w:hAnsi="Arial" w:cs="Arial"/>
                                <w:sz w:val="24"/>
                                <w:szCs w:val="28"/>
                              </w:rPr>
                            </w:pPr>
                          </w:p>
                          <w:p w14:paraId="708A2429" w14:textId="25D72E68" w:rsidR="00E75816" w:rsidRDefault="00E75816" w:rsidP="001434BE">
                            <w:pPr>
                              <w:ind w:left="360" w:hanging="360"/>
                              <w:rPr>
                                <w:rFonts w:ascii="Arial" w:hAnsi="Arial" w:cs="Arial"/>
                                <w:sz w:val="24"/>
                                <w:szCs w:val="28"/>
                              </w:rPr>
                            </w:pPr>
                            <w:r>
                              <w:rPr>
                                <w:rFonts w:ascii="Arial" w:hAnsi="Arial" w:cs="Arial"/>
                                <w:sz w:val="24"/>
                                <w:szCs w:val="28"/>
                              </w:rPr>
                              <w:t xml:space="preserve">There are several steps that schools can take to mitigate these risks: </w:t>
                            </w:r>
                          </w:p>
                          <w:p w14:paraId="2449A222" w14:textId="77777777" w:rsidR="00EB09F8" w:rsidRDefault="00EB09F8" w:rsidP="001434BE">
                            <w:pPr>
                              <w:ind w:left="360" w:hanging="360"/>
                              <w:rPr>
                                <w:rFonts w:ascii="Arial" w:hAnsi="Arial" w:cs="Arial"/>
                                <w:sz w:val="24"/>
                                <w:szCs w:val="28"/>
                              </w:rPr>
                            </w:pPr>
                          </w:p>
                          <w:p w14:paraId="740E0374" w14:textId="3FB68B2B" w:rsidR="00DE4E07" w:rsidRDefault="006B4D2E" w:rsidP="00B95DCC">
                            <w:pPr>
                              <w:pStyle w:val="ListParagraph"/>
                              <w:numPr>
                                <w:ilvl w:val="0"/>
                                <w:numId w:val="23"/>
                              </w:numPr>
                            </w:pPr>
                            <w:r w:rsidRPr="00E75816">
                              <w:t xml:space="preserve">Schools should create </w:t>
                            </w:r>
                            <w:r w:rsidR="008B6009">
                              <w:t xml:space="preserve">and maintain </w:t>
                            </w:r>
                            <w:r w:rsidRPr="00E75816">
                              <w:t>an inventory of materials</w:t>
                            </w:r>
                            <w:r w:rsidR="00EB09F8" w:rsidRPr="00E75816">
                              <w:t xml:space="preserve"> </w:t>
                            </w:r>
                            <w:r w:rsidR="006A141B">
                              <w:t xml:space="preserve">that contain </w:t>
                            </w:r>
                            <w:r w:rsidR="00EB09F8" w:rsidRPr="00E75816">
                              <w:t>asbestos, PCBs, lead, and mercury</w:t>
                            </w:r>
                            <w:r w:rsidRPr="00E75816">
                              <w:t xml:space="preserve"> </w:t>
                            </w:r>
                            <w:r w:rsidR="008B6009">
                              <w:t>along with</w:t>
                            </w:r>
                            <w:r w:rsidRPr="00E75816">
                              <w:t xml:space="preserve"> where they are found within the school</w:t>
                            </w:r>
                            <w:r w:rsidR="008B6009">
                              <w:t>.</w:t>
                            </w:r>
                            <w:r w:rsidRPr="00E75816">
                              <w:t xml:space="preserve"> </w:t>
                            </w:r>
                          </w:p>
                          <w:p w14:paraId="63BDC7CA" w14:textId="721FC58B" w:rsidR="008B6009" w:rsidRDefault="00CD28DD" w:rsidP="008B45B5">
                            <w:pPr>
                              <w:pStyle w:val="ListParagraph"/>
                            </w:pPr>
                            <w:r>
                              <w:t xml:space="preserve">Do not disturb any of these materials </w:t>
                            </w:r>
                            <w:r w:rsidR="006A141B">
                              <w:t>unnecessarily</w:t>
                            </w:r>
                            <w:r>
                              <w:t xml:space="preserve">. Many building components which contain these chemicals only become dangerous to health when they are </w:t>
                            </w:r>
                            <w:r w:rsidR="0049330E">
                              <w:t>exposed or moved</w:t>
                            </w:r>
                            <w:r w:rsidR="00FC5DE4">
                              <w:t xml:space="preserve">. For example, </w:t>
                            </w:r>
                            <w:r w:rsidR="00A43E3D">
                              <w:t xml:space="preserve">building occupants will not be exposed to asbestos within insulation until a wall is </w:t>
                            </w:r>
                            <w:r w:rsidR="00942C27">
                              <w:t>opened</w:t>
                            </w:r>
                            <w:r w:rsidR="0049330E">
                              <w:t xml:space="preserve"> and the insulation is disturbed. </w:t>
                            </w:r>
                          </w:p>
                          <w:p w14:paraId="7412BECF" w14:textId="5689958F" w:rsidR="001B29B6" w:rsidRDefault="001B29B6" w:rsidP="008B45B5">
                            <w:pPr>
                              <w:pStyle w:val="ListParagraph"/>
                            </w:pPr>
                            <w:r>
                              <w:t xml:space="preserve">Use the inventory of materials to routinely check to make sure that building components containing these materials are in good condition. </w:t>
                            </w:r>
                            <w:r w:rsidR="00270309">
                              <w:t xml:space="preserve">If they need repair, it is more likely that these substances will be released into the </w:t>
                            </w:r>
                            <w:r w:rsidR="00EB10C1">
                              <w:t>environmen</w:t>
                            </w:r>
                            <w:r w:rsidR="00290FA6">
                              <w:t xml:space="preserve">t. If building components need repair, plan to do so with the proper controls in place. </w:t>
                            </w:r>
                          </w:p>
                          <w:p w14:paraId="7DA5E2CA" w14:textId="203781B0" w:rsidR="00FA500C" w:rsidRDefault="00BC3525" w:rsidP="008B45B5">
                            <w:pPr>
                              <w:pStyle w:val="ListParagraph"/>
                            </w:pPr>
                            <w:r>
                              <w:t xml:space="preserve">When renovating, consider the risks of disrupting any of these materials before starting the project. Plan to </w:t>
                            </w:r>
                            <w:r w:rsidR="00EB57B4">
                              <w:t xml:space="preserve">implement mitigation strategies to protect building occupants. </w:t>
                            </w:r>
                            <w:r w:rsidR="001F42EC">
                              <w:t xml:space="preserve">Mitigation strategies are specific to the contaminant of concern, but cordoning off the </w:t>
                            </w:r>
                            <w:r w:rsidR="00896626">
                              <w:t xml:space="preserve">area under renovation, keeping renovation areas clean, and </w:t>
                            </w:r>
                            <w:r w:rsidR="00416D47">
                              <w:t xml:space="preserve">planning renovation projects for </w:t>
                            </w:r>
                            <w:r w:rsidR="00C25306">
                              <w:t xml:space="preserve">times when the building has fewer occupants (i.e., summer) are good practices. </w:t>
                            </w:r>
                          </w:p>
                          <w:p w14:paraId="37DD5880" w14:textId="59B69566" w:rsidR="00FA500C" w:rsidRDefault="00F36094" w:rsidP="008B45B5">
                            <w:pPr>
                              <w:pStyle w:val="ListParagraph"/>
                            </w:pPr>
                            <w:r>
                              <w:t xml:space="preserve">Before a renovation project starts, create a communication plan for </w:t>
                            </w:r>
                            <w:r w:rsidR="00385851">
                              <w:t xml:space="preserve">informing </w:t>
                            </w:r>
                            <w:r>
                              <w:t>staff</w:t>
                            </w:r>
                            <w:r w:rsidR="000E4195">
                              <w:t xml:space="preserve">, parents, students, and other involved community members. The plan should provide details about the extent of the </w:t>
                            </w:r>
                            <w:r w:rsidR="00D414AD">
                              <w:t>health risks</w:t>
                            </w:r>
                            <w:r w:rsidR="000E4195">
                              <w:t xml:space="preserve"> posed by the project, </w:t>
                            </w:r>
                            <w:r w:rsidR="00D414AD">
                              <w:t xml:space="preserve">as well as an outline of the mitigation procedures that will be used to protect those on the school campus. </w:t>
                            </w:r>
                            <w:r w:rsidR="00385851">
                              <w:t xml:space="preserve">The communication plan should also include </w:t>
                            </w:r>
                            <w:r w:rsidR="00070634">
                              <w:t xml:space="preserve">contact information and can direct interested parties to further resources explaining the risk posed by legacy building materials. </w:t>
                            </w:r>
                          </w:p>
                          <w:p w14:paraId="34D68C80" w14:textId="15532768" w:rsidR="001434BE" w:rsidRDefault="001434BE" w:rsidP="001434BE">
                            <w:pPr>
                              <w:ind w:left="360" w:hanging="360"/>
                              <w:rPr>
                                <w:rFonts w:ascii="Arial" w:hAnsi="Arial" w:cs="Arial"/>
                                <w:sz w:val="24"/>
                                <w:szCs w:val="28"/>
                              </w:rPr>
                            </w:pPr>
                          </w:p>
                          <w:p w14:paraId="0EDF9A1B" w14:textId="690CEC0B" w:rsidR="00DE4E07" w:rsidRPr="00E42837" w:rsidRDefault="00DE4E07" w:rsidP="00DE4E07">
                            <w:pPr>
                              <w:ind w:left="360" w:hanging="360"/>
                              <w:rPr>
                                <w:rFonts w:ascii="Arial" w:hAnsi="Arial" w:cs="Arial"/>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B5B619" id="_x0000_s1044" type="#_x0000_t202" style="position:absolute;margin-left:-4.2pt;margin-top:0;width:466.35pt;height:564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" fillcolor="#dbe5f1 [660]" strokecolor="black [3213]">
                <v:textbox>
                  <w:txbxContent>
                    <w:p w14:paraId="6DC8C0D5" w14:textId="17727A4F" w:rsidR="001434BE" w:rsidRDefault="001434BE" w:rsidP="001434BE">
                      <w:pPr>
                        <w:ind w:left="360" w:hanging="360"/>
                        <w:rPr>
                          <w:rFonts w:ascii="Arial" w:hAnsi="Arial" w:cs="Arial"/>
                          <w:b/>
                          <w:bCs/>
                          <w:sz w:val="24"/>
                          <w:szCs w:val="28"/>
                        </w:rPr>
                      </w:pPr>
                      <w:r w:rsidRPr="001434BE">
                        <w:rPr>
                          <w:rFonts w:ascii="Arial" w:hAnsi="Arial" w:cs="Arial"/>
                          <w:b/>
                          <w:bCs/>
                          <w:sz w:val="24"/>
                          <w:szCs w:val="28"/>
                        </w:rPr>
                        <w:t>Considerations for Renovations</w:t>
                      </w:r>
                    </w:p>
                    <w:p w14:paraId="1DCE1729" w14:textId="77777777" w:rsidR="00DE4E07" w:rsidRDefault="00DE4E07" w:rsidP="001434BE">
                      <w:pPr>
                        <w:ind w:left="360" w:hanging="360"/>
                        <w:rPr>
                          <w:rFonts w:ascii="Arial" w:hAnsi="Arial" w:cs="Arial"/>
                          <w:b/>
                          <w:bCs/>
                          <w:sz w:val="24"/>
                          <w:szCs w:val="28"/>
                        </w:rPr>
                      </w:pPr>
                    </w:p>
                    <w:p w14:paraId="62FD7D9F" w14:textId="088AEF96" w:rsidR="00CF57AB" w:rsidRDefault="00DE4E07" w:rsidP="003510CF">
                      <w:pPr>
                        <w:pStyle w:val="TextBoxText"/>
                      </w:pPr>
                      <w:r>
                        <w:t xml:space="preserve">Massachusetts has many older school buildings </w:t>
                      </w:r>
                      <w:r w:rsidR="00DB6AA5">
                        <w:t>that</w:t>
                      </w:r>
                      <w:r>
                        <w:t xml:space="preserve"> periodically need renovations to maintain functionalit</w:t>
                      </w:r>
                      <w:r w:rsidR="00815542">
                        <w:t>y. Older buildings are</w:t>
                      </w:r>
                      <w:r w:rsidR="00AD6514">
                        <w:t xml:space="preserve"> also</w:t>
                      </w:r>
                      <w:r w:rsidR="00815542">
                        <w:t xml:space="preserve"> likely to have</w:t>
                      </w:r>
                      <w:r w:rsidR="00AD6514">
                        <w:t xml:space="preserve"> harmful substances </w:t>
                      </w:r>
                      <w:r w:rsidR="003C63CD">
                        <w:t xml:space="preserve">contained within legacy </w:t>
                      </w:r>
                      <w:r w:rsidR="00AD6514">
                        <w:t>building materials, such as</w:t>
                      </w:r>
                      <w:r w:rsidR="00815542">
                        <w:t xml:space="preserve"> asbestos, PCBs, lead, and mercury</w:t>
                      </w:r>
                      <w:r w:rsidR="00AD6514">
                        <w:t>.</w:t>
                      </w:r>
                      <w:r w:rsidR="00CF57AB">
                        <w:t xml:space="preserve"> </w:t>
                      </w:r>
                      <w:r w:rsidR="00844056">
                        <w:t>In addition, m</w:t>
                      </w:r>
                      <w:r w:rsidR="00602957">
                        <w:t>old</w:t>
                      </w:r>
                      <w:r w:rsidR="00213B65">
                        <w:t xml:space="preserve"> may be revealed by </w:t>
                      </w:r>
                      <w:r w:rsidR="007B712A">
                        <w:t>renovation projects</w:t>
                      </w:r>
                      <w:r w:rsidR="006A141B">
                        <w:t>,</w:t>
                      </w:r>
                      <w:r w:rsidR="00844056">
                        <w:t xml:space="preserve"> and renovations that </w:t>
                      </w:r>
                      <w:r w:rsidR="00EA50B4">
                        <w:t xml:space="preserve">change air flow or the building </w:t>
                      </w:r>
                      <w:r w:rsidR="001F473F">
                        <w:t>envelope</w:t>
                      </w:r>
                      <w:r w:rsidR="00EA50B4">
                        <w:t xml:space="preserve"> may im</w:t>
                      </w:r>
                      <w:r w:rsidR="000D487A">
                        <w:t>pact radon levels</w:t>
                      </w:r>
                      <w:r w:rsidR="007B712A">
                        <w:t xml:space="preserve">. </w:t>
                      </w:r>
                      <w:r w:rsidR="00CF57AB">
                        <w:t>Many of these materials only become a health risk when they are disturbed</w:t>
                      </w:r>
                      <w:r w:rsidR="00EB09F8">
                        <w:t xml:space="preserve">, </w:t>
                      </w:r>
                      <w:r w:rsidR="00CE120C">
                        <w:t xml:space="preserve">which includes </w:t>
                      </w:r>
                      <w:r w:rsidR="00EB09F8">
                        <w:t>renovation project</w:t>
                      </w:r>
                      <w:r w:rsidR="00CE120C">
                        <w:t>s</w:t>
                      </w:r>
                      <w:r w:rsidR="00EB09F8">
                        <w:t>. When disturbed, these substances can become airborne</w:t>
                      </w:r>
                      <w:r w:rsidR="009B234C">
                        <w:t xml:space="preserve"> </w:t>
                      </w:r>
                      <w:r w:rsidR="00A55301">
                        <w:t>and</w:t>
                      </w:r>
                      <w:r w:rsidR="009B234C">
                        <w:t xml:space="preserve"> accumulate in dust</w:t>
                      </w:r>
                      <w:r w:rsidR="00BA1CBD">
                        <w:t xml:space="preserve">. </w:t>
                      </w:r>
                      <w:r w:rsidR="00992BFE">
                        <w:t xml:space="preserve">Without proper renovation controls, school occupants can become exposed to these materials </w:t>
                      </w:r>
                      <w:r w:rsidR="00B6787A">
                        <w:t xml:space="preserve">through inhalation and </w:t>
                      </w:r>
                      <w:r w:rsidR="00E75816">
                        <w:t>ingestion</w:t>
                      </w:r>
                      <w:r w:rsidR="00B6787A">
                        <w:t xml:space="preserve"> pathways. </w:t>
                      </w:r>
                    </w:p>
                    <w:p w14:paraId="49CC0AFA" w14:textId="614B09A0" w:rsidR="00E75816" w:rsidRDefault="00E75816" w:rsidP="001434BE">
                      <w:pPr>
                        <w:ind w:left="360" w:hanging="360"/>
                        <w:rPr>
                          <w:rFonts w:ascii="Arial" w:hAnsi="Arial" w:cs="Arial"/>
                          <w:sz w:val="24"/>
                          <w:szCs w:val="28"/>
                        </w:rPr>
                      </w:pPr>
                    </w:p>
                    <w:p w14:paraId="708A2429" w14:textId="25D72E68" w:rsidR="00E75816" w:rsidRDefault="00E75816" w:rsidP="001434BE">
                      <w:pPr>
                        <w:ind w:left="360" w:hanging="360"/>
                        <w:rPr>
                          <w:rFonts w:ascii="Arial" w:hAnsi="Arial" w:cs="Arial"/>
                          <w:sz w:val="24"/>
                          <w:szCs w:val="28"/>
                        </w:rPr>
                      </w:pPr>
                      <w:r>
                        <w:rPr>
                          <w:rFonts w:ascii="Arial" w:hAnsi="Arial" w:cs="Arial"/>
                          <w:sz w:val="24"/>
                          <w:szCs w:val="28"/>
                        </w:rPr>
                        <w:t xml:space="preserve">There are several steps that schools can take to mitigate these risks: </w:t>
                      </w:r>
                    </w:p>
                    <w:p w14:paraId="2449A222" w14:textId="77777777" w:rsidR="00EB09F8" w:rsidRDefault="00EB09F8" w:rsidP="001434BE">
                      <w:pPr>
                        <w:ind w:left="360" w:hanging="360"/>
                        <w:rPr>
                          <w:rFonts w:ascii="Arial" w:hAnsi="Arial" w:cs="Arial"/>
                          <w:sz w:val="24"/>
                          <w:szCs w:val="28"/>
                        </w:rPr>
                      </w:pPr>
                    </w:p>
                    <w:p w14:paraId="740E0374" w14:textId="3FB68B2B" w:rsidR="00DE4E07" w:rsidRDefault="006B4D2E" w:rsidP="00B95DCC">
                      <w:pPr>
                        <w:pStyle w:val="ListParagraph"/>
                        <w:numPr>
                          <w:ilvl w:val="0"/>
                          <w:numId w:val="23"/>
                        </w:numPr>
                      </w:pPr>
                      <w:r w:rsidRPr="00E75816">
                        <w:t xml:space="preserve">Schools should create </w:t>
                      </w:r>
                      <w:r w:rsidR="008B6009">
                        <w:t xml:space="preserve">and maintain </w:t>
                      </w:r>
                      <w:r w:rsidRPr="00E75816">
                        <w:t>an inventory of materials</w:t>
                      </w:r>
                      <w:r w:rsidR="00EB09F8" w:rsidRPr="00E75816">
                        <w:t xml:space="preserve"> </w:t>
                      </w:r>
                      <w:r w:rsidR="006A141B">
                        <w:t xml:space="preserve">that contain </w:t>
                      </w:r>
                      <w:r w:rsidR="00EB09F8" w:rsidRPr="00E75816">
                        <w:t>asbestos, PCBs, lead, and mercury</w:t>
                      </w:r>
                      <w:r w:rsidRPr="00E75816">
                        <w:t xml:space="preserve"> </w:t>
                      </w:r>
                      <w:r w:rsidR="008B6009">
                        <w:t>along with</w:t>
                      </w:r>
                      <w:r w:rsidRPr="00E75816">
                        <w:t xml:space="preserve"> where they are found within the school</w:t>
                      </w:r>
                      <w:r w:rsidR="008B6009">
                        <w:t>.</w:t>
                      </w:r>
                      <w:r w:rsidRPr="00E75816">
                        <w:t xml:space="preserve"> </w:t>
                      </w:r>
                    </w:p>
                    <w:p w14:paraId="63BDC7CA" w14:textId="721FC58B" w:rsidR="008B6009" w:rsidRDefault="00CD28DD" w:rsidP="008B45B5">
                      <w:pPr>
                        <w:pStyle w:val="ListParagraph"/>
                      </w:pPr>
                      <w:r>
                        <w:t xml:space="preserve">Do not disturb any of these materials </w:t>
                      </w:r>
                      <w:r w:rsidR="006A141B">
                        <w:t>unnecessarily</w:t>
                      </w:r>
                      <w:r>
                        <w:t xml:space="preserve">. Many building components which contain these chemicals only become dangerous to health when they are </w:t>
                      </w:r>
                      <w:r w:rsidR="0049330E">
                        <w:t>exposed or moved</w:t>
                      </w:r>
                      <w:r w:rsidR="00FC5DE4">
                        <w:t xml:space="preserve">. For example, </w:t>
                      </w:r>
                      <w:r w:rsidR="00A43E3D">
                        <w:t xml:space="preserve">building occupants will not be exposed to asbestos within insulation until a wall is </w:t>
                      </w:r>
                      <w:r w:rsidR="00942C27">
                        <w:t>opened</w:t>
                      </w:r>
                      <w:r w:rsidR="0049330E">
                        <w:t xml:space="preserve"> and the insulation is disturbed. </w:t>
                      </w:r>
                    </w:p>
                    <w:p w14:paraId="7412BECF" w14:textId="5689958F" w:rsidR="001B29B6" w:rsidRDefault="001B29B6" w:rsidP="008B45B5">
                      <w:pPr>
                        <w:pStyle w:val="ListParagraph"/>
                      </w:pPr>
                      <w:r>
                        <w:t xml:space="preserve">Use the inventory of materials to routinely check to make sure that building components containing these materials are in good condition. </w:t>
                      </w:r>
                      <w:r w:rsidR="00270309">
                        <w:t xml:space="preserve">If they need repair, it is more likely that these substances will be released into the </w:t>
                      </w:r>
                      <w:r w:rsidR="00EB10C1">
                        <w:t>environmen</w:t>
                      </w:r>
                      <w:r w:rsidR="00290FA6">
                        <w:t xml:space="preserve">t. If building components need repair, plan to do so with the proper controls in place. </w:t>
                      </w:r>
                    </w:p>
                    <w:p w14:paraId="7DA5E2CA" w14:textId="203781B0" w:rsidR="00FA500C" w:rsidRDefault="00BC3525" w:rsidP="008B45B5">
                      <w:pPr>
                        <w:pStyle w:val="ListParagraph"/>
                      </w:pPr>
                      <w:r>
                        <w:t xml:space="preserve">When renovating, consider the risks of disrupting any of these materials before starting the project. Plan to </w:t>
                      </w:r>
                      <w:r w:rsidR="00EB57B4">
                        <w:t xml:space="preserve">implement mitigation strategies to protect building occupants. </w:t>
                      </w:r>
                      <w:r w:rsidR="001F42EC">
                        <w:t xml:space="preserve">Mitigation strategies are specific to the contaminant of concern, but cordoning off the </w:t>
                      </w:r>
                      <w:r w:rsidR="00896626">
                        <w:t xml:space="preserve">area under renovation, keeping renovation areas clean, and </w:t>
                      </w:r>
                      <w:r w:rsidR="00416D47">
                        <w:t xml:space="preserve">planning renovation projects for </w:t>
                      </w:r>
                      <w:r w:rsidR="00C25306">
                        <w:t xml:space="preserve">times when the building has fewer occupants (i.e., summer) are good practices. </w:t>
                      </w:r>
                    </w:p>
                    <w:p w14:paraId="37DD5880" w14:textId="59B69566" w:rsidR="00FA500C" w:rsidRDefault="00F36094" w:rsidP="008B45B5">
                      <w:pPr>
                        <w:pStyle w:val="ListParagraph"/>
                      </w:pPr>
                      <w:r>
                        <w:t xml:space="preserve">Before a renovation project starts, create a communication plan for </w:t>
                      </w:r>
                      <w:r w:rsidR="00385851">
                        <w:t xml:space="preserve">informing </w:t>
                      </w:r>
                      <w:r>
                        <w:t>staff</w:t>
                      </w:r>
                      <w:r w:rsidR="000E4195">
                        <w:t xml:space="preserve">, parents, students, and other involved community members. The plan should provide details about the extent of the </w:t>
                      </w:r>
                      <w:r w:rsidR="00D414AD">
                        <w:t>health risks</w:t>
                      </w:r>
                      <w:r w:rsidR="000E4195">
                        <w:t xml:space="preserve"> posed by the project, </w:t>
                      </w:r>
                      <w:r w:rsidR="00D414AD">
                        <w:t xml:space="preserve">as well as an outline of the mitigation procedures that will be used to protect those on the school campus. </w:t>
                      </w:r>
                      <w:r w:rsidR="00385851">
                        <w:t xml:space="preserve">The communication plan should also include </w:t>
                      </w:r>
                      <w:r w:rsidR="00070634">
                        <w:t xml:space="preserve">contact information and can direct interested parties to further resources explaining the risk posed by legacy building materials. </w:t>
                      </w:r>
                    </w:p>
                    <w:p w14:paraId="34D68C80" w14:textId="15532768" w:rsidR="001434BE" w:rsidRDefault="001434BE" w:rsidP="001434BE">
                      <w:pPr>
                        <w:ind w:left="360" w:hanging="360"/>
                        <w:rPr>
                          <w:rFonts w:ascii="Arial" w:hAnsi="Arial" w:cs="Arial"/>
                          <w:sz w:val="24"/>
                          <w:szCs w:val="28"/>
                        </w:rPr>
                      </w:pPr>
                    </w:p>
                    <w:p w14:paraId="0EDF9A1B" w14:textId="690CEC0B" w:rsidR="00DE4E07" w:rsidRPr="00E42837" w:rsidRDefault="00DE4E07" w:rsidP="00DE4E07">
                      <w:pPr>
                        <w:ind w:left="360" w:hanging="360"/>
                        <w:rPr>
                          <w:rFonts w:ascii="Arial" w:hAnsi="Arial" w:cs="Arial"/>
                          <w:sz w:val="24"/>
                          <w:szCs w:val="28"/>
                        </w:rPr>
                      </w:pPr>
                    </w:p>
                  </w:txbxContent>
                </v:textbox>
                <w10:wrap type="square" anchorx="margin"/>
              </v:shape>
            </w:pict>
          </mc:Fallback>
        </mc:AlternateContent>
      </w:r>
    </w:p>
    <w:p w14:paraId="34CD79A4" w14:textId="77777777" w:rsidR="00F73F00" w:rsidRDefault="00F73F00">
      <w:pPr>
        <w:rPr>
          <w:rFonts w:ascii="Arial" w:hAnsi="Arial" w:cs="Arial"/>
          <w:b/>
          <w:bCs/>
          <w:color w:val="FFFFFF" w:themeColor="background1"/>
          <w:sz w:val="26"/>
          <w:szCs w:val="22"/>
        </w:rPr>
      </w:pPr>
      <w:r>
        <w:br w:type="page"/>
      </w:r>
    </w:p>
    <w:p w14:paraId="70699AA3" w14:textId="75893417" w:rsidR="00817CF7" w:rsidRPr="006B757B" w:rsidRDefault="00C4425A" w:rsidP="006B757B">
      <w:pPr>
        <w:pStyle w:val="AirQualitySubheading"/>
      </w:pPr>
      <w:r>
        <w:lastRenderedPageBreak/>
        <w:t>2a(3)</w:t>
      </w:r>
      <w:r>
        <w:tab/>
      </w:r>
      <w:r w:rsidR="00941E49">
        <w:t>Reduc</w:t>
      </w:r>
      <w:r w:rsidR="00597711">
        <w:t>e</w:t>
      </w:r>
      <w:r w:rsidR="00941E49">
        <w:t xml:space="preserve"> Exposure to </w:t>
      </w:r>
      <w:r w:rsidR="00817CF7" w:rsidRPr="006B757B">
        <w:t>Carbon Monoxide</w:t>
      </w:r>
    </w:p>
    <w:p w14:paraId="2E95C023" w14:textId="77777777" w:rsidR="001936BA" w:rsidRDefault="001936BA" w:rsidP="001936BA">
      <w:pPr>
        <w:pStyle w:val="Heading3"/>
      </w:pPr>
      <w:r>
        <w:t>Background</w:t>
      </w:r>
      <w:r w:rsidRPr="0029407F">
        <w:t xml:space="preserve"> </w:t>
      </w:r>
    </w:p>
    <w:p w14:paraId="41F8C17A" w14:textId="3018B573" w:rsidR="001936BA" w:rsidRPr="001046BC" w:rsidRDefault="001936BA" w:rsidP="006D7DE6">
      <w:pPr>
        <w:pStyle w:val="BodyTextFirstIndent"/>
      </w:pPr>
      <w:r w:rsidRPr="001046BC">
        <w:t>Carbon monoxide is a colorless, odorless, tasteless gas that can be deadly at high concentrations. Exposure to carbon monoxide can also produce symptoms such as headache, nausea, dizziness, confusion, fainting, and unconsciousness, or can mimic flu symptoms.</w:t>
      </w:r>
      <w:r>
        <w:fldChar w:fldCharType="begin"/>
      </w:r>
      <w:r w:rsidR="00EF41B9">
        <w:instrText xml:space="preserve"> ADDIN ZOTERO_ITEM CSL_CITATION {"citationID":"ai9luoask4","properties":{"formattedCitation":"\\super 103\\nosupersub{}","plainCitation":"103","noteIndex":0},"citationItems":[{"id":220,"uris":["http://zotero.org/groups/5563646/items/ER4JELEE"],"itemData":{"id":220,"type":"webpage","abstract":"Protect your family from carbon monoxide poisoning.","container-title":"Mass.gov","language":"en","title":"Carbon Monoxide (CO) Safety","URL":"https://www.mass.gov/info-details/carbon-monoxide-co-safety","author":[{"family":"MA Department of Fire Services","given":""}],"accessed":{"date-parts":[["2024",6,19]]}}}],"schema":"https://github.com/citation-style-language/schema/raw/master/csl-citation.json"} </w:instrText>
      </w:r>
      <w:r>
        <w:fldChar w:fldCharType="separate"/>
      </w:r>
      <w:r w:rsidR="00EF41B9" w:rsidRPr="00EF41B9">
        <w:rPr>
          <w:rFonts w:cs="Arial"/>
          <w:vertAlign w:val="superscript"/>
        </w:rPr>
        <w:t>103</w:t>
      </w:r>
      <w:r>
        <w:fldChar w:fldCharType="end"/>
      </w:r>
      <w:r w:rsidRPr="001046BC">
        <w:t xml:space="preserve"> </w:t>
      </w:r>
      <w:r>
        <w:t>Carbon monoxide is one of the leading causes of poisoning deaths in the United States.</w:t>
      </w:r>
      <w:r>
        <w:fldChar w:fldCharType="begin"/>
      </w:r>
      <w:r w:rsidR="00F40F13">
        <w:instrText xml:space="preserve"> ADDIN ZOTERO_ITEM CSL_CITATION {"citationID":"y0fbcXVr","properties":{"formattedCitation":"\\super 103\\nosupersub{}","plainCitation":"103","noteIndex":0},"citationItems":[{"id":220,"uris":["http://zotero.org/groups/5563646/items/ER4JELEE"],"itemData":{"id":220,"type":"webpage","abstract":"Protect your family from carbon monoxide poisoning.","container-title":"Mass.gov","language":"en","title":"Carbon Monoxide (CO) Safety","URL":"https://www.mass.gov/info-details/carbon-monoxide-co-safety","author":[{"family":"MA Department of Fire Services","given":""}],"accessed":{"date-parts":[["2024",6,19]]}}}],"schema":"https://github.com/citation-style-language/schema/raw/master/csl-citation.json"} </w:instrText>
      </w:r>
      <w:r>
        <w:fldChar w:fldCharType="separate"/>
      </w:r>
      <w:r w:rsidR="00F40F13" w:rsidRPr="00F40F13">
        <w:rPr>
          <w:rFonts w:cs="Arial"/>
          <w:vertAlign w:val="superscript"/>
        </w:rPr>
        <w:t>103</w:t>
      </w:r>
      <w:r>
        <w:fldChar w:fldCharType="end"/>
      </w:r>
      <w:r>
        <w:t xml:space="preserve"> It is</w:t>
      </w:r>
      <w:r w:rsidRPr="001046BC">
        <w:t xml:space="preserve"> produced through incomplete combustion of fuels such as gas, oil, kerosene, or wood. </w:t>
      </w:r>
      <w:r>
        <w:t>Older or poorly maintained combustion-based appliances are more likely to produce excess carbon monoxide. Proper ventilation can prevent the accumulation of carbon monoxide in enclosed spaces.</w:t>
      </w:r>
      <w:r>
        <w:fldChar w:fldCharType="begin"/>
      </w:r>
      <w:r w:rsidR="00D77908">
        <w:instrText xml:space="preserve"> ADDIN ZOTERO_ITEM CSL_CITATION {"citationID":"a21jbh5ahg2","properties":{"formattedCitation":"\\super 101,104\\nosupersub{}","plainCitation":"101,104","noteIndex":0},"citationItems":[{"id":10,"uris":["http://zotero.org/groups/5563646/items/RET9EIZX"],"itemData":{"id":10,"type":"report","language":"en","number":"EPA-908-R-12-0001","source":"Zotero","title":"Sensible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D77908" w:rsidRPr="00D77908">
        <w:rPr>
          <w:rFonts w:cs="Arial"/>
          <w:vertAlign w:val="superscript"/>
        </w:rPr>
        <w:t>101,104</w:t>
      </w:r>
      <w:r>
        <w:fldChar w:fldCharType="end"/>
      </w:r>
      <w:r>
        <w:t xml:space="preserve"> Carbon monoxide should not be detectable in a typical indoor environment</w:t>
      </w:r>
      <w:r w:rsidR="56BBBF00">
        <w:t xml:space="preserve"> unless detected outdoors, in which case indoor levels should be less than or equal to those measured outdoors</w:t>
      </w:r>
      <w:r>
        <w:t xml:space="preserve">. </w:t>
      </w:r>
    </w:p>
    <w:p w14:paraId="55E800BA" w14:textId="77777777" w:rsidR="001936BA" w:rsidRDefault="001936BA" w:rsidP="001936BA">
      <w:pPr>
        <w:pStyle w:val="Heading3"/>
      </w:pPr>
      <w:r>
        <w:t>Methods and Best Practices</w:t>
      </w:r>
    </w:p>
    <w:p w14:paraId="4DD8A389" w14:textId="7ECA10AF" w:rsidR="00D94EE4" w:rsidRDefault="00D94EE4" w:rsidP="006D7DE6">
      <w:pPr>
        <w:pStyle w:val="BodyTextFirstIndent"/>
      </w:pPr>
      <w:r>
        <w:fldChar w:fldCharType="begin"/>
      </w:r>
      <w:r>
        <w:instrText xml:space="preserve"> REF _Ref170345884 \h </w:instrText>
      </w:r>
      <w:r>
        <w:fldChar w:fldCharType="separate"/>
      </w:r>
      <w:r w:rsidR="00307850">
        <w:t xml:space="preserve">Table </w:t>
      </w:r>
      <w:r w:rsidR="00307850">
        <w:rPr>
          <w:noProof/>
        </w:rPr>
        <w:t>14</w:t>
      </w:r>
      <w:r>
        <w:fldChar w:fldCharType="end"/>
      </w:r>
      <w:r>
        <w:t xml:space="preserve"> </w:t>
      </w:r>
      <w:r w:rsidRPr="00B40F18">
        <w:t xml:space="preserve">summarizes </w:t>
      </w:r>
      <w:r w:rsidR="00941E49">
        <w:t xml:space="preserve">the </w:t>
      </w:r>
      <w:r>
        <w:t xml:space="preserve">methods and best practices </w:t>
      </w:r>
      <w:r w:rsidRPr="00BE40A8">
        <w:t>for reducing carbon monoxide exposure in schools</w:t>
      </w:r>
      <w:r w:rsidR="00941E49">
        <w:t xml:space="preserve"> </w:t>
      </w:r>
      <w:r w:rsidR="00E552B3">
        <w:t>in two areas: planning and management; and technical interventions</w:t>
      </w:r>
      <w:r w:rsidRPr="00BE40A8">
        <w:t>. For</w:t>
      </w:r>
      <w:r>
        <w:t xml:space="preserve"> each method/best practice, the table presents </w:t>
      </w:r>
      <w:r w:rsidRPr="00B40F18">
        <w:t>the approximate</w:t>
      </w:r>
      <w:r>
        <w:t xml:space="preserve"> capital and operating</w:t>
      </w:r>
      <w:r w:rsidRPr="00B40F18">
        <w:t xml:space="preserve"> cost</w:t>
      </w:r>
      <w:r>
        <w:t>s</w:t>
      </w:r>
      <w:r w:rsidRPr="00B40F18">
        <w:t>,</w:t>
      </w:r>
      <w:r>
        <w:t xml:space="preserve"> implementation timeframe</w:t>
      </w:r>
      <w:r w:rsidRPr="00B40F18">
        <w:t>, and</w:t>
      </w:r>
      <w:r>
        <w:t xml:space="preserve"> ease of</w:t>
      </w:r>
      <w:r w:rsidRPr="00B40F18">
        <w:t xml:space="preserve"> implementation</w:t>
      </w:r>
      <w:r>
        <w:t>.</w:t>
      </w:r>
      <w:r w:rsidR="00E552B3">
        <w:t xml:space="preserve"> </w:t>
      </w:r>
      <w:r w:rsidR="00E552B3" w:rsidRPr="00C43978">
        <w:t xml:space="preserve">See </w:t>
      </w:r>
      <w:hyperlink w:anchor="SectVII_2a3" w:history="1">
        <w:r w:rsidR="0040050E" w:rsidRPr="0040050E">
          <w:rPr>
            <w:rStyle w:val="Hyperlink"/>
          </w:rPr>
          <w:t>Section VII, Objective 2a(3)</w:t>
        </w:r>
      </w:hyperlink>
      <w:r w:rsidR="00E552B3" w:rsidRPr="00C43978">
        <w:t xml:space="preserve"> for additional narrative descriptions of each of the methods and best practices.</w:t>
      </w:r>
    </w:p>
    <w:p w14:paraId="0B069637" w14:textId="168189F7" w:rsidR="00D94EE4" w:rsidRDefault="00D94EE4" w:rsidP="00B30C96">
      <w:pPr>
        <w:pStyle w:val="TableTitle"/>
      </w:pPr>
      <w:bookmarkStart w:id="162" w:name="_Ref170345884"/>
      <w:bookmarkStart w:id="163" w:name="_Toc170345792"/>
      <w:bookmarkStart w:id="164" w:name="_Toc192711680"/>
      <w:bookmarkStart w:id="165" w:name="_Toc193112562"/>
      <w:bookmarkStart w:id="166" w:name="_Toc193116961"/>
      <w:r>
        <w:lastRenderedPageBreak/>
        <w:t xml:space="preserve">Table </w:t>
      </w:r>
      <w:fldSimple w:instr=" SEQ Table \* ARABIC ">
        <w:r w:rsidR="00307850">
          <w:rPr>
            <w:noProof/>
          </w:rPr>
          <w:t>14</w:t>
        </w:r>
      </w:fldSimple>
      <w:bookmarkEnd w:id="162"/>
      <w:r>
        <w:t xml:space="preserve">. </w:t>
      </w:r>
      <w:r w:rsidRPr="00837CC4">
        <w:t>Method</w:t>
      </w:r>
      <w:r w:rsidR="00074426">
        <w:t xml:space="preserve">s and </w:t>
      </w:r>
      <w:r w:rsidR="00D137CF">
        <w:t>B</w:t>
      </w:r>
      <w:r w:rsidR="00AF438E" w:rsidRPr="00837CC4">
        <w:t xml:space="preserve">est </w:t>
      </w:r>
      <w:r w:rsidR="00D137CF">
        <w:t>P</w:t>
      </w:r>
      <w:r w:rsidRPr="00837CC4">
        <w:t xml:space="preserve">ractices </w:t>
      </w:r>
      <w:r w:rsidR="00B972A0">
        <w:t>for</w:t>
      </w:r>
      <w:r w:rsidRPr="00837CC4">
        <w:t xml:space="preserve"> </w:t>
      </w:r>
      <w:r w:rsidR="00D137CF">
        <w:t>R</w:t>
      </w:r>
      <w:r w:rsidRPr="00F549ED">
        <w:t>educ</w:t>
      </w:r>
      <w:r w:rsidR="00941E49">
        <w:t xml:space="preserve">ing </w:t>
      </w:r>
      <w:r w:rsidR="00D137CF">
        <w:t>E</w:t>
      </w:r>
      <w:r w:rsidR="00941E49">
        <w:t>xposure to</w:t>
      </w:r>
      <w:r w:rsidR="000E56AC">
        <w:t xml:space="preserve"> </w:t>
      </w:r>
      <w:r w:rsidR="00D137CF">
        <w:t>C</w:t>
      </w:r>
      <w:r w:rsidRPr="00F549ED">
        <w:t xml:space="preserve">arbon </w:t>
      </w:r>
      <w:r w:rsidR="00D137CF">
        <w:t>M</w:t>
      </w:r>
      <w:r w:rsidRPr="00F549ED">
        <w:t>onoxide</w:t>
      </w:r>
      <w:bookmarkEnd w:id="163"/>
      <w:bookmarkEnd w:id="164"/>
      <w:bookmarkEnd w:id="165"/>
      <w:bookmarkEnd w:id="166"/>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carbon monoxide."/>
      </w:tblPr>
      <w:tblGrid>
        <w:gridCol w:w="495"/>
        <w:gridCol w:w="6071"/>
        <w:gridCol w:w="696"/>
        <w:gridCol w:w="696"/>
        <w:gridCol w:w="696"/>
        <w:gridCol w:w="696"/>
      </w:tblGrid>
      <w:tr w:rsidR="00D94EE4" w:rsidRPr="00C8094D" w14:paraId="51EAAAB0" w14:textId="77777777" w:rsidTr="00A47344">
        <w:trPr>
          <w:cantSplit/>
          <w:trHeight w:val="2420"/>
          <w:tblHeader/>
          <w:jc w:val="center"/>
        </w:trPr>
        <w:tc>
          <w:tcPr>
            <w:tcW w:w="351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16BD6E7C" w14:textId="77777777" w:rsidR="00D94EE4" w:rsidRDefault="00D94EE4" w:rsidP="00A47344">
            <w:pPr>
              <w:pStyle w:val="TableColumnHeader"/>
            </w:pPr>
            <w:r>
              <w:t>Methods/Best Practices</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C444EDB" w14:textId="77777777" w:rsidR="00D94EE4" w:rsidRPr="00C8094D" w:rsidRDefault="00D94EE4">
            <w:pPr>
              <w:pStyle w:val="TableColumnHeader"/>
              <w:jc w:val="left"/>
            </w:pPr>
            <w:r>
              <w:t xml:space="preserve">Capital </w:t>
            </w:r>
            <w:r w:rsidRPr="00C8094D">
              <w:t>Cost</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63921028" w14:textId="77777777" w:rsidR="00D94EE4" w:rsidRDefault="00D94EE4">
            <w:pPr>
              <w:pStyle w:val="TableColumnHeader"/>
              <w:jc w:val="left"/>
            </w:pPr>
            <w:r>
              <w:t>Operating Cost</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582BE3F" w14:textId="77777777" w:rsidR="00D94EE4" w:rsidRPr="00C8094D" w:rsidRDefault="00D94EE4">
            <w:pPr>
              <w:pStyle w:val="TableColumnHeader"/>
              <w:jc w:val="left"/>
            </w:pPr>
            <w:r>
              <w:t xml:space="preserve">Implementation </w:t>
            </w:r>
            <w:r w:rsidRPr="00C8094D">
              <w:t>Timeframe</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3C9706C" w14:textId="77777777" w:rsidR="00D94EE4" w:rsidRPr="00C8094D" w:rsidRDefault="00D94EE4">
            <w:pPr>
              <w:pStyle w:val="TableColumnHeader"/>
              <w:jc w:val="left"/>
            </w:pPr>
            <w:r>
              <w:t xml:space="preserve">Ease of </w:t>
            </w:r>
            <w:r w:rsidRPr="00C8094D">
              <w:t>Implementation</w:t>
            </w:r>
          </w:p>
        </w:tc>
      </w:tr>
      <w:tr w:rsidR="00D94EE4" w:rsidRPr="00C8094D" w14:paraId="5D6D6D98" w14:textId="77777777" w:rsidTr="4E14F620">
        <w:trPr>
          <w:cantSplit/>
          <w:trHeight w:val="255"/>
          <w:tblHeader/>
          <w:jc w:val="center"/>
        </w:trPr>
        <w:tc>
          <w:tcPr>
            <w:tcW w:w="3511" w:type="pct"/>
            <w:gridSpan w:val="2"/>
            <w:tcBorders>
              <w:top w:val="nil"/>
              <w:left w:val="single" w:sz="4" w:space="0" w:color="auto"/>
              <w:bottom w:val="single" w:sz="4" w:space="0" w:color="auto"/>
              <w:right w:val="single" w:sz="4" w:space="0" w:color="auto"/>
            </w:tcBorders>
            <w:shd w:val="clear" w:color="auto" w:fill="1F497D" w:themeFill="text2"/>
          </w:tcPr>
          <w:p w14:paraId="32A2F868" w14:textId="472961ED" w:rsidR="00D94EE4" w:rsidRPr="00276B41" w:rsidRDefault="00D94EE4">
            <w:pPr>
              <w:pStyle w:val="TableRowHeader"/>
            </w:pPr>
            <w:r>
              <w:t xml:space="preserve">Planning and </w:t>
            </w:r>
            <w:r w:rsidR="0036072B">
              <w:t>M</w:t>
            </w:r>
            <w:r>
              <w:t>anagement</w:t>
            </w:r>
          </w:p>
        </w:tc>
        <w:tc>
          <w:tcPr>
            <w:tcW w:w="372" w:type="pct"/>
            <w:tcBorders>
              <w:top w:val="nil"/>
              <w:left w:val="single" w:sz="4" w:space="0" w:color="auto"/>
              <w:bottom w:val="single" w:sz="4" w:space="0" w:color="auto"/>
              <w:right w:val="single" w:sz="4" w:space="0" w:color="auto"/>
            </w:tcBorders>
            <w:shd w:val="clear" w:color="auto" w:fill="1F497D" w:themeFill="text2"/>
            <w:vAlign w:val="center"/>
          </w:tcPr>
          <w:p w14:paraId="312078C9" w14:textId="77777777" w:rsidR="00D94EE4" w:rsidRPr="00276B41"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5C68A0A" w14:textId="77777777" w:rsidR="00D94EE4" w:rsidRPr="00276B41"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CAA855C" w14:textId="77777777" w:rsidR="00D94EE4" w:rsidRPr="00276B41"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4CB118E" w14:textId="77777777" w:rsidR="00D94EE4" w:rsidRPr="00276B41" w:rsidRDefault="00D94EE4">
            <w:pPr>
              <w:pStyle w:val="TableText"/>
            </w:pPr>
          </w:p>
        </w:tc>
      </w:tr>
      <w:tr w:rsidR="00D94EE4" w:rsidRPr="00C8094D" w14:paraId="64143F5B" w14:textId="77777777" w:rsidTr="4E14F620">
        <w:trPr>
          <w:cantSplit/>
          <w:trHeight w:val="255"/>
          <w:tblHeader/>
          <w:jc w:val="center"/>
        </w:trPr>
        <w:tc>
          <w:tcPr>
            <w:tcW w:w="265" w:type="pct"/>
            <w:tcBorders>
              <w:top w:val="nil"/>
              <w:left w:val="single" w:sz="4" w:space="0" w:color="auto"/>
              <w:bottom w:val="single" w:sz="4" w:space="0" w:color="auto"/>
            </w:tcBorders>
            <w:shd w:val="clear" w:color="auto" w:fill="auto"/>
          </w:tcPr>
          <w:p w14:paraId="4A124778" w14:textId="77777777" w:rsidR="00D94EE4" w:rsidRDefault="00D94EE4">
            <w:pPr>
              <w:pStyle w:val="TableText"/>
            </w:pPr>
            <w:r>
              <w:t>(1)</w:t>
            </w:r>
          </w:p>
        </w:tc>
        <w:tc>
          <w:tcPr>
            <w:tcW w:w="3247" w:type="pct"/>
            <w:tcBorders>
              <w:top w:val="single" w:sz="4" w:space="0" w:color="auto"/>
              <w:bottom w:val="single" w:sz="4" w:space="0" w:color="auto"/>
              <w:right w:val="single" w:sz="4" w:space="0" w:color="auto"/>
            </w:tcBorders>
          </w:tcPr>
          <w:p w14:paraId="3A4CABF9" w14:textId="3537A308" w:rsidR="00D94EE4" w:rsidRPr="00D643B4" w:rsidRDefault="00540502">
            <w:pPr>
              <w:pStyle w:val="TableText"/>
            </w:pPr>
            <w:r w:rsidRPr="00540502">
              <w:t>Annually inventory and inspect all gas-burning appliances</w:t>
            </w:r>
          </w:p>
        </w:tc>
        <w:tc>
          <w:tcPr>
            <w:tcW w:w="372" w:type="pct"/>
            <w:tcBorders>
              <w:top w:val="nil"/>
              <w:left w:val="single" w:sz="4" w:space="0" w:color="auto"/>
              <w:bottom w:val="single" w:sz="4" w:space="0" w:color="auto"/>
              <w:right w:val="single" w:sz="4" w:space="0" w:color="auto"/>
            </w:tcBorders>
            <w:shd w:val="clear" w:color="auto" w:fill="auto"/>
            <w:vAlign w:val="center"/>
          </w:tcPr>
          <w:p w14:paraId="2A6E4015" w14:textId="77777777" w:rsidR="00D94EE4" w:rsidRPr="00AF317D" w:rsidRDefault="00D94EE4">
            <w:pPr>
              <w:pStyle w:val="TableText"/>
            </w:pPr>
            <w:r w:rsidRPr="00AF317D">
              <w:t>0</w:t>
            </w:r>
          </w:p>
        </w:tc>
        <w:tc>
          <w:tcPr>
            <w:tcW w:w="372" w:type="pct"/>
            <w:tcBorders>
              <w:top w:val="single" w:sz="4" w:space="0" w:color="auto"/>
              <w:left w:val="single" w:sz="4" w:space="0" w:color="auto"/>
              <w:bottom w:val="single" w:sz="4" w:space="0" w:color="auto"/>
              <w:right w:val="single" w:sz="4" w:space="0" w:color="auto"/>
            </w:tcBorders>
            <w:vAlign w:val="center"/>
          </w:tcPr>
          <w:p w14:paraId="629D2A30"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426854FF" w14:textId="77777777" w:rsidR="00D94EE4" w:rsidRPr="00AF317D" w:rsidRDefault="00D94EE4">
            <w:pPr>
              <w:pStyle w:val="TableText"/>
            </w:pPr>
            <w:r>
              <w:t>2</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37918125" w14:textId="77777777" w:rsidR="00D94EE4" w:rsidRPr="00AF317D" w:rsidRDefault="00D94EE4">
            <w:pPr>
              <w:pStyle w:val="TableText"/>
            </w:pPr>
            <w:r w:rsidRPr="00AF317D">
              <w:t>1</w:t>
            </w:r>
          </w:p>
        </w:tc>
      </w:tr>
      <w:tr w:rsidR="00D94EE4" w:rsidRPr="00C8094D" w14:paraId="1D387C41" w14:textId="77777777" w:rsidTr="4E14F620">
        <w:trPr>
          <w:cantSplit/>
          <w:trHeight w:val="255"/>
          <w:tblHeader/>
          <w:jc w:val="center"/>
        </w:trPr>
        <w:tc>
          <w:tcPr>
            <w:tcW w:w="265" w:type="pct"/>
            <w:tcBorders>
              <w:top w:val="nil"/>
              <w:left w:val="single" w:sz="4" w:space="0" w:color="auto"/>
              <w:bottom w:val="single" w:sz="4" w:space="0" w:color="auto"/>
            </w:tcBorders>
            <w:shd w:val="clear" w:color="auto" w:fill="auto"/>
          </w:tcPr>
          <w:p w14:paraId="77CF7ADE" w14:textId="77777777" w:rsidR="00D94EE4" w:rsidRDefault="00D94EE4">
            <w:pPr>
              <w:pStyle w:val="TableText"/>
            </w:pPr>
            <w:r>
              <w:t>(2)</w:t>
            </w:r>
          </w:p>
        </w:tc>
        <w:tc>
          <w:tcPr>
            <w:tcW w:w="3247" w:type="pct"/>
            <w:tcBorders>
              <w:top w:val="single" w:sz="4" w:space="0" w:color="auto"/>
              <w:bottom w:val="single" w:sz="4" w:space="0" w:color="auto"/>
              <w:right w:val="single" w:sz="4" w:space="0" w:color="auto"/>
            </w:tcBorders>
          </w:tcPr>
          <w:p w14:paraId="6DA99DAB" w14:textId="1C4814F3" w:rsidR="00D94EE4" w:rsidRPr="00D643B4" w:rsidRDefault="00C677DD">
            <w:pPr>
              <w:pStyle w:val="TableText"/>
            </w:pPr>
            <w:r w:rsidRPr="00C677DD">
              <w:t xml:space="preserve">Install carbon monoxide alarms near </w:t>
            </w:r>
            <w:r w:rsidR="006560DB" w:rsidRPr="00C677DD">
              <w:t>fossil</w:t>
            </w:r>
            <w:r w:rsidR="000E56AC">
              <w:t xml:space="preserve"> </w:t>
            </w:r>
            <w:r w:rsidRPr="00C677DD">
              <w:t>fuel-fired appliances</w:t>
            </w:r>
          </w:p>
        </w:tc>
        <w:tc>
          <w:tcPr>
            <w:tcW w:w="372" w:type="pct"/>
            <w:tcBorders>
              <w:top w:val="nil"/>
              <w:left w:val="single" w:sz="4" w:space="0" w:color="auto"/>
              <w:bottom w:val="single" w:sz="4" w:space="0" w:color="auto"/>
              <w:right w:val="single" w:sz="4" w:space="0" w:color="auto"/>
            </w:tcBorders>
            <w:shd w:val="clear" w:color="auto" w:fill="auto"/>
            <w:vAlign w:val="center"/>
          </w:tcPr>
          <w:p w14:paraId="1F128F40"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vAlign w:val="center"/>
          </w:tcPr>
          <w:p w14:paraId="260E53E8"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0EB5B3F7" w14:textId="77777777" w:rsidR="00D94EE4" w:rsidRPr="00AF317D" w:rsidRDefault="00D94EE4">
            <w:pPr>
              <w:pStyle w:val="TableText"/>
            </w:pPr>
            <w:r w:rsidRPr="00AF317D">
              <w:t>1</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6BC5C58C" w14:textId="77777777" w:rsidR="00D94EE4" w:rsidRPr="00AF317D" w:rsidRDefault="00D94EE4">
            <w:pPr>
              <w:pStyle w:val="TableText"/>
            </w:pPr>
            <w:r w:rsidRPr="00AF317D">
              <w:t>1</w:t>
            </w:r>
          </w:p>
        </w:tc>
      </w:tr>
      <w:tr w:rsidR="00D94EE4" w:rsidRPr="00C8094D" w14:paraId="702D6425" w14:textId="77777777" w:rsidTr="4E14F620">
        <w:trPr>
          <w:cantSplit/>
          <w:trHeight w:val="255"/>
          <w:tblHeader/>
          <w:jc w:val="center"/>
        </w:trPr>
        <w:tc>
          <w:tcPr>
            <w:tcW w:w="265" w:type="pct"/>
            <w:tcBorders>
              <w:top w:val="nil"/>
              <w:left w:val="single" w:sz="4" w:space="0" w:color="auto"/>
              <w:bottom w:val="single" w:sz="4" w:space="0" w:color="auto"/>
            </w:tcBorders>
            <w:shd w:val="clear" w:color="auto" w:fill="auto"/>
          </w:tcPr>
          <w:p w14:paraId="1B038EC6" w14:textId="77777777" w:rsidR="00D94EE4" w:rsidRDefault="00D94EE4">
            <w:pPr>
              <w:pStyle w:val="TableText"/>
            </w:pPr>
            <w:r>
              <w:t>(3)</w:t>
            </w:r>
          </w:p>
        </w:tc>
        <w:tc>
          <w:tcPr>
            <w:tcW w:w="3247" w:type="pct"/>
            <w:tcBorders>
              <w:top w:val="single" w:sz="4" w:space="0" w:color="auto"/>
              <w:bottom w:val="single" w:sz="4" w:space="0" w:color="auto"/>
              <w:right w:val="single" w:sz="4" w:space="0" w:color="auto"/>
            </w:tcBorders>
          </w:tcPr>
          <w:p w14:paraId="72890E81" w14:textId="41518A35" w:rsidR="00D94EE4" w:rsidRPr="00D643B4" w:rsidRDefault="00045554">
            <w:pPr>
              <w:pStyle w:val="TableText"/>
            </w:pPr>
            <w:r w:rsidRPr="00045554">
              <w:t>Enforce anti-idling regulations and post signage to provide notice</w:t>
            </w:r>
          </w:p>
        </w:tc>
        <w:tc>
          <w:tcPr>
            <w:tcW w:w="372" w:type="pct"/>
            <w:tcBorders>
              <w:top w:val="nil"/>
              <w:left w:val="single" w:sz="4" w:space="0" w:color="auto"/>
              <w:bottom w:val="single" w:sz="4" w:space="0" w:color="auto"/>
              <w:right w:val="single" w:sz="4" w:space="0" w:color="auto"/>
            </w:tcBorders>
            <w:shd w:val="clear" w:color="auto" w:fill="auto"/>
            <w:vAlign w:val="center"/>
          </w:tcPr>
          <w:p w14:paraId="0EFE5D22" w14:textId="77777777" w:rsidR="00D94EE4" w:rsidRPr="00AF317D" w:rsidRDefault="00D94EE4">
            <w:pPr>
              <w:pStyle w:val="TableText"/>
            </w:pPr>
            <w:r w:rsidRPr="00AF317D">
              <w:t>0</w:t>
            </w:r>
          </w:p>
        </w:tc>
        <w:tc>
          <w:tcPr>
            <w:tcW w:w="372" w:type="pct"/>
            <w:tcBorders>
              <w:top w:val="single" w:sz="4" w:space="0" w:color="auto"/>
              <w:left w:val="single" w:sz="4" w:space="0" w:color="auto"/>
              <w:bottom w:val="single" w:sz="4" w:space="0" w:color="auto"/>
              <w:right w:val="single" w:sz="4" w:space="0" w:color="auto"/>
            </w:tcBorders>
            <w:vAlign w:val="center"/>
          </w:tcPr>
          <w:p w14:paraId="4F4794FA" w14:textId="4A173CF8" w:rsidR="00D94EE4" w:rsidRPr="00AF317D" w:rsidRDefault="006A2178">
            <w:pPr>
              <w:pStyle w:val="TableText"/>
            </w:pPr>
            <w: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082B1A6F" w14:textId="77777777" w:rsidR="00D94EE4" w:rsidRPr="00AF317D" w:rsidRDefault="00D94EE4">
            <w:pPr>
              <w:pStyle w:val="TableText"/>
            </w:pPr>
            <w:r w:rsidRPr="00AF317D">
              <w:t>1</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78A1BF1B" w14:textId="77777777" w:rsidR="00D94EE4" w:rsidRPr="00AF317D" w:rsidRDefault="00D94EE4">
            <w:pPr>
              <w:pStyle w:val="TableText"/>
            </w:pPr>
            <w:r w:rsidRPr="00AF317D">
              <w:t>1</w:t>
            </w:r>
          </w:p>
        </w:tc>
      </w:tr>
      <w:tr w:rsidR="00D94EE4" w:rsidRPr="00C8094D" w14:paraId="7BB0D652" w14:textId="77777777" w:rsidTr="4E14F620">
        <w:trPr>
          <w:cantSplit/>
          <w:trHeight w:val="255"/>
          <w:tblHeader/>
          <w:jc w:val="center"/>
        </w:trPr>
        <w:tc>
          <w:tcPr>
            <w:tcW w:w="3511"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1867CAAB" w14:textId="57CF18B5" w:rsidR="00D94EE4" w:rsidRPr="00276B41" w:rsidRDefault="00D94EE4">
            <w:pPr>
              <w:pStyle w:val="TableRowHeader"/>
            </w:pPr>
            <w:r>
              <w:t xml:space="preserve">Technical </w:t>
            </w:r>
            <w:r w:rsidR="0054774A">
              <w:t>Interventions</w:t>
            </w:r>
          </w:p>
        </w:tc>
        <w:tc>
          <w:tcPr>
            <w:tcW w:w="372" w:type="pct"/>
            <w:tcBorders>
              <w:top w:val="nil"/>
              <w:left w:val="single" w:sz="4" w:space="0" w:color="auto"/>
              <w:bottom w:val="single" w:sz="4" w:space="0" w:color="auto"/>
              <w:right w:val="single" w:sz="4" w:space="0" w:color="auto"/>
            </w:tcBorders>
            <w:shd w:val="clear" w:color="auto" w:fill="1F497D" w:themeFill="text2"/>
            <w:vAlign w:val="center"/>
          </w:tcPr>
          <w:p w14:paraId="60D6B2E6" w14:textId="77777777" w:rsidR="00D94EE4" w:rsidRPr="00AF317D"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79A04E9" w14:textId="77777777" w:rsidR="00D94EE4" w:rsidRPr="00AF317D"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ABB32F0" w14:textId="77777777" w:rsidR="00D94EE4" w:rsidRPr="00AF317D" w:rsidRDefault="00D94EE4">
            <w:pPr>
              <w:pStyle w:val="TableText"/>
            </w:pPr>
          </w:p>
        </w:tc>
        <w:tc>
          <w:tcPr>
            <w:tcW w:w="37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A9E084A" w14:textId="77777777" w:rsidR="00D94EE4" w:rsidRPr="00AF317D" w:rsidRDefault="00D94EE4">
            <w:pPr>
              <w:pStyle w:val="TableText"/>
            </w:pPr>
          </w:p>
        </w:tc>
      </w:tr>
      <w:tr w:rsidR="00D94EE4" w:rsidRPr="00C8094D" w14:paraId="3EA9F3EE" w14:textId="77777777" w:rsidTr="4E14F620">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4A1B0704" w14:textId="77777777" w:rsidR="00D94EE4" w:rsidRPr="00C8094D" w:rsidRDefault="00D94EE4">
            <w:pPr>
              <w:pStyle w:val="TableText"/>
            </w:pPr>
            <w:r>
              <w:t>(4)</w:t>
            </w:r>
          </w:p>
        </w:tc>
        <w:tc>
          <w:tcPr>
            <w:tcW w:w="3247" w:type="pct"/>
            <w:tcBorders>
              <w:top w:val="single" w:sz="4" w:space="0" w:color="auto"/>
              <w:bottom w:val="single" w:sz="4" w:space="0" w:color="auto"/>
              <w:right w:val="single" w:sz="4" w:space="0" w:color="auto"/>
            </w:tcBorders>
          </w:tcPr>
          <w:p w14:paraId="09E90EC8" w14:textId="3DDEC9CC" w:rsidR="00D94EE4" w:rsidRPr="004A169E" w:rsidRDefault="008700F1">
            <w:pPr>
              <w:pStyle w:val="TableText"/>
            </w:pPr>
            <w:r w:rsidRPr="008700F1">
              <w:t>Ensure negative pressure in rooms where carbon monoxide is likely to be generated</w:t>
            </w:r>
          </w:p>
        </w:tc>
        <w:tc>
          <w:tcPr>
            <w:tcW w:w="372" w:type="pct"/>
            <w:tcBorders>
              <w:top w:val="nil"/>
              <w:left w:val="single" w:sz="4" w:space="0" w:color="auto"/>
              <w:bottom w:val="single" w:sz="4" w:space="0" w:color="auto"/>
              <w:right w:val="single" w:sz="4" w:space="0" w:color="auto"/>
            </w:tcBorders>
            <w:shd w:val="clear" w:color="auto" w:fill="auto"/>
            <w:vAlign w:val="center"/>
          </w:tcPr>
          <w:p w14:paraId="4CE8B877"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vAlign w:val="center"/>
          </w:tcPr>
          <w:p w14:paraId="16F994B6"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7FCAB7AC" w14:textId="77777777" w:rsidR="00D94EE4" w:rsidRPr="00AF317D" w:rsidRDefault="00D94EE4">
            <w:pPr>
              <w:pStyle w:val="TableText"/>
            </w:pPr>
            <w:r w:rsidRPr="00AF317D">
              <w:t>2</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1EF52C1C" w14:textId="77777777" w:rsidR="00D94EE4" w:rsidRPr="00AF317D" w:rsidRDefault="00D94EE4">
            <w:pPr>
              <w:pStyle w:val="TableText"/>
            </w:pPr>
            <w:r w:rsidRPr="00AF317D">
              <w:t>2</w:t>
            </w:r>
          </w:p>
        </w:tc>
      </w:tr>
      <w:tr w:rsidR="00D94EE4" w:rsidRPr="00C8094D" w14:paraId="5E72BB42" w14:textId="77777777" w:rsidTr="4E14F620">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18FFCF6C" w14:textId="77777777" w:rsidR="00D94EE4" w:rsidRDefault="00D94EE4">
            <w:pPr>
              <w:pStyle w:val="TableText"/>
            </w:pPr>
            <w:r>
              <w:t>(5)</w:t>
            </w:r>
          </w:p>
        </w:tc>
        <w:tc>
          <w:tcPr>
            <w:tcW w:w="3247" w:type="pct"/>
            <w:tcBorders>
              <w:top w:val="single" w:sz="4" w:space="0" w:color="auto"/>
              <w:bottom w:val="single" w:sz="4" w:space="0" w:color="auto"/>
              <w:right w:val="single" w:sz="4" w:space="0" w:color="auto"/>
            </w:tcBorders>
          </w:tcPr>
          <w:p w14:paraId="28C53389" w14:textId="146EEA59" w:rsidR="00D94EE4" w:rsidRPr="0004004A" w:rsidRDefault="007F4755">
            <w:pPr>
              <w:pStyle w:val="TableText"/>
            </w:pPr>
            <w:r w:rsidRPr="007F4755">
              <w:t>Remove or replace any unvented gas or kerosene space heaters</w:t>
            </w:r>
          </w:p>
        </w:tc>
        <w:tc>
          <w:tcPr>
            <w:tcW w:w="372" w:type="pct"/>
            <w:tcBorders>
              <w:top w:val="nil"/>
              <w:left w:val="single" w:sz="4" w:space="0" w:color="auto"/>
              <w:bottom w:val="single" w:sz="4" w:space="0" w:color="auto"/>
              <w:right w:val="single" w:sz="4" w:space="0" w:color="auto"/>
            </w:tcBorders>
            <w:shd w:val="clear" w:color="auto" w:fill="auto"/>
            <w:vAlign w:val="center"/>
          </w:tcPr>
          <w:p w14:paraId="3056C552" w14:textId="77777777" w:rsidR="00D94EE4" w:rsidRPr="00AF317D" w:rsidRDefault="00D94EE4">
            <w:pPr>
              <w:pStyle w:val="TableText"/>
            </w:pPr>
            <w:r w:rsidRPr="00AF317D">
              <w:t>$</w:t>
            </w:r>
          </w:p>
        </w:tc>
        <w:tc>
          <w:tcPr>
            <w:tcW w:w="372" w:type="pct"/>
            <w:tcBorders>
              <w:top w:val="single" w:sz="4" w:space="0" w:color="auto"/>
              <w:left w:val="single" w:sz="4" w:space="0" w:color="auto"/>
              <w:bottom w:val="single" w:sz="4" w:space="0" w:color="auto"/>
              <w:right w:val="single" w:sz="4" w:space="0" w:color="auto"/>
            </w:tcBorders>
            <w:vAlign w:val="center"/>
          </w:tcPr>
          <w:p w14:paraId="0BDC9742" w14:textId="0F63FAE8" w:rsidR="00D94EE4" w:rsidRPr="00AF317D" w:rsidRDefault="006A2178">
            <w:pPr>
              <w:pStyle w:val="TableText"/>
            </w:pPr>
            <w: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28A388DC" w14:textId="10FE4E5B" w:rsidR="00D94EE4" w:rsidRPr="00AF317D" w:rsidRDefault="6D1CE26D">
            <w:pPr>
              <w:pStyle w:val="TableText"/>
            </w:pPr>
            <w:r>
              <w:t>1</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24C61725" w14:textId="0B401361" w:rsidR="00D94EE4" w:rsidRPr="00AF317D" w:rsidRDefault="6D1CE26D">
            <w:pPr>
              <w:pStyle w:val="TableText"/>
            </w:pPr>
            <w:r>
              <w:t>1</w:t>
            </w:r>
          </w:p>
        </w:tc>
      </w:tr>
      <w:tr w:rsidR="00941E49" w:rsidRPr="00C8094D" w14:paraId="58BD52D1" w14:textId="77777777" w:rsidTr="4E14F620">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5E6EF2A" w14:textId="77777777" w:rsidR="00941E49" w:rsidRPr="00C956A9" w:rsidRDefault="00941E49" w:rsidP="00941E49">
            <w:pPr>
              <w:pStyle w:val="TableKey"/>
            </w:pPr>
            <w:r w:rsidRPr="00C956A9">
              <w:t>Key:</w:t>
            </w:r>
          </w:p>
          <w:p w14:paraId="37721ED6" w14:textId="77777777" w:rsidR="00941E49" w:rsidRPr="00C956A9" w:rsidRDefault="00941E49" w:rsidP="00941E49">
            <w:pPr>
              <w:pStyle w:val="TableKey"/>
            </w:pPr>
            <w:r w:rsidRPr="00C956A9">
              <w:t xml:space="preserve">Cost: 0 = no cost; $ = low cost (&lt;$25k), $$ = medium cost ($25-100k), $$$ = high cost (&gt;$100k) </w:t>
            </w:r>
          </w:p>
          <w:p w14:paraId="3015C5E5" w14:textId="6A057E0F" w:rsidR="00941E49" w:rsidRPr="00C956A9" w:rsidRDefault="00941E49" w:rsidP="00941E49">
            <w:pPr>
              <w:pStyle w:val="TableKey"/>
            </w:pPr>
            <w:r w:rsidRPr="00C956A9">
              <w:t>Implementation Timeframe: 1 = near-term (0-3 months); 2 = medium-term (4-12 months); 3 = long-term (</w:t>
            </w:r>
            <w:r w:rsidR="006A2178">
              <w:t>&gt;</w:t>
            </w:r>
            <w:r w:rsidRPr="00C956A9">
              <w:t>12 months)</w:t>
            </w:r>
          </w:p>
          <w:p w14:paraId="5CFFB486" w14:textId="22F2B949" w:rsidR="00941E49" w:rsidRPr="00941E49" w:rsidRDefault="00941E49" w:rsidP="00941E49">
            <w:pPr>
              <w:pStyle w:val="TableKey"/>
              <w:rPr>
                <w:szCs w:val="22"/>
              </w:rPr>
            </w:pPr>
            <w:r w:rsidRPr="00C956A9">
              <w:t>Ease of Implementation:</w:t>
            </w:r>
            <w:r>
              <w:t xml:space="preserve"> 1= easier to implement; 3 = more difficult to implement</w:t>
            </w:r>
          </w:p>
        </w:tc>
      </w:tr>
    </w:tbl>
    <w:p w14:paraId="47325C80" w14:textId="77777777" w:rsidR="001936BA" w:rsidRPr="00BE40A8" w:rsidRDefault="001936BA" w:rsidP="001936BA">
      <w:pPr>
        <w:pStyle w:val="Heading3"/>
      </w:pPr>
      <w:r w:rsidRPr="00BE40A8">
        <w:t xml:space="preserve">Barriers and Challenges </w:t>
      </w:r>
    </w:p>
    <w:p w14:paraId="72136D71" w14:textId="71725EC8" w:rsidR="001936BA" w:rsidRPr="00105F27" w:rsidRDefault="007B44A7" w:rsidP="006D7DE6">
      <w:pPr>
        <w:pStyle w:val="BodyTextFirstIndent"/>
      </w:pPr>
      <w:r>
        <w:t>Because c</w:t>
      </w:r>
      <w:r w:rsidR="0BB5F049">
        <w:t xml:space="preserve">arbon monoxide is a colorless, odorless gas, </w:t>
      </w:r>
      <w:r>
        <w:t>i</w:t>
      </w:r>
      <w:r w:rsidR="0BB5F049">
        <w:t xml:space="preserve">t </w:t>
      </w:r>
      <w:r>
        <w:t xml:space="preserve">is </w:t>
      </w:r>
      <w:r w:rsidR="0BB5F049">
        <w:t xml:space="preserve">difficult to detect without alarms. Prevention of carbon monoxide exposure in school buildings relies on monitoring carbon monoxide levels and proper ventilation. Potential barriers to preventing carbon monoxide exposure include </w:t>
      </w:r>
      <w:r w:rsidR="007B51BE">
        <w:t xml:space="preserve">a </w:t>
      </w:r>
      <w:r w:rsidR="0BB5F049">
        <w:t xml:space="preserve">lack of financial resources to install or maintain a carbon monoxide monitoring and alarm system or </w:t>
      </w:r>
      <w:r w:rsidR="007B51BE">
        <w:t xml:space="preserve">a </w:t>
      </w:r>
      <w:r w:rsidR="0BB5F049">
        <w:t>lack of financial resources or expertise to maintain</w:t>
      </w:r>
      <w:r w:rsidR="007B51BE">
        <w:t xml:space="preserve"> one properly</w:t>
      </w:r>
      <w:r w:rsidR="62481821">
        <w:t>.</w:t>
      </w:r>
      <w:r w:rsidR="0BB5F049">
        <w:t xml:space="preserve"> </w:t>
      </w:r>
      <w:r w:rsidR="00883A8E">
        <w:t xml:space="preserve">The biggest challenge to reducing carbon monoxide exposure in schools is the location of schools, as proximity to major roadways will increase the likelihood of elevated carbon monoxide. </w:t>
      </w:r>
    </w:p>
    <w:p w14:paraId="3036A80A" w14:textId="1BCAF67A" w:rsidR="00841791" w:rsidRDefault="00C4425A" w:rsidP="00841791">
      <w:pPr>
        <w:pStyle w:val="AirQualitySubheading"/>
      </w:pPr>
      <w:bookmarkStart w:id="167" w:name="ReduceExposure_Mold"/>
      <w:r>
        <w:t>2a(4)</w:t>
      </w:r>
      <w:r>
        <w:tab/>
      </w:r>
      <w:r w:rsidR="00841791">
        <w:t>Reduc</w:t>
      </w:r>
      <w:r w:rsidR="00D62E65">
        <w:t>e</w:t>
      </w:r>
      <w:r w:rsidR="00841791">
        <w:t xml:space="preserve"> Exposure to Mold</w:t>
      </w:r>
      <w:r w:rsidR="00475338">
        <w:t xml:space="preserve"> and Moisture</w:t>
      </w:r>
      <w:bookmarkEnd w:id="167"/>
    </w:p>
    <w:p w14:paraId="3BD953E9" w14:textId="77777777" w:rsidR="00841791" w:rsidRDefault="00841791" w:rsidP="00841791">
      <w:pPr>
        <w:pStyle w:val="Heading3"/>
      </w:pPr>
      <w:bookmarkStart w:id="168" w:name="_Background"/>
      <w:bookmarkStart w:id="169" w:name="_Ref177462242"/>
      <w:bookmarkEnd w:id="168"/>
      <w:r>
        <w:t>Background</w:t>
      </w:r>
      <w:bookmarkEnd w:id="169"/>
    </w:p>
    <w:p w14:paraId="1B74E80A" w14:textId="0FD1F609" w:rsidR="00841791" w:rsidRDefault="00261270" w:rsidP="006D7DE6">
      <w:pPr>
        <w:pStyle w:val="BodyTextFirstIndent"/>
      </w:pPr>
      <w:r>
        <w:t xml:space="preserve">All types of </w:t>
      </w:r>
      <w:r w:rsidR="00D759FD">
        <w:t>molds</w:t>
      </w:r>
      <w:r>
        <w:t xml:space="preserve"> have the potential to cause health effects, although some </w:t>
      </w:r>
      <w:r w:rsidR="00A31089">
        <w:t>are more harmful than others. Health effects can include irritation of the eyes, skin, and respiratory system.</w:t>
      </w:r>
      <w:r w:rsidR="00BB69D4">
        <w:fldChar w:fldCharType="begin"/>
      </w:r>
      <w:r w:rsidR="002C00E2">
        <w:instrText xml:space="preserve"> ADDIN ZOTERO_ITEM CSL_CITATION {"citationID":"a199q1ufik","properties":{"formattedCitation":"\\super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BB69D4">
        <w:fldChar w:fldCharType="separate"/>
      </w:r>
      <w:r w:rsidR="002C00E2" w:rsidRPr="002C00E2">
        <w:rPr>
          <w:rFonts w:cs="Arial"/>
          <w:vertAlign w:val="superscript"/>
        </w:rPr>
        <w:t>101</w:t>
      </w:r>
      <w:r w:rsidR="00BB69D4">
        <w:fldChar w:fldCharType="end"/>
      </w:r>
      <w:r w:rsidR="00A31089">
        <w:t xml:space="preserve"> </w:t>
      </w:r>
      <w:r w:rsidR="004F5B85">
        <w:t>Many people are allergic to mold, and mold can exacerbate asthma.</w:t>
      </w:r>
      <w:r w:rsidR="00D759FD">
        <w:fldChar w:fldCharType="begin"/>
      </w:r>
      <w:r w:rsidR="00691038">
        <w:instrText xml:space="preserve"> ADDIN ZOTERO_ITEM CSL_CITATION {"citationID":"a2mi0v29a2h","properties":{"formattedCitation":"\\super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D759FD">
        <w:fldChar w:fldCharType="separate"/>
      </w:r>
      <w:r w:rsidR="00691038" w:rsidRPr="00691038">
        <w:rPr>
          <w:rFonts w:cs="Arial"/>
          <w:vertAlign w:val="superscript"/>
        </w:rPr>
        <w:t>101</w:t>
      </w:r>
      <w:r w:rsidR="00D759FD">
        <w:fldChar w:fldCharType="end"/>
      </w:r>
      <w:r w:rsidR="004F5B85">
        <w:t xml:space="preserve"> </w:t>
      </w:r>
      <w:r w:rsidR="007B51BE">
        <w:t>M</w:t>
      </w:r>
      <w:r w:rsidR="00D759FD">
        <w:t xml:space="preserve">olds can be found almost everywhere, </w:t>
      </w:r>
      <w:r w:rsidR="007B51BE">
        <w:t xml:space="preserve">and </w:t>
      </w:r>
      <w:r w:rsidR="00D759FD">
        <w:t>they thrive in moist areas.</w:t>
      </w:r>
      <w:r w:rsidR="00D759FD">
        <w:fldChar w:fldCharType="begin"/>
      </w:r>
      <w:r w:rsidR="00633D84">
        <w:instrText xml:space="preserve"> ADDIN ZOTERO_ITEM CSL_CITATION {"citationID":"a1lm136b82i","properties":{"formattedCitation":"\\super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D759FD">
        <w:fldChar w:fldCharType="separate"/>
      </w:r>
      <w:r w:rsidR="00633D84" w:rsidRPr="00633D84">
        <w:rPr>
          <w:rFonts w:cs="Arial"/>
          <w:vertAlign w:val="superscript"/>
        </w:rPr>
        <w:t>101</w:t>
      </w:r>
      <w:r w:rsidR="00D759FD">
        <w:fldChar w:fldCharType="end"/>
      </w:r>
      <w:r w:rsidR="00D759FD">
        <w:t xml:space="preserve"> </w:t>
      </w:r>
      <w:r w:rsidR="00D759FD">
        <w:lastRenderedPageBreak/>
        <w:t xml:space="preserve">The key to controlling mold exposure is to prevent excessive moisture, </w:t>
      </w:r>
      <w:r w:rsidR="6D80707C">
        <w:t>repair</w:t>
      </w:r>
      <w:r w:rsidR="00D759FD">
        <w:t xml:space="preserve"> </w:t>
      </w:r>
      <w:r w:rsidR="00175B8A">
        <w:t>leaks</w:t>
      </w:r>
      <w:r w:rsidR="42DF245F">
        <w:t>,</w:t>
      </w:r>
      <w:r w:rsidR="00175B8A">
        <w:t xml:space="preserve"> </w:t>
      </w:r>
      <w:r w:rsidR="392AF98C">
        <w:t>address</w:t>
      </w:r>
      <w:r w:rsidR="00175B8A">
        <w:t xml:space="preserve"> condensation promptly, and use the appropriate cleaning methods and products. </w:t>
      </w:r>
    </w:p>
    <w:p w14:paraId="7D873E32" w14:textId="20E9AB44" w:rsidR="00016FE1" w:rsidRDefault="00016FE1" w:rsidP="00016FE1">
      <w:pPr>
        <w:pStyle w:val="Heading3"/>
      </w:pPr>
      <w:r>
        <w:t>Methods and Best Practices</w:t>
      </w:r>
    </w:p>
    <w:p w14:paraId="22409948" w14:textId="19718F5F" w:rsidR="00841791" w:rsidRDefault="00B971A0" w:rsidP="006D7DE6">
      <w:pPr>
        <w:pStyle w:val="BodyTextFirstIndent"/>
      </w:pPr>
      <w:r>
        <w:fldChar w:fldCharType="begin"/>
      </w:r>
      <w:r>
        <w:instrText xml:space="preserve"> REF _Ref171628652 \h </w:instrText>
      </w:r>
      <w:r>
        <w:fldChar w:fldCharType="separate"/>
      </w:r>
      <w:r w:rsidR="00307850">
        <w:t xml:space="preserve">Table </w:t>
      </w:r>
      <w:r w:rsidR="00307850">
        <w:rPr>
          <w:noProof/>
        </w:rPr>
        <w:t>15</w:t>
      </w:r>
      <w:r>
        <w:fldChar w:fldCharType="end"/>
      </w:r>
      <w:r>
        <w:t xml:space="preserve"> </w:t>
      </w:r>
      <w:r w:rsidR="00841791" w:rsidRPr="007935AE">
        <w:t xml:space="preserve">summarizes </w:t>
      </w:r>
      <w:r w:rsidR="00841791">
        <w:t xml:space="preserve">the </w:t>
      </w:r>
      <w:r w:rsidR="00841791" w:rsidRPr="007935AE">
        <w:t xml:space="preserve">methods and best practices for </w:t>
      </w:r>
      <w:r w:rsidR="00841791">
        <w:t xml:space="preserve">reducing </w:t>
      </w:r>
      <w:r w:rsidR="002830E2">
        <w:t>exposure to mold</w:t>
      </w:r>
      <w:r w:rsidR="00841791">
        <w:t xml:space="preserve"> in</w:t>
      </w:r>
      <w:r w:rsidR="00841791" w:rsidRPr="007935AE">
        <w:t xml:space="preserve"> schools</w:t>
      </w:r>
      <w:r w:rsidR="00841791">
        <w:t xml:space="preserve"> </w:t>
      </w:r>
      <w:r w:rsidR="0021481E">
        <w:t>during construction, O&amp;M, and remediation</w:t>
      </w:r>
      <w:r w:rsidR="00841791" w:rsidRPr="007935AE">
        <w:t>. For each method and best practice, the table presents the approximate capital and operating costs, implementation timeframe, and ease of implementation.</w:t>
      </w:r>
      <w:r w:rsidR="0021481E">
        <w:t xml:space="preserve"> </w:t>
      </w:r>
      <w:r w:rsidR="0021481E" w:rsidRPr="00C43978">
        <w:t xml:space="preserve">See </w:t>
      </w:r>
      <w:hyperlink w:anchor="SectVII_2a4" w:history="1">
        <w:r w:rsidR="0040050E" w:rsidRPr="0040050E">
          <w:rPr>
            <w:rStyle w:val="Hyperlink"/>
          </w:rPr>
          <w:t>Section VII, Objective 2a(4)</w:t>
        </w:r>
      </w:hyperlink>
      <w:r w:rsidR="0021481E" w:rsidRPr="00C43978">
        <w:t xml:space="preserve"> for additional narrative descriptions of each of the methods and best practices.</w:t>
      </w:r>
    </w:p>
    <w:p w14:paraId="2345339A" w14:textId="59469106" w:rsidR="00841791" w:rsidRDefault="00841791" w:rsidP="00B30C96">
      <w:pPr>
        <w:pStyle w:val="TableTitle"/>
      </w:pPr>
      <w:bookmarkStart w:id="170" w:name="_Ref171628652"/>
      <w:bookmarkStart w:id="171" w:name="_Toc192711681"/>
      <w:bookmarkStart w:id="172" w:name="_Toc193112563"/>
      <w:bookmarkStart w:id="173" w:name="_Toc193116962"/>
      <w:r>
        <w:lastRenderedPageBreak/>
        <w:t xml:space="preserve">Table </w:t>
      </w:r>
      <w:fldSimple w:instr=" SEQ Table \* ARABIC ">
        <w:r w:rsidR="00307850">
          <w:rPr>
            <w:noProof/>
          </w:rPr>
          <w:t>15</w:t>
        </w:r>
      </w:fldSimple>
      <w:bookmarkEnd w:id="170"/>
      <w:r>
        <w:t>. Methods</w:t>
      </w:r>
      <w:r w:rsidR="00074426">
        <w:t xml:space="preserve"> and </w:t>
      </w:r>
      <w:r w:rsidR="00D137CF">
        <w:t>B</w:t>
      </w:r>
      <w:r w:rsidR="00AF438E">
        <w:t xml:space="preserve">est </w:t>
      </w:r>
      <w:r w:rsidR="00D137CF">
        <w:t>P</w:t>
      </w:r>
      <w:r>
        <w:t xml:space="preserve">ractices </w:t>
      </w:r>
      <w:r w:rsidR="00B972A0">
        <w:t>for</w:t>
      </w:r>
      <w:r>
        <w:t xml:space="preserve"> </w:t>
      </w:r>
      <w:r w:rsidR="00D137CF">
        <w:t>R</w:t>
      </w:r>
      <w:r w:rsidRPr="000B161A">
        <w:t>educ</w:t>
      </w:r>
      <w:r w:rsidR="00263A6B">
        <w:t>ing</w:t>
      </w:r>
      <w:r w:rsidRPr="000B161A">
        <w:t xml:space="preserve"> </w:t>
      </w:r>
      <w:r w:rsidR="00D137CF">
        <w:t>E</w:t>
      </w:r>
      <w:r w:rsidR="002830E2">
        <w:t xml:space="preserve">xposure to </w:t>
      </w:r>
      <w:r w:rsidR="00D137CF">
        <w:t>M</w:t>
      </w:r>
      <w:r w:rsidR="002830E2">
        <w:t>old</w:t>
      </w:r>
      <w:bookmarkEnd w:id="171"/>
      <w:bookmarkEnd w:id="172"/>
      <w:bookmarkEnd w:id="173"/>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mold."/>
      </w:tblPr>
      <w:tblGrid>
        <w:gridCol w:w="580"/>
        <w:gridCol w:w="6040"/>
        <w:gridCol w:w="615"/>
        <w:gridCol w:w="705"/>
        <w:gridCol w:w="705"/>
        <w:gridCol w:w="705"/>
      </w:tblGrid>
      <w:tr w:rsidR="00841791" w:rsidRPr="00C8094D" w14:paraId="0E89BE2E" w14:textId="77777777" w:rsidTr="006F5AAC">
        <w:trPr>
          <w:cantSplit/>
          <w:trHeight w:val="2420"/>
          <w:tblHeader/>
          <w:jc w:val="center"/>
        </w:trPr>
        <w:tc>
          <w:tcPr>
            <w:tcW w:w="354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30D9699F" w14:textId="77777777" w:rsidR="00841791" w:rsidRDefault="00841791">
            <w:pPr>
              <w:pStyle w:val="TableColumnHeader"/>
            </w:pPr>
            <w:r>
              <w:t>Methods/Best Practices</w:t>
            </w:r>
          </w:p>
        </w:tc>
        <w:tc>
          <w:tcPr>
            <w:tcW w:w="329"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FB5C7F7" w14:textId="77777777" w:rsidR="00841791" w:rsidRPr="00C8094D" w:rsidRDefault="00841791" w:rsidP="006333DF">
            <w:pPr>
              <w:pStyle w:val="TableColumnHeader"/>
              <w:jc w:val="left"/>
            </w:pPr>
            <w:r>
              <w:t xml:space="preserve">Capital </w:t>
            </w:r>
            <w:r w:rsidRPr="00C8094D">
              <w:t>Cost</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1BC501FC" w14:textId="77777777" w:rsidR="00841791" w:rsidRDefault="00841791" w:rsidP="006333DF">
            <w:pPr>
              <w:pStyle w:val="TableColumnHeader"/>
              <w:jc w:val="left"/>
            </w:pPr>
            <w:r>
              <w:t>Operating Cost</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FE9DD50" w14:textId="77777777" w:rsidR="00841791" w:rsidRPr="00C8094D" w:rsidRDefault="00841791" w:rsidP="006333DF">
            <w:pPr>
              <w:pStyle w:val="TableColumnHeader"/>
              <w:jc w:val="left"/>
            </w:pPr>
            <w:r>
              <w:t xml:space="preserve">Implementation </w:t>
            </w:r>
            <w:r w:rsidRPr="00C8094D">
              <w:t>Timeframe</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9DC2BD0" w14:textId="77777777" w:rsidR="00841791" w:rsidRPr="00C8094D" w:rsidRDefault="00841791" w:rsidP="006333DF">
            <w:pPr>
              <w:pStyle w:val="TableColumnHeader"/>
              <w:jc w:val="left"/>
            </w:pPr>
            <w:r>
              <w:t xml:space="preserve">Ease of </w:t>
            </w:r>
            <w:r w:rsidRPr="00C8094D">
              <w:t>Implementation</w:t>
            </w:r>
          </w:p>
        </w:tc>
      </w:tr>
      <w:tr w:rsidR="00841791" w:rsidRPr="00C8094D" w14:paraId="16A33E59" w14:textId="77777777" w:rsidTr="006F5AAC">
        <w:trPr>
          <w:cantSplit/>
          <w:trHeight w:val="255"/>
          <w:tblHeader/>
          <w:jc w:val="center"/>
        </w:trPr>
        <w:tc>
          <w:tcPr>
            <w:tcW w:w="3540" w:type="pct"/>
            <w:gridSpan w:val="2"/>
            <w:tcBorders>
              <w:top w:val="nil"/>
              <w:left w:val="single" w:sz="4" w:space="0" w:color="auto"/>
              <w:bottom w:val="single" w:sz="4" w:space="0" w:color="auto"/>
              <w:right w:val="single" w:sz="4" w:space="0" w:color="auto"/>
            </w:tcBorders>
            <w:shd w:val="clear" w:color="auto" w:fill="1F497D" w:themeFill="text2"/>
          </w:tcPr>
          <w:p w14:paraId="5551A8AD" w14:textId="7FEBA476" w:rsidR="00841791" w:rsidRPr="00276B41" w:rsidRDefault="00351CBA">
            <w:pPr>
              <w:pStyle w:val="TableRowHeader"/>
            </w:pPr>
            <w:r>
              <w:t>Construction</w:t>
            </w:r>
          </w:p>
        </w:tc>
        <w:tc>
          <w:tcPr>
            <w:tcW w:w="329" w:type="pct"/>
            <w:tcBorders>
              <w:top w:val="nil"/>
              <w:left w:val="single" w:sz="4" w:space="0" w:color="auto"/>
              <w:bottom w:val="single" w:sz="4" w:space="0" w:color="auto"/>
              <w:right w:val="single" w:sz="4" w:space="0" w:color="auto"/>
            </w:tcBorders>
            <w:shd w:val="clear" w:color="auto" w:fill="1F497D" w:themeFill="text2"/>
            <w:vAlign w:val="center"/>
          </w:tcPr>
          <w:p w14:paraId="38C0D701"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9051941"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3A6AEED"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C918B8C" w14:textId="77777777" w:rsidR="00841791" w:rsidRPr="00276B41" w:rsidRDefault="00841791">
            <w:pPr>
              <w:pStyle w:val="TableText"/>
            </w:pPr>
          </w:p>
        </w:tc>
      </w:tr>
      <w:tr w:rsidR="00841791" w:rsidRPr="00C8094D" w14:paraId="1036C502" w14:textId="77777777" w:rsidTr="006F5AAC">
        <w:trPr>
          <w:cantSplit/>
          <w:trHeight w:val="255"/>
          <w:tblHeader/>
          <w:jc w:val="center"/>
        </w:trPr>
        <w:tc>
          <w:tcPr>
            <w:tcW w:w="310" w:type="pct"/>
            <w:tcBorders>
              <w:top w:val="nil"/>
              <w:left w:val="single" w:sz="4" w:space="0" w:color="auto"/>
              <w:bottom w:val="single" w:sz="4" w:space="0" w:color="auto"/>
            </w:tcBorders>
            <w:shd w:val="clear" w:color="auto" w:fill="auto"/>
          </w:tcPr>
          <w:p w14:paraId="0F9B908F" w14:textId="77777777" w:rsidR="00841791" w:rsidRDefault="00841791">
            <w:pPr>
              <w:pStyle w:val="TableText"/>
            </w:pPr>
            <w:r>
              <w:t>(1)</w:t>
            </w:r>
          </w:p>
        </w:tc>
        <w:tc>
          <w:tcPr>
            <w:tcW w:w="3230" w:type="pct"/>
            <w:tcBorders>
              <w:top w:val="single" w:sz="4" w:space="0" w:color="auto"/>
              <w:bottom w:val="single" w:sz="4" w:space="0" w:color="auto"/>
              <w:right w:val="single" w:sz="4" w:space="0" w:color="auto"/>
            </w:tcBorders>
          </w:tcPr>
          <w:p w14:paraId="5E058894" w14:textId="1C92E01B" w:rsidR="00841791" w:rsidRDefault="00A90C60">
            <w:pPr>
              <w:pStyle w:val="TableText"/>
            </w:pPr>
            <w:r w:rsidRPr="00A90C60">
              <w:t>Choose materials that will control moisture</w:t>
            </w:r>
          </w:p>
        </w:tc>
        <w:tc>
          <w:tcPr>
            <w:tcW w:w="329" w:type="pct"/>
            <w:tcBorders>
              <w:top w:val="nil"/>
              <w:left w:val="single" w:sz="4" w:space="0" w:color="auto"/>
              <w:bottom w:val="single" w:sz="4" w:space="0" w:color="auto"/>
              <w:right w:val="single" w:sz="4" w:space="0" w:color="auto"/>
            </w:tcBorders>
            <w:shd w:val="clear" w:color="auto" w:fill="auto"/>
            <w:vAlign w:val="center"/>
          </w:tcPr>
          <w:p w14:paraId="15556C50" w14:textId="187BE6CC" w:rsidR="00841791" w:rsidRPr="00C8094D" w:rsidRDefault="000E40BE">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0928E4AD" w14:textId="6451E4AB" w:rsidR="00841791" w:rsidRPr="00C8094D" w:rsidRDefault="000E40BE">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0D96963" w14:textId="7BEA0FA9" w:rsidR="00841791" w:rsidRPr="00C8094D" w:rsidRDefault="000E40BE">
            <w:pPr>
              <w:pStyle w:val="TableText"/>
            </w:pPr>
            <w:r>
              <w:t>3</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FACB8B5" w14:textId="5D67D163" w:rsidR="00841791" w:rsidRPr="00C8094D" w:rsidRDefault="000E40BE">
            <w:pPr>
              <w:pStyle w:val="TableText"/>
            </w:pPr>
            <w:r>
              <w:t>1</w:t>
            </w:r>
          </w:p>
        </w:tc>
      </w:tr>
      <w:tr w:rsidR="00351CBA" w:rsidRPr="00C8094D" w14:paraId="2B2A4731"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6DA653A" w14:textId="59087B54" w:rsidR="00351CBA" w:rsidRDefault="00F7237E">
            <w:pPr>
              <w:pStyle w:val="TableText"/>
            </w:pPr>
            <w:r>
              <w:t>(</w:t>
            </w:r>
            <w:r w:rsidR="004F207D">
              <w:t>2</w:t>
            </w:r>
            <w:r>
              <w:t>)</w:t>
            </w:r>
          </w:p>
        </w:tc>
        <w:tc>
          <w:tcPr>
            <w:tcW w:w="3230" w:type="pct"/>
            <w:tcBorders>
              <w:top w:val="single" w:sz="4" w:space="0" w:color="auto"/>
              <w:bottom w:val="single" w:sz="4" w:space="0" w:color="auto"/>
              <w:right w:val="single" w:sz="4" w:space="0" w:color="auto"/>
            </w:tcBorders>
          </w:tcPr>
          <w:p w14:paraId="436A4ABF" w14:textId="71FDC676" w:rsidR="00351CBA" w:rsidRDefault="00A82DDC">
            <w:pPr>
              <w:pStyle w:val="TableText"/>
            </w:pPr>
            <w:r w:rsidRPr="00A82DDC">
              <w:t>Seal unwanted openings and leaks in the building envelope</w:t>
            </w:r>
          </w:p>
        </w:tc>
        <w:tc>
          <w:tcPr>
            <w:tcW w:w="329" w:type="pct"/>
            <w:tcBorders>
              <w:top w:val="nil"/>
              <w:left w:val="single" w:sz="4" w:space="0" w:color="auto"/>
              <w:bottom w:val="single" w:sz="4" w:space="0" w:color="auto"/>
              <w:right w:val="single" w:sz="4" w:space="0" w:color="auto"/>
            </w:tcBorders>
            <w:shd w:val="clear" w:color="auto" w:fill="auto"/>
            <w:vAlign w:val="center"/>
          </w:tcPr>
          <w:p w14:paraId="5FC251B5" w14:textId="27410EEF" w:rsidR="00351CBA" w:rsidRPr="00C8094D" w:rsidRDefault="000E40BE">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3CC5822B" w14:textId="05E69E20" w:rsidR="00351CBA" w:rsidRPr="00C8094D" w:rsidRDefault="000E40BE">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01F774E" w14:textId="7B4CE70C" w:rsidR="00351CBA" w:rsidRPr="00C8094D" w:rsidRDefault="000E40BE">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23089FB" w14:textId="24A8267A" w:rsidR="00351CBA" w:rsidRPr="00C8094D" w:rsidRDefault="000E40BE">
            <w:pPr>
              <w:pStyle w:val="TableText"/>
            </w:pPr>
            <w:r>
              <w:t>1</w:t>
            </w:r>
          </w:p>
        </w:tc>
      </w:tr>
      <w:tr w:rsidR="00FF0AE4" w:rsidRPr="00C8094D" w14:paraId="2EA6B9BF"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C3042F8" w14:textId="29E8724D" w:rsidR="00FF0AE4" w:rsidRDefault="00F7237E">
            <w:pPr>
              <w:pStyle w:val="TableText"/>
            </w:pPr>
            <w:r>
              <w:t>(</w:t>
            </w:r>
            <w:r w:rsidR="004F207D">
              <w:t>3</w:t>
            </w:r>
            <w:r>
              <w:t>)</w:t>
            </w:r>
          </w:p>
        </w:tc>
        <w:tc>
          <w:tcPr>
            <w:tcW w:w="3230" w:type="pct"/>
            <w:tcBorders>
              <w:top w:val="single" w:sz="4" w:space="0" w:color="auto"/>
              <w:bottom w:val="single" w:sz="4" w:space="0" w:color="auto"/>
              <w:right w:val="single" w:sz="4" w:space="0" w:color="auto"/>
            </w:tcBorders>
          </w:tcPr>
          <w:p w14:paraId="7285FB4F" w14:textId="0BBD1889" w:rsidR="00FF0AE4" w:rsidRDefault="00142BBC">
            <w:pPr>
              <w:pStyle w:val="TableText"/>
            </w:pPr>
            <w:r w:rsidRPr="00142BBC">
              <w:t>Keep building materials dry to prevent the growth of mold and bacteria</w:t>
            </w:r>
          </w:p>
        </w:tc>
        <w:tc>
          <w:tcPr>
            <w:tcW w:w="329" w:type="pct"/>
            <w:tcBorders>
              <w:top w:val="nil"/>
              <w:left w:val="single" w:sz="4" w:space="0" w:color="auto"/>
              <w:bottom w:val="single" w:sz="4" w:space="0" w:color="auto"/>
              <w:right w:val="single" w:sz="4" w:space="0" w:color="auto"/>
            </w:tcBorders>
            <w:shd w:val="clear" w:color="auto" w:fill="auto"/>
            <w:vAlign w:val="center"/>
          </w:tcPr>
          <w:p w14:paraId="1906F006" w14:textId="2DB02B4E" w:rsidR="00FF0AE4" w:rsidRPr="00C8094D" w:rsidRDefault="00CF1C5F">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3A32E66E" w14:textId="5A7A21E8" w:rsidR="00FF0AE4" w:rsidRPr="00C8094D"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DBED20B" w14:textId="56E7CDCF" w:rsidR="00FF0AE4" w:rsidRPr="00C8094D" w:rsidRDefault="00CF1C5F">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C8CBFCC" w14:textId="15CF6CA5" w:rsidR="00FF0AE4" w:rsidRPr="00C8094D" w:rsidRDefault="00CF1C5F">
            <w:pPr>
              <w:pStyle w:val="TableText"/>
            </w:pPr>
            <w:r>
              <w:t>1</w:t>
            </w:r>
          </w:p>
        </w:tc>
      </w:tr>
      <w:tr w:rsidR="00841791" w:rsidRPr="00C8094D" w14:paraId="21FD15FD" w14:textId="77777777" w:rsidTr="006F5AAC">
        <w:trPr>
          <w:cantSplit/>
          <w:trHeight w:val="255"/>
          <w:tblHeader/>
          <w:jc w:val="center"/>
        </w:trPr>
        <w:tc>
          <w:tcPr>
            <w:tcW w:w="354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DCA5EEF" w14:textId="356A697D" w:rsidR="00841791" w:rsidRPr="00381EF0" w:rsidRDefault="00142BBC">
            <w:pPr>
              <w:pStyle w:val="TableRowHeader"/>
            </w:pPr>
            <w:r>
              <w:t>O&amp;M</w:t>
            </w:r>
          </w:p>
        </w:tc>
        <w:tc>
          <w:tcPr>
            <w:tcW w:w="329" w:type="pct"/>
            <w:tcBorders>
              <w:top w:val="nil"/>
              <w:left w:val="single" w:sz="4" w:space="0" w:color="auto"/>
              <w:bottom w:val="single" w:sz="4" w:space="0" w:color="auto"/>
              <w:right w:val="single" w:sz="4" w:space="0" w:color="auto"/>
            </w:tcBorders>
            <w:shd w:val="clear" w:color="auto" w:fill="1F497D" w:themeFill="text2"/>
            <w:vAlign w:val="center"/>
          </w:tcPr>
          <w:p w14:paraId="47A8B17E"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DAE113B"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9D7D1D7"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tcPr>
          <w:p w14:paraId="3799CA92" w14:textId="77777777" w:rsidR="00841791" w:rsidRPr="00381EF0" w:rsidRDefault="00841791">
            <w:pPr>
              <w:pStyle w:val="TableText"/>
            </w:pPr>
          </w:p>
        </w:tc>
      </w:tr>
      <w:tr w:rsidR="00841791" w:rsidRPr="00C8094D" w14:paraId="3F8095C1"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05414150" w14:textId="78D0CA51" w:rsidR="00841791" w:rsidRDefault="00841791">
            <w:pPr>
              <w:pStyle w:val="TableText"/>
            </w:pPr>
            <w:r>
              <w:t>(</w:t>
            </w:r>
            <w:r w:rsidR="004F207D">
              <w:t>4</w:t>
            </w:r>
            <w:r>
              <w:t>)</w:t>
            </w:r>
          </w:p>
        </w:tc>
        <w:tc>
          <w:tcPr>
            <w:tcW w:w="3230" w:type="pct"/>
            <w:tcBorders>
              <w:top w:val="single" w:sz="4" w:space="0" w:color="auto"/>
              <w:bottom w:val="single" w:sz="4" w:space="0" w:color="auto"/>
              <w:right w:val="single" w:sz="4" w:space="0" w:color="auto"/>
            </w:tcBorders>
          </w:tcPr>
          <w:p w14:paraId="33734898" w14:textId="0E7ABA4F" w:rsidR="00841791" w:rsidRDefault="009B66EC">
            <w:pPr>
              <w:pStyle w:val="TableText"/>
            </w:pPr>
            <w:r w:rsidRPr="009B66EC">
              <w:t>Maintain interior relative humidity levels below 60 percent</w:t>
            </w:r>
          </w:p>
        </w:tc>
        <w:tc>
          <w:tcPr>
            <w:tcW w:w="329" w:type="pct"/>
            <w:tcBorders>
              <w:top w:val="nil"/>
              <w:left w:val="single" w:sz="4" w:space="0" w:color="auto"/>
              <w:bottom w:val="single" w:sz="4" w:space="0" w:color="auto"/>
              <w:right w:val="single" w:sz="4" w:space="0" w:color="auto"/>
            </w:tcBorders>
            <w:shd w:val="clear" w:color="auto" w:fill="auto"/>
            <w:vAlign w:val="center"/>
          </w:tcPr>
          <w:p w14:paraId="68B4C157" w14:textId="5187C5BD" w:rsidR="00841791" w:rsidRDefault="00CF1C5F">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796A0370" w14:textId="13691286" w:rsidR="00841791"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312E1E9" w14:textId="5130AC20" w:rsidR="00841791" w:rsidRDefault="00CF1C5F">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36719C29" w14:textId="5348273C" w:rsidR="00841791" w:rsidRDefault="00CF1C5F">
            <w:pPr>
              <w:pStyle w:val="TableText"/>
            </w:pPr>
            <w:r>
              <w:t>1</w:t>
            </w:r>
          </w:p>
        </w:tc>
      </w:tr>
      <w:tr w:rsidR="00841791" w:rsidRPr="00C8094D" w14:paraId="2509105C"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2FDE42E" w14:textId="66E233B7" w:rsidR="00841791" w:rsidRDefault="00841791">
            <w:pPr>
              <w:pStyle w:val="TableText"/>
            </w:pPr>
            <w:r>
              <w:t>(</w:t>
            </w:r>
            <w:r w:rsidR="004F207D">
              <w:t>5</w:t>
            </w:r>
            <w:r>
              <w:t>)</w:t>
            </w:r>
          </w:p>
        </w:tc>
        <w:tc>
          <w:tcPr>
            <w:tcW w:w="3230" w:type="pct"/>
            <w:tcBorders>
              <w:top w:val="single" w:sz="4" w:space="0" w:color="auto"/>
              <w:bottom w:val="single" w:sz="4" w:space="0" w:color="auto"/>
              <w:right w:val="single" w:sz="4" w:space="0" w:color="auto"/>
            </w:tcBorders>
          </w:tcPr>
          <w:p w14:paraId="2127951A" w14:textId="3DBFF0D7" w:rsidR="00841791" w:rsidRDefault="00814752">
            <w:pPr>
              <w:pStyle w:val="TableText"/>
            </w:pPr>
            <w:r w:rsidRPr="00814752">
              <w:t>Maintain a properly balanced HVAC system</w:t>
            </w:r>
          </w:p>
        </w:tc>
        <w:tc>
          <w:tcPr>
            <w:tcW w:w="329" w:type="pct"/>
            <w:tcBorders>
              <w:top w:val="nil"/>
              <w:left w:val="single" w:sz="4" w:space="0" w:color="auto"/>
              <w:bottom w:val="single" w:sz="4" w:space="0" w:color="auto"/>
              <w:right w:val="single" w:sz="4" w:space="0" w:color="auto"/>
            </w:tcBorders>
            <w:shd w:val="clear" w:color="auto" w:fill="auto"/>
            <w:vAlign w:val="center"/>
          </w:tcPr>
          <w:p w14:paraId="068FB880" w14:textId="702287E3" w:rsidR="00841791" w:rsidRDefault="00CF1C5F">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52A5C6DD" w14:textId="1C50694B" w:rsidR="00841791" w:rsidRDefault="005917D0">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3CCAE740" w14:textId="0DC9F593" w:rsidR="00841791" w:rsidRDefault="00D73CE8">
            <w:pPr>
              <w:pStyle w:val="TableText"/>
            </w:pPr>
            <w:r>
              <w:t>3</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F16495B" w14:textId="4E6F7654" w:rsidR="00841791" w:rsidRDefault="005917D0">
            <w:pPr>
              <w:pStyle w:val="TableText"/>
            </w:pPr>
            <w:r>
              <w:t>2</w:t>
            </w:r>
          </w:p>
        </w:tc>
      </w:tr>
      <w:tr w:rsidR="00841791" w:rsidRPr="00C8094D" w14:paraId="0B14AD6F"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67C56D44" w14:textId="48FD81D6" w:rsidR="00841791" w:rsidRDefault="00841791">
            <w:pPr>
              <w:pStyle w:val="TableText"/>
            </w:pPr>
            <w:r>
              <w:t>(</w:t>
            </w:r>
            <w:r w:rsidR="004F207D">
              <w:t>6</w:t>
            </w:r>
            <w:r>
              <w:t>)</w:t>
            </w:r>
          </w:p>
        </w:tc>
        <w:tc>
          <w:tcPr>
            <w:tcW w:w="3230" w:type="pct"/>
            <w:tcBorders>
              <w:top w:val="single" w:sz="4" w:space="0" w:color="auto"/>
              <w:bottom w:val="single" w:sz="4" w:space="0" w:color="auto"/>
              <w:right w:val="single" w:sz="4" w:space="0" w:color="auto"/>
            </w:tcBorders>
          </w:tcPr>
          <w:p w14:paraId="1BFDAD5C" w14:textId="68F49A50" w:rsidR="00841791" w:rsidRDefault="005C641C">
            <w:pPr>
              <w:pStyle w:val="TableText"/>
            </w:pPr>
            <w:r w:rsidRPr="005C641C">
              <w:t>Clean any wet or damp areas within 48 hours and promptly repair all observed leaks</w:t>
            </w:r>
          </w:p>
        </w:tc>
        <w:tc>
          <w:tcPr>
            <w:tcW w:w="329" w:type="pct"/>
            <w:tcBorders>
              <w:top w:val="nil"/>
              <w:left w:val="single" w:sz="4" w:space="0" w:color="auto"/>
              <w:bottom w:val="single" w:sz="4" w:space="0" w:color="auto"/>
              <w:right w:val="single" w:sz="4" w:space="0" w:color="auto"/>
            </w:tcBorders>
            <w:shd w:val="clear" w:color="auto" w:fill="auto"/>
            <w:vAlign w:val="center"/>
          </w:tcPr>
          <w:p w14:paraId="6DF06C39" w14:textId="4CB5EEAA" w:rsidR="00841791" w:rsidRDefault="00CF1C5F">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3B74C3B0" w14:textId="7A91C22D" w:rsidR="00841791"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9840FE2" w14:textId="44D3310F" w:rsidR="00841791" w:rsidRDefault="00CF1C5F">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A61F585" w14:textId="750DD7E6" w:rsidR="00841791" w:rsidRDefault="00CF1C5F">
            <w:pPr>
              <w:pStyle w:val="TableText"/>
            </w:pPr>
            <w:r>
              <w:t>1</w:t>
            </w:r>
          </w:p>
        </w:tc>
      </w:tr>
      <w:tr w:rsidR="00841791" w:rsidRPr="00C8094D" w14:paraId="2C101824"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334E450E" w14:textId="5E9A6B66" w:rsidR="00841791" w:rsidRDefault="00841791">
            <w:pPr>
              <w:pStyle w:val="TableText"/>
            </w:pPr>
            <w:r>
              <w:t>(</w:t>
            </w:r>
            <w:r w:rsidR="004F207D">
              <w:t>7</w:t>
            </w:r>
            <w:r>
              <w:t>)</w:t>
            </w:r>
          </w:p>
        </w:tc>
        <w:tc>
          <w:tcPr>
            <w:tcW w:w="3230" w:type="pct"/>
            <w:tcBorders>
              <w:top w:val="single" w:sz="4" w:space="0" w:color="auto"/>
              <w:bottom w:val="single" w:sz="4" w:space="0" w:color="auto"/>
              <w:right w:val="single" w:sz="4" w:space="0" w:color="auto"/>
            </w:tcBorders>
          </w:tcPr>
          <w:p w14:paraId="5CBBF9BC" w14:textId="6DE7032B" w:rsidR="00841791" w:rsidRDefault="00446181">
            <w:pPr>
              <w:pStyle w:val="TableText"/>
            </w:pPr>
            <w:r w:rsidRPr="00446181">
              <w:t>Perform regular checks for condensation, wet spots, and signs of mold</w:t>
            </w:r>
          </w:p>
        </w:tc>
        <w:tc>
          <w:tcPr>
            <w:tcW w:w="329" w:type="pct"/>
            <w:tcBorders>
              <w:top w:val="nil"/>
              <w:left w:val="single" w:sz="4" w:space="0" w:color="auto"/>
              <w:bottom w:val="single" w:sz="4" w:space="0" w:color="auto"/>
              <w:right w:val="single" w:sz="4" w:space="0" w:color="auto"/>
            </w:tcBorders>
            <w:shd w:val="clear" w:color="auto" w:fill="auto"/>
            <w:vAlign w:val="center"/>
          </w:tcPr>
          <w:p w14:paraId="32687E5C" w14:textId="2F208F63" w:rsidR="00841791" w:rsidRDefault="00CF1C5F">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6DC459D3" w14:textId="0F29941F" w:rsidR="00841791"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0B6DBA8" w14:textId="492423DB" w:rsidR="00841791" w:rsidRDefault="00CF1C5F">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2157401" w14:textId="0A80640D" w:rsidR="00841791" w:rsidRDefault="00CF1C5F">
            <w:pPr>
              <w:pStyle w:val="TableText"/>
            </w:pPr>
            <w:r>
              <w:t>1</w:t>
            </w:r>
          </w:p>
        </w:tc>
      </w:tr>
      <w:tr w:rsidR="0030797B" w:rsidRPr="00C8094D" w14:paraId="14AEDFC1"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7771A5A4" w14:textId="4111E472" w:rsidR="0030797B" w:rsidRDefault="00F7237E">
            <w:pPr>
              <w:pStyle w:val="TableText"/>
            </w:pPr>
            <w:r>
              <w:t>(</w:t>
            </w:r>
            <w:r w:rsidR="004F207D">
              <w:t>8</w:t>
            </w:r>
            <w:r>
              <w:t>)</w:t>
            </w:r>
          </w:p>
        </w:tc>
        <w:tc>
          <w:tcPr>
            <w:tcW w:w="3230" w:type="pct"/>
            <w:tcBorders>
              <w:top w:val="single" w:sz="4" w:space="0" w:color="auto"/>
              <w:bottom w:val="single" w:sz="4" w:space="0" w:color="auto"/>
              <w:right w:val="single" w:sz="4" w:space="0" w:color="auto"/>
            </w:tcBorders>
          </w:tcPr>
          <w:p w14:paraId="5DEC7964" w14:textId="4266DEED" w:rsidR="0030797B" w:rsidRDefault="00837055">
            <w:pPr>
              <w:pStyle w:val="TableText"/>
            </w:pPr>
            <w:r w:rsidRPr="00837055">
              <w:t>Consider using dehumidifiers</w:t>
            </w:r>
          </w:p>
        </w:tc>
        <w:tc>
          <w:tcPr>
            <w:tcW w:w="329" w:type="pct"/>
            <w:tcBorders>
              <w:top w:val="nil"/>
              <w:left w:val="single" w:sz="4" w:space="0" w:color="auto"/>
              <w:bottom w:val="single" w:sz="4" w:space="0" w:color="auto"/>
              <w:right w:val="single" w:sz="4" w:space="0" w:color="auto"/>
            </w:tcBorders>
            <w:shd w:val="clear" w:color="auto" w:fill="auto"/>
            <w:vAlign w:val="center"/>
          </w:tcPr>
          <w:p w14:paraId="53F9D20F" w14:textId="7A8AF1E1" w:rsidR="0030797B"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31FC7665" w14:textId="67FF914D" w:rsidR="0030797B" w:rsidRDefault="00CF1C5F">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3D56DE94" w14:textId="52762D22" w:rsidR="0030797B" w:rsidRDefault="00CF1C5F">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8A59E18" w14:textId="1AAE5C5A" w:rsidR="0030797B" w:rsidRDefault="00CF1C5F">
            <w:pPr>
              <w:pStyle w:val="TableText"/>
            </w:pPr>
            <w:r>
              <w:t>1</w:t>
            </w:r>
          </w:p>
        </w:tc>
      </w:tr>
      <w:tr w:rsidR="00841791" w:rsidRPr="00C8094D" w14:paraId="061C2724" w14:textId="77777777" w:rsidTr="006F5AAC">
        <w:trPr>
          <w:cantSplit/>
          <w:trHeight w:val="255"/>
          <w:tblHeader/>
          <w:jc w:val="center"/>
        </w:trPr>
        <w:tc>
          <w:tcPr>
            <w:tcW w:w="354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07AE563" w14:textId="6C6EBA6E" w:rsidR="00841791" w:rsidRPr="00276B41" w:rsidRDefault="00585F6B">
            <w:pPr>
              <w:pStyle w:val="TableRowHeader"/>
            </w:pPr>
            <w:r>
              <w:t>Remediation</w:t>
            </w:r>
          </w:p>
        </w:tc>
        <w:tc>
          <w:tcPr>
            <w:tcW w:w="329" w:type="pct"/>
            <w:tcBorders>
              <w:top w:val="nil"/>
              <w:left w:val="single" w:sz="4" w:space="0" w:color="auto"/>
              <w:bottom w:val="single" w:sz="4" w:space="0" w:color="auto"/>
              <w:right w:val="single" w:sz="4" w:space="0" w:color="auto"/>
            </w:tcBorders>
            <w:shd w:val="clear" w:color="auto" w:fill="1F497D" w:themeFill="text2"/>
            <w:vAlign w:val="center"/>
          </w:tcPr>
          <w:p w14:paraId="05BEC54F"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2A41FFA"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D6B623D"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BA4A35E" w14:textId="77777777" w:rsidR="00841791" w:rsidRPr="00276B41" w:rsidRDefault="00841791">
            <w:pPr>
              <w:pStyle w:val="TableText"/>
            </w:pPr>
          </w:p>
        </w:tc>
      </w:tr>
      <w:tr w:rsidR="00841791" w:rsidRPr="00C8094D" w14:paraId="790F8FCF"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01164954" w14:textId="0E3257E3" w:rsidR="00841791" w:rsidRPr="00C8094D" w:rsidRDefault="00841791">
            <w:pPr>
              <w:pStyle w:val="TableText"/>
            </w:pPr>
            <w:r>
              <w:t>(</w:t>
            </w:r>
            <w:r w:rsidR="004F207D">
              <w:t>9</w:t>
            </w:r>
            <w:r>
              <w:t>)</w:t>
            </w:r>
          </w:p>
        </w:tc>
        <w:tc>
          <w:tcPr>
            <w:tcW w:w="3230" w:type="pct"/>
            <w:tcBorders>
              <w:top w:val="single" w:sz="4" w:space="0" w:color="auto"/>
              <w:bottom w:val="single" w:sz="4" w:space="0" w:color="auto"/>
              <w:right w:val="single" w:sz="4" w:space="0" w:color="auto"/>
            </w:tcBorders>
          </w:tcPr>
          <w:p w14:paraId="4F07C64D" w14:textId="20C1064E" w:rsidR="00841791" w:rsidRPr="00C8094D" w:rsidRDefault="00F169C6">
            <w:pPr>
              <w:pStyle w:val="TableText"/>
            </w:pPr>
            <w:r w:rsidRPr="00F169C6">
              <w:t>Contain and do not disturb areas with significant mold until they can be remediated</w:t>
            </w:r>
          </w:p>
        </w:tc>
        <w:tc>
          <w:tcPr>
            <w:tcW w:w="329" w:type="pct"/>
            <w:tcBorders>
              <w:top w:val="nil"/>
              <w:left w:val="single" w:sz="4" w:space="0" w:color="auto"/>
              <w:bottom w:val="single" w:sz="4" w:space="0" w:color="auto"/>
              <w:right w:val="single" w:sz="4" w:space="0" w:color="auto"/>
            </w:tcBorders>
            <w:shd w:val="clear" w:color="auto" w:fill="auto"/>
            <w:vAlign w:val="center"/>
          </w:tcPr>
          <w:p w14:paraId="784F46F2" w14:textId="567F07E6" w:rsidR="00841791" w:rsidRPr="00F45120" w:rsidRDefault="00DD3295">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1461A874" w14:textId="625EDDF7" w:rsidR="00841791" w:rsidRPr="00F45120" w:rsidRDefault="00DD3295">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1882B68" w14:textId="6C763DA5" w:rsidR="00841791" w:rsidRPr="00F45120" w:rsidRDefault="00DD3295">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FF5F046" w14:textId="0F27D8E2" w:rsidR="00841791" w:rsidRPr="00F45120" w:rsidRDefault="00DD3295">
            <w:pPr>
              <w:pStyle w:val="TableText"/>
            </w:pPr>
            <w:r>
              <w:t>1</w:t>
            </w:r>
          </w:p>
        </w:tc>
      </w:tr>
      <w:tr w:rsidR="00841791" w:rsidRPr="00C8094D" w14:paraId="758316BA"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650CF075" w14:textId="21C4685B" w:rsidR="00841791" w:rsidRDefault="00841791">
            <w:pPr>
              <w:pStyle w:val="TableText"/>
            </w:pPr>
            <w:r>
              <w:t>(</w:t>
            </w:r>
            <w:r w:rsidR="00F7237E">
              <w:t>1</w:t>
            </w:r>
            <w:r w:rsidR="004F207D">
              <w:t>0</w:t>
            </w:r>
            <w:r>
              <w:t>)</w:t>
            </w:r>
          </w:p>
        </w:tc>
        <w:tc>
          <w:tcPr>
            <w:tcW w:w="3230" w:type="pct"/>
            <w:tcBorders>
              <w:top w:val="single" w:sz="4" w:space="0" w:color="auto"/>
              <w:bottom w:val="single" w:sz="4" w:space="0" w:color="auto"/>
              <w:right w:val="single" w:sz="4" w:space="0" w:color="auto"/>
            </w:tcBorders>
          </w:tcPr>
          <w:p w14:paraId="3C71A6E0" w14:textId="64EACBC7" w:rsidR="00841791" w:rsidRDefault="004E073A">
            <w:pPr>
              <w:pStyle w:val="TableText"/>
            </w:pPr>
            <w:r w:rsidRPr="004E073A">
              <w:t>Clean small areas of mold with proper cleaning supplies</w:t>
            </w:r>
          </w:p>
        </w:tc>
        <w:tc>
          <w:tcPr>
            <w:tcW w:w="329" w:type="pct"/>
            <w:tcBorders>
              <w:top w:val="nil"/>
              <w:left w:val="single" w:sz="4" w:space="0" w:color="auto"/>
              <w:bottom w:val="single" w:sz="4" w:space="0" w:color="auto"/>
              <w:right w:val="single" w:sz="4" w:space="0" w:color="auto"/>
            </w:tcBorders>
            <w:shd w:val="clear" w:color="auto" w:fill="auto"/>
            <w:vAlign w:val="center"/>
          </w:tcPr>
          <w:p w14:paraId="6F1BA834" w14:textId="06B805FC" w:rsidR="00841791" w:rsidRDefault="00DD3295">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1310C203" w14:textId="5CCA4AA5" w:rsidR="00841791" w:rsidRDefault="00DD3295">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4EFAEF5" w14:textId="579E7B53" w:rsidR="00841791" w:rsidRDefault="00DD3295">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A179384" w14:textId="75EE01C1" w:rsidR="00841791" w:rsidRDefault="00DD3295">
            <w:pPr>
              <w:pStyle w:val="TableText"/>
            </w:pPr>
            <w:r>
              <w:t>1</w:t>
            </w:r>
          </w:p>
        </w:tc>
      </w:tr>
      <w:tr w:rsidR="00841791" w:rsidRPr="00C8094D" w14:paraId="22C531D2"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10BCD70" w14:textId="7BA77A95" w:rsidR="00841791" w:rsidRPr="00C8094D" w:rsidRDefault="00841791">
            <w:pPr>
              <w:pStyle w:val="TableText"/>
            </w:pPr>
            <w:r>
              <w:t>(</w:t>
            </w:r>
            <w:r w:rsidR="00F7237E">
              <w:t>1</w:t>
            </w:r>
            <w:r w:rsidR="004F207D">
              <w:t>1</w:t>
            </w:r>
            <w:r>
              <w:t>)</w:t>
            </w:r>
          </w:p>
        </w:tc>
        <w:tc>
          <w:tcPr>
            <w:tcW w:w="3230" w:type="pct"/>
            <w:tcBorders>
              <w:top w:val="single" w:sz="4" w:space="0" w:color="auto"/>
              <w:bottom w:val="single" w:sz="4" w:space="0" w:color="auto"/>
              <w:right w:val="single" w:sz="4" w:space="0" w:color="auto"/>
            </w:tcBorders>
          </w:tcPr>
          <w:p w14:paraId="7CD522DE" w14:textId="013F2CD1" w:rsidR="00841791" w:rsidRDefault="001A787E">
            <w:pPr>
              <w:pStyle w:val="TableText"/>
            </w:pPr>
            <w:r w:rsidRPr="001A787E">
              <w:t>Repair or replace moldy ceiling tiles and carpet</w:t>
            </w:r>
          </w:p>
        </w:tc>
        <w:tc>
          <w:tcPr>
            <w:tcW w:w="329" w:type="pct"/>
            <w:tcBorders>
              <w:top w:val="nil"/>
              <w:left w:val="single" w:sz="4" w:space="0" w:color="auto"/>
              <w:bottom w:val="single" w:sz="4" w:space="0" w:color="auto"/>
              <w:right w:val="single" w:sz="4" w:space="0" w:color="auto"/>
            </w:tcBorders>
            <w:shd w:val="clear" w:color="auto" w:fill="auto"/>
            <w:vAlign w:val="center"/>
          </w:tcPr>
          <w:p w14:paraId="17A78F0B" w14:textId="46C64AD0" w:rsidR="00841791" w:rsidRPr="00F45120" w:rsidRDefault="00DD3295">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12275E28" w14:textId="4030F796" w:rsidR="00841791" w:rsidRPr="00F45120" w:rsidRDefault="00DD3295">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B53F11D" w14:textId="31971028" w:rsidR="00841791" w:rsidRPr="00F45120" w:rsidRDefault="00DD3295">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E558B13" w14:textId="0B53A022" w:rsidR="00841791" w:rsidRPr="00F45120" w:rsidRDefault="00DD3295">
            <w:pPr>
              <w:pStyle w:val="TableText"/>
            </w:pPr>
            <w:r>
              <w:t>1</w:t>
            </w:r>
          </w:p>
        </w:tc>
      </w:tr>
      <w:tr w:rsidR="00841791" w:rsidRPr="00C8094D" w14:paraId="376F452F"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214F792" w14:textId="77777777" w:rsidR="00841791" w:rsidRPr="00FF51E8" w:rsidRDefault="00841791">
            <w:pPr>
              <w:rPr>
                <w:rFonts w:ascii="Arial" w:hAnsi="Arial" w:cs="Arial"/>
                <w:b/>
                <w:bCs/>
                <w:sz w:val="20"/>
                <w:szCs w:val="20"/>
                <w:u w:val="single"/>
              </w:rPr>
            </w:pPr>
            <w:r w:rsidRPr="00FF51E8">
              <w:rPr>
                <w:rFonts w:ascii="Arial" w:hAnsi="Arial" w:cs="Arial"/>
                <w:b/>
                <w:bCs/>
                <w:sz w:val="20"/>
                <w:szCs w:val="20"/>
                <w:u w:val="single"/>
              </w:rPr>
              <w:t>Key:</w:t>
            </w:r>
          </w:p>
          <w:p w14:paraId="796A4AF1" w14:textId="77777777" w:rsidR="00841791" w:rsidRPr="00FF51E8" w:rsidRDefault="00841791">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7DC9F483" w14:textId="74C106FC" w:rsidR="00841791" w:rsidRPr="00FF51E8" w:rsidRDefault="00841791">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6A2178">
              <w:rPr>
                <w:rFonts w:ascii="Arial" w:hAnsi="Arial" w:cs="Arial"/>
                <w:sz w:val="20"/>
                <w:szCs w:val="20"/>
              </w:rPr>
              <w:t>&gt;</w:t>
            </w:r>
            <w:r w:rsidRPr="00FF51E8">
              <w:rPr>
                <w:rFonts w:ascii="Arial" w:hAnsi="Arial" w:cs="Arial"/>
                <w:sz w:val="20"/>
                <w:szCs w:val="20"/>
              </w:rPr>
              <w:t>12 months)</w:t>
            </w:r>
          </w:p>
          <w:p w14:paraId="47B64B30" w14:textId="77777777" w:rsidR="00841791" w:rsidRPr="00FF51E8" w:rsidRDefault="00841791">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0AF5FAF6" w14:textId="77777777" w:rsidR="00841791" w:rsidRDefault="00841791" w:rsidP="00841791">
      <w:pPr>
        <w:pStyle w:val="Heading3"/>
      </w:pPr>
      <w:r>
        <w:t>Barriers and Challenges</w:t>
      </w:r>
    </w:p>
    <w:p w14:paraId="19A95835" w14:textId="66952EB4" w:rsidR="00841791" w:rsidRDefault="008B742D" w:rsidP="006D7DE6">
      <w:pPr>
        <w:pStyle w:val="BodyTextFirstIndent"/>
      </w:pPr>
      <w:r>
        <w:t xml:space="preserve">Mold can present significant challenges in school buildings in Massachusetts. </w:t>
      </w:r>
      <w:r w:rsidR="00C708AB">
        <w:t>Massachusetts has months with</w:t>
      </w:r>
      <w:r w:rsidR="00C677A9">
        <w:t xml:space="preserve"> high humidity and temperatures, and precipitation year-round. </w:t>
      </w:r>
      <w:r w:rsidR="003A064B" w:rsidRPr="003A064B">
        <w:t>Climate change and an increase in extreme heat and humidity will inevitably exacerbate mold problems for schools</w:t>
      </w:r>
      <w:r w:rsidR="003A064B">
        <w:t>.</w:t>
      </w:r>
      <w:r w:rsidR="003A064B" w:rsidRPr="003A064B">
        <w:t xml:space="preserve"> </w:t>
      </w:r>
      <w:r w:rsidR="00A167BF">
        <w:t xml:space="preserve">Many of the schools in Massachusetts </w:t>
      </w:r>
      <w:r w:rsidR="000E3ED6">
        <w:t>are</w:t>
      </w:r>
      <w:r w:rsidR="00A167BF">
        <w:t xml:space="preserve"> older buildings </w:t>
      </w:r>
      <w:r w:rsidR="000E3ED6">
        <w:t xml:space="preserve">with </w:t>
      </w:r>
      <w:r w:rsidR="00A167BF">
        <w:t xml:space="preserve">systems that are </w:t>
      </w:r>
      <w:r w:rsidR="000E3ED6">
        <w:t>in</w:t>
      </w:r>
      <w:r w:rsidR="00A167BF">
        <w:t xml:space="preserve">adequate for </w:t>
      </w:r>
      <w:r w:rsidR="006560DB">
        <w:t>removing</w:t>
      </w:r>
      <w:r w:rsidR="00A167BF">
        <w:t xml:space="preserve"> humidity and need repair to prevent leaks and water intrusion. </w:t>
      </w:r>
      <w:r w:rsidR="00A81B44">
        <w:t>These repairs and system updates carry significant cost</w:t>
      </w:r>
      <w:r w:rsidR="000E3ED6">
        <w:t>s</w:t>
      </w:r>
      <w:r w:rsidR="00A81B44">
        <w:t xml:space="preserve">, which is one of the greatest challenges in preventing mold in Massachusetts </w:t>
      </w:r>
      <w:r w:rsidR="00A81B44">
        <w:lastRenderedPageBreak/>
        <w:t>schools.</w:t>
      </w:r>
      <w:r w:rsidR="00E76BA8">
        <w:t xml:space="preserve"> </w:t>
      </w:r>
      <w:r w:rsidR="00E76BA8" w:rsidRPr="00E76BA8">
        <w:t xml:space="preserve">There is also significant misinformation about the need </w:t>
      </w:r>
      <w:r w:rsidR="00EA35E5">
        <w:t xml:space="preserve">for </w:t>
      </w:r>
      <w:r w:rsidR="00E76BA8" w:rsidRPr="00E76BA8">
        <w:t xml:space="preserve">or efficacy of mold testing or sampling that can potentially result in spending unnecessary resources for sampling that should have </w:t>
      </w:r>
      <w:r w:rsidR="00EA35E5">
        <w:t xml:space="preserve">instead </w:t>
      </w:r>
      <w:r w:rsidR="00E76BA8" w:rsidRPr="00E76BA8">
        <w:t>been directed towards mitigation</w:t>
      </w:r>
      <w:r w:rsidR="00EA35E5">
        <w:t>.</w:t>
      </w:r>
    </w:p>
    <w:p w14:paraId="20359327" w14:textId="17C49DB4" w:rsidR="00841791" w:rsidRDefault="00C4425A" w:rsidP="00841791">
      <w:pPr>
        <w:pStyle w:val="AirQualitySubheading"/>
      </w:pPr>
      <w:bookmarkStart w:id="174" w:name="ReduceExposure_PCBs"/>
      <w:r>
        <w:t>2a(5)</w:t>
      </w:r>
      <w:r>
        <w:tab/>
      </w:r>
      <w:r w:rsidR="00841791">
        <w:t>Reduc</w:t>
      </w:r>
      <w:r w:rsidR="008156B6">
        <w:t>e</w:t>
      </w:r>
      <w:r w:rsidR="00263A6B">
        <w:t xml:space="preserve"> Exposure to </w:t>
      </w:r>
      <w:r w:rsidR="00495E71">
        <w:t>Polychl</w:t>
      </w:r>
      <w:r w:rsidR="00C55447">
        <w:t>orinated Biphenyls (</w:t>
      </w:r>
      <w:r w:rsidR="009F6885">
        <w:t>PCBs</w:t>
      </w:r>
      <w:bookmarkEnd w:id="174"/>
      <w:r w:rsidR="00C55447">
        <w:t>)</w:t>
      </w:r>
    </w:p>
    <w:p w14:paraId="425AF74A" w14:textId="77777777" w:rsidR="00841791" w:rsidRDefault="00841791" w:rsidP="00841791">
      <w:pPr>
        <w:pStyle w:val="Heading3"/>
      </w:pPr>
      <w:r>
        <w:t>Background</w:t>
      </w:r>
    </w:p>
    <w:p w14:paraId="52FA03A6" w14:textId="58482C96" w:rsidR="00BA1879" w:rsidRDefault="00BA1879" w:rsidP="006D7DE6">
      <w:pPr>
        <w:pStyle w:val="BodyTextFirstIndent"/>
      </w:pPr>
      <w:r w:rsidRPr="00BA1879">
        <w:t xml:space="preserve">PCBs are a class of </w:t>
      </w:r>
      <w:r w:rsidR="008B6BD7">
        <w:t>human</w:t>
      </w:r>
      <w:r w:rsidRPr="00BA1879">
        <w:t>-made organic chemicals that consist of over 200 unique compounds (commonly referred to as congeners) that make up numerous mixtures.</w:t>
      </w:r>
      <w:r w:rsidRPr="00BA1879">
        <w:fldChar w:fldCharType="begin"/>
      </w:r>
      <w:r w:rsidR="00085A52">
        <w:instrText xml:space="preserve"> ADDIN ZOTERO_ITEM CSL_CITATION {"citationID":"2xA6RZkO","properties":{"formattedCitation":"\\super 105\\nosupersub{}","plainCitation":"105","noteIndex":0},"citationItems":[{"id":293,"uris":["http://zotero.org/groups/5563646/items/5DHFIPNS"],"itemData":{"id":293,"type":"webpage","abstract":"PCBs are a group of man-made organic chemicals consisting of carbon, hydrogen and chlorine atoms","genre":"Other Policies and Guidance","language":"en","title":"Learn about Polychlorinated Biphenyls","URL":"https://www.epa.gov/pcbs/learn-about-polychlorinated-biphenyls","author":[{"family":"US EPA","given":""}],"accessed":{"date-parts":[["2024",6,25]]},"issued":{"date-parts":[["2024",6,17]]}}}],"schema":"https://github.com/citation-style-language/schema/raw/master/csl-citation.json"} </w:instrText>
      </w:r>
      <w:r w:rsidRPr="00BA1879">
        <w:fldChar w:fldCharType="separate"/>
      </w:r>
      <w:r w:rsidR="00085A52" w:rsidRPr="00085A52">
        <w:rPr>
          <w:rFonts w:cs="Arial"/>
          <w:vertAlign w:val="superscript"/>
        </w:rPr>
        <w:t>105</w:t>
      </w:r>
      <w:r w:rsidRPr="00BA1879">
        <w:fldChar w:fldCharType="end"/>
      </w:r>
      <w:r w:rsidRPr="00BA1879">
        <w:t xml:space="preserve"> At certain levels, PCBs can be hazardous to human health.</w:t>
      </w:r>
      <w:r w:rsidRPr="00BA1879">
        <w:fldChar w:fldCharType="begin"/>
      </w:r>
      <w:r w:rsidR="00C31301">
        <w:instrText xml:space="preserve"> ADDIN ZOTERO_ITEM CSL_CITATION {"citationID":"qu1tYKHM","properties":{"formattedCitation":"\\super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rsidRPr="00BA1879">
        <w:fldChar w:fldCharType="separate"/>
      </w:r>
      <w:r w:rsidR="00C31301" w:rsidRPr="00C31301">
        <w:rPr>
          <w:rFonts w:cs="Arial"/>
          <w:vertAlign w:val="superscript"/>
        </w:rPr>
        <w:t>106</w:t>
      </w:r>
      <w:r w:rsidRPr="00BA1879">
        <w:fldChar w:fldCharType="end"/>
      </w:r>
      <w:r w:rsidRPr="00BA1879">
        <w:t xml:space="preserve"> Numerous U</w:t>
      </w:r>
      <w:r w:rsidR="00336C5A">
        <w:t>.</w:t>
      </w:r>
      <w:r w:rsidRPr="00BA1879">
        <w:t>S</w:t>
      </w:r>
      <w:r w:rsidR="00336C5A">
        <w:t>.</w:t>
      </w:r>
      <w:r w:rsidRPr="00BA1879">
        <w:t xml:space="preserve"> and international health agencies have determined that PCBs are a probable human carcinogen.</w:t>
      </w:r>
      <w:r w:rsidRPr="00BA1879">
        <w:fldChar w:fldCharType="begin"/>
      </w:r>
      <w:r w:rsidR="00A073A1">
        <w:instrText xml:space="preserve"> ADDIN ZOTERO_ITEM CSL_CITATION {"citationID":"rUN3vLTo","properties":{"formattedCitation":"\\super 105\\nosupersub{}","plainCitation":"105","noteIndex":0},"citationItems":[{"id":293,"uris":["http://zotero.org/groups/5563646/items/5DHFIPNS"],"itemData":{"id":293,"type":"webpage","abstract":"PCBs are a group of man-made organic chemicals consisting of carbon, hydrogen and chlorine atoms","genre":"Other Policies and Guidance","language":"en","title":"Learn about Polychlorinated Biphenyls","URL":"https://www.epa.gov/pcbs/learn-about-polychlorinated-biphenyls","author":[{"family":"US EPA","given":""}],"accessed":{"date-parts":[["2024",6,25]]},"issued":{"date-parts":[["2024",6,17]]}}}],"schema":"https://github.com/citation-style-language/schema/raw/master/csl-citation.json"} </w:instrText>
      </w:r>
      <w:r w:rsidRPr="00BA1879">
        <w:fldChar w:fldCharType="separate"/>
      </w:r>
      <w:r w:rsidR="00A073A1" w:rsidRPr="00A073A1">
        <w:rPr>
          <w:rFonts w:cs="Arial"/>
          <w:vertAlign w:val="superscript"/>
        </w:rPr>
        <w:t>105</w:t>
      </w:r>
      <w:r w:rsidRPr="00BA1879">
        <w:fldChar w:fldCharType="end"/>
      </w:r>
      <w:r w:rsidRPr="00BA1879">
        <w:t xml:space="preserve"> Research in humans has found that PCBs are also associated with immune system suppression, reproductive effects, neurological effects in children exposed </w:t>
      </w:r>
      <w:r w:rsidRPr="00BA1879">
        <w:rPr>
          <w:i/>
          <w:iCs/>
        </w:rPr>
        <w:t>in utero</w:t>
      </w:r>
      <w:r w:rsidRPr="00BA1879">
        <w:t>, altered thyroid hormone levels, and cardiovascular effects.</w:t>
      </w:r>
      <w:r w:rsidRPr="00BA1879">
        <w:fldChar w:fldCharType="begin"/>
      </w:r>
      <w:r w:rsidR="005562F9">
        <w:instrText xml:space="preserve"> ADDIN ZOTERO_ITEM CSL_CITATION {"citationID":"ukEv8r3L","properties":{"formattedCitation":"\\super 105\\nosupersub{}","plainCitation":"105","noteIndex":0},"citationItems":[{"id":293,"uris":["http://zotero.org/groups/5563646/items/5DHFIPNS"],"itemData":{"id":293,"type":"webpage","abstract":"PCBs are a group of man-made organic chemicals consisting of carbon, hydrogen and chlorine atoms","genre":"Other Policies and Guidance","language":"en","title":"Learn about Polychlorinated Biphenyls","URL":"https://www.epa.gov/pcbs/learn-about-polychlorinated-biphenyls","author":[{"family":"US EPA","given":""}],"accessed":{"date-parts":[["2024",6,25]]},"issued":{"date-parts":[["2024",6,17]]}}}],"schema":"https://github.com/citation-style-language/schema/raw/master/csl-citation.json"} </w:instrText>
      </w:r>
      <w:r w:rsidRPr="00BA1879">
        <w:fldChar w:fldCharType="separate"/>
      </w:r>
      <w:r w:rsidR="005562F9" w:rsidRPr="005562F9">
        <w:rPr>
          <w:rFonts w:cs="Arial"/>
          <w:vertAlign w:val="superscript"/>
        </w:rPr>
        <w:t>105</w:t>
      </w:r>
      <w:r w:rsidRPr="00BA1879">
        <w:fldChar w:fldCharType="end"/>
      </w:r>
      <w:r w:rsidRPr="00BA1879">
        <w:t xml:space="preserve"> </w:t>
      </w:r>
    </w:p>
    <w:p w14:paraId="608B3888" w14:textId="1A065909" w:rsidR="00BA1879" w:rsidRPr="00BA1879" w:rsidRDefault="00BA1879" w:rsidP="006D7DE6">
      <w:pPr>
        <w:pStyle w:val="BodyTextFirstIndent"/>
      </w:pPr>
      <w:r w:rsidRPr="00BA1879">
        <w:t xml:space="preserve">PCB exposure can be an issue in school buildings, as PCBs were widely used in building materials </w:t>
      </w:r>
      <w:r>
        <w:t>found in</w:t>
      </w:r>
      <w:r w:rsidRPr="00BA1879">
        <w:t xml:space="preserve"> construction and renovations </w:t>
      </w:r>
      <w:r w:rsidR="000E3ED6">
        <w:t>circa</w:t>
      </w:r>
      <w:r w:rsidRPr="00BA1879">
        <w:t xml:space="preserve"> 1950 </w:t>
      </w:r>
      <w:r>
        <w:t>to</w:t>
      </w:r>
      <w:r w:rsidRPr="00BA1879">
        <w:t xml:space="preserve"> 1979.</w:t>
      </w:r>
      <w:r w:rsidRPr="00BA1879">
        <w:fldChar w:fldCharType="begin"/>
      </w:r>
      <w:r w:rsidR="00EE0C05">
        <w:instrText xml:space="preserve"> ADDIN ZOTERO_ITEM CSL_CITATION {"citationID":"JnRlbrvJ","properties":{"formattedCitation":"\\super 106,107\\nosupersub{}","plainCitation":"106,107","noteIndex":0},"citationItems":[{"id":216,"uris":["http://zotero.org/groups/5563646/items/GXPG886H"],"itemData":{"id":216,"type":"webpage","abstract":"Information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218,"uris":["http://zotero.org/groups/5563646/items/2P8TTZFS"],"itemData":{"id":218,"type":"webpage","abstract":"EPA’s guidance for school administrators and building owners, including information about managing PCBs in building materials to help minimize possible exposures to building occupants.","genre":"Other Policies and Guidance","language":"en","title":"Polychlorinated Biphenyls (PCBs) in Building Materials","URL":"https://www.epa.gov/pcbs/polychlorinated-biphenyls-pcbs-building-materials","author":[{"family":"US EPA","given":""}],"accessed":{"date-parts":[["2023",9,11]]},"issued":{"date-parts":[["2023",9,11]]}}}],"schema":"https://github.com/citation-style-language/schema/raw/master/csl-citation.json"} </w:instrText>
      </w:r>
      <w:r w:rsidRPr="00BA1879">
        <w:fldChar w:fldCharType="separate"/>
      </w:r>
      <w:r w:rsidR="00EE0C05" w:rsidRPr="00EE0C05">
        <w:rPr>
          <w:rFonts w:cs="Arial"/>
          <w:vertAlign w:val="superscript"/>
        </w:rPr>
        <w:t>106,107</w:t>
      </w:r>
      <w:r w:rsidRPr="00BA1879">
        <w:fldChar w:fldCharType="end"/>
      </w:r>
      <w:r w:rsidRPr="00BA1879">
        <w:t xml:space="preserve"> </w:t>
      </w:r>
      <w:r w:rsidR="009366CE">
        <w:t xml:space="preserve">PCBs have been widely detected in schools in the northeast region, leading to legislation in Vermont, for example, requiring all schools </w:t>
      </w:r>
      <w:r w:rsidR="006A141B">
        <w:t xml:space="preserve">in the state </w:t>
      </w:r>
      <w:r w:rsidR="009366CE">
        <w:t>built or renovated prior to 1980 to have their air tested for PCBs by 2027.</w:t>
      </w:r>
      <w:r w:rsidR="00FB1C60">
        <w:fldChar w:fldCharType="begin"/>
      </w:r>
      <w:r w:rsidR="0024548D">
        <w:instrText xml:space="preserve"> ADDIN ZOTERO_ITEM CSL_CITATION {"citationID":"a5e59tq23u","properties":{"formattedCitation":"\\super 108\\nosupersub{}","plainCitation":"108","noteIndex":0},"citationItems":[{"id":1088,"uris":["http://zotero.org/groups/5563646/items/TL3SQW58"],"itemData":{"id":1088,"type":"webpage","title":"PCBs in Schools | Department of Environmental Conservation","URL":"https://dec.vermont.gov/waste-management/contaminated-sites/PCBsinSchools","accessed":{"date-parts":[["2024",9,23]]}}}],"schema":"https://github.com/citation-style-language/schema/raw/master/csl-citation.json"} </w:instrText>
      </w:r>
      <w:r w:rsidR="00FB1C60">
        <w:fldChar w:fldCharType="separate"/>
      </w:r>
      <w:r w:rsidR="0024548D" w:rsidRPr="0024548D">
        <w:rPr>
          <w:rFonts w:cs="Arial"/>
          <w:vertAlign w:val="superscript"/>
        </w:rPr>
        <w:t>108</w:t>
      </w:r>
      <w:r w:rsidR="00FB1C60">
        <w:fldChar w:fldCharType="end"/>
      </w:r>
      <w:r w:rsidR="009366CE">
        <w:t xml:space="preserve"> </w:t>
      </w:r>
      <w:r w:rsidRPr="00BA1879">
        <w:t>PCBs are most commonly found in fluorescent light ballasts</w:t>
      </w:r>
      <w:r w:rsidR="006560DB">
        <w:t xml:space="preserve"> (FLBs)</w:t>
      </w:r>
      <w:r w:rsidRPr="00BA1879">
        <w:t xml:space="preserve">, caulking, </w:t>
      </w:r>
      <w:r w:rsidR="001214A1">
        <w:t>and</w:t>
      </w:r>
      <w:r w:rsidR="00C044F9">
        <w:t xml:space="preserve"> </w:t>
      </w:r>
      <w:r w:rsidRPr="00BA1879">
        <w:t>mastic (plant-based resin)</w:t>
      </w:r>
      <w:r w:rsidR="000E3ED6">
        <w:t>; it</w:t>
      </w:r>
      <w:r w:rsidRPr="00BA1879">
        <w:t xml:space="preserve"> </w:t>
      </w:r>
      <w:r w:rsidR="5D1DDBC1">
        <w:t xml:space="preserve">was also </w:t>
      </w:r>
      <w:r w:rsidRPr="00BA1879">
        <w:t>used in tiles or carpets, window glazing, and some adhesives and paints.</w:t>
      </w:r>
      <w:r w:rsidRPr="00BA1879">
        <w:fldChar w:fldCharType="begin"/>
      </w:r>
      <w:r w:rsidR="003C7BF9">
        <w:instrText xml:space="preserve"> ADDIN ZOTERO_ITEM CSL_CITATION {"citationID":"qEKnegh0","properties":{"formattedCitation":"\\super 106,109\\nosupersub{}","plainCitation":"106,109","noteIndex":0},"citationItems":[{"id":216,"uris":["http://zotero.org/groups/5563646/items/GXPG886H"],"itemData":{"id":216,"type":"webpage","abstract":"Information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rsidRPr="00BA1879">
        <w:fldChar w:fldCharType="separate"/>
      </w:r>
      <w:r w:rsidR="003C7BF9" w:rsidRPr="003C7BF9">
        <w:rPr>
          <w:rFonts w:cs="Arial"/>
          <w:vertAlign w:val="superscript"/>
        </w:rPr>
        <w:t>106,109</w:t>
      </w:r>
      <w:r w:rsidRPr="00BA1879">
        <w:fldChar w:fldCharType="end"/>
      </w:r>
      <w:r w:rsidRPr="00BA1879">
        <w:t xml:space="preserve"> Although PCB production was banned in 1979, </w:t>
      </w:r>
      <w:r w:rsidR="0063519D">
        <w:t xml:space="preserve">they are still in the </w:t>
      </w:r>
      <w:r w:rsidRPr="00BA1879">
        <w:t xml:space="preserve">building materials </w:t>
      </w:r>
      <w:r w:rsidR="003178EA">
        <w:t xml:space="preserve">that were installed </w:t>
      </w:r>
      <w:r w:rsidRPr="00BA1879">
        <w:t xml:space="preserve">before 1979 and </w:t>
      </w:r>
      <w:r w:rsidR="009E5464">
        <w:t xml:space="preserve">represent </w:t>
      </w:r>
      <w:r w:rsidRPr="00BA1879">
        <w:t>potential sources of PCB exposure in schools.</w:t>
      </w:r>
      <w:r w:rsidRPr="00BA1879">
        <w:fldChar w:fldCharType="begin"/>
      </w:r>
      <w:r w:rsidR="00382532">
        <w:instrText xml:space="preserve"> ADDIN ZOTERO_ITEM CSL_CITATION {"citationID":"jSOcMciY","properties":{"formattedCitation":"\\super 106,110\\nosupersub{}","plainCitation":"106,110","noteIndex":0},"citationItems":[{"id":216,"uris":["http://zotero.org/groups/5563646/items/GXPG886H"],"itemData":{"id":216,"type":"webpage","abstract":"Information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761","accessed":{"date-parts":[["2024",6,26]]},"issued":{"date-parts":[["1976",10,11]]}}}],"schema":"https://github.com/citation-style-language/schema/raw/master/csl-citation.json"} </w:instrText>
      </w:r>
      <w:r w:rsidRPr="00BA1879">
        <w:fldChar w:fldCharType="separate"/>
      </w:r>
      <w:r w:rsidR="00382532" w:rsidRPr="00382532">
        <w:rPr>
          <w:rFonts w:cs="Arial"/>
          <w:vertAlign w:val="superscript"/>
        </w:rPr>
        <w:t>106,110</w:t>
      </w:r>
      <w:r w:rsidRPr="00BA1879">
        <w:fldChar w:fldCharType="end"/>
      </w:r>
      <w:r w:rsidRPr="00BA1879">
        <w:t xml:space="preserve"> If caulking with PCBs is deteriorating</w:t>
      </w:r>
      <w:r w:rsidR="003E54C5">
        <w:t>,</w:t>
      </w:r>
      <w:r w:rsidRPr="00BA1879">
        <w:t xml:space="preserve"> or light ballasts with PCBs are in disrepair, they may release PCBs into the air</w:t>
      </w:r>
      <w:r w:rsidR="008B6BD7">
        <w:t>,</w:t>
      </w:r>
      <w:r w:rsidRPr="00BA1879">
        <w:t xml:space="preserve"> which could be directly inhaled or may settle </w:t>
      </w:r>
      <w:r w:rsidR="000E3ED6">
        <w:t>onto</w:t>
      </w:r>
      <w:r w:rsidRPr="00BA1879">
        <w:t xml:space="preserve"> dust</w:t>
      </w:r>
      <w:r w:rsidR="009E5464">
        <w:t>. Dust poses both an inhalation risk</w:t>
      </w:r>
      <w:r w:rsidR="00C76574">
        <w:t xml:space="preserve"> (when recirculated back into the air) and an ingestion risk</w:t>
      </w:r>
      <w:r w:rsidR="00135F25">
        <w:t xml:space="preserve"> (</w:t>
      </w:r>
      <w:r w:rsidR="00CB78F2">
        <w:t xml:space="preserve">when </w:t>
      </w:r>
      <w:r w:rsidRPr="00BA1879">
        <w:t>people touch dusty surfaces then touch their mouth or food</w:t>
      </w:r>
      <w:r w:rsidR="00135F25">
        <w:t>)</w:t>
      </w:r>
      <w:r w:rsidRPr="00BA1879">
        <w:t>.</w:t>
      </w:r>
      <w:r w:rsidRPr="00BA1879">
        <w:fldChar w:fldCharType="begin"/>
      </w:r>
      <w:r w:rsidR="004B08E2">
        <w:instrText xml:space="preserve"> ADDIN ZOTERO_ITEM CSL_CITATION {"citationID":"tFA5EvUI","properties":{"formattedCitation":"\\super 106,109\\nosupersub{}","plainCitation":"106,109","noteIndex":0},"citationItems":[{"id":216,"uris":["http://zotero.org/groups/5563646/items/GXPG886H"],"itemData":{"id":216,"type":"webpage","abstract":"Information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rsidRPr="00BA1879">
        <w:fldChar w:fldCharType="separate"/>
      </w:r>
      <w:r w:rsidR="004B08E2" w:rsidRPr="004B08E2">
        <w:rPr>
          <w:rFonts w:cs="Arial"/>
          <w:vertAlign w:val="superscript"/>
        </w:rPr>
        <w:t>106,109</w:t>
      </w:r>
      <w:r w:rsidRPr="00BA1879">
        <w:fldChar w:fldCharType="end"/>
      </w:r>
      <w:r w:rsidRPr="00BA1879">
        <w:t xml:space="preserve"> </w:t>
      </w:r>
    </w:p>
    <w:p w14:paraId="0B8986A6" w14:textId="77777777" w:rsidR="00841791" w:rsidRDefault="00841791" w:rsidP="00841791">
      <w:pPr>
        <w:pStyle w:val="Heading3"/>
      </w:pPr>
      <w:r>
        <w:t>Methods and Best Practices</w:t>
      </w:r>
    </w:p>
    <w:p w14:paraId="0C509EF1" w14:textId="29E77908" w:rsidR="00841791" w:rsidRDefault="00FB2CBB" w:rsidP="006D7DE6">
      <w:pPr>
        <w:pStyle w:val="BodyTextFirstIndent"/>
      </w:pPr>
      <w:r>
        <w:fldChar w:fldCharType="begin"/>
      </w:r>
      <w:r>
        <w:instrText xml:space="preserve"> REF _Ref171628723 \h </w:instrText>
      </w:r>
      <w:r>
        <w:fldChar w:fldCharType="separate"/>
      </w:r>
      <w:r w:rsidR="00307850">
        <w:t xml:space="preserve">Table </w:t>
      </w:r>
      <w:r w:rsidR="00307850">
        <w:rPr>
          <w:noProof/>
        </w:rPr>
        <w:t>16</w:t>
      </w:r>
      <w:r>
        <w:fldChar w:fldCharType="end"/>
      </w:r>
      <w:r>
        <w:t xml:space="preserve"> </w:t>
      </w:r>
      <w:r w:rsidR="00841791" w:rsidRPr="007935AE">
        <w:t xml:space="preserve">summarizes </w:t>
      </w:r>
      <w:r w:rsidR="00841791">
        <w:t xml:space="preserve">the </w:t>
      </w:r>
      <w:r w:rsidR="00841791" w:rsidRPr="007935AE">
        <w:t xml:space="preserve">methods and best practices for </w:t>
      </w:r>
      <w:r w:rsidR="00841791">
        <w:t xml:space="preserve">reducing </w:t>
      </w:r>
      <w:r w:rsidR="009F6885">
        <w:t>exposure to PCBs</w:t>
      </w:r>
      <w:r w:rsidR="00841791">
        <w:t xml:space="preserve"> in</w:t>
      </w:r>
      <w:r w:rsidR="00841791" w:rsidRPr="007935AE">
        <w:t xml:space="preserve"> schools</w:t>
      </w:r>
      <w:r w:rsidR="00841791">
        <w:t xml:space="preserve"> </w:t>
      </w:r>
      <w:r w:rsidR="00B838FB">
        <w:t>across</w:t>
      </w:r>
      <w:r w:rsidR="00120772">
        <w:t xml:space="preserve"> three areas: </w:t>
      </w:r>
      <w:r w:rsidR="00B838FB">
        <w:t>identifying and removing PCBs from schools</w:t>
      </w:r>
      <w:r w:rsidR="00120772">
        <w:t>;</w:t>
      </w:r>
      <w:r w:rsidR="00B838FB">
        <w:t xml:space="preserve"> considerations during renovations and repairs</w:t>
      </w:r>
      <w:r w:rsidR="00120772">
        <w:t>;</w:t>
      </w:r>
      <w:r w:rsidR="00B838FB">
        <w:t xml:space="preserve"> and simple steps to reduce exposure to PCBs found in air and dust</w:t>
      </w:r>
      <w:r w:rsidR="00841791" w:rsidRPr="007935AE">
        <w:t>. For each method and best practice, the table presents the approximate capital and operating costs, implementation timeframe, and ease of implementation.</w:t>
      </w:r>
      <w:r w:rsidR="00120772">
        <w:t xml:space="preserve"> </w:t>
      </w:r>
      <w:r w:rsidR="00120772" w:rsidRPr="00C43978">
        <w:t xml:space="preserve">See </w:t>
      </w:r>
      <w:hyperlink w:anchor="SectVII_2a5" w:history="1">
        <w:r w:rsidR="0040050E" w:rsidRPr="0040050E">
          <w:rPr>
            <w:rStyle w:val="Hyperlink"/>
          </w:rPr>
          <w:t>Section VII, Objective 2a(5)</w:t>
        </w:r>
      </w:hyperlink>
      <w:r w:rsidR="00120772" w:rsidRPr="00C43978">
        <w:t xml:space="preserve"> for additional narrative descriptions of each of the methods and best practices.</w:t>
      </w:r>
    </w:p>
    <w:p w14:paraId="0BEE3BC0" w14:textId="053715DF" w:rsidR="00841791" w:rsidRDefault="00841791" w:rsidP="00B30C96">
      <w:pPr>
        <w:pStyle w:val="TableTitle"/>
      </w:pPr>
      <w:bookmarkStart w:id="175" w:name="_Ref171628723"/>
      <w:bookmarkStart w:id="176" w:name="_Toc192711682"/>
      <w:bookmarkStart w:id="177" w:name="_Toc193112564"/>
      <w:bookmarkStart w:id="178" w:name="_Toc193116963"/>
      <w:r>
        <w:lastRenderedPageBreak/>
        <w:t xml:space="preserve">Table </w:t>
      </w:r>
      <w:fldSimple w:instr=" SEQ Table \* ARABIC ">
        <w:r w:rsidR="00307850">
          <w:rPr>
            <w:noProof/>
          </w:rPr>
          <w:t>16</w:t>
        </w:r>
      </w:fldSimple>
      <w:bookmarkEnd w:id="175"/>
      <w:r>
        <w:t xml:space="preserve">. </w:t>
      </w:r>
      <w:r w:rsidR="00D137CF">
        <w:t>M</w:t>
      </w:r>
      <w:r>
        <w:t>ethods</w:t>
      </w:r>
      <w:r w:rsidR="00074426">
        <w:t xml:space="preserve"> and </w:t>
      </w:r>
      <w:r w:rsidR="00D137CF">
        <w:t>B</w:t>
      </w:r>
      <w:r>
        <w:t xml:space="preserve">est </w:t>
      </w:r>
      <w:r w:rsidR="00D137CF">
        <w:t>P</w:t>
      </w:r>
      <w:r>
        <w:t xml:space="preserve">ractices </w:t>
      </w:r>
      <w:r w:rsidR="00B972A0">
        <w:t>for</w:t>
      </w:r>
      <w:r>
        <w:t xml:space="preserve"> </w:t>
      </w:r>
      <w:r w:rsidR="00D137CF">
        <w:t>R</w:t>
      </w:r>
      <w:r w:rsidRPr="000B161A">
        <w:t>educ</w:t>
      </w:r>
      <w:r w:rsidR="009F6885">
        <w:t>ing</w:t>
      </w:r>
      <w:r w:rsidRPr="000B161A">
        <w:t xml:space="preserve"> </w:t>
      </w:r>
      <w:r w:rsidR="00D137CF">
        <w:t>E</w:t>
      </w:r>
      <w:r w:rsidR="009F6885">
        <w:t>xposure to PCBs</w:t>
      </w:r>
      <w:bookmarkEnd w:id="176"/>
      <w:bookmarkEnd w:id="177"/>
      <w:bookmarkEnd w:id="178"/>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PCBs."/>
      </w:tblPr>
      <w:tblGrid>
        <w:gridCol w:w="580"/>
        <w:gridCol w:w="5950"/>
        <w:gridCol w:w="705"/>
        <w:gridCol w:w="705"/>
        <w:gridCol w:w="705"/>
        <w:gridCol w:w="705"/>
      </w:tblGrid>
      <w:tr w:rsidR="00841791" w:rsidRPr="00C8094D" w14:paraId="578A61A9" w14:textId="77777777" w:rsidTr="00A47344">
        <w:trPr>
          <w:cantSplit/>
          <w:trHeight w:val="2420"/>
          <w:tblHeader/>
          <w:jc w:val="center"/>
        </w:trPr>
        <w:tc>
          <w:tcPr>
            <w:tcW w:w="349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D76F111" w14:textId="77777777" w:rsidR="00841791" w:rsidRDefault="00841791">
            <w:pPr>
              <w:pStyle w:val="TableColumnHeader"/>
            </w:pPr>
            <w:r>
              <w:t>Methods/Best Practices</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70AFB7B" w14:textId="77777777" w:rsidR="00841791" w:rsidRPr="00C8094D" w:rsidRDefault="00841791" w:rsidP="00A47344">
            <w:pPr>
              <w:pStyle w:val="TableColumnHeader"/>
              <w:jc w:val="left"/>
            </w:pPr>
            <w:r>
              <w:t xml:space="preserve">Capital </w:t>
            </w:r>
            <w:r w:rsidRPr="00C8094D">
              <w:t>Cost</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2B5E8383" w14:textId="77777777" w:rsidR="00841791" w:rsidRDefault="00841791" w:rsidP="00A47344">
            <w:pPr>
              <w:pStyle w:val="TableColumnHeader"/>
              <w:jc w:val="left"/>
            </w:pPr>
            <w:r>
              <w:t>Operating Cost</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3E80CA8" w14:textId="77777777" w:rsidR="00841791" w:rsidRPr="00C8094D" w:rsidRDefault="00841791" w:rsidP="00A47344">
            <w:pPr>
              <w:pStyle w:val="TableColumnHeader"/>
              <w:jc w:val="left"/>
            </w:pPr>
            <w:r>
              <w:t xml:space="preserve">Implementation </w:t>
            </w:r>
            <w:r w:rsidRPr="00C8094D">
              <w:t>Timeframe</w:t>
            </w:r>
          </w:p>
        </w:tc>
        <w:tc>
          <w:tcPr>
            <w:tcW w:w="37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83A8197" w14:textId="77777777" w:rsidR="00841791" w:rsidRPr="00C8094D" w:rsidRDefault="00841791" w:rsidP="00A47344">
            <w:pPr>
              <w:pStyle w:val="TableColumnHeader"/>
              <w:jc w:val="left"/>
            </w:pPr>
            <w:r>
              <w:t xml:space="preserve">Ease of </w:t>
            </w:r>
            <w:r w:rsidRPr="00C8094D">
              <w:t>Implementation</w:t>
            </w:r>
          </w:p>
        </w:tc>
      </w:tr>
      <w:tr w:rsidR="00841791" w:rsidRPr="00C8094D" w14:paraId="7F766D51" w14:textId="77777777" w:rsidTr="006F5AAC">
        <w:trPr>
          <w:cantSplit/>
          <w:trHeight w:val="255"/>
          <w:tblHeader/>
          <w:jc w:val="center"/>
        </w:trPr>
        <w:tc>
          <w:tcPr>
            <w:tcW w:w="3492" w:type="pct"/>
            <w:gridSpan w:val="2"/>
            <w:tcBorders>
              <w:top w:val="nil"/>
              <w:left w:val="single" w:sz="4" w:space="0" w:color="auto"/>
              <w:bottom w:val="single" w:sz="4" w:space="0" w:color="auto"/>
              <w:right w:val="single" w:sz="4" w:space="0" w:color="auto"/>
            </w:tcBorders>
            <w:shd w:val="clear" w:color="auto" w:fill="1F497D" w:themeFill="text2"/>
          </w:tcPr>
          <w:p w14:paraId="72D16822" w14:textId="475CB188" w:rsidR="00841791" w:rsidRPr="00276B41" w:rsidRDefault="0054774A">
            <w:pPr>
              <w:pStyle w:val="TableRowHeader"/>
            </w:pPr>
            <w:r>
              <w:t>I</w:t>
            </w:r>
            <w:r w:rsidRPr="001A6F21">
              <w:t xml:space="preserve">dentify </w:t>
            </w:r>
            <w:r w:rsidR="001A6F21" w:rsidRPr="001A6F21">
              <w:t xml:space="preserve">and </w:t>
            </w:r>
            <w:r>
              <w:t>R</w:t>
            </w:r>
            <w:r w:rsidRPr="001A6F21">
              <w:t xml:space="preserve">emove </w:t>
            </w:r>
            <w:r>
              <w:t>S</w:t>
            </w:r>
            <w:r w:rsidRPr="001A6F21">
              <w:t xml:space="preserve">ources </w:t>
            </w:r>
            <w:r w:rsidR="001A6F21" w:rsidRPr="001A6F21">
              <w:t>of PCBs</w:t>
            </w:r>
          </w:p>
        </w:tc>
        <w:tc>
          <w:tcPr>
            <w:tcW w:w="377" w:type="pct"/>
            <w:tcBorders>
              <w:top w:val="nil"/>
              <w:left w:val="single" w:sz="4" w:space="0" w:color="auto"/>
              <w:bottom w:val="single" w:sz="4" w:space="0" w:color="auto"/>
              <w:right w:val="single" w:sz="4" w:space="0" w:color="auto"/>
            </w:tcBorders>
            <w:shd w:val="clear" w:color="auto" w:fill="1F497D" w:themeFill="text2"/>
            <w:vAlign w:val="center"/>
          </w:tcPr>
          <w:p w14:paraId="6694D516"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6BFAD31"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26428D6"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77F7348" w14:textId="77777777" w:rsidR="00841791" w:rsidRPr="00276B41" w:rsidRDefault="00841791">
            <w:pPr>
              <w:pStyle w:val="TableText"/>
            </w:pPr>
          </w:p>
        </w:tc>
      </w:tr>
      <w:tr w:rsidR="00841791" w:rsidRPr="00C8094D" w14:paraId="7E2DF97C" w14:textId="77777777" w:rsidTr="006F5AAC">
        <w:trPr>
          <w:cantSplit/>
          <w:trHeight w:val="255"/>
          <w:tblHeader/>
          <w:jc w:val="center"/>
        </w:trPr>
        <w:tc>
          <w:tcPr>
            <w:tcW w:w="310" w:type="pct"/>
            <w:tcBorders>
              <w:top w:val="nil"/>
              <w:left w:val="single" w:sz="4" w:space="0" w:color="auto"/>
              <w:bottom w:val="single" w:sz="4" w:space="0" w:color="auto"/>
            </w:tcBorders>
            <w:shd w:val="clear" w:color="auto" w:fill="auto"/>
          </w:tcPr>
          <w:p w14:paraId="7D4CA64C" w14:textId="77777777" w:rsidR="00841791" w:rsidRDefault="00841791">
            <w:pPr>
              <w:pStyle w:val="TableText"/>
            </w:pPr>
            <w:r>
              <w:t>(1)</w:t>
            </w:r>
          </w:p>
        </w:tc>
        <w:tc>
          <w:tcPr>
            <w:tcW w:w="3182" w:type="pct"/>
            <w:tcBorders>
              <w:top w:val="single" w:sz="4" w:space="0" w:color="auto"/>
              <w:bottom w:val="single" w:sz="4" w:space="0" w:color="auto"/>
              <w:right w:val="single" w:sz="4" w:space="0" w:color="auto"/>
            </w:tcBorders>
          </w:tcPr>
          <w:p w14:paraId="0094A4C7" w14:textId="5955230D" w:rsidR="00841791" w:rsidRDefault="00FD085B">
            <w:pPr>
              <w:pStyle w:val="TableText"/>
            </w:pPr>
            <w:r w:rsidRPr="00FD085B">
              <w:t>Conduct an inventory of possible locations of PCB-containing materials</w:t>
            </w:r>
          </w:p>
        </w:tc>
        <w:tc>
          <w:tcPr>
            <w:tcW w:w="377" w:type="pct"/>
            <w:tcBorders>
              <w:top w:val="nil"/>
              <w:left w:val="single" w:sz="4" w:space="0" w:color="auto"/>
              <w:bottom w:val="single" w:sz="4" w:space="0" w:color="auto"/>
              <w:right w:val="single" w:sz="4" w:space="0" w:color="auto"/>
            </w:tcBorders>
            <w:shd w:val="clear" w:color="auto" w:fill="auto"/>
            <w:vAlign w:val="center"/>
          </w:tcPr>
          <w:p w14:paraId="618220CF" w14:textId="11420533" w:rsidR="00841791" w:rsidRPr="00C8094D" w:rsidRDefault="002B6CA1">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5831A015" w14:textId="79BEDEED" w:rsidR="00841791" w:rsidRPr="00C8094D" w:rsidRDefault="00976434">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2D726BD" w14:textId="44FE57EF" w:rsidR="00841791" w:rsidRPr="00C8094D" w:rsidRDefault="0006742D">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2F5E3B9" w14:textId="6C803A6C" w:rsidR="00841791" w:rsidRPr="00C8094D" w:rsidRDefault="0006742D">
            <w:pPr>
              <w:pStyle w:val="TableText"/>
            </w:pPr>
            <w:r>
              <w:t>1</w:t>
            </w:r>
          </w:p>
        </w:tc>
      </w:tr>
      <w:tr w:rsidR="0091744B" w:rsidRPr="00C8094D" w14:paraId="5EEF2044" w14:textId="77777777" w:rsidTr="006F5AAC">
        <w:trPr>
          <w:cantSplit/>
          <w:trHeight w:val="255"/>
          <w:tblHeader/>
          <w:jc w:val="center"/>
        </w:trPr>
        <w:tc>
          <w:tcPr>
            <w:tcW w:w="310" w:type="pct"/>
            <w:tcBorders>
              <w:top w:val="nil"/>
              <w:left w:val="single" w:sz="4" w:space="0" w:color="auto"/>
              <w:bottom w:val="single" w:sz="4" w:space="0" w:color="auto"/>
            </w:tcBorders>
            <w:shd w:val="clear" w:color="auto" w:fill="auto"/>
          </w:tcPr>
          <w:p w14:paraId="4A082475" w14:textId="2FD45C7D" w:rsidR="0091744B" w:rsidRDefault="00516C79">
            <w:pPr>
              <w:pStyle w:val="TableText"/>
            </w:pPr>
            <w:r w:rsidRPr="00050EAF">
              <w:t>(2)</w:t>
            </w:r>
          </w:p>
        </w:tc>
        <w:tc>
          <w:tcPr>
            <w:tcW w:w="3182" w:type="pct"/>
            <w:tcBorders>
              <w:top w:val="single" w:sz="4" w:space="0" w:color="auto"/>
              <w:bottom w:val="single" w:sz="4" w:space="0" w:color="auto"/>
              <w:right w:val="single" w:sz="4" w:space="0" w:color="auto"/>
            </w:tcBorders>
          </w:tcPr>
          <w:p w14:paraId="356B699B" w14:textId="3F13B478" w:rsidR="0091744B" w:rsidRDefault="002060A1">
            <w:pPr>
              <w:pStyle w:val="TableText"/>
            </w:pPr>
            <w:r w:rsidRPr="002060A1">
              <w:t>Conduct PCB sampling to confirm presence of PCBs</w:t>
            </w:r>
          </w:p>
        </w:tc>
        <w:tc>
          <w:tcPr>
            <w:tcW w:w="377" w:type="pct"/>
            <w:tcBorders>
              <w:top w:val="nil"/>
              <w:left w:val="single" w:sz="4" w:space="0" w:color="auto"/>
              <w:bottom w:val="single" w:sz="4" w:space="0" w:color="auto"/>
              <w:right w:val="single" w:sz="4" w:space="0" w:color="auto"/>
            </w:tcBorders>
            <w:shd w:val="clear" w:color="auto" w:fill="auto"/>
            <w:vAlign w:val="center"/>
          </w:tcPr>
          <w:p w14:paraId="74BF35A0" w14:textId="7E88DC52" w:rsidR="0091744B" w:rsidRPr="00C8094D" w:rsidRDefault="00446B93">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66791E8E" w14:textId="0137094F" w:rsidR="0091744B" w:rsidRPr="00C8094D" w:rsidRDefault="00446B93">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F9608EC" w14:textId="5DD6B5ED" w:rsidR="0091744B" w:rsidRPr="00C8094D" w:rsidRDefault="003D6F3E">
            <w:pPr>
              <w:pStyle w:val="TableText"/>
            </w:pPr>
            <w:r>
              <w:t>3</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9E12FAF" w14:textId="10300012" w:rsidR="0091744B" w:rsidRPr="00C8094D" w:rsidRDefault="003D6F3E">
            <w:pPr>
              <w:pStyle w:val="TableText"/>
            </w:pPr>
            <w:r>
              <w:t>2</w:t>
            </w:r>
          </w:p>
        </w:tc>
      </w:tr>
      <w:tr w:rsidR="0091744B" w:rsidRPr="00C8094D" w14:paraId="2F7ACB43" w14:textId="77777777" w:rsidTr="006F5AAC">
        <w:trPr>
          <w:cantSplit/>
          <w:trHeight w:val="255"/>
          <w:tblHeader/>
          <w:jc w:val="center"/>
        </w:trPr>
        <w:tc>
          <w:tcPr>
            <w:tcW w:w="310" w:type="pct"/>
            <w:tcBorders>
              <w:top w:val="nil"/>
              <w:left w:val="single" w:sz="4" w:space="0" w:color="auto"/>
              <w:bottom w:val="single" w:sz="4" w:space="0" w:color="auto"/>
            </w:tcBorders>
            <w:shd w:val="clear" w:color="auto" w:fill="auto"/>
          </w:tcPr>
          <w:p w14:paraId="5AF40179" w14:textId="00ECEDC6" w:rsidR="0091744B" w:rsidRDefault="00516C79">
            <w:pPr>
              <w:pStyle w:val="TableText"/>
            </w:pPr>
            <w:r w:rsidRPr="00050EAF">
              <w:t>(3)</w:t>
            </w:r>
          </w:p>
        </w:tc>
        <w:tc>
          <w:tcPr>
            <w:tcW w:w="3182" w:type="pct"/>
            <w:tcBorders>
              <w:top w:val="single" w:sz="4" w:space="0" w:color="auto"/>
              <w:bottom w:val="single" w:sz="4" w:space="0" w:color="auto"/>
              <w:right w:val="single" w:sz="4" w:space="0" w:color="auto"/>
            </w:tcBorders>
          </w:tcPr>
          <w:p w14:paraId="5DE956C6" w14:textId="52D4BD5C" w:rsidR="0091744B" w:rsidRDefault="00594C43">
            <w:pPr>
              <w:pStyle w:val="TableText"/>
            </w:pPr>
            <w:r w:rsidRPr="00594C43">
              <w:t>Remove building materials with PCBs ≥50 ppm</w:t>
            </w:r>
          </w:p>
        </w:tc>
        <w:tc>
          <w:tcPr>
            <w:tcW w:w="377" w:type="pct"/>
            <w:tcBorders>
              <w:top w:val="nil"/>
              <w:left w:val="single" w:sz="4" w:space="0" w:color="auto"/>
              <w:bottom w:val="single" w:sz="4" w:space="0" w:color="auto"/>
              <w:right w:val="single" w:sz="4" w:space="0" w:color="auto"/>
            </w:tcBorders>
            <w:shd w:val="clear" w:color="auto" w:fill="auto"/>
            <w:vAlign w:val="center"/>
          </w:tcPr>
          <w:p w14:paraId="5BB2BF46" w14:textId="159E9E99" w:rsidR="0091744B" w:rsidRPr="00C8094D" w:rsidRDefault="003D6F3E">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7360B5FF" w14:textId="35781B7A" w:rsidR="0091744B" w:rsidRPr="00C8094D" w:rsidRDefault="003D6F3E">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032E21C" w14:textId="5BC2F8CD" w:rsidR="0091744B" w:rsidRPr="00C8094D" w:rsidRDefault="003D6F3E">
            <w:pPr>
              <w:pStyle w:val="TableText"/>
            </w:pPr>
            <w:r>
              <w:t>3</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B192A5C" w14:textId="61CFB660" w:rsidR="0091744B" w:rsidRPr="00C8094D" w:rsidRDefault="003D6F3E">
            <w:pPr>
              <w:pStyle w:val="TableText"/>
            </w:pPr>
            <w:r>
              <w:t>3</w:t>
            </w:r>
          </w:p>
        </w:tc>
      </w:tr>
      <w:tr w:rsidR="0091744B" w:rsidRPr="00C8094D" w14:paraId="4B0B531C" w14:textId="77777777" w:rsidTr="006F5AAC">
        <w:trPr>
          <w:cantSplit/>
          <w:trHeight w:val="255"/>
          <w:tblHeader/>
          <w:jc w:val="center"/>
        </w:trPr>
        <w:tc>
          <w:tcPr>
            <w:tcW w:w="310" w:type="pct"/>
            <w:tcBorders>
              <w:top w:val="nil"/>
              <w:left w:val="single" w:sz="4" w:space="0" w:color="auto"/>
              <w:bottom w:val="single" w:sz="4" w:space="0" w:color="auto"/>
            </w:tcBorders>
            <w:shd w:val="clear" w:color="auto" w:fill="auto"/>
          </w:tcPr>
          <w:p w14:paraId="2435EA48" w14:textId="1C6A678D" w:rsidR="0091744B" w:rsidRDefault="00516C79">
            <w:pPr>
              <w:pStyle w:val="TableText"/>
            </w:pPr>
            <w:r w:rsidRPr="00050EAF">
              <w:t>(4)</w:t>
            </w:r>
          </w:p>
        </w:tc>
        <w:tc>
          <w:tcPr>
            <w:tcW w:w="3182" w:type="pct"/>
            <w:tcBorders>
              <w:top w:val="single" w:sz="4" w:space="0" w:color="auto"/>
              <w:bottom w:val="single" w:sz="4" w:space="0" w:color="auto"/>
              <w:right w:val="single" w:sz="4" w:space="0" w:color="auto"/>
            </w:tcBorders>
          </w:tcPr>
          <w:p w14:paraId="436982DB" w14:textId="0B359B7F" w:rsidR="0091744B" w:rsidRDefault="002A64DE">
            <w:pPr>
              <w:pStyle w:val="TableText"/>
            </w:pPr>
            <w:r w:rsidRPr="002A64DE">
              <w:t>Replace and properly dispose of PCB-containing light ballasts</w:t>
            </w:r>
          </w:p>
        </w:tc>
        <w:tc>
          <w:tcPr>
            <w:tcW w:w="377" w:type="pct"/>
            <w:tcBorders>
              <w:top w:val="nil"/>
              <w:left w:val="single" w:sz="4" w:space="0" w:color="auto"/>
              <w:bottom w:val="single" w:sz="4" w:space="0" w:color="auto"/>
              <w:right w:val="single" w:sz="4" w:space="0" w:color="auto"/>
            </w:tcBorders>
            <w:shd w:val="clear" w:color="auto" w:fill="auto"/>
            <w:vAlign w:val="center"/>
          </w:tcPr>
          <w:p w14:paraId="41CDD5F6" w14:textId="2ED0E758" w:rsidR="0091744B" w:rsidRPr="00C8094D" w:rsidRDefault="00955478">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1096265F" w14:textId="328548ED" w:rsidR="0091744B" w:rsidRPr="00C8094D" w:rsidRDefault="00955478">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B4AC27B" w14:textId="3E4B8629" w:rsidR="0091744B" w:rsidRPr="00C8094D" w:rsidRDefault="00955478">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E13DCD3" w14:textId="7266B978" w:rsidR="0091744B" w:rsidRPr="00C8094D" w:rsidRDefault="00955478">
            <w:pPr>
              <w:pStyle w:val="TableText"/>
            </w:pPr>
            <w:r>
              <w:t>2</w:t>
            </w:r>
          </w:p>
        </w:tc>
      </w:tr>
      <w:tr w:rsidR="00841791" w:rsidRPr="00C8094D" w14:paraId="3235F482"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4C9139E" w14:textId="3206D8A2" w:rsidR="00841791" w:rsidRPr="00C8094D" w:rsidRDefault="00841791">
            <w:pPr>
              <w:pStyle w:val="TableText"/>
            </w:pPr>
            <w:r>
              <w:t>(</w:t>
            </w:r>
            <w:r w:rsidR="00516C79" w:rsidRPr="00050EAF">
              <w:t>5</w:t>
            </w:r>
            <w:r>
              <w:t>)</w:t>
            </w:r>
          </w:p>
        </w:tc>
        <w:tc>
          <w:tcPr>
            <w:tcW w:w="3182" w:type="pct"/>
            <w:tcBorders>
              <w:top w:val="single" w:sz="4" w:space="0" w:color="auto"/>
              <w:bottom w:val="single" w:sz="4" w:space="0" w:color="auto"/>
              <w:right w:val="single" w:sz="4" w:space="0" w:color="auto"/>
            </w:tcBorders>
          </w:tcPr>
          <w:p w14:paraId="71025AC1" w14:textId="1CBB28F5" w:rsidR="00841791" w:rsidRPr="00C8094D" w:rsidRDefault="000219BE">
            <w:pPr>
              <w:pStyle w:val="TableText"/>
            </w:pPr>
            <w:r w:rsidRPr="000219BE">
              <w:t>Consider encapsulation of PCBs to reduce exposure</w:t>
            </w:r>
          </w:p>
        </w:tc>
        <w:tc>
          <w:tcPr>
            <w:tcW w:w="377" w:type="pct"/>
            <w:tcBorders>
              <w:top w:val="nil"/>
              <w:left w:val="single" w:sz="4" w:space="0" w:color="auto"/>
              <w:bottom w:val="single" w:sz="4" w:space="0" w:color="auto"/>
              <w:right w:val="single" w:sz="4" w:space="0" w:color="auto"/>
            </w:tcBorders>
            <w:shd w:val="clear" w:color="auto" w:fill="auto"/>
            <w:vAlign w:val="center"/>
          </w:tcPr>
          <w:p w14:paraId="02608D76" w14:textId="0DA640DE" w:rsidR="00841791" w:rsidRPr="00C8094D" w:rsidRDefault="00955478">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4D1F9858" w14:textId="687D38B1" w:rsidR="00841791" w:rsidRPr="00C8094D" w:rsidRDefault="00955478">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02455D1" w14:textId="0BEC8D8D" w:rsidR="00841791" w:rsidRPr="00C8094D" w:rsidRDefault="00426A0E">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CFD0859" w14:textId="3F854688" w:rsidR="00841791" w:rsidRPr="00C8094D" w:rsidRDefault="00426A0E">
            <w:pPr>
              <w:pStyle w:val="TableText"/>
            </w:pPr>
            <w:r>
              <w:t>2</w:t>
            </w:r>
          </w:p>
        </w:tc>
      </w:tr>
      <w:tr w:rsidR="00841791" w:rsidRPr="00C8094D" w14:paraId="4B08BAE4" w14:textId="77777777" w:rsidTr="006F5AAC">
        <w:trPr>
          <w:cantSplit/>
          <w:trHeight w:val="255"/>
          <w:tblHeader/>
          <w:jc w:val="center"/>
        </w:trPr>
        <w:tc>
          <w:tcPr>
            <w:tcW w:w="3492"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5AF1DF37" w14:textId="5D3D4C54" w:rsidR="00841791" w:rsidRPr="00381EF0" w:rsidRDefault="0054774A">
            <w:pPr>
              <w:pStyle w:val="TableRowHeader"/>
            </w:pPr>
            <w:r>
              <w:t xml:space="preserve">Renovations </w:t>
            </w:r>
            <w:r w:rsidR="00E4155A">
              <w:t xml:space="preserve">and </w:t>
            </w:r>
            <w:r>
              <w:t>Repairs</w:t>
            </w:r>
          </w:p>
        </w:tc>
        <w:tc>
          <w:tcPr>
            <w:tcW w:w="377" w:type="pct"/>
            <w:tcBorders>
              <w:top w:val="nil"/>
              <w:left w:val="single" w:sz="4" w:space="0" w:color="auto"/>
              <w:bottom w:val="single" w:sz="4" w:space="0" w:color="auto"/>
              <w:right w:val="single" w:sz="4" w:space="0" w:color="auto"/>
            </w:tcBorders>
            <w:shd w:val="clear" w:color="auto" w:fill="1F497D" w:themeFill="text2"/>
            <w:vAlign w:val="center"/>
          </w:tcPr>
          <w:p w14:paraId="0C0D1F78"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E7CF3F1"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AA74AFA" w14:textId="77777777" w:rsidR="00841791" w:rsidRPr="00381EF0"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tcPr>
          <w:p w14:paraId="0EF43E5A" w14:textId="77777777" w:rsidR="00841791" w:rsidRPr="00381EF0" w:rsidRDefault="00841791">
            <w:pPr>
              <w:pStyle w:val="TableText"/>
            </w:pPr>
          </w:p>
        </w:tc>
      </w:tr>
      <w:tr w:rsidR="00841791" w:rsidRPr="00C8094D" w14:paraId="4CBA4CAC"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28F69F83" w14:textId="52D03994" w:rsidR="00841791" w:rsidRDefault="00841791">
            <w:pPr>
              <w:pStyle w:val="TableText"/>
            </w:pPr>
            <w:r>
              <w:t>(</w:t>
            </w:r>
            <w:r w:rsidR="00AA1649" w:rsidRPr="00CB3DD0">
              <w:t>6</w:t>
            </w:r>
            <w:r>
              <w:t>)</w:t>
            </w:r>
          </w:p>
        </w:tc>
        <w:tc>
          <w:tcPr>
            <w:tcW w:w="3182" w:type="pct"/>
            <w:tcBorders>
              <w:top w:val="single" w:sz="4" w:space="0" w:color="auto"/>
              <w:bottom w:val="single" w:sz="4" w:space="0" w:color="auto"/>
              <w:right w:val="single" w:sz="4" w:space="0" w:color="auto"/>
            </w:tcBorders>
          </w:tcPr>
          <w:p w14:paraId="18522089" w14:textId="69B985C1" w:rsidR="00841791" w:rsidRDefault="0059341F">
            <w:pPr>
              <w:pStyle w:val="TableText"/>
            </w:pPr>
            <w:r w:rsidRPr="0059341F">
              <w:t>Remove PCB-containing materials disturbed during renovations and repairs and minimize PCB exposure</w:t>
            </w:r>
          </w:p>
        </w:tc>
        <w:tc>
          <w:tcPr>
            <w:tcW w:w="377" w:type="pct"/>
            <w:tcBorders>
              <w:top w:val="nil"/>
              <w:left w:val="single" w:sz="4" w:space="0" w:color="auto"/>
              <w:bottom w:val="single" w:sz="4" w:space="0" w:color="auto"/>
              <w:right w:val="single" w:sz="4" w:space="0" w:color="auto"/>
            </w:tcBorders>
            <w:shd w:val="clear" w:color="auto" w:fill="auto"/>
            <w:vAlign w:val="center"/>
          </w:tcPr>
          <w:p w14:paraId="21B6E73C" w14:textId="34A129DC" w:rsidR="00841791" w:rsidRDefault="00AF1B28">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00D1BCDF" w14:textId="4FAACAE7" w:rsidR="00841791" w:rsidRDefault="00A60C16">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94762D9" w14:textId="362902BB" w:rsidR="00841791" w:rsidRDefault="00A60C16">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2A7DC47" w14:textId="5E5A9AF8" w:rsidR="00841791" w:rsidRDefault="00A60C16">
            <w:pPr>
              <w:pStyle w:val="TableText"/>
            </w:pPr>
            <w:r>
              <w:t>3</w:t>
            </w:r>
          </w:p>
        </w:tc>
      </w:tr>
      <w:tr w:rsidR="00841791" w:rsidRPr="00C8094D" w14:paraId="37762177"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221C3F83" w14:textId="6EE6EA15" w:rsidR="00841791" w:rsidRDefault="00841791">
            <w:pPr>
              <w:pStyle w:val="TableText"/>
            </w:pPr>
            <w:r>
              <w:t>(</w:t>
            </w:r>
            <w:r w:rsidR="00AA1649" w:rsidRPr="00CB3DD0">
              <w:t>7</w:t>
            </w:r>
            <w:r>
              <w:t>)</w:t>
            </w:r>
          </w:p>
        </w:tc>
        <w:tc>
          <w:tcPr>
            <w:tcW w:w="3182" w:type="pct"/>
            <w:tcBorders>
              <w:top w:val="single" w:sz="4" w:space="0" w:color="auto"/>
              <w:bottom w:val="single" w:sz="4" w:space="0" w:color="auto"/>
              <w:right w:val="single" w:sz="4" w:space="0" w:color="auto"/>
            </w:tcBorders>
          </w:tcPr>
          <w:p w14:paraId="30BD384B" w14:textId="3D1157AE" w:rsidR="00841791" w:rsidRDefault="00BB6379">
            <w:pPr>
              <w:pStyle w:val="TableText"/>
            </w:pPr>
            <w:r w:rsidRPr="00BB6379">
              <w:t>Follow EPA recommended steps for cleanup and decontamination if a PCB-containing FLB leaks, smokes, or catches fire</w:t>
            </w:r>
          </w:p>
        </w:tc>
        <w:tc>
          <w:tcPr>
            <w:tcW w:w="377" w:type="pct"/>
            <w:tcBorders>
              <w:top w:val="nil"/>
              <w:left w:val="single" w:sz="4" w:space="0" w:color="auto"/>
              <w:bottom w:val="single" w:sz="4" w:space="0" w:color="auto"/>
              <w:right w:val="single" w:sz="4" w:space="0" w:color="auto"/>
            </w:tcBorders>
            <w:shd w:val="clear" w:color="auto" w:fill="auto"/>
            <w:vAlign w:val="center"/>
          </w:tcPr>
          <w:p w14:paraId="66255575" w14:textId="2AD9DD4D" w:rsidR="00841791" w:rsidRDefault="00871BED">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414C5CE5" w14:textId="030BA818" w:rsidR="00841791" w:rsidRDefault="00871BED">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9948C8B" w14:textId="713C6161" w:rsidR="00841791" w:rsidRDefault="00871BED">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2E071AF" w14:textId="38CBBF43" w:rsidR="00841791" w:rsidRDefault="001162FF">
            <w:pPr>
              <w:pStyle w:val="TableText"/>
            </w:pPr>
            <w:r>
              <w:t>2</w:t>
            </w:r>
          </w:p>
        </w:tc>
      </w:tr>
      <w:tr w:rsidR="00841791" w:rsidRPr="00C8094D" w14:paraId="247D0107"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49EE925E" w14:textId="79C02650" w:rsidR="00841791" w:rsidRDefault="00841791">
            <w:pPr>
              <w:pStyle w:val="TableText"/>
            </w:pPr>
            <w:r>
              <w:t>(</w:t>
            </w:r>
            <w:r w:rsidR="00AA1649" w:rsidRPr="00CB3DD0">
              <w:t>8</w:t>
            </w:r>
            <w:r>
              <w:t>)</w:t>
            </w:r>
          </w:p>
        </w:tc>
        <w:tc>
          <w:tcPr>
            <w:tcW w:w="3182" w:type="pct"/>
            <w:tcBorders>
              <w:top w:val="single" w:sz="4" w:space="0" w:color="auto"/>
              <w:bottom w:val="single" w:sz="4" w:space="0" w:color="auto"/>
              <w:right w:val="single" w:sz="4" w:space="0" w:color="auto"/>
            </w:tcBorders>
          </w:tcPr>
          <w:p w14:paraId="60720C91" w14:textId="72B43F50" w:rsidR="00841791" w:rsidRDefault="00A25768">
            <w:pPr>
              <w:pStyle w:val="TableText"/>
            </w:pPr>
            <w:r w:rsidRPr="00A25768">
              <w:t>Follow EPA recommended steps when performing a retrofit for non-leaking PCB-containing FLBs</w:t>
            </w:r>
          </w:p>
        </w:tc>
        <w:tc>
          <w:tcPr>
            <w:tcW w:w="377" w:type="pct"/>
            <w:tcBorders>
              <w:top w:val="nil"/>
              <w:left w:val="single" w:sz="4" w:space="0" w:color="auto"/>
              <w:bottom w:val="single" w:sz="4" w:space="0" w:color="auto"/>
              <w:right w:val="single" w:sz="4" w:space="0" w:color="auto"/>
            </w:tcBorders>
            <w:shd w:val="clear" w:color="auto" w:fill="auto"/>
            <w:vAlign w:val="center"/>
          </w:tcPr>
          <w:p w14:paraId="12591083" w14:textId="42365167" w:rsidR="00841791" w:rsidRDefault="001162FF">
            <w:pPr>
              <w:pStyle w:val="TableText"/>
            </w:pPr>
            <w:r>
              <w:t>$$</w:t>
            </w:r>
          </w:p>
        </w:tc>
        <w:tc>
          <w:tcPr>
            <w:tcW w:w="377" w:type="pct"/>
            <w:tcBorders>
              <w:top w:val="single" w:sz="4" w:space="0" w:color="auto"/>
              <w:left w:val="single" w:sz="4" w:space="0" w:color="auto"/>
              <w:bottom w:val="single" w:sz="4" w:space="0" w:color="auto"/>
              <w:right w:val="single" w:sz="4" w:space="0" w:color="auto"/>
            </w:tcBorders>
            <w:vAlign w:val="center"/>
          </w:tcPr>
          <w:p w14:paraId="7DDB3266" w14:textId="38DDAC71" w:rsidR="00841791" w:rsidRDefault="001162FF">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D2977D3" w14:textId="46B3FC0E" w:rsidR="00841791" w:rsidRDefault="001162FF">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AE6D4C3" w14:textId="02AD3105" w:rsidR="00841791" w:rsidRDefault="001162FF">
            <w:pPr>
              <w:pStyle w:val="TableText"/>
            </w:pPr>
            <w:r>
              <w:t>2</w:t>
            </w:r>
          </w:p>
        </w:tc>
      </w:tr>
      <w:tr w:rsidR="00841791" w:rsidRPr="00C8094D" w14:paraId="6CB50419" w14:textId="77777777" w:rsidTr="006F5AAC">
        <w:trPr>
          <w:cantSplit/>
          <w:trHeight w:val="255"/>
          <w:tblHeader/>
          <w:jc w:val="center"/>
        </w:trPr>
        <w:tc>
          <w:tcPr>
            <w:tcW w:w="3492"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5F776C48" w14:textId="349770DB" w:rsidR="00841791" w:rsidRPr="00276B41" w:rsidRDefault="0054774A">
            <w:pPr>
              <w:pStyle w:val="TableRowHeader"/>
            </w:pPr>
            <w:r>
              <w:t xml:space="preserve">Reduce </w:t>
            </w:r>
            <w:r w:rsidR="00E4155A">
              <w:t xml:space="preserve">PCB </w:t>
            </w:r>
            <w:r>
              <w:t xml:space="preserve">Exposure Through Air </w:t>
            </w:r>
            <w:r w:rsidR="00E4155A">
              <w:t xml:space="preserve">and </w:t>
            </w:r>
            <w:r>
              <w:t>Dust</w:t>
            </w:r>
          </w:p>
        </w:tc>
        <w:tc>
          <w:tcPr>
            <w:tcW w:w="377" w:type="pct"/>
            <w:tcBorders>
              <w:top w:val="nil"/>
              <w:left w:val="single" w:sz="4" w:space="0" w:color="auto"/>
              <w:bottom w:val="single" w:sz="4" w:space="0" w:color="auto"/>
              <w:right w:val="single" w:sz="4" w:space="0" w:color="auto"/>
            </w:tcBorders>
            <w:shd w:val="clear" w:color="auto" w:fill="1F497D" w:themeFill="text2"/>
            <w:vAlign w:val="center"/>
          </w:tcPr>
          <w:p w14:paraId="0381E23F"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8D1476E"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FAE17CE" w14:textId="77777777" w:rsidR="00841791" w:rsidRPr="00276B41" w:rsidRDefault="00841791">
            <w:pPr>
              <w:pStyle w:val="TableText"/>
            </w:pPr>
          </w:p>
        </w:tc>
        <w:tc>
          <w:tcPr>
            <w:tcW w:w="377"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4D439AA" w14:textId="77777777" w:rsidR="00841791" w:rsidRPr="00276B41" w:rsidRDefault="00841791">
            <w:pPr>
              <w:pStyle w:val="TableText"/>
            </w:pPr>
          </w:p>
        </w:tc>
      </w:tr>
      <w:tr w:rsidR="00841791" w:rsidRPr="00C8094D" w14:paraId="6FB1EEC0"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776B2F03" w14:textId="7816D6A9" w:rsidR="00841791" w:rsidRPr="00C8094D" w:rsidRDefault="00841791">
            <w:pPr>
              <w:pStyle w:val="TableText"/>
            </w:pPr>
            <w:r>
              <w:t>(</w:t>
            </w:r>
            <w:r w:rsidR="00F7489F" w:rsidRPr="00EE56C7">
              <w:t>9</w:t>
            </w:r>
            <w:r>
              <w:t>)</w:t>
            </w:r>
          </w:p>
        </w:tc>
        <w:tc>
          <w:tcPr>
            <w:tcW w:w="3182" w:type="pct"/>
            <w:tcBorders>
              <w:top w:val="single" w:sz="4" w:space="0" w:color="auto"/>
              <w:bottom w:val="single" w:sz="4" w:space="0" w:color="auto"/>
              <w:right w:val="single" w:sz="4" w:space="0" w:color="auto"/>
            </w:tcBorders>
          </w:tcPr>
          <w:p w14:paraId="65F770B6" w14:textId="6F03AE34" w:rsidR="00841791" w:rsidRPr="00C8094D" w:rsidRDefault="00CB3CDC">
            <w:pPr>
              <w:pStyle w:val="TableText"/>
            </w:pPr>
            <w:r w:rsidRPr="00CB3CDC">
              <w:t xml:space="preserve">Regularly inspect and maintain ventilation systems </w:t>
            </w:r>
            <w:r w:rsidR="009C44EA">
              <w:t>for</w:t>
            </w:r>
            <w:r w:rsidRPr="00CB3CDC">
              <w:t xml:space="preserve"> proper operations</w:t>
            </w:r>
          </w:p>
        </w:tc>
        <w:tc>
          <w:tcPr>
            <w:tcW w:w="377" w:type="pct"/>
            <w:tcBorders>
              <w:top w:val="nil"/>
              <w:left w:val="single" w:sz="4" w:space="0" w:color="auto"/>
              <w:bottom w:val="single" w:sz="4" w:space="0" w:color="auto"/>
              <w:right w:val="single" w:sz="4" w:space="0" w:color="auto"/>
            </w:tcBorders>
            <w:shd w:val="clear" w:color="auto" w:fill="auto"/>
            <w:vAlign w:val="center"/>
          </w:tcPr>
          <w:p w14:paraId="60ABE23D" w14:textId="4F117C1E" w:rsidR="00841791" w:rsidRPr="00F45120" w:rsidRDefault="00E9186B">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3D131C1F" w14:textId="2DD9164B" w:rsidR="00841791" w:rsidRPr="00F45120" w:rsidRDefault="00E955E7">
            <w:pPr>
              <w:pStyle w:val="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12AA290" w14:textId="2A8830A9" w:rsidR="00841791" w:rsidRPr="00F45120" w:rsidRDefault="00E9186B">
            <w:pPr>
              <w:pStyle w:val="TableText"/>
            </w:pPr>
            <w: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BAB24DB" w14:textId="3F36AA1D" w:rsidR="00841791" w:rsidRPr="00F45120" w:rsidRDefault="00DF6B9D">
            <w:pPr>
              <w:pStyle w:val="TableText"/>
            </w:pPr>
            <w:r>
              <w:t>2</w:t>
            </w:r>
          </w:p>
        </w:tc>
      </w:tr>
      <w:tr w:rsidR="00841791" w:rsidRPr="00C8094D" w14:paraId="6709AF20"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18212C12" w14:textId="779BB458" w:rsidR="00841791" w:rsidRDefault="00841791">
            <w:pPr>
              <w:pStyle w:val="TableText"/>
            </w:pPr>
            <w:r>
              <w:t>(</w:t>
            </w:r>
            <w:r w:rsidR="00F7489F" w:rsidRPr="00EE56C7">
              <w:t>10</w:t>
            </w:r>
            <w:r>
              <w:t>)</w:t>
            </w:r>
          </w:p>
        </w:tc>
        <w:tc>
          <w:tcPr>
            <w:tcW w:w="3182" w:type="pct"/>
            <w:tcBorders>
              <w:top w:val="single" w:sz="4" w:space="0" w:color="auto"/>
              <w:bottom w:val="single" w:sz="4" w:space="0" w:color="auto"/>
              <w:right w:val="single" w:sz="4" w:space="0" w:color="auto"/>
            </w:tcBorders>
          </w:tcPr>
          <w:p w14:paraId="4BA46CCE" w14:textId="362A6CEA" w:rsidR="00841791" w:rsidRDefault="002C32F2">
            <w:pPr>
              <w:pStyle w:val="TableText"/>
            </w:pPr>
            <w:r w:rsidRPr="002C32F2">
              <w:t>Wash hands with soap and water, particularly before eating and drinking</w:t>
            </w:r>
          </w:p>
        </w:tc>
        <w:tc>
          <w:tcPr>
            <w:tcW w:w="377" w:type="pct"/>
            <w:tcBorders>
              <w:top w:val="nil"/>
              <w:left w:val="single" w:sz="4" w:space="0" w:color="auto"/>
              <w:bottom w:val="single" w:sz="4" w:space="0" w:color="auto"/>
              <w:right w:val="single" w:sz="4" w:space="0" w:color="auto"/>
            </w:tcBorders>
            <w:shd w:val="clear" w:color="auto" w:fill="auto"/>
            <w:vAlign w:val="center"/>
          </w:tcPr>
          <w:p w14:paraId="7DEEF280" w14:textId="1C098703" w:rsidR="00841791" w:rsidRDefault="00E955E7">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52DA0645" w14:textId="348D47F8" w:rsidR="00841791" w:rsidRDefault="00E955E7">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12F62F4" w14:textId="2B0ED2AE" w:rsidR="00841791" w:rsidRDefault="00E955E7">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1F3F4F8" w14:textId="72B53207" w:rsidR="00841791" w:rsidRDefault="00E955E7">
            <w:pPr>
              <w:pStyle w:val="TableText"/>
            </w:pPr>
            <w:r>
              <w:t>1</w:t>
            </w:r>
          </w:p>
        </w:tc>
      </w:tr>
      <w:tr w:rsidR="00841791" w:rsidRPr="00C8094D" w14:paraId="339244DF" w14:textId="77777777" w:rsidTr="006F5AAC">
        <w:trPr>
          <w:cantSplit/>
          <w:trHeight w:val="255"/>
          <w:tblHeader/>
          <w:jc w:val="center"/>
        </w:trPr>
        <w:tc>
          <w:tcPr>
            <w:tcW w:w="310" w:type="pct"/>
            <w:tcBorders>
              <w:top w:val="single" w:sz="4" w:space="0" w:color="auto"/>
              <w:left w:val="single" w:sz="4" w:space="0" w:color="auto"/>
              <w:bottom w:val="single" w:sz="4" w:space="0" w:color="auto"/>
            </w:tcBorders>
            <w:shd w:val="clear" w:color="auto" w:fill="auto"/>
          </w:tcPr>
          <w:p w14:paraId="79904114" w14:textId="7EE118E7" w:rsidR="00841791" w:rsidRPr="00C8094D" w:rsidRDefault="00841791">
            <w:pPr>
              <w:pStyle w:val="TableText"/>
            </w:pPr>
            <w:r>
              <w:t>(</w:t>
            </w:r>
            <w:r w:rsidR="00F7489F" w:rsidRPr="00EE56C7">
              <w:t>11</w:t>
            </w:r>
            <w:r>
              <w:t>)</w:t>
            </w:r>
          </w:p>
        </w:tc>
        <w:tc>
          <w:tcPr>
            <w:tcW w:w="3182" w:type="pct"/>
            <w:tcBorders>
              <w:top w:val="single" w:sz="4" w:space="0" w:color="auto"/>
              <w:bottom w:val="single" w:sz="4" w:space="0" w:color="auto"/>
              <w:right w:val="single" w:sz="4" w:space="0" w:color="auto"/>
            </w:tcBorders>
          </w:tcPr>
          <w:p w14:paraId="2E1D9008" w14:textId="6B3E83C9" w:rsidR="00841791" w:rsidRDefault="00743FC1" w:rsidP="006F36CA">
            <w:pPr>
              <w:pStyle w:val="TableText"/>
              <w:tabs>
                <w:tab w:val="left" w:pos="975"/>
              </w:tabs>
            </w:pPr>
            <w:r w:rsidRPr="00743FC1">
              <w:t>Reduce dust while cleaning</w:t>
            </w:r>
          </w:p>
        </w:tc>
        <w:tc>
          <w:tcPr>
            <w:tcW w:w="377" w:type="pct"/>
            <w:tcBorders>
              <w:top w:val="nil"/>
              <w:left w:val="single" w:sz="4" w:space="0" w:color="auto"/>
              <w:bottom w:val="single" w:sz="4" w:space="0" w:color="auto"/>
              <w:right w:val="single" w:sz="4" w:space="0" w:color="auto"/>
            </w:tcBorders>
            <w:shd w:val="clear" w:color="auto" w:fill="auto"/>
            <w:vAlign w:val="center"/>
          </w:tcPr>
          <w:p w14:paraId="3F2B4ECF" w14:textId="2C4D2810" w:rsidR="00841791" w:rsidRPr="00F45120" w:rsidRDefault="00E955E7">
            <w:pPr>
              <w:pStyle w:val="TableText"/>
            </w:pPr>
            <w:r>
              <w:t>0</w:t>
            </w:r>
          </w:p>
        </w:tc>
        <w:tc>
          <w:tcPr>
            <w:tcW w:w="377" w:type="pct"/>
            <w:tcBorders>
              <w:top w:val="single" w:sz="4" w:space="0" w:color="auto"/>
              <w:left w:val="single" w:sz="4" w:space="0" w:color="auto"/>
              <w:bottom w:val="single" w:sz="4" w:space="0" w:color="auto"/>
              <w:right w:val="single" w:sz="4" w:space="0" w:color="auto"/>
            </w:tcBorders>
            <w:vAlign w:val="center"/>
          </w:tcPr>
          <w:p w14:paraId="7B7B351C" w14:textId="2706A87C" w:rsidR="00841791" w:rsidRPr="00F45120" w:rsidRDefault="00E955E7">
            <w:pPr>
              <w:pStyle w:val="TableText"/>
            </w:pPr>
            <w: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0B1722D" w14:textId="457A5924" w:rsidR="00841791" w:rsidRPr="00F45120" w:rsidRDefault="00E955E7">
            <w:pPr>
              <w:pStyle w:val="TableText"/>
            </w:pPr>
            <w:r>
              <w:t>1</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275FDB0" w14:textId="01BA877C" w:rsidR="00841791" w:rsidRPr="00F45120" w:rsidRDefault="00E955E7">
            <w:pPr>
              <w:pStyle w:val="TableText"/>
            </w:pPr>
            <w:r>
              <w:t>1</w:t>
            </w:r>
          </w:p>
        </w:tc>
      </w:tr>
      <w:tr w:rsidR="00841791" w:rsidRPr="00C8094D" w14:paraId="5274E467"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D68E346" w14:textId="77777777" w:rsidR="00841791" w:rsidRPr="00FF51E8" w:rsidRDefault="00841791">
            <w:pPr>
              <w:rPr>
                <w:rFonts w:ascii="Arial" w:hAnsi="Arial" w:cs="Arial"/>
                <w:b/>
                <w:bCs/>
                <w:sz w:val="20"/>
                <w:szCs w:val="20"/>
                <w:u w:val="single"/>
              </w:rPr>
            </w:pPr>
            <w:r w:rsidRPr="00FF51E8">
              <w:rPr>
                <w:rFonts w:ascii="Arial" w:hAnsi="Arial" w:cs="Arial"/>
                <w:b/>
                <w:bCs/>
                <w:sz w:val="20"/>
                <w:szCs w:val="20"/>
                <w:u w:val="single"/>
              </w:rPr>
              <w:t>Key:</w:t>
            </w:r>
          </w:p>
          <w:p w14:paraId="0BE3BA1E" w14:textId="77777777" w:rsidR="00841791" w:rsidRPr="00FF51E8" w:rsidRDefault="00841791">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3A67C187" w14:textId="128733EC" w:rsidR="00841791" w:rsidRPr="00FF51E8" w:rsidRDefault="00841791">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6A2178">
              <w:rPr>
                <w:rFonts w:ascii="Arial" w:hAnsi="Arial" w:cs="Arial"/>
                <w:sz w:val="20"/>
                <w:szCs w:val="20"/>
              </w:rPr>
              <w:t>&gt;</w:t>
            </w:r>
            <w:r w:rsidRPr="00FF51E8">
              <w:rPr>
                <w:rFonts w:ascii="Arial" w:hAnsi="Arial" w:cs="Arial"/>
                <w:sz w:val="20"/>
                <w:szCs w:val="20"/>
              </w:rPr>
              <w:t>12 months)</w:t>
            </w:r>
          </w:p>
          <w:p w14:paraId="39782D76" w14:textId="77777777" w:rsidR="00841791" w:rsidRPr="00FF51E8" w:rsidRDefault="00841791">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73006A26" w14:textId="77777777" w:rsidR="00841791" w:rsidRDefault="00841791" w:rsidP="00841791">
      <w:pPr>
        <w:pStyle w:val="Heading3"/>
      </w:pPr>
      <w:r>
        <w:t>Barriers and Challenges</w:t>
      </w:r>
    </w:p>
    <w:p w14:paraId="20017763" w14:textId="5261A28C" w:rsidR="00156548" w:rsidRDefault="00156548" w:rsidP="006D7DE6">
      <w:pPr>
        <w:pStyle w:val="BodyTextFirstIndent"/>
      </w:pPr>
      <w:r>
        <w:t>Even before remediation, one challenge to reducing PCB exposure is pinpointing the exact sources of PCBs.</w:t>
      </w:r>
      <w:r>
        <w:fldChar w:fldCharType="begin"/>
      </w:r>
      <w:r w:rsidR="00AD5511">
        <w:instrText xml:space="preserve"> ADDIN ZOTERO_ITEM CSL_CITATION {"citationID":"tWo09LKJ","properties":{"formattedCitation":"\\super 111\\nosupersub{}","plainCitation":"111","noteIndex":0},"citationItems":[{"id":441,"uris":["http://zotero.org/groups/5563646/items/WK4FG54T"],"itemData":{"id":441,"type":"article-newspaper","abstract":"Key facts about a toxic chemical that continues to contaminate older schools.","container-title":"Education Week","ISSN":"0277-4232","language":"en","section":"Leadership, School &amp; District Management","source":"www.edweek.org","title":"What to Know About PCBs in Schools: A Visual Primer","title-short":"What to Know About PCBs in Schools","URL":"https://www.edweek.org/leadership/what-to-know-about-pcbs-in-schools-a-visual-primer/2022/10","author":[{"family":"Lieberman","given":"Mark"}],"accessed":{"date-parts":[["2024",7,2]]},"issued":{"date-parts":[["2022",10,27]]}}}],"schema":"https://github.com/citation-style-language/schema/raw/master/csl-citation.json"} </w:instrText>
      </w:r>
      <w:r>
        <w:fldChar w:fldCharType="separate"/>
      </w:r>
      <w:r w:rsidR="00AD5511" w:rsidRPr="00AD5511">
        <w:rPr>
          <w:rFonts w:cs="Arial"/>
          <w:vertAlign w:val="superscript"/>
        </w:rPr>
        <w:t>111</w:t>
      </w:r>
      <w:r>
        <w:fldChar w:fldCharType="end"/>
      </w:r>
      <w:r>
        <w:t xml:space="preserve"> Locating PCB sources can require lengthy and expensive testing; alternatively, </w:t>
      </w:r>
      <w:r w:rsidR="002F3718">
        <w:t xml:space="preserve">the </w:t>
      </w:r>
      <w:r>
        <w:t xml:space="preserve">building manager can assume all materials suspected to contain PCBs do contain PCBs and treat them as such. However, a survey found that </w:t>
      </w:r>
      <w:r w:rsidR="002F3718">
        <w:t xml:space="preserve">a </w:t>
      </w:r>
      <w:r>
        <w:t xml:space="preserve">lack of awareness of what PCBs are was the most commonly cited impediment to PCB testing </w:t>
      </w:r>
      <w:r w:rsidR="002F3718">
        <w:t xml:space="preserve">in </w:t>
      </w:r>
      <w:r>
        <w:t>school buildings.</w:t>
      </w:r>
      <w:r>
        <w:fldChar w:fldCharType="begin"/>
      </w:r>
      <w:r w:rsidR="0033027C">
        <w:instrText xml:space="preserve"> ADDIN ZOTERO_ITEM CSL_CITATION {"citationID":"kWfiOQnM","properties":{"formattedCitation":"\\super 111\\nosupersub{}","plainCitation":"111","noteIndex":0},"citationItems":[{"id":441,"uris":["http://zotero.org/groups/5563646/items/WK4FG54T"],"itemData":{"id":441,"type":"article-newspaper","abstract":"Key facts about a toxic chemical that continues to contaminate older schools.","container-title":"Education Week","ISSN":"0277-4232","language":"en","section":"Leadership, School &amp; District Management","source":"www.edweek.org","title":"What to Know About PCBs in Schools: A Visual Primer","title-short":"What to Know About PCBs in Schools","URL":"https://www.edweek.org/leadership/what-to-know-about-pcbs-in-schools-a-visual-primer/2022/10","author":[{"family":"Lieberman","given":"Mark"}],"accessed":{"date-parts":[["2024",7,2]]},"issued":{"date-parts":[["2022",10,27]]}}}],"schema":"https://github.com/citation-style-language/schema/raw/master/csl-citation.json"} </w:instrText>
      </w:r>
      <w:r>
        <w:fldChar w:fldCharType="separate"/>
      </w:r>
      <w:r w:rsidR="0033027C" w:rsidRPr="0033027C">
        <w:rPr>
          <w:rFonts w:cs="Arial"/>
          <w:vertAlign w:val="superscript"/>
        </w:rPr>
        <w:t>111</w:t>
      </w:r>
      <w:r>
        <w:fldChar w:fldCharType="end"/>
      </w:r>
    </w:p>
    <w:p w14:paraId="71F52C10" w14:textId="3D145F23" w:rsidR="00841791" w:rsidRDefault="00156548" w:rsidP="006D7DE6">
      <w:pPr>
        <w:pStyle w:val="BodyTextFirstIndent"/>
      </w:pPr>
      <w:r>
        <w:lastRenderedPageBreak/>
        <w:t>Two major barriers to PCB remediation in schools are logistics and cost. PCB remediation requires, at a minimum, cordoning off portions of a school building.</w:t>
      </w:r>
      <w:r>
        <w:fldChar w:fldCharType="begin"/>
      </w:r>
      <w:r w:rsidR="004A6CF3">
        <w:instrText xml:space="preserve"> ADDIN ZOTERO_ITEM CSL_CITATION {"citationID":"BIQ87gT2","properties":{"formattedCitation":"\\super 111\\nosupersub{}","plainCitation":"111","noteIndex":0},"citationItems":[{"id":441,"uris":["http://zotero.org/groups/5563646/items/WK4FG54T"],"itemData":{"id":441,"type":"article-newspaper","abstract":"Key facts about a toxic chemical that continues to contaminate older schools.","container-title":"Education Week","ISSN":"0277-4232","language":"en","section":"Leadership, School &amp; District Management","source":"www.edweek.org","title":"What to Know About PCBs in Schools: A Visual Primer","title-short":"What to Know About PCBs in Schools","URL":"https://www.edweek.org/leadership/what-to-know-about-pcbs-in-schools-a-visual-primer/2022/10","author":[{"family":"Lieberman","given":"Mark"}],"accessed":{"date-parts":[["2024",7,2]]},"issued":{"date-parts":[["2022",10,27]]}}}],"schema":"https://github.com/citation-style-language/schema/raw/master/csl-citation.json"} </w:instrText>
      </w:r>
      <w:r>
        <w:fldChar w:fldCharType="separate"/>
      </w:r>
      <w:r w:rsidR="004A6CF3" w:rsidRPr="004A6CF3">
        <w:rPr>
          <w:rFonts w:cs="Arial"/>
          <w:vertAlign w:val="superscript"/>
        </w:rPr>
        <w:t>111</w:t>
      </w:r>
      <w:r>
        <w:fldChar w:fldCharType="end"/>
      </w:r>
      <w:r>
        <w:t xml:space="preserve"> At most, it can require temporarily shutting down or completely razing a school building.</w:t>
      </w:r>
      <w:r>
        <w:fldChar w:fldCharType="begin"/>
      </w:r>
      <w:r w:rsidR="00CE6FFA">
        <w:instrText xml:space="preserve"> ADDIN ZOTERO_ITEM CSL_CITATION {"citationID":"GU4x9iOe","properties":{"formattedCitation":"\\super 111\\nosupersub{}","plainCitation":"111","noteIndex":0},"citationItems":[{"id":441,"uris":["http://zotero.org/groups/5563646/items/WK4FG54T"],"itemData":{"id":441,"type":"article-newspaper","abstract":"Key facts about a toxic chemical that continues to contaminate older schools.","container-title":"Education Week","ISSN":"0277-4232","language":"en","section":"Leadership, School &amp; District Management","source":"www.edweek.org","title":"What to Know About PCBs in Schools: A Visual Primer","title-short":"What to Know About PCBs in Schools","URL":"https://www.edweek.org/leadership/what-to-know-about-pcbs-in-schools-a-visual-primer/2022/10","author":[{"family":"Lieberman","given":"Mark"}],"accessed":{"date-parts":[["2024",7,2]]},"issued":{"date-parts":[["2022",10,27]]}}}],"schema":"https://github.com/citation-style-language/schema/raw/master/csl-citation.json"} </w:instrText>
      </w:r>
      <w:r>
        <w:fldChar w:fldCharType="separate"/>
      </w:r>
      <w:r w:rsidR="00CE6FFA" w:rsidRPr="00CE6FFA">
        <w:rPr>
          <w:rFonts w:cs="Arial"/>
          <w:vertAlign w:val="superscript"/>
        </w:rPr>
        <w:t>111</w:t>
      </w:r>
      <w:r>
        <w:fldChar w:fldCharType="end"/>
      </w:r>
      <w:r>
        <w:t xml:space="preserve"> Both the moving </w:t>
      </w:r>
      <w:r w:rsidR="002F3718">
        <w:t xml:space="preserve">of </w:t>
      </w:r>
      <w:r>
        <w:t>students</w:t>
      </w:r>
      <w:r w:rsidR="005904C9">
        <w:t xml:space="preserve"> and staff</w:t>
      </w:r>
      <w:r>
        <w:t xml:space="preserve"> within a building or to another location and paying for remediation and renovations can become extremely expensive.</w:t>
      </w:r>
      <w:r>
        <w:fldChar w:fldCharType="begin"/>
      </w:r>
      <w:r w:rsidR="0006647F">
        <w:instrText xml:space="preserve"> ADDIN ZOTERO_ITEM CSL_CITATION {"citationID":"6aoqVPNi","properties":{"formattedCitation":"\\super 111,112\\nosupersub{}","plainCitation":"111,112","noteIndex":0},"citationItems":[{"id":441,"uris":["http://zotero.org/groups/5563646/items/WK4FG54T"],"itemData":{"id":441,"type":"article-newspaper","abstract":"Key facts about a toxic chemical that continues to contaminate older schools.","container-title":"Education Week","ISSN":"0277-4232","language":"en","section":"Leadership, School &amp; District Management","source":"www.edweek.org","title":"What to Know About PCBs in Schools: A Visual Primer","title-short":"What to Know About PCBs in Schools","URL":"https://www.edweek.org/leadership/what-to-know-about-pcbs-in-schools-a-visual-primer/2022/10","author":[{"family":"Lieberman","given":"Mark"}],"accessed":{"date-parts":[["2024",7,2]]},"issued":{"date-parts":[["2022",10,27]]}}},{"id":440,"uris":["http://zotero.org/groups/5563646/items/GUSN46TL"],"itemData":{"id":440,"type":"article-newspaper","abstract":"Keri Hornbuckle, Ph.D., shared her group's research into polychlorinated biphenyls during Keystone Science Lecture.","container-title":"Environmental Factor","language":"en","title":"Exposure to airborne PCBs an ongoing challenge, expert says","URL":"https://factor.niehs.nih.gov/2022/3/feature/2-feature-pcb-exposure","author":[{"family":"Christensen","given":"Kelly"}],"accessed":{"date-parts":[["2024",7,2]]},"issued":{"date-parts":[["2022",3]]}}}],"schema":"https://github.com/citation-style-language/schema/raw/master/csl-citation.json"} </w:instrText>
      </w:r>
      <w:r>
        <w:fldChar w:fldCharType="separate"/>
      </w:r>
      <w:r w:rsidR="0006647F" w:rsidRPr="0006647F">
        <w:rPr>
          <w:rFonts w:cs="Arial"/>
          <w:vertAlign w:val="superscript"/>
        </w:rPr>
        <w:t>111,112</w:t>
      </w:r>
      <w:r>
        <w:fldChar w:fldCharType="end"/>
      </w:r>
      <w:r>
        <w:t xml:space="preserve"> As a result, school districts </w:t>
      </w:r>
      <w:r w:rsidR="00205718">
        <w:t xml:space="preserve">with greater financial resources </w:t>
      </w:r>
      <w:r>
        <w:t>tend to take steps to mitigate PCB exposure</w:t>
      </w:r>
      <w:r w:rsidR="002F3718">
        <w:t>,</w:t>
      </w:r>
      <w:r>
        <w:t xml:space="preserve"> while </w:t>
      </w:r>
      <w:r w:rsidR="00205718">
        <w:t xml:space="preserve">school </w:t>
      </w:r>
      <w:r>
        <w:t xml:space="preserve">districts </w:t>
      </w:r>
      <w:r w:rsidR="00205718">
        <w:t xml:space="preserve">with </w:t>
      </w:r>
      <w:r w:rsidR="00B2184B">
        <w:t xml:space="preserve">limited financial resources are often unable to </w:t>
      </w:r>
      <w:r>
        <w:t>undertake the necessary renovations</w:t>
      </w:r>
      <w:r w:rsidR="00EC3100">
        <w:t xml:space="preserve">, </w:t>
      </w:r>
      <w:r w:rsidR="00C45F35">
        <w:t>exacerbating health inequities</w:t>
      </w:r>
      <w:r w:rsidR="004145A5">
        <w:t xml:space="preserve"> and perpetuating structural racism</w:t>
      </w:r>
      <w:r>
        <w:t>.</w:t>
      </w:r>
      <w:r>
        <w:fldChar w:fldCharType="begin"/>
      </w:r>
      <w:r w:rsidR="004366C6">
        <w:instrText xml:space="preserve"> ADDIN ZOTERO_ITEM CSL_CITATION {"citationID":"pG9sOyO7","properties":{"formattedCitation":"\\super 112\\nosupersub{}","plainCitation":"112","noteIndex":0},"citationItems":[{"id":440,"uris":["http://zotero.org/groups/5563646/items/GUSN46TL"],"itemData":{"id":440,"type":"article-newspaper","abstract":"Keri Hornbuckle, Ph.D., shared her group's research into polychlorinated biphenyls during Keystone Science Lecture.","container-title":"Environmental Factor","language":"en","title":"Exposure to airborne PCBs an ongoing challenge, expert says","URL":"https://factor.niehs.nih.gov/2022/3/feature/2-feature-pcb-exposure","author":[{"family":"Christensen","given":"Kelly"}],"accessed":{"date-parts":[["2024",7,2]]},"issued":{"date-parts":[["2022",3]]}}}],"schema":"https://github.com/citation-style-language/schema/raw/master/csl-citation.json"} </w:instrText>
      </w:r>
      <w:r>
        <w:fldChar w:fldCharType="separate"/>
      </w:r>
      <w:r w:rsidR="004366C6" w:rsidRPr="004366C6">
        <w:rPr>
          <w:rFonts w:cs="Arial"/>
          <w:vertAlign w:val="superscript"/>
        </w:rPr>
        <w:t>112</w:t>
      </w:r>
      <w:r>
        <w:fldChar w:fldCharType="end"/>
      </w:r>
      <w:r>
        <w:t xml:space="preserve"> </w:t>
      </w:r>
    </w:p>
    <w:p w14:paraId="72658D31" w14:textId="1A45268C" w:rsidR="00AA6FFB" w:rsidRPr="00AA6FFB" w:rsidRDefault="00C4425A" w:rsidP="00621DB7">
      <w:pPr>
        <w:pStyle w:val="AirQualitySubheading"/>
      </w:pPr>
      <w:r>
        <w:t>2a(6)</w:t>
      </w:r>
      <w:r>
        <w:tab/>
      </w:r>
      <w:r w:rsidR="00621DB7">
        <w:t>Reduc</w:t>
      </w:r>
      <w:r w:rsidR="00FC5FC7">
        <w:t>e</w:t>
      </w:r>
      <w:r w:rsidR="00621DB7">
        <w:t xml:space="preserve"> Exposure to </w:t>
      </w:r>
      <w:r w:rsidR="00AA6FFB" w:rsidRPr="00621DB7">
        <w:t>Radon</w:t>
      </w:r>
    </w:p>
    <w:p w14:paraId="214C65B0" w14:textId="7B7D9B1C" w:rsidR="00AA6FFB" w:rsidRDefault="00621DB7" w:rsidP="00621DB7">
      <w:pPr>
        <w:pStyle w:val="Heading3"/>
      </w:pPr>
      <w:r>
        <w:t>Background</w:t>
      </w:r>
    </w:p>
    <w:p w14:paraId="6E40B831" w14:textId="1FC587A2" w:rsidR="00C40C59" w:rsidRPr="00327C86" w:rsidRDefault="4C156BC6" w:rsidP="006D7DE6">
      <w:pPr>
        <w:pStyle w:val="BodyTextFirstIndent"/>
      </w:pPr>
      <w:r>
        <w:t xml:space="preserve">Radon is a naturally occurring radioactive element that is released when rocks and soil break down. During that process, this colorless, odorless, tasteless gas can migrate through </w:t>
      </w:r>
      <w:r w:rsidR="1765F718">
        <w:t xml:space="preserve">the </w:t>
      </w:r>
      <w:r>
        <w:t>soil to the ground surface.</w:t>
      </w:r>
      <w:r w:rsidR="00C40C59">
        <w:fldChar w:fldCharType="begin"/>
      </w:r>
      <w:r w:rsidR="00514AC9">
        <w:instrText xml:space="preserve"> ADDIN ZOTERO_ITEM CSL_CITATION {"citationID":"4ZbgNOQX","properties":{"formattedCitation":"\\super 113\\nosupersub{}","plainCitation":"113","noteIndex":0},"citationItems":[{"id":16,"uris":["http://zotero.org/groups/5563646/items/ZBXZAMNN"],"itemData":{"id":16,"type":"webpage","container-title":"Massachusetts Environmental Public Health Tracking","title":"MEPHT | Radon","URL":"https://matracking.ehs.state.ma.us/Environmental-Data/radon/index.html","author":[{"family":"MDPH","given":""}],"accessed":{"date-parts":[["2024",6,11]]},"issued":{"date-parts":[["2024",4,3]]}}}],"schema":"https://github.com/citation-style-language/schema/raw/master/csl-citation.json"} </w:instrText>
      </w:r>
      <w:r w:rsidR="00C40C59">
        <w:fldChar w:fldCharType="separate"/>
      </w:r>
      <w:r w:rsidR="00514AC9" w:rsidRPr="00514AC9">
        <w:rPr>
          <w:rFonts w:cs="Arial"/>
          <w:vertAlign w:val="superscript"/>
        </w:rPr>
        <w:t>113</w:t>
      </w:r>
      <w:r w:rsidR="00C40C59">
        <w:fldChar w:fldCharType="end"/>
      </w:r>
      <w:r>
        <w:t xml:space="preserve"> Radon can enter buildings such as schools through cracks, joints, and gaps in basement flooring and walls. Long-term inhalation of radon can increase </w:t>
      </w:r>
      <w:r w:rsidR="1765F718">
        <w:t xml:space="preserve">the </w:t>
      </w:r>
      <w:r>
        <w:t>risk of lung cancer, making radon the second leading cause of lung cancer after smoking. Among smokers, lung cancer risk from radon exposure is even greater, as exposure to tobacco and radon interact synergistically.</w:t>
      </w:r>
      <w:r w:rsidR="00C40C59">
        <w:fldChar w:fldCharType="begin"/>
      </w:r>
      <w:r w:rsidR="002563B3">
        <w:instrText xml:space="preserve"> ADDIN ZOTERO_ITEM CSL_CITATION {"citationID":"omzHyu2H","properties":{"formattedCitation":"\\super 113\\nosupersub{}","plainCitation":"113","noteIndex":0},"citationItems":[{"id":16,"uris":["http://zotero.org/groups/5563646/items/ZBXZAMNN"],"itemData":{"id":16,"type":"webpage","container-title":"Massachusetts Environmental Public Health Tracking","title":"MEPHT | Radon","URL":"https://matracking.ehs.state.ma.us/Environmental-Data/radon/index.html","author":[{"family":"MDPH","given":""}],"accessed":{"date-parts":[["2024",6,11]]},"issued":{"date-parts":[["2024",4,3]]}}}],"schema":"https://github.com/citation-style-language/schema/raw/master/csl-citation.json"} </w:instrText>
      </w:r>
      <w:r w:rsidR="00C40C59">
        <w:fldChar w:fldCharType="separate"/>
      </w:r>
      <w:r w:rsidR="002563B3" w:rsidRPr="002563B3">
        <w:rPr>
          <w:rFonts w:cs="Arial"/>
          <w:vertAlign w:val="superscript"/>
        </w:rPr>
        <w:t>113</w:t>
      </w:r>
      <w:r w:rsidR="00C40C59">
        <w:fldChar w:fldCharType="end"/>
      </w:r>
      <w:r>
        <w:t xml:space="preserve"> Smoking and radon exposure can increase risk of lung cancer up to 10-fold compared to radon exposure alone.</w:t>
      </w:r>
      <w:r w:rsidR="00C40C59">
        <w:fldChar w:fldCharType="begin"/>
      </w:r>
      <w:r w:rsidR="00C472D2">
        <w:instrText xml:space="preserve"> ADDIN ZOTERO_ITEM CSL_CITATION {"citationID":"gI99X302","properties":{"formattedCitation":"\\super 113\\nosupersub{}","plainCitation":"113","noteIndex":0},"citationItems":[{"id":16,"uris":["http://zotero.org/groups/5563646/items/ZBXZAMNN"],"itemData":{"id":16,"type":"webpage","container-title":"Massachusetts Environmental Public Health Tracking","title":"MEPHT | Radon","URL":"https://matracking.ehs.state.ma.us/Environmental-Data/radon/index.html","author":[{"family":"MDPH","given":""}],"accessed":{"date-parts":[["2024",6,11]]},"issued":{"date-parts":[["2024",4,3]]}}}],"schema":"https://github.com/citation-style-language/schema/raw/master/csl-citation.json"} </w:instrText>
      </w:r>
      <w:r w:rsidR="00C40C59">
        <w:fldChar w:fldCharType="separate"/>
      </w:r>
      <w:r w:rsidR="00C472D2" w:rsidRPr="00C472D2">
        <w:rPr>
          <w:rFonts w:cs="Arial"/>
          <w:vertAlign w:val="superscript"/>
        </w:rPr>
        <w:t>113</w:t>
      </w:r>
      <w:r w:rsidR="00C40C59">
        <w:fldChar w:fldCharType="end"/>
      </w:r>
      <w:r>
        <w:t xml:space="preserve"> Radon is a relevant issue across all of Massachusetts.</w:t>
      </w:r>
      <w:r w:rsidR="00C40C59">
        <w:fldChar w:fldCharType="begin"/>
      </w:r>
      <w:r w:rsidR="005C4435">
        <w:instrText xml:space="preserve"> ADDIN ZOTERO_ITEM CSL_CITATION {"citationID":"iCKFMqf0","properties":{"formattedCitation":"\\super 113\\nosupersub{}","plainCitation":"113","noteIndex":0},"citationItems":[{"id":16,"uris":["http://zotero.org/groups/5563646/items/ZBXZAMNN"],"itemData":{"id":16,"type":"webpage","container-title":"Massachusetts Environmental Public Health Tracking","title":"MEPHT | Radon","URL":"https://matracking.ehs.state.ma.us/Environmental-Data/radon/index.html","author":[{"family":"MDPH","given":""}],"accessed":{"date-parts":[["2024",6,11]]},"issued":{"date-parts":[["2024",4,3]]}}}],"schema":"https://github.com/citation-style-language/schema/raw/master/csl-citation.json"} </w:instrText>
      </w:r>
      <w:r w:rsidR="00C40C59">
        <w:fldChar w:fldCharType="separate"/>
      </w:r>
      <w:r w:rsidR="005C4435" w:rsidRPr="005C4435">
        <w:rPr>
          <w:rFonts w:cs="Arial"/>
          <w:vertAlign w:val="superscript"/>
        </w:rPr>
        <w:t>113</w:t>
      </w:r>
      <w:r w:rsidR="00C40C59">
        <w:fldChar w:fldCharType="end"/>
      </w:r>
      <w:r>
        <w:t xml:space="preserve"> </w:t>
      </w:r>
      <w:r w:rsidR="1765F718">
        <w:t>An</w:t>
      </w:r>
      <w:r>
        <w:t xml:space="preserve"> estimated 650,000 homes in Massachusetts have radon levels that exceed EPA</w:t>
      </w:r>
      <w:r w:rsidR="002C3A64">
        <w:t>’s</w:t>
      </w:r>
      <w:r>
        <w:t xml:space="preserve"> action guideline of 4 picocuries per liter (pCi/</w:t>
      </w:r>
      <w:r w:rsidR="00717456">
        <w:t>L</w:t>
      </w:r>
      <w:r w:rsidR="5E57E0BC">
        <w:t>).</w:t>
      </w:r>
      <w:r w:rsidR="00C40C59">
        <w:fldChar w:fldCharType="begin"/>
      </w:r>
      <w:r w:rsidR="00CA6592">
        <w:instrText xml:space="preserve"> ADDIN ZOTERO_ITEM CSL_CITATION {"citationID":"DYdBvM5k","properties":{"formattedCitation":"\\super 114\\nosupersub{}","plainCitation":"114","noteIndex":0},"citationItems":[{"id":128,"uris":["http://zotero.org/groups/5563646/items/AUDGZ5U2"],"itemData":{"id":128,"type":"webpage","abstract":"Learn about radon, the risks it poses, how to test your home for it, and how to fix or mitigate high radon levels.","container-title":"Mass.gov","language":"en","title":"Radon - Get the Facts","URL":"https://www.mass.gov/info-details/radon-get-the-facts","author":[{"family":"MDPH","given":""}],"accessed":{"date-parts":[["2024",6,13]]},"issued":{"date-parts":[["2023",11]]}}}],"schema":"https://github.com/citation-style-language/schema/raw/master/csl-citation.json"} </w:instrText>
      </w:r>
      <w:r w:rsidR="00C40C59">
        <w:fldChar w:fldCharType="separate"/>
      </w:r>
      <w:r w:rsidR="00CA6592" w:rsidRPr="00CA6592">
        <w:rPr>
          <w:rFonts w:cs="Arial"/>
          <w:vertAlign w:val="superscript"/>
        </w:rPr>
        <w:t>114</w:t>
      </w:r>
      <w:r w:rsidR="00C40C59">
        <w:fldChar w:fldCharType="end"/>
      </w:r>
      <w:r>
        <w:t xml:space="preserve"> </w:t>
      </w:r>
    </w:p>
    <w:p w14:paraId="65FD4D69" w14:textId="77777777" w:rsidR="00C40C59" w:rsidRDefault="00C40C59" w:rsidP="00C40C59">
      <w:pPr>
        <w:pStyle w:val="Heading3"/>
      </w:pPr>
      <w:r>
        <w:t>Methods and Best Practices</w:t>
      </w:r>
    </w:p>
    <w:p w14:paraId="6DFB7F40" w14:textId="591A28FF" w:rsidR="00F66F36" w:rsidRDefault="00F66F36" w:rsidP="006D7DE6">
      <w:pPr>
        <w:pStyle w:val="BodyTextFirstIndent"/>
      </w:pPr>
      <w:r>
        <w:fldChar w:fldCharType="begin"/>
      </w:r>
      <w:r>
        <w:instrText xml:space="preserve"> REF _Ref170249497 \h </w:instrText>
      </w:r>
      <w:r>
        <w:fldChar w:fldCharType="separate"/>
      </w:r>
      <w:r w:rsidR="00307850">
        <w:t xml:space="preserve">Table </w:t>
      </w:r>
      <w:r w:rsidR="00307850">
        <w:rPr>
          <w:noProof/>
        </w:rPr>
        <w:t>17</w:t>
      </w:r>
      <w:r>
        <w:fldChar w:fldCharType="end"/>
      </w:r>
      <w:r>
        <w:t xml:space="preserve"> </w:t>
      </w:r>
      <w:r w:rsidRPr="00B40F18">
        <w:t xml:space="preserve">summarizes </w:t>
      </w:r>
      <w:r>
        <w:t>methods and best practices for reducing radon exposure in schools</w:t>
      </w:r>
      <w:r w:rsidR="00F830AC">
        <w:t xml:space="preserve"> related to planning and management and </w:t>
      </w:r>
      <w:r w:rsidR="00517101">
        <w:t>technical interventions</w:t>
      </w:r>
      <w:r>
        <w:t xml:space="preserve">. For each method/best practice, the table presents </w:t>
      </w:r>
      <w:r w:rsidRPr="00B40F18">
        <w:t>the approximate</w:t>
      </w:r>
      <w:r>
        <w:t xml:space="preserve"> capital and operating</w:t>
      </w:r>
      <w:r w:rsidRPr="00B40F18">
        <w:t xml:space="preserve"> cost</w:t>
      </w:r>
      <w:r>
        <w:t>s</w:t>
      </w:r>
      <w:r w:rsidRPr="00B40F18">
        <w:t>,</w:t>
      </w:r>
      <w:r>
        <w:t xml:space="preserve"> implementation timeframe</w:t>
      </w:r>
      <w:r w:rsidRPr="00B40F18">
        <w:t>, and</w:t>
      </w:r>
      <w:r>
        <w:t xml:space="preserve"> ease of</w:t>
      </w:r>
      <w:r w:rsidRPr="00B40F18">
        <w:t xml:space="preserve"> implementation</w:t>
      </w:r>
      <w:r>
        <w:t xml:space="preserve">. </w:t>
      </w:r>
      <w:r w:rsidR="00502F95" w:rsidRPr="00C43978">
        <w:t xml:space="preserve">See </w:t>
      </w:r>
      <w:hyperlink w:anchor="SectVII_2a6" w:history="1">
        <w:r w:rsidR="0040050E" w:rsidRPr="007C1A26">
          <w:rPr>
            <w:rStyle w:val="Hyperlink"/>
          </w:rPr>
          <w:t>Section VII, Objective 2a(</w:t>
        </w:r>
        <w:r w:rsidR="007C1A26" w:rsidRPr="007C1A26">
          <w:rPr>
            <w:rStyle w:val="Hyperlink"/>
          </w:rPr>
          <w:t>6</w:t>
        </w:r>
        <w:r w:rsidR="0040050E" w:rsidRPr="007C1A26">
          <w:rPr>
            <w:rStyle w:val="Hyperlink"/>
          </w:rPr>
          <w:t>)</w:t>
        </w:r>
      </w:hyperlink>
      <w:r w:rsidR="00502F95" w:rsidRPr="00C43978">
        <w:t xml:space="preserve"> for additional narrative descriptions of each of the methods and best practices.</w:t>
      </w:r>
    </w:p>
    <w:p w14:paraId="644D9A62" w14:textId="4BBB9143" w:rsidR="00F66F36" w:rsidRDefault="00F66F36" w:rsidP="00B30C96">
      <w:pPr>
        <w:pStyle w:val="TableTitle"/>
      </w:pPr>
      <w:bookmarkStart w:id="179" w:name="_Ref170249497"/>
      <w:bookmarkStart w:id="180" w:name="_Toc170345795"/>
      <w:bookmarkStart w:id="181" w:name="_Toc192711683"/>
      <w:bookmarkStart w:id="182" w:name="_Toc193112565"/>
      <w:bookmarkStart w:id="183" w:name="_Toc193116964"/>
      <w:r>
        <w:lastRenderedPageBreak/>
        <w:t xml:space="preserve">Table </w:t>
      </w:r>
      <w:fldSimple w:instr=" SEQ Table \* ARABIC ">
        <w:r w:rsidR="00307850">
          <w:rPr>
            <w:noProof/>
          </w:rPr>
          <w:t>17</w:t>
        </w:r>
      </w:fldSimple>
      <w:bookmarkEnd w:id="179"/>
      <w:r>
        <w:t xml:space="preserve">. </w:t>
      </w:r>
      <w:r w:rsidRPr="00837CC4">
        <w:t>Methods</w:t>
      </w:r>
      <w:r w:rsidR="00074426">
        <w:t xml:space="preserve"> and </w:t>
      </w:r>
      <w:r w:rsidR="00D137CF">
        <w:t>B</w:t>
      </w:r>
      <w:r w:rsidRPr="00837CC4">
        <w:t>est</w:t>
      </w:r>
      <w:r w:rsidR="00AF438E">
        <w:t xml:space="preserve"> </w:t>
      </w:r>
      <w:r w:rsidR="00D137CF">
        <w:t>P</w:t>
      </w:r>
      <w:r w:rsidRPr="00837CC4">
        <w:t>ractices</w:t>
      </w:r>
      <w:r w:rsidR="00225319">
        <w:t xml:space="preserve"> for</w:t>
      </w:r>
      <w:r w:rsidRPr="00837CC4">
        <w:t xml:space="preserve"> </w:t>
      </w:r>
      <w:r w:rsidR="00D137CF">
        <w:t>R</w:t>
      </w:r>
      <w:r w:rsidRPr="0094472A">
        <w:t>educ</w:t>
      </w:r>
      <w:r>
        <w:t xml:space="preserve">ing </w:t>
      </w:r>
      <w:r w:rsidR="00D137CF">
        <w:t>E</w:t>
      </w:r>
      <w:r>
        <w:t>xposure to</w:t>
      </w:r>
      <w:r w:rsidRPr="0094472A">
        <w:t xml:space="preserve"> </w:t>
      </w:r>
      <w:r w:rsidR="00D137CF">
        <w:t>R</w:t>
      </w:r>
      <w:r w:rsidRPr="0094472A">
        <w:t>adon</w:t>
      </w:r>
      <w:bookmarkEnd w:id="180"/>
      <w:bookmarkEnd w:id="181"/>
      <w:bookmarkEnd w:id="182"/>
      <w:bookmarkEnd w:id="183"/>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radon."/>
      </w:tblPr>
      <w:tblGrid>
        <w:gridCol w:w="544"/>
        <w:gridCol w:w="6240"/>
        <w:gridCol w:w="641"/>
        <w:gridCol w:w="641"/>
        <w:gridCol w:w="641"/>
        <w:gridCol w:w="643"/>
      </w:tblGrid>
      <w:tr w:rsidR="00F66F36" w:rsidRPr="00C8094D" w14:paraId="5D27E843" w14:textId="77777777" w:rsidTr="00F66F36">
        <w:trPr>
          <w:cantSplit/>
          <w:trHeight w:val="2420"/>
          <w:tblHeader/>
          <w:jc w:val="center"/>
        </w:trPr>
        <w:tc>
          <w:tcPr>
            <w:tcW w:w="362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10287D3E" w14:textId="77777777" w:rsidR="00F66F36" w:rsidRDefault="00F66F36">
            <w:pPr>
              <w:pStyle w:val="TableColumnHeader"/>
            </w:pPr>
            <w:r>
              <w:t>Methods/Best Practices</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C596C9E" w14:textId="77777777" w:rsidR="00F66F36" w:rsidRPr="00C8094D" w:rsidRDefault="00F66F36">
            <w:pPr>
              <w:pStyle w:val="TableColumnHeader"/>
              <w:jc w:val="left"/>
            </w:pPr>
            <w:r>
              <w:t xml:space="preserve">Capital </w:t>
            </w:r>
            <w:r w:rsidRPr="00C8094D">
              <w:t>Cost</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0DA8D2FA" w14:textId="77777777" w:rsidR="00F66F36" w:rsidRDefault="00F66F36">
            <w:pPr>
              <w:pStyle w:val="TableColumnHeader"/>
              <w:jc w:val="left"/>
            </w:pPr>
            <w:r>
              <w:t>Operating Cost</w:t>
            </w:r>
          </w:p>
        </w:tc>
        <w:tc>
          <w:tcPr>
            <w:tcW w:w="343"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20B271C0" w14:textId="77777777" w:rsidR="00F66F36" w:rsidRPr="00C8094D" w:rsidRDefault="00F66F36">
            <w:pPr>
              <w:pStyle w:val="TableColumnHeader"/>
              <w:jc w:val="left"/>
            </w:pPr>
            <w:r>
              <w:t xml:space="preserve">Implementation </w:t>
            </w:r>
            <w:r w:rsidRPr="00C8094D">
              <w:t>Timeframe</w:t>
            </w:r>
          </w:p>
        </w:tc>
        <w:tc>
          <w:tcPr>
            <w:tcW w:w="344"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8C29DAD" w14:textId="77777777" w:rsidR="00F66F36" w:rsidRPr="00C8094D" w:rsidRDefault="00F66F36">
            <w:pPr>
              <w:pStyle w:val="TableColumnHeader"/>
              <w:jc w:val="left"/>
            </w:pPr>
            <w:r>
              <w:t xml:space="preserve">Ease of </w:t>
            </w:r>
            <w:r w:rsidRPr="00C8094D">
              <w:t>Implementation</w:t>
            </w:r>
          </w:p>
        </w:tc>
      </w:tr>
      <w:tr w:rsidR="00F66F36" w:rsidRPr="00C8094D" w14:paraId="3EE1C601" w14:textId="77777777" w:rsidTr="00F66F36">
        <w:trPr>
          <w:cantSplit/>
          <w:trHeight w:val="255"/>
          <w:tblHeader/>
          <w:jc w:val="center"/>
        </w:trPr>
        <w:tc>
          <w:tcPr>
            <w:tcW w:w="3627" w:type="pct"/>
            <w:gridSpan w:val="2"/>
            <w:tcBorders>
              <w:top w:val="nil"/>
              <w:left w:val="single" w:sz="4" w:space="0" w:color="auto"/>
              <w:bottom w:val="single" w:sz="4" w:space="0" w:color="auto"/>
              <w:right w:val="single" w:sz="4" w:space="0" w:color="auto"/>
            </w:tcBorders>
            <w:shd w:val="clear" w:color="auto" w:fill="1F497D" w:themeFill="text2"/>
          </w:tcPr>
          <w:p w14:paraId="5F063A44" w14:textId="232CECBA" w:rsidR="00F66F36" w:rsidRPr="00276B41" w:rsidRDefault="00F66F36">
            <w:pPr>
              <w:pStyle w:val="TableRowHeader"/>
            </w:pPr>
            <w:r>
              <w:t xml:space="preserve">Planning and </w:t>
            </w:r>
            <w:r w:rsidR="005B66F8">
              <w:t>Management</w:t>
            </w:r>
          </w:p>
        </w:tc>
        <w:tc>
          <w:tcPr>
            <w:tcW w:w="343" w:type="pct"/>
            <w:tcBorders>
              <w:top w:val="nil"/>
              <w:left w:val="single" w:sz="4" w:space="0" w:color="auto"/>
              <w:bottom w:val="single" w:sz="4" w:space="0" w:color="auto"/>
              <w:right w:val="single" w:sz="4" w:space="0" w:color="auto"/>
            </w:tcBorders>
            <w:shd w:val="clear" w:color="auto" w:fill="1F497D" w:themeFill="text2"/>
            <w:vAlign w:val="center"/>
          </w:tcPr>
          <w:p w14:paraId="0CF61A13" w14:textId="77777777" w:rsidR="00F66F36" w:rsidRPr="00276B41" w:rsidRDefault="00F66F36">
            <w:pPr>
              <w:pStyle w:val="TableText"/>
            </w:pPr>
          </w:p>
        </w:tc>
        <w:tc>
          <w:tcPr>
            <w:tcW w:w="34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852F66F" w14:textId="77777777" w:rsidR="00F66F36" w:rsidRPr="00276B41" w:rsidRDefault="00F66F36">
            <w:pPr>
              <w:pStyle w:val="TableText"/>
            </w:pPr>
          </w:p>
        </w:tc>
        <w:tc>
          <w:tcPr>
            <w:tcW w:w="34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1C4EE9F" w14:textId="77777777" w:rsidR="00F66F36" w:rsidRPr="00276B41" w:rsidRDefault="00F66F36">
            <w:pPr>
              <w:pStyle w:val="TableText"/>
            </w:pPr>
          </w:p>
        </w:tc>
        <w:tc>
          <w:tcPr>
            <w:tcW w:w="344"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B030B9F" w14:textId="77777777" w:rsidR="00F66F36" w:rsidRPr="00276B41" w:rsidRDefault="00F66F36">
            <w:pPr>
              <w:pStyle w:val="TableText"/>
            </w:pPr>
          </w:p>
        </w:tc>
      </w:tr>
      <w:tr w:rsidR="00F66F36" w:rsidRPr="00C8094D" w14:paraId="1870088C" w14:textId="77777777" w:rsidTr="00F66F36">
        <w:trPr>
          <w:cantSplit/>
          <w:trHeight w:val="255"/>
          <w:tblHeader/>
          <w:jc w:val="center"/>
        </w:trPr>
        <w:tc>
          <w:tcPr>
            <w:tcW w:w="290" w:type="pct"/>
            <w:tcBorders>
              <w:top w:val="nil"/>
              <w:left w:val="single" w:sz="4" w:space="0" w:color="auto"/>
              <w:bottom w:val="single" w:sz="4" w:space="0" w:color="auto"/>
            </w:tcBorders>
            <w:shd w:val="clear" w:color="auto" w:fill="auto"/>
          </w:tcPr>
          <w:p w14:paraId="7675ECDA" w14:textId="77777777" w:rsidR="00F66F36" w:rsidRDefault="00F66F36">
            <w:pPr>
              <w:pStyle w:val="TableText"/>
            </w:pPr>
            <w:r>
              <w:t>(1)</w:t>
            </w:r>
          </w:p>
        </w:tc>
        <w:tc>
          <w:tcPr>
            <w:tcW w:w="3337" w:type="pct"/>
            <w:tcBorders>
              <w:top w:val="single" w:sz="4" w:space="0" w:color="auto"/>
              <w:bottom w:val="single" w:sz="4" w:space="0" w:color="auto"/>
              <w:right w:val="single" w:sz="4" w:space="0" w:color="auto"/>
            </w:tcBorders>
          </w:tcPr>
          <w:p w14:paraId="250C54E4" w14:textId="53990CD7" w:rsidR="00F66F36" w:rsidRDefault="00F66F36">
            <w:pPr>
              <w:pStyle w:val="TableText"/>
            </w:pPr>
            <w:r>
              <w:t xml:space="preserve">Consider radon in the design and construction of new school buildings </w:t>
            </w:r>
          </w:p>
        </w:tc>
        <w:tc>
          <w:tcPr>
            <w:tcW w:w="343" w:type="pct"/>
            <w:tcBorders>
              <w:top w:val="nil"/>
              <w:left w:val="single" w:sz="4" w:space="0" w:color="auto"/>
              <w:bottom w:val="single" w:sz="4" w:space="0" w:color="auto"/>
              <w:right w:val="single" w:sz="4" w:space="0" w:color="auto"/>
            </w:tcBorders>
            <w:shd w:val="clear" w:color="auto" w:fill="auto"/>
            <w:vAlign w:val="center"/>
          </w:tcPr>
          <w:p w14:paraId="652185AB"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vAlign w:val="center"/>
          </w:tcPr>
          <w:p w14:paraId="5211DEF7"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2A38E83" w14:textId="77777777" w:rsidR="00F66F36" w:rsidRPr="00C8094D" w:rsidRDefault="00F66F36">
            <w:pPr>
              <w:pStyle w:val="TableText"/>
            </w:pPr>
            <w:r>
              <w:t>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79EF6D5" w14:textId="77777777" w:rsidR="00F66F36" w:rsidRPr="00C8094D" w:rsidRDefault="00F66F36">
            <w:pPr>
              <w:pStyle w:val="TableText"/>
            </w:pPr>
            <w:r>
              <w:t>1</w:t>
            </w:r>
          </w:p>
        </w:tc>
      </w:tr>
      <w:tr w:rsidR="00F66F36" w:rsidRPr="00C8094D" w14:paraId="167B4A45" w14:textId="77777777" w:rsidTr="00F66F36">
        <w:trPr>
          <w:cantSplit/>
          <w:trHeight w:val="255"/>
          <w:tblHeader/>
          <w:jc w:val="center"/>
        </w:trPr>
        <w:tc>
          <w:tcPr>
            <w:tcW w:w="290" w:type="pct"/>
            <w:tcBorders>
              <w:top w:val="nil"/>
              <w:left w:val="single" w:sz="4" w:space="0" w:color="auto"/>
              <w:bottom w:val="single" w:sz="4" w:space="0" w:color="auto"/>
            </w:tcBorders>
            <w:shd w:val="clear" w:color="auto" w:fill="auto"/>
          </w:tcPr>
          <w:p w14:paraId="1D049B0F" w14:textId="77777777" w:rsidR="00F66F36" w:rsidRDefault="00F66F36">
            <w:pPr>
              <w:pStyle w:val="TableText"/>
            </w:pPr>
            <w:r>
              <w:t>(2)</w:t>
            </w:r>
          </w:p>
        </w:tc>
        <w:tc>
          <w:tcPr>
            <w:tcW w:w="3337" w:type="pct"/>
            <w:tcBorders>
              <w:top w:val="single" w:sz="4" w:space="0" w:color="auto"/>
              <w:bottom w:val="single" w:sz="4" w:space="0" w:color="auto"/>
              <w:right w:val="single" w:sz="4" w:space="0" w:color="auto"/>
            </w:tcBorders>
          </w:tcPr>
          <w:p w14:paraId="54BD4AC4" w14:textId="39FA21E1" w:rsidR="00F66F36" w:rsidRDefault="00F66F36">
            <w:pPr>
              <w:pStyle w:val="TableText"/>
            </w:pPr>
            <w:r w:rsidRPr="653D8BA2">
              <w:rPr>
                <w:color w:val="000000" w:themeColor="text1"/>
              </w:rPr>
              <w:t xml:space="preserve">Have </w:t>
            </w:r>
            <w:r w:rsidR="000116C7">
              <w:rPr>
                <w:color w:val="000000" w:themeColor="text1"/>
              </w:rPr>
              <w:t>certified</w:t>
            </w:r>
            <w:r w:rsidRPr="653D8BA2">
              <w:rPr>
                <w:color w:val="000000" w:themeColor="text1"/>
              </w:rPr>
              <w:t xml:space="preserve"> personnel test all occupied rooms for radon</w:t>
            </w:r>
          </w:p>
        </w:tc>
        <w:tc>
          <w:tcPr>
            <w:tcW w:w="343" w:type="pct"/>
            <w:tcBorders>
              <w:top w:val="nil"/>
              <w:left w:val="single" w:sz="4" w:space="0" w:color="auto"/>
              <w:bottom w:val="single" w:sz="4" w:space="0" w:color="auto"/>
              <w:right w:val="single" w:sz="4" w:space="0" w:color="auto"/>
            </w:tcBorders>
            <w:shd w:val="clear" w:color="auto" w:fill="auto"/>
            <w:vAlign w:val="center"/>
          </w:tcPr>
          <w:p w14:paraId="7CEA2381" w14:textId="0EB98476"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3D61180E" w14:textId="7C97914C" w:rsidR="00F66F36" w:rsidRPr="00E908A5" w:rsidRDefault="00763434">
            <w:pPr>
              <w:pStyle w:val="TableText"/>
            </w:pPr>
            <w:r>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50E4A53B" w14:textId="77777777" w:rsidR="00F66F36" w:rsidRPr="00C8094D" w:rsidRDefault="00F66F36">
            <w:pPr>
              <w:pStyle w:val="TableText"/>
            </w:pPr>
            <w:r>
              <w:t>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6EA3A199" w14:textId="77777777" w:rsidR="00F66F36" w:rsidRPr="00C8094D" w:rsidRDefault="00F66F36">
            <w:pPr>
              <w:pStyle w:val="TableText"/>
            </w:pPr>
            <w:r>
              <w:t>1</w:t>
            </w:r>
          </w:p>
        </w:tc>
      </w:tr>
      <w:tr w:rsidR="00F66F36" w:rsidRPr="00C8094D" w14:paraId="74954212" w14:textId="77777777" w:rsidTr="00F66F36">
        <w:trPr>
          <w:cantSplit/>
          <w:trHeight w:val="255"/>
          <w:tblHeader/>
          <w:jc w:val="center"/>
        </w:trPr>
        <w:tc>
          <w:tcPr>
            <w:tcW w:w="290" w:type="pct"/>
            <w:tcBorders>
              <w:top w:val="nil"/>
              <w:left w:val="single" w:sz="4" w:space="0" w:color="auto"/>
              <w:bottom w:val="single" w:sz="4" w:space="0" w:color="auto"/>
            </w:tcBorders>
            <w:shd w:val="clear" w:color="auto" w:fill="auto"/>
          </w:tcPr>
          <w:p w14:paraId="12DCEAE6" w14:textId="77777777" w:rsidR="00F66F36" w:rsidRDefault="00F66F36">
            <w:pPr>
              <w:pStyle w:val="TableText"/>
            </w:pPr>
            <w:r>
              <w:t>(3)</w:t>
            </w:r>
          </w:p>
        </w:tc>
        <w:tc>
          <w:tcPr>
            <w:tcW w:w="3337" w:type="pct"/>
            <w:tcBorders>
              <w:top w:val="single" w:sz="4" w:space="0" w:color="auto"/>
              <w:bottom w:val="single" w:sz="4" w:space="0" w:color="auto"/>
              <w:right w:val="single" w:sz="4" w:space="0" w:color="auto"/>
            </w:tcBorders>
          </w:tcPr>
          <w:p w14:paraId="402C2503" w14:textId="6BE88658" w:rsidR="00F66F36" w:rsidRDefault="00F66F36">
            <w:pPr>
              <w:pStyle w:val="TableText"/>
            </w:pPr>
            <w:r>
              <w:t>Develop and implement a radon reduction plan</w:t>
            </w:r>
          </w:p>
        </w:tc>
        <w:tc>
          <w:tcPr>
            <w:tcW w:w="343" w:type="pct"/>
            <w:tcBorders>
              <w:top w:val="nil"/>
              <w:left w:val="single" w:sz="4" w:space="0" w:color="auto"/>
              <w:bottom w:val="single" w:sz="4" w:space="0" w:color="auto"/>
              <w:right w:val="single" w:sz="4" w:space="0" w:color="auto"/>
            </w:tcBorders>
            <w:shd w:val="clear" w:color="auto" w:fill="auto"/>
            <w:vAlign w:val="center"/>
          </w:tcPr>
          <w:p w14:paraId="7894CB6A"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7F4C8DDA"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6EAD736" w14:textId="77777777" w:rsidR="00F66F36" w:rsidRDefault="00F66F36">
            <w:pPr>
              <w:pStyle w:val="TableText"/>
            </w:pPr>
            <w:r>
              <w:t>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6A4F0590" w14:textId="77777777" w:rsidR="00F66F36" w:rsidRDefault="00F66F36">
            <w:pPr>
              <w:pStyle w:val="TableText"/>
            </w:pPr>
            <w:r>
              <w:t>1</w:t>
            </w:r>
          </w:p>
        </w:tc>
      </w:tr>
      <w:tr w:rsidR="00F66F36" w:rsidRPr="00C8094D" w14:paraId="02FABF42"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1D14A7CC" w14:textId="77777777" w:rsidR="00F66F36" w:rsidRPr="00C8094D" w:rsidRDefault="00F66F36">
            <w:pPr>
              <w:pStyle w:val="TableText"/>
            </w:pPr>
            <w:r>
              <w:t>(4)</w:t>
            </w:r>
          </w:p>
        </w:tc>
        <w:tc>
          <w:tcPr>
            <w:tcW w:w="3337" w:type="pct"/>
            <w:tcBorders>
              <w:top w:val="single" w:sz="4" w:space="0" w:color="auto"/>
              <w:bottom w:val="single" w:sz="4" w:space="0" w:color="auto"/>
              <w:right w:val="single" w:sz="4" w:space="0" w:color="auto"/>
            </w:tcBorders>
          </w:tcPr>
          <w:p w14:paraId="3C760F4E" w14:textId="6F271AAC" w:rsidR="00F66F36" w:rsidRPr="00C8094D" w:rsidRDefault="00F66F36">
            <w:pPr>
              <w:pStyle w:val="TableText"/>
            </w:pPr>
            <w:r>
              <w:t>Take action to mitigate radon if levels are above or approaching EPA Action Level</w:t>
            </w:r>
            <w:r w:rsidR="00ED1122">
              <w:t>s</w:t>
            </w:r>
          </w:p>
        </w:tc>
        <w:tc>
          <w:tcPr>
            <w:tcW w:w="343" w:type="pct"/>
            <w:tcBorders>
              <w:top w:val="nil"/>
              <w:left w:val="single" w:sz="4" w:space="0" w:color="auto"/>
              <w:bottom w:val="single" w:sz="4" w:space="0" w:color="auto"/>
              <w:right w:val="single" w:sz="4" w:space="0" w:color="auto"/>
            </w:tcBorders>
            <w:shd w:val="clear" w:color="auto" w:fill="auto"/>
            <w:vAlign w:val="center"/>
          </w:tcPr>
          <w:p w14:paraId="18360725"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vAlign w:val="center"/>
          </w:tcPr>
          <w:p w14:paraId="6BBCC7D1"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44A91AA" w14:textId="77777777" w:rsidR="00F66F36" w:rsidRPr="00C8094D" w:rsidRDefault="00F66F36">
            <w:pPr>
              <w:pStyle w:val="TableText"/>
            </w:pPr>
            <w:r>
              <w:t>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BC30098" w14:textId="77777777" w:rsidR="00F66F36" w:rsidRPr="00C8094D" w:rsidRDefault="00F66F36">
            <w:pPr>
              <w:pStyle w:val="TableText"/>
            </w:pPr>
            <w:r>
              <w:t>2</w:t>
            </w:r>
          </w:p>
        </w:tc>
      </w:tr>
      <w:tr w:rsidR="00F66F36" w:rsidRPr="00C8094D" w14:paraId="7171C2FA"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6887FA27" w14:textId="77777777" w:rsidR="00F66F36" w:rsidRDefault="00F66F36">
            <w:pPr>
              <w:pStyle w:val="TableText"/>
            </w:pPr>
            <w:r>
              <w:t>(5)</w:t>
            </w:r>
          </w:p>
        </w:tc>
        <w:tc>
          <w:tcPr>
            <w:tcW w:w="3337" w:type="pct"/>
            <w:tcBorders>
              <w:top w:val="single" w:sz="4" w:space="0" w:color="auto"/>
              <w:bottom w:val="single" w:sz="4" w:space="0" w:color="auto"/>
              <w:right w:val="single" w:sz="4" w:space="0" w:color="auto"/>
            </w:tcBorders>
          </w:tcPr>
          <w:p w14:paraId="43948655" w14:textId="06DF977C" w:rsidR="00F66F36" w:rsidRDefault="00F66F36">
            <w:pPr>
              <w:pStyle w:val="TableText"/>
            </w:pPr>
            <w:r>
              <w:t>Educate and communicate information to parents, students, and staff</w:t>
            </w:r>
          </w:p>
        </w:tc>
        <w:tc>
          <w:tcPr>
            <w:tcW w:w="343" w:type="pct"/>
            <w:tcBorders>
              <w:top w:val="nil"/>
              <w:left w:val="single" w:sz="4" w:space="0" w:color="auto"/>
              <w:bottom w:val="single" w:sz="4" w:space="0" w:color="auto"/>
              <w:right w:val="single" w:sz="4" w:space="0" w:color="auto"/>
            </w:tcBorders>
            <w:shd w:val="clear" w:color="auto" w:fill="auto"/>
            <w:vAlign w:val="center"/>
          </w:tcPr>
          <w:p w14:paraId="33F24565"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705CF759"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98A125C" w14:textId="77777777" w:rsidR="00F66F36" w:rsidRPr="00C8094D" w:rsidRDefault="00F66F36">
            <w:pPr>
              <w:pStyle w:val="TableText"/>
            </w:pPr>
            <w:r>
              <w:t>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00EF252C" w14:textId="77777777" w:rsidR="00F66F36" w:rsidRPr="00C8094D" w:rsidRDefault="00F66F36">
            <w:pPr>
              <w:pStyle w:val="TableText"/>
            </w:pPr>
            <w:r>
              <w:t>1</w:t>
            </w:r>
          </w:p>
        </w:tc>
      </w:tr>
      <w:tr w:rsidR="00F66F36" w:rsidRPr="00C8094D" w14:paraId="3AAB53E5"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3451E14A" w14:textId="77777777" w:rsidR="00F66F36" w:rsidRDefault="00F66F36">
            <w:pPr>
              <w:pStyle w:val="TableText"/>
            </w:pPr>
            <w:r>
              <w:t>(6)</w:t>
            </w:r>
          </w:p>
        </w:tc>
        <w:tc>
          <w:tcPr>
            <w:tcW w:w="3337" w:type="pct"/>
            <w:tcBorders>
              <w:top w:val="single" w:sz="4" w:space="0" w:color="auto"/>
              <w:bottom w:val="single" w:sz="4" w:space="0" w:color="auto"/>
              <w:right w:val="single" w:sz="4" w:space="0" w:color="auto"/>
            </w:tcBorders>
          </w:tcPr>
          <w:p w14:paraId="443CABA0" w14:textId="464707F8" w:rsidR="00F66F36" w:rsidRDefault="00F66F36">
            <w:pPr>
              <w:pStyle w:val="TableText"/>
            </w:pPr>
            <w:r>
              <w:t>Periodically retest areas of the school after mitigation</w:t>
            </w:r>
          </w:p>
        </w:tc>
        <w:tc>
          <w:tcPr>
            <w:tcW w:w="343" w:type="pct"/>
            <w:tcBorders>
              <w:top w:val="nil"/>
              <w:left w:val="single" w:sz="4" w:space="0" w:color="auto"/>
              <w:bottom w:val="single" w:sz="4" w:space="0" w:color="auto"/>
              <w:right w:val="single" w:sz="4" w:space="0" w:color="auto"/>
            </w:tcBorders>
            <w:shd w:val="clear" w:color="auto" w:fill="auto"/>
            <w:vAlign w:val="center"/>
          </w:tcPr>
          <w:p w14:paraId="6690E77F"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600DF330"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237628A" w14:textId="77777777" w:rsidR="00F66F36" w:rsidRDefault="00F66F36">
            <w:pPr>
              <w:pStyle w:val="TableText"/>
            </w:pPr>
            <w:r>
              <w:t>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1CC0366" w14:textId="77777777" w:rsidR="00F66F36" w:rsidRDefault="00F66F36">
            <w:pPr>
              <w:pStyle w:val="TableText"/>
            </w:pPr>
            <w:r>
              <w:t>1</w:t>
            </w:r>
          </w:p>
        </w:tc>
      </w:tr>
      <w:tr w:rsidR="00F66F36" w:rsidRPr="00C8094D" w14:paraId="580ECD05"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59BE4B23" w14:textId="77777777" w:rsidR="00F66F36" w:rsidRDefault="00F66F36">
            <w:pPr>
              <w:pStyle w:val="TableText"/>
            </w:pPr>
            <w:r>
              <w:t>(7)</w:t>
            </w:r>
          </w:p>
        </w:tc>
        <w:tc>
          <w:tcPr>
            <w:tcW w:w="3337" w:type="pct"/>
            <w:tcBorders>
              <w:top w:val="single" w:sz="4" w:space="0" w:color="auto"/>
              <w:bottom w:val="single" w:sz="4" w:space="0" w:color="auto"/>
              <w:right w:val="single" w:sz="4" w:space="0" w:color="auto"/>
            </w:tcBorders>
          </w:tcPr>
          <w:p w14:paraId="74555A79" w14:textId="0D2D8F2A" w:rsidR="00F66F36" w:rsidRDefault="00F66F36">
            <w:pPr>
              <w:pStyle w:val="TableText"/>
            </w:pPr>
            <w:r>
              <w:t>Maintain records of ongoing radon testing and radon mitigation system</w:t>
            </w:r>
          </w:p>
        </w:tc>
        <w:tc>
          <w:tcPr>
            <w:tcW w:w="343" w:type="pct"/>
            <w:tcBorders>
              <w:top w:val="nil"/>
              <w:left w:val="single" w:sz="4" w:space="0" w:color="auto"/>
              <w:bottom w:val="single" w:sz="4" w:space="0" w:color="auto"/>
              <w:right w:val="single" w:sz="4" w:space="0" w:color="auto"/>
            </w:tcBorders>
            <w:shd w:val="clear" w:color="auto" w:fill="auto"/>
            <w:vAlign w:val="center"/>
          </w:tcPr>
          <w:p w14:paraId="097CCF38"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1426432E"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AEBF928" w14:textId="77777777" w:rsidR="00F66F36" w:rsidRDefault="00F66F36">
            <w:pPr>
              <w:pStyle w:val="TableText"/>
            </w:pPr>
            <w:r>
              <w:t>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69C224E8" w14:textId="77777777" w:rsidR="00F66F36" w:rsidRDefault="00F66F36">
            <w:pPr>
              <w:pStyle w:val="TableText"/>
            </w:pPr>
            <w:r>
              <w:t>1</w:t>
            </w:r>
          </w:p>
        </w:tc>
      </w:tr>
      <w:tr w:rsidR="00F66F36" w:rsidRPr="00C8094D" w14:paraId="572D744E"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4ADC1281" w14:textId="77777777" w:rsidR="00F66F36" w:rsidRDefault="00F66F36">
            <w:pPr>
              <w:pStyle w:val="TableText"/>
            </w:pPr>
            <w:r>
              <w:t>(8)</w:t>
            </w:r>
          </w:p>
        </w:tc>
        <w:tc>
          <w:tcPr>
            <w:tcW w:w="3337" w:type="pct"/>
            <w:tcBorders>
              <w:top w:val="single" w:sz="4" w:space="0" w:color="auto"/>
              <w:bottom w:val="single" w:sz="4" w:space="0" w:color="auto"/>
              <w:right w:val="single" w:sz="4" w:space="0" w:color="auto"/>
            </w:tcBorders>
          </w:tcPr>
          <w:p w14:paraId="77BEC8F5" w14:textId="3FCDBC2D" w:rsidR="00F66F36" w:rsidRDefault="00C13D5A">
            <w:pPr>
              <w:pStyle w:val="TableText"/>
            </w:pPr>
            <w:r>
              <w:t>Maintain</w:t>
            </w:r>
            <w:r w:rsidR="00F66F36">
              <w:t xml:space="preserve"> continuity of </w:t>
            </w:r>
            <w:r w:rsidR="00ED1122">
              <w:t>the school’s r</w:t>
            </w:r>
            <w:r w:rsidR="00F66F36">
              <w:t>adon mitigation plan</w:t>
            </w:r>
          </w:p>
        </w:tc>
        <w:tc>
          <w:tcPr>
            <w:tcW w:w="343" w:type="pct"/>
            <w:tcBorders>
              <w:top w:val="nil"/>
              <w:left w:val="single" w:sz="4" w:space="0" w:color="auto"/>
              <w:bottom w:val="single" w:sz="4" w:space="0" w:color="auto"/>
              <w:right w:val="single" w:sz="4" w:space="0" w:color="auto"/>
            </w:tcBorders>
            <w:shd w:val="clear" w:color="auto" w:fill="auto"/>
            <w:vAlign w:val="center"/>
          </w:tcPr>
          <w:p w14:paraId="6D3066FF"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vAlign w:val="center"/>
          </w:tcPr>
          <w:p w14:paraId="74EC388C"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5425310" w14:textId="77777777" w:rsidR="00F66F36" w:rsidRDefault="00F66F36">
            <w:pPr>
              <w:pStyle w:val="TableText"/>
            </w:pPr>
            <w:r>
              <w:t>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C795E8E" w14:textId="77777777" w:rsidR="00F66F36" w:rsidRDefault="00F66F36">
            <w:pPr>
              <w:pStyle w:val="TableText"/>
            </w:pPr>
            <w:r>
              <w:t>1</w:t>
            </w:r>
          </w:p>
        </w:tc>
      </w:tr>
      <w:tr w:rsidR="00F66F36" w:rsidRPr="00C8094D" w14:paraId="7F42B438" w14:textId="77777777" w:rsidTr="00F66F36">
        <w:trPr>
          <w:cantSplit/>
          <w:trHeight w:val="255"/>
          <w:tblHeader/>
          <w:jc w:val="center"/>
        </w:trPr>
        <w:tc>
          <w:tcPr>
            <w:tcW w:w="3627"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5D3C4F5" w14:textId="35090657" w:rsidR="00F66F36" w:rsidRPr="00276B41" w:rsidRDefault="00F66F36" w:rsidP="00F66F36">
            <w:pPr>
              <w:pStyle w:val="TableRowHeader"/>
            </w:pPr>
            <w:r>
              <w:t xml:space="preserve">Technical </w:t>
            </w:r>
            <w:r w:rsidR="005B66F8">
              <w:t>Interventions</w:t>
            </w:r>
          </w:p>
        </w:tc>
        <w:tc>
          <w:tcPr>
            <w:tcW w:w="343" w:type="pct"/>
            <w:tcBorders>
              <w:top w:val="nil"/>
              <w:left w:val="single" w:sz="4" w:space="0" w:color="auto"/>
              <w:bottom w:val="single" w:sz="4" w:space="0" w:color="auto"/>
              <w:right w:val="single" w:sz="4" w:space="0" w:color="auto"/>
            </w:tcBorders>
            <w:shd w:val="clear" w:color="auto" w:fill="1F497D" w:themeFill="text2"/>
            <w:vAlign w:val="center"/>
          </w:tcPr>
          <w:p w14:paraId="28379EB5" w14:textId="77777777" w:rsidR="00F66F36" w:rsidRPr="00E908A5" w:rsidRDefault="00F66F36">
            <w:pPr>
              <w:pStyle w:val="TableText"/>
            </w:pPr>
          </w:p>
        </w:tc>
        <w:tc>
          <w:tcPr>
            <w:tcW w:w="34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8D045F7" w14:textId="77777777" w:rsidR="00F66F36" w:rsidRPr="00E908A5" w:rsidRDefault="00F66F36">
            <w:pPr>
              <w:pStyle w:val="TableText"/>
            </w:pPr>
          </w:p>
        </w:tc>
        <w:tc>
          <w:tcPr>
            <w:tcW w:w="34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919081E" w14:textId="77777777" w:rsidR="00F66F36" w:rsidRPr="00276B41" w:rsidRDefault="00F66F36">
            <w:pPr>
              <w:pStyle w:val="TableText"/>
            </w:pPr>
          </w:p>
        </w:tc>
        <w:tc>
          <w:tcPr>
            <w:tcW w:w="344"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0595C9D" w14:textId="77777777" w:rsidR="00F66F36" w:rsidRPr="00276B41" w:rsidRDefault="00F66F36">
            <w:pPr>
              <w:pStyle w:val="TableText"/>
            </w:pPr>
          </w:p>
        </w:tc>
      </w:tr>
      <w:tr w:rsidR="00F66F36" w:rsidRPr="00C8094D" w14:paraId="55975106"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3D08C999" w14:textId="77777777" w:rsidR="00F66F36" w:rsidRPr="00C8094D" w:rsidRDefault="00F66F36">
            <w:pPr>
              <w:pStyle w:val="TableText"/>
            </w:pPr>
            <w:r>
              <w:t>(9)</w:t>
            </w:r>
          </w:p>
        </w:tc>
        <w:tc>
          <w:tcPr>
            <w:tcW w:w="3337" w:type="pct"/>
            <w:tcBorders>
              <w:top w:val="single" w:sz="4" w:space="0" w:color="auto"/>
              <w:bottom w:val="single" w:sz="4" w:space="0" w:color="auto"/>
              <w:right w:val="single" w:sz="4" w:space="0" w:color="auto"/>
            </w:tcBorders>
          </w:tcPr>
          <w:p w14:paraId="152AC12F" w14:textId="1975E93C" w:rsidR="00F66F36" w:rsidRPr="00C8094D" w:rsidRDefault="00F66F36">
            <w:pPr>
              <w:pStyle w:val="TableText"/>
            </w:pPr>
            <w:r>
              <w:t>Install a radon mitigation system</w:t>
            </w:r>
          </w:p>
        </w:tc>
        <w:tc>
          <w:tcPr>
            <w:tcW w:w="343" w:type="pct"/>
            <w:tcBorders>
              <w:top w:val="nil"/>
              <w:left w:val="single" w:sz="4" w:space="0" w:color="auto"/>
              <w:bottom w:val="single" w:sz="4" w:space="0" w:color="auto"/>
              <w:right w:val="single" w:sz="4" w:space="0" w:color="auto"/>
            </w:tcBorders>
            <w:shd w:val="clear" w:color="auto" w:fill="auto"/>
            <w:vAlign w:val="center"/>
          </w:tcPr>
          <w:p w14:paraId="2441F04F"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vAlign w:val="center"/>
          </w:tcPr>
          <w:p w14:paraId="10ACBE13"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E049B4B" w14:textId="77777777" w:rsidR="00F66F36" w:rsidRPr="00F45120" w:rsidRDefault="00F66F36">
            <w:pPr>
              <w:pStyle w:val="TableText"/>
            </w:pPr>
            <w:r>
              <w:t>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1C67586" w14:textId="77777777" w:rsidR="00F66F36" w:rsidRPr="00F45120" w:rsidRDefault="00F66F36">
            <w:pPr>
              <w:pStyle w:val="TableText"/>
            </w:pPr>
            <w:r>
              <w:t>1</w:t>
            </w:r>
          </w:p>
        </w:tc>
      </w:tr>
      <w:tr w:rsidR="00F66F36" w:rsidRPr="00C8094D" w14:paraId="545A729D"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290C27A0" w14:textId="77777777" w:rsidR="00F66F36" w:rsidRDefault="00F66F36">
            <w:pPr>
              <w:pStyle w:val="TableText"/>
            </w:pPr>
            <w:r>
              <w:t>(10)</w:t>
            </w:r>
          </w:p>
        </w:tc>
        <w:tc>
          <w:tcPr>
            <w:tcW w:w="3337" w:type="pct"/>
            <w:tcBorders>
              <w:top w:val="single" w:sz="4" w:space="0" w:color="auto"/>
              <w:bottom w:val="single" w:sz="4" w:space="0" w:color="auto"/>
              <w:right w:val="single" w:sz="4" w:space="0" w:color="auto"/>
            </w:tcBorders>
          </w:tcPr>
          <w:p w14:paraId="5258F3CD" w14:textId="742D1F06" w:rsidR="00F66F36" w:rsidRDefault="00F66F36">
            <w:pPr>
              <w:pStyle w:val="TableText"/>
            </w:pPr>
            <w:r>
              <w:t>Seal cracks and joints in concrete floors</w:t>
            </w:r>
          </w:p>
        </w:tc>
        <w:tc>
          <w:tcPr>
            <w:tcW w:w="343" w:type="pct"/>
            <w:tcBorders>
              <w:top w:val="nil"/>
              <w:left w:val="single" w:sz="4" w:space="0" w:color="auto"/>
              <w:bottom w:val="single" w:sz="4" w:space="0" w:color="auto"/>
              <w:right w:val="single" w:sz="4" w:space="0" w:color="auto"/>
            </w:tcBorders>
            <w:shd w:val="clear" w:color="auto" w:fill="auto"/>
            <w:vAlign w:val="center"/>
          </w:tcPr>
          <w:p w14:paraId="398DCEAC" w14:textId="77777777" w:rsidR="00F66F36" w:rsidRPr="00E908A5" w:rsidRDefault="00F66F36">
            <w:pPr>
              <w:pStyle w:val="TableText"/>
            </w:pPr>
            <w:r w:rsidRPr="00E908A5">
              <w:t>$</w:t>
            </w:r>
          </w:p>
        </w:tc>
        <w:tc>
          <w:tcPr>
            <w:tcW w:w="343" w:type="pct"/>
            <w:tcBorders>
              <w:top w:val="single" w:sz="4" w:space="0" w:color="auto"/>
              <w:left w:val="single" w:sz="4" w:space="0" w:color="auto"/>
              <w:bottom w:val="single" w:sz="4" w:space="0" w:color="auto"/>
              <w:right w:val="single" w:sz="4" w:space="0" w:color="auto"/>
            </w:tcBorders>
            <w:vAlign w:val="center"/>
          </w:tcPr>
          <w:p w14:paraId="103E761A" w14:textId="77777777" w:rsidR="00F66F36" w:rsidRPr="00E908A5" w:rsidRDefault="00F66F36">
            <w:pPr>
              <w:pStyle w:val="TableText"/>
            </w:pPr>
            <w:r w:rsidRPr="00E908A5">
              <w:t>0</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7458036" w14:textId="77777777" w:rsidR="00F66F36" w:rsidRPr="00F45120" w:rsidRDefault="00F66F36">
            <w:pPr>
              <w:pStyle w:val="TableText"/>
            </w:pPr>
            <w:r>
              <w:t>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50547D5E" w14:textId="77777777" w:rsidR="00F66F36" w:rsidRPr="00F45120" w:rsidRDefault="00F66F36">
            <w:pPr>
              <w:pStyle w:val="TableText"/>
            </w:pPr>
            <w:r>
              <w:t>1</w:t>
            </w:r>
          </w:p>
        </w:tc>
      </w:tr>
      <w:tr w:rsidR="00F66F36" w:rsidRPr="00C8094D" w14:paraId="77D93143" w14:textId="77777777" w:rsidTr="00F66F3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2CEBC75B" w14:textId="77777777" w:rsidR="00F66F36" w:rsidRPr="00C8094D" w:rsidRDefault="00F66F36">
            <w:pPr>
              <w:pStyle w:val="TableText"/>
            </w:pPr>
            <w:r>
              <w:t>(11)</w:t>
            </w:r>
          </w:p>
        </w:tc>
        <w:tc>
          <w:tcPr>
            <w:tcW w:w="3337" w:type="pct"/>
            <w:tcBorders>
              <w:top w:val="single" w:sz="4" w:space="0" w:color="auto"/>
              <w:bottom w:val="single" w:sz="4" w:space="0" w:color="auto"/>
              <w:right w:val="single" w:sz="4" w:space="0" w:color="auto"/>
            </w:tcBorders>
          </w:tcPr>
          <w:p w14:paraId="6C4BAB1F" w14:textId="4AE5165E" w:rsidR="00F66F36" w:rsidRDefault="00F66F36">
            <w:pPr>
              <w:pStyle w:val="TableText"/>
            </w:pPr>
            <w:r w:rsidRPr="653D8BA2">
              <w:rPr>
                <w:color w:val="000000" w:themeColor="text1"/>
              </w:rPr>
              <w:t xml:space="preserve">Provide ventilation using </w:t>
            </w:r>
            <w:r w:rsidR="006B1E6A">
              <w:rPr>
                <w:color w:val="000000" w:themeColor="text1"/>
              </w:rPr>
              <w:t>a</w:t>
            </w:r>
            <w:r w:rsidR="00DE5940">
              <w:rPr>
                <w:color w:val="000000" w:themeColor="text1"/>
              </w:rPr>
              <w:t xml:space="preserve"> </w:t>
            </w:r>
            <w:r w:rsidRPr="653D8BA2">
              <w:rPr>
                <w:color w:val="000000" w:themeColor="text1"/>
              </w:rPr>
              <w:t>properly balanced HVAC system</w:t>
            </w:r>
          </w:p>
        </w:tc>
        <w:tc>
          <w:tcPr>
            <w:tcW w:w="343" w:type="pct"/>
            <w:tcBorders>
              <w:top w:val="nil"/>
              <w:left w:val="single" w:sz="4" w:space="0" w:color="auto"/>
              <w:bottom w:val="single" w:sz="4" w:space="0" w:color="auto"/>
              <w:right w:val="single" w:sz="4" w:space="0" w:color="auto"/>
            </w:tcBorders>
            <w:shd w:val="clear" w:color="auto" w:fill="auto"/>
            <w:vAlign w:val="center"/>
          </w:tcPr>
          <w:p w14:paraId="2DF0C5E4" w14:textId="21899955" w:rsidR="00F66F36" w:rsidRPr="00E908A5" w:rsidRDefault="005B72D4">
            <w:pPr>
              <w:pStyle w:val="TableText"/>
            </w:pPr>
            <w:r>
              <w:t>0</w:t>
            </w:r>
          </w:p>
        </w:tc>
        <w:tc>
          <w:tcPr>
            <w:tcW w:w="343" w:type="pct"/>
            <w:tcBorders>
              <w:top w:val="single" w:sz="4" w:space="0" w:color="auto"/>
              <w:left w:val="single" w:sz="4" w:space="0" w:color="auto"/>
              <w:bottom w:val="single" w:sz="4" w:space="0" w:color="auto"/>
              <w:right w:val="single" w:sz="4" w:space="0" w:color="auto"/>
            </w:tcBorders>
            <w:vAlign w:val="center"/>
          </w:tcPr>
          <w:p w14:paraId="08E47899" w14:textId="0C05CC8F" w:rsidR="00F66F36" w:rsidRPr="00E908A5" w:rsidRDefault="00F66F36">
            <w:pPr>
              <w:pStyle w:val="TableText"/>
            </w:pPr>
            <w:r w:rsidRPr="00E908A5">
              <w:t>$</w:t>
            </w:r>
            <w:r w:rsidR="00F5386F">
              <w:t>-$$</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FF344F9" w14:textId="4161B253" w:rsidR="00F66F36" w:rsidRPr="00F45120" w:rsidRDefault="00F5386F">
            <w:pPr>
              <w:pStyle w:val="TableText"/>
            </w:pPr>
            <w:r>
              <w:t>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2A9D18E" w14:textId="3395489F" w:rsidR="00F66F36" w:rsidRPr="00F45120" w:rsidRDefault="00F5386F">
            <w:pPr>
              <w:pStyle w:val="TableText"/>
            </w:pPr>
            <w:r>
              <w:t>2</w:t>
            </w:r>
          </w:p>
        </w:tc>
      </w:tr>
      <w:tr w:rsidR="00F66F36" w:rsidRPr="00C8094D" w14:paraId="7390A138" w14:textId="77777777" w:rsidTr="00F66F36">
        <w:trPr>
          <w:cantSplit/>
          <w:trHeight w:val="1088"/>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A2C244F" w14:textId="77777777" w:rsidR="00F66F36" w:rsidRPr="00C956A9" w:rsidRDefault="00F66F36" w:rsidP="00F66F36">
            <w:pPr>
              <w:pStyle w:val="TableKey"/>
            </w:pPr>
            <w:r w:rsidRPr="00C956A9">
              <w:t>Key:</w:t>
            </w:r>
          </w:p>
          <w:p w14:paraId="4A79CE21" w14:textId="77777777" w:rsidR="00F66F36" w:rsidRPr="00C956A9" w:rsidRDefault="00F66F36" w:rsidP="00F66F36">
            <w:pPr>
              <w:pStyle w:val="TableKey"/>
            </w:pPr>
            <w:r w:rsidRPr="00C956A9">
              <w:t xml:space="preserve">Cost: 0 = no cost; $ = low cost (&lt;$25k), $$ = medium cost ($25-100k), $$$ = high cost (&gt;$100k) </w:t>
            </w:r>
          </w:p>
          <w:p w14:paraId="3DE5A340" w14:textId="3F0A81A0" w:rsidR="00F66F36" w:rsidRPr="00C956A9" w:rsidRDefault="00F66F36" w:rsidP="00F66F36">
            <w:pPr>
              <w:pStyle w:val="TableKey"/>
            </w:pPr>
            <w:r w:rsidRPr="00C956A9">
              <w:t>Implementation Timeframe: 1 = near-term (0-3 months); 2 = medium-term (4-12 months); 3 = long-term (</w:t>
            </w:r>
            <w:r w:rsidR="00DE5940">
              <w:t>&gt;</w:t>
            </w:r>
            <w:r w:rsidRPr="00C956A9">
              <w:t>12 months)</w:t>
            </w:r>
          </w:p>
          <w:p w14:paraId="45C6B814" w14:textId="60F9DFDE" w:rsidR="00F66F36" w:rsidRPr="00F66F36" w:rsidRDefault="00F66F36" w:rsidP="00F66F36">
            <w:pPr>
              <w:pStyle w:val="TableKey"/>
              <w:rPr>
                <w:szCs w:val="22"/>
              </w:rPr>
            </w:pPr>
            <w:r w:rsidRPr="00C956A9">
              <w:t>Ease of Implementation:</w:t>
            </w:r>
            <w:r>
              <w:t xml:space="preserve"> 1= easier to implement; 3 = more difficult to implement</w:t>
            </w:r>
          </w:p>
        </w:tc>
      </w:tr>
    </w:tbl>
    <w:p w14:paraId="5E266A03" w14:textId="77777777" w:rsidR="00C40C59" w:rsidRDefault="00C40C59" w:rsidP="00C40C59">
      <w:pPr>
        <w:pStyle w:val="Heading3"/>
      </w:pPr>
      <w:r w:rsidRPr="00B40F18">
        <w:t xml:space="preserve">Barriers and Challenges </w:t>
      </w:r>
    </w:p>
    <w:p w14:paraId="02BDEFFA" w14:textId="2196B324" w:rsidR="00C40C59" w:rsidRDefault="1E383DAD" w:rsidP="006D7DE6">
      <w:pPr>
        <w:pStyle w:val="BodyTextFirstIndent"/>
      </w:pPr>
      <w:r>
        <w:t>The greatest barrier to addressing radon in schools is the cost of mitigation.</w:t>
      </w:r>
      <w:r w:rsidR="26A20943">
        <w:t xml:space="preserve"> </w:t>
      </w:r>
      <w:r>
        <w:t>The cost of mitigation</w:t>
      </w:r>
      <w:r w:rsidR="0022561E">
        <w:t>, or fear of a potentially high cost,</w:t>
      </w:r>
      <w:r>
        <w:t xml:space="preserve"> can discourage school administrators </w:t>
      </w:r>
      <w:r w:rsidR="00AC0C2B">
        <w:t xml:space="preserve">from </w:t>
      </w:r>
      <w:r>
        <w:t>test</w:t>
      </w:r>
      <w:r w:rsidR="00050E27">
        <w:t>ing</w:t>
      </w:r>
      <w:r>
        <w:t xml:space="preserve"> </w:t>
      </w:r>
      <w:r w:rsidR="00AC0C2B">
        <w:t>for the presence of radon</w:t>
      </w:r>
      <w:r>
        <w:t xml:space="preserve"> because if they were to </w:t>
      </w:r>
      <w:r w:rsidR="001B3E33">
        <w:t>detect</w:t>
      </w:r>
      <w:r>
        <w:t xml:space="preserve"> </w:t>
      </w:r>
      <w:r w:rsidR="006560DB">
        <w:t>it</w:t>
      </w:r>
      <w:r>
        <w:t xml:space="preserve">, they would </w:t>
      </w:r>
      <w:r w:rsidR="0B9DAC88">
        <w:t xml:space="preserve">face pressure </w:t>
      </w:r>
      <w:r>
        <w:t xml:space="preserve">to install a </w:t>
      </w:r>
      <w:r w:rsidR="007D61EE">
        <w:t xml:space="preserve">mitigation </w:t>
      </w:r>
      <w:r>
        <w:t xml:space="preserve">system. </w:t>
      </w:r>
      <w:r w:rsidR="6143F0A5">
        <w:t>Because testing is not required, radon testing</w:t>
      </w:r>
      <w:r w:rsidR="00EC1C2B">
        <w:t xml:space="preserve"> may be more likely to be</w:t>
      </w:r>
      <w:r w:rsidR="6143F0A5">
        <w:t xml:space="preserve"> deprioritized. </w:t>
      </w:r>
      <w:r>
        <w:t xml:space="preserve">Another barrier </w:t>
      </w:r>
      <w:r w:rsidR="00674CD1">
        <w:t xml:space="preserve">is the associated </w:t>
      </w:r>
      <w:r w:rsidR="1877F0A8">
        <w:t>cost</w:t>
      </w:r>
      <w:r w:rsidR="0094784E">
        <w:t xml:space="preserve"> of radon testing equipment and its</w:t>
      </w:r>
      <w:r w:rsidR="4CD96468">
        <w:t xml:space="preserve"> routine maintenance</w:t>
      </w:r>
      <w:r w:rsidR="00034872">
        <w:t>, as well as maintainin</w:t>
      </w:r>
      <w:r w:rsidR="009432B6">
        <w:t>g</w:t>
      </w:r>
      <w:r w:rsidR="4CD96468">
        <w:t xml:space="preserve"> and </w:t>
      </w:r>
      <w:r w:rsidR="3ED13181">
        <w:t>operating the HVAC system to reduce radon exposure</w:t>
      </w:r>
      <w:r w:rsidR="009432B6">
        <w:t>, which may also pose a challenge for some school districts</w:t>
      </w:r>
      <w:r w:rsidR="3ED13181">
        <w:t>.</w:t>
      </w:r>
    </w:p>
    <w:p w14:paraId="4ADADFD6" w14:textId="77777777" w:rsidR="00382C46" w:rsidRDefault="00382C46">
      <w:pPr>
        <w:rPr>
          <w:rFonts w:ascii="Arial" w:hAnsi="Arial" w:cs="Arial"/>
          <w:b/>
          <w:bCs/>
          <w:color w:val="FFFFFF" w:themeColor="background1"/>
          <w:sz w:val="26"/>
          <w:szCs w:val="22"/>
        </w:rPr>
      </w:pPr>
      <w:bookmarkStart w:id="184" w:name="VaporInt"/>
      <w:r>
        <w:br w:type="page"/>
      </w:r>
    </w:p>
    <w:bookmarkEnd w:id="184"/>
    <w:p w14:paraId="71BD7045" w14:textId="6D04DC57" w:rsidR="00A0458B" w:rsidRDefault="00A0458B" w:rsidP="006D7DE6">
      <w:pPr>
        <w:pStyle w:val="BodyTextFirstIndent"/>
      </w:pPr>
      <w:r>
        <w:rPr>
          <w:noProof/>
        </w:rPr>
        <w:lastRenderedPageBreak/>
        <mc:AlternateContent>
          <mc:Choice Requires="wps">
            <w:drawing>
              <wp:inline distT="0" distB="0" distL="0" distR="0" wp14:anchorId="6E85F1D6" wp14:editId="7A88BA30">
                <wp:extent cx="5865962" cy="4749800"/>
                <wp:effectExtent l="0" t="0" r="14605" b="12700"/>
                <wp:docPr id="756058554" name="Text Box 1"/>
                <wp:cNvGraphicFramePr/>
                <a:graphic xmlns:a="http://schemas.openxmlformats.org/drawingml/2006/main">
                  <a:graphicData uri="http://schemas.microsoft.com/office/word/2010/wordprocessingShape">
                    <wps:wsp>
                      <wps:cNvSpPr txBox="1"/>
                      <wps:spPr bwMode="auto">
                        <a:xfrm>
                          <a:off x="0" y="0"/>
                          <a:ext cx="5865962" cy="4749800"/>
                        </a:xfrm>
                        <a:prstGeom prst="rect">
                          <a:avLst/>
                        </a:prstGeom>
                        <a:solidFill>
                          <a:schemeClr val="accent1">
                            <a:lumMod val="20000"/>
                            <a:lumOff val="80000"/>
                          </a:schemeClr>
                        </a:solidFill>
                        <a:ln w="9525">
                          <a:solidFill>
                            <a:schemeClr val="tx1"/>
                          </a:solidFill>
                          <a:miter lim="800000"/>
                          <a:headEnd/>
                          <a:tailEnd/>
                        </a:ln>
                      </wps:spPr>
                      <wps:txbx>
                        <w:txbxContent>
                          <w:p w14:paraId="06A38912" w14:textId="3410C49C" w:rsidR="00A0458B" w:rsidRDefault="0050576A" w:rsidP="00A0458B">
                            <w:pPr>
                              <w:pStyle w:val="TextBoxTitle"/>
                              <w:contextualSpacing/>
                            </w:pPr>
                            <w:r>
                              <w:t>Mitigating Occurrences of Vapor Intrusion</w:t>
                            </w:r>
                          </w:p>
                          <w:p w14:paraId="10F28CD5" w14:textId="53F304BF" w:rsidR="00A0458B" w:rsidRDefault="0050576A" w:rsidP="00A0458B">
                            <w:pPr>
                              <w:pStyle w:val="TextBoxText"/>
                              <w:contextualSpacing/>
                            </w:pPr>
                            <w:r w:rsidRPr="0050576A">
                              <w:t>Vapor intrusion occurs when vapor-forming chemicals from a subsurface source migrate into a building.</w:t>
                            </w:r>
                            <w:r w:rsidR="00A0458B">
                              <w:t xml:space="preserve"> </w:t>
                            </w:r>
                            <w:r w:rsidRPr="0050576A">
                              <w:t xml:space="preserve">Basements are more prone to higher levels of chemicals from vapor intrusion given that they are underground and have more entry points. Some substances that enter a building through vapor intrusion have harmful health effects, including </w:t>
                            </w:r>
                            <w:r w:rsidR="006A141B">
                              <w:t>volatile organic compounds (</w:t>
                            </w:r>
                            <w:r w:rsidRPr="0050576A">
                              <w:t>VOCs</w:t>
                            </w:r>
                            <w:r w:rsidR="006A141B">
                              <w:t>)</w:t>
                            </w:r>
                            <w:r w:rsidRPr="0050576A">
                              <w:t xml:space="preserve"> such as trichloroethylene and benzine, semi-volatile organic compounds (SVOCs) such as naphthalene, some PCBs and pesticides, and elemental mercury.</w:t>
                            </w:r>
                            <w:r>
                              <w:t xml:space="preserve"> </w:t>
                            </w:r>
                            <w:r w:rsidRPr="0050576A">
                              <w:t>However, not all buildings are likely to be affected by vapor intrusion of harmful substances.</w:t>
                            </w:r>
                          </w:p>
                          <w:p w14:paraId="2533C9EB" w14:textId="3CAC4C72" w:rsidR="0050576A" w:rsidRDefault="0050576A" w:rsidP="00E03F34">
                            <w:pPr>
                              <w:pStyle w:val="BodyTextFirstIndent"/>
                            </w:pPr>
                            <w:r w:rsidRPr="0050576A">
                              <w:t>Existing schools</w:t>
                            </w:r>
                            <w:r w:rsidR="009568F0">
                              <w:t xml:space="preserve"> located</w:t>
                            </w:r>
                            <w:r w:rsidRPr="0050576A">
                              <w:t xml:space="preserve"> near (&lt;100 yards) past or present industrial or commercial facilities may consider testing indoor air for VOCs using EPA Method TO-15. </w:t>
                            </w:r>
                            <w:r>
                              <w:t xml:space="preserve">Since the vapor intrusion pathway relies on chemicals coming up from the subsurface, floor drains, particularly in bathrooms, are common subsurface vapor entry points. </w:t>
                            </w:r>
                          </w:p>
                          <w:p w14:paraId="001CA678" w14:textId="4ED60C05" w:rsidR="0050576A" w:rsidRPr="00BA3297" w:rsidRDefault="0050576A" w:rsidP="0050576A">
                            <w:pPr>
                              <w:pStyle w:val="TextBoxText"/>
                              <w:contextualSpacing/>
                            </w:pPr>
                            <w:r>
                              <w:t xml:space="preserve">In the siting and construction phase of building a new school in an urban area or any area with historical use of VOCs, school districts should conduct a thorough subsurface and groundwater investigation to identify potentially harmful chemicals that may enter through vapor intrusion. This information is used to determine the appropriate design elements to include as part of a vapor barrier and potential sub-slab soil vapor collection system. If school districts are utilizing state funding for new construction projects (e.g., via a grant from the MSBA), the project will be subject to the </w:t>
                            </w:r>
                            <w:hyperlink r:id="rId71" w:history="1">
                              <w:r w:rsidRPr="001F0AE5">
                                <w:rPr>
                                  <w:rStyle w:val="Hyperlink"/>
                                </w:rPr>
                                <w:t>Massachusetts Environmental Protection Act</w:t>
                              </w:r>
                            </w:hyperlink>
                            <w:r>
                              <w:t>, which requires that state agencies use all practicable means and measures to minimize a proposed project’s potential damage to the environment.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inline>
            </w:drawing>
          </mc:Choice>
          <mc:Fallback>
            <w:pict>
              <v:shape w14:anchorId="6E85F1D6" id="Text Box 1" o:spid="_x0000_s1045" type="#_x0000_t202" style="width:461.9pt;height:3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" fillcolor="#dbe5f1 [660]" strokecolor="black [3213]">
                <v:textbox inset=",7.2pt,,0">
                  <w:txbxContent>
                    <w:p w14:paraId="06A38912" w14:textId="3410C49C" w:rsidR="00A0458B" w:rsidRDefault="0050576A" w:rsidP="00A0458B">
                      <w:pPr>
                        <w:pStyle w:val="TextBoxTitle"/>
                        <w:contextualSpacing/>
                      </w:pPr>
                      <w:r>
                        <w:t>Mitigating Occurrences of Vapor Intrusion</w:t>
                      </w:r>
                    </w:p>
                    <w:p w14:paraId="10F28CD5" w14:textId="53F304BF" w:rsidR="00A0458B" w:rsidRDefault="0050576A" w:rsidP="00A0458B">
                      <w:pPr>
                        <w:pStyle w:val="TextBoxText"/>
                        <w:contextualSpacing/>
                      </w:pPr>
                      <w:r w:rsidRPr="0050576A">
                        <w:t>Vapor intrusion occurs when vapor-forming chemicals from a subsurface source migrate into a building.</w:t>
                      </w:r>
                      <w:r w:rsidR="00A0458B">
                        <w:t xml:space="preserve"> </w:t>
                      </w:r>
                      <w:r w:rsidRPr="0050576A">
                        <w:t xml:space="preserve">Basements are more prone to higher levels of chemicals from vapor intrusion given that they are underground and have more entry points. Some substances that enter a building through vapor intrusion have harmful health effects, including </w:t>
                      </w:r>
                      <w:r w:rsidR="006A141B">
                        <w:t>volatile organic compounds (</w:t>
                      </w:r>
                      <w:r w:rsidRPr="0050576A">
                        <w:t>VOCs</w:t>
                      </w:r>
                      <w:r w:rsidR="006A141B">
                        <w:t>)</w:t>
                      </w:r>
                      <w:r w:rsidRPr="0050576A">
                        <w:t xml:space="preserve"> such as trichloroethylene and benzine, semi-volatile organic compounds (SVOCs) such as naphthalene, some PCBs and pesticides, and elemental mercury.</w:t>
                      </w:r>
                      <w:r>
                        <w:t xml:space="preserve"> </w:t>
                      </w:r>
                      <w:r w:rsidRPr="0050576A">
                        <w:t>However, not all buildings are likely to be affected by vapor intrusion of harmful substances.</w:t>
                      </w:r>
                    </w:p>
                    <w:p w14:paraId="2533C9EB" w14:textId="3CAC4C72" w:rsidR="0050576A" w:rsidRDefault="0050576A" w:rsidP="00E03F34">
                      <w:pPr>
                        <w:pStyle w:val="BodyTextFirstIndent"/>
                      </w:pPr>
                      <w:r w:rsidRPr="0050576A">
                        <w:t>Existing schools</w:t>
                      </w:r>
                      <w:r w:rsidR="009568F0">
                        <w:t xml:space="preserve"> located</w:t>
                      </w:r>
                      <w:r w:rsidRPr="0050576A">
                        <w:t xml:space="preserve"> near (&lt;100 yards) past or present industrial or commercial facilities may consider testing indoor air for VOCs using EPA Method TO-15. </w:t>
                      </w:r>
                      <w:r>
                        <w:t xml:space="preserve">Since the vapor intrusion pathway relies on chemicals coming up from the subsurface, floor drains, particularly in bathrooms, are common subsurface vapor entry points. </w:t>
                      </w:r>
                    </w:p>
                    <w:p w14:paraId="001CA678" w14:textId="4ED60C05" w:rsidR="0050576A" w:rsidRPr="00BA3297" w:rsidRDefault="0050576A" w:rsidP="0050576A">
                      <w:pPr>
                        <w:pStyle w:val="TextBoxText"/>
                        <w:contextualSpacing/>
                      </w:pPr>
                      <w:r>
                        <w:t xml:space="preserve">In the siting and construction phase of building a new school in an urban area or any area with historical use of VOCs, school districts should conduct a thorough subsurface and groundwater investigation to identify potentially harmful chemicals that may enter through vapor intrusion. This information is used to determine the appropriate design elements to include as part of a vapor barrier and potential sub-slab soil vapor collection system. If school districts are utilizing state funding for new construction projects (e.g., via a grant from the MSBA), the project will be subject to the </w:t>
                      </w:r>
                      <w:hyperlink r:id="rId72" w:history="1">
                        <w:r w:rsidRPr="001F0AE5">
                          <w:rPr>
                            <w:rStyle w:val="Hyperlink"/>
                          </w:rPr>
                          <w:t>Massachusetts Environmental Protection Act</w:t>
                        </w:r>
                      </w:hyperlink>
                      <w:r>
                        <w:t>, which requires that state agencies use all practicable means and measures to minimize a proposed project’s potential damage to the environment.</w:t>
                      </w:r>
                    </w:p>
                  </w:txbxContent>
                </v:textbox>
                <w10:anchorlock/>
              </v:shape>
            </w:pict>
          </mc:Fallback>
        </mc:AlternateContent>
      </w:r>
    </w:p>
    <w:p w14:paraId="4D709D95" w14:textId="2DA7A7FF" w:rsidR="00AD0F26" w:rsidRDefault="00751692" w:rsidP="0023018C">
      <w:pPr>
        <w:pStyle w:val="SourceCaption"/>
      </w:pPr>
      <w:r>
        <w:t>Sources:</w:t>
      </w:r>
      <w:r w:rsidR="00C36EA8">
        <w:t xml:space="preserve"> U.S. EPA</w:t>
      </w:r>
      <w:r w:rsidR="00A61A6E">
        <w:t>,</w:t>
      </w:r>
      <w:r w:rsidR="00A61A6E">
        <w:fldChar w:fldCharType="begin"/>
      </w:r>
      <w:r w:rsidR="0097352F">
        <w:instrText xml:space="preserve"> ADDIN ZOTERO_ITEM CSL_CITATION {"citationID":"a1tfl9oae6l","properties":{"formattedCitation":"\\super 115\\nosupersub{}","plainCitation":"115","noteIndex":0},"citationItems":[{"id":1086,"uris":["http://zotero.org/groups/5563646/items/G8WZQ8HB"],"itemData":{"id":1086,"type":"webpage","title":"What is Vapor Intrusion? | US EPA","URL":"https://www.epa.gov/vaporintrusion/what-vapor-intrusion","accessed":{"date-parts":[["2024",9,23]]}}}],"schema":"https://github.com/citation-style-language/schema/raw/master/csl-citation.json"} </w:instrText>
      </w:r>
      <w:r w:rsidR="00A61A6E">
        <w:fldChar w:fldCharType="separate"/>
      </w:r>
      <w:r w:rsidR="0097352F" w:rsidRPr="0097352F">
        <w:rPr>
          <w:rFonts w:cs="Arial"/>
          <w:vertAlign w:val="superscript"/>
        </w:rPr>
        <w:t>115</w:t>
      </w:r>
      <w:r w:rsidR="00A61A6E">
        <w:fldChar w:fldCharType="end"/>
      </w:r>
      <w:r w:rsidR="00A61A6E">
        <w:t xml:space="preserve"> MassDEP</w:t>
      </w:r>
      <w:r w:rsidR="009C4B2C">
        <w:fldChar w:fldCharType="begin"/>
      </w:r>
      <w:r w:rsidR="0052316A">
        <w:instrText xml:space="preserve"> ADDIN ZOTERO_ITEM CSL_CITATION {"citationID":"aho1lbuv9r","properties":{"formattedCitation":"\\super 116\\nosupersub{}","plainCitation":"116","noteIndex":0},"citationItems":[{"id":1085,"uris":["http://zotero.org/groups/5563646/items/X9LENYD7"],"itemData":{"id":1085,"type":"article-journal","language":"en","source":"Zotero","title":"Vapor Intrusion Guidance: Site assessment, mitigation and closure","author":[{"family":"MassDEP","given":""}],"issued":{"date-parts":[["2016"]]}}}],"schema":"https://github.com/citation-style-language/schema/raw/master/csl-citation.json"} </w:instrText>
      </w:r>
      <w:r w:rsidR="009C4B2C">
        <w:fldChar w:fldCharType="separate"/>
      </w:r>
      <w:r w:rsidR="0052316A" w:rsidRPr="0052316A">
        <w:rPr>
          <w:rFonts w:cs="Arial"/>
          <w:vertAlign w:val="superscript"/>
        </w:rPr>
        <w:t>116</w:t>
      </w:r>
      <w:r w:rsidR="009C4B2C">
        <w:fldChar w:fldCharType="end"/>
      </w:r>
    </w:p>
    <w:p w14:paraId="38D0C57D" w14:textId="4ACA2E34" w:rsidR="00A21BF3" w:rsidRDefault="000C492B" w:rsidP="00A21BF3">
      <w:pPr>
        <w:pStyle w:val="AirQualitySubheading"/>
      </w:pPr>
      <w:bookmarkStart w:id="185" w:name="Objective_2a_Bus_Idling"/>
      <w:bookmarkStart w:id="186" w:name="Objective_2a7_Outdoor_Air"/>
      <w:bookmarkStart w:id="187" w:name="RedExp_OutdoorAirPol"/>
      <w:bookmarkEnd w:id="185"/>
      <w:bookmarkEnd w:id="186"/>
      <w:r>
        <w:t>2a(7)</w:t>
      </w:r>
      <w:r>
        <w:tab/>
      </w:r>
      <w:r w:rsidR="00A21BF3">
        <w:t>Reduc</w:t>
      </w:r>
      <w:r w:rsidR="00D71325">
        <w:t>e</w:t>
      </w:r>
      <w:r w:rsidR="00A21BF3">
        <w:t xml:space="preserve"> </w:t>
      </w:r>
      <w:r w:rsidR="00E55186">
        <w:t xml:space="preserve">Exposure to </w:t>
      </w:r>
      <w:r w:rsidR="003833B9">
        <w:t>Outdoor Air Pollutants</w:t>
      </w:r>
      <w:bookmarkEnd w:id="187"/>
    </w:p>
    <w:p w14:paraId="3C352B32" w14:textId="77777777" w:rsidR="00A21BF3" w:rsidRDefault="00A21BF3" w:rsidP="00A21BF3">
      <w:pPr>
        <w:pStyle w:val="Heading3"/>
      </w:pPr>
      <w:r>
        <w:t>Background</w:t>
      </w:r>
    </w:p>
    <w:p w14:paraId="1BFB28F4" w14:textId="42B10F18" w:rsidR="00087810" w:rsidRDefault="00B944D0" w:rsidP="006D7DE6">
      <w:pPr>
        <w:pStyle w:val="BodyTextFirstIndent"/>
      </w:pPr>
      <w:r>
        <w:t>Students</w:t>
      </w:r>
      <w:r w:rsidR="00363830">
        <w:t xml:space="preserve"> and staff</w:t>
      </w:r>
      <w:r>
        <w:t xml:space="preserve"> are exposed to outdoor air pollution at schools during outdoor activities such as reces</w:t>
      </w:r>
      <w:r w:rsidR="0074662F">
        <w:t>s and</w:t>
      </w:r>
      <w:r>
        <w:t xml:space="preserve"> during pickup and </w:t>
      </w:r>
      <w:r w:rsidR="00160E2F">
        <w:t>drop-</w:t>
      </w:r>
      <w:r>
        <w:t>off times.</w:t>
      </w:r>
      <w:r w:rsidR="00C844AA">
        <w:t xml:space="preserve"> </w:t>
      </w:r>
      <w:r>
        <w:t xml:space="preserve">It </w:t>
      </w:r>
      <w:r w:rsidR="00C844AA">
        <w:t xml:space="preserve">can </w:t>
      </w:r>
      <w:r>
        <w:t>also impact the quality of indoor air at the school</w:t>
      </w:r>
      <w:r w:rsidR="0034136B">
        <w:t xml:space="preserve"> as </w:t>
      </w:r>
      <w:r w:rsidR="00FB624F">
        <w:t>HVAC systems draw in outdoor air to ventilate indoor spaces</w:t>
      </w:r>
      <w:r>
        <w:t xml:space="preserve">. </w:t>
      </w:r>
      <w:r w:rsidR="0074662F">
        <w:t xml:space="preserve">The quality of outdoor air near schools is greatly impacted by proximity to roadways </w:t>
      </w:r>
      <w:r w:rsidR="00093BAE">
        <w:t xml:space="preserve">and </w:t>
      </w:r>
      <w:r w:rsidR="00314760">
        <w:t>industrial</w:t>
      </w:r>
      <w:r w:rsidR="00093BAE">
        <w:t xml:space="preserve"> areas. </w:t>
      </w:r>
      <w:r w:rsidR="00973732">
        <w:t xml:space="preserve">While air quality impacts everyone, </w:t>
      </w:r>
      <w:r w:rsidR="009C44B1">
        <w:t xml:space="preserve">children with developing respiratory systems </w:t>
      </w:r>
      <w:r w:rsidR="00794DBA">
        <w:t xml:space="preserve">are particularly </w:t>
      </w:r>
      <w:r w:rsidR="0031195E">
        <w:t>susceptible</w:t>
      </w:r>
      <w:r w:rsidR="0009593C">
        <w:t xml:space="preserve"> to the impacts of </w:t>
      </w:r>
      <w:r w:rsidR="00314760">
        <w:t>poor air quality.</w:t>
      </w:r>
      <w:r w:rsidR="00314760" w:rsidRPr="00314760">
        <w:t xml:space="preserve"> </w:t>
      </w:r>
      <w:r w:rsidR="00314760">
        <w:fldChar w:fldCharType="begin"/>
      </w:r>
      <w:r w:rsidR="000633E8">
        <w:instrText xml:space="preserve"> ADDIN ZOTERO_ITEM CSL_CITATION {"citationID":"a18cmrrps1c","properties":{"formattedCitation":"\\super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314760">
        <w:fldChar w:fldCharType="separate"/>
      </w:r>
      <w:r w:rsidR="000633E8" w:rsidRPr="000633E8">
        <w:rPr>
          <w:rFonts w:cs="Arial"/>
          <w:vertAlign w:val="superscript"/>
        </w:rPr>
        <w:t>101</w:t>
      </w:r>
      <w:r w:rsidR="00314760">
        <w:fldChar w:fldCharType="end"/>
      </w:r>
    </w:p>
    <w:p w14:paraId="1F1B6533" w14:textId="03C09200" w:rsidR="00093BAE" w:rsidRDefault="002971DF" w:rsidP="006D7DE6">
      <w:pPr>
        <w:pStyle w:val="BodyTextFirstIndent"/>
      </w:pPr>
      <w:r>
        <w:t xml:space="preserve">A </w:t>
      </w:r>
      <w:r w:rsidR="00151107">
        <w:t>major</w:t>
      </w:r>
      <w:r w:rsidR="009C44B1">
        <w:t xml:space="preserve"> source of outdoor air pollution is </w:t>
      </w:r>
      <w:r w:rsidR="00093BAE">
        <w:t>emissions</w:t>
      </w:r>
      <w:r w:rsidR="00151107">
        <w:t xml:space="preserve"> from motor vehicles</w:t>
      </w:r>
      <w:r w:rsidR="009C44B1">
        <w:t xml:space="preserve">; </w:t>
      </w:r>
      <w:r w:rsidR="000F3A95">
        <w:t>vehicle emissions</w:t>
      </w:r>
      <w:r w:rsidR="00093BAE">
        <w:t xml:space="preserve"> hav</w:t>
      </w:r>
      <w:r w:rsidR="00E21326">
        <w:t>ing</w:t>
      </w:r>
      <w:r w:rsidR="00093BAE">
        <w:t xml:space="preserve"> harmful health effects include fine particulate matter (PM</w:t>
      </w:r>
      <w:r w:rsidR="00093BAE" w:rsidRPr="00FB035A">
        <w:rPr>
          <w:vertAlign w:val="subscript"/>
        </w:rPr>
        <w:t>2.5</w:t>
      </w:r>
      <w:r w:rsidR="00093BAE">
        <w:t>), carbon monoxide, nitrogen oxides, and benzene, among other substances.</w:t>
      </w:r>
      <w:r w:rsidR="00093BAE">
        <w:fldChar w:fldCharType="begin"/>
      </w:r>
      <w:r w:rsidR="00683BA8">
        <w:instrText xml:space="preserve"> ADDIN ZOTERO_ITEM CSL_CITATION {"citationID":"a1bde5ijvi6","properties":{"formattedCitation":"\\super 117,118\\nosupersub{}","plainCitation":"117,118","noteIndex":0},"citationItems":[{"id":547,"uris":["http://zotero.org/groups/5563646/items/2LBHABRU"],"itemData":{"id":547,"type":"report","language":"en","number":"EPA-420-R-21-022","source":"Zotero","title":"Best Practices for Reducing Near-Road Pollution Exposure at Schools","URL":"https://nepis.epa.gov/Exe/ZyPDF.cgi?Dockey=P1013GDE.pdf","author":[{"family":"US EPA","given":""}],"issued":{"date-parts":[["2021",10]]}}},{"id":786,"uris":["http://zotero.org/groups/5563646/items/ANE8XGIC"],"itemData":{"id":786,"type":"webpage","title":"Diesel Exhaust - Partial List of Chemicals Associated with Diesel Exhaust","URL":"https://www.osha.gov/diesel-exhaust/chemical","author":[{"family":"OSHA","given":""}],"accessed":{"date-parts":[["2024",7,22]]}}}],"schema":"https://github.com/citation-style-language/schema/raw/master/csl-citation.json"} </w:instrText>
      </w:r>
      <w:r w:rsidR="00093BAE">
        <w:fldChar w:fldCharType="separate"/>
      </w:r>
      <w:r w:rsidR="00683BA8" w:rsidRPr="00683BA8">
        <w:rPr>
          <w:rFonts w:cs="Arial"/>
          <w:vertAlign w:val="superscript"/>
        </w:rPr>
        <w:t>117,118</w:t>
      </w:r>
      <w:r w:rsidR="00093BAE">
        <w:fldChar w:fldCharType="end"/>
      </w:r>
      <w:r w:rsidR="00093BAE">
        <w:t xml:space="preserve"> Idling school buses can be a major source of vehicle emissions near schools, particularly when buses have older engines. In addition to upgrading vehicle fleets, exposure to exhaust </w:t>
      </w:r>
      <w:r w:rsidR="00093BAE">
        <w:lastRenderedPageBreak/>
        <w:t>can be reduced by parking idling vehicles where exhaust is less likely to enter the school and by reducing idling time for all vehicles in close proximity to the school.</w:t>
      </w:r>
      <w:r w:rsidR="000F3A95">
        <w:t xml:space="preserve"> Vehicle emissions will also </w:t>
      </w:r>
      <w:r w:rsidR="00132FF8">
        <w:t xml:space="preserve">be higher if a school is </w:t>
      </w:r>
      <w:r w:rsidR="00F56D6F">
        <w:t>located in a busy urban area</w:t>
      </w:r>
      <w:r w:rsidR="00F70652">
        <w:t xml:space="preserve"> or </w:t>
      </w:r>
      <w:r w:rsidR="00132FF8">
        <w:t xml:space="preserve">sited near a major roadway or highway. </w:t>
      </w:r>
    </w:p>
    <w:p w14:paraId="071190BE" w14:textId="0995F42D" w:rsidR="007F2299" w:rsidRDefault="00B006F3" w:rsidP="006D7DE6">
      <w:pPr>
        <w:pStyle w:val="BodyTextFirstIndent"/>
      </w:pPr>
      <w:r>
        <w:t xml:space="preserve">Another source of outdoor air pollution </w:t>
      </w:r>
      <w:r w:rsidR="00F70652">
        <w:t xml:space="preserve">that </w:t>
      </w:r>
      <w:r w:rsidR="00087810">
        <w:t xml:space="preserve">is </w:t>
      </w:r>
      <w:r>
        <w:t>of</w:t>
      </w:r>
      <w:r w:rsidR="00087810">
        <w:t xml:space="preserve"> increasing concern in Massachusetts</w:t>
      </w:r>
      <w:r>
        <w:t xml:space="preserve"> is w</w:t>
      </w:r>
      <w:r w:rsidR="00087810">
        <w:t>ildfire smoke.</w:t>
      </w:r>
      <w:r w:rsidR="00087810">
        <w:fldChar w:fldCharType="begin"/>
      </w:r>
      <w:r w:rsidR="00CC7F29">
        <w:instrText xml:space="preserve"> ADDIN ZOTERO_ITEM CSL_CITATION {"citationID":"a1arjqi98am","properties":{"formattedCitation":"\\super 119\\nosupersub{}","plainCitation":"119","noteIndex":0},"citationItems":[{"id":781,"uris":["http://zotero.org/groups/5563646/items/A9X7SUFM"],"itemData":{"id":781,"type":"webpage","abstract":"North America is facing increasingly catastrophic wildfire seasons and air quality impacts have been seen across the country, including Massachusetts.","language":"en","title":"Wildfire Smoke Safety Tips | Mass.gov","URL":"https://www.mass.gov/info-details/wildfire-smoke-safety-tips","accessed":{"date-parts":[["2024",7,22]]}}}],"schema":"https://github.com/citation-style-language/schema/raw/master/csl-citation.json"} </w:instrText>
      </w:r>
      <w:r w:rsidR="00087810">
        <w:fldChar w:fldCharType="separate"/>
      </w:r>
      <w:r w:rsidR="00CC7F29" w:rsidRPr="00CC7F29">
        <w:rPr>
          <w:rFonts w:cs="Arial"/>
          <w:vertAlign w:val="superscript"/>
        </w:rPr>
        <w:t>119</w:t>
      </w:r>
      <w:r w:rsidR="00087810">
        <w:fldChar w:fldCharType="end"/>
      </w:r>
      <w:r w:rsidR="00087810">
        <w:t xml:space="preserve"> This type of smoke consists of a mix of gasses and PM</w:t>
      </w:r>
      <w:r w:rsidR="00087810" w:rsidRPr="00FB035A">
        <w:rPr>
          <w:vertAlign w:val="subscript"/>
        </w:rPr>
        <w:t>2.5</w:t>
      </w:r>
      <w:r w:rsidR="00087810">
        <w:t xml:space="preserve"> that is unhealthy to breathe and can be dangerous for vulnerable populations, including children.</w:t>
      </w:r>
      <w:r w:rsidR="00087810">
        <w:fldChar w:fldCharType="begin"/>
      </w:r>
      <w:r w:rsidR="00ED267E">
        <w:instrText xml:space="preserve"> ADDIN ZOTERO_ITEM CSL_CITATION {"citationID":"a1kfqcqvaek","properties":{"formattedCitation":"\\super 119\\nosupersub{}","plainCitation":"119","noteIndex":0},"citationItems":[{"id":781,"uris":["http://zotero.org/groups/5563646/items/A9X7SUFM"],"itemData":{"id":781,"type":"webpage","abstract":"North America is facing increasingly catastrophic wildfire seasons and air quality impacts have been seen across the country, including Massachusetts.","language":"en","title":"Wildfire Smoke Safety Tips | Mass.gov","URL":"https://www.mass.gov/info-details/wildfire-smoke-safety-tips","accessed":{"date-parts":[["2024",7,22]]}}}],"schema":"https://github.com/citation-style-language/schema/raw/master/csl-citation.json"} </w:instrText>
      </w:r>
      <w:r w:rsidR="00087810">
        <w:fldChar w:fldCharType="separate"/>
      </w:r>
      <w:r w:rsidR="00ED267E" w:rsidRPr="00ED267E">
        <w:rPr>
          <w:rFonts w:cs="Arial"/>
          <w:vertAlign w:val="superscript"/>
        </w:rPr>
        <w:t>119</w:t>
      </w:r>
      <w:r w:rsidR="00087810">
        <w:fldChar w:fldCharType="end"/>
      </w:r>
      <w:r w:rsidR="00087810">
        <w:t xml:space="preserve"> In Massachusetts, wildfire smoke events are sporadic and intermittent. </w:t>
      </w:r>
      <w:r w:rsidR="00DC3DE2">
        <w:t xml:space="preserve">These events are, however, </w:t>
      </w:r>
      <w:r w:rsidR="002F20C9">
        <w:t xml:space="preserve">expected to </w:t>
      </w:r>
      <w:r w:rsidR="0091562A">
        <w:t>increase in frequency as a result of climate change.</w:t>
      </w:r>
      <w:r w:rsidR="00406CD9">
        <w:fldChar w:fldCharType="begin"/>
      </w:r>
      <w:r w:rsidR="000D279A">
        <w:instrText xml:space="preserve"> ADDIN ZOTERO_ITEM CSL_CITATION {"citationID":"aupt0ofj8u","properties":{"formattedCitation":"\\super 22\\nosupersub{}","plainCitation":"22","noteIndex":0},"citationItems":[{"id":1103,"uris":["http://zotero.org/groups/5563646/items/3E8VUIJ4"],"itemData":{"id":1103,"type":"webpage","abstract":"The MA Climate Change Assessment is a statewide analysis detailing how Massachusetts people, environments, and infrastructure may be affected by climate change and related hazards through the end of the century. This assessment directly informed the first five-year update to the State Hazard Mitigation and Climate Adaptation Plan (SHMCAP), ResilientMass, that was released in Fall 2023.","language":"en","title":"2022 Massachusetts Climate Change Assessment","URL":"https://www.mass.gov/info-details/massachusetts-climate-change-assessment#read-the-report-","author":[{"family":"Executive Office of Energy and Environmental Affairs","given":""}],"accessed":{"date-parts":[["2024",9,25]]},"issued":{"date-parts":[["2022",12]]}}}],"schema":"https://github.com/citation-style-language/schema/raw/master/csl-citation.json"} </w:instrText>
      </w:r>
      <w:r w:rsidR="00406CD9">
        <w:fldChar w:fldCharType="separate"/>
      </w:r>
      <w:r w:rsidR="000D279A" w:rsidRPr="000D279A">
        <w:rPr>
          <w:rFonts w:cs="Arial"/>
          <w:vertAlign w:val="superscript"/>
        </w:rPr>
        <w:t>22</w:t>
      </w:r>
      <w:r w:rsidR="00406CD9">
        <w:fldChar w:fldCharType="end"/>
      </w:r>
      <w:r w:rsidR="0091562A">
        <w:t xml:space="preserve"> </w:t>
      </w:r>
      <w:r w:rsidR="00087810">
        <w:t xml:space="preserve">There are several measures that schools should take to prepare for providing a safe and healthy learning environment for students during these events. </w:t>
      </w:r>
    </w:p>
    <w:p w14:paraId="10B421E9" w14:textId="77777777" w:rsidR="00A21BF3" w:rsidRDefault="00A21BF3" w:rsidP="00A21BF3">
      <w:pPr>
        <w:pStyle w:val="Heading3"/>
      </w:pPr>
      <w:r>
        <w:t>Methods and Best Practices</w:t>
      </w:r>
    </w:p>
    <w:p w14:paraId="578D8EEA" w14:textId="2703E0C1" w:rsidR="00A21BF3" w:rsidRDefault="00FB2CBB" w:rsidP="006D7DE6">
      <w:pPr>
        <w:pStyle w:val="BodyTextFirstIndent"/>
      </w:pPr>
      <w:r>
        <w:fldChar w:fldCharType="begin"/>
      </w:r>
      <w:r>
        <w:instrText xml:space="preserve"> REF _Ref171628792 \h </w:instrText>
      </w:r>
      <w:r>
        <w:fldChar w:fldCharType="separate"/>
      </w:r>
      <w:r w:rsidR="00307850">
        <w:t xml:space="preserve">Table </w:t>
      </w:r>
      <w:r w:rsidR="00307850">
        <w:rPr>
          <w:noProof/>
        </w:rPr>
        <w:t>18</w:t>
      </w:r>
      <w:r>
        <w:fldChar w:fldCharType="end"/>
      </w:r>
      <w:r>
        <w:t xml:space="preserve"> </w:t>
      </w:r>
      <w:r w:rsidR="00A21BF3" w:rsidRPr="007935AE">
        <w:t xml:space="preserve">summarizes </w:t>
      </w:r>
      <w:r w:rsidR="00A21BF3">
        <w:t xml:space="preserve">the </w:t>
      </w:r>
      <w:r w:rsidR="00A21BF3" w:rsidRPr="007935AE">
        <w:t xml:space="preserve">methods and best practices for </w:t>
      </w:r>
      <w:r w:rsidR="00A21BF3">
        <w:t xml:space="preserve">reducing exposure to </w:t>
      </w:r>
      <w:r w:rsidR="00056449">
        <w:t>outdoor air pollution</w:t>
      </w:r>
      <w:r w:rsidR="00D52FFB">
        <w:t xml:space="preserve"> in schools across two areas: policy and education; and infrastructure</w:t>
      </w:r>
      <w:r w:rsidR="00A21BF3" w:rsidRPr="007935AE">
        <w:t>. For each method and best practice, the table presents the approximate capital and operating costs, implementation timeframe, and ease of implementation.</w:t>
      </w:r>
      <w:r w:rsidR="00005FFE">
        <w:t xml:space="preserve"> </w:t>
      </w:r>
      <w:r w:rsidR="00005FFE" w:rsidRPr="00C43978">
        <w:t xml:space="preserve">See </w:t>
      </w:r>
      <w:hyperlink w:anchor="SectVII_2a7" w:history="1">
        <w:r w:rsidR="007C1A26" w:rsidRPr="007C1A26">
          <w:rPr>
            <w:rStyle w:val="Hyperlink"/>
          </w:rPr>
          <w:t>Section VII, Objective 2a(7)</w:t>
        </w:r>
      </w:hyperlink>
      <w:r w:rsidR="00005FFE" w:rsidRPr="00C43978">
        <w:t xml:space="preserve"> for additional narrative descriptions of each of the methods and best practices.</w:t>
      </w:r>
    </w:p>
    <w:p w14:paraId="6CB07BE6" w14:textId="6E43CEF0" w:rsidR="00A21BF3" w:rsidRDefault="00A21BF3" w:rsidP="00B30C96">
      <w:pPr>
        <w:pStyle w:val="TableTitle"/>
      </w:pPr>
      <w:bookmarkStart w:id="188" w:name="_Ref171628792"/>
      <w:bookmarkStart w:id="189" w:name="_Toc192711684"/>
      <w:bookmarkStart w:id="190" w:name="_Toc193112566"/>
      <w:bookmarkStart w:id="191" w:name="_Toc193116965"/>
      <w:r>
        <w:lastRenderedPageBreak/>
        <w:t xml:space="preserve">Table </w:t>
      </w:r>
      <w:fldSimple w:instr=" SEQ Table \* ARABIC ">
        <w:r w:rsidR="00307850">
          <w:rPr>
            <w:noProof/>
          </w:rPr>
          <w:t>18</w:t>
        </w:r>
      </w:fldSimple>
      <w:bookmarkEnd w:id="188"/>
      <w:r>
        <w:t>. Methods</w:t>
      </w:r>
      <w:r w:rsidR="00074426">
        <w:t xml:space="preserve"> and </w:t>
      </w:r>
      <w:r>
        <w:t xml:space="preserve">Best Practices </w:t>
      </w:r>
      <w:r w:rsidR="00225319">
        <w:t>for</w:t>
      </w:r>
      <w:r>
        <w:t xml:space="preserve"> </w:t>
      </w:r>
      <w:r w:rsidRPr="000B161A">
        <w:t>Reduc</w:t>
      </w:r>
      <w:r>
        <w:t>ing</w:t>
      </w:r>
      <w:r w:rsidRPr="000B161A">
        <w:t xml:space="preserve"> </w:t>
      </w:r>
      <w:r w:rsidR="00247FAB">
        <w:t xml:space="preserve">Exposure to </w:t>
      </w:r>
      <w:r w:rsidR="000766E6">
        <w:t>Outdoor Air Pollutants</w:t>
      </w:r>
      <w:bookmarkEnd w:id="189"/>
      <w:bookmarkEnd w:id="190"/>
      <w:bookmarkEnd w:id="191"/>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outdoor air pollutants."/>
      </w:tblPr>
      <w:tblGrid>
        <w:gridCol w:w="535"/>
        <w:gridCol w:w="5919"/>
        <w:gridCol w:w="671"/>
        <w:gridCol w:w="671"/>
        <w:gridCol w:w="673"/>
        <w:gridCol w:w="881"/>
      </w:tblGrid>
      <w:tr w:rsidR="00A21BF3" w:rsidRPr="00C8094D" w14:paraId="2FB03707" w14:textId="77777777" w:rsidTr="006F5AAC">
        <w:trPr>
          <w:cantSplit/>
          <w:trHeight w:val="2420"/>
          <w:tblHeader/>
          <w:jc w:val="center"/>
        </w:trPr>
        <w:tc>
          <w:tcPr>
            <w:tcW w:w="345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98E1F0A" w14:textId="77777777" w:rsidR="00A21BF3" w:rsidRDefault="00A21BF3">
            <w:pPr>
              <w:pStyle w:val="TableColumnHeader"/>
            </w:pPr>
            <w:r>
              <w:t>Methods/Best Practices</w:t>
            </w:r>
          </w:p>
        </w:tc>
        <w:tc>
          <w:tcPr>
            <w:tcW w:w="359"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C499F77" w14:textId="77777777" w:rsidR="00A21BF3" w:rsidRPr="00C8094D" w:rsidRDefault="00A21BF3" w:rsidP="00DE5940">
            <w:pPr>
              <w:pStyle w:val="TableColumnHeader"/>
              <w:jc w:val="left"/>
            </w:pPr>
            <w:r>
              <w:t xml:space="preserve">Capital </w:t>
            </w:r>
            <w:r w:rsidRPr="00C8094D">
              <w:t>Cost</w:t>
            </w:r>
          </w:p>
        </w:tc>
        <w:tc>
          <w:tcPr>
            <w:tcW w:w="359"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5F779A74" w14:textId="77777777" w:rsidR="00A21BF3" w:rsidRDefault="00A21BF3" w:rsidP="00DE5940">
            <w:pPr>
              <w:pStyle w:val="TableColumnHeader"/>
              <w:jc w:val="left"/>
            </w:pPr>
            <w:r>
              <w:t>Operating Cost</w:t>
            </w:r>
          </w:p>
        </w:tc>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A6D48A8" w14:textId="77777777" w:rsidR="00A21BF3" w:rsidRPr="00C8094D" w:rsidRDefault="00A21BF3" w:rsidP="00DE5940">
            <w:pPr>
              <w:pStyle w:val="TableColumnHeader"/>
              <w:jc w:val="left"/>
            </w:pPr>
            <w:r>
              <w:t xml:space="preserve">Implementation </w:t>
            </w:r>
            <w:r w:rsidRPr="00C8094D">
              <w:t>Timeframe</w:t>
            </w:r>
          </w:p>
        </w:tc>
        <w:tc>
          <w:tcPr>
            <w:tcW w:w="471"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D8919D1" w14:textId="77777777" w:rsidR="00A21BF3" w:rsidRPr="00C8094D" w:rsidRDefault="00A21BF3" w:rsidP="00DE5940">
            <w:pPr>
              <w:pStyle w:val="TableColumnHeader"/>
              <w:jc w:val="left"/>
            </w:pPr>
            <w:r>
              <w:t xml:space="preserve">Ease of </w:t>
            </w:r>
            <w:r w:rsidRPr="00C8094D">
              <w:t>Implementation</w:t>
            </w:r>
          </w:p>
        </w:tc>
      </w:tr>
      <w:tr w:rsidR="00A21BF3" w:rsidRPr="00C8094D" w14:paraId="5DF3074E" w14:textId="77777777" w:rsidTr="006F5AAC">
        <w:trPr>
          <w:cantSplit/>
          <w:trHeight w:val="255"/>
          <w:tblHeader/>
          <w:jc w:val="center"/>
        </w:trPr>
        <w:tc>
          <w:tcPr>
            <w:tcW w:w="3451" w:type="pct"/>
            <w:gridSpan w:val="2"/>
            <w:tcBorders>
              <w:top w:val="nil"/>
              <w:left w:val="single" w:sz="4" w:space="0" w:color="auto"/>
              <w:bottom w:val="single" w:sz="4" w:space="0" w:color="auto"/>
              <w:right w:val="single" w:sz="4" w:space="0" w:color="auto"/>
            </w:tcBorders>
            <w:shd w:val="clear" w:color="auto" w:fill="1F497D" w:themeFill="text2"/>
          </w:tcPr>
          <w:p w14:paraId="163BC1B1" w14:textId="53EB15A5" w:rsidR="00A21BF3" w:rsidRPr="00276B41" w:rsidRDefault="00C80D48">
            <w:pPr>
              <w:pStyle w:val="TableRowHeader"/>
            </w:pPr>
            <w:r>
              <w:t xml:space="preserve">Policy and </w:t>
            </w:r>
            <w:r w:rsidR="006E4B9B">
              <w:t>Education</w:t>
            </w:r>
          </w:p>
        </w:tc>
        <w:tc>
          <w:tcPr>
            <w:tcW w:w="359" w:type="pct"/>
            <w:tcBorders>
              <w:top w:val="nil"/>
              <w:left w:val="single" w:sz="4" w:space="0" w:color="auto"/>
              <w:bottom w:val="single" w:sz="4" w:space="0" w:color="auto"/>
              <w:right w:val="single" w:sz="4" w:space="0" w:color="auto"/>
            </w:tcBorders>
            <w:shd w:val="clear" w:color="auto" w:fill="1F497D" w:themeFill="text2"/>
            <w:vAlign w:val="center"/>
          </w:tcPr>
          <w:p w14:paraId="0D8254FB" w14:textId="77777777" w:rsidR="00A21BF3" w:rsidRPr="00276B41" w:rsidRDefault="00A21BF3">
            <w:pPr>
              <w:pStyle w:val="TableText"/>
            </w:pPr>
          </w:p>
        </w:tc>
        <w:tc>
          <w:tcPr>
            <w:tcW w:w="359"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C02E511" w14:textId="77777777" w:rsidR="00A21BF3" w:rsidRPr="00276B41" w:rsidRDefault="00A21BF3">
            <w:pPr>
              <w:pStyle w:val="TableText"/>
            </w:pPr>
          </w:p>
        </w:tc>
        <w:tc>
          <w:tcPr>
            <w:tcW w:w="360"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61AACBE" w14:textId="77777777" w:rsidR="00A21BF3" w:rsidRPr="00276B41" w:rsidRDefault="00A21BF3">
            <w:pPr>
              <w:pStyle w:val="TableText"/>
            </w:pPr>
          </w:p>
        </w:tc>
        <w:tc>
          <w:tcPr>
            <w:tcW w:w="471"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861E09E" w14:textId="77777777" w:rsidR="00A21BF3" w:rsidRPr="00276B41" w:rsidRDefault="00A21BF3">
            <w:pPr>
              <w:pStyle w:val="TableText"/>
            </w:pPr>
          </w:p>
        </w:tc>
      </w:tr>
      <w:tr w:rsidR="00A21BF3" w:rsidRPr="00C8094D" w14:paraId="6102D3CD" w14:textId="77777777" w:rsidTr="006F5AAC">
        <w:trPr>
          <w:cantSplit/>
          <w:trHeight w:val="255"/>
          <w:tblHeader/>
          <w:jc w:val="center"/>
        </w:trPr>
        <w:tc>
          <w:tcPr>
            <w:tcW w:w="286" w:type="pct"/>
            <w:tcBorders>
              <w:top w:val="nil"/>
              <w:left w:val="single" w:sz="4" w:space="0" w:color="auto"/>
              <w:bottom w:val="single" w:sz="4" w:space="0" w:color="auto"/>
            </w:tcBorders>
            <w:shd w:val="clear" w:color="auto" w:fill="auto"/>
          </w:tcPr>
          <w:p w14:paraId="4F6C298E" w14:textId="39A9BB99" w:rsidR="00A21BF3" w:rsidRDefault="00A21BF3">
            <w:pPr>
              <w:pStyle w:val="TableText"/>
            </w:pPr>
            <w:r>
              <w:t>(1)</w:t>
            </w:r>
          </w:p>
        </w:tc>
        <w:tc>
          <w:tcPr>
            <w:tcW w:w="3165" w:type="pct"/>
            <w:tcBorders>
              <w:top w:val="single" w:sz="4" w:space="0" w:color="auto"/>
              <w:bottom w:val="single" w:sz="4" w:space="0" w:color="auto"/>
              <w:right w:val="single" w:sz="4" w:space="0" w:color="auto"/>
            </w:tcBorders>
          </w:tcPr>
          <w:p w14:paraId="03830DD9" w14:textId="4A8BD071" w:rsidR="00A21BF3" w:rsidRDefault="0033054C">
            <w:pPr>
              <w:pStyle w:val="TableText"/>
            </w:pPr>
            <w:r w:rsidRPr="0033054C">
              <w:t>Educate staff about how outdoor air quality impacts indoor air quality</w:t>
            </w:r>
          </w:p>
        </w:tc>
        <w:tc>
          <w:tcPr>
            <w:tcW w:w="359" w:type="pct"/>
            <w:tcBorders>
              <w:top w:val="nil"/>
              <w:left w:val="single" w:sz="4" w:space="0" w:color="auto"/>
              <w:bottom w:val="single" w:sz="4" w:space="0" w:color="auto"/>
              <w:right w:val="single" w:sz="4" w:space="0" w:color="auto"/>
            </w:tcBorders>
            <w:shd w:val="clear" w:color="auto" w:fill="auto"/>
            <w:vAlign w:val="center"/>
          </w:tcPr>
          <w:p w14:paraId="55B6E877" w14:textId="006A7C52" w:rsidR="00A21BF3" w:rsidRPr="00C8094D" w:rsidRDefault="00AA0940">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650104A1" w14:textId="287067C4" w:rsidR="00A21BF3" w:rsidRPr="00C8094D" w:rsidRDefault="00AA0940">
            <w:pPr>
              <w:pStyle w:val="TableText"/>
            </w:pPr>
            <w: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731B87CD" w14:textId="4B1702C3" w:rsidR="00A21BF3" w:rsidRPr="00C8094D" w:rsidRDefault="00AA0940">
            <w:pPr>
              <w:pStyle w:val="TableText"/>
            </w:pPr>
            <w:r>
              <w:t>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0235B239" w14:textId="373CED82" w:rsidR="00A21BF3" w:rsidRPr="00C8094D" w:rsidRDefault="00AA0940">
            <w:pPr>
              <w:pStyle w:val="TableText"/>
            </w:pPr>
            <w:r>
              <w:t>1</w:t>
            </w:r>
          </w:p>
        </w:tc>
      </w:tr>
      <w:tr w:rsidR="0033054C" w:rsidRPr="00C8094D" w14:paraId="71972FB1" w14:textId="77777777" w:rsidTr="006F5AAC">
        <w:trPr>
          <w:cantSplit/>
          <w:trHeight w:val="255"/>
          <w:tblHeader/>
          <w:jc w:val="center"/>
        </w:trPr>
        <w:tc>
          <w:tcPr>
            <w:tcW w:w="286" w:type="pct"/>
            <w:tcBorders>
              <w:top w:val="nil"/>
              <w:left w:val="single" w:sz="4" w:space="0" w:color="auto"/>
              <w:bottom w:val="single" w:sz="4" w:space="0" w:color="auto"/>
            </w:tcBorders>
            <w:shd w:val="clear" w:color="auto" w:fill="auto"/>
          </w:tcPr>
          <w:p w14:paraId="2FDB5E7D" w14:textId="3642DDBE" w:rsidR="0033054C" w:rsidRDefault="0033054C" w:rsidP="0033054C">
            <w:pPr>
              <w:pStyle w:val="TableText"/>
            </w:pPr>
            <w:r>
              <w:t>(2)</w:t>
            </w:r>
          </w:p>
        </w:tc>
        <w:tc>
          <w:tcPr>
            <w:tcW w:w="3165" w:type="pct"/>
            <w:tcBorders>
              <w:top w:val="single" w:sz="4" w:space="0" w:color="auto"/>
              <w:bottom w:val="single" w:sz="4" w:space="0" w:color="auto"/>
              <w:right w:val="single" w:sz="4" w:space="0" w:color="auto"/>
            </w:tcBorders>
          </w:tcPr>
          <w:p w14:paraId="0DC4AEE4" w14:textId="1CB419EC" w:rsidR="0033054C" w:rsidRPr="001A5B86" w:rsidRDefault="0033054C" w:rsidP="0033054C">
            <w:pPr>
              <w:pStyle w:val="TableText"/>
            </w:pPr>
            <w:r w:rsidRPr="008D7313">
              <w:t>Enforce a vehicle anti-idling policy</w:t>
            </w:r>
          </w:p>
        </w:tc>
        <w:tc>
          <w:tcPr>
            <w:tcW w:w="359" w:type="pct"/>
            <w:tcBorders>
              <w:top w:val="nil"/>
              <w:left w:val="single" w:sz="4" w:space="0" w:color="auto"/>
              <w:bottom w:val="single" w:sz="4" w:space="0" w:color="auto"/>
              <w:right w:val="single" w:sz="4" w:space="0" w:color="auto"/>
            </w:tcBorders>
            <w:shd w:val="clear" w:color="auto" w:fill="auto"/>
            <w:vAlign w:val="center"/>
          </w:tcPr>
          <w:p w14:paraId="4D760D43" w14:textId="44532C21" w:rsidR="0033054C" w:rsidRDefault="0033054C" w:rsidP="0033054C">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44E7922A" w14:textId="45D0CD12" w:rsidR="0033054C" w:rsidRDefault="0033054C" w:rsidP="0033054C">
            <w:pPr>
              <w:pStyle w:val="TableText"/>
            </w:pPr>
            <w:r>
              <w:t>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02DF3266" w14:textId="765818A2" w:rsidR="0033054C" w:rsidRDefault="0033054C" w:rsidP="0033054C">
            <w:pPr>
              <w:pStyle w:val="TableText"/>
            </w:pPr>
            <w:r>
              <w:t>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79D1E10" w14:textId="2CB5EAAD" w:rsidR="0033054C" w:rsidRDefault="0033054C" w:rsidP="0033054C">
            <w:pPr>
              <w:pStyle w:val="TableText"/>
            </w:pPr>
            <w:r>
              <w:t>1</w:t>
            </w:r>
          </w:p>
        </w:tc>
      </w:tr>
      <w:tr w:rsidR="0033054C" w:rsidRPr="00C8094D" w14:paraId="04B0A78D" w14:textId="77777777" w:rsidTr="006F5AAC">
        <w:trPr>
          <w:cantSplit/>
          <w:trHeight w:val="255"/>
          <w:tblHeader/>
          <w:jc w:val="center"/>
        </w:trPr>
        <w:tc>
          <w:tcPr>
            <w:tcW w:w="286" w:type="pct"/>
            <w:tcBorders>
              <w:top w:val="nil"/>
              <w:left w:val="single" w:sz="4" w:space="0" w:color="auto"/>
              <w:bottom w:val="single" w:sz="4" w:space="0" w:color="auto"/>
            </w:tcBorders>
            <w:shd w:val="clear" w:color="auto" w:fill="auto"/>
          </w:tcPr>
          <w:p w14:paraId="57C87C9C" w14:textId="6F60DA20" w:rsidR="0033054C" w:rsidRDefault="0033054C" w:rsidP="0033054C">
            <w:pPr>
              <w:pStyle w:val="TableText"/>
            </w:pPr>
            <w:r>
              <w:t>(3)</w:t>
            </w:r>
          </w:p>
        </w:tc>
        <w:tc>
          <w:tcPr>
            <w:tcW w:w="3165" w:type="pct"/>
            <w:tcBorders>
              <w:top w:val="single" w:sz="4" w:space="0" w:color="auto"/>
              <w:bottom w:val="single" w:sz="4" w:space="0" w:color="auto"/>
              <w:right w:val="single" w:sz="4" w:space="0" w:color="auto"/>
            </w:tcBorders>
          </w:tcPr>
          <w:p w14:paraId="41613F18" w14:textId="032FA57F" w:rsidR="0033054C" w:rsidRPr="001A5B86" w:rsidRDefault="0033054C" w:rsidP="0033054C">
            <w:pPr>
              <w:pStyle w:val="TableText"/>
            </w:pPr>
            <w:r>
              <w:t>Create a wildfire smoke readiness plan</w:t>
            </w:r>
          </w:p>
        </w:tc>
        <w:tc>
          <w:tcPr>
            <w:tcW w:w="359" w:type="pct"/>
            <w:tcBorders>
              <w:top w:val="nil"/>
              <w:left w:val="single" w:sz="4" w:space="0" w:color="auto"/>
              <w:bottom w:val="single" w:sz="4" w:space="0" w:color="auto"/>
              <w:right w:val="single" w:sz="4" w:space="0" w:color="auto"/>
            </w:tcBorders>
            <w:shd w:val="clear" w:color="auto" w:fill="auto"/>
            <w:vAlign w:val="center"/>
          </w:tcPr>
          <w:p w14:paraId="4ABE4E11" w14:textId="11B02650" w:rsidR="0033054C" w:rsidRDefault="0033054C" w:rsidP="0033054C">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01C5AD8F" w14:textId="2DBA7B05" w:rsidR="0033054C" w:rsidRDefault="0033054C" w:rsidP="0033054C">
            <w:pPr>
              <w:pStyle w:val="TableText"/>
            </w:pPr>
            <w: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179FF016" w14:textId="660E2BE2" w:rsidR="0033054C" w:rsidRDefault="0033054C" w:rsidP="0033054C">
            <w:pPr>
              <w:pStyle w:val="TableText"/>
            </w:pPr>
            <w:r>
              <w:t>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DCA4B1E" w14:textId="48B6585D" w:rsidR="0033054C" w:rsidRDefault="0033054C" w:rsidP="0033054C">
            <w:pPr>
              <w:pStyle w:val="TableText"/>
            </w:pPr>
            <w:r>
              <w:t>1</w:t>
            </w:r>
          </w:p>
        </w:tc>
      </w:tr>
      <w:tr w:rsidR="00A21BF3" w:rsidRPr="00C8094D" w14:paraId="67173B7F" w14:textId="77777777" w:rsidTr="006F5AAC">
        <w:trPr>
          <w:cantSplit/>
          <w:trHeight w:val="255"/>
          <w:tblHeader/>
          <w:jc w:val="center"/>
        </w:trPr>
        <w:tc>
          <w:tcPr>
            <w:tcW w:w="3451"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54BB865" w14:textId="0790BA9D" w:rsidR="00A21BF3" w:rsidRPr="00381EF0" w:rsidRDefault="00136D9C">
            <w:pPr>
              <w:pStyle w:val="TableRowHeader"/>
            </w:pPr>
            <w:r>
              <w:t>Infrastructure</w:t>
            </w:r>
          </w:p>
        </w:tc>
        <w:tc>
          <w:tcPr>
            <w:tcW w:w="359" w:type="pct"/>
            <w:tcBorders>
              <w:top w:val="nil"/>
              <w:left w:val="single" w:sz="4" w:space="0" w:color="auto"/>
              <w:bottom w:val="single" w:sz="4" w:space="0" w:color="auto"/>
              <w:right w:val="single" w:sz="4" w:space="0" w:color="auto"/>
            </w:tcBorders>
            <w:shd w:val="clear" w:color="auto" w:fill="1F497D" w:themeFill="text2"/>
            <w:vAlign w:val="center"/>
          </w:tcPr>
          <w:p w14:paraId="44EDB9B5" w14:textId="77777777" w:rsidR="00A21BF3" w:rsidRPr="00381EF0" w:rsidRDefault="00A21BF3">
            <w:pPr>
              <w:pStyle w:val="TableText"/>
            </w:pPr>
          </w:p>
        </w:tc>
        <w:tc>
          <w:tcPr>
            <w:tcW w:w="359"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EFA2560" w14:textId="77777777" w:rsidR="00A21BF3" w:rsidRPr="00381EF0" w:rsidRDefault="00A21BF3">
            <w:pPr>
              <w:pStyle w:val="TableText"/>
            </w:pPr>
          </w:p>
        </w:tc>
        <w:tc>
          <w:tcPr>
            <w:tcW w:w="360"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D78BECD" w14:textId="77777777" w:rsidR="00A21BF3" w:rsidRPr="00381EF0" w:rsidRDefault="00A21BF3">
            <w:pPr>
              <w:pStyle w:val="TableText"/>
            </w:pPr>
          </w:p>
        </w:tc>
        <w:tc>
          <w:tcPr>
            <w:tcW w:w="471" w:type="pct"/>
            <w:tcBorders>
              <w:top w:val="single" w:sz="4" w:space="0" w:color="auto"/>
              <w:left w:val="single" w:sz="4" w:space="0" w:color="auto"/>
              <w:bottom w:val="single" w:sz="4" w:space="0" w:color="auto"/>
              <w:right w:val="single" w:sz="4" w:space="0" w:color="auto"/>
            </w:tcBorders>
            <w:shd w:val="clear" w:color="auto" w:fill="1F497D" w:themeFill="text2"/>
          </w:tcPr>
          <w:p w14:paraId="6C3C79BD" w14:textId="77777777" w:rsidR="00A21BF3" w:rsidRPr="00381EF0" w:rsidRDefault="00A21BF3">
            <w:pPr>
              <w:pStyle w:val="TableText"/>
            </w:pPr>
          </w:p>
        </w:tc>
      </w:tr>
      <w:tr w:rsidR="00A21BF3" w:rsidRPr="00C8094D" w14:paraId="5F31408E"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01527073" w14:textId="31059929" w:rsidR="00A21BF3" w:rsidRDefault="00A21BF3">
            <w:pPr>
              <w:pStyle w:val="TableText"/>
            </w:pPr>
            <w:r>
              <w:t>(</w:t>
            </w:r>
            <w:r w:rsidR="00AD5D09">
              <w:t>4</w:t>
            </w:r>
            <w:r>
              <w:t>)</w:t>
            </w:r>
          </w:p>
        </w:tc>
        <w:tc>
          <w:tcPr>
            <w:tcW w:w="3165" w:type="pct"/>
            <w:tcBorders>
              <w:top w:val="single" w:sz="4" w:space="0" w:color="auto"/>
              <w:bottom w:val="single" w:sz="4" w:space="0" w:color="auto"/>
              <w:right w:val="single" w:sz="4" w:space="0" w:color="auto"/>
            </w:tcBorders>
          </w:tcPr>
          <w:p w14:paraId="52B0A22D" w14:textId="094CC603" w:rsidR="00A21BF3" w:rsidRDefault="008B10CD">
            <w:pPr>
              <w:pStyle w:val="TableText"/>
            </w:pPr>
            <w:r w:rsidRPr="008B10CD">
              <w:t>Replace or retrofit legacy school buses</w:t>
            </w:r>
          </w:p>
        </w:tc>
        <w:tc>
          <w:tcPr>
            <w:tcW w:w="359" w:type="pct"/>
            <w:tcBorders>
              <w:top w:val="nil"/>
              <w:left w:val="single" w:sz="4" w:space="0" w:color="auto"/>
              <w:bottom w:val="single" w:sz="4" w:space="0" w:color="auto"/>
              <w:right w:val="single" w:sz="4" w:space="0" w:color="auto"/>
            </w:tcBorders>
            <w:shd w:val="clear" w:color="auto" w:fill="auto"/>
            <w:vAlign w:val="center"/>
          </w:tcPr>
          <w:p w14:paraId="5D4A6D3E" w14:textId="4820061D" w:rsidR="00A21BF3" w:rsidRDefault="00E0258A">
            <w:pPr>
              <w:pStyle w:val="TableText"/>
            </w:pPr>
            <w:r>
              <w:t>$$$</w:t>
            </w:r>
          </w:p>
        </w:tc>
        <w:tc>
          <w:tcPr>
            <w:tcW w:w="359" w:type="pct"/>
            <w:tcBorders>
              <w:top w:val="single" w:sz="4" w:space="0" w:color="auto"/>
              <w:left w:val="single" w:sz="4" w:space="0" w:color="auto"/>
              <w:bottom w:val="single" w:sz="4" w:space="0" w:color="auto"/>
              <w:right w:val="single" w:sz="4" w:space="0" w:color="auto"/>
            </w:tcBorders>
            <w:vAlign w:val="center"/>
          </w:tcPr>
          <w:p w14:paraId="0B4DC11D" w14:textId="0A9ECD37" w:rsidR="00A21BF3" w:rsidRDefault="005C08BA">
            <w:pPr>
              <w:pStyle w:val="TableText"/>
            </w:pPr>
            <w: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40F623FE" w14:textId="179F8378" w:rsidR="00A21BF3" w:rsidRDefault="00B27004">
            <w:pPr>
              <w:pStyle w:val="TableText"/>
            </w:pPr>
            <w:r>
              <w:t>3</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DCF926D" w14:textId="5D835A26" w:rsidR="00A21BF3" w:rsidRDefault="00B27004">
            <w:pPr>
              <w:pStyle w:val="TableText"/>
            </w:pPr>
            <w:r>
              <w:t>3</w:t>
            </w:r>
          </w:p>
        </w:tc>
      </w:tr>
      <w:tr w:rsidR="00A21BF3" w:rsidRPr="00C8094D" w14:paraId="39117E9C"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7F866312" w14:textId="519DDE6A" w:rsidR="00A21BF3" w:rsidRDefault="00A21BF3">
            <w:pPr>
              <w:pStyle w:val="TableText"/>
            </w:pPr>
            <w:r>
              <w:t>(</w:t>
            </w:r>
            <w:r w:rsidR="00AD5D09">
              <w:t>5</w:t>
            </w:r>
            <w:r>
              <w:t>)</w:t>
            </w:r>
          </w:p>
        </w:tc>
        <w:tc>
          <w:tcPr>
            <w:tcW w:w="3165" w:type="pct"/>
            <w:tcBorders>
              <w:top w:val="single" w:sz="4" w:space="0" w:color="auto"/>
              <w:bottom w:val="single" w:sz="4" w:space="0" w:color="auto"/>
              <w:right w:val="single" w:sz="4" w:space="0" w:color="auto"/>
            </w:tcBorders>
          </w:tcPr>
          <w:p w14:paraId="6193A16C" w14:textId="3437293C" w:rsidR="00A21BF3" w:rsidRDefault="0003463B">
            <w:pPr>
              <w:pStyle w:val="TableText"/>
            </w:pPr>
            <w:r w:rsidRPr="0003463B">
              <w:t>Establish anti-idling zones</w:t>
            </w:r>
          </w:p>
        </w:tc>
        <w:tc>
          <w:tcPr>
            <w:tcW w:w="359" w:type="pct"/>
            <w:tcBorders>
              <w:top w:val="nil"/>
              <w:left w:val="single" w:sz="4" w:space="0" w:color="auto"/>
              <w:bottom w:val="single" w:sz="4" w:space="0" w:color="auto"/>
              <w:right w:val="single" w:sz="4" w:space="0" w:color="auto"/>
            </w:tcBorders>
            <w:shd w:val="clear" w:color="auto" w:fill="auto"/>
            <w:vAlign w:val="center"/>
          </w:tcPr>
          <w:p w14:paraId="77A49E0C" w14:textId="1862A328" w:rsidR="00A21BF3" w:rsidRDefault="006728E2">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01502F32" w14:textId="4B6BCAA4" w:rsidR="00A21BF3" w:rsidRDefault="006728E2">
            <w:pPr>
              <w:pStyle w:val="TableText"/>
            </w:pPr>
            <w:r>
              <w:t>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7C2F35F3" w14:textId="0149CF92" w:rsidR="00A21BF3" w:rsidRDefault="006728E2">
            <w:pPr>
              <w:pStyle w:val="TableText"/>
            </w:pPr>
            <w:r>
              <w:t>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A35B29A" w14:textId="07ACCD4A" w:rsidR="00A21BF3" w:rsidRDefault="006728E2">
            <w:pPr>
              <w:pStyle w:val="TableText"/>
            </w:pPr>
            <w:r>
              <w:t>2</w:t>
            </w:r>
          </w:p>
        </w:tc>
      </w:tr>
      <w:tr w:rsidR="00A21BF3" w:rsidRPr="00C8094D" w14:paraId="0DC6891B"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6F32F724" w14:textId="2E32ACC1" w:rsidR="00A21BF3" w:rsidRDefault="00A21BF3">
            <w:pPr>
              <w:pStyle w:val="TableText"/>
            </w:pPr>
            <w:r>
              <w:t>(</w:t>
            </w:r>
            <w:r w:rsidR="00AD5D09">
              <w:t>6</w:t>
            </w:r>
            <w:r>
              <w:t>)</w:t>
            </w:r>
          </w:p>
        </w:tc>
        <w:tc>
          <w:tcPr>
            <w:tcW w:w="3165" w:type="pct"/>
            <w:tcBorders>
              <w:top w:val="single" w:sz="4" w:space="0" w:color="auto"/>
              <w:bottom w:val="single" w:sz="4" w:space="0" w:color="auto"/>
              <w:right w:val="single" w:sz="4" w:space="0" w:color="auto"/>
            </w:tcBorders>
          </w:tcPr>
          <w:p w14:paraId="1140236E" w14:textId="742B23E1" w:rsidR="00A21BF3" w:rsidRDefault="00504BE3">
            <w:pPr>
              <w:pStyle w:val="TableText"/>
            </w:pPr>
            <w:r w:rsidRPr="00504BE3">
              <w:t>Locate passenger pickup and drop-off areas away from air intakes and classroom windows</w:t>
            </w:r>
          </w:p>
        </w:tc>
        <w:tc>
          <w:tcPr>
            <w:tcW w:w="359" w:type="pct"/>
            <w:tcBorders>
              <w:top w:val="nil"/>
              <w:left w:val="single" w:sz="4" w:space="0" w:color="auto"/>
              <w:bottom w:val="single" w:sz="4" w:space="0" w:color="auto"/>
              <w:right w:val="single" w:sz="4" w:space="0" w:color="auto"/>
            </w:tcBorders>
            <w:shd w:val="clear" w:color="auto" w:fill="auto"/>
            <w:vAlign w:val="center"/>
          </w:tcPr>
          <w:p w14:paraId="649BF678" w14:textId="7DB783B7" w:rsidR="00A21BF3" w:rsidRPr="005659BC" w:rsidRDefault="00FE5A1E">
            <w:pPr>
              <w:pStyle w:val="TableText"/>
            </w:pPr>
            <w:r w:rsidRPr="005659BC">
              <w:t>$</w:t>
            </w:r>
          </w:p>
        </w:tc>
        <w:tc>
          <w:tcPr>
            <w:tcW w:w="359" w:type="pct"/>
            <w:tcBorders>
              <w:top w:val="single" w:sz="4" w:space="0" w:color="auto"/>
              <w:left w:val="single" w:sz="4" w:space="0" w:color="auto"/>
              <w:bottom w:val="single" w:sz="4" w:space="0" w:color="auto"/>
              <w:right w:val="single" w:sz="4" w:space="0" w:color="auto"/>
            </w:tcBorders>
            <w:vAlign w:val="center"/>
          </w:tcPr>
          <w:p w14:paraId="4E4B4CAF" w14:textId="6DF5E83C" w:rsidR="00A21BF3" w:rsidRPr="005659BC" w:rsidRDefault="00FE5A1E">
            <w:pPr>
              <w:pStyle w:val="TableText"/>
            </w:pPr>
            <w:r w:rsidRPr="005659BC">
              <w:t>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39C9AF6A" w14:textId="47458E81" w:rsidR="00A21BF3" w:rsidRPr="005659BC" w:rsidRDefault="00FE5A1E">
            <w:pPr>
              <w:pStyle w:val="TableText"/>
            </w:pPr>
            <w:r w:rsidRPr="005659BC">
              <w:t>2</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095B472F" w14:textId="5278C201" w:rsidR="00A21BF3" w:rsidRPr="005659BC" w:rsidRDefault="00FE5A1E">
            <w:pPr>
              <w:pStyle w:val="TableText"/>
            </w:pPr>
            <w:r w:rsidRPr="005659BC">
              <w:t>2</w:t>
            </w:r>
          </w:p>
        </w:tc>
      </w:tr>
      <w:tr w:rsidR="00A21BF3" w:rsidRPr="00C8094D" w14:paraId="58CDEB6F"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148678AC" w14:textId="7F5ECFC2" w:rsidR="00A21BF3" w:rsidRDefault="00A21BF3">
            <w:pPr>
              <w:pStyle w:val="TableText"/>
            </w:pPr>
            <w:r>
              <w:t>(</w:t>
            </w:r>
            <w:r w:rsidR="00AD5D09">
              <w:t>7</w:t>
            </w:r>
            <w:r>
              <w:t>)</w:t>
            </w:r>
          </w:p>
        </w:tc>
        <w:tc>
          <w:tcPr>
            <w:tcW w:w="3165" w:type="pct"/>
            <w:tcBorders>
              <w:top w:val="single" w:sz="4" w:space="0" w:color="auto"/>
              <w:bottom w:val="single" w:sz="4" w:space="0" w:color="auto"/>
              <w:right w:val="single" w:sz="4" w:space="0" w:color="auto"/>
            </w:tcBorders>
          </w:tcPr>
          <w:p w14:paraId="05D02A3E" w14:textId="0923D3A3" w:rsidR="00A21BF3" w:rsidRDefault="00596257">
            <w:pPr>
              <w:pStyle w:val="TableText"/>
            </w:pPr>
            <w:r w:rsidRPr="00596257">
              <w:t>Maintain HVAC systems and filter indoor air</w:t>
            </w:r>
          </w:p>
        </w:tc>
        <w:tc>
          <w:tcPr>
            <w:tcW w:w="359" w:type="pct"/>
            <w:tcBorders>
              <w:top w:val="nil"/>
              <w:left w:val="single" w:sz="4" w:space="0" w:color="auto"/>
              <w:bottom w:val="single" w:sz="4" w:space="0" w:color="auto"/>
              <w:right w:val="single" w:sz="4" w:space="0" w:color="auto"/>
            </w:tcBorders>
            <w:shd w:val="clear" w:color="auto" w:fill="auto"/>
            <w:vAlign w:val="center"/>
          </w:tcPr>
          <w:p w14:paraId="1DF13224" w14:textId="530AB7E1" w:rsidR="00A21BF3" w:rsidRPr="005659BC" w:rsidRDefault="005B424D">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491D4999" w14:textId="2A1AA729" w:rsidR="00A21BF3" w:rsidRPr="005659BC" w:rsidRDefault="00FE5A1E">
            <w:pPr>
              <w:pStyle w:val="TableText"/>
            </w:pPr>
            <w:r w:rsidRPr="005659BC">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039D471B" w14:textId="2F1FE402" w:rsidR="00A21BF3" w:rsidRPr="005659BC" w:rsidRDefault="005B424D">
            <w:pPr>
              <w:pStyle w:val="TableText"/>
            </w:pPr>
            <w:r>
              <w:t>2</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3BD8617" w14:textId="1260413A" w:rsidR="00A21BF3" w:rsidRPr="005659BC" w:rsidRDefault="005B424D">
            <w:pPr>
              <w:pStyle w:val="TableText"/>
            </w:pPr>
            <w:r>
              <w:t>2</w:t>
            </w:r>
          </w:p>
        </w:tc>
      </w:tr>
      <w:tr w:rsidR="00AD5D09" w:rsidRPr="00C8094D" w14:paraId="69CC6F45"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1A583EA4" w14:textId="1100E9E4" w:rsidR="00AD5D09" w:rsidRDefault="00AD5D09">
            <w:pPr>
              <w:pStyle w:val="TableText"/>
            </w:pPr>
            <w:r>
              <w:t>(8)</w:t>
            </w:r>
          </w:p>
        </w:tc>
        <w:tc>
          <w:tcPr>
            <w:tcW w:w="3165" w:type="pct"/>
            <w:tcBorders>
              <w:top w:val="single" w:sz="4" w:space="0" w:color="auto"/>
              <w:bottom w:val="single" w:sz="4" w:space="0" w:color="auto"/>
              <w:right w:val="single" w:sz="4" w:space="0" w:color="auto"/>
            </w:tcBorders>
          </w:tcPr>
          <w:p w14:paraId="4667E33C" w14:textId="5CB8647C" w:rsidR="00AD5D09" w:rsidRPr="00596257" w:rsidRDefault="00AD5D09">
            <w:pPr>
              <w:pStyle w:val="TableText"/>
            </w:pPr>
            <w:r>
              <w:t xml:space="preserve">Consider sources of outdoor air pollution </w:t>
            </w:r>
            <w:r w:rsidR="00160E2F">
              <w:t xml:space="preserve">when </w:t>
            </w:r>
            <w:r>
              <w:t>siting a new school</w:t>
            </w:r>
          </w:p>
        </w:tc>
        <w:tc>
          <w:tcPr>
            <w:tcW w:w="359" w:type="pct"/>
            <w:tcBorders>
              <w:top w:val="nil"/>
              <w:left w:val="single" w:sz="4" w:space="0" w:color="auto"/>
              <w:bottom w:val="single" w:sz="4" w:space="0" w:color="auto"/>
              <w:right w:val="single" w:sz="4" w:space="0" w:color="auto"/>
            </w:tcBorders>
            <w:shd w:val="clear" w:color="auto" w:fill="auto"/>
            <w:vAlign w:val="center"/>
          </w:tcPr>
          <w:p w14:paraId="1A853D7B" w14:textId="26BF037F" w:rsidR="00AD5D09" w:rsidRPr="005659BC" w:rsidRDefault="00AD5D09">
            <w:pPr>
              <w:pStyle w:val="TableText"/>
            </w:pPr>
            <w:r>
              <w:t>$</w:t>
            </w:r>
          </w:p>
        </w:tc>
        <w:tc>
          <w:tcPr>
            <w:tcW w:w="359" w:type="pct"/>
            <w:tcBorders>
              <w:top w:val="single" w:sz="4" w:space="0" w:color="auto"/>
              <w:left w:val="single" w:sz="4" w:space="0" w:color="auto"/>
              <w:bottom w:val="single" w:sz="4" w:space="0" w:color="auto"/>
              <w:right w:val="single" w:sz="4" w:space="0" w:color="auto"/>
            </w:tcBorders>
            <w:vAlign w:val="center"/>
          </w:tcPr>
          <w:p w14:paraId="04945282" w14:textId="65A30B3B" w:rsidR="00AD5D09" w:rsidRPr="005659BC" w:rsidRDefault="00AD5D09">
            <w:pPr>
              <w:pStyle w:val="TableText"/>
            </w:pPr>
            <w:r>
              <w:t>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492DE8E4" w14:textId="3775D0A0" w:rsidR="00AD5D09" w:rsidRPr="005659BC" w:rsidRDefault="00AD5D09">
            <w:pPr>
              <w:pStyle w:val="TableText"/>
            </w:pPr>
            <w:r>
              <w:t>3</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014C5E5B" w14:textId="0C7805E3" w:rsidR="00AD5D09" w:rsidRPr="005659BC" w:rsidRDefault="00AD5D09">
            <w:pPr>
              <w:pStyle w:val="TableText"/>
            </w:pPr>
            <w:r>
              <w:t>3</w:t>
            </w:r>
          </w:p>
        </w:tc>
      </w:tr>
      <w:tr w:rsidR="008D0BB2" w:rsidRPr="00C8094D" w14:paraId="6F1C411E" w14:textId="77777777" w:rsidTr="006F5AAC">
        <w:trPr>
          <w:cantSplit/>
          <w:trHeight w:val="255"/>
          <w:tblHeader/>
          <w:jc w:val="center"/>
        </w:trPr>
        <w:tc>
          <w:tcPr>
            <w:tcW w:w="286" w:type="pct"/>
            <w:tcBorders>
              <w:top w:val="single" w:sz="4" w:space="0" w:color="auto"/>
              <w:left w:val="single" w:sz="4" w:space="0" w:color="auto"/>
              <w:bottom w:val="single" w:sz="4" w:space="0" w:color="auto"/>
            </w:tcBorders>
            <w:shd w:val="clear" w:color="auto" w:fill="auto"/>
          </w:tcPr>
          <w:p w14:paraId="76074AED" w14:textId="713E4A92" w:rsidR="008D0BB2" w:rsidRDefault="008D0BB2">
            <w:pPr>
              <w:pStyle w:val="TableText"/>
            </w:pPr>
            <w:r>
              <w:t>(9)</w:t>
            </w:r>
          </w:p>
        </w:tc>
        <w:tc>
          <w:tcPr>
            <w:tcW w:w="3165" w:type="pct"/>
            <w:tcBorders>
              <w:top w:val="single" w:sz="4" w:space="0" w:color="auto"/>
              <w:bottom w:val="single" w:sz="4" w:space="0" w:color="auto"/>
              <w:right w:val="single" w:sz="4" w:space="0" w:color="auto"/>
            </w:tcBorders>
          </w:tcPr>
          <w:p w14:paraId="10D26CAC" w14:textId="5532088B" w:rsidR="008D0BB2" w:rsidRDefault="001D1E45">
            <w:pPr>
              <w:pStyle w:val="TableText"/>
            </w:pPr>
            <w:r w:rsidRPr="001D1E45">
              <w:t>Consider community- and building-level design elements that mitigate infiltration of outdoor air pollutants from roadways and industrial areas</w:t>
            </w:r>
          </w:p>
        </w:tc>
        <w:tc>
          <w:tcPr>
            <w:tcW w:w="359" w:type="pct"/>
            <w:tcBorders>
              <w:top w:val="nil"/>
              <w:left w:val="single" w:sz="4" w:space="0" w:color="auto"/>
              <w:bottom w:val="single" w:sz="4" w:space="0" w:color="auto"/>
              <w:right w:val="single" w:sz="4" w:space="0" w:color="auto"/>
            </w:tcBorders>
            <w:shd w:val="clear" w:color="auto" w:fill="auto"/>
            <w:vAlign w:val="center"/>
          </w:tcPr>
          <w:p w14:paraId="739FBEA6" w14:textId="69DEA54E" w:rsidR="008D0BB2" w:rsidRDefault="00A87256">
            <w:pPr>
              <w:pStyle w:val="TableText"/>
            </w:pPr>
            <w:r>
              <w:t>0-$$$</w:t>
            </w:r>
          </w:p>
        </w:tc>
        <w:tc>
          <w:tcPr>
            <w:tcW w:w="359" w:type="pct"/>
            <w:tcBorders>
              <w:top w:val="single" w:sz="4" w:space="0" w:color="auto"/>
              <w:left w:val="single" w:sz="4" w:space="0" w:color="auto"/>
              <w:bottom w:val="single" w:sz="4" w:space="0" w:color="auto"/>
              <w:right w:val="single" w:sz="4" w:space="0" w:color="auto"/>
            </w:tcBorders>
            <w:vAlign w:val="center"/>
          </w:tcPr>
          <w:p w14:paraId="5261E109" w14:textId="7D694746" w:rsidR="008D0BB2" w:rsidRDefault="008D0BB2">
            <w:pPr>
              <w:pStyle w:val="TableText"/>
            </w:pPr>
            <w:r>
              <w:t>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14:paraId="1003047E" w14:textId="3F267B8E" w:rsidR="008D0BB2" w:rsidRDefault="00A87256">
            <w:pPr>
              <w:pStyle w:val="TableText"/>
            </w:pPr>
            <w:r>
              <w:t>1-3</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ED010AA" w14:textId="31B8E9D6" w:rsidR="008D0BB2" w:rsidRDefault="00A87256">
            <w:pPr>
              <w:pStyle w:val="TableText"/>
            </w:pPr>
            <w:r>
              <w:t>1-3</w:t>
            </w:r>
          </w:p>
        </w:tc>
      </w:tr>
      <w:tr w:rsidR="00A21BF3" w:rsidRPr="00C8094D" w14:paraId="007EDE89"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652659F" w14:textId="77777777" w:rsidR="00A21BF3" w:rsidRPr="00FF51E8" w:rsidRDefault="00A21BF3">
            <w:pPr>
              <w:rPr>
                <w:rFonts w:ascii="Arial" w:hAnsi="Arial" w:cs="Arial"/>
                <w:b/>
                <w:bCs/>
                <w:sz w:val="20"/>
                <w:szCs w:val="20"/>
                <w:u w:val="single"/>
              </w:rPr>
            </w:pPr>
            <w:r w:rsidRPr="00FF51E8">
              <w:rPr>
                <w:rFonts w:ascii="Arial" w:hAnsi="Arial" w:cs="Arial"/>
                <w:b/>
                <w:bCs/>
                <w:sz w:val="20"/>
                <w:szCs w:val="20"/>
                <w:u w:val="single"/>
              </w:rPr>
              <w:t>Key:</w:t>
            </w:r>
          </w:p>
          <w:p w14:paraId="5211729B" w14:textId="77777777" w:rsidR="00A21BF3" w:rsidRPr="00FF51E8" w:rsidRDefault="00A21BF3">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0266893E" w14:textId="4C8931AC" w:rsidR="00A21BF3" w:rsidRPr="00FF51E8" w:rsidRDefault="00A21BF3">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DE5940">
              <w:rPr>
                <w:rFonts w:ascii="Arial" w:hAnsi="Arial" w:cs="Arial"/>
                <w:sz w:val="20"/>
                <w:szCs w:val="20"/>
              </w:rPr>
              <w:t>&gt;</w:t>
            </w:r>
            <w:r w:rsidRPr="00FF51E8">
              <w:rPr>
                <w:rFonts w:ascii="Arial" w:hAnsi="Arial" w:cs="Arial"/>
                <w:sz w:val="20"/>
                <w:szCs w:val="20"/>
              </w:rPr>
              <w:t>12 months)</w:t>
            </w:r>
          </w:p>
          <w:p w14:paraId="32ABB656" w14:textId="77777777" w:rsidR="00A21BF3" w:rsidRPr="00FF51E8" w:rsidRDefault="00A21BF3">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351721CB" w14:textId="77777777" w:rsidR="00A21BF3" w:rsidRDefault="00A21BF3" w:rsidP="00A21BF3">
      <w:pPr>
        <w:pStyle w:val="Heading3"/>
      </w:pPr>
      <w:r>
        <w:t>Barriers and Challenges</w:t>
      </w:r>
    </w:p>
    <w:p w14:paraId="53783818" w14:textId="70B81055" w:rsidR="00A21BF3" w:rsidRDefault="00155514" w:rsidP="006D7DE6">
      <w:pPr>
        <w:pStyle w:val="BodyTextFirstIndent"/>
      </w:pPr>
      <w:r>
        <w:t xml:space="preserve">Schools must be aware of the many sources of outdoor air pollution that could impact the health of those learning and working at the school. </w:t>
      </w:r>
      <w:r w:rsidR="00E13F29">
        <w:t>Certain interventions are easier than others; for example, the cost of electrifying or upgrading school bus fleets can be a significant challenge for many school districts</w:t>
      </w:r>
      <w:r w:rsidR="001022B6">
        <w:t xml:space="preserve">. </w:t>
      </w:r>
      <w:r w:rsidR="00535086">
        <w:t xml:space="preserve">While electric school buses have lower maintenance costs, the price of new electric buses is </w:t>
      </w:r>
      <w:r w:rsidR="0072077A">
        <w:t>significantly higher than</w:t>
      </w:r>
      <w:r w:rsidR="00296C2A">
        <w:t xml:space="preserve"> new diesel buse</w:t>
      </w:r>
      <w:r w:rsidR="00244955">
        <w:t>s</w:t>
      </w:r>
      <w:r w:rsidR="006104B6">
        <w:t xml:space="preserve">. </w:t>
      </w:r>
      <w:r w:rsidR="00686703">
        <w:t>Reconfiguring pickup and drop-off zones</w:t>
      </w:r>
      <w:r w:rsidR="004B2E1D">
        <w:t xml:space="preserve"> at existing schools</w:t>
      </w:r>
      <w:r w:rsidR="00686703">
        <w:t xml:space="preserve"> can also pose design challenges. </w:t>
      </w:r>
    </w:p>
    <w:p w14:paraId="174B4636" w14:textId="4610903B" w:rsidR="002262B0" w:rsidRDefault="00E13F29" w:rsidP="006D7DE6">
      <w:pPr>
        <w:pStyle w:val="BodyTextFirstIndent"/>
      </w:pPr>
      <w:r>
        <w:t>In addition, w</w:t>
      </w:r>
      <w:r w:rsidR="002262B0">
        <w:t>ildfire smoke events have historically been relatively uncommon in Massachusetts, and schools may not have experience preparing for and reacting to them. Creating a wildfire smoke plan may be new to school administration, as may routinely checking outdoor air quality</w:t>
      </w:r>
    </w:p>
    <w:p w14:paraId="5D3C1DEB" w14:textId="7D669513" w:rsidR="00904065" w:rsidRDefault="00904065" w:rsidP="001C7888">
      <w:pPr>
        <w:pStyle w:val="Heading2"/>
      </w:pPr>
      <w:bookmarkStart w:id="192" w:name="_Toc171518370"/>
      <w:bookmarkStart w:id="193" w:name="_Toc171519323"/>
      <w:bookmarkStart w:id="194" w:name="_Toc193116902"/>
      <w:r>
        <w:lastRenderedPageBreak/>
        <w:t>Objective 2</w:t>
      </w:r>
      <w:r w:rsidR="008849BA">
        <w:t>b</w:t>
      </w:r>
      <w:r>
        <w:t>. Improve Water Quality</w:t>
      </w:r>
      <w:bookmarkEnd w:id="192"/>
      <w:bookmarkEnd w:id="193"/>
      <w:bookmarkEnd w:id="194"/>
    </w:p>
    <w:p w14:paraId="4A69140B" w14:textId="0958E136" w:rsidR="00890367" w:rsidRDefault="00795412" w:rsidP="003A350D">
      <w:pPr>
        <w:pStyle w:val="AirQualitySubheading"/>
      </w:pPr>
      <w:r>
        <w:t>2b(1)</w:t>
      </w:r>
      <w:r>
        <w:tab/>
      </w:r>
      <w:r w:rsidR="003A350D">
        <w:t>Reduc</w:t>
      </w:r>
      <w:r w:rsidR="007960F7">
        <w:t>e</w:t>
      </w:r>
      <w:r w:rsidR="003A350D">
        <w:t xml:space="preserve"> Exposure to </w:t>
      </w:r>
      <w:r w:rsidR="003C46E8">
        <w:t>Lead</w:t>
      </w:r>
      <w:r w:rsidR="001F0322">
        <w:t xml:space="preserve"> in Drinking Water</w:t>
      </w:r>
    </w:p>
    <w:p w14:paraId="6E73ED93" w14:textId="77777777" w:rsidR="003A350D" w:rsidRDefault="003A350D" w:rsidP="003A350D">
      <w:pPr>
        <w:pStyle w:val="Heading3"/>
      </w:pPr>
      <w:r>
        <w:t>Background</w:t>
      </w:r>
    </w:p>
    <w:p w14:paraId="7B93C69D" w14:textId="138C1EF5" w:rsidR="00545860" w:rsidRDefault="00160E2F" w:rsidP="006D7DE6">
      <w:pPr>
        <w:pStyle w:val="BodyTextFirstIndent"/>
      </w:pPr>
      <w:r>
        <w:t xml:space="preserve">Since </w:t>
      </w:r>
      <w:r w:rsidR="004909BF">
        <w:t xml:space="preserve">clean </w:t>
      </w:r>
      <w:r w:rsidR="00545860">
        <w:t>drinking water is essential for the health and well-being of all people, water with levels of heavy metals such as lead and copper can be particularly damaging. Lead and other metals can leach into drinking water from pipes, solder, and even the interior components of drinking fountains.</w:t>
      </w:r>
      <w:r w:rsidR="004909BF">
        <w:fldChar w:fldCharType="begin"/>
      </w:r>
      <w:r w:rsidR="009B749D">
        <w:instrText xml:space="preserve"> ADDIN ZOTERO_ITEM CSL_CITATION {"citationID":"Y1MJpGsf","properties":{"formattedCitation":"\\super 99,101\\nosupersub{}","plainCitation":"99,101","noteIndex":0},"citationItems":[{"id":10,"uris":["http://zotero.org/groups/5563646/items/RET9EIZX"],"itemData":{"id":10,"type":"report","language":"en","number":"EPA-908-R-12-0001","source":"Zotero","title":"Sensible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rsidR="004909BF">
        <w:fldChar w:fldCharType="separate"/>
      </w:r>
      <w:r w:rsidR="009B749D" w:rsidRPr="009B749D">
        <w:rPr>
          <w:rFonts w:cs="Arial"/>
          <w:vertAlign w:val="superscript"/>
        </w:rPr>
        <w:t>99,101</w:t>
      </w:r>
      <w:r w:rsidR="004909BF">
        <w:fldChar w:fldCharType="end"/>
      </w:r>
      <w:r w:rsidR="00545860">
        <w:t xml:space="preserve"> Further, improper treatment of public water systems and poor maintenance of or malfunctioning plumbing systems can also lead to detectable </w:t>
      </w:r>
      <w:r w:rsidR="004909BF">
        <w:t xml:space="preserve">lead </w:t>
      </w:r>
      <w:r w:rsidR="00545860">
        <w:t>levels in drinking water.</w:t>
      </w:r>
      <w:r w:rsidR="004909BF">
        <w:fldChar w:fldCharType="begin"/>
      </w:r>
      <w:r w:rsidR="00AE5A09">
        <w:instrText xml:space="preserve"> ADDIN ZOTERO_ITEM CSL_CITATION {"citationID":"0ssvc6MI","properties":{"formattedCitation":"\\super 120\\nosupersub{}","plainCitation":"120","noteIndex":0},"citationItems":[{"id":541,"uris":["http://zotero.org/groups/5563646/items/YJ5JP7N8"],"itemData":{"id":541,"type":"document","title":"Foundations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program","given":""}]}}],"schema":"https://github.com/citation-style-language/schema/raw/master/csl-citation.json"} </w:instrText>
      </w:r>
      <w:r w:rsidR="004909BF">
        <w:fldChar w:fldCharType="separate"/>
      </w:r>
      <w:r w:rsidR="00AE5A09" w:rsidRPr="00AE5A09">
        <w:rPr>
          <w:rFonts w:cs="Arial"/>
          <w:sz w:val="22"/>
          <w:vertAlign w:val="superscript"/>
        </w:rPr>
        <w:t>120</w:t>
      </w:r>
      <w:r w:rsidR="004909BF">
        <w:fldChar w:fldCharType="end"/>
      </w:r>
      <w:r w:rsidR="00545860">
        <w:t xml:space="preserve"> </w:t>
      </w:r>
      <w:r w:rsidR="006311E2" w:rsidRPr="006311E2">
        <w:t xml:space="preserve">There is no safe level of lead in drinking water. </w:t>
      </w:r>
      <w:r w:rsidR="00545860">
        <w:t>Lead can have long lasting impacts to health, including damage to the brain, nervous system, kidneys, and more.</w:t>
      </w:r>
      <w:r w:rsidR="004909BF">
        <w:fldChar w:fldCharType="begin"/>
      </w:r>
      <w:r w:rsidR="00930BB6">
        <w:instrText xml:space="preserve"> ADDIN ZOTERO_ITEM CSL_CITATION {"citationID":"fdUcZWeF","properties":{"formattedCitation":"\\super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rsidR="004909BF">
        <w:fldChar w:fldCharType="separate"/>
      </w:r>
      <w:r w:rsidR="00930BB6" w:rsidRPr="00930BB6">
        <w:rPr>
          <w:rFonts w:cs="Arial"/>
          <w:vertAlign w:val="superscript"/>
        </w:rPr>
        <w:t>99</w:t>
      </w:r>
      <w:r w:rsidR="004909BF">
        <w:fldChar w:fldCharType="end"/>
      </w:r>
      <w:r w:rsidR="00545860">
        <w:t xml:space="preserve"> </w:t>
      </w:r>
      <w:r w:rsidR="008B55C1">
        <w:t>Exposure to lead in drinking water can cause serious health effects in all age groups</w:t>
      </w:r>
      <w:r w:rsidR="006A3761">
        <w:t>, but c</w:t>
      </w:r>
      <w:r w:rsidR="00545860">
        <w:t xml:space="preserve">hildren are most vulnerable to health effects from lead exposure </w:t>
      </w:r>
      <w:r w:rsidR="004909BF">
        <w:t xml:space="preserve">since </w:t>
      </w:r>
      <w:r w:rsidR="00545860">
        <w:t>their growing bodies can absorb more lead than the average adult.</w:t>
      </w:r>
      <w:r w:rsidR="004909BF">
        <w:fldChar w:fldCharType="begin"/>
      </w:r>
      <w:r w:rsidR="00455C59">
        <w:instrText xml:space="preserve"> ADDIN ZOTERO_ITEM CSL_CITATION {"citationID":"pjb2jCLZ","properties":{"formattedCitation":"\\super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rsidR="004909BF">
        <w:fldChar w:fldCharType="separate"/>
      </w:r>
      <w:r w:rsidR="00455C59" w:rsidRPr="00455C59">
        <w:rPr>
          <w:rFonts w:cs="Arial"/>
          <w:vertAlign w:val="superscript"/>
        </w:rPr>
        <w:t>101</w:t>
      </w:r>
      <w:r w:rsidR="004909BF">
        <w:fldChar w:fldCharType="end"/>
      </w:r>
      <w:r w:rsidR="00545860">
        <w:t xml:space="preserve"> Lead can be especially harmful to children’s cognitive function due to its neurotoxic effects</w:t>
      </w:r>
      <w:r w:rsidR="004909BF">
        <w:t>;</w:t>
      </w:r>
      <w:r w:rsidR="00545860">
        <w:t xml:space="preserve"> reduced attention span, verbal skills, and overall IQ can be attributed to lead exposure.</w:t>
      </w:r>
      <w:r w:rsidR="004909BF">
        <w:fldChar w:fldCharType="begin"/>
      </w:r>
      <w:r w:rsidR="00F97D1E">
        <w:instrText xml:space="preserve"> ADDIN ZOTERO_ITEM CSL_CITATION {"citationID":"tkVXRIzN","properties":{"formattedCitation":"\\super 120\\nosupersub{}","plainCitation":"120","noteIndex":0},"citationItems":[{"id":541,"uris":["http://zotero.org/groups/5563646/items/YJ5JP7N8"],"itemData":{"id":541,"type":"document","title":"Foundations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program","given":""}]}}],"schema":"https://github.com/citation-style-language/schema/raw/master/csl-citation.json"} </w:instrText>
      </w:r>
      <w:r w:rsidR="004909BF">
        <w:fldChar w:fldCharType="separate"/>
      </w:r>
      <w:r w:rsidR="00F97D1E" w:rsidRPr="00F97D1E">
        <w:rPr>
          <w:rFonts w:cs="Arial"/>
          <w:sz w:val="22"/>
          <w:vertAlign w:val="superscript"/>
        </w:rPr>
        <w:t>120</w:t>
      </w:r>
      <w:r w:rsidR="004909BF">
        <w:fldChar w:fldCharType="end"/>
      </w:r>
      <w:r w:rsidR="00545860">
        <w:t xml:space="preserve"> Thus, it is essential to </w:t>
      </w:r>
      <w:r w:rsidR="00C16092">
        <w:t>provide</w:t>
      </w:r>
      <w:r w:rsidR="00545860">
        <w:t xml:space="preserve"> children </w:t>
      </w:r>
      <w:r w:rsidR="00C16092">
        <w:t>with</w:t>
      </w:r>
      <w:r w:rsidR="00545860">
        <w:t xml:space="preserve"> access to water without detectable levels of lead, especially in schools, by conducting testing, issuing awareness statements, and implementing remediation efforts. </w:t>
      </w:r>
    </w:p>
    <w:p w14:paraId="11ED2627" w14:textId="644CCE3C" w:rsidR="281C60F9" w:rsidRDefault="12E9AC88" w:rsidP="006D7DE6">
      <w:pPr>
        <w:pStyle w:val="BodyTextFirstIndent"/>
      </w:pPr>
      <w:r w:rsidRPr="59A5C919">
        <w:t>Many schools are supplied by public water systems; others have their own water supply and are themselves classified as public water systems under the Safe Drinking Water Act</w:t>
      </w:r>
      <w:r w:rsidR="007563EE">
        <w:t xml:space="preserve"> (SDWA)</w:t>
      </w:r>
      <w:r w:rsidRPr="59A5C919">
        <w:t>.</w:t>
      </w:r>
      <w:r w:rsidR="7A0384F5" w:rsidRPr="59A5C919">
        <w:t xml:space="preserve"> </w:t>
      </w:r>
      <w:r>
        <w:fldChar w:fldCharType="begin"/>
      </w:r>
      <w:r w:rsidR="004B2086">
        <w:instrText xml:space="preserve"> ADDIN ZOTERO_ITEM CSL_CITATION {"citationID":"7RY4spau","properties":{"formattedCitation":"\\super 121,122\\nosupersub{}","plainCitation":"121,122","noteIndex":0},"citationItems":[{"id":539,"uris":["http://zotero.org/groups/5563646/items/JJIWVTZ7"],"itemData":{"id":539,"type":"article-journal","language":"en","source":"Zotero","title":"3Ts for Reducing Lead in Drinking Water in Schools and Child Care Facilities","author":[{"family":"US EPA","given":""}],"issued":{"date-parts":[["2018",10]]}}},{"id":536,"uris":["http://zotero.org/groups/5563646/items/J2Q444ZQ"],"itemData":{"id":536,"type":"document","title":"Best Management Practices: Reducing and Monitoring Lead in Schools and Childcare Facilities","author":[{"family":"CT DPH","given":""}]}}],"schema":"https://github.com/citation-style-language/schema/raw/master/csl-citation.json"} </w:instrText>
      </w:r>
      <w:r>
        <w:fldChar w:fldCharType="separate"/>
      </w:r>
      <w:r w:rsidR="004B2086" w:rsidRPr="004B2086">
        <w:rPr>
          <w:rFonts w:cs="Arial"/>
          <w:vertAlign w:val="superscript"/>
        </w:rPr>
        <w:t>121,122</w:t>
      </w:r>
      <w:r>
        <w:fldChar w:fldCharType="end"/>
      </w:r>
      <w:r w:rsidRPr="59A5C919">
        <w:t xml:space="preserve"> In both cases, they are regulated</w:t>
      </w:r>
      <w:r w:rsidR="00F919DC" w:rsidRPr="00F919DC">
        <w:t xml:space="preserve"> </w:t>
      </w:r>
      <w:r w:rsidR="00F919DC" w:rsidRPr="59A5C919">
        <w:t>by MassDEP</w:t>
      </w:r>
      <w:r w:rsidRPr="59A5C919">
        <w:t xml:space="preserve"> for lead under the Lead and Copper Rule and are required to do varying amount</w:t>
      </w:r>
      <w:r w:rsidR="00160E2F">
        <w:t>s</w:t>
      </w:r>
      <w:r w:rsidRPr="59A5C919">
        <w:t xml:space="preserve"> of limited testing. However, there is no federal or state requirement to test every outlet in schools nor is there a federal or state regulatory standard for lead in school drinking water. MassDEP regulations require that community public water systems test two outlets at two schools or EECFs every </w:t>
      </w:r>
      <w:r w:rsidR="00A816E5">
        <w:t>six months, annually</w:t>
      </w:r>
      <w:r w:rsidR="009575EA">
        <w:t>, or every three years depending on the required monitoring schedule of the public water system</w:t>
      </w:r>
      <w:r w:rsidRPr="59A5C919">
        <w:t xml:space="preserve">. In addition, MassDEP has established a guideline level of lead in school and EECF drinking water of 1 </w:t>
      </w:r>
      <w:r w:rsidR="00577625">
        <w:t>part per billion (</w:t>
      </w:r>
      <w:r w:rsidRPr="59A5C919">
        <w:t>ppb</w:t>
      </w:r>
      <w:r w:rsidR="00577625">
        <w:t>)</w:t>
      </w:r>
      <w:r w:rsidRPr="59A5C919">
        <w:t xml:space="preserve">, which is the laboratory detection limit.  When levels above 1 ppb are detected, MassDEP recommends taking remediation actions and provides guidance and resources on methods to reducing levels. </w:t>
      </w:r>
    </w:p>
    <w:p w14:paraId="69E88EB7" w14:textId="53527444" w:rsidR="281C60F9" w:rsidRDefault="12E9AC88" w:rsidP="006D7DE6">
      <w:pPr>
        <w:pStyle w:val="BodyTextFirstIndent"/>
      </w:pPr>
      <w:r w:rsidRPr="59A5C919">
        <w:t xml:space="preserve">MassDEP’s </w:t>
      </w:r>
      <w:hyperlink r:id="rId73" w:history="1">
        <w:r w:rsidRPr="00CF3C76">
          <w:rPr>
            <w:rStyle w:val="Hyperlink"/>
            <w:rFonts w:eastAsia="Arial" w:cs="Arial"/>
          </w:rPr>
          <w:t>Water-Smart Program</w:t>
        </w:r>
      </w:hyperlink>
      <w:r w:rsidRPr="59A5C919">
        <w:t xml:space="preserve"> (formerly called the Lead in Schools Assistance Program) offers a free comprehensive approach to testing for lead in schools (and EECFs) and provides resources to take action when lead is detected above 1 ppb. The Program is funded by EPA’s Water Infrastructure Improvements for the Nation grants. The Water-Smart Program is a component of the Lead </w:t>
      </w:r>
      <w:r w:rsidR="006D7565">
        <w:t>Contamination</w:t>
      </w:r>
      <w:r w:rsidRPr="59A5C919">
        <w:t xml:space="preserve"> Control Act (LCCA) Program, </w:t>
      </w:r>
      <w:r w:rsidR="00263DE6">
        <w:t>which</w:t>
      </w:r>
      <w:r w:rsidRPr="59A5C919">
        <w:t xml:space="preserve"> offers additional ongoing support to schools </w:t>
      </w:r>
      <w:r w:rsidR="00160E2F">
        <w:t>concerning</w:t>
      </w:r>
      <w:r w:rsidR="00160E2F" w:rsidRPr="59A5C919">
        <w:t xml:space="preserve"> </w:t>
      </w:r>
      <w:r w:rsidRPr="59A5C919">
        <w:t>addressing lead in drinking water.</w:t>
      </w:r>
    </w:p>
    <w:p w14:paraId="03E44B66" w14:textId="77777777" w:rsidR="0011574C" w:rsidRDefault="0011574C">
      <w:pPr>
        <w:rPr>
          <w:rFonts w:ascii="Arial" w:hAnsi="Arial" w:cs="Arial"/>
          <w:b/>
          <w:bCs/>
          <w:color w:val="4F6228" w:themeColor="accent3" w:themeShade="80"/>
          <w:sz w:val="26"/>
          <w:szCs w:val="22"/>
        </w:rPr>
      </w:pPr>
      <w:r>
        <w:br w:type="page"/>
      </w:r>
    </w:p>
    <w:p w14:paraId="4CAC030E" w14:textId="57C38C25" w:rsidR="003A350D" w:rsidRDefault="003A350D" w:rsidP="003A350D">
      <w:pPr>
        <w:pStyle w:val="Heading3"/>
      </w:pPr>
      <w:r>
        <w:lastRenderedPageBreak/>
        <w:t>Methods and Best Practices</w:t>
      </w:r>
    </w:p>
    <w:p w14:paraId="247528D5" w14:textId="5D66618A" w:rsidR="003A350D" w:rsidRDefault="003C46E8" w:rsidP="006D7DE6">
      <w:pPr>
        <w:pStyle w:val="BodyTextFirstIndent"/>
      </w:pPr>
      <w:r>
        <w:fldChar w:fldCharType="begin"/>
      </w:r>
      <w:r>
        <w:instrText xml:space="preserve"> REF _Ref171630203 \h </w:instrText>
      </w:r>
      <w:r>
        <w:fldChar w:fldCharType="separate"/>
      </w:r>
      <w:r w:rsidR="00307850">
        <w:t xml:space="preserve">Table </w:t>
      </w:r>
      <w:r w:rsidR="00307850">
        <w:rPr>
          <w:noProof/>
        </w:rPr>
        <w:t>19</w:t>
      </w:r>
      <w:r>
        <w:fldChar w:fldCharType="end"/>
      </w:r>
      <w:r>
        <w:t xml:space="preserve"> </w:t>
      </w:r>
      <w:r w:rsidR="003A350D" w:rsidRPr="007935AE">
        <w:t xml:space="preserve">summarizes </w:t>
      </w:r>
      <w:r w:rsidR="003A350D">
        <w:t xml:space="preserve">the </w:t>
      </w:r>
      <w:r w:rsidR="003A350D" w:rsidRPr="007935AE">
        <w:t xml:space="preserve">methods and best practices for </w:t>
      </w:r>
      <w:r w:rsidR="003A350D">
        <w:t xml:space="preserve">reducing exposure to </w:t>
      </w:r>
      <w:r w:rsidR="00B903A6">
        <w:t>lead in drinking water</w:t>
      </w:r>
      <w:r w:rsidR="003A350D">
        <w:t xml:space="preserve"> in</w:t>
      </w:r>
      <w:r w:rsidR="003A350D" w:rsidRPr="007935AE">
        <w:t xml:space="preserve"> schools. For each method and best practice, the table presents the approximate capital and operating costs, implementation timeframe, and ease of implementation.</w:t>
      </w:r>
      <w:r w:rsidR="00662DC8">
        <w:t xml:space="preserve"> </w:t>
      </w:r>
      <w:r w:rsidR="00662DC8" w:rsidRPr="00C43978">
        <w:t xml:space="preserve">See </w:t>
      </w:r>
      <w:hyperlink w:anchor="SectVII_2b1" w:history="1">
        <w:r w:rsidR="00C7715B" w:rsidRPr="00C7715B">
          <w:rPr>
            <w:rStyle w:val="Hyperlink"/>
          </w:rPr>
          <w:t>Section VII, Objective 2b(1)</w:t>
        </w:r>
      </w:hyperlink>
      <w:r w:rsidR="00C7715B">
        <w:t xml:space="preserve"> </w:t>
      </w:r>
      <w:r w:rsidR="00662DC8" w:rsidRPr="00C43978">
        <w:t>for additional narrative descriptions of each of the methods and best practices.</w:t>
      </w:r>
    </w:p>
    <w:p w14:paraId="3DAC2F79" w14:textId="35321923" w:rsidR="003A350D" w:rsidRDefault="003A350D" w:rsidP="00B30C96">
      <w:pPr>
        <w:pStyle w:val="TableTitle"/>
      </w:pPr>
      <w:bookmarkStart w:id="195" w:name="_Ref171630203"/>
      <w:bookmarkStart w:id="196" w:name="_Toc192711685"/>
      <w:bookmarkStart w:id="197" w:name="_Toc193112567"/>
      <w:bookmarkStart w:id="198" w:name="_Toc193116966"/>
      <w:r>
        <w:t xml:space="preserve">Table </w:t>
      </w:r>
      <w:fldSimple w:instr=" SEQ Table \* ARABIC ">
        <w:r w:rsidR="00307850">
          <w:rPr>
            <w:noProof/>
          </w:rPr>
          <w:t>19</w:t>
        </w:r>
      </w:fldSimple>
      <w:bookmarkEnd w:id="195"/>
      <w:r>
        <w:t>. Methods</w:t>
      </w:r>
      <w:r w:rsidR="00074426">
        <w:t xml:space="preserve"> and </w:t>
      </w:r>
      <w:r>
        <w:t xml:space="preserve">Best Practices </w:t>
      </w:r>
      <w:r w:rsidR="0062428D">
        <w:t>for</w:t>
      </w:r>
      <w:r>
        <w:t xml:space="preserve"> </w:t>
      </w:r>
      <w:r w:rsidRPr="000B161A">
        <w:t>Reduc</w:t>
      </w:r>
      <w:r>
        <w:t>ing</w:t>
      </w:r>
      <w:r w:rsidRPr="000B161A">
        <w:t xml:space="preserve"> </w:t>
      </w:r>
      <w:r>
        <w:t xml:space="preserve">Exposure to </w:t>
      </w:r>
      <w:r w:rsidR="00B903A6">
        <w:t>Lead in</w:t>
      </w:r>
      <w:r w:rsidR="00D137CF">
        <w:t xml:space="preserve"> </w:t>
      </w:r>
      <w:r w:rsidR="00B903A6">
        <w:t>Drinking Water</w:t>
      </w:r>
      <w:bookmarkEnd w:id="196"/>
      <w:bookmarkEnd w:id="197"/>
      <w:bookmarkEnd w:id="198"/>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lead in drinking water."/>
      </w:tblPr>
      <w:tblGrid>
        <w:gridCol w:w="570"/>
        <w:gridCol w:w="5952"/>
        <w:gridCol w:w="707"/>
        <w:gridCol w:w="707"/>
        <w:gridCol w:w="707"/>
        <w:gridCol w:w="707"/>
      </w:tblGrid>
      <w:tr w:rsidR="003A350D" w:rsidRPr="00C8094D" w14:paraId="0F4E1566"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11A6025C" w14:textId="77777777" w:rsidR="003A350D" w:rsidRDefault="003A350D">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28B54F40" w14:textId="77777777" w:rsidR="003A350D" w:rsidRPr="00C8094D" w:rsidRDefault="003A350D" w:rsidP="00DE5940">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4EAE1D32" w14:textId="77777777" w:rsidR="003A350D" w:rsidRDefault="003A350D" w:rsidP="00DE5940">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8A2E3EE" w14:textId="77777777" w:rsidR="003A350D" w:rsidRPr="00C8094D" w:rsidRDefault="003A350D" w:rsidP="00DE5940">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C0ECFFD" w14:textId="77777777" w:rsidR="003A350D" w:rsidRPr="00C8094D" w:rsidRDefault="003A350D" w:rsidP="00DE5940">
            <w:pPr>
              <w:pStyle w:val="TableColumnHeader"/>
              <w:jc w:val="left"/>
            </w:pPr>
            <w:r>
              <w:t xml:space="preserve">Ease of </w:t>
            </w:r>
            <w:r w:rsidRPr="00C8094D">
              <w:t>Implementation</w:t>
            </w:r>
          </w:p>
        </w:tc>
      </w:tr>
      <w:tr w:rsidR="003A350D" w:rsidRPr="00C8094D" w14:paraId="7121FE35" w14:textId="77777777" w:rsidTr="006F5AAC">
        <w:trPr>
          <w:cantSplit/>
          <w:trHeight w:val="341"/>
          <w:tblHeader/>
          <w:jc w:val="center"/>
        </w:trPr>
        <w:tc>
          <w:tcPr>
            <w:tcW w:w="305" w:type="pct"/>
            <w:tcBorders>
              <w:top w:val="nil"/>
              <w:left w:val="single" w:sz="4" w:space="0" w:color="auto"/>
              <w:bottom w:val="single" w:sz="4" w:space="0" w:color="auto"/>
            </w:tcBorders>
            <w:shd w:val="clear" w:color="auto" w:fill="auto"/>
          </w:tcPr>
          <w:p w14:paraId="39D240FC" w14:textId="77777777" w:rsidR="003A350D" w:rsidRDefault="003A350D">
            <w:pPr>
              <w:pStyle w:val="TableText"/>
            </w:pPr>
            <w:r>
              <w:t>(1)</w:t>
            </w:r>
          </w:p>
        </w:tc>
        <w:tc>
          <w:tcPr>
            <w:tcW w:w="3183" w:type="pct"/>
            <w:tcBorders>
              <w:top w:val="single" w:sz="4" w:space="0" w:color="auto"/>
              <w:bottom w:val="single" w:sz="4" w:space="0" w:color="auto"/>
              <w:right w:val="single" w:sz="4" w:space="0" w:color="auto"/>
            </w:tcBorders>
          </w:tcPr>
          <w:p w14:paraId="5213CDBA" w14:textId="0C7948CC" w:rsidR="003A350D" w:rsidRDefault="00CF540D">
            <w:pPr>
              <w:pStyle w:val="TableText"/>
            </w:pPr>
            <w:r w:rsidRPr="00CF540D">
              <w:t>Be familiar with the school’s water source and condition of the school’s plumbing system</w:t>
            </w:r>
            <w:r w:rsidR="00041C93">
              <w:t>*</w:t>
            </w:r>
          </w:p>
        </w:tc>
        <w:tc>
          <w:tcPr>
            <w:tcW w:w="378" w:type="pct"/>
            <w:tcBorders>
              <w:top w:val="nil"/>
              <w:left w:val="single" w:sz="4" w:space="0" w:color="auto"/>
              <w:bottom w:val="single" w:sz="4" w:space="0" w:color="auto"/>
              <w:right w:val="single" w:sz="4" w:space="0" w:color="auto"/>
            </w:tcBorders>
            <w:shd w:val="clear" w:color="auto" w:fill="auto"/>
            <w:vAlign w:val="center"/>
          </w:tcPr>
          <w:p w14:paraId="5CC82BAA" w14:textId="7DEF03AD" w:rsidR="003A350D" w:rsidRPr="00C8094D" w:rsidRDefault="009C4FD3">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06400376" w14:textId="556CF583" w:rsidR="003A350D" w:rsidRPr="00C8094D" w:rsidRDefault="009C4FD3">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0D16C27" w14:textId="5013918F" w:rsidR="003A350D" w:rsidRPr="00C8094D" w:rsidRDefault="009C4FD3">
            <w:pPr>
              <w:pStyle w:val="TableText"/>
            </w:pPr>
            <w: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D2F0D67" w14:textId="19C3F52A" w:rsidR="003A350D" w:rsidRPr="00C8094D" w:rsidRDefault="009C4FD3">
            <w:pPr>
              <w:pStyle w:val="TableText"/>
            </w:pPr>
            <w:r>
              <w:t>1</w:t>
            </w:r>
          </w:p>
        </w:tc>
      </w:tr>
      <w:tr w:rsidR="003A350D" w:rsidRPr="00C8094D" w14:paraId="04B6E162"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02236A2" w14:textId="77777777" w:rsidR="003A350D" w:rsidRPr="00C8094D" w:rsidRDefault="003A350D">
            <w:pPr>
              <w:pStyle w:val="TableText"/>
            </w:pPr>
            <w:r>
              <w:t>(2)</w:t>
            </w:r>
          </w:p>
        </w:tc>
        <w:tc>
          <w:tcPr>
            <w:tcW w:w="3183" w:type="pct"/>
            <w:tcBorders>
              <w:top w:val="single" w:sz="4" w:space="0" w:color="auto"/>
              <w:bottom w:val="single" w:sz="4" w:space="0" w:color="auto"/>
              <w:right w:val="single" w:sz="4" w:space="0" w:color="auto"/>
            </w:tcBorders>
          </w:tcPr>
          <w:p w14:paraId="7B96B698" w14:textId="426FD7B4" w:rsidR="003A350D" w:rsidRPr="00C8094D" w:rsidRDefault="0024397D">
            <w:pPr>
              <w:pStyle w:val="TableText"/>
            </w:pPr>
            <w:r w:rsidRPr="0024397D">
              <w:t>Create a communication plan to notify stakeholders and build partnerships</w:t>
            </w:r>
            <w:r w:rsidR="00041C93">
              <w:t>*</w:t>
            </w:r>
          </w:p>
        </w:tc>
        <w:tc>
          <w:tcPr>
            <w:tcW w:w="378" w:type="pct"/>
            <w:tcBorders>
              <w:top w:val="nil"/>
              <w:left w:val="single" w:sz="4" w:space="0" w:color="auto"/>
              <w:bottom w:val="single" w:sz="4" w:space="0" w:color="auto"/>
              <w:right w:val="single" w:sz="4" w:space="0" w:color="auto"/>
            </w:tcBorders>
            <w:shd w:val="clear" w:color="auto" w:fill="auto"/>
            <w:vAlign w:val="center"/>
          </w:tcPr>
          <w:p w14:paraId="5FE7EBF0" w14:textId="032CCFE1" w:rsidR="003A350D" w:rsidRPr="00C8094D" w:rsidRDefault="00BF4FF8">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5F5346CE" w14:textId="17292426" w:rsidR="003A350D" w:rsidRPr="00C8094D" w:rsidRDefault="007033BA">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8D026E7" w14:textId="1030A289" w:rsidR="003A350D" w:rsidRPr="00C8094D" w:rsidRDefault="009C4FD3">
            <w:pPr>
              <w:pStyle w:val="TableText"/>
            </w:pPr>
            <w: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4712C23" w14:textId="393A648F" w:rsidR="003A350D" w:rsidRPr="00C8094D" w:rsidRDefault="009C4FD3">
            <w:pPr>
              <w:pStyle w:val="TableText"/>
            </w:pPr>
            <w:r>
              <w:t>2</w:t>
            </w:r>
          </w:p>
        </w:tc>
      </w:tr>
      <w:tr w:rsidR="003A350D" w:rsidRPr="00C8094D" w14:paraId="612ADAB5"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0BBC0351" w14:textId="77777777" w:rsidR="003A350D" w:rsidRDefault="003A350D">
            <w:pPr>
              <w:pStyle w:val="TableText"/>
            </w:pPr>
            <w:r>
              <w:t>(3)</w:t>
            </w:r>
          </w:p>
        </w:tc>
        <w:tc>
          <w:tcPr>
            <w:tcW w:w="3183" w:type="pct"/>
            <w:tcBorders>
              <w:top w:val="single" w:sz="4" w:space="0" w:color="auto"/>
              <w:bottom w:val="single" w:sz="4" w:space="0" w:color="auto"/>
              <w:right w:val="single" w:sz="4" w:space="0" w:color="auto"/>
            </w:tcBorders>
          </w:tcPr>
          <w:p w14:paraId="46D7EFA0" w14:textId="73BBFF56" w:rsidR="003A350D" w:rsidRDefault="11F99F60" w:rsidP="00AC730E">
            <w:pPr>
              <w:pStyle w:val="TableText"/>
            </w:pPr>
            <w:r>
              <w:t xml:space="preserve">Implement a water sampling plan </w:t>
            </w:r>
            <w:r w:rsidR="00663C8C">
              <w:t>in</w:t>
            </w:r>
            <w:r>
              <w:t xml:space="preserve"> compliance with </w:t>
            </w:r>
            <w:r w:rsidR="56A50FA2">
              <w:t>state guidance</w:t>
            </w:r>
            <w:r w:rsidR="56A50FA2" w:rsidRPr="1FD10EAC">
              <w:rPr>
                <w:b/>
                <w:bCs/>
              </w:rPr>
              <w:t>*</w:t>
            </w:r>
          </w:p>
        </w:tc>
        <w:tc>
          <w:tcPr>
            <w:tcW w:w="378" w:type="pct"/>
            <w:tcBorders>
              <w:top w:val="nil"/>
              <w:left w:val="single" w:sz="4" w:space="0" w:color="auto"/>
              <w:bottom w:val="single" w:sz="4" w:space="0" w:color="auto"/>
              <w:right w:val="single" w:sz="4" w:space="0" w:color="auto"/>
            </w:tcBorders>
            <w:shd w:val="clear" w:color="auto" w:fill="auto"/>
            <w:vAlign w:val="center"/>
          </w:tcPr>
          <w:p w14:paraId="6510A59D" w14:textId="32F1F675" w:rsidR="003A350D" w:rsidRDefault="00B15D3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AAE65BB" w14:textId="3CB34524" w:rsidR="003A350D" w:rsidRDefault="00D351B3">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F818DC7" w14:textId="44705370" w:rsidR="003A350D" w:rsidRDefault="00D351B3">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828D2C6" w14:textId="243DD5F7" w:rsidR="003A350D" w:rsidRDefault="00D351B3">
            <w:pPr>
              <w:pStyle w:val="TableText"/>
            </w:pPr>
            <w:r>
              <w:t>3</w:t>
            </w:r>
          </w:p>
        </w:tc>
      </w:tr>
      <w:tr w:rsidR="003A350D" w:rsidRPr="00C8094D" w14:paraId="4D9A42BE"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415375B" w14:textId="77777777" w:rsidR="003A350D" w:rsidRDefault="003A350D">
            <w:pPr>
              <w:pStyle w:val="TableText"/>
            </w:pPr>
            <w:r>
              <w:t>(4)</w:t>
            </w:r>
          </w:p>
        </w:tc>
        <w:tc>
          <w:tcPr>
            <w:tcW w:w="3183" w:type="pct"/>
            <w:tcBorders>
              <w:top w:val="single" w:sz="4" w:space="0" w:color="auto"/>
              <w:bottom w:val="single" w:sz="4" w:space="0" w:color="auto"/>
              <w:right w:val="single" w:sz="4" w:space="0" w:color="auto"/>
            </w:tcBorders>
          </w:tcPr>
          <w:p w14:paraId="7CF98395" w14:textId="467BAE23" w:rsidR="003A350D" w:rsidRDefault="009F1544">
            <w:pPr>
              <w:pStyle w:val="TableText"/>
            </w:pPr>
            <w:r w:rsidRPr="009F1544">
              <w:t>Remediate sources of contamination and establish routine practices to minimize future contamination</w:t>
            </w:r>
            <w:r w:rsidR="004A1A65">
              <w:t>*</w:t>
            </w:r>
          </w:p>
        </w:tc>
        <w:tc>
          <w:tcPr>
            <w:tcW w:w="378" w:type="pct"/>
            <w:tcBorders>
              <w:top w:val="nil"/>
              <w:left w:val="single" w:sz="4" w:space="0" w:color="auto"/>
              <w:bottom w:val="single" w:sz="4" w:space="0" w:color="auto"/>
              <w:right w:val="single" w:sz="4" w:space="0" w:color="auto"/>
            </w:tcBorders>
            <w:shd w:val="clear" w:color="auto" w:fill="auto"/>
            <w:vAlign w:val="center"/>
          </w:tcPr>
          <w:p w14:paraId="0B39F00E" w14:textId="79803707" w:rsidR="003A350D" w:rsidRDefault="00D351B3">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48BB058E" w14:textId="7B89AE09" w:rsidR="003A350D" w:rsidRDefault="00D351B3">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9D0E277" w14:textId="68821CB8" w:rsidR="003A350D" w:rsidRDefault="00D351B3">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D8CCCD0" w14:textId="73463C3E" w:rsidR="003A350D" w:rsidRDefault="00D351B3">
            <w:pPr>
              <w:pStyle w:val="TableText"/>
            </w:pPr>
            <w:r>
              <w:t>3</w:t>
            </w:r>
          </w:p>
        </w:tc>
      </w:tr>
      <w:tr w:rsidR="003A350D" w:rsidRPr="00C8094D" w14:paraId="68C258F0"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F2B521A" w14:textId="77777777" w:rsidR="003A350D" w:rsidRPr="00FF51E8" w:rsidRDefault="003A350D">
            <w:pPr>
              <w:rPr>
                <w:rFonts w:ascii="Arial" w:hAnsi="Arial" w:cs="Arial"/>
                <w:b/>
                <w:bCs/>
                <w:sz w:val="20"/>
                <w:szCs w:val="20"/>
                <w:u w:val="single"/>
              </w:rPr>
            </w:pPr>
            <w:r w:rsidRPr="00FF51E8">
              <w:rPr>
                <w:rFonts w:ascii="Arial" w:hAnsi="Arial" w:cs="Arial"/>
                <w:b/>
                <w:bCs/>
                <w:sz w:val="20"/>
                <w:szCs w:val="20"/>
                <w:u w:val="single"/>
              </w:rPr>
              <w:t>Key:</w:t>
            </w:r>
          </w:p>
          <w:p w14:paraId="0BF96266" w14:textId="77777777" w:rsidR="003A350D" w:rsidRPr="00FF51E8" w:rsidRDefault="003A350D">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7940AA4F" w14:textId="7109AA8D" w:rsidR="003A350D" w:rsidRPr="00FF51E8" w:rsidRDefault="003A350D">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DE5940">
              <w:rPr>
                <w:rFonts w:ascii="Arial" w:hAnsi="Arial" w:cs="Arial"/>
                <w:sz w:val="20"/>
                <w:szCs w:val="20"/>
              </w:rPr>
              <w:t>&gt;</w:t>
            </w:r>
            <w:r w:rsidRPr="00FF51E8">
              <w:rPr>
                <w:rFonts w:ascii="Arial" w:hAnsi="Arial" w:cs="Arial"/>
                <w:sz w:val="20"/>
                <w:szCs w:val="20"/>
              </w:rPr>
              <w:t>12 months)</w:t>
            </w:r>
          </w:p>
          <w:p w14:paraId="471C8E69" w14:textId="7F970212" w:rsidR="003A350D" w:rsidRPr="00FF51E8" w:rsidRDefault="003A350D" w:rsidP="1FD10EAC">
            <w:pPr>
              <w:rPr>
                <w:sz w:val="20"/>
                <w:szCs w:val="20"/>
              </w:rPr>
            </w:pPr>
            <w:r w:rsidRPr="1FD10EAC">
              <w:rPr>
                <w:rFonts w:ascii="Arial" w:hAnsi="Arial" w:cs="Arial"/>
                <w:b/>
                <w:bCs/>
                <w:sz w:val="20"/>
                <w:szCs w:val="20"/>
              </w:rPr>
              <w:t>Ease of Implementation:</w:t>
            </w:r>
            <w:r w:rsidRPr="1FD10EAC">
              <w:rPr>
                <w:rFonts w:ascii="Arial" w:hAnsi="Arial" w:cs="Arial"/>
                <w:sz w:val="20"/>
                <w:szCs w:val="20"/>
              </w:rPr>
              <w:t xml:space="preserve"> 1= easier to implement; 3 = more difficult to implement</w:t>
            </w:r>
          </w:p>
          <w:p w14:paraId="40D28EF0" w14:textId="01C8794E" w:rsidR="003A350D" w:rsidRPr="00FF51E8" w:rsidRDefault="57EA7192" w:rsidP="1FD10EAC">
            <w:pPr>
              <w:rPr>
                <w:rFonts w:ascii="Arial" w:eastAsia="Arial" w:hAnsi="Arial" w:cs="Arial"/>
                <w:sz w:val="20"/>
                <w:szCs w:val="20"/>
              </w:rPr>
            </w:pPr>
            <w:r w:rsidRPr="1FD10EAC">
              <w:rPr>
                <w:rFonts w:ascii="Arial" w:eastAsia="Arial" w:hAnsi="Arial" w:cs="Arial"/>
                <w:b/>
                <w:bCs/>
                <w:sz w:val="20"/>
                <w:szCs w:val="20"/>
              </w:rPr>
              <w:t>*</w:t>
            </w:r>
            <w:r w:rsidRPr="1FD10EAC">
              <w:rPr>
                <w:rFonts w:ascii="Arial" w:eastAsia="Arial" w:hAnsi="Arial" w:cs="Arial"/>
                <w:sz w:val="20"/>
                <w:szCs w:val="20"/>
              </w:rPr>
              <w:t>MassDEP’s Water-Smart Program</w:t>
            </w:r>
            <w:r w:rsidR="004A1A65">
              <w:rPr>
                <w:rFonts w:ascii="Arial" w:eastAsia="Arial" w:hAnsi="Arial" w:cs="Arial"/>
                <w:sz w:val="20"/>
                <w:szCs w:val="20"/>
              </w:rPr>
              <w:t>,</w:t>
            </w:r>
            <w:r w:rsidRPr="1FD10EAC">
              <w:rPr>
                <w:rFonts w:ascii="Arial" w:eastAsia="Arial" w:hAnsi="Arial" w:cs="Arial"/>
                <w:sz w:val="20"/>
                <w:szCs w:val="20"/>
              </w:rPr>
              <w:t xml:space="preserve"> LCCA Program</w:t>
            </w:r>
            <w:r w:rsidR="004A1A65">
              <w:rPr>
                <w:rFonts w:ascii="Arial" w:eastAsia="Arial" w:hAnsi="Arial" w:cs="Arial"/>
                <w:sz w:val="20"/>
                <w:szCs w:val="20"/>
              </w:rPr>
              <w:t xml:space="preserve">, </w:t>
            </w:r>
            <w:r w:rsidRPr="1FD10EAC">
              <w:rPr>
                <w:rFonts w:ascii="Arial" w:eastAsia="Arial" w:hAnsi="Arial" w:cs="Arial"/>
                <w:sz w:val="20"/>
                <w:szCs w:val="20"/>
              </w:rPr>
              <w:t>and SWIG Program offer many of these services</w:t>
            </w:r>
            <w:r w:rsidR="00421843">
              <w:rPr>
                <w:rFonts w:ascii="Arial" w:eastAsia="Arial" w:hAnsi="Arial" w:cs="Arial"/>
                <w:sz w:val="20"/>
                <w:szCs w:val="20"/>
              </w:rPr>
              <w:t>.</w:t>
            </w:r>
          </w:p>
        </w:tc>
      </w:tr>
    </w:tbl>
    <w:p w14:paraId="71D5A3B8" w14:textId="77777777" w:rsidR="003A350D" w:rsidRDefault="003A350D" w:rsidP="003A350D">
      <w:pPr>
        <w:pStyle w:val="Heading3"/>
      </w:pPr>
      <w:r>
        <w:t>Barriers and Challenges</w:t>
      </w:r>
    </w:p>
    <w:p w14:paraId="49E490E8" w14:textId="4CD51D06" w:rsidR="00422215" w:rsidRDefault="00422215" w:rsidP="006D7DE6">
      <w:pPr>
        <w:pStyle w:val="BodyTextFirstIndent"/>
      </w:pPr>
      <w:r>
        <w:t xml:space="preserve">The </w:t>
      </w:r>
      <w:r w:rsidR="003021FE">
        <w:t xml:space="preserve">most significant </w:t>
      </w:r>
      <w:r>
        <w:t>barrier</w:t>
      </w:r>
      <w:r w:rsidR="17D9E1F7">
        <w:t>s</w:t>
      </w:r>
      <w:r>
        <w:t xml:space="preserve"> to improving water quality by reducing lead levels </w:t>
      </w:r>
      <w:r w:rsidR="0B37ABC2">
        <w:t xml:space="preserve">are </w:t>
      </w:r>
      <w:r>
        <w:t>the</w:t>
      </w:r>
      <w:r w:rsidR="5B94A01D">
        <w:t xml:space="preserve"> mostly voluntary nature of testing and the </w:t>
      </w:r>
      <w:r>
        <w:t xml:space="preserve">cost associated with </w:t>
      </w:r>
      <w:r w:rsidR="18FA34F1">
        <w:t>remediation actions</w:t>
      </w:r>
      <w:r>
        <w:t xml:space="preserve">. Schools should </w:t>
      </w:r>
      <w:r w:rsidR="003021FE">
        <w:t>prepare</w:t>
      </w:r>
      <w:r>
        <w:t xml:space="preserve"> to develop communication, sampling, and testing plans over time and to work with community organizations and state agencies to </w:t>
      </w:r>
      <w:r w:rsidR="00522562">
        <w:t>identify</w:t>
      </w:r>
      <w:r>
        <w:t xml:space="preserve"> the </w:t>
      </w:r>
      <w:r w:rsidR="003021FE">
        <w:t xml:space="preserve">necessary </w:t>
      </w:r>
      <w:r>
        <w:t xml:space="preserve">resources to </w:t>
      </w:r>
      <w:r w:rsidR="1FBD82BD">
        <w:t>act</w:t>
      </w:r>
      <w:r>
        <w:t xml:space="preserve">.  </w:t>
      </w:r>
    </w:p>
    <w:p w14:paraId="05E1F5C6" w14:textId="77777777" w:rsidR="005D5274" w:rsidRDefault="005D5274">
      <w:pPr>
        <w:rPr>
          <w:rFonts w:ascii="Arial" w:hAnsi="Arial" w:cs="Arial"/>
          <w:b/>
          <w:bCs/>
          <w:color w:val="FFFFFF" w:themeColor="background1"/>
          <w:sz w:val="26"/>
          <w:szCs w:val="22"/>
        </w:rPr>
      </w:pPr>
      <w:r>
        <w:br w:type="page"/>
      </w:r>
    </w:p>
    <w:p w14:paraId="60E66B0A" w14:textId="5B8BDE2D" w:rsidR="003D5166" w:rsidRDefault="001A614D" w:rsidP="003D5166">
      <w:pPr>
        <w:pStyle w:val="AirQualitySubheading"/>
      </w:pPr>
      <w:r>
        <w:lastRenderedPageBreak/>
        <w:t>2b(2)</w:t>
      </w:r>
      <w:r>
        <w:tab/>
      </w:r>
      <w:r w:rsidR="003D5166">
        <w:t>Reduc</w:t>
      </w:r>
      <w:r w:rsidR="001F0322">
        <w:t>e</w:t>
      </w:r>
      <w:r w:rsidR="003D5166">
        <w:t xml:space="preserve"> Exposure to </w:t>
      </w:r>
      <w:r w:rsidR="001A4F92" w:rsidRPr="001A4F92">
        <w:t>PFAS</w:t>
      </w:r>
      <w:r w:rsidR="001A4F92">
        <w:t xml:space="preserve"> in Drinking Water</w:t>
      </w:r>
    </w:p>
    <w:p w14:paraId="02A54B0F" w14:textId="77777777" w:rsidR="003D5166" w:rsidRDefault="003D5166" w:rsidP="003D5166">
      <w:pPr>
        <w:pStyle w:val="Heading3"/>
      </w:pPr>
      <w:r>
        <w:t>Background</w:t>
      </w:r>
    </w:p>
    <w:p w14:paraId="3650244B" w14:textId="38A0AC4F" w:rsidR="007763BB" w:rsidRDefault="005A2520" w:rsidP="006D7DE6">
      <w:pPr>
        <w:pStyle w:val="BodyTextFirstIndent"/>
      </w:pPr>
      <w:r>
        <w:rPr>
          <w:noProof/>
        </w:rPr>
        <mc:AlternateContent>
          <mc:Choice Requires="wps">
            <w:drawing>
              <wp:anchor distT="0" distB="0" distL="114300" distR="114300" simplePos="0" relativeHeight="251710976" behindDoc="0" locked="0" layoutInCell="1" allowOverlap="1" wp14:anchorId="5BBA427F" wp14:editId="7E8F57F4">
                <wp:simplePos x="0" y="0"/>
                <wp:positionH relativeFrom="margin">
                  <wp:align>right</wp:align>
                </wp:positionH>
                <wp:positionV relativeFrom="paragraph">
                  <wp:posOffset>54803</wp:posOffset>
                </wp:positionV>
                <wp:extent cx="3182620" cy="6130290"/>
                <wp:effectExtent l="0" t="0" r="17780" b="22860"/>
                <wp:wrapSquare wrapText="bothSides"/>
                <wp:docPr id="479861239" name="Text Box 1"/>
                <wp:cNvGraphicFramePr/>
                <a:graphic xmlns:a="http://schemas.openxmlformats.org/drawingml/2006/main">
                  <a:graphicData uri="http://schemas.microsoft.com/office/word/2010/wordprocessingShape">
                    <wps:wsp>
                      <wps:cNvSpPr txBox="1"/>
                      <wps:spPr bwMode="auto">
                        <a:xfrm>
                          <a:off x="0" y="0"/>
                          <a:ext cx="3182620" cy="6130290"/>
                        </a:xfrm>
                        <a:prstGeom prst="rect">
                          <a:avLst/>
                        </a:prstGeom>
                        <a:solidFill>
                          <a:schemeClr val="accent1">
                            <a:lumMod val="20000"/>
                            <a:lumOff val="80000"/>
                          </a:schemeClr>
                        </a:solidFill>
                        <a:ln w="9525">
                          <a:solidFill>
                            <a:schemeClr val="tx1"/>
                          </a:solidFill>
                          <a:miter lim="800000"/>
                          <a:headEnd/>
                          <a:tailEnd/>
                        </a:ln>
                      </wps:spPr>
                      <wps:txbx>
                        <w:txbxContent>
                          <w:p w14:paraId="7F5B06B0" w14:textId="1341F938" w:rsidR="005A2520" w:rsidRDefault="005A2520" w:rsidP="005A2520">
                            <w:pPr>
                              <w:pStyle w:val="TextBoxTitle"/>
                            </w:pPr>
                            <w:r>
                              <w:t>Other Contaminants of Concern</w:t>
                            </w:r>
                          </w:p>
                          <w:p w14:paraId="2FF7759A" w14:textId="3A031D18" w:rsidR="00E51B40" w:rsidRPr="00C72798" w:rsidRDefault="00E51B40" w:rsidP="00C72798">
                            <w:pPr>
                              <w:pStyle w:val="TextBoxText"/>
                            </w:pPr>
                            <w:r w:rsidRPr="00C72798">
                              <w:t>MassDEP requires all public water suppliers, including those that are schools,</w:t>
                            </w:r>
                            <w:r w:rsidR="00A03EF3" w:rsidRPr="00C72798">
                              <w:t xml:space="preserve"> </w:t>
                            </w:r>
                            <w:r w:rsidRPr="00C72798">
                              <w:t>to perform ongoing tests for</w:t>
                            </w:r>
                            <w:r w:rsidR="00A03EF3" w:rsidRPr="00C72798">
                              <w:t xml:space="preserve"> b</w:t>
                            </w:r>
                            <w:r w:rsidRPr="00C72798">
                              <w:t>acteria,</w:t>
                            </w:r>
                            <w:r w:rsidR="00A03EF3" w:rsidRPr="00C72798">
                              <w:t xml:space="preserve"> l</w:t>
                            </w:r>
                            <w:r w:rsidRPr="00C72798">
                              <w:t>ead and other heavy metals</w:t>
                            </w:r>
                            <w:r w:rsidR="00A03EF3" w:rsidRPr="00C72798">
                              <w:t xml:space="preserve">, </w:t>
                            </w:r>
                            <w:r w:rsidR="00C42AE4" w:rsidRPr="00C72798">
                              <w:t>h</w:t>
                            </w:r>
                            <w:r w:rsidRPr="00C72798">
                              <w:t>erbicides and pesticide</w:t>
                            </w:r>
                            <w:r w:rsidR="00C42AE4" w:rsidRPr="00C72798">
                              <w:t>s, i</w:t>
                            </w:r>
                            <w:r w:rsidRPr="00C72798">
                              <w:t>ndustrial solvents</w:t>
                            </w:r>
                            <w:r w:rsidR="00C42AE4" w:rsidRPr="00C72798">
                              <w:t>, and r</w:t>
                            </w:r>
                            <w:r w:rsidRPr="00C72798">
                              <w:t>adionuclides</w:t>
                            </w:r>
                            <w:r w:rsidR="00C42AE4" w:rsidRPr="00C72798">
                              <w:t xml:space="preserve">. </w:t>
                            </w:r>
                            <w:r w:rsidRPr="00C72798">
                              <w:t xml:space="preserve">If testing reveals contaminants at levels above the </w:t>
                            </w:r>
                            <w:r w:rsidR="00C42AE4" w:rsidRPr="00C72798">
                              <w:t xml:space="preserve">respective </w:t>
                            </w:r>
                            <w:r w:rsidRPr="00C72798">
                              <w:t xml:space="preserve">federal standard, the water supplier is required to notify customers. If </w:t>
                            </w:r>
                            <w:r w:rsidR="00C42AE4" w:rsidRPr="00C72798">
                              <w:t xml:space="preserve">suppliers detect </w:t>
                            </w:r>
                            <w:r w:rsidRPr="00C72798">
                              <w:t xml:space="preserve">bacteria or chemicals </w:t>
                            </w:r>
                            <w:r w:rsidR="00345D91" w:rsidRPr="00C72798">
                              <w:t>at</w:t>
                            </w:r>
                            <w:r w:rsidRPr="00C72798">
                              <w:t xml:space="preserve"> levels that pose a threat to </w:t>
                            </w:r>
                            <w:r w:rsidR="00345D91" w:rsidRPr="00C72798">
                              <w:t>human</w:t>
                            </w:r>
                            <w:r w:rsidRPr="00C72798">
                              <w:t xml:space="preserve"> health, </w:t>
                            </w:r>
                            <w:r w:rsidR="00345D91" w:rsidRPr="00C72798">
                              <w:t>suppliers must treat the</w:t>
                            </w:r>
                            <w:r w:rsidR="00C96C22" w:rsidRPr="00C72798">
                              <w:t xml:space="preserve"> public</w:t>
                            </w:r>
                            <w:r w:rsidRPr="00C72798">
                              <w:t xml:space="preserve"> water supply </w:t>
                            </w:r>
                            <w:r w:rsidR="002C37E9" w:rsidRPr="00C72798">
                              <w:t xml:space="preserve">to </w:t>
                            </w:r>
                            <w:r w:rsidRPr="00C72798">
                              <w:t>remove the contaminants</w:t>
                            </w:r>
                            <w:r w:rsidR="00F5214C" w:rsidRPr="00C72798">
                              <w:t xml:space="preserve">. If the supplier is </w:t>
                            </w:r>
                            <w:r w:rsidR="00B2512F" w:rsidRPr="00C72798">
                              <w:t>unable to resolve the problem immediately, the</w:t>
                            </w:r>
                            <w:r w:rsidR="009B3357" w:rsidRPr="00C72798">
                              <w:t xml:space="preserve"> supplier</w:t>
                            </w:r>
                            <w:r w:rsidR="002833BB" w:rsidRPr="00C72798">
                              <w:t xml:space="preserve"> is required </w:t>
                            </w:r>
                            <w:r w:rsidR="009452FA" w:rsidRPr="00C72798">
                              <w:t>to</w:t>
                            </w:r>
                            <w:r w:rsidR="002833BB" w:rsidRPr="00C72798">
                              <w:t xml:space="preserve"> re</w:t>
                            </w:r>
                            <w:r w:rsidR="009452FA" w:rsidRPr="00C72798">
                              <w:t>strict service</w:t>
                            </w:r>
                            <w:r w:rsidR="00B2512F" w:rsidRPr="00C72798">
                              <w:t xml:space="preserve">  and </w:t>
                            </w:r>
                            <w:r w:rsidR="006D1276" w:rsidRPr="00C72798">
                              <w:t xml:space="preserve">provide </w:t>
                            </w:r>
                            <w:r w:rsidR="00B2512F" w:rsidRPr="00C72798">
                              <w:t xml:space="preserve">information </w:t>
                            </w:r>
                            <w:r w:rsidR="006D1276" w:rsidRPr="00C72798">
                              <w:t>about</w:t>
                            </w:r>
                            <w:r w:rsidR="00B2512F" w:rsidRPr="00C72798">
                              <w:t xml:space="preserve"> alternate sources of water.</w:t>
                            </w:r>
                            <w:r w:rsidRPr="00C72798">
                              <w:t xml:space="preserve"> </w:t>
                            </w:r>
                          </w:p>
                          <w:p w14:paraId="43677202" w14:textId="2ACEE0D4" w:rsidR="00E51B40" w:rsidRPr="00C72798" w:rsidRDefault="00BA4BA7" w:rsidP="00C72798">
                            <w:pPr>
                              <w:pStyle w:val="TextBoxText"/>
                            </w:pPr>
                            <w:r w:rsidRPr="00C72798">
                              <w:t>S</w:t>
                            </w:r>
                            <w:r w:rsidR="00E51B40" w:rsidRPr="00C72798">
                              <w:t>chool</w:t>
                            </w:r>
                            <w:r w:rsidRPr="00C72798">
                              <w:t>s</w:t>
                            </w:r>
                            <w:r w:rsidR="00E51B40" w:rsidRPr="00C72798">
                              <w:t xml:space="preserve"> receiv</w:t>
                            </w:r>
                            <w:r w:rsidRPr="00C72798">
                              <w:t>ing</w:t>
                            </w:r>
                            <w:r w:rsidR="00E51B40" w:rsidRPr="00C72798">
                              <w:t xml:space="preserve"> </w:t>
                            </w:r>
                            <w:r w:rsidRPr="00C72798">
                              <w:t>their drinking</w:t>
                            </w:r>
                            <w:r w:rsidR="00E51B40" w:rsidRPr="00C72798">
                              <w:t xml:space="preserve"> water from a </w:t>
                            </w:r>
                            <w:r w:rsidR="00BF71F4" w:rsidRPr="00C72798">
                              <w:t>public water supplier</w:t>
                            </w:r>
                            <w:r w:rsidR="00E51B40" w:rsidRPr="00C72798">
                              <w:t xml:space="preserve"> should receive or have access to a</w:t>
                            </w:r>
                            <w:r w:rsidR="00BF71F4" w:rsidRPr="00C72798">
                              <w:t>n annual</w:t>
                            </w:r>
                            <w:r w:rsidR="00E51B40" w:rsidRPr="00C72798">
                              <w:t xml:space="preserve"> water quality report. </w:t>
                            </w:r>
                            <w:r w:rsidR="00BF71F4" w:rsidRPr="00C72798">
                              <w:t>Schools</w:t>
                            </w:r>
                            <w:r w:rsidR="00E51B40" w:rsidRPr="00C72798">
                              <w:t xml:space="preserve"> can also contact the</w:t>
                            </w:r>
                            <w:r w:rsidR="00BF71F4" w:rsidRPr="00C72798">
                              <w:t>ir</w:t>
                            </w:r>
                            <w:r w:rsidR="00E51B40" w:rsidRPr="00C72798">
                              <w:t xml:space="preserve"> </w:t>
                            </w:r>
                            <w:r w:rsidR="00BF71F4" w:rsidRPr="00C72798">
                              <w:t>public water supplier to request more information</w:t>
                            </w:r>
                            <w:r w:rsidR="00E51B40" w:rsidRPr="00C72798">
                              <w:t xml:space="preserve">. </w:t>
                            </w:r>
                            <w:r w:rsidR="005249D9" w:rsidRPr="00C72798">
                              <w:t>MassDEP has compiled a</w:t>
                            </w:r>
                            <w:r w:rsidR="00E51B40" w:rsidRPr="00C72798">
                              <w:t xml:space="preserve"> </w:t>
                            </w:r>
                            <w:r w:rsidR="0050428B" w:rsidRPr="00C72798">
                              <w:t xml:space="preserve">comprehensive </w:t>
                            </w:r>
                            <w:r w:rsidR="00E51B40" w:rsidRPr="00C72798">
                              <w:t xml:space="preserve">list of </w:t>
                            </w:r>
                            <w:hyperlink r:id="rId74" w:history="1">
                              <w:r w:rsidR="005249D9" w:rsidRPr="00C72798">
                                <w:rPr>
                                  <w:rStyle w:val="Hyperlink"/>
                                  <w:color w:val="auto"/>
                                  <w:u w:val="none"/>
                                </w:rPr>
                                <w:t>public water supplier</w:t>
                              </w:r>
                              <w:r w:rsidR="00E51B40" w:rsidRPr="00C72798">
                                <w:rPr>
                                  <w:rStyle w:val="Hyperlink"/>
                                  <w:color w:val="auto"/>
                                  <w:u w:val="none"/>
                                </w:rPr>
                                <w:t xml:space="preserve"> contact information</w:t>
                              </w:r>
                            </w:hyperlink>
                            <w:r w:rsidR="0050428B" w:rsidRPr="00C72798">
                              <w:t>.</w:t>
                            </w:r>
                          </w:p>
                          <w:p w14:paraId="3634B94A" w14:textId="36EF48EB" w:rsidR="005A2520" w:rsidRPr="00C72798" w:rsidRDefault="00E51B40" w:rsidP="00C72798">
                            <w:pPr>
                              <w:pStyle w:val="TextBoxText"/>
                            </w:pPr>
                            <w:r w:rsidRPr="00C72798">
                              <w:t xml:space="preserve">If </w:t>
                            </w:r>
                            <w:r w:rsidR="0050428B" w:rsidRPr="00C72798">
                              <w:t>a</w:t>
                            </w:r>
                            <w:r w:rsidRPr="00C72798">
                              <w:t xml:space="preserve"> school is a </w:t>
                            </w:r>
                            <w:r w:rsidR="0050428B" w:rsidRPr="00C72798">
                              <w:t xml:space="preserve">public water supplier </w:t>
                            </w:r>
                            <w:r w:rsidRPr="00C72798">
                              <w:t>(</w:t>
                            </w:r>
                            <w:r w:rsidR="0050428B" w:rsidRPr="00C72798">
                              <w:t xml:space="preserve">i.e., </w:t>
                            </w:r>
                            <w:r w:rsidRPr="00C72798">
                              <w:t xml:space="preserve">has its own well as its drinking water source), the school is required to routinely test its drinking water and report the results to MassDEP.  </w:t>
                            </w:r>
                            <w:r w:rsidR="00E11209" w:rsidRPr="00C72798">
                              <w:t xml:space="preserve">Schools can find and download </w:t>
                            </w:r>
                            <w:hyperlink r:id="rId75" w:history="1">
                              <w:r w:rsidR="00CF0AAF" w:rsidRPr="00C72798">
                                <w:rPr>
                                  <w:rStyle w:val="Hyperlink"/>
                                  <w:color w:val="auto"/>
                                  <w:u w:val="none"/>
                                </w:rPr>
                                <w:t>m</w:t>
                              </w:r>
                              <w:r w:rsidRPr="00C72798">
                                <w:rPr>
                                  <w:rStyle w:val="Hyperlink"/>
                                  <w:color w:val="auto"/>
                                  <w:u w:val="none"/>
                                </w:rPr>
                                <w:t>onitoring schedules</w:t>
                              </w:r>
                              <w:r w:rsidR="00CF0AAF" w:rsidRPr="00C72798">
                                <w:rPr>
                                  <w:rStyle w:val="Hyperlink"/>
                                  <w:color w:val="auto"/>
                                  <w:u w:val="none"/>
                                </w:rPr>
                                <w:t xml:space="preserve"> </w:t>
                              </w:r>
                              <w:r w:rsidR="00AA75D4" w:rsidRPr="00C72798">
                                <w:rPr>
                                  <w:rStyle w:val="Hyperlink"/>
                                  <w:color w:val="auto"/>
                                  <w:u w:val="none"/>
                                </w:rPr>
                                <w:t>compiled by MassDEP</w:t>
                              </w:r>
                            </w:hyperlink>
                            <w:r w:rsidR="00CF0AAF" w:rsidRPr="00C72798">
                              <w:t>.</w:t>
                            </w:r>
                            <w:r w:rsidR="005A2520" w:rsidRPr="00C7279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BA427F" id="_x0000_s1046" type="#_x0000_t202" style="position:absolute;margin-left:199.4pt;margin-top:4.3pt;width:250.6pt;height:482.7pt;z-index:251710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" fillcolor="#dbe5f1 [660]" strokecolor="black [3213]">
                <v:textbox>
                  <w:txbxContent>
                    <w:p w14:paraId="7F5B06B0" w14:textId="1341F938" w:rsidR="005A2520" w:rsidRDefault="005A2520" w:rsidP="005A2520">
                      <w:pPr>
                        <w:pStyle w:val="TextBoxTitle"/>
                      </w:pPr>
                      <w:r>
                        <w:t>Other Contaminants of Concern</w:t>
                      </w:r>
                    </w:p>
                    <w:p w14:paraId="2FF7759A" w14:textId="3A031D18" w:rsidR="00E51B40" w:rsidRPr="00C72798" w:rsidRDefault="00E51B40" w:rsidP="00C72798">
                      <w:pPr>
                        <w:pStyle w:val="TextBoxText"/>
                      </w:pPr>
                      <w:r w:rsidRPr="00C72798">
                        <w:t>MassDEP requires all public water suppliers, including those that are schools,</w:t>
                      </w:r>
                      <w:r w:rsidR="00A03EF3" w:rsidRPr="00C72798">
                        <w:t xml:space="preserve"> </w:t>
                      </w:r>
                      <w:r w:rsidRPr="00C72798">
                        <w:t>to perform ongoing tests for</w:t>
                      </w:r>
                      <w:r w:rsidR="00A03EF3" w:rsidRPr="00C72798">
                        <w:t xml:space="preserve"> b</w:t>
                      </w:r>
                      <w:r w:rsidRPr="00C72798">
                        <w:t>acteria,</w:t>
                      </w:r>
                      <w:r w:rsidR="00A03EF3" w:rsidRPr="00C72798">
                        <w:t xml:space="preserve"> l</w:t>
                      </w:r>
                      <w:r w:rsidRPr="00C72798">
                        <w:t>ead and other heavy metals</w:t>
                      </w:r>
                      <w:r w:rsidR="00A03EF3" w:rsidRPr="00C72798">
                        <w:t xml:space="preserve">, </w:t>
                      </w:r>
                      <w:r w:rsidR="00C42AE4" w:rsidRPr="00C72798">
                        <w:t>h</w:t>
                      </w:r>
                      <w:r w:rsidRPr="00C72798">
                        <w:t>erbicides and pesticide</w:t>
                      </w:r>
                      <w:r w:rsidR="00C42AE4" w:rsidRPr="00C72798">
                        <w:t>s, i</w:t>
                      </w:r>
                      <w:r w:rsidRPr="00C72798">
                        <w:t>ndustrial solvents</w:t>
                      </w:r>
                      <w:r w:rsidR="00C42AE4" w:rsidRPr="00C72798">
                        <w:t>, and r</w:t>
                      </w:r>
                      <w:r w:rsidRPr="00C72798">
                        <w:t>adionuclides</w:t>
                      </w:r>
                      <w:r w:rsidR="00C42AE4" w:rsidRPr="00C72798">
                        <w:t xml:space="preserve">. </w:t>
                      </w:r>
                      <w:r w:rsidRPr="00C72798">
                        <w:t xml:space="preserve">If testing reveals contaminants at levels above the </w:t>
                      </w:r>
                      <w:r w:rsidR="00C42AE4" w:rsidRPr="00C72798">
                        <w:t xml:space="preserve">respective </w:t>
                      </w:r>
                      <w:r w:rsidRPr="00C72798">
                        <w:t xml:space="preserve">federal standard, the water supplier is required to notify customers. If </w:t>
                      </w:r>
                      <w:r w:rsidR="00C42AE4" w:rsidRPr="00C72798">
                        <w:t xml:space="preserve">suppliers detect </w:t>
                      </w:r>
                      <w:r w:rsidRPr="00C72798">
                        <w:t xml:space="preserve">bacteria or chemicals </w:t>
                      </w:r>
                      <w:r w:rsidR="00345D91" w:rsidRPr="00C72798">
                        <w:t>at</w:t>
                      </w:r>
                      <w:r w:rsidRPr="00C72798">
                        <w:t xml:space="preserve"> levels that pose a threat to </w:t>
                      </w:r>
                      <w:r w:rsidR="00345D91" w:rsidRPr="00C72798">
                        <w:t>human</w:t>
                      </w:r>
                      <w:r w:rsidRPr="00C72798">
                        <w:t xml:space="preserve"> health, </w:t>
                      </w:r>
                      <w:r w:rsidR="00345D91" w:rsidRPr="00C72798">
                        <w:t>suppliers must treat the</w:t>
                      </w:r>
                      <w:r w:rsidR="00C96C22" w:rsidRPr="00C72798">
                        <w:t xml:space="preserve"> public</w:t>
                      </w:r>
                      <w:r w:rsidRPr="00C72798">
                        <w:t xml:space="preserve"> water supply </w:t>
                      </w:r>
                      <w:r w:rsidR="002C37E9" w:rsidRPr="00C72798">
                        <w:t xml:space="preserve">to </w:t>
                      </w:r>
                      <w:r w:rsidRPr="00C72798">
                        <w:t>remove the contaminants</w:t>
                      </w:r>
                      <w:r w:rsidR="00F5214C" w:rsidRPr="00C72798">
                        <w:t xml:space="preserve">. If the supplier is </w:t>
                      </w:r>
                      <w:r w:rsidR="00B2512F" w:rsidRPr="00C72798">
                        <w:t>unable to resolve the problem immediately, the</w:t>
                      </w:r>
                      <w:r w:rsidR="009B3357" w:rsidRPr="00C72798">
                        <w:t xml:space="preserve"> supplier</w:t>
                      </w:r>
                      <w:r w:rsidR="002833BB" w:rsidRPr="00C72798">
                        <w:t xml:space="preserve"> is required </w:t>
                      </w:r>
                      <w:r w:rsidR="009452FA" w:rsidRPr="00C72798">
                        <w:t>to</w:t>
                      </w:r>
                      <w:r w:rsidR="002833BB" w:rsidRPr="00C72798">
                        <w:t xml:space="preserve"> re</w:t>
                      </w:r>
                      <w:r w:rsidR="009452FA" w:rsidRPr="00C72798">
                        <w:t>strict service</w:t>
                      </w:r>
                      <w:r w:rsidR="00B2512F" w:rsidRPr="00C72798">
                        <w:t xml:space="preserve">  and </w:t>
                      </w:r>
                      <w:r w:rsidR="006D1276" w:rsidRPr="00C72798">
                        <w:t xml:space="preserve">provide </w:t>
                      </w:r>
                      <w:r w:rsidR="00B2512F" w:rsidRPr="00C72798">
                        <w:t xml:space="preserve">information </w:t>
                      </w:r>
                      <w:r w:rsidR="006D1276" w:rsidRPr="00C72798">
                        <w:t>about</w:t>
                      </w:r>
                      <w:r w:rsidR="00B2512F" w:rsidRPr="00C72798">
                        <w:t xml:space="preserve"> alternate sources of water.</w:t>
                      </w:r>
                      <w:r w:rsidRPr="00C72798">
                        <w:t xml:space="preserve"> </w:t>
                      </w:r>
                    </w:p>
                    <w:p w14:paraId="43677202" w14:textId="2ACEE0D4" w:rsidR="00E51B40" w:rsidRPr="00C72798" w:rsidRDefault="00BA4BA7" w:rsidP="00C72798">
                      <w:pPr>
                        <w:pStyle w:val="TextBoxText"/>
                      </w:pPr>
                      <w:r w:rsidRPr="00C72798">
                        <w:t>S</w:t>
                      </w:r>
                      <w:r w:rsidR="00E51B40" w:rsidRPr="00C72798">
                        <w:t>chool</w:t>
                      </w:r>
                      <w:r w:rsidRPr="00C72798">
                        <w:t>s</w:t>
                      </w:r>
                      <w:r w:rsidR="00E51B40" w:rsidRPr="00C72798">
                        <w:t xml:space="preserve"> receiv</w:t>
                      </w:r>
                      <w:r w:rsidRPr="00C72798">
                        <w:t>ing</w:t>
                      </w:r>
                      <w:r w:rsidR="00E51B40" w:rsidRPr="00C72798">
                        <w:t xml:space="preserve"> </w:t>
                      </w:r>
                      <w:r w:rsidRPr="00C72798">
                        <w:t>their drinking</w:t>
                      </w:r>
                      <w:r w:rsidR="00E51B40" w:rsidRPr="00C72798">
                        <w:t xml:space="preserve"> water from a </w:t>
                      </w:r>
                      <w:r w:rsidR="00BF71F4" w:rsidRPr="00C72798">
                        <w:t>public water supplier</w:t>
                      </w:r>
                      <w:r w:rsidR="00E51B40" w:rsidRPr="00C72798">
                        <w:t xml:space="preserve"> should receive or have access to a</w:t>
                      </w:r>
                      <w:r w:rsidR="00BF71F4" w:rsidRPr="00C72798">
                        <w:t>n annual</w:t>
                      </w:r>
                      <w:r w:rsidR="00E51B40" w:rsidRPr="00C72798">
                        <w:t xml:space="preserve"> water quality report. </w:t>
                      </w:r>
                      <w:r w:rsidR="00BF71F4" w:rsidRPr="00C72798">
                        <w:t>Schools</w:t>
                      </w:r>
                      <w:r w:rsidR="00E51B40" w:rsidRPr="00C72798">
                        <w:t xml:space="preserve"> can also contact the</w:t>
                      </w:r>
                      <w:r w:rsidR="00BF71F4" w:rsidRPr="00C72798">
                        <w:t>ir</w:t>
                      </w:r>
                      <w:r w:rsidR="00E51B40" w:rsidRPr="00C72798">
                        <w:t xml:space="preserve"> </w:t>
                      </w:r>
                      <w:r w:rsidR="00BF71F4" w:rsidRPr="00C72798">
                        <w:t>public water supplier to request more information</w:t>
                      </w:r>
                      <w:r w:rsidR="00E51B40" w:rsidRPr="00C72798">
                        <w:t xml:space="preserve">. </w:t>
                      </w:r>
                      <w:r w:rsidR="005249D9" w:rsidRPr="00C72798">
                        <w:t>MassDEP has compiled a</w:t>
                      </w:r>
                      <w:r w:rsidR="00E51B40" w:rsidRPr="00C72798">
                        <w:t xml:space="preserve"> </w:t>
                      </w:r>
                      <w:r w:rsidR="0050428B" w:rsidRPr="00C72798">
                        <w:t xml:space="preserve">comprehensive </w:t>
                      </w:r>
                      <w:r w:rsidR="00E51B40" w:rsidRPr="00C72798">
                        <w:t xml:space="preserve">list of </w:t>
                      </w:r>
                      <w:hyperlink r:id="rId76" w:history="1">
                        <w:r w:rsidR="005249D9" w:rsidRPr="00C72798">
                          <w:rPr>
                            <w:rStyle w:val="Hyperlink"/>
                            <w:color w:val="auto"/>
                            <w:u w:val="none"/>
                          </w:rPr>
                          <w:t>public water supplier</w:t>
                        </w:r>
                        <w:r w:rsidR="00E51B40" w:rsidRPr="00C72798">
                          <w:rPr>
                            <w:rStyle w:val="Hyperlink"/>
                            <w:color w:val="auto"/>
                            <w:u w:val="none"/>
                          </w:rPr>
                          <w:t xml:space="preserve"> contact information</w:t>
                        </w:r>
                      </w:hyperlink>
                      <w:r w:rsidR="0050428B" w:rsidRPr="00C72798">
                        <w:t>.</w:t>
                      </w:r>
                    </w:p>
                    <w:p w14:paraId="3634B94A" w14:textId="36EF48EB" w:rsidR="005A2520" w:rsidRPr="00C72798" w:rsidRDefault="00E51B40" w:rsidP="00C72798">
                      <w:pPr>
                        <w:pStyle w:val="TextBoxText"/>
                      </w:pPr>
                      <w:r w:rsidRPr="00C72798">
                        <w:t xml:space="preserve">If </w:t>
                      </w:r>
                      <w:r w:rsidR="0050428B" w:rsidRPr="00C72798">
                        <w:t>a</w:t>
                      </w:r>
                      <w:r w:rsidRPr="00C72798">
                        <w:t xml:space="preserve"> school is a </w:t>
                      </w:r>
                      <w:r w:rsidR="0050428B" w:rsidRPr="00C72798">
                        <w:t xml:space="preserve">public water supplier </w:t>
                      </w:r>
                      <w:r w:rsidRPr="00C72798">
                        <w:t>(</w:t>
                      </w:r>
                      <w:r w:rsidR="0050428B" w:rsidRPr="00C72798">
                        <w:t xml:space="preserve">i.e., </w:t>
                      </w:r>
                      <w:r w:rsidRPr="00C72798">
                        <w:t xml:space="preserve">has its own well as its drinking water source), the school is required to routinely test its drinking water and report the results to MassDEP.  </w:t>
                      </w:r>
                      <w:r w:rsidR="00E11209" w:rsidRPr="00C72798">
                        <w:t xml:space="preserve">Schools can find and download </w:t>
                      </w:r>
                      <w:hyperlink r:id="rId77" w:history="1">
                        <w:r w:rsidR="00CF0AAF" w:rsidRPr="00C72798">
                          <w:rPr>
                            <w:rStyle w:val="Hyperlink"/>
                            <w:color w:val="auto"/>
                            <w:u w:val="none"/>
                          </w:rPr>
                          <w:t>m</w:t>
                        </w:r>
                        <w:r w:rsidRPr="00C72798">
                          <w:rPr>
                            <w:rStyle w:val="Hyperlink"/>
                            <w:color w:val="auto"/>
                            <w:u w:val="none"/>
                          </w:rPr>
                          <w:t>onitoring schedules</w:t>
                        </w:r>
                        <w:r w:rsidR="00CF0AAF" w:rsidRPr="00C72798">
                          <w:rPr>
                            <w:rStyle w:val="Hyperlink"/>
                            <w:color w:val="auto"/>
                            <w:u w:val="none"/>
                          </w:rPr>
                          <w:t xml:space="preserve"> </w:t>
                        </w:r>
                        <w:r w:rsidR="00AA75D4" w:rsidRPr="00C72798">
                          <w:rPr>
                            <w:rStyle w:val="Hyperlink"/>
                            <w:color w:val="auto"/>
                            <w:u w:val="none"/>
                          </w:rPr>
                          <w:t>compiled by MassDEP</w:t>
                        </w:r>
                      </w:hyperlink>
                      <w:r w:rsidR="00CF0AAF" w:rsidRPr="00C72798">
                        <w:t>.</w:t>
                      </w:r>
                      <w:r w:rsidR="005A2520" w:rsidRPr="00C72798">
                        <w:t xml:space="preserve"> </w:t>
                      </w:r>
                    </w:p>
                  </w:txbxContent>
                </v:textbox>
                <w10:wrap type="square" anchorx="margin"/>
              </v:shape>
            </w:pict>
          </mc:Fallback>
        </mc:AlternateContent>
      </w:r>
      <w:r w:rsidR="4E3E7569">
        <w:t>PFAS are a class of compounds characterized by their strong chemical bonds and non-stick, stain-resistant, and waterproof properties.</w:t>
      </w:r>
      <w:r w:rsidR="007763BB">
        <w:fldChar w:fldCharType="begin"/>
      </w:r>
      <w:r w:rsidR="00281E49">
        <w:instrText xml:space="preserve"> ADDIN ZOTERO_ITEM CSL_CITATION {"citationID":"gB1kGGie","properties":{"formattedCitation":"\\super 123\\nosupersub{}","plainCitation":"123","noteIndex":0},"citationItems":[{"id":756,"uris":["http://zotero.org/groups/5563646/items/YWVZYU87"],"itemData":{"id":756,"type":"document","title":"Massachusetts and PFAS","author":[{"family":"Clean Water Fund","given":""},{"family":"Community Action Works","given":""}]}}],"schema":"https://github.com/citation-style-language/schema/raw/master/csl-citation.json"} </w:instrText>
      </w:r>
      <w:r w:rsidR="007763BB">
        <w:fldChar w:fldCharType="separate"/>
      </w:r>
      <w:r w:rsidR="00281E49" w:rsidRPr="00281E49">
        <w:rPr>
          <w:rFonts w:ascii="Calibri" w:hAnsi="Calibri" w:cs="Calibri"/>
          <w:vertAlign w:val="superscript"/>
        </w:rPr>
        <w:t>123</w:t>
      </w:r>
      <w:r w:rsidR="007763BB">
        <w:fldChar w:fldCharType="end"/>
      </w:r>
      <w:r w:rsidR="4E3E7569">
        <w:t xml:space="preserve"> PFAS have been used extensively in  products since the 1940s</w:t>
      </w:r>
      <w:r w:rsidR="752ED3C3">
        <w:t>,</w:t>
      </w:r>
      <w:r w:rsidR="4E3E7569">
        <w:t xml:space="preserve"> including food packaging, cooking materials, clothing, furniture, carpet</w:t>
      </w:r>
      <w:r w:rsidR="610A4686">
        <w:t>s</w:t>
      </w:r>
      <w:r w:rsidR="4E3E7569">
        <w:t>, cosmetics, and more.</w:t>
      </w:r>
      <w:r w:rsidR="007763BB">
        <w:fldChar w:fldCharType="begin"/>
      </w:r>
      <w:r w:rsidR="000871E9">
        <w:instrText xml:space="preserve"> ADDIN ZOTERO_ITEM CSL_CITATION {"citationID":"ss8OORY7","properties":{"formattedCitation":"\\super 124\\uc0\\u8211{}126\\nosupersub{}","plainCitation":"124–126","noteIndex":0},"citationItems":[{"id":755,"uris":["http://zotero.org/groups/5563646/items/SKNCFDE3"],"itemData":{"id":755,"type":"speech","language":"en","title":"Current Issues in Drinking Water: PFAS Lead in Schools","author":[{"family":"MA DEP","given":""},{"family":"Finn","given":"Margaret"}],"issued":{"date-parts":[["2019",3]]}}},{"id":757,"uris":["http://zotero.org/groups/5563646/items/LTC5JSR5"],"itemData":{"id":757,"type":"document","title":"PFAS in Schools","author":[{"family":"Center for Green Schools","given":""}]}},{"id":754,"uris":["http://zotero.org/groups/5563646/items/7CD9L6IX"],"itemData":{"id":754,"type":"webpage","title":"Per- and Polyfluoroalkyl Substances (PFAS)","URL":"https://www.mass.gov/info-details/per-and-polyfluoroalkyl-substances-pfas#pfas-detected-in-drinking-water-supplies-in-massachusetts-","author":[{"family":"MassDEP","given":""}]}}],"schema":"https://github.com/citation-style-language/schema/raw/master/csl-citation.json"} </w:instrText>
      </w:r>
      <w:r w:rsidR="007763BB">
        <w:fldChar w:fldCharType="separate"/>
      </w:r>
      <w:r w:rsidR="000871E9" w:rsidRPr="000871E9">
        <w:rPr>
          <w:rFonts w:ascii="Calibri" w:hAnsi="Calibri" w:cs="Calibri"/>
          <w:vertAlign w:val="superscript"/>
        </w:rPr>
        <w:t>124–126</w:t>
      </w:r>
      <w:r w:rsidR="007763BB">
        <w:fldChar w:fldCharType="end"/>
      </w:r>
      <w:r w:rsidR="4E3E7569">
        <w:t xml:space="preserve"> They’ve also been commonly used in various industrial and military practices</w:t>
      </w:r>
      <w:r w:rsidR="610A4686">
        <w:t>,</w:t>
      </w:r>
      <w:r w:rsidR="4E3E7569">
        <w:t xml:space="preserve"> leading to widespread contamination of water, soil, and air.</w:t>
      </w:r>
      <w:r w:rsidR="007763BB">
        <w:fldChar w:fldCharType="begin"/>
      </w:r>
      <w:r w:rsidR="00185E1C">
        <w:instrText xml:space="preserve"> ADDIN ZOTERO_ITEM CSL_CITATION {"citationID":"c5LsLuyP","properties":{"formattedCitation":"\\super 126,127\\nosupersub{}","plainCitation":"126,127","noteIndex":0},"citationItems":[{"id":754,"uris":["http://zotero.org/groups/5563646/items/7CD9L6IX"],"itemData":{"id":754,"type":"webpage","title":"Per- and Polyfluoroalkyl Substances (PFAS)","URL":"https://www.mass.gov/info-details/per-and-polyfluoroalkyl-substances-pfas#pfas-detected-in-drinking-water-supplies-in-massachusetts-","author":[{"family":"MassDEP","given":""}]}},{"id":758,"uris":["http://zotero.org/groups/5563646/items/BW6FYA3S"],"itemData":{"id":758,"type":"document","title":"PFAS in the Commonwealth of Massachusetts","author":[{"family":"MA Interagency Taskforce on PFAS","given":""}],"issued":{"date-parts":[["2022",4]]}}}],"schema":"https://github.com/citation-style-language/schema/raw/master/csl-citation.json"} </w:instrText>
      </w:r>
      <w:r w:rsidR="007763BB">
        <w:fldChar w:fldCharType="separate"/>
      </w:r>
      <w:r w:rsidR="00185E1C" w:rsidRPr="00185E1C">
        <w:rPr>
          <w:rFonts w:ascii="Calibri" w:hAnsi="Calibri" w:cs="Calibri"/>
          <w:vertAlign w:val="superscript"/>
        </w:rPr>
        <w:t>126,127</w:t>
      </w:r>
      <w:r w:rsidR="007763BB">
        <w:fldChar w:fldCharType="end"/>
      </w:r>
      <w:r w:rsidR="4E3E7569">
        <w:t xml:space="preserve"> PFAS are commonly referred to as “forever chemicals”</w:t>
      </w:r>
      <w:r w:rsidR="752ED3C3">
        <w:t xml:space="preserve"> because </w:t>
      </w:r>
      <w:r w:rsidR="4E3E7569">
        <w:t xml:space="preserve">they do not </w:t>
      </w:r>
      <w:r w:rsidR="610A4686">
        <w:t xml:space="preserve">readily </w:t>
      </w:r>
      <w:r w:rsidR="4E3E7569">
        <w:t>break</w:t>
      </w:r>
      <w:r w:rsidR="610A4686">
        <w:t xml:space="preserve"> </w:t>
      </w:r>
      <w:r w:rsidR="4E3E7569">
        <w:t>down and can accumulate throughout the environment and up the food chain.</w:t>
      </w:r>
      <w:r w:rsidR="007763BB">
        <w:fldChar w:fldCharType="begin"/>
      </w:r>
      <w:r w:rsidR="004B2430">
        <w:instrText xml:space="preserve"> ADDIN ZOTERO_ITEM CSL_CITATION {"citationID":"MfwLQJwQ","properties":{"formattedCitation":"\\super 127\\nosupersub{}","plainCitation":"127","noteIndex":0},"citationItems":[{"id":758,"uris":["http://zotero.org/groups/5563646/items/BW6FYA3S"],"itemData":{"id":758,"type":"document","title":"PFAS in the Commonwealth of Massachusetts","author":[{"family":"MA Interagency Taskforce on PFAS","given":""}],"issued":{"date-parts":[["2022",4]]}}}],"schema":"https://github.com/citation-style-language/schema/raw/master/csl-citation.json"} </w:instrText>
      </w:r>
      <w:r w:rsidR="007763BB">
        <w:fldChar w:fldCharType="separate"/>
      </w:r>
      <w:r w:rsidR="004B2430" w:rsidRPr="004B2430">
        <w:rPr>
          <w:rFonts w:ascii="Calibri" w:hAnsi="Calibri" w:cs="Calibri"/>
          <w:vertAlign w:val="superscript"/>
        </w:rPr>
        <w:t>127</w:t>
      </w:r>
      <w:r w:rsidR="007763BB">
        <w:fldChar w:fldCharType="end"/>
      </w:r>
      <w:r w:rsidR="4E3E7569">
        <w:t xml:space="preserve"> Exposure to these chemicals is associated with various health effects</w:t>
      </w:r>
      <w:r w:rsidR="610A4686">
        <w:t>,</w:t>
      </w:r>
      <w:r w:rsidR="4E3E7569">
        <w:t xml:space="preserve"> including reduced immunity, organ dysfunction, reproductive and developmental harm, and cancer.</w:t>
      </w:r>
      <w:r w:rsidR="007763BB">
        <w:fldChar w:fldCharType="begin"/>
      </w:r>
      <w:r w:rsidR="007B0530">
        <w:instrText xml:space="preserve"> ADDIN ZOTERO_ITEM CSL_CITATION {"citationID":"LHIlOsRz","properties":{"formattedCitation":"\\super 123\\uc0\\u8211{}127\\nosupersub{}","plainCitation":"123–127","noteIndex":0},"citationItems":[{"id":756,"uris":["http://zotero.org/groups/5563646/items/YWVZYU87"],"itemData":{"id":756,"type":"document","title":"Massachusetts and PFAS","author":[{"family":"Clean Water Fund","given":""},{"family":"Community Action Works","given":""}]}},{"id":755,"uris":["http://zotero.org/groups/5563646/items/SKNCFDE3"],"itemData":{"id":755,"type":"speech","language":"en","title":"Current Issues in Drinking Water: PFAS Lead in Schools","author":[{"family":"MA DEP","given":""},{"family":"Finn","given":"Margaret"}],"issued":{"date-parts":[["2019",3]]}}},{"id":757,"uris":["http://zotero.org/groups/5563646/items/LTC5JSR5"],"itemData":{"id":757,"type":"document","title":"PFAS in Schools","author":[{"family":"Center for Green Schools","given":""}]}},{"id":754,"uris":["http://zotero.org/groups/5563646/items/7CD9L6IX"],"itemData":{"id":754,"type":"webpage","title":"Per- and Polyfluoroalkyl Substances (PFAS)","URL":"https://www.mass.gov/info-details/per-and-polyfluoroalkyl-substances-pfas#pfas-detected-in-drinking-water-supplies-in-massachusetts-","author":[{"family":"MassDEP","given":""}]}},{"id":758,"uris":["http://zotero.org/groups/5563646/items/BW6FYA3S"],"itemData":{"id":758,"type":"document","title":"PFAS in the Commonwealth of Massachusetts","author":[{"family":"MA Interagency Taskforce on PFAS","given":""}],"issued":{"date-parts":[["2022",4]]}}}],"schema":"https://github.com/citation-style-language/schema/raw/master/csl-citation.json"} </w:instrText>
      </w:r>
      <w:r w:rsidR="007763BB">
        <w:fldChar w:fldCharType="separate"/>
      </w:r>
      <w:r w:rsidR="007B0530" w:rsidRPr="007B0530">
        <w:rPr>
          <w:rFonts w:ascii="Calibri" w:hAnsi="Calibri" w:cs="Calibri"/>
          <w:vertAlign w:val="superscript"/>
        </w:rPr>
        <w:t>123–127</w:t>
      </w:r>
      <w:r w:rsidR="007763BB">
        <w:fldChar w:fldCharType="end"/>
      </w:r>
      <w:r w:rsidR="4E3E7569">
        <w:t xml:space="preserve"> Impacts </w:t>
      </w:r>
      <w:r w:rsidR="610A4686">
        <w:t xml:space="preserve">on </w:t>
      </w:r>
      <w:r w:rsidR="4E3E7569">
        <w:t xml:space="preserve">children include reduced response to vaccinations, onset of asthma, reduced kidney function, </w:t>
      </w:r>
      <w:r w:rsidR="610A4686">
        <w:t xml:space="preserve">and </w:t>
      </w:r>
      <w:r w:rsidR="4E3E7569">
        <w:t>abnormal puberty, among others.</w:t>
      </w:r>
      <w:r w:rsidR="007763BB">
        <w:fldChar w:fldCharType="begin"/>
      </w:r>
      <w:r w:rsidR="00E33EC6">
        <w:instrText xml:space="preserve"> ADDIN ZOTERO_ITEM CSL_CITATION {"citationID":"b8lmYnAp","properties":{"formattedCitation":"\\super 125,127\\nosupersub{}","plainCitation":"125,127","noteIndex":0},"citationItems":[{"id":757,"uris":["http://zotero.org/groups/5563646/items/LTC5JSR5"],"itemData":{"id":757,"type":"document","title":"PFAS in Schools","author":[{"family":"Center for Green Schools","given":""}]}},{"id":758,"uris":["http://zotero.org/groups/5563646/items/BW6FYA3S"],"itemData":{"id":758,"type":"document","title":"PFAS in the Commonwealth of Massachusetts","author":[{"family":"MA Interagency Taskforce on PFAS","given":""}],"issued":{"date-parts":[["2022",4]]}}}],"schema":"https://github.com/citation-style-language/schema/raw/master/csl-citation.json"} </w:instrText>
      </w:r>
      <w:r w:rsidR="007763BB">
        <w:fldChar w:fldCharType="separate"/>
      </w:r>
      <w:r w:rsidR="00E33EC6" w:rsidRPr="00E33EC6">
        <w:rPr>
          <w:rFonts w:ascii="Calibri" w:hAnsi="Calibri" w:cs="Calibri"/>
          <w:sz w:val="22"/>
          <w:vertAlign w:val="superscript"/>
        </w:rPr>
        <w:t>125,127</w:t>
      </w:r>
      <w:r w:rsidR="007763BB">
        <w:fldChar w:fldCharType="end"/>
      </w:r>
      <w:r w:rsidR="4E3E7569">
        <w:t xml:space="preserve"> Thus, schools should take steps to minimize PFAS exposure in children, particularly in drinking water, by</w:t>
      </w:r>
      <w:r w:rsidR="00B02D88">
        <w:t xml:space="preserve"> </w:t>
      </w:r>
      <w:r w:rsidR="007A11F3">
        <w:t>confirming the presence of PFAS in drinking water</w:t>
      </w:r>
      <w:r w:rsidR="00F643CA">
        <w:t xml:space="preserve"> and providing an alternative source of drinking water if necessary. Schools should also purchase</w:t>
      </w:r>
      <w:r w:rsidR="4E3E7569">
        <w:t xml:space="preserve"> certified PFAS-free products.  </w:t>
      </w:r>
    </w:p>
    <w:p w14:paraId="37BCCDC4" w14:textId="0DDD6E61" w:rsidR="003D5166" w:rsidRDefault="003D5166" w:rsidP="003D5166">
      <w:pPr>
        <w:pStyle w:val="Heading3"/>
      </w:pPr>
      <w:r>
        <w:t>Methods and Best Practices</w:t>
      </w:r>
    </w:p>
    <w:p w14:paraId="22A631BD" w14:textId="1D1D6EF2" w:rsidR="003D5166" w:rsidRDefault="001A4F92" w:rsidP="006D7DE6">
      <w:pPr>
        <w:pStyle w:val="BodyTextFirstIndent"/>
      </w:pPr>
      <w:r>
        <w:fldChar w:fldCharType="begin"/>
      </w:r>
      <w:r>
        <w:instrText xml:space="preserve"> REF _Ref171630432 \h </w:instrText>
      </w:r>
      <w:r>
        <w:fldChar w:fldCharType="separate"/>
      </w:r>
      <w:r w:rsidR="00307850">
        <w:t xml:space="preserve">Table </w:t>
      </w:r>
      <w:r w:rsidR="00307850">
        <w:rPr>
          <w:noProof/>
        </w:rPr>
        <w:t>20</w:t>
      </w:r>
      <w:r>
        <w:fldChar w:fldCharType="end"/>
      </w:r>
      <w:r>
        <w:t xml:space="preserve"> </w:t>
      </w:r>
      <w:r w:rsidR="003D5166" w:rsidRPr="007935AE">
        <w:t xml:space="preserve">summarizes </w:t>
      </w:r>
      <w:r w:rsidR="003D5166">
        <w:t xml:space="preserve">the </w:t>
      </w:r>
      <w:r w:rsidR="003D5166" w:rsidRPr="007935AE">
        <w:t xml:space="preserve">methods and best practices for </w:t>
      </w:r>
      <w:r w:rsidR="003D5166">
        <w:t xml:space="preserve">reducing exposure to </w:t>
      </w:r>
      <w:r w:rsidR="00625691">
        <w:t>PFAS in drinking water</w:t>
      </w:r>
      <w:r w:rsidR="003D5166">
        <w:t xml:space="preserve"> in</w:t>
      </w:r>
      <w:r w:rsidR="003D5166" w:rsidRPr="007935AE">
        <w:t xml:space="preserve"> schools. For each method and best practice, the table presents the approximate capital and operating costs, implementation timeframe, and ease of implementation.</w:t>
      </w:r>
      <w:r w:rsidR="0070345A">
        <w:t xml:space="preserve"> </w:t>
      </w:r>
      <w:r w:rsidR="0070345A" w:rsidRPr="00C43978">
        <w:t xml:space="preserve">See </w:t>
      </w:r>
      <w:hyperlink w:anchor="SectVII_2b2" w:history="1">
        <w:r w:rsidR="00C7715B" w:rsidRPr="00C7715B">
          <w:rPr>
            <w:rStyle w:val="Hyperlink"/>
          </w:rPr>
          <w:t>Section VII, Objective 2b(2)</w:t>
        </w:r>
      </w:hyperlink>
      <w:r w:rsidR="00C7715B">
        <w:t xml:space="preserve"> </w:t>
      </w:r>
      <w:r w:rsidR="0070345A" w:rsidRPr="00C43978">
        <w:t>for additional narrative descriptions of each of the methods and best practices.</w:t>
      </w:r>
    </w:p>
    <w:p w14:paraId="5CCEDC20" w14:textId="61EA92C3" w:rsidR="003D5166" w:rsidRDefault="003D5166" w:rsidP="00B30C96">
      <w:pPr>
        <w:pStyle w:val="TableTitle"/>
      </w:pPr>
      <w:bookmarkStart w:id="199" w:name="_Ref171630432"/>
      <w:bookmarkStart w:id="200" w:name="_Toc171629207"/>
      <w:bookmarkStart w:id="201" w:name="_Toc192711686"/>
      <w:bookmarkStart w:id="202" w:name="_Toc193112568"/>
      <w:bookmarkStart w:id="203" w:name="_Toc193116967"/>
      <w:r>
        <w:lastRenderedPageBreak/>
        <w:t xml:space="preserve">Table </w:t>
      </w:r>
      <w:fldSimple w:instr=" SEQ Table \* ARABIC ">
        <w:r w:rsidR="00307850">
          <w:rPr>
            <w:noProof/>
          </w:rPr>
          <w:t>20</w:t>
        </w:r>
      </w:fldSimple>
      <w:bookmarkEnd w:id="199"/>
      <w:r>
        <w:t>. Methods</w:t>
      </w:r>
      <w:r w:rsidR="00074426">
        <w:t xml:space="preserve"> and </w:t>
      </w:r>
      <w:r>
        <w:t xml:space="preserve">Best Practices </w:t>
      </w:r>
      <w:r w:rsidR="0062428D">
        <w:t>for</w:t>
      </w:r>
      <w:r>
        <w:t xml:space="preserve"> </w:t>
      </w:r>
      <w:r w:rsidRPr="000B161A">
        <w:t>Reduc</w:t>
      </w:r>
      <w:r>
        <w:t>ing</w:t>
      </w:r>
      <w:r w:rsidRPr="000B161A">
        <w:t xml:space="preserve"> </w:t>
      </w:r>
      <w:r>
        <w:t xml:space="preserve">Exposure to </w:t>
      </w:r>
      <w:bookmarkEnd w:id="200"/>
      <w:r w:rsidR="00625691">
        <w:t>PFAS in Drinking Water</w:t>
      </w:r>
      <w:bookmarkEnd w:id="201"/>
      <w:bookmarkEnd w:id="202"/>
      <w:bookmarkEnd w:id="203"/>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PFAS in drinking water."/>
      </w:tblPr>
      <w:tblGrid>
        <w:gridCol w:w="570"/>
        <w:gridCol w:w="5952"/>
        <w:gridCol w:w="707"/>
        <w:gridCol w:w="707"/>
        <w:gridCol w:w="707"/>
        <w:gridCol w:w="707"/>
      </w:tblGrid>
      <w:tr w:rsidR="003D5166" w:rsidRPr="00C8094D" w14:paraId="0E7E0926"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06DFA7DF" w14:textId="77777777" w:rsidR="003D5166" w:rsidRDefault="003D5166">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D37CD3C" w14:textId="77777777" w:rsidR="003D5166" w:rsidRPr="00C8094D" w:rsidRDefault="003D5166" w:rsidP="00DE5940">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0C94B9D" w14:textId="77777777" w:rsidR="003D5166" w:rsidRDefault="003D5166" w:rsidP="00DE5940">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566B78C" w14:textId="77777777" w:rsidR="003D5166" w:rsidRPr="00C8094D" w:rsidRDefault="003D5166" w:rsidP="00DE5940">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09C7D42" w14:textId="77777777" w:rsidR="003D5166" w:rsidRPr="00C8094D" w:rsidRDefault="003D5166" w:rsidP="00DE5940">
            <w:pPr>
              <w:pStyle w:val="TableColumnHeader"/>
              <w:jc w:val="left"/>
            </w:pPr>
            <w:r>
              <w:t xml:space="preserve">Ease of </w:t>
            </w:r>
            <w:r w:rsidRPr="00C8094D">
              <w:t>Implementation</w:t>
            </w:r>
          </w:p>
        </w:tc>
      </w:tr>
      <w:tr w:rsidR="003D5166" w:rsidRPr="00C8094D" w14:paraId="76C03E57"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653233E8" w14:textId="77777777" w:rsidR="003D5166" w:rsidRDefault="003D5166">
            <w:pPr>
              <w:pStyle w:val="TableText"/>
            </w:pPr>
            <w:r>
              <w:t>(1)</w:t>
            </w:r>
          </w:p>
        </w:tc>
        <w:tc>
          <w:tcPr>
            <w:tcW w:w="3183" w:type="pct"/>
            <w:tcBorders>
              <w:top w:val="single" w:sz="4" w:space="0" w:color="auto"/>
              <w:bottom w:val="single" w:sz="4" w:space="0" w:color="auto"/>
              <w:right w:val="single" w:sz="4" w:space="0" w:color="auto"/>
            </w:tcBorders>
          </w:tcPr>
          <w:p w14:paraId="51FE43D7" w14:textId="61D04EE4" w:rsidR="003D5166" w:rsidRDefault="007D0FBA">
            <w:pPr>
              <w:pStyle w:val="TableText"/>
            </w:pPr>
            <w:r w:rsidRPr="007D0FBA">
              <w:t xml:space="preserve">Identify </w:t>
            </w:r>
            <w:r w:rsidR="00B1523B">
              <w:t xml:space="preserve">whether the school’s drinking water source contains PFAS and conduct additional </w:t>
            </w:r>
            <w:r w:rsidRPr="007D0FBA">
              <w:t>testing</w:t>
            </w:r>
            <w:r w:rsidR="00712E6A">
              <w:t xml:space="preserve"> to determine the source of contamination</w:t>
            </w:r>
            <w:r w:rsidRPr="007D0FBA">
              <w:t xml:space="preserve"> whenever possible</w:t>
            </w:r>
          </w:p>
        </w:tc>
        <w:tc>
          <w:tcPr>
            <w:tcW w:w="378" w:type="pct"/>
            <w:tcBorders>
              <w:top w:val="nil"/>
              <w:left w:val="single" w:sz="4" w:space="0" w:color="auto"/>
              <w:bottom w:val="single" w:sz="4" w:space="0" w:color="auto"/>
              <w:right w:val="single" w:sz="4" w:space="0" w:color="auto"/>
            </w:tcBorders>
            <w:shd w:val="clear" w:color="auto" w:fill="auto"/>
            <w:vAlign w:val="center"/>
          </w:tcPr>
          <w:p w14:paraId="227D72E9" w14:textId="1318F829" w:rsidR="003D5166" w:rsidRPr="00C8094D" w:rsidRDefault="000F5DF7">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1AE2C63" w14:textId="5CAB1431" w:rsidR="003D5166" w:rsidRPr="00C8094D" w:rsidRDefault="00A241C5">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1E9A057" w14:textId="2A328B72" w:rsidR="003D5166" w:rsidRPr="00C8094D" w:rsidRDefault="00A241C5">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AB9034C" w14:textId="701C609D" w:rsidR="003D5166" w:rsidRPr="00C8094D" w:rsidRDefault="00A241C5">
            <w:pPr>
              <w:pStyle w:val="TableText"/>
            </w:pPr>
            <w:r>
              <w:t>3</w:t>
            </w:r>
          </w:p>
        </w:tc>
      </w:tr>
      <w:tr w:rsidR="003D5166" w:rsidRPr="00C8094D" w14:paraId="5F9C966E"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824979A" w14:textId="4B530DAD" w:rsidR="003D5166" w:rsidRPr="00C8094D" w:rsidRDefault="003D5166">
            <w:pPr>
              <w:pStyle w:val="TableText"/>
            </w:pPr>
            <w:r>
              <w:t>(2)</w:t>
            </w:r>
          </w:p>
        </w:tc>
        <w:tc>
          <w:tcPr>
            <w:tcW w:w="3183" w:type="pct"/>
            <w:tcBorders>
              <w:top w:val="single" w:sz="4" w:space="0" w:color="auto"/>
              <w:bottom w:val="single" w:sz="4" w:space="0" w:color="auto"/>
              <w:right w:val="single" w:sz="4" w:space="0" w:color="auto"/>
            </w:tcBorders>
          </w:tcPr>
          <w:p w14:paraId="3ED8BC7F" w14:textId="543A5043" w:rsidR="003D5166" w:rsidRPr="00C8094D" w:rsidRDefault="007D0FBA">
            <w:pPr>
              <w:pStyle w:val="TableText"/>
            </w:pPr>
            <w:r w:rsidRPr="007D0FBA">
              <w:t>Remediate sources of contamination and establish routine practices to minimize future contamination</w:t>
            </w:r>
            <w:r w:rsidR="00E5697B">
              <w:t xml:space="preserve"> (l</w:t>
            </w:r>
            <w:r w:rsidR="10737F0B">
              <w:t xml:space="preserve">ong-term </w:t>
            </w:r>
            <w:r w:rsidR="00E5697B">
              <w:t>mitigation)</w:t>
            </w:r>
          </w:p>
        </w:tc>
        <w:tc>
          <w:tcPr>
            <w:tcW w:w="378" w:type="pct"/>
            <w:tcBorders>
              <w:top w:val="nil"/>
              <w:left w:val="single" w:sz="4" w:space="0" w:color="auto"/>
              <w:bottom w:val="single" w:sz="4" w:space="0" w:color="auto"/>
              <w:right w:val="single" w:sz="4" w:space="0" w:color="auto"/>
            </w:tcBorders>
            <w:shd w:val="clear" w:color="auto" w:fill="auto"/>
            <w:vAlign w:val="center"/>
          </w:tcPr>
          <w:p w14:paraId="1BC42DE7" w14:textId="52DA824B" w:rsidR="003D5166" w:rsidRPr="00C8094D" w:rsidRDefault="7EDADB5C">
            <w:pPr>
              <w:pStyle w:val="TableText"/>
            </w:pPr>
            <w:r>
              <w:t>0-</w:t>
            </w:r>
            <w:r w:rsidR="0065DEBD">
              <w:t>$$</w:t>
            </w:r>
          </w:p>
        </w:tc>
        <w:tc>
          <w:tcPr>
            <w:tcW w:w="378" w:type="pct"/>
            <w:tcBorders>
              <w:top w:val="single" w:sz="4" w:space="0" w:color="auto"/>
              <w:left w:val="single" w:sz="4" w:space="0" w:color="auto"/>
              <w:bottom w:val="single" w:sz="4" w:space="0" w:color="auto"/>
              <w:right w:val="single" w:sz="4" w:space="0" w:color="auto"/>
            </w:tcBorders>
            <w:vAlign w:val="center"/>
          </w:tcPr>
          <w:p w14:paraId="5021C19F" w14:textId="4EF591C7" w:rsidR="003D5166" w:rsidRPr="00C8094D" w:rsidRDefault="4F0FC556">
            <w:pPr>
              <w:pStyle w:val="TableText"/>
            </w:pPr>
            <w:r>
              <w:t>0-</w:t>
            </w:r>
            <w:r w:rsidR="0065DEBD">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A0DCE46" w14:textId="261A8173" w:rsidR="003D5166" w:rsidRPr="00C8094D" w:rsidRDefault="002B1AD4">
            <w:pPr>
              <w:pStyle w:val="TableText"/>
            </w:pPr>
            <w:r>
              <w:t>2</w:t>
            </w:r>
            <w:r w:rsidR="001E0DF8">
              <w:t>-</w:t>
            </w:r>
            <w:r w:rsidR="00C92028">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EAF2148" w14:textId="643FD263" w:rsidR="003D5166" w:rsidRPr="00C8094D" w:rsidRDefault="002B1AD4">
            <w:pPr>
              <w:pStyle w:val="TableText"/>
            </w:pPr>
            <w:r>
              <w:t>2-3</w:t>
            </w:r>
          </w:p>
        </w:tc>
      </w:tr>
      <w:tr w:rsidR="5443AAE6" w14:paraId="0E48443E"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51626609" w14:textId="586CB3C9" w:rsidR="22975789" w:rsidRDefault="22975789" w:rsidP="5443AAE6">
            <w:pPr>
              <w:pStyle w:val="TableText"/>
            </w:pPr>
            <w:r>
              <w:t>(3)</w:t>
            </w:r>
          </w:p>
        </w:tc>
        <w:tc>
          <w:tcPr>
            <w:tcW w:w="3183" w:type="pct"/>
            <w:tcBorders>
              <w:top w:val="single" w:sz="4" w:space="0" w:color="auto"/>
              <w:bottom w:val="single" w:sz="4" w:space="0" w:color="auto"/>
              <w:right w:val="single" w:sz="4" w:space="0" w:color="auto"/>
            </w:tcBorders>
          </w:tcPr>
          <w:p w14:paraId="0710E6C5" w14:textId="5C137649" w:rsidR="22975789" w:rsidRDefault="22975789" w:rsidP="5443AAE6">
            <w:pPr>
              <w:pStyle w:val="TableText"/>
            </w:pPr>
            <w:r>
              <w:t>Remediate sources of contamination and establish routine practices to minimize future contamination</w:t>
            </w:r>
            <w:r w:rsidR="00E5697B">
              <w:t xml:space="preserve"> (s</w:t>
            </w:r>
            <w:r>
              <w:t xml:space="preserve">hort-term </w:t>
            </w:r>
            <w:r w:rsidR="00E5697B">
              <w:t>mitigation)</w:t>
            </w:r>
          </w:p>
        </w:tc>
        <w:tc>
          <w:tcPr>
            <w:tcW w:w="378" w:type="pct"/>
            <w:tcBorders>
              <w:top w:val="nil"/>
              <w:left w:val="single" w:sz="4" w:space="0" w:color="auto"/>
              <w:bottom w:val="single" w:sz="4" w:space="0" w:color="auto"/>
              <w:right w:val="single" w:sz="4" w:space="0" w:color="auto"/>
            </w:tcBorders>
            <w:shd w:val="clear" w:color="auto" w:fill="auto"/>
            <w:vAlign w:val="center"/>
          </w:tcPr>
          <w:p w14:paraId="3024483B" w14:textId="7A7EE0E9" w:rsidR="36419436" w:rsidRDefault="36419436" w:rsidP="5443AAE6">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7DEF9B11" w14:textId="32D5D966" w:rsidR="21AE59B8" w:rsidRDefault="21AE59B8" w:rsidP="5443AAE6">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B709146" w14:textId="516A3AA6" w:rsidR="36419436" w:rsidRDefault="36419436" w:rsidP="5443AAE6">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031B753" w14:textId="75F7D458" w:rsidR="36419436" w:rsidRDefault="36419436" w:rsidP="5443AAE6">
            <w:pPr>
              <w:pStyle w:val="TableText"/>
            </w:pPr>
            <w:r>
              <w:t>1</w:t>
            </w:r>
          </w:p>
        </w:tc>
      </w:tr>
      <w:tr w:rsidR="003D5166" w:rsidRPr="00C8094D" w14:paraId="1ACF6CAD"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0655D52C" w14:textId="64CBD93B" w:rsidR="003D5166" w:rsidRDefault="003D5166">
            <w:pPr>
              <w:pStyle w:val="TableText"/>
            </w:pPr>
            <w:r>
              <w:t>(</w:t>
            </w:r>
            <w:r w:rsidR="68410965">
              <w:t>4</w:t>
            </w:r>
            <w:r>
              <w:t>)</w:t>
            </w:r>
          </w:p>
        </w:tc>
        <w:tc>
          <w:tcPr>
            <w:tcW w:w="3183" w:type="pct"/>
            <w:tcBorders>
              <w:top w:val="single" w:sz="4" w:space="0" w:color="auto"/>
              <w:bottom w:val="single" w:sz="4" w:space="0" w:color="auto"/>
              <w:right w:val="single" w:sz="4" w:space="0" w:color="auto"/>
            </w:tcBorders>
          </w:tcPr>
          <w:p w14:paraId="25DF9B4E" w14:textId="63D00A36" w:rsidR="003D5166" w:rsidRDefault="007D0FBA">
            <w:pPr>
              <w:pStyle w:val="TableText"/>
            </w:pPr>
            <w:r w:rsidRPr="007D0FBA">
              <w:t>Procure certified PFAS-free items as part of the school’s green purchasing program</w:t>
            </w:r>
          </w:p>
        </w:tc>
        <w:tc>
          <w:tcPr>
            <w:tcW w:w="378" w:type="pct"/>
            <w:tcBorders>
              <w:top w:val="nil"/>
              <w:left w:val="single" w:sz="4" w:space="0" w:color="auto"/>
              <w:bottom w:val="single" w:sz="4" w:space="0" w:color="auto"/>
              <w:right w:val="single" w:sz="4" w:space="0" w:color="auto"/>
            </w:tcBorders>
            <w:shd w:val="clear" w:color="auto" w:fill="auto"/>
            <w:vAlign w:val="center"/>
          </w:tcPr>
          <w:p w14:paraId="0E55BA28" w14:textId="201CA2C6" w:rsidR="003D5166" w:rsidRDefault="00D91CA3">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09D35A90" w14:textId="20F7B052" w:rsidR="003D5166" w:rsidRDefault="00D91CA3">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C460B7A" w14:textId="57BCF21A" w:rsidR="003D5166" w:rsidRDefault="000F5DF7">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632ED88" w14:textId="57B5DFFA" w:rsidR="003D5166" w:rsidRDefault="000F5DF7">
            <w:pPr>
              <w:pStyle w:val="TableText"/>
            </w:pPr>
            <w:r>
              <w:t>1</w:t>
            </w:r>
          </w:p>
        </w:tc>
      </w:tr>
      <w:tr w:rsidR="003D5166" w:rsidRPr="00C8094D" w14:paraId="267555EB"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99015D2" w14:textId="77777777" w:rsidR="003D5166" w:rsidRPr="00FF51E8" w:rsidRDefault="003D5166">
            <w:pPr>
              <w:rPr>
                <w:rFonts w:ascii="Arial" w:hAnsi="Arial" w:cs="Arial"/>
                <w:b/>
                <w:bCs/>
                <w:sz w:val="20"/>
                <w:szCs w:val="20"/>
                <w:u w:val="single"/>
              </w:rPr>
            </w:pPr>
            <w:r w:rsidRPr="00FF51E8">
              <w:rPr>
                <w:rFonts w:ascii="Arial" w:hAnsi="Arial" w:cs="Arial"/>
                <w:b/>
                <w:bCs/>
                <w:sz w:val="20"/>
                <w:szCs w:val="20"/>
                <w:u w:val="single"/>
              </w:rPr>
              <w:t>Key:</w:t>
            </w:r>
          </w:p>
          <w:p w14:paraId="07A1FFF2" w14:textId="77777777" w:rsidR="003D5166" w:rsidRPr="00FF51E8" w:rsidRDefault="003D5166">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6CE4948B" w14:textId="0A3A9361" w:rsidR="003D5166" w:rsidRPr="00FF51E8" w:rsidRDefault="003D5166">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DE5940">
              <w:rPr>
                <w:rFonts w:ascii="Arial" w:hAnsi="Arial" w:cs="Arial"/>
                <w:sz w:val="20"/>
                <w:szCs w:val="20"/>
              </w:rPr>
              <w:t>&gt;</w:t>
            </w:r>
            <w:r w:rsidRPr="00FF51E8">
              <w:rPr>
                <w:rFonts w:ascii="Arial" w:hAnsi="Arial" w:cs="Arial"/>
                <w:sz w:val="20"/>
                <w:szCs w:val="20"/>
              </w:rPr>
              <w:t>12 months)</w:t>
            </w:r>
          </w:p>
          <w:p w14:paraId="18238A17" w14:textId="77777777" w:rsidR="003D5166" w:rsidRPr="00FF51E8" w:rsidRDefault="003D5166">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0DD6BAFF" w14:textId="77777777" w:rsidR="003D5166" w:rsidRDefault="003D5166" w:rsidP="003D5166">
      <w:pPr>
        <w:pStyle w:val="Heading3"/>
      </w:pPr>
      <w:r>
        <w:t>Barriers and Challenges</w:t>
      </w:r>
    </w:p>
    <w:p w14:paraId="69A1574D" w14:textId="43CBD96C" w:rsidR="00A53A7F" w:rsidRDefault="00A53A7F" w:rsidP="006D7DE6">
      <w:pPr>
        <w:pStyle w:val="BodyTextFirstIndent"/>
      </w:pPr>
      <w:r>
        <w:t xml:space="preserve">There are many challenges </w:t>
      </w:r>
      <w:r w:rsidR="001D4E59">
        <w:t>related to</w:t>
      </w:r>
      <w:r>
        <w:t xml:space="preserve"> reducing exposure to PFAS, as these are widespread chemicals. </w:t>
      </w:r>
      <w:r w:rsidR="00BC25EC">
        <w:t>All public water suppliers in Massachusetts</w:t>
      </w:r>
      <w:r w:rsidR="00444C70">
        <w:t xml:space="preserve"> are required to test for PFAS, whether the supplier is a community system or a school with its own well</w:t>
      </w:r>
      <w:r>
        <w:t xml:space="preserve">. </w:t>
      </w:r>
      <w:r w:rsidR="004527B6">
        <w:t xml:space="preserve">If schools are part of a larger </w:t>
      </w:r>
      <w:r w:rsidR="00D34782">
        <w:t xml:space="preserve">community </w:t>
      </w:r>
      <w:r w:rsidR="004527B6">
        <w:t xml:space="preserve">public water system, it is the responsibility of the public water system to test for PFAS. </w:t>
      </w:r>
      <w:r>
        <w:t xml:space="preserve">Thus, schools </w:t>
      </w:r>
      <w:r w:rsidR="001D4E59">
        <w:t xml:space="preserve">must </w:t>
      </w:r>
      <w:r>
        <w:t>build local partnerships to assess potential contamination</w:t>
      </w:r>
      <w:r w:rsidR="000E7E7A">
        <w:t>, address</w:t>
      </w:r>
      <w:r w:rsidR="0063242C">
        <w:t xml:space="preserve"> exceedances of drinking water standards,</w:t>
      </w:r>
      <w:r>
        <w:t xml:space="preserve"> and reduce sources of PFAS where </w:t>
      </w:r>
      <w:r w:rsidR="00F75B84">
        <w:t>feasible</w:t>
      </w:r>
      <w:r>
        <w:t xml:space="preserve">. </w:t>
      </w:r>
    </w:p>
    <w:p w14:paraId="25AF8707" w14:textId="58744BB6" w:rsidR="00904065" w:rsidRDefault="00904065" w:rsidP="001C7888">
      <w:pPr>
        <w:pStyle w:val="Heading2"/>
      </w:pPr>
      <w:bookmarkStart w:id="204" w:name="Objective_2c"/>
      <w:bookmarkStart w:id="205" w:name="_Toc171518371"/>
      <w:bookmarkStart w:id="206" w:name="_Toc171519324"/>
      <w:bookmarkStart w:id="207" w:name="_Toc193116903"/>
      <w:bookmarkEnd w:id="204"/>
      <w:r>
        <w:t xml:space="preserve">Objective 2c. </w:t>
      </w:r>
      <w:r w:rsidR="00B93C23">
        <w:t>Maintain Thermal Comfort</w:t>
      </w:r>
      <w:bookmarkEnd w:id="205"/>
      <w:bookmarkEnd w:id="206"/>
      <w:bookmarkEnd w:id="207"/>
    </w:p>
    <w:p w14:paraId="4B532896" w14:textId="77777777" w:rsidR="007F3D96" w:rsidRDefault="007F3D96" w:rsidP="007F3D96">
      <w:pPr>
        <w:pStyle w:val="Heading3"/>
      </w:pPr>
      <w:r>
        <w:t>Background</w:t>
      </w:r>
    </w:p>
    <w:p w14:paraId="5048CD32" w14:textId="72A876A1" w:rsidR="007F3D96" w:rsidRDefault="00C632D3" w:rsidP="006D7DE6">
      <w:pPr>
        <w:pStyle w:val="BodyTextFirstIndent"/>
      </w:pPr>
      <w:r w:rsidRPr="00C632D3">
        <w:t>Massachusetts school buildings experience a wide range of temperatures</w:t>
      </w:r>
      <w:r w:rsidR="00DC1078">
        <w:t xml:space="preserve"> </w:t>
      </w:r>
      <w:r w:rsidRPr="00C632D3">
        <w:t>mak</w:t>
      </w:r>
      <w:r w:rsidR="00DC1078">
        <w:t>ing</w:t>
      </w:r>
      <w:r w:rsidRPr="00C632D3">
        <w:t xml:space="preserve"> maintaining thermal comfort for students</w:t>
      </w:r>
      <w:r w:rsidR="00471B47">
        <w:t xml:space="preserve"> and staff</w:t>
      </w:r>
      <w:r w:rsidRPr="00C632D3">
        <w:t xml:space="preserve"> both challenging and necessary. All school buildings in Massachusetts have heating, though the system may not always operate consistently throughout classrooms. However, many schools do not have air </w:t>
      </w:r>
      <w:r w:rsidRPr="00C632D3">
        <w:lastRenderedPageBreak/>
        <w:t xml:space="preserve">conditioning, which is becoming a concern for student and staff health, given the increase in hot and humid days during the school year </w:t>
      </w:r>
      <w:r w:rsidR="004E0DD4">
        <w:t>resulting from</w:t>
      </w:r>
      <w:r w:rsidRPr="00C632D3">
        <w:t xml:space="preserve"> climate change.</w:t>
      </w:r>
      <w:r w:rsidRPr="00C632D3">
        <w:fldChar w:fldCharType="begin"/>
      </w:r>
      <w:r w:rsidR="000D48BE">
        <w:instrText xml:space="preserve"> ADDIN ZOTERO_ITEM CSL_CITATION {"citationID":"T2VBSKvF","properties":{"formattedCitation":"\\super 128,129\\nosupersub{}","plainCitation":"128,129","noteIndex":0},"citationItems":[{"id":773,"uris":["http://zotero.org/groups/5563646/items/R4P44XVB"],"itemData":{"id":773,"type":"report","collection-title":"Hotter Days, Higher Costs: The Cooling Crisis in America's Classrooms","event-place":"Washington, DC","publisher-place":"Washington, DC","title":"Massachusetts","URL":"https://coolingcrisis.org/uploads/media/CCI-StateReport-Massachusetts.pdf","author":[{"family":"Center for Climate Integrity","given":""}],"accessed":{"date-parts":[["2024",7,23]]},"issued":{"date-parts":[["2021"]]}}},{"id":851,"uris":["http://zotero.org/groups/5563646/items/VJA9JSGW"],"itemData":{"id":851,"type":"webpage","abstract":"Climate Hazard Adaptation Profile","language":"en","title":"Extreme Heat and Poor Air Quality","URL":"https://www.mass.gov/info-details/extreme-heat-and-poor-air-quality","author":[{"family":"MDPH","given":""}],"accessed":{"date-parts":[["2024",7,24]]},"issued":{"date-parts":[["2024"]]}}}],"schema":"https://github.com/citation-style-language/schema/raw/master/csl-citation.json"} </w:instrText>
      </w:r>
      <w:r w:rsidRPr="00C632D3">
        <w:fldChar w:fldCharType="separate"/>
      </w:r>
      <w:r w:rsidR="000D48BE" w:rsidRPr="000D48BE">
        <w:rPr>
          <w:rFonts w:cs="Arial"/>
          <w:vertAlign w:val="superscript"/>
        </w:rPr>
        <w:t>128,129</w:t>
      </w:r>
      <w:r w:rsidRPr="00C632D3">
        <w:fldChar w:fldCharType="end"/>
      </w:r>
      <w:r w:rsidRPr="00C632D3">
        <w:t xml:space="preserve"> Schools may also lack other strategies to keep classrooms cool, such as windows that can open and window shades.</w:t>
      </w:r>
      <w:r w:rsidRPr="00C632D3">
        <w:fldChar w:fldCharType="begin"/>
      </w:r>
      <w:r w:rsidR="00CD401E">
        <w:instrText xml:space="preserve"> ADDIN ZOTERO_ITEM CSL_CITATION {"citationID":"TIvD8YRn","properties":{"formattedCitation":"\\super 130\\nosupersub{}","plainCitation":"130","noteIndex":0},"citationItems":[{"id":850,"uris":["http://zotero.org/groups/5563646/items/UM94CVZT"],"itemData":{"id":850,"type":"post-weblog","abstract":"SCHOOL'S OUT FOR SUMMER As schools across the region wrap up their academic year and get excited for summer, others are planning for future heatwaves and how to protect students, teachers…","container-title":"MAPC","language":"en-US","title":"Heatwaves: How Extreme Heat Impacts Students and Educators","title-short":"Heatwaves","URL":"https://www.mapc.org/planning101/how-extreme-heat-impacts-students-educators/","author":[{"family":"Shyduroff","given":"Sasha"}],"accessed":{"date-parts":[["2024",7,24]]},"issued":{"date-parts":[["2022",6,29]]}}}],"schema":"https://github.com/citation-style-language/schema/raw/master/csl-citation.json"} </w:instrText>
      </w:r>
      <w:r w:rsidRPr="00C632D3">
        <w:fldChar w:fldCharType="separate"/>
      </w:r>
      <w:r w:rsidR="00CD401E" w:rsidRPr="00CD401E">
        <w:rPr>
          <w:rFonts w:cs="Arial"/>
          <w:vertAlign w:val="superscript"/>
        </w:rPr>
        <w:t>130</w:t>
      </w:r>
      <w:r w:rsidRPr="00C632D3">
        <w:fldChar w:fldCharType="end"/>
      </w:r>
      <w:r w:rsidRPr="00C632D3">
        <w:t xml:space="preserve"> Extreme heat in schools with no cooling can harm human health and academic attainment. Specifically, effects include reduced cognitive function, learning, and academic performance; exacerbation of asthma, bronchitis, and other respiratory conditions; increased incidence of heat stroke and heat exhaustion; and loss of school time due to school closures or early dismissals.</w:t>
      </w:r>
      <w:r w:rsidRPr="00C632D3">
        <w:fldChar w:fldCharType="begin"/>
      </w:r>
      <w:r w:rsidR="00B455A2">
        <w:instrText xml:space="preserve"> ADDIN ZOTERO_ITEM CSL_CITATION {"citationID":"E0yjxGVl","properties":{"formattedCitation":"\\super 104,129\\uc0\\u8211{}131\\nosupersub{}","plainCitation":"104,129–131","noteIndex":0},"citationItems":[{"id":851,"uris":["http://zotero.org/groups/5563646/items/VJA9JSGW"],"itemData":{"id":851,"type":"webpage","abstract":"Climate Hazard Adaptation Profile","language":"en","title":"Extreme Heat and Poor Air Quality","URL":"https://www.mass.gov/info-details/extreme-heat-and-poor-air-quality","author":[{"family":"MDPH","given":""}],"accessed":{"date-parts":[["2024",7,24]]},"issued":{"date-parts":[["2024"]]}}},{"id":850,"uris":["http://zotero.org/groups/5563646/items/UM94CVZT"],"itemData":{"id":850,"type":"post-weblog","abstract":"SCHOOL'S OUT FOR SUMMER As schools across the region wrap up their academic year and get excited for summer, others are planning for future heatwaves and how to protect students, teachers…","container-title":"MAPC","language":"en-US","title":"Heatwaves: How Extreme Heat Impacts Students and Educators","title-short":"Heatwaves","URL":"https://www.mapc.org/planning101/how-extreme-heat-impacts-students-educators/","author":[{"family":"Shyduroff","given":"Sasha"}],"accessed":{"date-parts":[["2024",7,24]]},"issued":{"date-parts":[["2022",6,29]]}}},{"id":764,"uris":["http://zotero.org/groups/5563646/items/J8G8IUYN"],"itemData":{"id":764,"type":"webpage","abstract":"Massachusetts schools without air conditioning are struggling to keep classrooms comfortable during the early September heat wave.","language":"en","title":"Some Western Mass. school districts opt to end classes early during heat wave","URL":"https://www.wbur.org/news/2023/09/06/western-mass-school-districts-heat-wave-september","author":[{"family":"Jung","given":"Carrie"}],"accessed":{"date-parts":[["2024",7,23]]},"issued":{"date-parts":[["2023",9,6]]}}},{"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Pr="00C632D3">
        <w:fldChar w:fldCharType="separate"/>
      </w:r>
      <w:r w:rsidR="00B455A2" w:rsidRPr="00B455A2">
        <w:rPr>
          <w:rFonts w:cs="Arial"/>
          <w:vertAlign w:val="superscript"/>
        </w:rPr>
        <w:t>104,129–131</w:t>
      </w:r>
      <w:r w:rsidRPr="00C632D3">
        <w:fldChar w:fldCharType="end"/>
      </w:r>
      <w:r w:rsidRPr="00C632D3">
        <w:t xml:space="preserve"> One analysis estimates that, since 1970, the number of days above 80°F, the threshold identified as requiring air conditioning, has increased by nine to 13 days per school year, depending on the Massachusetts school district.</w:t>
      </w:r>
      <w:r w:rsidRPr="00C632D3">
        <w:fldChar w:fldCharType="begin"/>
      </w:r>
      <w:r w:rsidR="00A920D2">
        <w:instrText xml:space="preserve"> ADDIN ZOTERO_ITEM CSL_CITATION {"citationID":"ygL1fLoK","properties":{"formattedCitation":"\\super 128\\nosupersub{}","plainCitation":"128","noteIndex":0},"citationItems":[{"id":773,"uris":["http://zotero.org/groups/5563646/items/R4P44XVB"],"itemData":{"id":773,"type":"report","collection-title":"Hotter Days, Higher Costs: The Cooling Crisis in America's Classrooms","event-place":"Washington, DC","publisher-place":"Washington, DC","title":"Massachusetts","URL":"https://coolingcrisis.org/uploads/media/CCI-StateReport-Massachusetts.pdf","author":[{"family":"Center for Climate Integrity","given":""}],"accessed":{"date-parts":[["2024",7,23]]},"issued":{"date-parts":[["2021"]]}}}],"schema":"https://github.com/citation-style-language/schema/raw/master/csl-citation.json"} </w:instrText>
      </w:r>
      <w:r w:rsidRPr="00C632D3">
        <w:fldChar w:fldCharType="separate"/>
      </w:r>
      <w:r w:rsidR="00A920D2" w:rsidRPr="00A920D2">
        <w:rPr>
          <w:rFonts w:cs="Arial"/>
          <w:vertAlign w:val="superscript"/>
        </w:rPr>
        <w:t>128</w:t>
      </w:r>
      <w:r w:rsidRPr="00C632D3">
        <w:fldChar w:fldCharType="end"/>
      </w:r>
    </w:p>
    <w:p w14:paraId="13F4D4AD" w14:textId="77777777" w:rsidR="007F3D96" w:rsidRDefault="007F3D96" w:rsidP="007F3D96">
      <w:pPr>
        <w:pStyle w:val="Heading3"/>
      </w:pPr>
      <w:r>
        <w:t>Methods and Best Practices</w:t>
      </w:r>
    </w:p>
    <w:p w14:paraId="7B43AF1E" w14:textId="4C80135A" w:rsidR="007F3D96" w:rsidRDefault="007B514F" w:rsidP="006D7DE6">
      <w:pPr>
        <w:pStyle w:val="BodyTextFirstIndent"/>
      </w:pPr>
      <w:r>
        <w:fldChar w:fldCharType="begin"/>
      </w:r>
      <w:r>
        <w:instrText xml:space="preserve"> REF _Ref171629219 \h </w:instrText>
      </w:r>
      <w:r>
        <w:fldChar w:fldCharType="separate"/>
      </w:r>
      <w:r w:rsidR="00307850">
        <w:t xml:space="preserve">Table </w:t>
      </w:r>
      <w:r w:rsidR="00307850">
        <w:rPr>
          <w:noProof/>
        </w:rPr>
        <w:t>21</w:t>
      </w:r>
      <w:r>
        <w:fldChar w:fldCharType="end"/>
      </w:r>
      <w:r>
        <w:t xml:space="preserve"> </w:t>
      </w:r>
      <w:r w:rsidR="007F3D96" w:rsidRPr="007935AE">
        <w:t xml:space="preserve">summarizes </w:t>
      </w:r>
      <w:r w:rsidR="007F3D96">
        <w:t xml:space="preserve">the </w:t>
      </w:r>
      <w:r w:rsidR="007F3D96" w:rsidRPr="007935AE">
        <w:t xml:space="preserve">methods and best practices for </w:t>
      </w:r>
      <w:r w:rsidR="009F5096">
        <w:t>improving thermal comfort</w:t>
      </w:r>
      <w:r w:rsidR="007F3D96">
        <w:t xml:space="preserve"> in</w:t>
      </w:r>
      <w:r w:rsidR="007F3D96" w:rsidRPr="007935AE">
        <w:t xml:space="preserve"> schools. For each method and best practice, the table presents the approximate capital and operating costs, implementation timeframe, and ease of implementation.</w:t>
      </w:r>
      <w:r w:rsidR="00383748">
        <w:t xml:space="preserve"> </w:t>
      </w:r>
      <w:r w:rsidR="00383748" w:rsidRPr="00C43978">
        <w:t xml:space="preserve">See </w:t>
      </w:r>
      <w:hyperlink w:anchor="SectVII_2c" w:history="1">
        <w:r w:rsidR="00C7715B" w:rsidRPr="00275879">
          <w:rPr>
            <w:rStyle w:val="Hyperlink"/>
          </w:rPr>
          <w:t>Section VII, Objective 2c</w:t>
        </w:r>
      </w:hyperlink>
      <w:r w:rsidR="00383748" w:rsidRPr="00C43978">
        <w:t xml:space="preserve"> for additional narrative descriptions of each of the methods and best practices.</w:t>
      </w:r>
    </w:p>
    <w:p w14:paraId="6EA218EB" w14:textId="4741C9E4" w:rsidR="007F3D96" w:rsidRDefault="007F3D96" w:rsidP="00B30C96">
      <w:pPr>
        <w:pStyle w:val="TableTitle"/>
      </w:pPr>
      <w:bookmarkStart w:id="208" w:name="_Ref171629219"/>
      <w:bookmarkStart w:id="209" w:name="_Toc192711687"/>
      <w:bookmarkStart w:id="210" w:name="_Toc193112569"/>
      <w:bookmarkStart w:id="211" w:name="_Toc193116968"/>
      <w:r>
        <w:lastRenderedPageBreak/>
        <w:t xml:space="preserve">Table </w:t>
      </w:r>
      <w:fldSimple w:instr=" SEQ Table \* ARABIC ">
        <w:r w:rsidR="00307850">
          <w:rPr>
            <w:noProof/>
          </w:rPr>
          <w:t>21</w:t>
        </w:r>
      </w:fldSimple>
      <w:bookmarkEnd w:id="208"/>
      <w:r>
        <w:t>. Methods</w:t>
      </w:r>
      <w:r w:rsidR="00074426">
        <w:t xml:space="preserve"> and </w:t>
      </w:r>
      <w:r>
        <w:t xml:space="preserve">Best Practices </w:t>
      </w:r>
      <w:r w:rsidR="005C65D7">
        <w:t>for</w:t>
      </w:r>
      <w:r>
        <w:t xml:space="preserve"> </w:t>
      </w:r>
      <w:r w:rsidR="009F5096">
        <w:t>Improving Thermal Comfort</w:t>
      </w:r>
      <w:bookmarkEnd w:id="209"/>
      <w:bookmarkEnd w:id="210"/>
      <w:bookmarkEnd w:id="211"/>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improving thermal comfort."/>
      </w:tblPr>
      <w:tblGrid>
        <w:gridCol w:w="570"/>
        <w:gridCol w:w="5952"/>
        <w:gridCol w:w="707"/>
        <w:gridCol w:w="707"/>
        <w:gridCol w:w="707"/>
        <w:gridCol w:w="707"/>
      </w:tblGrid>
      <w:tr w:rsidR="007F3D96" w:rsidRPr="00C8094D" w14:paraId="1FAB9806"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5BA2D57F" w14:textId="77777777" w:rsidR="007F3D96" w:rsidRDefault="007F3D96">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0E55928" w14:textId="77777777" w:rsidR="007F3D96" w:rsidRPr="00C8094D" w:rsidRDefault="007F3D96" w:rsidP="00DE5940">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499A1C36" w14:textId="77777777" w:rsidR="007F3D96" w:rsidRDefault="007F3D96" w:rsidP="00DE5940">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83924CD" w14:textId="77777777" w:rsidR="007F3D96" w:rsidRPr="00C8094D" w:rsidRDefault="007F3D96" w:rsidP="00DE5940">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3459681" w14:textId="77777777" w:rsidR="007F3D96" w:rsidRPr="00C8094D" w:rsidRDefault="007F3D96" w:rsidP="00DE5940">
            <w:pPr>
              <w:pStyle w:val="TableColumnHeader"/>
              <w:jc w:val="left"/>
            </w:pPr>
            <w:r>
              <w:t xml:space="preserve">Ease of </w:t>
            </w:r>
            <w:r w:rsidRPr="00C8094D">
              <w:t>Implementation</w:t>
            </w:r>
          </w:p>
        </w:tc>
      </w:tr>
      <w:tr w:rsidR="003B4118" w:rsidRPr="00C8094D" w14:paraId="43419B51"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2EF5A116" w14:textId="332A94D6" w:rsidR="003B4118" w:rsidRDefault="003B4118">
            <w:pPr>
              <w:pStyle w:val="TableText"/>
            </w:pPr>
            <w:r>
              <w:t>(1)</w:t>
            </w:r>
          </w:p>
        </w:tc>
        <w:tc>
          <w:tcPr>
            <w:tcW w:w="3183" w:type="pct"/>
            <w:tcBorders>
              <w:top w:val="single" w:sz="4" w:space="0" w:color="auto"/>
              <w:bottom w:val="single" w:sz="4" w:space="0" w:color="auto"/>
              <w:right w:val="single" w:sz="4" w:space="0" w:color="auto"/>
            </w:tcBorders>
          </w:tcPr>
          <w:p w14:paraId="2031884F" w14:textId="7ADFCB86" w:rsidR="003B4118" w:rsidRPr="00716DAA" w:rsidRDefault="00580717">
            <w:pPr>
              <w:pStyle w:val="TableText"/>
            </w:pPr>
            <w:r>
              <w:t>Establish and implement an</w:t>
            </w:r>
            <w:r w:rsidR="00490981">
              <w:t xml:space="preserve"> </w:t>
            </w:r>
            <w:r w:rsidR="003072C5">
              <w:t>extreme</w:t>
            </w:r>
            <w:r w:rsidR="00490981">
              <w:t xml:space="preserve"> </w:t>
            </w:r>
            <w:r w:rsidR="00162CDE">
              <w:t>heat policy</w:t>
            </w:r>
            <w:r w:rsidR="009A59B9">
              <w:t xml:space="preserve"> </w:t>
            </w:r>
            <w:r>
              <w:t>aligned with a completed climate vulnerability assessment</w:t>
            </w:r>
          </w:p>
        </w:tc>
        <w:tc>
          <w:tcPr>
            <w:tcW w:w="378" w:type="pct"/>
            <w:tcBorders>
              <w:top w:val="nil"/>
              <w:left w:val="single" w:sz="4" w:space="0" w:color="auto"/>
              <w:bottom w:val="single" w:sz="4" w:space="0" w:color="auto"/>
              <w:right w:val="single" w:sz="4" w:space="0" w:color="auto"/>
            </w:tcBorders>
            <w:shd w:val="clear" w:color="auto" w:fill="auto"/>
          </w:tcPr>
          <w:p w14:paraId="274704D5" w14:textId="343D7F16" w:rsidR="003B4118" w:rsidRPr="00DB565A" w:rsidRDefault="00C67D78">
            <w:pPr>
              <w:pStyle w:val="TableText"/>
            </w:pPr>
            <w:r>
              <w:t>0</w:t>
            </w:r>
          </w:p>
        </w:tc>
        <w:tc>
          <w:tcPr>
            <w:tcW w:w="378" w:type="pct"/>
            <w:tcBorders>
              <w:top w:val="single" w:sz="4" w:space="0" w:color="auto"/>
              <w:left w:val="single" w:sz="4" w:space="0" w:color="auto"/>
              <w:bottom w:val="single" w:sz="4" w:space="0" w:color="auto"/>
              <w:right w:val="single" w:sz="4" w:space="0" w:color="auto"/>
            </w:tcBorders>
          </w:tcPr>
          <w:p w14:paraId="6A9139D1" w14:textId="2F531FD9" w:rsidR="003B4118" w:rsidRPr="00DB565A" w:rsidRDefault="00524753">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6063E9FB" w14:textId="6864FEF3" w:rsidR="003B4118" w:rsidRPr="00DB565A" w:rsidRDefault="00524753">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741420F7" w14:textId="5B1988B1" w:rsidR="003B4118" w:rsidRPr="00DB565A" w:rsidRDefault="00524753">
            <w:pPr>
              <w:pStyle w:val="TableText"/>
            </w:pPr>
            <w:r>
              <w:t>2</w:t>
            </w:r>
          </w:p>
        </w:tc>
      </w:tr>
      <w:tr w:rsidR="007F3D96" w:rsidRPr="00C8094D" w14:paraId="4D1424C5"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045EC19F" w14:textId="0F0E2AE1" w:rsidR="007F3D96" w:rsidRDefault="007F3D96">
            <w:pPr>
              <w:pStyle w:val="TableText"/>
            </w:pPr>
            <w:r>
              <w:t>(</w:t>
            </w:r>
            <w:r w:rsidR="003B4118">
              <w:t>2</w:t>
            </w:r>
            <w:r>
              <w:t>)</w:t>
            </w:r>
          </w:p>
        </w:tc>
        <w:tc>
          <w:tcPr>
            <w:tcW w:w="3183" w:type="pct"/>
            <w:tcBorders>
              <w:top w:val="single" w:sz="4" w:space="0" w:color="auto"/>
              <w:bottom w:val="single" w:sz="4" w:space="0" w:color="auto"/>
              <w:right w:val="single" w:sz="4" w:space="0" w:color="auto"/>
            </w:tcBorders>
          </w:tcPr>
          <w:p w14:paraId="42369BFF" w14:textId="1252E08B" w:rsidR="007F3D96" w:rsidRDefault="00716DAA">
            <w:pPr>
              <w:pStyle w:val="TableText"/>
            </w:pPr>
            <w:r w:rsidRPr="00716DAA">
              <w:t>Keep classrooms at a comfortable temperature and humidity for learning</w:t>
            </w:r>
          </w:p>
        </w:tc>
        <w:tc>
          <w:tcPr>
            <w:tcW w:w="378" w:type="pct"/>
            <w:tcBorders>
              <w:top w:val="nil"/>
              <w:left w:val="single" w:sz="4" w:space="0" w:color="auto"/>
              <w:bottom w:val="single" w:sz="4" w:space="0" w:color="auto"/>
              <w:right w:val="single" w:sz="4" w:space="0" w:color="auto"/>
            </w:tcBorders>
            <w:shd w:val="clear" w:color="auto" w:fill="auto"/>
          </w:tcPr>
          <w:p w14:paraId="440B580F" w14:textId="7F746747" w:rsidR="007F3D96" w:rsidRPr="00C8094D" w:rsidRDefault="00C12355">
            <w:pPr>
              <w:pStyle w:val="TableText"/>
            </w:pPr>
            <w:r w:rsidRPr="00DB565A">
              <w:t>0-$$$</w:t>
            </w:r>
          </w:p>
        </w:tc>
        <w:tc>
          <w:tcPr>
            <w:tcW w:w="378" w:type="pct"/>
            <w:tcBorders>
              <w:top w:val="single" w:sz="4" w:space="0" w:color="auto"/>
              <w:left w:val="single" w:sz="4" w:space="0" w:color="auto"/>
              <w:bottom w:val="single" w:sz="4" w:space="0" w:color="auto"/>
              <w:right w:val="single" w:sz="4" w:space="0" w:color="auto"/>
            </w:tcBorders>
          </w:tcPr>
          <w:p w14:paraId="023E09CD" w14:textId="2FAB0388" w:rsidR="007F3D96" w:rsidRPr="00C8094D" w:rsidRDefault="00C12355">
            <w:pPr>
              <w:pStyle w:val="TableText"/>
            </w:pPr>
            <w:r w:rsidRPr="00DB565A">
              <w:t>0-$</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210AA27D" w14:textId="4EB3523F" w:rsidR="007F3D96" w:rsidRPr="00C8094D" w:rsidRDefault="00C12355">
            <w:pPr>
              <w:pStyle w:val="TableText"/>
            </w:pPr>
            <w:r w:rsidRPr="00DB565A">
              <w:t>1</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300864EA" w14:textId="50670C8F" w:rsidR="007F3D96" w:rsidRPr="00C8094D" w:rsidRDefault="00C12355">
            <w:pPr>
              <w:pStyle w:val="TableText"/>
            </w:pPr>
            <w:r w:rsidRPr="00DB565A">
              <w:t>1-3</w:t>
            </w:r>
          </w:p>
        </w:tc>
      </w:tr>
      <w:tr w:rsidR="007F3D96" w:rsidRPr="00C8094D" w14:paraId="102F3B0B"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18D38983" w14:textId="1901378C" w:rsidR="007F3D96" w:rsidRPr="00C8094D" w:rsidRDefault="007F3D96">
            <w:pPr>
              <w:pStyle w:val="TableText"/>
            </w:pPr>
            <w:r>
              <w:t>(</w:t>
            </w:r>
            <w:r w:rsidR="003B4118">
              <w:t>3</w:t>
            </w:r>
            <w:r>
              <w:t>)</w:t>
            </w:r>
          </w:p>
        </w:tc>
        <w:tc>
          <w:tcPr>
            <w:tcW w:w="3183" w:type="pct"/>
            <w:tcBorders>
              <w:top w:val="single" w:sz="4" w:space="0" w:color="auto"/>
              <w:bottom w:val="single" w:sz="4" w:space="0" w:color="auto"/>
              <w:right w:val="single" w:sz="4" w:space="0" w:color="auto"/>
            </w:tcBorders>
          </w:tcPr>
          <w:p w14:paraId="064F284E" w14:textId="1B92C51B" w:rsidR="007F3D96" w:rsidRPr="00C8094D" w:rsidRDefault="00716DAA" w:rsidP="00DE5CC4">
            <w:pPr>
              <w:pStyle w:val="TableText"/>
              <w:tabs>
                <w:tab w:val="center" w:pos="2731"/>
              </w:tabs>
            </w:pPr>
            <w:r w:rsidRPr="00716DAA">
              <w:t>Install air conditioning if temperatures regularly get above recommended levels</w:t>
            </w:r>
          </w:p>
        </w:tc>
        <w:tc>
          <w:tcPr>
            <w:tcW w:w="378" w:type="pct"/>
            <w:tcBorders>
              <w:top w:val="nil"/>
              <w:left w:val="single" w:sz="4" w:space="0" w:color="auto"/>
              <w:bottom w:val="single" w:sz="4" w:space="0" w:color="auto"/>
              <w:right w:val="single" w:sz="4" w:space="0" w:color="auto"/>
            </w:tcBorders>
            <w:shd w:val="clear" w:color="auto" w:fill="auto"/>
          </w:tcPr>
          <w:p w14:paraId="25C9F747" w14:textId="1C59A357" w:rsidR="007F3D96" w:rsidRPr="00C8094D" w:rsidRDefault="00AF235C">
            <w:pPr>
              <w:pStyle w:val="TableText"/>
            </w:pPr>
            <w:r w:rsidRPr="00DB565A">
              <w:t>$$$</w:t>
            </w:r>
          </w:p>
        </w:tc>
        <w:tc>
          <w:tcPr>
            <w:tcW w:w="378" w:type="pct"/>
            <w:tcBorders>
              <w:top w:val="single" w:sz="4" w:space="0" w:color="auto"/>
              <w:left w:val="single" w:sz="4" w:space="0" w:color="auto"/>
              <w:bottom w:val="single" w:sz="4" w:space="0" w:color="auto"/>
              <w:right w:val="single" w:sz="4" w:space="0" w:color="auto"/>
            </w:tcBorders>
          </w:tcPr>
          <w:p w14:paraId="50202872" w14:textId="35DC0ED5" w:rsidR="007F3D96" w:rsidRPr="00C8094D" w:rsidRDefault="00AF235C">
            <w:pPr>
              <w:pStyle w:val="TableText"/>
            </w:pPr>
            <w:r w:rsidRPr="00DB565A">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7CBC8C74" w14:textId="5631CD21" w:rsidR="007F3D96" w:rsidRPr="00C8094D" w:rsidRDefault="00AF235C">
            <w:pPr>
              <w:pStyle w:val="TableText"/>
            </w:pPr>
            <w:r w:rsidRPr="00DB565A">
              <w:t>3</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686545AF" w14:textId="4F975D54" w:rsidR="007F3D96" w:rsidRPr="00C8094D" w:rsidRDefault="00AF235C">
            <w:pPr>
              <w:pStyle w:val="TableText"/>
            </w:pPr>
            <w:r w:rsidRPr="00DB565A">
              <w:t>3</w:t>
            </w:r>
          </w:p>
        </w:tc>
      </w:tr>
      <w:tr w:rsidR="007F3D96" w:rsidRPr="00C8094D" w14:paraId="0C9CC9B1"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C29B63E" w14:textId="673FA738" w:rsidR="007F3D96" w:rsidRDefault="007F3D96">
            <w:pPr>
              <w:pStyle w:val="TableText"/>
            </w:pPr>
            <w:r>
              <w:t>(</w:t>
            </w:r>
            <w:r w:rsidR="003B4118">
              <w:t>4</w:t>
            </w:r>
            <w:r>
              <w:t>)</w:t>
            </w:r>
          </w:p>
        </w:tc>
        <w:tc>
          <w:tcPr>
            <w:tcW w:w="3183" w:type="pct"/>
            <w:tcBorders>
              <w:top w:val="single" w:sz="4" w:space="0" w:color="auto"/>
              <w:bottom w:val="single" w:sz="4" w:space="0" w:color="auto"/>
              <w:right w:val="single" w:sz="4" w:space="0" w:color="auto"/>
            </w:tcBorders>
          </w:tcPr>
          <w:p w14:paraId="674174F0" w14:textId="6B57F7F7" w:rsidR="007F3D96" w:rsidRDefault="00D26370">
            <w:pPr>
              <w:pStyle w:val="TableText"/>
            </w:pPr>
            <w:r>
              <w:t>M</w:t>
            </w:r>
            <w:r w:rsidR="00716DAA" w:rsidRPr="00716DAA">
              <w:t xml:space="preserve">aintain mechanical </w:t>
            </w:r>
            <w:r w:rsidR="0046043B">
              <w:t>HVAC</w:t>
            </w:r>
            <w:r w:rsidR="00716DAA" w:rsidRPr="00716DAA">
              <w:t xml:space="preserve"> systems</w:t>
            </w:r>
            <w:r w:rsidR="0046043B">
              <w:t xml:space="preserve"> and balance systems as needed</w:t>
            </w:r>
          </w:p>
        </w:tc>
        <w:tc>
          <w:tcPr>
            <w:tcW w:w="378" w:type="pct"/>
            <w:tcBorders>
              <w:top w:val="nil"/>
              <w:left w:val="single" w:sz="4" w:space="0" w:color="auto"/>
              <w:bottom w:val="single" w:sz="4" w:space="0" w:color="auto"/>
              <w:right w:val="single" w:sz="4" w:space="0" w:color="auto"/>
            </w:tcBorders>
            <w:shd w:val="clear" w:color="auto" w:fill="auto"/>
          </w:tcPr>
          <w:p w14:paraId="55300450" w14:textId="7CE44065" w:rsidR="007F3D96" w:rsidRDefault="00AF235C">
            <w:pPr>
              <w:pStyle w:val="TableText"/>
            </w:pPr>
            <w:r w:rsidRPr="00DB565A">
              <w:t>0</w:t>
            </w:r>
          </w:p>
        </w:tc>
        <w:tc>
          <w:tcPr>
            <w:tcW w:w="378" w:type="pct"/>
            <w:tcBorders>
              <w:top w:val="single" w:sz="4" w:space="0" w:color="auto"/>
              <w:left w:val="single" w:sz="4" w:space="0" w:color="auto"/>
              <w:bottom w:val="single" w:sz="4" w:space="0" w:color="auto"/>
              <w:right w:val="single" w:sz="4" w:space="0" w:color="auto"/>
            </w:tcBorders>
          </w:tcPr>
          <w:p w14:paraId="2E2244D5" w14:textId="76505388" w:rsidR="007F3D96" w:rsidRDefault="00AF235C">
            <w:pPr>
              <w:pStyle w:val="TableText"/>
            </w:pPr>
            <w:r w:rsidRPr="00DB565A">
              <w:t>$</w:t>
            </w:r>
            <w:r w:rsidR="00C10F44">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73B77C10" w14:textId="237B1DDD" w:rsidR="007F3D96" w:rsidRDefault="000F61C6">
            <w:pPr>
              <w:pStyle w:val="TableText"/>
            </w:pPr>
            <w:r>
              <w:t>2</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611F6619" w14:textId="5377E570" w:rsidR="007F3D96" w:rsidRDefault="00AF235C">
            <w:pPr>
              <w:pStyle w:val="TableText"/>
            </w:pPr>
            <w:r w:rsidRPr="00DB565A">
              <w:t>2</w:t>
            </w:r>
          </w:p>
        </w:tc>
      </w:tr>
      <w:tr w:rsidR="007F3D96" w:rsidRPr="00C8094D" w14:paraId="0F56F675"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5F24165" w14:textId="307506BB" w:rsidR="007F3D96" w:rsidRDefault="007F3D96">
            <w:pPr>
              <w:pStyle w:val="TableText"/>
            </w:pPr>
            <w:r>
              <w:t>(</w:t>
            </w:r>
            <w:r w:rsidR="003B4118">
              <w:t>5</w:t>
            </w:r>
            <w:r>
              <w:t>)</w:t>
            </w:r>
          </w:p>
        </w:tc>
        <w:tc>
          <w:tcPr>
            <w:tcW w:w="3183" w:type="pct"/>
            <w:tcBorders>
              <w:top w:val="single" w:sz="4" w:space="0" w:color="auto"/>
              <w:bottom w:val="single" w:sz="4" w:space="0" w:color="auto"/>
              <w:right w:val="single" w:sz="4" w:space="0" w:color="auto"/>
            </w:tcBorders>
          </w:tcPr>
          <w:p w14:paraId="69C3C570" w14:textId="7EEA5D7D" w:rsidR="007F3D96" w:rsidRDefault="00716DAA">
            <w:pPr>
              <w:pStyle w:val="TableText"/>
            </w:pPr>
            <w:r w:rsidRPr="00716DAA">
              <w:t>Consider heating and cooling in new construction</w:t>
            </w:r>
          </w:p>
        </w:tc>
        <w:tc>
          <w:tcPr>
            <w:tcW w:w="378" w:type="pct"/>
            <w:tcBorders>
              <w:top w:val="nil"/>
              <w:left w:val="single" w:sz="4" w:space="0" w:color="auto"/>
              <w:bottom w:val="single" w:sz="4" w:space="0" w:color="auto"/>
              <w:right w:val="single" w:sz="4" w:space="0" w:color="auto"/>
            </w:tcBorders>
            <w:shd w:val="clear" w:color="auto" w:fill="auto"/>
          </w:tcPr>
          <w:p w14:paraId="167A3C5F" w14:textId="39A9D3D4" w:rsidR="007F3D96" w:rsidRDefault="00AF235C">
            <w:pPr>
              <w:pStyle w:val="TableText"/>
            </w:pPr>
            <w:r w:rsidRPr="00DB565A">
              <w:t>$$$</w:t>
            </w:r>
          </w:p>
        </w:tc>
        <w:tc>
          <w:tcPr>
            <w:tcW w:w="378" w:type="pct"/>
            <w:tcBorders>
              <w:top w:val="single" w:sz="4" w:space="0" w:color="auto"/>
              <w:left w:val="single" w:sz="4" w:space="0" w:color="auto"/>
              <w:bottom w:val="single" w:sz="4" w:space="0" w:color="auto"/>
              <w:right w:val="single" w:sz="4" w:space="0" w:color="auto"/>
            </w:tcBorders>
          </w:tcPr>
          <w:p w14:paraId="6A6AC474" w14:textId="43303333" w:rsidR="007F3D96" w:rsidRDefault="00AF235C">
            <w:pPr>
              <w:pStyle w:val="TableText"/>
            </w:pPr>
            <w:r w:rsidRPr="00DB565A">
              <w:t>0</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1CFF7BF8" w14:textId="2B28F46F" w:rsidR="007F3D96" w:rsidRDefault="00AF235C">
            <w:pPr>
              <w:pStyle w:val="TableText"/>
            </w:pPr>
            <w:r w:rsidRPr="00DB565A">
              <w:t>3</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1043AD2B" w14:textId="5D36160C" w:rsidR="007F3D96" w:rsidRDefault="00AF235C">
            <w:pPr>
              <w:pStyle w:val="TableText"/>
            </w:pPr>
            <w:r w:rsidRPr="00DB565A">
              <w:t>3</w:t>
            </w:r>
          </w:p>
        </w:tc>
      </w:tr>
      <w:tr w:rsidR="007F3D96" w:rsidRPr="00C8094D" w14:paraId="19BDD64E"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1639A3F3" w14:textId="089896CB" w:rsidR="007F3D96" w:rsidRDefault="007F3D96">
            <w:pPr>
              <w:pStyle w:val="TableText"/>
            </w:pPr>
            <w:r>
              <w:t>(</w:t>
            </w:r>
            <w:r w:rsidR="003B4118">
              <w:t>6</w:t>
            </w:r>
            <w:r>
              <w:t>)</w:t>
            </w:r>
          </w:p>
        </w:tc>
        <w:tc>
          <w:tcPr>
            <w:tcW w:w="3183" w:type="pct"/>
            <w:tcBorders>
              <w:top w:val="single" w:sz="4" w:space="0" w:color="auto"/>
              <w:bottom w:val="single" w:sz="4" w:space="0" w:color="auto"/>
              <w:right w:val="single" w:sz="4" w:space="0" w:color="auto"/>
            </w:tcBorders>
          </w:tcPr>
          <w:p w14:paraId="3C5352A8" w14:textId="07C4B2E6" w:rsidR="007F3D96" w:rsidRDefault="00716DAA">
            <w:pPr>
              <w:pStyle w:val="TableText"/>
            </w:pPr>
            <w:r w:rsidRPr="00716DAA">
              <w:t>Take simple steps to mitigate the effects of heat on health and learning</w:t>
            </w:r>
          </w:p>
        </w:tc>
        <w:tc>
          <w:tcPr>
            <w:tcW w:w="378" w:type="pct"/>
            <w:tcBorders>
              <w:top w:val="nil"/>
              <w:left w:val="single" w:sz="4" w:space="0" w:color="auto"/>
              <w:bottom w:val="single" w:sz="4" w:space="0" w:color="auto"/>
              <w:right w:val="single" w:sz="4" w:space="0" w:color="auto"/>
            </w:tcBorders>
            <w:shd w:val="clear" w:color="auto" w:fill="auto"/>
          </w:tcPr>
          <w:p w14:paraId="6396C568" w14:textId="7EF8AE63" w:rsidR="007F3D96" w:rsidRDefault="00AF235C">
            <w:pPr>
              <w:pStyle w:val="TableText"/>
            </w:pPr>
            <w:r w:rsidRPr="00DB565A">
              <w:t>$</w:t>
            </w:r>
          </w:p>
        </w:tc>
        <w:tc>
          <w:tcPr>
            <w:tcW w:w="378" w:type="pct"/>
            <w:tcBorders>
              <w:top w:val="single" w:sz="4" w:space="0" w:color="auto"/>
              <w:left w:val="single" w:sz="4" w:space="0" w:color="auto"/>
              <w:bottom w:val="single" w:sz="4" w:space="0" w:color="auto"/>
              <w:right w:val="single" w:sz="4" w:space="0" w:color="auto"/>
            </w:tcBorders>
          </w:tcPr>
          <w:p w14:paraId="2A200079" w14:textId="2546F89D" w:rsidR="007F3D96" w:rsidRDefault="00AF235C">
            <w:pPr>
              <w:pStyle w:val="TableText"/>
            </w:pPr>
            <w:r w:rsidRPr="00DB565A">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28BEE5B2" w14:textId="2EBC6133" w:rsidR="007F3D96" w:rsidRDefault="00AF235C">
            <w:pPr>
              <w:pStyle w:val="TableText"/>
            </w:pPr>
            <w:r w:rsidRPr="00DB565A">
              <w:t>1</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3E7E98EF" w14:textId="0BE9A3EB" w:rsidR="007F3D96" w:rsidRDefault="00AF235C">
            <w:pPr>
              <w:pStyle w:val="TableText"/>
            </w:pPr>
            <w:r w:rsidRPr="00DB565A">
              <w:t>1</w:t>
            </w:r>
          </w:p>
        </w:tc>
      </w:tr>
      <w:tr w:rsidR="007F3D96" w:rsidRPr="00C8094D" w14:paraId="745B2203"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9823848" w14:textId="77777777" w:rsidR="007F3D96" w:rsidRPr="00FF51E8" w:rsidRDefault="007F3D96">
            <w:pPr>
              <w:rPr>
                <w:rFonts w:ascii="Arial" w:hAnsi="Arial" w:cs="Arial"/>
                <w:b/>
                <w:bCs/>
                <w:sz w:val="20"/>
                <w:szCs w:val="20"/>
                <w:u w:val="single"/>
              </w:rPr>
            </w:pPr>
            <w:r w:rsidRPr="00FF51E8">
              <w:rPr>
                <w:rFonts w:ascii="Arial" w:hAnsi="Arial" w:cs="Arial"/>
                <w:b/>
                <w:bCs/>
                <w:sz w:val="20"/>
                <w:szCs w:val="20"/>
                <w:u w:val="single"/>
              </w:rPr>
              <w:t>Key:</w:t>
            </w:r>
          </w:p>
          <w:p w14:paraId="53B5FCE5" w14:textId="77777777" w:rsidR="007F3D96" w:rsidRPr="00FF51E8" w:rsidRDefault="007F3D96">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07B3B5C3" w14:textId="1F281F72" w:rsidR="007F3D96" w:rsidRPr="00FF51E8" w:rsidRDefault="007F3D96">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DE5940">
              <w:rPr>
                <w:rFonts w:ascii="Arial" w:hAnsi="Arial" w:cs="Arial"/>
                <w:sz w:val="20"/>
                <w:szCs w:val="20"/>
              </w:rPr>
              <w:t>&gt;</w:t>
            </w:r>
            <w:r w:rsidRPr="00FF51E8">
              <w:rPr>
                <w:rFonts w:ascii="Arial" w:hAnsi="Arial" w:cs="Arial"/>
                <w:sz w:val="20"/>
                <w:szCs w:val="20"/>
              </w:rPr>
              <w:t>12 months)</w:t>
            </w:r>
          </w:p>
          <w:p w14:paraId="1450A1C8" w14:textId="77777777" w:rsidR="007F3D96" w:rsidRPr="00FF51E8" w:rsidRDefault="007F3D96">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4B3C31EA" w14:textId="77777777" w:rsidR="005D5274" w:rsidRDefault="005D5274" w:rsidP="007F3D96">
      <w:pPr>
        <w:pStyle w:val="Heading3"/>
      </w:pPr>
    </w:p>
    <w:p w14:paraId="315D6ADB" w14:textId="5F53CDB9" w:rsidR="007F3D96" w:rsidRDefault="007F3D96" w:rsidP="007F3D96">
      <w:pPr>
        <w:pStyle w:val="Heading3"/>
      </w:pPr>
      <w:r>
        <w:t>Barriers and Challenges</w:t>
      </w:r>
    </w:p>
    <w:p w14:paraId="67D91F75" w14:textId="26D5EACF" w:rsidR="007F3D96" w:rsidRDefault="546AAC1F" w:rsidP="006D7DE6">
      <w:pPr>
        <w:pStyle w:val="BodyTextFirstIndent"/>
        <w:rPr>
          <w:rFonts w:ascii="Calibri" w:hAnsi="Calibri" w:cs="Calibri"/>
          <w:vertAlign w:val="superscript"/>
        </w:rPr>
      </w:pPr>
      <w:r>
        <w:t xml:space="preserve">The major challenges to maintaining thermal comfort in schools are the age of school buildings and HVAC systems in Massachusetts and the cost of installing or updating air conditioning systems. Massachusetts public school buildings, some over 100 years old, were built </w:t>
      </w:r>
      <w:r w:rsidR="00F37143">
        <w:t xml:space="preserve">when there were </w:t>
      </w:r>
      <w:r>
        <w:t>fewer extreme heat days during the school year.</w:t>
      </w:r>
      <w:r w:rsidR="00024559">
        <w:fldChar w:fldCharType="begin"/>
      </w:r>
      <w:r w:rsidR="00165CD7">
        <w:instrText xml:space="preserve"> ADDIN ZOTERO_ITEM CSL_CITATION {"citationID":"b2VT8gE0","properties":{"formattedCitation":"\\super 128,132\\nosupersub{}","plainCitation":"128,132","noteIndex":0},"citationItems":[{"id":773,"uris":["http://zotero.org/groups/5563646/items/R4P44XVB"],"itemData":{"id":773,"type":"report","collection-title":"Hotter Days, Higher Costs: The Cooling Crisis in America's Classrooms","event-place":"Washington, DC","publisher-place":"Washington, DC","title":"Massachusetts","URL":"https://coolingcrisis.org/uploads/media/CCI-StateReport-Massachusetts.pdf","author":[{"family":"Center for Climate Integrity","given":""}],"accessed":{"date-parts":[["2024",7,23]]},"issued":{"date-parts":[["2021"]]}}},{"id":766,"uris":["http://zotero.org/groups/5563646/items/PRKW69VZ"],"itemData":{"id":766,"type":"webpage","abstract":"Boston Public School officials say they've installed roughly 3,800 window AC units at nearly 80 schools over the last two years as part of a $7 million project to keep schools cool during the hotter months.","language":"en","title":"More Boston Public School buildings will start the year with air conditioning","URL":"https://www.wbur.org/news/2023/09/05/boston-schools-air-conditioning-installation-heat","author":[{"family":"Jung","given":"Carrie"}],"accessed":{"date-parts":[["2024",7,23]]},"issued":{"date-parts":[["2023",9,5]]}}}],"schema":"https://github.com/citation-style-language/schema/raw/master/csl-citation.json"} </w:instrText>
      </w:r>
      <w:r w:rsidR="00024559">
        <w:fldChar w:fldCharType="separate"/>
      </w:r>
      <w:r w:rsidR="00165CD7" w:rsidRPr="00165CD7">
        <w:rPr>
          <w:rFonts w:ascii="Calibri" w:hAnsi="Calibri" w:cs="Calibri"/>
          <w:vertAlign w:val="superscript"/>
        </w:rPr>
        <w:t>128,132</w:t>
      </w:r>
      <w:r w:rsidR="00024559">
        <w:fldChar w:fldCharType="end"/>
      </w:r>
    </w:p>
    <w:p w14:paraId="60AF147D" w14:textId="3A14CD8D" w:rsidR="00904065" w:rsidRDefault="38C66877" w:rsidP="001C7888">
      <w:pPr>
        <w:pStyle w:val="Heading2"/>
      </w:pPr>
      <w:bookmarkStart w:id="212" w:name="_Toc171518372"/>
      <w:bookmarkStart w:id="213" w:name="_Toc171519325"/>
      <w:bookmarkStart w:id="214" w:name="_Toc193116904"/>
      <w:r>
        <w:t xml:space="preserve">Objective 2d. </w:t>
      </w:r>
      <w:r w:rsidR="5C35767E">
        <w:t>U</w:t>
      </w:r>
      <w:r w:rsidR="00F73243">
        <w:t>se</w:t>
      </w:r>
      <w:r w:rsidR="5C35767E">
        <w:t xml:space="preserve"> Integrated Pest Management</w:t>
      </w:r>
      <w:bookmarkEnd w:id="212"/>
      <w:bookmarkEnd w:id="213"/>
      <w:bookmarkEnd w:id="214"/>
    </w:p>
    <w:p w14:paraId="5425F1CC" w14:textId="77777777" w:rsidR="00154D5D" w:rsidRDefault="00154D5D" w:rsidP="00154D5D">
      <w:pPr>
        <w:pStyle w:val="Heading3"/>
      </w:pPr>
      <w:r>
        <w:t>Background</w:t>
      </w:r>
      <w:r w:rsidRPr="0029407F">
        <w:t xml:space="preserve"> </w:t>
      </w:r>
    </w:p>
    <w:p w14:paraId="4EBA0071" w14:textId="68B1FB1D" w:rsidR="00154D5D" w:rsidRPr="00761EEE" w:rsidRDefault="2EE39932" w:rsidP="006D7DE6">
      <w:pPr>
        <w:pStyle w:val="BodyTextFirstIndent"/>
      </w:pPr>
      <w:r>
        <w:t xml:space="preserve">Pest management in schools is important because certain pests can trigger allergies (e.g., cockroach dust) and may contaminate food </w:t>
      </w:r>
      <w:r w:rsidR="5A78CAD7">
        <w:t>and</w:t>
      </w:r>
      <w:r>
        <w:t xml:space="preserve"> transmit disease. Integrated </w:t>
      </w:r>
      <w:r w:rsidR="006560DB">
        <w:t xml:space="preserve">pest management </w:t>
      </w:r>
      <w:r>
        <w:t xml:space="preserve">(IPM) is a sustainable approach to managing pests that combines biological, cultural, physical, and chemical tools </w:t>
      </w:r>
      <w:r w:rsidR="014BF7FB">
        <w:t>to</w:t>
      </w:r>
      <w:r>
        <w:t xml:space="preserve"> minimize economic, health, and environmental risks. </w:t>
      </w:r>
      <w:r w:rsidR="78327CA6">
        <w:t xml:space="preserve">IPM strategies </w:t>
      </w:r>
      <w:r>
        <w:t xml:space="preserve">focus on long-term prevention and suppression of </w:t>
      </w:r>
      <w:r>
        <w:lastRenderedPageBreak/>
        <w:t xml:space="preserve">pests, </w:t>
      </w:r>
      <w:r w:rsidR="44C7E49C">
        <w:t>ultimately reducing</w:t>
      </w:r>
      <w:r>
        <w:t xml:space="preserve"> the </w:t>
      </w:r>
      <w:r w:rsidR="23A12FC2">
        <w:t>use</w:t>
      </w:r>
      <w:r>
        <w:t xml:space="preserve"> </w:t>
      </w:r>
      <w:r w:rsidR="11CEC4F0">
        <w:t xml:space="preserve">of </w:t>
      </w:r>
      <w:r>
        <w:t>potentially hazardous chemical pesticides. IPM approaches prioritize reducing or mitigating conditions that make facilities vulnerable to pests through pest-preventive building design and repairs, building occupant education, and proactive pest population monitoring. The Massachusetts Pesticide Control Act</w:t>
      </w:r>
      <w:r w:rsidR="27A22568">
        <w:t xml:space="preserve"> (M.G.L.</w:t>
      </w:r>
      <w:r w:rsidR="1FA60B1C">
        <w:t>, c.132B)</w:t>
      </w:r>
      <w:r>
        <w:t xml:space="preserve"> restricts the use of most pesticides in schools.</w:t>
      </w:r>
    </w:p>
    <w:p w14:paraId="15BE8100" w14:textId="77777777" w:rsidR="00E36A15" w:rsidRDefault="00E36A15" w:rsidP="00E36A15">
      <w:pPr>
        <w:pStyle w:val="Heading3"/>
      </w:pPr>
      <w:r>
        <w:t>Methods and Best Practices</w:t>
      </w:r>
    </w:p>
    <w:p w14:paraId="0B0AF3A7" w14:textId="2E3D1EA9" w:rsidR="00391363" w:rsidRPr="00961D86" w:rsidRDefault="00391363" w:rsidP="006D7DE6">
      <w:pPr>
        <w:pStyle w:val="BodyTextFirstIndent"/>
      </w:pPr>
      <w:r w:rsidRPr="00961D86">
        <w:fldChar w:fldCharType="begin"/>
      </w:r>
      <w:r w:rsidRPr="00961D86">
        <w:instrText xml:space="preserve"> REF _Ref173100053 \h </w:instrText>
      </w:r>
      <w:r w:rsidR="00961D86">
        <w:instrText xml:space="preserve"> \* MERGEFORMAT </w:instrText>
      </w:r>
      <w:r w:rsidRPr="00961D86">
        <w:fldChar w:fldCharType="separate"/>
      </w:r>
      <w:r w:rsidR="00C40980" w:rsidRPr="00A90601">
        <w:t xml:space="preserve">Table </w:t>
      </w:r>
      <w:r w:rsidR="00C40980">
        <w:t>22</w:t>
      </w:r>
      <w:r w:rsidRPr="00961D86">
        <w:fldChar w:fldCharType="end"/>
      </w:r>
      <w:r w:rsidRPr="00961D86">
        <w:t xml:space="preserve"> summarizes methods and best practices for implementing IPM in schools. For each method/best practice, the table presents the approximate capital and operating costs, implementation timeframe, and ease of implementation. </w:t>
      </w:r>
      <w:r w:rsidR="006C5520" w:rsidRPr="00C43978">
        <w:t xml:space="preserve">See </w:t>
      </w:r>
      <w:hyperlink w:anchor="SectVII_2d" w:history="1">
        <w:r w:rsidR="00275879" w:rsidRPr="00275879">
          <w:rPr>
            <w:rStyle w:val="Hyperlink"/>
          </w:rPr>
          <w:t>Section VII, Objective 2d</w:t>
        </w:r>
      </w:hyperlink>
      <w:r w:rsidR="006C5520" w:rsidRPr="00C43978">
        <w:t xml:space="preserve"> for additional narrative descriptions of each of the methods and best practices.</w:t>
      </w:r>
    </w:p>
    <w:p w14:paraId="3E32142D" w14:textId="7D13C184" w:rsidR="00391363" w:rsidRPr="00A90601" w:rsidRDefault="00391363" w:rsidP="00B30C96">
      <w:pPr>
        <w:pStyle w:val="TableTitle"/>
      </w:pPr>
      <w:bookmarkStart w:id="215" w:name="_Ref173100053"/>
      <w:bookmarkStart w:id="216" w:name="_Toc192711688"/>
      <w:bookmarkStart w:id="217" w:name="_Toc193112570"/>
      <w:bookmarkStart w:id="218" w:name="_Toc193116969"/>
      <w:r w:rsidRPr="00A90601">
        <w:t xml:space="preserve">Table </w:t>
      </w:r>
      <w:fldSimple w:instr=" SEQ Table \* ARABIC ">
        <w:r w:rsidR="00307850">
          <w:rPr>
            <w:noProof/>
          </w:rPr>
          <w:t>22</w:t>
        </w:r>
      </w:fldSimple>
      <w:bookmarkEnd w:id="215"/>
      <w:r w:rsidRPr="00A90601">
        <w:t>. Methods</w:t>
      </w:r>
      <w:r w:rsidR="00074426">
        <w:t xml:space="preserve"> and </w:t>
      </w:r>
      <w:r w:rsidRPr="00A90601">
        <w:t xml:space="preserve">Best Practices </w:t>
      </w:r>
      <w:r w:rsidR="005C65D7" w:rsidRPr="00A90601">
        <w:t>for</w:t>
      </w:r>
      <w:r w:rsidRPr="00A90601">
        <w:t xml:space="preserve"> U</w:t>
      </w:r>
      <w:r w:rsidR="00F73243">
        <w:t>sing</w:t>
      </w:r>
      <w:r w:rsidRPr="00A90601">
        <w:t xml:space="preserve"> Integrated Pest Management</w:t>
      </w:r>
      <w:bookmarkEnd w:id="216"/>
      <w:bookmarkEnd w:id="217"/>
      <w:bookmarkEnd w:id="218"/>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utilizing integrated pest management."/>
      </w:tblPr>
      <w:tblGrid>
        <w:gridCol w:w="497"/>
        <w:gridCol w:w="6339"/>
        <w:gridCol w:w="628"/>
        <w:gridCol w:w="628"/>
        <w:gridCol w:w="628"/>
        <w:gridCol w:w="630"/>
      </w:tblGrid>
      <w:tr w:rsidR="00391363" w:rsidRPr="00C8094D" w14:paraId="1272DC18" w14:textId="77777777" w:rsidTr="00FF3C52">
        <w:trPr>
          <w:cantSplit/>
          <w:trHeight w:val="2420"/>
          <w:tblHeader/>
          <w:jc w:val="center"/>
        </w:trPr>
        <w:tc>
          <w:tcPr>
            <w:tcW w:w="365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223CD944" w14:textId="77777777" w:rsidR="00391363" w:rsidRDefault="00391363" w:rsidP="00DA4E6B">
            <w:pPr>
              <w:pStyle w:val="TableColumnHeader"/>
            </w:pPr>
            <w:r>
              <w:t>Methods/Best Practices</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367D428" w14:textId="77777777" w:rsidR="00391363" w:rsidRPr="00C8094D" w:rsidRDefault="00391363" w:rsidP="00DA4E6B">
            <w:pPr>
              <w:pStyle w:val="TableColumnHeader"/>
              <w:jc w:val="left"/>
            </w:pPr>
            <w:r>
              <w:t xml:space="preserve">Capital </w:t>
            </w:r>
            <w:r w:rsidRPr="00C8094D">
              <w:t>Cost</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1142BCD4" w14:textId="77777777" w:rsidR="00391363" w:rsidRDefault="00391363" w:rsidP="00DA4E6B">
            <w:pPr>
              <w:pStyle w:val="TableColumnHeader"/>
              <w:jc w:val="left"/>
            </w:pPr>
            <w:r>
              <w:t>Operating Cost</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852D0A1" w14:textId="77777777" w:rsidR="00391363" w:rsidRPr="00C8094D" w:rsidRDefault="00391363" w:rsidP="00DA4E6B">
            <w:pPr>
              <w:pStyle w:val="TableColumnHeader"/>
              <w:jc w:val="left"/>
            </w:pPr>
            <w:r>
              <w:t xml:space="preserve">Implementation </w:t>
            </w:r>
            <w:r w:rsidRPr="00C8094D">
              <w:t>Timeframe</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2C1A927F" w14:textId="77777777" w:rsidR="00391363" w:rsidRPr="00C8094D" w:rsidRDefault="00391363" w:rsidP="00DA4E6B">
            <w:pPr>
              <w:pStyle w:val="TableColumnHeader"/>
              <w:jc w:val="left"/>
            </w:pPr>
            <w:r>
              <w:t xml:space="preserve">Ease of </w:t>
            </w:r>
            <w:r w:rsidRPr="00C8094D">
              <w:t>Implementation</w:t>
            </w:r>
          </w:p>
        </w:tc>
      </w:tr>
      <w:tr w:rsidR="00391363" w:rsidRPr="00C8094D" w14:paraId="207AE51C" w14:textId="77777777" w:rsidTr="00FF3C52">
        <w:trPr>
          <w:cantSplit/>
          <w:trHeight w:val="255"/>
          <w:tblHeader/>
          <w:jc w:val="center"/>
        </w:trPr>
        <w:tc>
          <w:tcPr>
            <w:tcW w:w="265" w:type="pct"/>
            <w:tcBorders>
              <w:top w:val="nil"/>
              <w:left w:val="single" w:sz="4" w:space="0" w:color="auto"/>
              <w:bottom w:val="single" w:sz="4" w:space="0" w:color="auto"/>
            </w:tcBorders>
            <w:shd w:val="clear" w:color="auto" w:fill="auto"/>
          </w:tcPr>
          <w:p w14:paraId="5B7242E8" w14:textId="77777777" w:rsidR="00391363" w:rsidRDefault="00391363" w:rsidP="00DA4E6B">
            <w:pPr>
              <w:pStyle w:val="TableText"/>
            </w:pPr>
            <w:r>
              <w:t>(1)</w:t>
            </w:r>
          </w:p>
        </w:tc>
        <w:tc>
          <w:tcPr>
            <w:tcW w:w="3390" w:type="pct"/>
            <w:tcBorders>
              <w:top w:val="single" w:sz="4" w:space="0" w:color="auto"/>
              <w:bottom w:val="single" w:sz="4" w:space="0" w:color="auto"/>
              <w:right w:val="single" w:sz="4" w:space="0" w:color="auto"/>
            </w:tcBorders>
          </w:tcPr>
          <w:p w14:paraId="497DB558" w14:textId="04676B0A" w:rsidR="00391363" w:rsidRDefault="00391363" w:rsidP="00DA4E6B">
            <w:pPr>
              <w:pStyle w:val="TableText"/>
            </w:pPr>
            <w:r>
              <w:t>Create an IPM plan</w:t>
            </w:r>
          </w:p>
        </w:tc>
        <w:tc>
          <w:tcPr>
            <w:tcW w:w="336" w:type="pct"/>
            <w:tcBorders>
              <w:top w:val="nil"/>
              <w:left w:val="single" w:sz="4" w:space="0" w:color="auto"/>
              <w:bottom w:val="single" w:sz="4" w:space="0" w:color="auto"/>
              <w:right w:val="single" w:sz="4" w:space="0" w:color="auto"/>
            </w:tcBorders>
            <w:shd w:val="clear" w:color="auto" w:fill="auto"/>
            <w:vAlign w:val="center"/>
          </w:tcPr>
          <w:p w14:paraId="76A2BC7E" w14:textId="77777777" w:rsidR="00391363" w:rsidRPr="00C8094D"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5C263192" w14:textId="77777777" w:rsidR="00391363" w:rsidRPr="00C8094D"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40489B5C" w14:textId="77777777" w:rsidR="00391363" w:rsidRPr="00C8094D" w:rsidRDefault="00391363" w:rsidP="00FF3C52">
            <w:pPr>
              <w:pStyle w:val="TableText"/>
              <w:jc w:val="center"/>
            </w:pPr>
            <w:r>
              <w:t>2</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C7CF2C9" w14:textId="77777777" w:rsidR="00391363" w:rsidRPr="00C8094D" w:rsidRDefault="00391363" w:rsidP="00FF3C52">
            <w:pPr>
              <w:pStyle w:val="TableText"/>
              <w:jc w:val="center"/>
            </w:pPr>
            <w:r>
              <w:t>2</w:t>
            </w:r>
          </w:p>
        </w:tc>
      </w:tr>
      <w:tr w:rsidR="00391363" w:rsidRPr="00C8094D" w14:paraId="65DCF125" w14:textId="77777777" w:rsidTr="00FF3C52">
        <w:trPr>
          <w:cantSplit/>
          <w:trHeight w:val="255"/>
          <w:tblHeader/>
          <w:jc w:val="center"/>
        </w:trPr>
        <w:tc>
          <w:tcPr>
            <w:tcW w:w="265" w:type="pct"/>
            <w:tcBorders>
              <w:top w:val="nil"/>
              <w:left w:val="single" w:sz="4" w:space="0" w:color="auto"/>
              <w:bottom w:val="single" w:sz="4" w:space="0" w:color="auto"/>
            </w:tcBorders>
            <w:shd w:val="clear" w:color="auto" w:fill="auto"/>
          </w:tcPr>
          <w:p w14:paraId="25B41FB7" w14:textId="77777777" w:rsidR="00391363" w:rsidRDefault="00391363" w:rsidP="00DA4E6B">
            <w:pPr>
              <w:pStyle w:val="TableText"/>
            </w:pPr>
            <w:r>
              <w:t>(2)</w:t>
            </w:r>
          </w:p>
        </w:tc>
        <w:tc>
          <w:tcPr>
            <w:tcW w:w="3390" w:type="pct"/>
            <w:tcBorders>
              <w:top w:val="single" w:sz="4" w:space="0" w:color="auto"/>
              <w:bottom w:val="single" w:sz="4" w:space="0" w:color="auto"/>
              <w:right w:val="single" w:sz="4" w:space="0" w:color="auto"/>
            </w:tcBorders>
          </w:tcPr>
          <w:p w14:paraId="0A318055" w14:textId="5715D4AF" w:rsidR="00391363" w:rsidRDefault="00391363" w:rsidP="00DA4E6B">
            <w:pPr>
              <w:pStyle w:val="TableText"/>
            </w:pPr>
            <w:r>
              <w:t>Perform routine and proactive pest service</w:t>
            </w:r>
          </w:p>
        </w:tc>
        <w:tc>
          <w:tcPr>
            <w:tcW w:w="336" w:type="pct"/>
            <w:tcBorders>
              <w:top w:val="nil"/>
              <w:left w:val="single" w:sz="4" w:space="0" w:color="auto"/>
              <w:bottom w:val="single" w:sz="4" w:space="0" w:color="auto"/>
              <w:right w:val="single" w:sz="4" w:space="0" w:color="auto"/>
            </w:tcBorders>
            <w:shd w:val="clear" w:color="auto" w:fill="auto"/>
            <w:vAlign w:val="center"/>
          </w:tcPr>
          <w:p w14:paraId="2814EFFB" w14:textId="77777777" w:rsidR="00391363"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46474561" w14:textId="77777777" w:rsidR="00391363"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73D61DF" w14:textId="77777777" w:rsidR="00391363"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48E0745D" w14:textId="77777777" w:rsidR="00391363" w:rsidRDefault="00391363" w:rsidP="00FF3C52">
            <w:pPr>
              <w:pStyle w:val="TableText"/>
              <w:jc w:val="center"/>
            </w:pPr>
            <w:r>
              <w:t>2</w:t>
            </w:r>
          </w:p>
        </w:tc>
      </w:tr>
      <w:tr w:rsidR="00391363" w:rsidRPr="00C8094D" w14:paraId="1A44CAEB" w14:textId="77777777" w:rsidTr="00FF3C52">
        <w:trPr>
          <w:cantSplit/>
          <w:trHeight w:val="255"/>
          <w:tblHeader/>
          <w:jc w:val="center"/>
        </w:trPr>
        <w:tc>
          <w:tcPr>
            <w:tcW w:w="265" w:type="pct"/>
            <w:tcBorders>
              <w:top w:val="nil"/>
              <w:left w:val="single" w:sz="4" w:space="0" w:color="auto"/>
              <w:bottom w:val="single" w:sz="4" w:space="0" w:color="auto"/>
            </w:tcBorders>
            <w:shd w:val="clear" w:color="auto" w:fill="auto"/>
          </w:tcPr>
          <w:p w14:paraId="681BFEB7" w14:textId="77777777" w:rsidR="00391363" w:rsidRDefault="00391363" w:rsidP="00DA4E6B">
            <w:pPr>
              <w:pStyle w:val="TableText"/>
            </w:pPr>
            <w:r>
              <w:t>(3)</w:t>
            </w:r>
          </w:p>
        </w:tc>
        <w:tc>
          <w:tcPr>
            <w:tcW w:w="3390" w:type="pct"/>
            <w:tcBorders>
              <w:top w:val="single" w:sz="4" w:space="0" w:color="auto"/>
              <w:bottom w:val="single" w:sz="4" w:space="0" w:color="auto"/>
              <w:right w:val="single" w:sz="4" w:space="0" w:color="auto"/>
            </w:tcBorders>
          </w:tcPr>
          <w:p w14:paraId="1507B05D" w14:textId="47D34FA8" w:rsidR="00391363" w:rsidRDefault="00391363" w:rsidP="00DA4E6B">
            <w:pPr>
              <w:pStyle w:val="TableText"/>
            </w:pPr>
            <w:r>
              <w:t>Field pest complaints from building occupants</w:t>
            </w:r>
          </w:p>
        </w:tc>
        <w:tc>
          <w:tcPr>
            <w:tcW w:w="336" w:type="pct"/>
            <w:tcBorders>
              <w:top w:val="nil"/>
              <w:left w:val="single" w:sz="4" w:space="0" w:color="auto"/>
              <w:bottom w:val="single" w:sz="4" w:space="0" w:color="auto"/>
              <w:right w:val="single" w:sz="4" w:space="0" w:color="auto"/>
            </w:tcBorders>
            <w:shd w:val="clear" w:color="auto" w:fill="auto"/>
            <w:vAlign w:val="center"/>
          </w:tcPr>
          <w:p w14:paraId="63059941" w14:textId="7636BD71" w:rsidR="00391363" w:rsidRPr="00C8094D" w:rsidRDefault="00C14CEC"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68D538AA" w14:textId="77777777" w:rsidR="00391363" w:rsidRPr="00C8094D"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56EBBABB" w14:textId="77777777" w:rsidR="00391363" w:rsidRPr="00C8094D"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2C678422" w14:textId="77777777" w:rsidR="00391363" w:rsidRPr="00C8094D" w:rsidRDefault="00391363" w:rsidP="00FF3C52">
            <w:pPr>
              <w:pStyle w:val="TableText"/>
              <w:jc w:val="center"/>
            </w:pPr>
            <w:r>
              <w:t>1</w:t>
            </w:r>
          </w:p>
        </w:tc>
      </w:tr>
      <w:tr w:rsidR="00391363" w:rsidRPr="00C8094D" w14:paraId="7F48C6B6" w14:textId="77777777" w:rsidTr="00FF3C52">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5C29668C" w14:textId="77777777" w:rsidR="00391363" w:rsidRPr="00C8094D" w:rsidRDefault="00391363" w:rsidP="00DA4E6B">
            <w:pPr>
              <w:pStyle w:val="TableText"/>
            </w:pPr>
            <w:r>
              <w:t>(4)</w:t>
            </w:r>
          </w:p>
        </w:tc>
        <w:tc>
          <w:tcPr>
            <w:tcW w:w="3390" w:type="pct"/>
            <w:tcBorders>
              <w:top w:val="single" w:sz="4" w:space="0" w:color="auto"/>
              <w:bottom w:val="single" w:sz="4" w:space="0" w:color="auto"/>
              <w:right w:val="single" w:sz="4" w:space="0" w:color="auto"/>
            </w:tcBorders>
          </w:tcPr>
          <w:p w14:paraId="3B4FE625" w14:textId="22053993" w:rsidR="00391363" w:rsidRPr="00C8094D" w:rsidRDefault="00391363" w:rsidP="00DA4E6B">
            <w:pPr>
              <w:pStyle w:val="TableText"/>
            </w:pPr>
            <w:r>
              <w:t>Physically exclude pests</w:t>
            </w:r>
          </w:p>
        </w:tc>
        <w:tc>
          <w:tcPr>
            <w:tcW w:w="336" w:type="pct"/>
            <w:tcBorders>
              <w:top w:val="nil"/>
              <w:left w:val="single" w:sz="4" w:space="0" w:color="auto"/>
              <w:bottom w:val="single" w:sz="4" w:space="0" w:color="auto"/>
              <w:right w:val="single" w:sz="4" w:space="0" w:color="auto"/>
            </w:tcBorders>
            <w:shd w:val="clear" w:color="auto" w:fill="auto"/>
            <w:vAlign w:val="center"/>
          </w:tcPr>
          <w:p w14:paraId="033CF8C1" w14:textId="77777777" w:rsidR="00391363" w:rsidRPr="00C8094D"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vAlign w:val="center"/>
          </w:tcPr>
          <w:p w14:paraId="551FB963" w14:textId="77777777" w:rsidR="00391363" w:rsidRPr="00C8094D"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D17EA6D" w14:textId="77777777" w:rsidR="00391363" w:rsidRPr="00C8094D"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598931CF" w14:textId="77777777" w:rsidR="00391363" w:rsidRPr="00C8094D" w:rsidRDefault="00391363" w:rsidP="00FF3C52">
            <w:pPr>
              <w:pStyle w:val="TableText"/>
              <w:jc w:val="center"/>
            </w:pPr>
            <w:r>
              <w:t>2</w:t>
            </w:r>
          </w:p>
        </w:tc>
      </w:tr>
      <w:tr w:rsidR="00391363" w:rsidRPr="00C8094D" w14:paraId="37DCC88E" w14:textId="77777777" w:rsidTr="00FF3C52">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25FC1F44" w14:textId="77777777" w:rsidR="00391363" w:rsidRDefault="00391363" w:rsidP="00DA4E6B">
            <w:pPr>
              <w:pStyle w:val="TableText"/>
            </w:pPr>
            <w:r>
              <w:t>(5)</w:t>
            </w:r>
          </w:p>
        </w:tc>
        <w:tc>
          <w:tcPr>
            <w:tcW w:w="3390" w:type="pct"/>
            <w:tcBorders>
              <w:top w:val="single" w:sz="4" w:space="0" w:color="auto"/>
              <w:bottom w:val="single" w:sz="4" w:space="0" w:color="auto"/>
              <w:right w:val="single" w:sz="4" w:space="0" w:color="auto"/>
            </w:tcBorders>
          </w:tcPr>
          <w:p w14:paraId="544843F3" w14:textId="43195556" w:rsidR="00391363" w:rsidRDefault="002447F9" w:rsidP="00DA4E6B">
            <w:pPr>
              <w:pStyle w:val="TableText"/>
            </w:pPr>
            <w:r>
              <w:t xml:space="preserve">Perform </w:t>
            </w:r>
            <w:r w:rsidR="004954A4" w:rsidRPr="004954A4">
              <w:t>pest sealing before final acceptance of new construction projects</w:t>
            </w:r>
          </w:p>
        </w:tc>
        <w:tc>
          <w:tcPr>
            <w:tcW w:w="336" w:type="pct"/>
            <w:tcBorders>
              <w:top w:val="nil"/>
              <w:left w:val="single" w:sz="4" w:space="0" w:color="auto"/>
              <w:bottom w:val="single" w:sz="4" w:space="0" w:color="auto"/>
              <w:right w:val="single" w:sz="4" w:space="0" w:color="auto"/>
            </w:tcBorders>
            <w:shd w:val="clear" w:color="auto" w:fill="auto"/>
            <w:vAlign w:val="center"/>
          </w:tcPr>
          <w:p w14:paraId="7363AFB8" w14:textId="77777777" w:rsidR="00391363"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vAlign w:val="center"/>
          </w:tcPr>
          <w:p w14:paraId="52591C01" w14:textId="77777777" w:rsidR="00391363"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F943D70" w14:textId="77777777" w:rsidR="00391363"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505BAD2" w14:textId="77777777" w:rsidR="00391363" w:rsidRDefault="00391363" w:rsidP="00FF3C52">
            <w:pPr>
              <w:pStyle w:val="TableText"/>
              <w:jc w:val="center"/>
            </w:pPr>
            <w:r>
              <w:t>1</w:t>
            </w:r>
          </w:p>
        </w:tc>
      </w:tr>
      <w:tr w:rsidR="00391363" w:rsidRPr="00C8094D" w14:paraId="0C6C7F6A" w14:textId="77777777" w:rsidTr="00FF3C52">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2C06C741" w14:textId="77777777" w:rsidR="00391363" w:rsidRDefault="00391363" w:rsidP="00DA4E6B">
            <w:pPr>
              <w:pStyle w:val="TableText"/>
            </w:pPr>
            <w:r>
              <w:t>(6)</w:t>
            </w:r>
          </w:p>
        </w:tc>
        <w:tc>
          <w:tcPr>
            <w:tcW w:w="3390" w:type="pct"/>
            <w:tcBorders>
              <w:top w:val="single" w:sz="4" w:space="0" w:color="auto"/>
              <w:bottom w:val="single" w:sz="4" w:space="0" w:color="auto"/>
              <w:right w:val="single" w:sz="4" w:space="0" w:color="auto"/>
            </w:tcBorders>
          </w:tcPr>
          <w:p w14:paraId="1B16D006" w14:textId="68111657" w:rsidR="00391363" w:rsidRPr="00124239" w:rsidRDefault="00391363" w:rsidP="00DA4E6B">
            <w:pPr>
              <w:pStyle w:val="TableText"/>
            </w:pPr>
            <w:r>
              <w:t>Conduct pest-prevent</w:t>
            </w:r>
            <w:r w:rsidR="00C443E3">
              <w:t>at</w:t>
            </w:r>
            <w:r>
              <w:t>ive repairs</w:t>
            </w:r>
          </w:p>
        </w:tc>
        <w:tc>
          <w:tcPr>
            <w:tcW w:w="336" w:type="pct"/>
            <w:tcBorders>
              <w:top w:val="nil"/>
              <w:left w:val="single" w:sz="4" w:space="0" w:color="auto"/>
              <w:bottom w:val="single" w:sz="4" w:space="0" w:color="auto"/>
              <w:right w:val="single" w:sz="4" w:space="0" w:color="auto"/>
            </w:tcBorders>
            <w:shd w:val="clear" w:color="auto" w:fill="auto"/>
            <w:vAlign w:val="center"/>
          </w:tcPr>
          <w:p w14:paraId="55372DA0" w14:textId="77777777" w:rsidR="00391363" w:rsidRPr="00C8094D"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40DE3CD9" w14:textId="77777777" w:rsidR="00391363" w:rsidRPr="00C8094D"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28D135FD" w14:textId="77777777" w:rsidR="00391363" w:rsidRPr="00C8094D"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7D10E6A0" w14:textId="77777777" w:rsidR="00391363" w:rsidRPr="00C8094D" w:rsidRDefault="00391363" w:rsidP="00FF3C52">
            <w:pPr>
              <w:pStyle w:val="TableText"/>
              <w:jc w:val="center"/>
            </w:pPr>
            <w:r>
              <w:t>1</w:t>
            </w:r>
          </w:p>
        </w:tc>
      </w:tr>
      <w:tr w:rsidR="00391363" w:rsidRPr="00C8094D" w14:paraId="16A2C652" w14:textId="77777777" w:rsidTr="00FF3C52">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3960BF94" w14:textId="77777777" w:rsidR="00391363" w:rsidRDefault="00391363" w:rsidP="00DA4E6B">
            <w:pPr>
              <w:pStyle w:val="TableText"/>
            </w:pPr>
            <w:r>
              <w:t>(7)</w:t>
            </w:r>
          </w:p>
        </w:tc>
        <w:tc>
          <w:tcPr>
            <w:tcW w:w="3390" w:type="pct"/>
            <w:tcBorders>
              <w:top w:val="single" w:sz="4" w:space="0" w:color="auto"/>
              <w:bottom w:val="single" w:sz="4" w:space="0" w:color="auto"/>
              <w:right w:val="single" w:sz="4" w:space="0" w:color="auto"/>
            </w:tcBorders>
          </w:tcPr>
          <w:p w14:paraId="4FA261D6" w14:textId="2FA5CAEA" w:rsidR="00391363" w:rsidRDefault="00783B10" w:rsidP="00DA4E6B">
            <w:pPr>
              <w:pStyle w:val="TableText"/>
            </w:pPr>
            <w:r>
              <w:t xml:space="preserve">Inspect </w:t>
            </w:r>
            <w:r w:rsidR="00391363">
              <w:t>building</w:t>
            </w:r>
            <w:r>
              <w:t xml:space="preserve">s </w:t>
            </w:r>
            <w:r w:rsidR="00391363">
              <w:t>for conducive conditions</w:t>
            </w:r>
          </w:p>
        </w:tc>
        <w:tc>
          <w:tcPr>
            <w:tcW w:w="336" w:type="pct"/>
            <w:tcBorders>
              <w:top w:val="nil"/>
              <w:left w:val="single" w:sz="4" w:space="0" w:color="auto"/>
              <w:bottom w:val="single" w:sz="4" w:space="0" w:color="auto"/>
              <w:right w:val="single" w:sz="4" w:space="0" w:color="auto"/>
            </w:tcBorders>
            <w:shd w:val="clear" w:color="auto" w:fill="auto"/>
            <w:vAlign w:val="center"/>
          </w:tcPr>
          <w:p w14:paraId="23903D1D" w14:textId="77777777" w:rsidR="00391363" w:rsidRPr="00C8094D"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6F854A5D" w14:textId="77777777" w:rsidR="00391363" w:rsidRPr="00C8094D"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6782C0E7" w14:textId="77777777" w:rsidR="00391363" w:rsidRPr="00C8094D"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1E2F4625" w14:textId="77777777" w:rsidR="00391363" w:rsidRPr="00C8094D" w:rsidRDefault="00391363" w:rsidP="00FF3C52">
            <w:pPr>
              <w:pStyle w:val="TableText"/>
              <w:jc w:val="center"/>
            </w:pPr>
            <w:r>
              <w:t>1</w:t>
            </w:r>
          </w:p>
        </w:tc>
      </w:tr>
      <w:tr w:rsidR="00391363" w:rsidRPr="00C8094D" w14:paraId="66E9BE7C" w14:textId="77777777" w:rsidTr="00FF3C52">
        <w:trPr>
          <w:cantSplit/>
          <w:trHeight w:val="255"/>
          <w:tblHeader/>
          <w:jc w:val="center"/>
        </w:trPr>
        <w:tc>
          <w:tcPr>
            <w:tcW w:w="265" w:type="pct"/>
            <w:tcBorders>
              <w:top w:val="single" w:sz="4" w:space="0" w:color="auto"/>
              <w:left w:val="single" w:sz="4" w:space="0" w:color="auto"/>
              <w:bottom w:val="single" w:sz="4" w:space="0" w:color="auto"/>
            </w:tcBorders>
            <w:shd w:val="clear" w:color="auto" w:fill="auto"/>
          </w:tcPr>
          <w:p w14:paraId="7D9EF933" w14:textId="77777777" w:rsidR="00391363" w:rsidRDefault="00391363" w:rsidP="00DA4E6B">
            <w:pPr>
              <w:pStyle w:val="TableText"/>
            </w:pPr>
            <w:r>
              <w:t>(8)</w:t>
            </w:r>
          </w:p>
        </w:tc>
        <w:tc>
          <w:tcPr>
            <w:tcW w:w="3390" w:type="pct"/>
            <w:tcBorders>
              <w:top w:val="single" w:sz="4" w:space="0" w:color="auto"/>
              <w:bottom w:val="single" w:sz="4" w:space="0" w:color="auto"/>
              <w:right w:val="single" w:sz="4" w:space="0" w:color="auto"/>
            </w:tcBorders>
          </w:tcPr>
          <w:p w14:paraId="56CB0952" w14:textId="3BC4BEC8" w:rsidR="00391363" w:rsidRDefault="00391363" w:rsidP="00DA4E6B">
            <w:pPr>
              <w:pStyle w:val="TableText"/>
            </w:pPr>
            <w:r>
              <w:t>Educate building occupants on best practices</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463168EE" w14:textId="77777777" w:rsidR="00391363" w:rsidRDefault="00391363" w:rsidP="00FF3C52">
            <w:pPr>
              <w:pStyle w:val="TableText"/>
              <w:jc w:val="center"/>
            </w:pPr>
            <w:r>
              <w:t>0</w:t>
            </w:r>
          </w:p>
        </w:tc>
        <w:tc>
          <w:tcPr>
            <w:tcW w:w="336" w:type="pct"/>
            <w:tcBorders>
              <w:top w:val="single" w:sz="4" w:space="0" w:color="auto"/>
              <w:left w:val="single" w:sz="4" w:space="0" w:color="auto"/>
              <w:bottom w:val="single" w:sz="4" w:space="0" w:color="auto"/>
              <w:right w:val="single" w:sz="4" w:space="0" w:color="auto"/>
            </w:tcBorders>
            <w:vAlign w:val="center"/>
          </w:tcPr>
          <w:p w14:paraId="709339A4" w14:textId="77777777" w:rsidR="00391363" w:rsidRDefault="00391363" w:rsidP="00FF3C52">
            <w:pPr>
              <w:pStyle w:val="TableText"/>
              <w:jc w:val="center"/>
            </w:pPr>
            <w:r>
              <w:t>$</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5B1737D8" w14:textId="77777777" w:rsidR="00391363" w:rsidRDefault="00391363" w:rsidP="00FF3C52">
            <w:pPr>
              <w:pStyle w:val="TableText"/>
              <w:jc w:val="center"/>
            </w:pPr>
            <w:r>
              <w:t>1</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24C64FA2" w14:textId="77777777" w:rsidR="00391363" w:rsidRDefault="00391363" w:rsidP="00FF3C52">
            <w:pPr>
              <w:pStyle w:val="TableText"/>
              <w:jc w:val="center"/>
            </w:pPr>
            <w:r>
              <w:t>1</w:t>
            </w:r>
          </w:p>
        </w:tc>
      </w:tr>
      <w:tr w:rsidR="009B36CC" w:rsidRPr="00C8094D" w14:paraId="2DD3179A" w14:textId="77777777" w:rsidTr="00FF3C52">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E484563" w14:textId="77777777" w:rsidR="009B36CC" w:rsidRPr="00FF51E8" w:rsidRDefault="009B36CC" w:rsidP="009B36CC">
            <w:pPr>
              <w:rPr>
                <w:rFonts w:ascii="Arial" w:hAnsi="Arial" w:cs="Arial"/>
                <w:b/>
                <w:bCs/>
                <w:sz w:val="20"/>
                <w:szCs w:val="20"/>
                <w:u w:val="single"/>
              </w:rPr>
            </w:pPr>
            <w:r w:rsidRPr="00FF51E8">
              <w:rPr>
                <w:rFonts w:ascii="Arial" w:hAnsi="Arial" w:cs="Arial"/>
                <w:b/>
                <w:bCs/>
                <w:sz w:val="20"/>
                <w:szCs w:val="20"/>
                <w:u w:val="single"/>
              </w:rPr>
              <w:t>Key:</w:t>
            </w:r>
          </w:p>
          <w:p w14:paraId="059A8E02" w14:textId="77777777" w:rsidR="009B36CC" w:rsidRPr="00FF51E8" w:rsidRDefault="009B36CC" w:rsidP="009B36CC">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15468832" w14:textId="18130BBB" w:rsidR="009B36CC" w:rsidRPr="00FF51E8" w:rsidRDefault="009B36CC" w:rsidP="009B36CC">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DE5940">
              <w:rPr>
                <w:rFonts w:ascii="Arial" w:hAnsi="Arial" w:cs="Arial"/>
                <w:sz w:val="20"/>
                <w:szCs w:val="20"/>
              </w:rPr>
              <w:t>&gt;</w:t>
            </w:r>
            <w:r w:rsidRPr="00FF51E8">
              <w:rPr>
                <w:rFonts w:ascii="Arial" w:hAnsi="Arial" w:cs="Arial"/>
                <w:sz w:val="20"/>
                <w:szCs w:val="20"/>
              </w:rPr>
              <w:t>12 months)</w:t>
            </w:r>
          </w:p>
          <w:p w14:paraId="5A41EAA1" w14:textId="4DE392BF" w:rsidR="009B36CC" w:rsidRDefault="009B36CC" w:rsidP="009B36CC">
            <w:pPr>
              <w:pStyle w:val="TableText"/>
            </w:pPr>
            <w:r w:rsidRPr="00FF51E8">
              <w:rPr>
                <w:rFonts w:cs="Arial"/>
                <w:b/>
                <w:bCs/>
                <w:sz w:val="20"/>
              </w:rPr>
              <w:t>Ease of Implementation:</w:t>
            </w:r>
            <w:r w:rsidRPr="00FF51E8">
              <w:rPr>
                <w:rFonts w:cs="Arial"/>
                <w:sz w:val="20"/>
              </w:rPr>
              <w:t xml:space="preserve"> 1= easier to implement; 3 = more difficult to implement</w:t>
            </w:r>
          </w:p>
        </w:tc>
      </w:tr>
    </w:tbl>
    <w:p w14:paraId="619E0200" w14:textId="77777777" w:rsidR="00154D5D" w:rsidRDefault="00154D5D" w:rsidP="00154D5D">
      <w:pPr>
        <w:pStyle w:val="Heading3"/>
      </w:pPr>
      <w:r w:rsidRPr="00B40F18">
        <w:t xml:space="preserve">Barriers and Challenges </w:t>
      </w:r>
    </w:p>
    <w:p w14:paraId="05BF9724" w14:textId="04428771" w:rsidR="00154D5D" w:rsidRPr="00C14CEC" w:rsidRDefault="00154D5D" w:rsidP="006D7DE6">
      <w:pPr>
        <w:pStyle w:val="BodyTextFirstIndent"/>
      </w:pPr>
      <w:r w:rsidRPr="00C14CEC">
        <w:t xml:space="preserve">Perceived pest threats often do not align with the real threats that pests pose. For instance, many families are worried about lice transfer at school, whereas mosquito bites are far more prevalent and pose </w:t>
      </w:r>
      <w:r w:rsidR="00783B10">
        <w:t>more significant</w:t>
      </w:r>
      <w:r w:rsidR="00783B10" w:rsidRPr="00C14CEC">
        <w:t xml:space="preserve"> </w:t>
      </w:r>
      <w:r w:rsidRPr="00C14CEC">
        <w:t>risks. Building occupants may have varying levels of tolerance for pest presence. Education and communication are critical to establish</w:t>
      </w:r>
      <w:r w:rsidR="00783B10">
        <w:t>ing</w:t>
      </w:r>
      <w:r w:rsidRPr="00C14CEC">
        <w:t xml:space="preserve"> shared expectations and clarify</w:t>
      </w:r>
      <w:r w:rsidR="00783B10">
        <w:t>ing</w:t>
      </w:r>
      <w:r w:rsidRPr="00C14CEC">
        <w:t xml:space="preserve"> the important role that students and staff play in maintaining pest-free facilities.  </w:t>
      </w:r>
    </w:p>
    <w:p w14:paraId="3DB454BD" w14:textId="7E59473C" w:rsidR="00904065" w:rsidRDefault="00904065" w:rsidP="001C7888">
      <w:pPr>
        <w:pStyle w:val="Heading2"/>
      </w:pPr>
      <w:bookmarkStart w:id="219" w:name="_Toc171518373"/>
      <w:bookmarkStart w:id="220" w:name="_Toc171519326"/>
      <w:bookmarkStart w:id="221" w:name="_Toc193116905"/>
      <w:r>
        <w:lastRenderedPageBreak/>
        <w:t xml:space="preserve">Objective 2e. </w:t>
      </w:r>
      <w:r w:rsidR="006C0659">
        <w:t>Procure and Use Green Cleaning Supplies</w:t>
      </w:r>
      <w:r w:rsidR="00756410">
        <w:t xml:space="preserve"> and </w:t>
      </w:r>
      <w:r w:rsidR="006C0659">
        <w:t>Chemicals</w:t>
      </w:r>
      <w:bookmarkEnd w:id="219"/>
      <w:bookmarkEnd w:id="220"/>
      <w:bookmarkEnd w:id="221"/>
    </w:p>
    <w:p w14:paraId="28E17381" w14:textId="77777777" w:rsidR="00961E81" w:rsidRDefault="00961E81" w:rsidP="00961E81">
      <w:pPr>
        <w:pStyle w:val="Heading3"/>
      </w:pPr>
      <w:r>
        <w:t>Background</w:t>
      </w:r>
    </w:p>
    <w:p w14:paraId="2F70F252" w14:textId="2088526C" w:rsidR="0037699D" w:rsidRDefault="00CD2F6C" w:rsidP="006D7DE6">
      <w:pPr>
        <w:pStyle w:val="BodyTextFirstIndent"/>
      </w:pPr>
      <w:r>
        <w:t xml:space="preserve">Thousands of chemicals are used as part of daily practices in schools, including those used in laboratory settings or as art supplies, cleaning agents, </w:t>
      </w:r>
      <w:r w:rsidR="00606351">
        <w:t xml:space="preserve">and </w:t>
      </w:r>
      <w:r>
        <w:t xml:space="preserve">tools for building </w:t>
      </w:r>
      <w:r w:rsidR="00442ED0">
        <w:t>O&amp;M</w:t>
      </w:r>
      <w:r>
        <w:t>.</w:t>
      </w:r>
      <w:r>
        <w:fldChar w:fldCharType="begin"/>
      </w:r>
      <w:r w:rsidR="00AA3FAC">
        <w:instrText xml:space="preserve"> ADDIN ZOTERO_ITEM CSL_CITATION {"citationID":"oGLbpOEK","properties":{"formattedCitation":"\\super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AA3FAC" w:rsidRPr="00AA3FAC">
        <w:rPr>
          <w:rFonts w:cs="Arial"/>
          <w:vertAlign w:val="superscript"/>
        </w:rPr>
        <w:t>99</w:t>
      </w:r>
      <w:r>
        <w:fldChar w:fldCharType="end"/>
      </w:r>
      <w:r>
        <w:t xml:space="preserve"> Students and staff can be exposed to unnecessary risks when hazardous or mismanaged chemicals are present in schools.</w:t>
      </w:r>
      <w:r>
        <w:fldChar w:fldCharType="begin"/>
      </w:r>
      <w:r w:rsidR="00113AEE">
        <w:instrText xml:space="preserve"> ADDIN ZOTERO_ITEM CSL_CITATION {"citationID":"yuSThAlW","properties":{"formattedCitation":"\\super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113AEE" w:rsidRPr="00113AEE">
        <w:rPr>
          <w:rFonts w:cs="Arial"/>
          <w:vertAlign w:val="superscript"/>
        </w:rPr>
        <w:t>101</w:t>
      </w:r>
      <w:r>
        <w:fldChar w:fldCharType="end"/>
      </w:r>
      <w:r>
        <w:t xml:space="preserve"> Further, exposure to certain chemicals can lead to serious health effects</w:t>
      </w:r>
      <w:r w:rsidR="00606351">
        <w:t>,</w:t>
      </w:r>
      <w:r>
        <w:t xml:space="preserve"> including cancer, reproductive disorders, organ damage, and irritation to the eyes, nose, and throat.</w:t>
      </w:r>
      <w:r>
        <w:fldChar w:fldCharType="begin"/>
      </w:r>
      <w:r w:rsidR="00D01F09">
        <w:instrText xml:space="preserve"> ADDIN ZOTERO_ITEM CSL_CITATION {"citationID":"m6KgkSKA","properties":{"formattedCitation":"\\super 99,101\\nosupersub{}","plainCitation":"99,101","noteIndex":0},"citationItems":[{"id":12,"uris":["http://zotero.org/groups/5563646/items/4P4TGQ7E"],"itemData":{"id":12,"type":"report","language":"en","source":"Zotero","title":"Chemical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D01F09" w:rsidRPr="00D01F09">
        <w:rPr>
          <w:rFonts w:cs="Arial"/>
          <w:vertAlign w:val="superscript"/>
        </w:rPr>
        <w:t>99,101</w:t>
      </w:r>
      <w:r>
        <w:fldChar w:fldCharType="end"/>
      </w:r>
      <w:r>
        <w:t xml:space="preserve"> Thus, it is essential that schools have a </w:t>
      </w:r>
      <w:r w:rsidR="00442ED0">
        <w:t xml:space="preserve">robust </w:t>
      </w:r>
      <w:r>
        <w:t xml:space="preserve">chemical management system to prevent the improper use, storage, and disposal of chemicals. Additionally, schools should procure green chemicals to reduce the amount of hazardous and toxic chemicals stored onsite. </w:t>
      </w:r>
    </w:p>
    <w:p w14:paraId="0FC8836B" w14:textId="77777777" w:rsidR="00961E81" w:rsidRDefault="00961E81" w:rsidP="00961E81">
      <w:pPr>
        <w:pStyle w:val="Heading3"/>
      </w:pPr>
      <w:r>
        <w:t>Methods and Best Practices</w:t>
      </w:r>
    </w:p>
    <w:p w14:paraId="0513A6EE" w14:textId="1CEA204D" w:rsidR="00961E81" w:rsidRDefault="00992D4C" w:rsidP="006D7DE6">
      <w:pPr>
        <w:pStyle w:val="BodyTextFirstIndent"/>
      </w:pPr>
      <w:r>
        <w:fldChar w:fldCharType="begin"/>
      </w:r>
      <w:r>
        <w:instrText xml:space="preserve"> REF _Ref171630984 \h </w:instrText>
      </w:r>
      <w:r>
        <w:fldChar w:fldCharType="separate"/>
      </w:r>
      <w:r w:rsidR="00307850">
        <w:t xml:space="preserve">Table </w:t>
      </w:r>
      <w:r w:rsidR="00307850">
        <w:rPr>
          <w:noProof/>
        </w:rPr>
        <w:t>23</w:t>
      </w:r>
      <w:r>
        <w:fldChar w:fldCharType="end"/>
      </w:r>
      <w:r>
        <w:t xml:space="preserve"> </w:t>
      </w:r>
      <w:r w:rsidR="00961E81" w:rsidRPr="007935AE">
        <w:t xml:space="preserve">summarizes </w:t>
      </w:r>
      <w:r w:rsidR="00961E81">
        <w:t xml:space="preserve">the </w:t>
      </w:r>
      <w:r w:rsidR="00961E81" w:rsidRPr="007935AE">
        <w:t xml:space="preserve">methods and best practices for </w:t>
      </w:r>
      <w:r w:rsidR="00145CF9">
        <w:t>procuring and using green cleaning supplies/chemicals</w:t>
      </w:r>
      <w:r w:rsidR="00961E81">
        <w:t xml:space="preserve"> in</w:t>
      </w:r>
      <w:r w:rsidR="00961E81" w:rsidRPr="007935AE">
        <w:t xml:space="preserve"> schools</w:t>
      </w:r>
      <w:r w:rsidR="000F4D91">
        <w:t xml:space="preserve"> across two </w:t>
      </w:r>
      <w:r w:rsidR="00B71C96">
        <w:t>areas: implementing a chemical management system; and utilizing green chemicals to protect the health and safety of staff and students using chemicals in schools</w:t>
      </w:r>
      <w:r w:rsidR="00961E81" w:rsidRPr="007935AE">
        <w:t>. For each method and best practice, the table presents the approximate capital and operating costs, implementation timeframe, and ease of implementation.</w:t>
      </w:r>
      <w:r w:rsidR="00B71C96">
        <w:t xml:space="preserve"> </w:t>
      </w:r>
      <w:r w:rsidR="00B71C96" w:rsidRPr="00C43978">
        <w:t xml:space="preserve">See </w:t>
      </w:r>
      <w:hyperlink w:anchor="SectVII_2e" w:history="1">
        <w:r w:rsidR="00275879" w:rsidRPr="00275879">
          <w:rPr>
            <w:rStyle w:val="Hyperlink"/>
          </w:rPr>
          <w:t>Section VII, Objective 2e</w:t>
        </w:r>
      </w:hyperlink>
      <w:r w:rsidR="00275879">
        <w:t xml:space="preserve"> </w:t>
      </w:r>
      <w:r w:rsidR="00B71C96" w:rsidRPr="00C43978">
        <w:t>for additional narrative descriptions of each of the methods and best practices.</w:t>
      </w:r>
    </w:p>
    <w:p w14:paraId="5DF7AA70" w14:textId="506DED18" w:rsidR="00961E81" w:rsidRDefault="00961E81" w:rsidP="00B30C96">
      <w:pPr>
        <w:pStyle w:val="TableTitle"/>
      </w:pPr>
      <w:bookmarkStart w:id="222" w:name="_Ref171630984"/>
      <w:bookmarkStart w:id="223" w:name="_Toc171630423"/>
      <w:bookmarkStart w:id="224" w:name="_Toc192711689"/>
      <w:bookmarkStart w:id="225" w:name="_Toc193112571"/>
      <w:bookmarkStart w:id="226" w:name="_Toc193116970"/>
      <w:r>
        <w:lastRenderedPageBreak/>
        <w:t xml:space="preserve">Table </w:t>
      </w:r>
      <w:fldSimple w:instr=" SEQ Table \* ARABIC ">
        <w:r w:rsidR="00307850">
          <w:rPr>
            <w:noProof/>
          </w:rPr>
          <w:t>23</w:t>
        </w:r>
      </w:fldSimple>
      <w:bookmarkEnd w:id="222"/>
      <w:r>
        <w:t>. Methods</w:t>
      </w:r>
      <w:r w:rsidR="00074426">
        <w:t xml:space="preserve"> and </w:t>
      </w:r>
      <w:r>
        <w:t xml:space="preserve">Best Practices </w:t>
      </w:r>
      <w:r w:rsidR="00A37DD3">
        <w:t>for</w:t>
      </w:r>
      <w:r>
        <w:t xml:space="preserve"> </w:t>
      </w:r>
      <w:bookmarkEnd w:id="223"/>
      <w:r w:rsidR="00992D4C">
        <w:t>Procuring and Using Green Cleaning Supplies/Chemicals</w:t>
      </w:r>
      <w:bookmarkEnd w:id="224"/>
      <w:bookmarkEnd w:id="225"/>
      <w:bookmarkEnd w:id="226"/>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procuring and using green cleaning supplies/chemicals."/>
      </w:tblPr>
      <w:tblGrid>
        <w:gridCol w:w="570"/>
        <w:gridCol w:w="5378"/>
        <w:gridCol w:w="851"/>
        <w:gridCol w:w="851"/>
        <w:gridCol w:w="851"/>
        <w:gridCol w:w="849"/>
      </w:tblGrid>
      <w:tr w:rsidR="00961E81" w:rsidRPr="00C8094D" w14:paraId="72DC18F0" w14:textId="77777777" w:rsidTr="006F5AAC">
        <w:trPr>
          <w:cantSplit/>
          <w:trHeight w:val="2420"/>
          <w:tblHeader/>
          <w:jc w:val="center"/>
        </w:trPr>
        <w:tc>
          <w:tcPr>
            <w:tcW w:w="318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01526A73" w14:textId="77777777" w:rsidR="00961E81" w:rsidRDefault="00961E81">
            <w:pPr>
              <w:pStyle w:val="TableColumnHeader"/>
            </w:pPr>
            <w:r>
              <w:t>Methods/Best Practices</w:t>
            </w:r>
          </w:p>
        </w:tc>
        <w:tc>
          <w:tcPr>
            <w:tcW w:w="455"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1CA767F" w14:textId="77777777" w:rsidR="00961E81" w:rsidRPr="00C8094D" w:rsidRDefault="00961E81" w:rsidP="00A83553">
            <w:pPr>
              <w:pStyle w:val="TableColumnHeader"/>
              <w:jc w:val="left"/>
            </w:pPr>
            <w:r>
              <w:t xml:space="preserve">Capital </w:t>
            </w:r>
            <w:r w:rsidRPr="00C8094D">
              <w:t>Cost</w:t>
            </w:r>
          </w:p>
        </w:tc>
        <w:tc>
          <w:tcPr>
            <w:tcW w:w="455"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5F30D33B" w14:textId="77777777" w:rsidR="00961E81" w:rsidRDefault="00961E81" w:rsidP="00A83553">
            <w:pPr>
              <w:pStyle w:val="TableColumnHeader"/>
              <w:jc w:val="left"/>
            </w:pPr>
            <w:r>
              <w:t>Operating Cost</w:t>
            </w:r>
          </w:p>
        </w:tc>
        <w:tc>
          <w:tcPr>
            <w:tcW w:w="455"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F2475B8" w14:textId="77777777" w:rsidR="00961E81" w:rsidRPr="00C8094D" w:rsidRDefault="00961E81" w:rsidP="00A83553">
            <w:pPr>
              <w:pStyle w:val="TableColumnHeader"/>
              <w:jc w:val="left"/>
            </w:pPr>
            <w:r>
              <w:t xml:space="preserve">Implementation </w:t>
            </w:r>
            <w:r w:rsidRPr="00C8094D">
              <w:t>Timeframe</w:t>
            </w:r>
          </w:p>
        </w:tc>
        <w:tc>
          <w:tcPr>
            <w:tcW w:w="454"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4C4F446" w14:textId="77777777" w:rsidR="00961E81" w:rsidRPr="00C8094D" w:rsidRDefault="00961E81" w:rsidP="00A83553">
            <w:pPr>
              <w:pStyle w:val="TableColumnHeader"/>
              <w:jc w:val="left"/>
            </w:pPr>
            <w:r>
              <w:t xml:space="preserve">Ease of </w:t>
            </w:r>
            <w:r w:rsidRPr="00C8094D">
              <w:t>Implementation</w:t>
            </w:r>
          </w:p>
        </w:tc>
      </w:tr>
      <w:tr w:rsidR="00961E81" w:rsidRPr="00C8094D" w14:paraId="16BF7C6B" w14:textId="77777777" w:rsidTr="006F5AAC">
        <w:trPr>
          <w:cantSplit/>
          <w:trHeight w:val="255"/>
          <w:tblHeader/>
          <w:jc w:val="center"/>
        </w:trPr>
        <w:tc>
          <w:tcPr>
            <w:tcW w:w="318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6C2D6C7A" w14:textId="60A074F6" w:rsidR="00961E81" w:rsidRPr="00381EF0" w:rsidRDefault="006A7E84">
            <w:pPr>
              <w:pStyle w:val="TableRowHeader"/>
            </w:pPr>
            <w:r>
              <w:t>Chemical Management System</w:t>
            </w:r>
          </w:p>
        </w:tc>
        <w:tc>
          <w:tcPr>
            <w:tcW w:w="455" w:type="pct"/>
            <w:tcBorders>
              <w:top w:val="nil"/>
              <w:left w:val="single" w:sz="4" w:space="0" w:color="auto"/>
              <w:bottom w:val="single" w:sz="4" w:space="0" w:color="auto"/>
              <w:right w:val="single" w:sz="4" w:space="0" w:color="auto"/>
            </w:tcBorders>
            <w:shd w:val="clear" w:color="auto" w:fill="1F497D" w:themeFill="text2"/>
            <w:vAlign w:val="center"/>
          </w:tcPr>
          <w:p w14:paraId="25A78726" w14:textId="77777777" w:rsidR="00961E81" w:rsidRPr="00381EF0" w:rsidRDefault="00961E81">
            <w:pPr>
              <w:pStyle w:val="TableText"/>
            </w:pPr>
          </w:p>
        </w:tc>
        <w:tc>
          <w:tcPr>
            <w:tcW w:w="4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6F875FA" w14:textId="77777777" w:rsidR="00961E81" w:rsidRPr="00381EF0" w:rsidRDefault="00961E81">
            <w:pPr>
              <w:pStyle w:val="TableText"/>
            </w:pPr>
          </w:p>
        </w:tc>
        <w:tc>
          <w:tcPr>
            <w:tcW w:w="4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4D2C200" w14:textId="77777777" w:rsidR="00961E81" w:rsidRPr="00381EF0" w:rsidRDefault="00961E81">
            <w:pPr>
              <w:pStyle w:val="TableText"/>
            </w:pPr>
          </w:p>
        </w:tc>
        <w:tc>
          <w:tcPr>
            <w:tcW w:w="454" w:type="pct"/>
            <w:tcBorders>
              <w:top w:val="single" w:sz="4" w:space="0" w:color="auto"/>
              <w:left w:val="single" w:sz="4" w:space="0" w:color="auto"/>
              <w:bottom w:val="single" w:sz="4" w:space="0" w:color="auto"/>
              <w:right w:val="single" w:sz="4" w:space="0" w:color="auto"/>
            </w:tcBorders>
            <w:shd w:val="clear" w:color="auto" w:fill="1F497D" w:themeFill="text2"/>
          </w:tcPr>
          <w:p w14:paraId="44694D18" w14:textId="77777777" w:rsidR="00961E81" w:rsidRPr="00381EF0" w:rsidRDefault="00961E81">
            <w:pPr>
              <w:pStyle w:val="TableText"/>
            </w:pPr>
          </w:p>
        </w:tc>
      </w:tr>
      <w:tr w:rsidR="00961E81" w:rsidRPr="00C8094D" w14:paraId="74686D09"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B14E186" w14:textId="5E12CB23" w:rsidR="00961E81" w:rsidRDefault="00961E81">
            <w:pPr>
              <w:pStyle w:val="TableText"/>
            </w:pPr>
            <w:r>
              <w:t>(</w:t>
            </w:r>
            <w:r w:rsidR="006A7E84">
              <w:t>1</w:t>
            </w:r>
            <w:r>
              <w:t>)</w:t>
            </w:r>
          </w:p>
        </w:tc>
        <w:tc>
          <w:tcPr>
            <w:tcW w:w="2876" w:type="pct"/>
            <w:tcBorders>
              <w:top w:val="single" w:sz="4" w:space="0" w:color="auto"/>
              <w:bottom w:val="single" w:sz="4" w:space="0" w:color="auto"/>
              <w:right w:val="single" w:sz="4" w:space="0" w:color="auto"/>
            </w:tcBorders>
          </w:tcPr>
          <w:p w14:paraId="7B1CA48C" w14:textId="168A5689" w:rsidR="00961E81" w:rsidRDefault="00A37AC0">
            <w:pPr>
              <w:pStyle w:val="TableText"/>
            </w:pPr>
            <w:r w:rsidRPr="00A37AC0">
              <w:t>Develop a school chemical management program</w:t>
            </w:r>
          </w:p>
        </w:tc>
        <w:tc>
          <w:tcPr>
            <w:tcW w:w="455" w:type="pct"/>
            <w:tcBorders>
              <w:top w:val="nil"/>
              <w:left w:val="single" w:sz="4" w:space="0" w:color="auto"/>
              <w:bottom w:val="single" w:sz="4" w:space="0" w:color="auto"/>
              <w:right w:val="single" w:sz="4" w:space="0" w:color="auto"/>
            </w:tcBorders>
            <w:shd w:val="clear" w:color="auto" w:fill="auto"/>
            <w:vAlign w:val="center"/>
          </w:tcPr>
          <w:p w14:paraId="14E18B05" w14:textId="6DCB696B" w:rsidR="00961E81" w:rsidRDefault="00DC141B">
            <w:pPr>
              <w:pStyle w:val="TableText"/>
            </w:pPr>
            <w:r>
              <w:t>$$</w:t>
            </w:r>
          </w:p>
        </w:tc>
        <w:tc>
          <w:tcPr>
            <w:tcW w:w="455" w:type="pct"/>
            <w:tcBorders>
              <w:top w:val="single" w:sz="4" w:space="0" w:color="auto"/>
              <w:left w:val="single" w:sz="4" w:space="0" w:color="auto"/>
              <w:bottom w:val="single" w:sz="4" w:space="0" w:color="auto"/>
              <w:right w:val="single" w:sz="4" w:space="0" w:color="auto"/>
            </w:tcBorders>
            <w:vAlign w:val="center"/>
          </w:tcPr>
          <w:p w14:paraId="2B9EF18B" w14:textId="0898F8B5" w:rsidR="00961E81" w:rsidRDefault="00DC141B">
            <w:pPr>
              <w:pStyle w:val="TableText"/>
            </w:pPr>
            <w: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0BA53A37" w14:textId="1026B6C2" w:rsidR="00961E81" w:rsidRDefault="00DC141B">
            <w:pPr>
              <w:pStyle w:val="TableText"/>
            </w:pPr>
            <w:r>
              <w:t>3</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CB705DA" w14:textId="7119FF54" w:rsidR="00961E81" w:rsidRDefault="00DC141B">
            <w:pPr>
              <w:pStyle w:val="TableText"/>
            </w:pPr>
            <w:r>
              <w:t>2</w:t>
            </w:r>
          </w:p>
        </w:tc>
      </w:tr>
      <w:tr w:rsidR="00961E81" w:rsidRPr="00C8094D" w14:paraId="5ABEA571"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52BE13D" w14:textId="54DC121D" w:rsidR="00961E81" w:rsidRDefault="00961E81">
            <w:pPr>
              <w:pStyle w:val="TableText"/>
            </w:pPr>
            <w:r>
              <w:t>(</w:t>
            </w:r>
            <w:r w:rsidR="006A7E84">
              <w:t>2</w:t>
            </w:r>
            <w:r>
              <w:t>)</w:t>
            </w:r>
          </w:p>
        </w:tc>
        <w:tc>
          <w:tcPr>
            <w:tcW w:w="2876" w:type="pct"/>
            <w:tcBorders>
              <w:top w:val="single" w:sz="4" w:space="0" w:color="auto"/>
              <w:bottom w:val="single" w:sz="4" w:space="0" w:color="auto"/>
              <w:right w:val="single" w:sz="4" w:space="0" w:color="auto"/>
            </w:tcBorders>
          </w:tcPr>
          <w:p w14:paraId="5F6CBB72" w14:textId="25AB612A" w:rsidR="00961E81" w:rsidRDefault="00D45961">
            <w:pPr>
              <w:pStyle w:val="TableText"/>
            </w:pPr>
            <w:r w:rsidRPr="00D45961">
              <w:t>Create an emergency and spill response plan</w:t>
            </w:r>
          </w:p>
        </w:tc>
        <w:tc>
          <w:tcPr>
            <w:tcW w:w="455" w:type="pct"/>
            <w:tcBorders>
              <w:top w:val="nil"/>
              <w:left w:val="single" w:sz="4" w:space="0" w:color="auto"/>
              <w:bottom w:val="single" w:sz="4" w:space="0" w:color="auto"/>
              <w:right w:val="single" w:sz="4" w:space="0" w:color="auto"/>
            </w:tcBorders>
            <w:shd w:val="clear" w:color="auto" w:fill="auto"/>
            <w:vAlign w:val="center"/>
          </w:tcPr>
          <w:p w14:paraId="695FFFE5" w14:textId="71D44D60" w:rsidR="00961E81" w:rsidRDefault="00DC141B">
            <w:pPr>
              <w:pStyle w:val="TableText"/>
            </w:pPr>
            <w:r>
              <w:t>$</w:t>
            </w:r>
          </w:p>
        </w:tc>
        <w:tc>
          <w:tcPr>
            <w:tcW w:w="455" w:type="pct"/>
            <w:tcBorders>
              <w:top w:val="single" w:sz="4" w:space="0" w:color="auto"/>
              <w:left w:val="single" w:sz="4" w:space="0" w:color="auto"/>
              <w:bottom w:val="single" w:sz="4" w:space="0" w:color="auto"/>
              <w:right w:val="single" w:sz="4" w:space="0" w:color="auto"/>
            </w:tcBorders>
            <w:vAlign w:val="center"/>
          </w:tcPr>
          <w:p w14:paraId="22E8DB38" w14:textId="10B7A5A0" w:rsidR="00961E81" w:rsidRDefault="00DC141B">
            <w:pPr>
              <w:pStyle w:val="TableText"/>
            </w:pPr>
            <w: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5A2EC3D1" w14:textId="70599ADA" w:rsidR="00961E81" w:rsidRDefault="00DC141B">
            <w:pPr>
              <w:pStyle w:val="TableText"/>
            </w:pPr>
            <w:r>
              <w:t>2</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F1B05E9" w14:textId="38969216" w:rsidR="00961E81" w:rsidRDefault="00DC141B">
            <w:pPr>
              <w:pStyle w:val="TableText"/>
            </w:pPr>
            <w:r>
              <w:t>2</w:t>
            </w:r>
          </w:p>
        </w:tc>
      </w:tr>
      <w:tr w:rsidR="00961E81" w:rsidRPr="00C8094D" w14:paraId="2D0AE567"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5EDDCC2C" w14:textId="097816E8" w:rsidR="00961E81" w:rsidRDefault="00961E81">
            <w:pPr>
              <w:pStyle w:val="TableText"/>
            </w:pPr>
            <w:r>
              <w:t>(</w:t>
            </w:r>
            <w:r w:rsidR="006A7E84">
              <w:t>3</w:t>
            </w:r>
            <w:r>
              <w:t>)</w:t>
            </w:r>
          </w:p>
        </w:tc>
        <w:tc>
          <w:tcPr>
            <w:tcW w:w="2876" w:type="pct"/>
            <w:tcBorders>
              <w:top w:val="single" w:sz="4" w:space="0" w:color="auto"/>
              <w:bottom w:val="single" w:sz="4" w:space="0" w:color="auto"/>
              <w:right w:val="single" w:sz="4" w:space="0" w:color="auto"/>
            </w:tcBorders>
          </w:tcPr>
          <w:p w14:paraId="7DEE91F1" w14:textId="34F0D689" w:rsidR="00961E81" w:rsidRDefault="00A95BA2">
            <w:pPr>
              <w:pStyle w:val="TableText"/>
            </w:pPr>
            <w:r w:rsidRPr="00A95BA2">
              <w:t xml:space="preserve">Form a chemical safety team and </w:t>
            </w:r>
            <w:r w:rsidR="005E0D1D">
              <w:t>conduct</w:t>
            </w:r>
            <w:r w:rsidRPr="00A95BA2">
              <w:t xml:space="preserve"> adequate staff training</w:t>
            </w:r>
          </w:p>
        </w:tc>
        <w:tc>
          <w:tcPr>
            <w:tcW w:w="455" w:type="pct"/>
            <w:tcBorders>
              <w:top w:val="nil"/>
              <w:left w:val="single" w:sz="4" w:space="0" w:color="auto"/>
              <w:bottom w:val="single" w:sz="4" w:space="0" w:color="auto"/>
              <w:right w:val="single" w:sz="4" w:space="0" w:color="auto"/>
            </w:tcBorders>
            <w:shd w:val="clear" w:color="auto" w:fill="auto"/>
            <w:vAlign w:val="center"/>
          </w:tcPr>
          <w:p w14:paraId="4461C236" w14:textId="2E6FA3FD" w:rsidR="00961E81" w:rsidRDefault="00DC141B">
            <w:pPr>
              <w:pStyle w:val="TableText"/>
            </w:pPr>
            <w:r>
              <w:t>$-$$</w:t>
            </w:r>
          </w:p>
        </w:tc>
        <w:tc>
          <w:tcPr>
            <w:tcW w:w="455" w:type="pct"/>
            <w:tcBorders>
              <w:top w:val="single" w:sz="4" w:space="0" w:color="auto"/>
              <w:left w:val="single" w:sz="4" w:space="0" w:color="auto"/>
              <w:bottom w:val="single" w:sz="4" w:space="0" w:color="auto"/>
              <w:right w:val="single" w:sz="4" w:space="0" w:color="auto"/>
            </w:tcBorders>
            <w:vAlign w:val="center"/>
          </w:tcPr>
          <w:p w14:paraId="75646E9A" w14:textId="300DF5D9" w:rsidR="00961E81" w:rsidRDefault="00AE58A1">
            <w:pPr>
              <w:pStyle w:val="TableText"/>
            </w:pPr>
            <w: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28F3F3BF" w14:textId="229D48F8" w:rsidR="00961E81" w:rsidRDefault="00AE58A1">
            <w:pPr>
              <w:pStyle w:val="TableText"/>
            </w:pPr>
            <w:r>
              <w:t>2</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31DAAC25" w14:textId="796F8C85" w:rsidR="00961E81" w:rsidRDefault="00AE58A1">
            <w:pPr>
              <w:pStyle w:val="TableText"/>
            </w:pPr>
            <w:r>
              <w:t>2</w:t>
            </w:r>
          </w:p>
        </w:tc>
      </w:tr>
      <w:tr w:rsidR="00961E81" w:rsidRPr="00C8094D" w14:paraId="5D4F2215" w14:textId="77777777" w:rsidTr="006F5AAC">
        <w:trPr>
          <w:cantSplit/>
          <w:trHeight w:val="255"/>
          <w:tblHeader/>
          <w:jc w:val="center"/>
        </w:trPr>
        <w:tc>
          <w:tcPr>
            <w:tcW w:w="318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3C8D48FF" w14:textId="198FBA30" w:rsidR="00961E81" w:rsidRPr="00276B41" w:rsidRDefault="006A7E84">
            <w:pPr>
              <w:pStyle w:val="TableRowHeader"/>
            </w:pPr>
            <w:r>
              <w:t>Green Cleaning Supplies/Chemicals</w:t>
            </w:r>
          </w:p>
        </w:tc>
        <w:tc>
          <w:tcPr>
            <w:tcW w:w="455" w:type="pct"/>
            <w:tcBorders>
              <w:top w:val="nil"/>
              <w:left w:val="single" w:sz="4" w:space="0" w:color="auto"/>
              <w:bottom w:val="single" w:sz="4" w:space="0" w:color="auto"/>
              <w:right w:val="single" w:sz="4" w:space="0" w:color="auto"/>
            </w:tcBorders>
            <w:shd w:val="clear" w:color="auto" w:fill="1F497D" w:themeFill="text2"/>
            <w:vAlign w:val="center"/>
          </w:tcPr>
          <w:p w14:paraId="13362A05" w14:textId="77777777" w:rsidR="00961E81" w:rsidRPr="00276B41" w:rsidRDefault="00961E81">
            <w:pPr>
              <w:pStyle w:val="TableText"/>
            </w:pPr>
          </w:p>
        </w:tc>
        <w:tc>
          <w:tcPr>
            <w:tcW w:w="4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FF6AAF4" w14:textId="77777777" w:rsidR="00961E81" w:rsidRPr="00276B41" w:rsidRDefault="00961E81">
            <w:pPr>
              <w:pStyle w:val="TableText"/>
            </w:pPr>
          </w:p>
        </w:tc>
        <w:tc>
          <w:tcPr>
            <w:tcW w:w="4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50921C4" w14:textId="77777777" w:rsidR="00961E81" w:rsidRPr="00276B41" w:rsidRDefault="00961E81">
            <w:pPr>
              <w:pStyle w:val="TableText"/>
            </w:pPr>
          </w:p>
        </w:tc>
        <w:tc>
          <w:tcPr>
            <w:tcW w:w="454"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A612ED9" w14:textId="77777777" w:rsidR="00961E81" w:rsidRPr="00276B41" w:rsidRDefault="00961E81">
            <w:pPr>
              <w:pStyle w:val="TableText"/>
            </w:pPr>
          </w:p>
        </w:tc>
      </w:tr>
      <w:tr w:rsidR="00961E81" w:rsidRPr="00C8094D" w14:paraId="46C3DCC0"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3FDB6502" w14:textId="5A1DE01D" w:rsidR="00961E81" w:rsidRPr="00C8094D" w:rsidRDefault="00961E81">
            <w:pPr>
              <w:pStyle w:val="TableText"/>
            </w:pPr>
            <w:r>
              <w:t>(</w:t>
            </w:r>
            <w:r w:rsidR="006A7E84">
              <w:t>4</w:t>
            </w:r>
            <w:r>
              <w:t>)</w:t>
            </w:r>
          </w:p>
        </w:tc>
        <w:tc>
          <w:tcPr>
            <w:tcW w:w="2876" w:type="pct"/>
            <w:tcBorders>
              <w:top w:val="single" w:sz="4" w:space="0" w:color="auto"/>
              <w:bottom w:val="single" w:sz="4" w:space="0" w:color="auto"/>
              <w:right w:val="single" w:sz="4" w:space="0" w:color="auto"/>
            </w:tcBorders>
          </w:tcPr>
          <w:p w14:paraId="5EBECE59" w14:textId="149C5F3A" w:rsidR="00961E81" w:rsidRPr="00C8094D" w:rsidRDefault="00013CF8">
            <w:pPr>
              <w:pStyle w:val="TableText"/>
            </w:pPr>
            <w:r w:rsidRPr="00013CF8">
              <w:t>Implement a green chemical purchasing policy</w:t>
            </w:r>
          </w:p>
        </w:tc>
        <w:tc>
          <w:tcPr>
            <w:tcW w:w="455" w:type="pct"/>
            <w:tcBorders>
              <w:top w:val="nil"/>
              <w:left w:val="single" w:sz="4" w:space="0" w:color="auto"/>
              <w:bottom w:val="single" w:sz="4" w:space="0" w:color="auto"/>
              <w:right w:val="single" w:sz="4" w:space="0" w:color="auto"/>
            </w:tcBorders>
            <w:shd w:val="clear" w:color="auto" w:fill="auto"/>
            <w:vAlign w:val="center"/>
          </w:tcPr>
          <w:p w14:paraId="58FF1741" w14:textId="7002FB00" w:rsidR="00961E81" w:rsidRPr="00F45120" w:rsidRDefault="00AE58A1">
            <w:pPr>
              <w:pStyle w:val="TableText"/>
            </w:pPr>
            <w:r>
              <w:t>$$$</w:t>
            </w:r>
          </w:p>
        </w:tc>
        <w:tc>
          <w:tcPr>
            <w:tcW w:w="455" w:type="pct"/>
            <w:tcBorders>
              <w:top w:val="single" w:sz="4" w:space="0" w:color="auto"/>
              <w:left w:val="single" w:sz="4" w:space="0" w:color="auto"/>
              <w:bottom w:val="single" w:sz="4" w:space="0" w:color="auto"/>
              <w:right w:val="single" w:sz="4" w:space="0" w:color="auto"/>
            </w:tcBorders>
            <w:vAlign w:val="center"/>
          </w:tcPr>
          <w:p w14:paraId="4D2BFA2B" w14:textId="0A1D4A99" w:rsidR="00961E81" w:rsidRPr="00F45120" w:rsidRDefault="00AE58A1">
            <w:pPr>
              <w:pStyle w:val="TableText"/>
            </w:pPr>
            <w:r>
              <w:t>$</w:t>
            </w:r>
            <w:r w:rsidR="009D70F8">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2B29307E" w14:textId="20C37B1E" w:rsidR="00961E81" w:rsidRPr="00F45120" w:rsidRDefault="009D70F8">
            <w:pPr>
              <w:pStyle w:val="TableText"/>
            </w:pPr>
            <w:r>
              <w:t>3</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663628B0" w14:textId="0656F5D5" w:rsidR="00961E81" w:rsidRPr="00F45120" w:rsidRDefault="009D70F8">
            <w:pPr>
              <w:pStyle w:val="TableText"/>
            </w:pPr>
            <w:r>
              <w:t>3</w:t>
            </w:r>
          </w:p>
        </w:tc>
      </w:tr>
      <w:tr w:rsidR="00961E81" w:rsidRPr="00C8094D" w14:paraId="6156A80C"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2F89268" w14:textId="5AB9F598" w:rsidR="00961E81" w:rsidRDefault="00961E81">
            <w:pPr>
              <w:pStyle w:val="TableText"/>
            </w:pPr>
            <w:r>
              <w:t>(</w:t>
            </w:r>
            <w:r w:rsidR="006A7E84">
              <w:t>5</w:t>
            </w:r>
            <w:r>
              <w:t>)</w:t>
            </w:r>
          </w:p>
        </w:tc>
        <w:tc>
          <w:tcPr>
            <w:tcW w:w="2876" w:type="pct"/>
            <w:tcBorders>
              <w:top w:val="single" w:sz="4" w:space="0" w:color="auto"/>
              <w:bottom w:val="single" w:sz="4" w:space="0" w:color="auto"/>
              <w:right w:val="single" w:sz="4" w:space="0" w:color="auto"/>
            </w:tcBorders>
          </w:tcPr>
          <w:p w14:paraId="751585C1" w14:textId="611A6827" w:rsidR="00961E81" w:rsidRDefault="00006ED2">
            <w:pPr>
              <w:pStyle w:val="TableText"/>
            </w:pPr>
            <w:r w:rsidRPr="00006ED2">
              <w:t>Design a plan for green cleaning, sanitizing, disinfecting, and other daily practices plan</w:t>
            </w:r>
          </w:p>
        </w:tc>
        <w:tc>
          <w:tcPr>
            <w:tcW w:w="455" w:type="pct"/>
            <w:tcBorders>
              <w:top w:val="nil"/>
              <w:left w:val="single" w:sz="4" w:space="0" w:color="auto"/>
              <w:bottom w:val="single" w:sz="4" w:space="0" w:color="auto"/>
              <w:right w:val="single" w:sz="4" w:space="0" w:color="auto"/>
            </w:tcBorders>
            <w:shd w:val="clear" w:color="auto" w:fill="auto"/>
            <w:vAlign w:val="center"/>
          </w:tcPr>
          <w:p w14:paraId="55B9457B" w14:textId="3D6428E9" w:rsidR="00961E81" w:rsidRDefault="00AE58A1">
            <w:pPr>
              <w:pStyle w:val="TableText"/>
            </w:pPr>
            <w:r>
              <w:t>$</w:t>
            </w:r>
          </w:p>
        </w:tc>
        <w:tc>
          <w:tcPr>
            <w:tcW w:w="455" w:type="pct"/>
            <w:tcBorders>
              <w:top w:val="single" w:sz="4" w:space="0" w:color="auto"/>
              <w:left w:val="single" w:sz="4" w:space="0" w:color="auto"/>
              <w:bottom w:val="single" w:sz="4" w:space="0" w:color="auto"/>
              <w:right w:val="single" w:sz="4" w:space="0" w:color="auto"/>
            </w:tcBorders>
            <w:vAlign w:val="center"/>
          </w:tcPr>
          <w:p w14:paraId="3FAB7000" w14:textId="14264D67" w:rsidR="00961E81" w:rsidRDefault="009D70F8">
            <w:pPr>
              <w:pStyle w:val="TableText"/>
            </w:pPr>
            <w: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2EF4948E" w14:textId="1C7429D5" w:rsidR="00961E81" w:rsidRDefault="009D70F8">
            <w:pPr>
              <w:pStyle w:val="TableText"/>
            </w:pPr>
            <w:r>
              <w:t>2</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77F3DC48" w14:textId="2F7599CF" w:rsidR="00961E81" w:rsidRDefault="009D70F8">
            <w:pPr>
              <w:pStyle w:val="TableText"/>
            </w:pPr>
            <w:r>
              <w:t>2</w:t>
            </w:r>
          </w:p>
        </w:tc>
      </w:tr>
      <w:tr w:rsidR="00961E81" w:rsidRPr="00C8094D" w14:paraId="2D206D0C"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C2360A4" w14:textId="77777777" w:rsidR="00961E81" w:rsidRPr="00FF51E8" w:rsidRDefault="00961E81">
            <w:pPr>
              <w:rPr>
                <w:rFonts w:ascii="Arial" w:hAnsi="Arial" w:cs="Arial"/>
                <w:b/>
                <w:bCs/>
                <w:sz w:val="20"/>
                <w:szCs w:val="20"/>
                <w:u w:val="single"/>
              </w:rPr>
            </w:pPr>
            <w:r w:rsidRPr="00FF51E8">
              <w:rPr>
                <w:rFonts w:ascii="Arial" w:hAnsi="Arial" w:cs="Arial"/>
                <w:b/>
                <w:bCs/>
                <w:sz w:val="20"/>
                <w:szCs w:val="20"/>
                <w:u w:val="single"/>
              </w:rPr>
              <w:t>Key:</w:t>
            </w:r>
          </w:p>
          <w:p w14:paraId="643F4493" w14:textId="77777777" w:rsidR="00961E81" w:rsidRPr="00FF51E8" w:rsidRDefault="00961E81">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6A36AE4D" w14:textId="23EFDC1D" w:rsidR="00961E81" w:rsidRPr="00FF51E8" w:rsidRDefault="00961E81">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4EC9C1E6" w14:textId="77777777" w:rsidR="00961E81" w:rsidRPr="00FF51E8" w:rsidRDefault="00961E81">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572AB421" w14:textId="77777777" w:rsidR="00961E81" w:rsidRDefault="00961E81" w:rsidP="00961E81">
      <w:pPr>
        <w:pStyle w:val="Heading3"/>
      </w:pPr>
      <w:r>
        <w:t>Barriers and Challenges</w:t>
      </w:r>
    </w:p>
    <w:p w14:paraId="3083E01F" w14:textId="58E53202" w:rsidR="00A640B7" w:rsidRDefault="009D77F0" w:rsidP="006D7DE6">
      <w:pPr>
        <w:pStyle w:val="BodyTextFirstIndent"/>
      </w:pPr>
      <w:r>
        <w:t>S</w:t>
      </w:r>
      <w:r w:rsidR="00A640B7">
        <w:t xml:space="preserve">chools </w:t>
      </w:r>
      <w:r>
        <w:t xml:space="preserve">may </w:t>
      </w:r>
      <w:r w:rsidR="00A640B7">
        <w:t xml:space="preserve">face </w:t>
      </w:r>
      <w:r>
        <w:t xml:space="preserve">challenges </w:t>
      </w:r>
      <w:r w:rsidR="00A640B7">
        <w:t xml:space="preserve">when trying to implement a chemical management system or procure green chemicals. Some notable challenges in regard to school chemical management systems may be the lack of environmental, health, and safety staff onsite or protective systems such as </w:t>
      </w:r>
      <w:r w:rsidR="00F37143">
        <w:t>personal protective equipment (</w:t>
      </w:r>
      <w:r>
        <w:t>PPE</w:t>
      </w:r>
      <w:r w:rsidR="00F37143">
        <w:t>)</w:t>
      </w:r>
      <w:r w:rsidR="00A640B7">
        <w:t>, medical monitoring, control mechanisms for hazardous chemical releases, etc.</w:t>
      </w:r>
      <w:r w:rsidR="00A640B7">
        <w:fldChar w:fldCharType="begin"/>
      </w:r>
      <w:r w:rsidR="00515BDD">
        <w:instrText xml:space="preserve"> ADDIN ZOTERO_ITEM CSL_CITATION {"citationID":"m0KI8oE1","properties":{"formattedCitation":"\\super 133\\nosupersub{}","plainCitation":"133","noteIndex":0},"citationItems":[{"id":450,"uris":["http://zotero.org/groups/5563646/items/PF6V93TQ"],"itemData":{"id":450,"type":"document","title":"Massachusetts School Chemical Management Program","author":[{"family":"MassDEP","given":""}],"issued":{"date-parts":[["2006",11]]}}}],"schema":"https://github.com/citation-style-language/schema/raw/master/csl-citation.json"} </w:instrText>
      </w:r>
      <w:r w:rsidR="00A640B7">
        <w:fldChar w:fldCharType="separate"/>
      </w:r>
      <w:r w:rsidR="00515BDD" w:rsidRPr="00515BDD">
        <w:rPr>
          <w:rFonts w:cs="Arial"/>
          <w:vertAlign w:val="superscript"/>
        </w:rPr>
        <w:t>133</w:t>
      </w:r>
      <w:r w:rsidR="00A640B7">
        <w:fldChar w:fldCharType="end"/>
      </w:r>
      <w:r w:rsidR="00A640B7">
        <w:t xml:space="preserve"> Additionally, challenges regarding the procurement of green chemicals may include lack of knowledge on which chemicals are considered hazardous and which are considered safer alternatives, as well as </w:t>
      </w:r>
      <w:r w:rsidR="00F73CFF">
        <w:t>limited financial resources</w:t>
      </w:r>
      <w:r w:rsidR="00A640B7">
        <w:t xml:space="preserve"> to purchase such alternatives.</w:t>
      </w:r>
      <w:r w:rsidR="00A640B7">
        <w:fldChar w:fldCharType="begin"/>
      </w:r>
      <w:r w:rsidR="00C7603C">
        <w:instrText xml:space="preserve"> ADDIN ZOTERO_ITEM CSL_CITATION {"citationID":"pcq4w8KG","properties":{"formattedCitation":"\\super 133,134\\nosupersub{}","plainCitation":"133,134","noteIndex":0},"citationItems":[{"id":450,"uris":["http://zotero.org/groups/5563646/items/PF6V93TQ"],"itemData":{"id":450,"type":"document","title":"Massachusetts School Chemical Management Program","author":[{"family":"MassDEP","given":""}],"issued":{"date-parts":[["2006",11]]}}},{"id":447,"uris":["http://zotero.org/groups/5563646/items/4ND73U5Q"],"itemData":{"id":447,"type":"article-journal","language":"en","source":"Zotero","title":"Green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schema":"https://github.com/citation-style-language/schema/raw/master/csl-citation.json"} </w:instrText>
      </w:r>
      <w:r w:rsidR="00A640B7">
        <w:fldChar w:fldCharType="separate"/>
      </w:r>
      <w:r w:rsidR="00C7603C" w:rsidRPr="00C7603C">
        <w:rPr>
          <w:rFonts w:cs="Arial"/>
          <w:vertAlign w:val="superscript"/>
        </w:rPr>
        <w:t>133,134</w:t>
      </w:r>
      <w:r w:rsidR="00A640B7">
        <w:fldChar w:fldCharType="end"/>
      </w:r>
      <w:r w:rsidR="00A640B7">
        <w:t xml:space="preserve"> Thus, it is </w:t>
      </w:r>
      <w:r>
        <w:t xml:space="preserve">essential </w:t>
      </w:r>
      <w:r w:rsidR="00A640B7">
        <w:t xml:space="preserve">that schools build a team of partners and a </w:t>
      </w:r>
      <w:r>
        <w:t>long-</w:t>
      </w:r>
      <w:r w:rsidR="00A640B7">
        <w:t xml:space="preserve">term plan that can assist in working towards these goals. </w:t>
      </w:r>
    </w:p>
    <w:p w14:paraId="5D8A2FBD" w14:textId="77777777" w:rsidR="006F5AAC" w:rsidRDefault="006F5AAC">
      <w:pPr>
        <w:rPr>
          <w:rFonts w:ascii="Arial" w:hAnsi="Arial"/>
          <w:b/>
          <w:bCs/>
          <w:color w:val="1F497D" w:themeColor="text2"/>
          <w:sz w:val="28"/>
          <w:szCs w:val="28"/>
        </w:rPr>
      </w:pPr>
      <w:bookmarkStart w:id="227" w:name="_Toc171518374"/>
      <w:bookmarkStart w:id="228" w:name="_Toc171519327"/>
      <w:r>
        <w:br w:type="page"/>
      </w:r>
    </w:p>
    <w:p w14:paraId="584AB83F" w14:textId="07C9A34B" w:rsidR="00904065" w:rsidRDefault="00904065" w:rsidP="001C7888">
      <w:pPr>
        <w:pStyle w:val="Heading2"/>
      </w:pPr>
      <w:bookmarkStart w:id="229" w:name="_Toc193116906"/>
      <w:r>
        <w:lastRenderedPageBreak/>
        <w:t xml:space="preserve">Objective 2f. </w:t>
      </w:r>
      <w:r w:rsidR="005A1699">
        <w:t>Reduce</w:t>
      </w:r>
      <w:r w:rsidR="00402A9F">
        <w:t xml:space="preserve"> Exposure to Hazardous Substances</w:t>
      </w:r>
      <w:bookmarkEnd w:id="227"/>
      <w:bookmarkEnd w:id="228"/>
      <w:bookmarkEnd w:id="229"/>
    </w:p>
    <w:p w14:paraId="67EBB31D" w14:textId="073E4F5C" w:rsidR="00AF4DAE" w:rsidRDefault="001A614D" w:rsidP="00AF4DAE">
      <w:pPr>
        <w:pStyle w:val="AirQualitySubheading"/>
      </w:pPr>
      <w:r>
        <w:t>2f(1)</w:t>
      </w:r>
      <w:r>
        <w:tab/>
      </w:r>
      <w:r w:rsidR="00AF4DAE">
        <w:t>Reduc</w:t>
      </w:r>
      <w:r w:rsidR="00A67708">
        <w:t>e</w:t>
      </w:r>
      <w:r w:rsidR="00AF4DAE">
        <w:t xml:space="preserve"> Exposure to </w:t>
      </w:r>
      <w:r w:rsidR="00F10FF6">
        <w:t>Lead in Paint and Soil</w:t>
      </w:r>
    </w:p>
    <w:p w14:paraId="584354CC" w14:textId="77777777" w:rsidR="00AF4DAE" w:rsidRDefault="00AF4DAE" w:rsidP="00AF4DAE">
      <w:pPr>
        <w:pStyle w:val="Heading3"/>
      </w:pPr>
      <w:r>
        <w:t>Background</w:t>
      </w:r>
    </w:p>
    <w:p w14:paraId="307E088B" w14:textId="3FF746F7" w:rsidR="00B4615B" w:rsidRDefault="00B4615B" w:rsidP="006D7DE6">
      <w:pPr>
        <w:pStyle w:val="BodyTextFirstIndent"/>
      </w:pPr>
      <w:r>
        <w:t xml:space="preserve">Lead is a naturally occurring metal once used in </w:t>
      </w:r>
      <w:r w:rsidR="009D77F0">
        <w:t>various</w:t>
      </w:r>
      <w:r>
        <w:t xml:space="preserve"> products</w:t>
      </w:r>
      <w:r w:rsidR="009D77F0">
        <w:t>,</w:t>
      </w:r>
      <w:r>
        <w:t xml:space="preserve"> including paints and primers.</w:t>
      </w:r>
      <w:r>
        <w:fldChar w:fldCharType="begin"/>
      </w:r>
      <w:r w:rsidR="00405A45">
        <w:instrText xml:space="preserve"> ADDIN ZOTERO_ITEM CSL_CITATION {"citationID":"vyRsPbfg","properties":{"formattedCitation":"\\super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405A45" w:rsidRPr="00405A45">
        <w:rPr>
          <w:rFonts w:cs="Arial"/>
          <w:vertAlign w:val="superscript"/>
        </w:rPr>
        <w:t>100</w:t>
      </w:r>
      <w:r>
        <w:fldChar w:fldCharType="end"/>
      </w:r>
      <w:r>
        <w:t xml:space="preserve"> Lead is considered highly toxic and is associated with adverse effects for both children and adults.</w:t>
      </w:r>
      <w:r>
        <w:fldChar w:fldCharType="begin"/>
      </w:r>
      <w:r w:rsidR="002E2D4F">
        <w:instrText xml:space="preserve"> ADDIN ZOTERO_ITEM CSL_CITATION {"citationID":"QDpubJSa","properties":{"formattedCitation":"\\super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2E2D4F" w:rsidRPr="002E2D4F">
        <w:rPr>
          <w:rFonts w:cs="Arial"/>
          <w:vertAlign w:val="superscript"/>
        </w:rPr>
        <w:t>101</w:t>
      </w:r>
      <w:r>
        <w:fldChar w:fldCharType="end"/>
      </w:r>
      <w:r>
        <w:t xml:space="preserve"> Outside of lead in drinking water, people can be exposed by inhaling dust or ingesting particles via hand-to-mouth contact, where lead-based paint is one of the most common sources of contamination.</w:t>
      </w:r>
      <w:r>
        <w:fldChar w:fldCharType="begin"/>
      </w:r>
      <w:r w:rsidR="00E44953">
        <w:instrText xml:space="preserve"> ADDIN ZOTERO_ITEM CSL_CITATION {"citationID":"L9gpk6jj","properties":{"formattedCitation":"\\super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E44953" w:rsidRPr="00E44953">
        <w:rPr>
          <w:rFonts w:cs="Arial"/>
          <w:vertAlign w:val="superscript"/>
        </w:rPr>
        <w:t>100</w:t>
      </w:r>
      <w:r>
        <w:fldChar w:fldCharType="end"/>
      </w:r>
      <w:r>
        <w:t xml:space="preserve"> There is no safe level of lead exposure, with associated health effects including anemia, decreased kidney function, high blood pressure, reproductive harm, and damage to the brain and nervous system.</w:t>
      </w:r>
      <w:r>
        <w:fldChar w:fldCharType="begin"/>
      </w:r>
      <w:r w:rsidR="007365BF">
        <w:instrText xml:space="preserve"> ADDIN ZOTERO_ITEM CSL_CITATION {"citationID":"9r0MATIH","properties":{"formattedCitation":"\\super 99,100\\nosupersub{}","plainCitation":"99,100","noteIndex":0},"citationItems":[{"id":8,"uris":["http://zotero.org/groups/5563646/items/KSFS3HQF"],"itemData":{"id":8,"type":"report","number":"EPA-909-R-15-002","publisher":"Environmental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7365BF" w:rsidRPr="007365BF">
        <w:rPr>
          <w:rFonts w:cs="Arial"/>
          <w:vertAlign w:val="superscript"/>
        </w:rPr>
        <w:t>99,100</w:t>
      </w:r>
      <w:r>
        <w:fldChar w:fldCharType="end"/>
      </w:r>
      <w:r>
        <w:t xml:space="preserve"> Children under the age of six are the most vulnerable to long-lasting damage from lead exposure due to its neurotoxic capabilities, where health effects such as behavioral and learning problems, low IQ, hyperactivity, slowed growth, hearing issues, and more have been identified.</w:t>
      </w:r>
      <w:r>
        <w:fldChar w:fldCharType="begin"/>
      </w:r>
      <w:r w:rsidR="000460A3">
        <w:instrText xml:space="preserve"> ADDIN ZOTERO_ITEM CSL_CITATION {"citationID":"2tHsMeMb","properties":{"formattedCitation":"\\super 99\\uc0\\u8211{}101\\nosupersub{}","plainCitation":"99–101","noteIndex":0},"citationItems":[{"id":8,"uris":["http://zotero.org/groups/5563646/items/KSFS3HQF"],"itemData":{"id":8,"type":"report","number":"EPA-909-R-15-002","publisher":"Environmental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0460A3" w:rsidRPr="000460A3">
        <w:rPr>
          <w:rFonts w:cs="Arial"/>
          <w:vertAlign w:val="superscript"/>
        </w:rPr>
        <w:t>99–101</w:t>
      </w:r>
      <w:r>
        <w:fldChar w:fldCharType="end"/>
      </w:r>
      <w:r>
        <w:t xml:space="preserve"> </w:t>
      </w:r>
    </w:p>
    <w:p w14:paraId="1B43DD3C" w14:textId="77777777" w:rsidR="00AF4DAE" w:rsidRDefault="00AF4DAE" w:rsidP="00AF4DAE">
      <w:pPr>
        <w:pStyle w:val="Heading3"/>
      </w:pPr>
      <w:r>
        <w:t>Methods and Best Practices</w:t>
      </w:r>
    </w:p>
    <w:p w14:paraId="44F627F4" w14:textId="013E1245" w:rsidR="00AF4DAE" w:rsidRDefault="00A364DE" w:rsidP="006D7DE6">
      <w:pPr>
        <w:pStyle w:val="BodyTextFirstIndent"/>
      </w:pPr>
      <w:r>
        <w:fldChar w:fldCharType="begin"/>
      </w:r>
      <w:r>
        <w:instrText xml:space="preserve"> REF _Ref171632370 \h </w:instrText>
      </w:r>
      <w:r>
        <w:fldChar w:fldCharType="separate"/>
      </w:r>
      <w:r w:rsidR="00307850">
        <w:t xml:space="preserve">Table </w:t>
      </w:r>
      <w:r w:rsidR="00307850">
        <w:rPr>
          <w:noProof/>
        </w:rPr>
        <w:t>24</w:t>
      </w:r>
      <w:r>
        <w:fldChar w:fldCharType="end"/>
      </w:r>
      <w:r>
        <w:t xml:space="preserve"> </w:t>
      </w:r>
      <w:r w:rsidR="00AF4DAE" w:rsidRPr="007935AE">
        <w:t xml:space="preserve">summarizes </w:t>
      </w:r>
      <w:r w:rsidR="00AF4DAE">
        <w:t xml:space="preserve">the </w:t>
      </w:r>
      <w:r w:rsidR="00AF4DAE" w:rsidRPr="007935AE">
        <w:t xml:space="preserve">methods and best practices for </w:t>
      </w:r>
      <w:r w:rsidR="00AF4DAE">
        <w:t xml:space="preserve">reducing exposure to </w:t>
      </w:r>
      <w:r>
        <w:t>lead in paint and soil</w:t>
      </w:r>
      <w:r w:rsidR="00AF4DAE">
        <w:t xml:space="preserve"> </w:t>
      </w:r>
      <w:r>
        <w:t>at</w:t>
      </w:r>
      <w:r w:rsidR="00AF4DAE" w:rsidRPr="007935AE">
        <w:t xml:space="preserve"> schools. For each method and best practice, the table presents the approximate capital and operating costs, implementation timeframe, and ease of implementation.</w:t>
      </w:r>
      <w:r w:rsidR="00012D97">
        <w:t xml:space="preserve"> </w:t>
      </w:r>
      <w:r w:rsidR="00012D97" w:rsidRPr="00C43978">
        <w:t xml:space="preserve">See </w:t>
      </w:r>
      <w:hyperlink w:anchor="SectVII_2f1" w:history="1">
        <w:r w:rsidR="00275879" w:rsidRPr="00275879">
          <w:rPr>
            <w:rStyle w:val="Hyperlink"/>
          </w:rPr>
          <w:t>Section VII, Objective 2f(1)</w:t>
        </w:r>
      </w:hyperlink>
      <w:r w:rsidR="00275879">
        <w:t xml:space="preserve"> </w:t>
      </w:r>
      <w:r w:rsidR="00012D97" w:rsidRPr="00C43978">
        <w:t>for additional narrative descriptions of each of the methods and best practices.</w:t>
      </w:r>
    </w:p>
    <w:p w14:paraId="326798A1" w14:textId="7C4AC358" w:rsidR="00AF4DAE" w:rsidRDefault="00AF4DAE" w:rsidP="00B30C96">
      <w:pPr>
        <w:pStyle w:val="TableTitle"/>
      </w:pPr>
      <w:bookmarkStart w:id="230" w:name="_Ref171632370"/>
      <w:bookmarkStart w:id="231" w:name="_Toc192711690"/>
      <w:bookmarkStart w:id="232" w:name="_Toc193112572"/>
      <w:bookmarkStart w:id="233" w:name="_Toc193116971"/>
      <w:r>
        <w:t xml:space="preserve">Table </w:t>
      </w:r>
      <w:fldSimple w:instr=" SEQ Table \* ARABIC ">
        <w:r w:rsidR="00307850">
          <w:rPr>
            <w:noProof/>
          </w:rPr>
          <w:t>24</w:t>
        </w:r>
      </w:fldSimple>
      <w:bookmarkEnd w:id="230"/>
      <w:r>
        <w:t>. Methods</w:t>
      </w:r>
      <w:r w:rsidR="00074426">
        <w:t xml:space="preserve"> and </w:t>
      </w:r>
      <w:r>
        <w:t xml:space="preserve">Best Practices </w:t>
      </w:r>
      <w:r w:rsidR="00A37DD3">
        <w:t>for</w:t>
      </w:r>
      <w:r>
        <w:t xml:space="preserve"> </w:t>
      </w:r>
      <w:r w:rsidRPr="000B161A">
        <w:t>Reduc</w:t>
      </w:r>
      <w:r>
        <w:t>ing</w:t>
      </w:r>
      <w:r w:rsidRPr="000B161A">
        <w:t xml:space="preserve"> </w:t>
      </w:r>
      <w:r>
        <w:t xml:space="preserve">Exposure to </w:t>
      </w:r>
      <w:r w:rsidR="00A364DE">
        <w:t>Lead in Paint and Soil</w:t>
      </w:r>
      <w:bookmarkEnd w:id="231"/>
      <w:bookmarkEnd w:id="232"/>
      <w:bookmarkEnd w:id="233"/>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lead in paint and soil."/>
      </w:tblPr>
      <w:tblGrid>
        <w:gridCol w:w="573"/>
        <w:gridCol w:w="5281"/>
        <w:gridCol w:w="875"/>
        <w:gridCol w:w="875"/>
        <w:gridCol w:w="875"/>
        <w:gridCol w:w="871"/>
      </w:tblGrid>
      <w:tr w:rsidR="00AF4DAE" w:rsidRPr="00C8094D" w14:paraId="1FB317BF" w14:textId="77777777" w:rsidTr="006F5AAC">
        <w:trPr>
          <w:cantSplit/>
          <w:trHeight w:val="2420"/>
          <w:tblHeader/>
          <w:jc w:val="center"/>
        </w:trPr>
        <w:tc>
          <w:tcPr>
            <w:tcW w:w="31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B571BEC" w14:textId="77777777" w:rsidR="00AF4DAE" w:rsidRDefault="00AF4DAE">
            <w:pPr>
              <w:pStyle w:val="TableColumnHeader"/>
            </w:pPr>
            <w:r>
              <w:t>Methods/Best Practices</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7D718DB" w14:textId="77777777" w:rsidR="00AF4DAE" w:rsidRPr="00C8094D" w:rsidRDefault="00AF4DAE" w:rsidP="004A5919">
            <w:pPr>
              <w:pStyle w:val="TableColumnHeader"/>
              <w:jc w:val="left"/>
            </w:pPr>
            <w:r>
              <w:t xml:space="preserve">Capital </w:t>
            </w:r>
            <w:r w:rsidRPr="00C8094D">
              <w:t>Cost</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41E16785" w14:textId="77777777" w:rsidR="00AF4DAE" w:rsidRDefault="00AF4DAE" w:rsidP="004A5919">
            <w:pPr>
              <w:pStyle w:val="TableColumnHeader"/>
              <w:jc w:val="left"/>
            </w:pPr>
            <w:r>
              <w:t>Operating Cost</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F4D2A9C" w14:textId="77777777" w:rsidR="00AF4DAE" w:rsidRPr="00C8094D" w:rsidRDefault="00AF4DAE" w:rsidP="004A5919">
            <w:pPr>
              <w:pStyle w:val="TableColumnHeader"/>
              <w:jc w:val="left"/>
            </w:pPr>
            <w:r>
              <w:t xml:space="preserve">Implementation </w:t>
            </w:r>
            <w:r w:rsidRPr="00C8094D">
              <w:t>Timeframe</w:t>
            </w:r>
          </w:p>
        </w:tc>
        <w:tc>
          <w:tcPr>
            <w:tcW w:w="467"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E68A5F2" w14:textId="77777777" w:rsidR="00AF4DAE" w:rsidRPr="00C8094D" w:rsidRDefault="00AF4DAE" w:rsidP="004A5919">
            <w:pPr>
              <w:pStyle w:val="TableColumnHeader"/>
              <w:jc w:val="left"/>
            </w:pPr>
            <w:r>
              <w:t xml:space="preserve">Ease of </w:t>
            </w:r>
            <w:r w:rsidRPr="00C8094D">
              <w:t>Implementation</w:t>
            </w:r>
          </w:p>
        </w:tc>
      </w:tr>
      <w:tr w:rsidR="00AF4DAE" w:rsidRPr="00C8094D" w14:paraId="512483FC" w14:textId="77777777" w:rsidTr="006F5AAC">
        <w:trPr>
          <w:cantSplit/>
          <w:trHeight w:val="255"/>
          <w:tblHeader/>
          <w:jc w:val="center"/>
        </w:trPr>
        <w:tc>
          <w:tcPr>
            <w:tcW w:w="306" w:type="pct"/>
            <w:tcBorders>
              <w:top w:val="nil"/>
              <w:left w:val="single" w:sz="4" w:space="0" w:color="auto"/>
              <w:bottom w:val="single" w:sz="4" w:space="0" w:color="auto"/>
            </w:tcBorders>
            <w:shd w:val="clear" w:color="auto" w:fill="auto"/>
          </w:tcPr>
          <w:p w14:paraId="2E0CC0C1" w14:textId="77777777" w:rsidR="00AF4DAE" w:rsidRDefault="00AF4DAE">
            <w:pPr>
              <w:pStyle w:val="TableText"/>
            </w:pPr>
            <w:r>
              <w:t>(1)</w:t>
            </w:r>
          </w:p>
        </w:tc>
        <w:tc>
          <w:tcPr>
            <w:tcW w:w="2824" w:type="pct"/>
            <w:tcBorders>
              <w:top w:val="single" w:sz="4" w:space="0" w:color="auto"/>
              <w:bottom w:val="single" w:sz="4" w:space="0" w:color="auto"/>
              <w:right w:val="single" w:sz="4" w:space="0" w:color="auto"/>
            </w:tcBorders>
          </w:tcPr>
          <w:p w14:paraId="3A4B6F53" w14:textId="6ECF4FAD" w:rsidR="00AF4DAE" w:rsidRDefault="00CF0E1B">
            <w:pPr>
              <w:pStyle w:val="TableText"/>
            </w:pPr>
            <w:r>
              <w:t>Examine for lead paint and conduct renovations</w:t>
            </w:r>
          </w:p>
        </w:tc>
        <w:tc>
          <w:tcPr>
            <w:tcW w:w="468" w:type="pct"/>
            <w:tcBorders>
              <w:top w:val="nil"/>
              <w:left w:val="single" w:sz="4" w:space="0" w:color="auto"/>
              <w:bottom w:val="single" w:sz="4" w:space="0" w:color="auto"/>
              <w:right w:val="single" w:sz="4" w:space="0" w:color="auto"/>
            </w:tcBorders>
            <w:shd w:val="clear" w:color="auto" w:fill="auto"/>
            <w:vAlign w:val="center"/>
          </w:tcPr>
          <w:p w14:paraId="7AFA9A5E" w14:textId="21112DDB" w:rsidR="00AF4DAE" w:rsidRPr="00C8094D" w:rsidRDefault="0083188B">
            <w:pPr>
              <w:pStyle w:val="TableText"/>
            </w:pPr>
            <w:r>
              <w:t>$$-$$$</w:t>
            </w:r>
          </w:p>
        </w:tc>
        <w:tc>
          <w:tcPr>
            <w:tcW w:w="468" w:type="pct"/>
            <w:tcBorders>
              <w:top w:val="single" w:sz="4" w:space="0" w:color="auto"/>
              <w:left w:val="single" w:sz="4" w:space="0" w:color="auto"/>
              <w:bottom w:val="single" w:sz="4" w:space="0" w:color="auto"/>
              <w:right w:val="single" w:sz="4" w:space="0" w:color="auto"/>
            </w:tcBorders>
            <w:vAlign w:val="center"/>
          </w:tcPr>
          <w:p w14:paraId="7B00F278" w14:textId="743E8E9C" w:rsidR="00AF4DAE" w:rsidRPr="00C8094D" w:rsidRDefault="0083188B">
            <w:pPr>
              <w:pStyle w:val="TableText"/>
            </w:pPr>
            <w:r>
              <w:t>$$</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E62DC34" w14:textId="1EF1F8F9" w:rsidR="00AF4DAE" w:rsidRPr="00C8094D" w:rsidRDefault="0083188B">
            <w:pPr>
              <w:pStyle w:val="TableText"/>
            </w:pPr>
            <w:r>
              <w:t>3</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1A6A568" w14:textId="43E93D80" w:rsidR="00AF4DAE" w:rsidRPr="00C8094D" w:rsidRDefault="0083188B">
            <w:pPr>
              <w:pStyle w:val="TableText"/>
            </w:pPr>
            <w:r>
              <w:t>3</w:t>
            </w:r>
          </w:p>
        </w:tc>
      </w:tr>
      <w:tr w:rsidR="00AF4DAE" w:rsidRPr="00C8094D" w14:paraId="63320A76" w14:textId="77777777" w:rsidTr="006F5AAC">
        <w:trPr>
          <w:cantSplit/>
          <w:trHeight w:val="255"/>
          <w:tblHeader/>
          <w:jc w:val="center"/>
        </w:trPr>
        <w:tc>
          <w:tcPr>
            <w:tcW w:w="306" w:type="pct"/>
            <w:tcBorders>
              <w:top w:val="single" w:sz="4" w:space="0" w:color="auto"/>
              <w:left w:val="single" w:sz="4" w:space="0" w:color="auto"/>
              <w:bottom w:val="single" w:sz="4" w:space="0" w:color="auto"/>
            </w:tcBorders>
            <w:shd w:val="clear" w:color="auto" w:fill="auto"/>
          </w:tcPr>
          <w:p w14:paraId="00E84865" w14:textId="77777777" w:rsidR="00AF4DAE" w:rsidRPr="00C8094D" w:rsidRDefault="00AF4DAE">
            <w:pPr>
              <w:pStyle w:val="TableText"/>
            </w:pPr>
            <w:r>
              <w:t>(2)</w:t>
            </w:r>
          </w:p>
        </w:tc>
        <w:tc>
          <w:tcPr>
            <w:tcW w:w="2824" w:type="pct"/>
            <w:tcBorders>
              <w:top w:val="single" w:sz="4" w:space="0" w:color="auto"/>
              <w:bottom w:val="single" w:sz="4" w:space="0" w:color="auto"/>
              <w:right w:val="single" w:sz="4" w:space="0" w:color="auto"/>
            </w:tcBorders>
          </w:tcPr>
          <w:p w14:paraId="6A2E091B" w14:textId="031CAFDE" w:rsidR="00AF4DAE" w:rsidRPr="00C8094D" w:rsidRDefault="00CF0E1B">
            <w:pPr>
              <w:pStyle w:val="TableText"/>
            </w:pPr>
            <w:r>
              <w:t>Implement a hand</w:t>
            </w:r>
            <w:r w:rsidR="00F37143">
              <w:t>-</w:t>
            </w:r>
            <w:r>
              <w:t>washing</w:t>
            </w:r>
            <w:r w:rsidR="0083188B">
              <w:t xml:space="preserve"> routine after recess breaks and before eating </w:t>
            </w:r>
          </w:p>
        </w:tc>
        <w:tc>
          <w:tcPr>
            <w:tcW w:w="468" w:type="pct"/>
            <w:tcBorders>
              <w:top w:val="nil"/>
              <w:left w:val="single" w:sz="4" w:space="0" w:color="auto"/>
              <w:bottom w:val="single" w:sz="4" w:space="0" w:color="auto"/>
              <w:right w:val="single" w:sz="4" w:space="0" w:color="auto"/>
            </w:tcBorders>
            <w:shd w:val="clear" w:color="auto" w:fill="auto"/>
            <w:vAlign w:val="center"/>
          </w:tcPr>
          <w:p w14:paraId="0320366B" w14:textId="790475B2" w:rsidR="00AF4DAE" w:rsidRPr="00C8094D" w:rsidRDefault="0083188B">
            <w:pPr>
              <w:pStyle w:val="TableText"/>
            </w:pPr>
            <w:r>
              <w:t>$</w:t>
            </w:r>
          </w:p>
        </w:tc>
        <w:tc>
          <w:tcPr>
            <w:tcW w:w="468" w:type="pct"/>
            <w:tcBorders>
              <w:top w:val="single" w:sz="4" w:space="0" w:color="auto"/>
              <w:left w:val="single" w:sz="4" w:space="0" w:color="auto"/>
              <w:bottom w:val="single" w:sz="4" w:space="0" w:color="auto"/>
              <w:right w:val="single" w:sz="4" w:space="0" w:color="auto"/>
            </w:tcBorders>
            <w:vAlign w:val="center"/>
          </w:tcPr>
          <w:p w14:paraId="05D44B24" w14:textId="3B242028" w:rsidR="00AF4DAE" w:rsidRPr="00C8094D" w:rsidRDefault="0083188B">
            <w:pPr>
              <w:pStyle w:val="TableText"/>
            </w:pPr>
            <w:r>
              <w:t>$</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3C535443" w14:textId="73F266FC" w:rsidR="00AF4DAE" w:rsidRPr="00C8094D" w:rsidRDefault="0083188B">
            <w:pPr>
              <w:pStyle w:val="TableText"/>
            </w:pPr>
            <w:r>
              <w:t>1</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3D450F1" w14:textId="3565C430" w:rsidR="00AF4DAE" w:rsidRPr="00C8094D" w:rsidRDefault="0083188B">
            <w:pPr>
              <w:pStyle w:val="TableText"/>
            </w:pPr>
            <w:r>
              <w:t>1</w:t>
            </w:r>
          </w:p>
        </w:tc>
      </w:tr>
      <w:tr w:rsidR="00AF4DAE" w:rsidRPr="00C8094D" w14:paraId="4984FA8C"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0D1890" w14:textId="77777777" w:rsidR="00AF4DAE" w:rsidRPr="00FF51E8" w:rsidRDefault="00AF4DAE">
            <w:pPr>
              <w:rPr>
                <w:rFonts w:ascii="Arial" w:hAnsi="Arial" w:cs="Arial"/>
                <w:b/>
                <w:bCs/>
                <w:sz w:val="20"/>
                <w:szCs w:val="20"/>
                <w:u w:val="single"/>
              </w:rPr>
            </w:pPr>
            <w:r w:rsidRPr="00FF51E8">
              <w:rPr>
                <w:rFonts w:ascii="Arial" w:hAnsi="Arial" w:cs="Arial"/>
                <w:b/>
                <w:bCs/>
                <w:sz w:val="20"/>
                <w:szCs w:val="20"/>
                <w:u w:val="single"/>
              </w:rPr>
              <w:t>Key:</w:t>
            </w:r>
          </w:p>
          <w:p w14:paraId="2B7440D4" w14:textId="77777777" w:rsidR="00AF4DAE" w:rsidRPr="00FF51E8" w:rsidRDefault="00AF4DAE">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25E7C9CD" w14:textId="1E8D1216" w:rsidR="00AF4DAE" w:rsidRPr="00FF51E8" w:rsidRDefault="00AF4DAE">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48358D92" w14:textId="77777777" w:rsidR="00AF4DAE" w:rsidRPr="00FF51E8" w:rsidRDefault="00AF4DAE">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79A5735B" w14:textId="77777777" w:rsidR="006560DB" w:rsidRDefault="006560DB" w:rsidP="00AF4DAE">
      <w:pPr>
        <w:pStyle w:val="Heading3"/>
      </w:pPr>
    </w:p>
    <w:p w14:paraId="44345450" w14:textId="05B7DCFC" w:rsidR="00AF4DAE" w:rsidRDefault="00AF4DAE" w:rsidP="00AF4DAE">
      <w:pPr>
        <w:pStyle w:val="Heading3"/>
      </w:pPr>
      <w:r>
        <w:lastRenderedPageBreak/>
        <w:t>Barriers and Challenges</w:t>
      </w:r>
    </w:p>
    <w:p w14:paraId="175776C8" w14:textId="40452DF7" w:rsidR="00CE40D8" w:rsidRDefault="00CE40D8" w:rsidP="006D7DE6">
      <w:pPr>
        <w:pStyle w:val="BodyTextFirstIndent"/>
      </w:pPr>
      <w:r>
        <w:t xml:space="preserve">A major barrier </w:t>
      </w:r>
      <w:r w:rsidR="00F73DF0">
        <w:t xml:space="preserve">to </w:t>
      </w:r>
      <w:r>
        <w:t xml:space="preserve">minimizing exposure to lead from paint is the need for renovations. Renovating buildings with lead-based paint can be challenging </w:t>
      </w:r>
      <w:r w:rsidR="00F73DF0">
        <w:t xml:space="preserve">since it is not only </w:t>
      </w:r>
      <w:r>
        <w:t xml:space="preserve">a costly venture </w:t>
      </w:r>
      <w:r w:rsidR="00F73DF0">
        <w:t xml:space="preserve">but </w:t>
      </w:r>
      <w:r>
        <w:t xml:space="preserve">may also require that the building remain unoccupied throughout the renovation process. As a result, schools must be prepared to handle these issues </w:t>
      </w:r>
      <w:r w:rsidR="00F73DF0">
        <w:t>if lead</w:t>
      </w:r>
      <w:r>
        <w:t xml:space="preserve">-based paint is identified. </w:t>
      </w:r>
    </w:p>
    <w:p w14:paraId="23A597D7" w14:textId="6D73E794" w:rsidR="00F10FF6" w:rsidRDefault="001A614D" w:rsidP="00F10FF6">
      <w:pPr>
        <w:pStyle w:val="AirQualitySubheading"/>
      </w:pPr>
      <w:r>
        <w:t>2f(2)</w:t>
      </w:r>
      <w:r>
        <w:tab/>
      </w:r>
      <w:r w:rsidR="00F10FF6">
        <w:t>Reduc</w:t>
      </w:r>
      <w:r w:rsidR="004254C3">
        <w:t>e</w:t>
      </w:r>
      <w:r w:rsidR="00F10FF6">
        <w:t xml:space="preserve"> Exposure to Mercury</w:t>
      </w:r>
    </w:p>
    <w:p w14:paraId="22BECB14" w14:textId="77777777" w:rsidR="00F10FF6" w:rsidRDefault="00F10FF6" w:rsidP="00F10FF6">
      <w:pPr>
        <w:pStyle w:val="Heading3"/>
      </w:pPr>
      <w:r>
        <w:t>Background</w:t>
      </w:r>
    </w:p>
    <w:p w14:paraId="1AB15D1C" w14:textId="7BDC26D6" w:rsidR="00655A94" w:rsidRPr="00E21BD2" w:rsidRDefault="00655A94" w:rsidP="006D7DE6">
      <w:pPr>
        <w:pStyle w:val="BodyTextFirstIndent"/>
      </w:pPr>
      <w:r w:rsidRPr="675372C2">
        <w:t>Mercury is a naturally occurring element traditionally used in many products due to its advantageous properties</w:t>
      </w:r>
      <w:r w:rsidR="00F73DF0">
        <w:t>,</w:t>
      </w:r>
      <w:r w:rsidRPr="675372C2">
        <w:t xml:space="preserve"> such as high density, liquid state at room temperature, ability to conduct electricity, and more.</w:t>
      </w:r>
      <w:r>
        <w:fldChar w:fldCharType="begin"/>
      </w:r>
      <w:r w:rsidR="002E15AA">
        <w:instrText xml:space="preserve"> ADDIN ZOTERO_ITEM CSL_CITATION {"citationID":"NRn4HAtg","properties":{"formattedCitation":"\\super 135\\nosupersub{}","plainCitation":"135","noteIndex":0},"citationItems":[{"id":39,"uris":["http://zotero.org/groups/5563646/items/8NHJ72E5"],"itemData":{"id":39,"type":"speech","language":"en","title":"Getting Mercury Out of Schools","author":[{"family":"Wilcox","given":"Meg"},{"family":"Colella","given":"Rachel"}]}}],"schema":"https://github.com/citation-style-language/schema/raw/master/csl-citation.json"} </w:instrText>
      </w:r>
      <w:r>
        <w:fldChar w:fldCharType="separate"/>
      </w:r>
      <w:r w:rsidR="002E15AA" w:rsidRPr="002E15AA">
        <w:rPr>
          <w:rFonts w:cs="Arial"/>
          <w:vertAlign w:val="superscript"/>
        </w:rPr>
        <w:t>135</w:t>
      </w:r>
      <w:r>
        <w:fldChar w:fldCharType="end"/>
      </w:r>
      <w:r w:rsidRPr="675372C2">
        <w:t xml:space="preserve"> While </w:t>
      </w:r>
      <w:r w:rsidRPr="00303AA0">
        <w:t>mercury</w:t>
      </w:r>
      <w:r w:rsidRPr="675372C2">
        <w:t xml:space="preserve"> can be a </w:t>
      </w:r>
      <w:r w:rsidR="00F73DF0">
        <w:t>help</w:t>
      </w:r>
      <w:r w:rsidR="00F73DF0" w:rsidRPr="675372C2">
        <w:t xml:space="preserve">ful </w:t>
      </w:r>
      <w:r w:rsidRPr="675372C2">
        <w:t>substance, exposure to high levels by breathing in vapors, touching mercury in its liquid state, or eating contaminated food sources is associated with damage to the brain, heart, kidney, lungs, and immune system.</w:t>
      </w:r>
      <w:r>
        <w:fldChar w:fldCharType="begin"/>
      </w:r>
      <w:r w:rsidR="003102D7">
        <w:instrText xml:space="preserve"> ADDIN ZOTERO_ITEM CSL_CITATION {"citationID":"ZTNS0DWC","properties":{"formattedCitation":"\\super 99,136\\nosupersub{}","plainCitation":"99,136","noteIndex":0},"citationItems":[{"id":12,"uris":["http://zotero.org/groups/5563646/items/4P4TGQ7E"],"itemData":{"id":12,"type":"report","language":"en","source":"Zotero","title":"Chemical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EPA","given":""}],"issued":{"date-parts":[["2006"]]}}},{"id":41,"uris":["http://zotero.org/groups/5563646/items/SL3IWMC9"],"itemData":{"id":41,"type":"webpage","title":"MassDEP Mercury Information","URL":"https://www.mass.gov/guides/massdep-mercury-information","author":[{"family":"MassDEP","given":""}]}}],"schema":"https://github.com/citation-style-language/schema/raw/master/csl-citation.json"} </w:instrText>
      </w:r>
      <w:r>
        <w:fldChar w:fldCharType="separate"/>
      </w:r>
      <w:r w:rsidR="003102D7" w:rsidRPr="003102D7">
        <w:rPr>
          <w:rFonts w:cs="Arial"/>
          <w:vertAlign w:val="superscript"/>
        </w:rPr>
        <w:t>99,136</w:t>
      </w:r>
      <w:r>
        <w:fldChar w:fldCharType="end"/>
      </w:r>
      <w:r w:rsidRPr="675372C2">
        <w:t xml:space="preserve"> Further, it is considered a neurotoxic substance that can be particularly harmful to children.</w:t>
      </w:r>
      <w:r>
        <w:fldChar w:fldCharType="begin"/>
      </w:r>
      <w:r w:rsidR="00904451">
        <w:instrText xml:space="preserve"> ADDIN ZOTERO_ITEM CSL_CITATION {"citationID":"hgb4YQrl","properties":{"formattedCitation":"\\super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904451" w:rsidRPr="00904451">
        <w:rPr>
          <w:rFonts w:cs="Arial"/>
          <w:vertAlign w:val="superscript"/>
        </w:rPr>
        <w:t>101</w:t>
      </w:r>
      <w:r>
        <w:fldChar w:fldCharType="end"/>
      </w:r>
    </w:p>
    <w:p w14:paraId="60E64A4D" w14:textId="77777777" w:rsidR="00F10FF6" w:rsidRDefault="00F10FF6" w:rsidP="00F10FF6">
      <w:pPr>
        <w:pStyle w:val="Heading3"/>
      </w:pPr>
      <w:r>
        <w:t>Methods and Best Practices</w:t>
      </w:r>
    </w:p>
    <w:p w14:paraId="6DEA0932" w14:textId="55A9AE5F" w:rsidR="00F10FF6" w:rsidRDefault="00A364DE" w:rsidP="006D7DE6">
      <w:pPr>
        <w:pStyle w:val="BodyTextFirstIndent"/>
      </w:pPr>
      <w:r>
        <w:fldChar w:fldCharType="begin"/>
      </w:r>
      <w:r>
        <w:instrText xml:space="preserve"> REF _Ref171632468 \h </w:instrText>
      </w:r>
      <w:r>
        <w:fldChar w:fldCharType="separate"/>
      </w:r>
      <w:r w:rsidR="00307850">
        <w:t xml:space="preserve">Table </w:t>
      </w:r>
      <w:r w:rsidR="00307850">
        <w:rPr>
          <w:noProof/>
        </w:rPr>
        <w:t>25</w:t>
      </w:r>
      <w:r>
        <w:fldChar w:fldCharType="end"/>
      </w:r>
      <w:r>
        <w:t xml:space="preserve"> </w:t>
      </w:r>
      <w:r w:rsidR="00F10FF6" w:rsidRPr="007935AE">
        <w:t xml:space="preserve">summarizes </w:t>
      </w:r>
      <w:r w:rsidR="00F10FF6">
        <w:t xml:space="preserve">the </w:t>
      </w:r>
      <w:r w:rsidR="00F10FF6" w:rsidRPr="007935AE">
        <w:t xml:space="preserve">methods and best practices for </w:t>
      </w:r>
      <w:r w:rsidR="00F10FF6">
        <w:t xml:space="preserve">reducing exposure to </w:t>
      </w:r>
      <w:r>
        <w:t xml:space="preserve">mercury </w:t>
      </w:r>
      <w:r w:rsidR="00F10FF6">
        <w:t>in</w:t>
      </w:r>
      <w:r w:rsidR="00F10FF6" w:rsidRPr="007935AE">
        <w:t xml:space="preserve"> schools. For each method and best practice, the table presents the approximate capital and operating costs, implementation timeframe, and ease of implementation.</w:t>
      </w:r>
      <w:r w:rsidR="00BE2443">
        <w:t xml:space="preserve"> </w:t>
      </w:r>
      <w:r w:rsidR="00BE2443" w:rsidRPr="00C43978">
        <w:t xml:space="preserve">See </w:t>
      </w:r>
      <w:hyperlink w:anchor="SectVII_2f2" w:history="1">
        <w:r w:rsidR="00275879" w:rsidRPr="00275879">
          <w:rPr>
            <w:rStyle w:val="Hyperlink"/>
          </w:rPr>
          <w:t>Section VII, Objective 2f(2)</w:t>
        </w:r>
      </w:hyperlink>
      <w:r w:rsidR="00BE2443" w:rsidRPr="00C43978">
        <w:t xml:space="preserve"> for additional narrative descriptions of each of the methods and best practices.</w:t>
      </w:r>
    </w:p>
    <w:p w14:paraId="466FAF49" w14:textId="5D2C902F" w:rsidR="00F10FF6" w:rsidRDefault="00F10FF6" w:rsidP="00B30C96">
      <w:pPr>
        <w:pStyle w:val="TableTitle"/>
      </w:pPr>
      <w:bookmarkStart w:id="234" w:name="_Ref171632468"/>
      <w:bookmarkStart w:id="235" w:name="_Toc192711691"/>
      <w:bookmarkStart w:id="236" w:name="_Toc193112573"/>
      <w:bookmarkStart w:id="237" w:name="_Toc193116972"/>
      <w:r>
        <w:t xml:space="preserve">Table </w:t>
      </w:r>
      <w:fldSimple w:instr=" SEQ Table \* ARABIC ">
        <w:r w:rsidR="00307850">
          <w:rPr>
            <w:noProof/>
          </w:rPr>
          <w:t>25</w:t>
        </w:r>
      </w:fldSimple>
      <w:bookmarkEnd w:id="234"/>
      <w:r>
        <w:t>. Methods</w:t>
      </w:r>
      <w:r w:rsidR="00074426">
        <w:t xml:space="preserve"> and </w:t>
      </w:r>
      <w:r>
        <w:t xml:space="preserve">Best Practices </w:t>
      </w:r>
      <w:r w:rsidR="004530B5">
        <w:t>for</w:t>
      </w:r>
      <w:r>
        <w:t xml:space="preserve"> </w:t>
      </w:r>
      <w:r w:rsidRPr="000B161A">
        <w:t>Reduc</w:t>
      </w:r>
      <w:r>
        <w:t>ing</w:t>
      </w:r>
      <w:r w:rsidRPr="000B161A">
        <w:t xml:space="preserve"> </w:t>
      </w:r>
      <w:r>
        <w:t xml:space="preserve">Exposure to </w:t>
      </w:r>
      <w:r w:rsidR="00A364DE">
        <w:t>Mercury</w:t>
      </w:r>
      <w:bookmarkEnd w:id="235"/>
      <w:bookmarkEnd w:id="236"/>
      <w:bookmarkEnd w:id="237"/>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reducing exposure to mercury."/>
      </w:tblPr>
      <w:tblGrid>
        <w:gridCol w:w="570"/>
        <w:gridCol w:w="5952"/>
        <w:gridCol w:w="707"/>
        <w:gridCol w:w="707"/>
        <w:gridCol w:w="707"/>
        <w:gridCol w:w="707"/>
      </w:tblGrid>
      <w:tr w:rsidR="00F10FF6" w:rsidRPr="00C8094D" w14:paraId="31FC95F0"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5A4618E" w14:textId="77777777" w:rsidR="00F10FF6" w:rsidRDefault="00F10FF6">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E3F5CDA" w14:textId="77777777" w:rsidR="00F10FF6" w:rsidRPr="00C8094D" w:rsidRDefault="00F10FF6" w:rsidP="00A83553">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6FD9EFFC" w14:textId="77777777" w:rsidR="00F10FF6" w:rsidRDefault="00F10FF6" w:rsidP="00A83553">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16D879C1" w14:textId="77777777" w:rsidR="00F10FF6" w:rsidRPr="00C8094D" w:rsidRDefault="00F10FF6" w:rsidP="00A83553">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9C3A779" w14:textId="77777777" w:rsidR="00F10FF6" w:rsidRPr="00C8094D" w:rsidRDefault="00F10FF6" w:rsidP="00A83553">
            <w:pPr>
              <w:pStyle w:val="TableColumnHeader"/>
              <w:jc w:val="left"/>
            </w:pPr>
            <w:r>
              <w:t xml:space="preserve">Ease of </w:t>
            </w:r>
            <w:r w:rsidRPr="00C8094D">
              <w:t>Implementation</w:t>
            </w:r>
          </w:p>
        </w:tc>
      </w:tr>
      <w:tr w:rsidR="00F10FF6" w:rsidRPr="00C8094D" w14:paraId="0802A272"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045BD472" w14:textId="77777777" w:rsidR="00F10FF6" w:rsidRDefault="00F10FF6">
            <w:pPr>
              <w:pStyle w:val="TableText"/>
            </w:pPr>
            <w:r>
              <w:t>(1)</w:t>
            </w:r>
          </w:p>
        </w:tc>
        <w:tc>
          <w:tcPr>
            <w:tcW w:w="3183" w:type="pct"/>
            <w:tcBorders>
              <w:top w:val="single" w:sz="4" w:space="0" w:color="auto"/>
              <w:bottom w:val="single" w:sz="4" w:space="0" w:color="auto"/>
              <w:right w:val="single" w:sz="4" w:space="0" w:color="auto"/>
            </w:tcBorders>
          </w:tcPr>
          <w:p w14:paraId="51F1D235" w14:textId="70006360" w:rsidR="00F10FF6" w:rsidRDefault="009E6BA9">
            <w:pPr>
              <w:pStyle w:val="TableText"/>
            </w:pPr>
            <w:r>
              <w:t xml:space="preserve">Develop </w:t>
            </w:r>
            <w:r w:rsidR="00BF3558">
              <w:t>a mercury spill response plan</w:t>
            </w:r>
          </w:p>
        </w:tc>
        <w:tc>
          <w:tcPr>
            <w:tcW w:w="378" w:type="pct"/>
            <w:tcBorders>
              <w:top w:val="nil"/>
              <w:left w:val="single" w:sz="4" w:space="0" w:color="auto"/>
              <w:bottom w:val="single" w:sz="4" w:space="0" w:color="auto"/>
              <w:right w:val="single" w:sz="4" w:space="0" w:color="auto"/>
            </w:tcBorders>
            <w:shd w:val="clear" w:color="auto" w:fill="auto"/>
            <w:vAlign w:val="center"/>
          </w:tcPr>
          <w:p w14:paraId="451A2F51" w14:textId="31E517DC" w:rsidR="00F10FF6" w:rsidRPr="00C8094D" w:rsidRDefault="009E6BA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18961E21" w14:textId="7A23ED2A" w:rsidR="00F10FF6" w:rsidRPr="00C8094D" w:rsidRDefault="002338A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20E9A73" w14:textId="4F4E6BCD" w:rsidR="00F10FF6" w:rsidRPr="00C8094D" w:rsidRDefault="002338A9">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5480C0A" w14:textId="0E8A87F2" w:rsidR="00F10FF6" w:rsidRPr="00C8094D" w:rsidRDefault="002338A9">
            <w:pPr>
              <w:pStyle w:val="TableText"/>
            </w:pPr>
            <w:r>
              <w:t>2</w:t>
            </w:r>
          </w:p>
        </w:tc>
      </w:tr>
      <w:tr w:rsidR="46BA0398" w14:paraId="2CC15B1D"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06A3F519" w14:textId="2A86E470" w:rsidR="32763A22" w:rsidRDefault="32763A22" w:rsidP="46BA0398">
            <w:pPr>
              <w:pStyle w:val="TableText"/>
            </w:pPr>
            <w:r>
              <w:t xml:space="preserve">(2) </w:t>
            </w:r>
          </w:p>
        </w:tc>
        <w:tc>
          <w:tcPr>
            <w:tcW w:w="3183" w:type="pct"/>
            <w:tcBorders>
              <w:top w:val="single" w:sz="4" w:space="0" w:color="auto"/>
              <w:bottom w:val="single" w:sz="4" w:space="0" w:color="auto"/>
              <w:right w:val="single" w:sz="4" w:space="0" w:color="auto"/>
            </w:tcBorders>
          </w:tcPr>
          <w:p w14:paraId="649253FA" w14:textId="52AECBAB" w:rsidR="46BA0398" w:rsidRDefault="32763A22" w:rsidP="46BA0398">
            <w:pPr>
              <w:pStyle w:val="TableText"/>
            </w:pPr>
            <w:r>
              <w:t>Maintain a mercury spill kit</w:t>
            </w:r>
          </w:p>
        </w:tc>
        <w:tc>
          <w:tcPr>
            <w:tcW w:w="378" w:type="pct"/>
            <w:tcBorders>
              <w:top w:val="nil"/>
              <w:left w:val="single" w:sz="4" w:space="0" w:color="auto"/>
              <w:bottom w:val="single" w:sz="4" w:space="0" w:color="auto"/>
              <w:right w:val="single" w:sz="4" w:space="0" w:color="auto"/>
            </w:tcBorders>
            <w:shd w:val="clear" w:color="auto" w:fill="auto"/>
            <w:vAlign w:val="center"/>
          </w:tcPr>
          <w:p w14:paraId="7CEE7C86" w14:textId="750DF6ED" w:rsidR="46BA0398" w:rsidRDefault="32763A22" w:rsidP="46BA0398">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72C8B753" w14:textId="54D9396B" w:rsidR="46BA0398" w:rsidRDefault="32763A22" w:rsidP="46BA0398">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4B1DAFE" w14:textId="5E51FFD2" w:rsidR="46BA0398" w:rsidRDefault="32763A22" w:rsidP="46BA0398">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D16D2E8" w14:textId="5B62D11E" w:rsidR="46BA0398" w:rsidRDefault="32763A22" w:rsidP="46BA0398">
            <w:pPr>
              <w:pStyle w:val="TableText"/>
            </w:pPr>
            <w:r>
              <w:t>1</w:t>
            </w:r>
          </w:p>
        </w:tc>
      </w:tr>
      <w:tr w:rsidR="00F10FF6" w:rsidRPr="00C8094D" w14:paraId="02BA3504"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81E957A" w14:textId="4DED4204" w:rsidR="00F10FF6" w:rsidRPr="00C8094D" w:rsidRDefault="00F10FF6">
            <w:pPr>
              <w:pStyle w:val="TableText"/>
            </w:pPr>
            <w:r>
              <w:t>(</w:t>
            </w:r>
            <w:r w:rsidR="0FF7CBBF">
              <w:t>3</w:t>
            </w:r>
            <w:r>
              <w:t>)</w:t>
            </w:r>
          </w:p>
        </w:tc>
        <w:tc>
          <w:tcPr>
            <w:tcW w:w="3183" w:type="pct"/>
            <w:tcBorders>
              <w:top w:val="single" w:sz="4" w:space="0" w:color="auto"/>
              <w:bottom w:val="single" w:sz="4" w:space="0" w:color="auto"/>
              <w:right w:val="single" w:sz="4" w:space="0" w:color="auto"/>
            </w:tcBorders>
          </w:tcPr>
          <w:p w14:paraId="78594DA5" w14:textId="4EB8A18C" w:rsidR="00F10FF6" w:rsidRPr="00C8094D" w:rsidRDefault="009E6BA9">
            <w:pPr>
              <w:pStyle w:val="TableText"/>
            </w:pPr>
            <w:r w:rsidRPr="009E6BA9">
              <w:t>Properly dispose of all mercury-containing items and replace with alternatives where possible</w:t>
            </w:r>
          </w:p>
        </w:tc>
        <w:tc>
          <w:tcPr>
            <w:tcW w:w="378" w:type="pct"/>
            <w:tcBorders>
              <w:top w:val="nil"/>
              <w:left w:val="single" w:sz="4" w:space="0" w:color="auto"/>
              <w:bottom w:val="single" w:sz="4" w:space="0" w:color="auto"/>
              <w:right w:val="single" w:sz="4" w:space="0" w:color="auto"/>
            </w:tcBorders>
            <w:shd w:val="clear" w:color="auto" w:fill="auto"/>
            <w:vAlign w:val="center"/>
          </w:tcPr>
          <w:p w14:paraId="1504BB77" w14:textId="2A06F3B4" w:rsidR="00F10FF6" w:rsidRPr="00C8094D" w:rsidRDefault="002338A9">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719875E8" w14:textId="6DCF2077" w:rsidR="00F10FF6" w:rsidRPr="00C8094D" w:rsidRDefault="002338A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0F02F89" w14:textId="3E1D6181" w:rsidR="00F10FF6" w:rsidRPr="00C8094D" w:rsidRDefault="002338A9">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95C3DC4" w14:textId="0832577A" w:rsidR="00F10FF6" w:rsidRPr="00C8094D" w:rsidRDefault="002338A9">
            <w:pPr>
              <w:pStyle w:val="TableText"/>
            </w:pPr>
            <w:r>
              <w:t>3</w:t>
            </w:r>
          </w:p>
        </w:tc>
      </w:tr>
      <w:tr w:rsidR="00F10FF6" w:rsidRPr="00C8094D" w14:paraId="12F6DF62"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5879094" w14:textId="77777777" w:rsidR="00F10FF6" w:rsidRPr="00FF51E8" w:rsidRDefault="00F10FF6">
            <w:pPr>
              <w:rPr>
                <w:rFonts w:ascii="Arial" w:hAnsi="Arial" w:cs="Arial"/>
                <w:b/>
                <w:bCs/>
                <w:sz w:val="20"/>
                <w:szCs w:val="20"/>
                <w:u w:val="single"/>
              </w:rPr>
            </w:pPr>
            <w:r w:rsidRPr="00FF51E8">
              <w:rPr>
                <w:rFonts w:ascii="Arial" w:hAnsi="Arial" w:cs="Arial"/>
                <w:b/>
                <w:bCs/>
                <w:sz w:val="20"/>
                <w:szCs w:val="20"/>
                <w:u w:val="single"/>
              </w:rPr>
              <w:t>Key:</w:t>
            </w:r>
          </w:p>
          <w:p w14:paraId="3CC23058" w14:textId="77777777" w:rsidR="00F10FF6" w:rsidRPr="00FF51E8" w:rsidRDefault="00F10FF6">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00C56AC0" w14:textId="69538892" w:rsidR="00F10FF6" w:rsidRPr="00FF51E8" w:rsidRDefault="00F10FF6">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309D05DE" w14:textId="77777777" w:rsidR="00F10FF6" w:rsidRPr="00FF51E8" w:rsidRDefault="00F10FF6">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3809ACC0" w14:textId="77777777" w:rsidR="00F10FF6" w:rsidRDefault="00F10FF6" w:rsidP="00F10FF6">
      <w:pPr>
        <w:pStyle w:val="Heading3"/>
      </w:pPr>
      <w:r>
        <w:lastRenderedPageBreak/>
        <w:t>Barriers and Challenges</w:t>
      </w:r>
    </w:p>
    <w:p w14:paraId="072F023E" w14:textId="5F5E4D1F" w:rsidR="001774AB" w:rsidRPr="007637A0" w:rsidRDefault="6AB5C4DB" w:rsidP="006D7DE6">
      <w:pPr>
        <w:pStyle w:val="BodyTextFirstIndent"/>
      </w:pPr>
      <w:r>
        <w:t>The greatest barrier to reducing exposure to mercury in schools is replacing mercury</w:t>
      </w:r>
      <w:r w:rsidR="00E6065E">
        <w:t>-</w:t>
      </w:r>
      <w:r w:rsidR="00E6065E" w:rsidRPr="00E6065E">
        <w:t xml:space="preserve"> </w:t>
      </w:r>
      <w:r w:rsidR="00E6065E">
        <w:t>containing products</w:t>
      </w:r>
      <w:r w:rsidR="00741993">
        <w:t>; h</w:t>
      </w:r>
      <w:r w:rsidR="001774AB">
        <w:t xml:space="preserve">owever, replacing products is more </w:t>
      </w:r>
      <w:r w:rsidR="00E6065E">
        <w:t>cost-</w:t>
      </w:r>
      <w:r w:rsidR="001774AB">
        <w:t>effective than paying to clean up a mercury incident. One challenge is that, despite the best effort</w:t>
      </w:r>
      <w:r w:rsidR="00E6065E">
        <w:t>s</w:t>
      </w:r>
      <w:r w:rsidR="001774AB">
        <w:t xml:space="preserve"> of school leaders, students may bring </w:t>
      </w:r>
      <w:r w:rsidR="00E6065E">
        <w:t>an item containing mercury</w:t>
      </w:r>
      <w:r w:rsidR="001774AB">
        <w:t xml:space="preserve"> to school. As a result, schools must be prepared to address </w:t>
      </w:r>
      <w:r w:rsidR="7BB2D1F5">
        <w:t xml:space="preserve">mercury incidents, </w:t>
      </w:r>
      <w:r w:rsidR="001774AB">
        <w:t>even if they do not</w:t>
      </w:r>
      <w:r w:rsidR="00A65C9E">
        <w:t xml:space="preserve"> use or</w:t>
      </w:r>
      <w:r w:rsidR="001774AB">
        <w:t xml:space="preserve"> </w:t>
      </w:r>
      <w:r w:rsidR="00A65C9E">
        <w:t>maintain an inventory</w:t>
      </w:r>
      <w:r w:rsidR="001774AB">
        <w:t xml:space="preserve"> </w:t>
      </w:r>
      <w:r w:rsidR="00F37143">
        <w:t xml:space="preserve">of </w:t>
      </w:r>
      <w:r w:rsidR="001774AB">
        <w:t>mercury</w:t>
      </w:r>
      <w:r w:rsidR="00A65C9E">
        <w:t xml:space="preserve">-containing </w:t>
      </w:r>
      <w:r w:rsidR="00946CB8">
        <w:t>products</w:t>
      </w:r>
      <w:r w:rsidR="001774AB">
        <w:t xml:space="preserve"> </w:t>
      </w:r>
      <w:r w:rsidR="00E6065E">
        <w:t>on-</w:t>
      </w:r>
      <w:r w:rsidR="001774AB">
        <w:t xml:space="preserve">site. </w:t>
      </w:r>
    </w:p>
    <w:p w14:paraId="0669A39E" w14:textId="63A6DBD3" w:rsidR="00904065" w:rsidRDefault="00904065" w:rsidP="001C7888">
      <w:pPr>
        <w:pStyle w:val="Heading2"/>
      </w:pPr>
      <w:bookmarkStart w:id="238" w:name="_Toc171518375"/>
      <w:bookmarkStart w:id="239" w:name="_Toc171519328"/>
      <w:bookmarkStart w:id="240" w:name="_Toc193116907"/>
      <w:r>
        <w:t xml:space="preserve">Objective 2g. </w:t>
      </w:r>
      <w:r w:rsidR="00BF0D90">
        <w:t>Safely Procure, Use, and Dispose of Crumb Rubber</w:t>
      </w:r>
      <w:bookmarkEnd w:id="238"/>
      <w:bookmarkEnd w:id="239"/>
      <w:bookmarkEnd w:id="240"/>
    </w:p>
    <w:p w14:paraId="05D5567C" w14:textId="77777777" w:rsidR="002046B6" w:rsidRDefault="002046B6" w:rsidP="002046B6">
      <w:pPr>
        <w:pStyle w:val="Heading3"/>
      </w:pPr>
      <w:r>
        <w:t>Background</w:t>
      </w:r>
    </w:p>
    <w:p w14:paraId="3C70305C" w14:textId="3879498E" w:rsidR="00BA7234" w:rsidRDefault="38E5B8BA" w:rsidP="006D7DE6">
      <w:pPr>
        <w:pStyle w:val="BodyTextFirstIndent"/>
      </w:pPr>
      <w:r>
        <w:t>Artificial turf fields (ATF</w:t>
      </w:r>
      <w:r w:rsidR="2EADD716">
        <w:t>s</w:t>
      </w:r>
      <w:r>
        <w:t>) for school sports are popular alternatives to natural grass.</w:t>
      </w:r>
      <w:r w:rsidR="002046B6">
        <w:fldChar w:fldCharType="begin"/>
      </w:r>
      <w:r w:rsidR="00CE452C">
        <w:instrText xml:space="preserve"> ADDIN ZOTERO_ITEM CSL_CITATION {"citationID":"KZlImd4k","properties":{"formattedCitation":"\\super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002046B6">
        <w:fldChar w:fldCharType="separate"/>
      </w:r>
      <w:r w:rsidR="00CE452C" w:rsidRPr="00CE452C">
        <w:rPr>
          <w:rFonts w:ascii="Calibri" w:hAnsi="Calibri" w:cs="Calibri"/>
          <w:vertAlign w:val="superscript"/>
        </w:rPr>
        <w:t>137</w:t>
      </w:r>
      <w:r w:rsidR="002046B6">
        <w:fldChar w:fldCharType="end"/>
      </w:r>
      <w:r>
        <w:t xml:space="preserve"> </w:t>
      </w:r>
      <w:r w:rsidR="005B50D9">
        <w:t>ATFs are often cheaper—or perceived as cheaper—to maintain, and can be used during and immediately after rain, which enables more playing time.</w:t>
      </w:r>
      <w:r w:rsidR="005B50D9">
        <w:fldChar w:fldCharType="begin"/>
      </w:r>
      <w:r w:rsidR="00266DB7">
        <w:instrText xml:space="preserve"> ADDIN ZOTERO_ITEM CSL_CITATION {"citationID":"UKLoxRBa","properties":{"formattedCitation":"\\super 138,139\\nosupersub{}","plainCitation":"138,139","noteIndex":0},"citationItems":[{"id":885,"uris":["http://zotero.org/groups/5563646/items/8GYMKMCI"],"itemData":{"id":885,"type":"report","event-place":"Lowell,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(TURI)","given":""}],"accessed":{"date-parts":[["2024",7,25]]},"issued":{"date-parts":[["2019",4]]}}},{"id":889,"uris":["http://zotero.org/groups/5563646/items/7EAIFFGY"],"itemData":{"id":889,"type":"article-newspaper","container-title":"The Boston Globe","language":"en","source":"Zotero","title":"Aging artificial turf fields may carry risk of head injuries","URL":"https://www.bostonglobe.com/2022/09/24/metro/aging-artificial-turf-fields-may-carry-risk-head-injuries/?p1=Article_Inline_Text_Link","author":[{"family":"Lazar","given":"Kay"}],"issued":{"date-parts":[["2022",9,24]]}}}],"schema":"https://github.com/citation-style-language/schema/raw/master/csl-citation.json"} </w:instrText>
      </w:r>
      <w:r w:rsidR="005B50D9">
        <w:fldChar w:fldCharType="separate"/>
      </w:r>
      <w:r w:rsidR="00266DB7" w:rsidRPr="00266DB7">
        <w:rPr>
          <w:rFonts w:ascii="Calibri" w:hAnsi="Calibri" w:cs="Calibri"/>
          <w:sz w:val="22"/>
          <w:vertAlign w:val="superscript"/>
        </w:rPr>
        <w:t>138,139</w:t>
      </w:r>
      <w:r w:rsidR="005B50D9">
        <w:fldChar w:fldCharType="end"/>
      </w:r>
      <w:r w:rsidR="005B50D9">
        <w:t xml:space="preserve"> </w:t>
      </w:r>
      <w:r>
        <w:t>ATF</w:t>
      </w:r>
      <w:r w:rsidR="2EADD716">
        <w:t>s</w:t>
      </w:r>
      <w:r>
        <w:t xml:space="preserve"> commonly comprise three core components: padding and backing materials at the bottom, infill in the middle, and artificial grass blades at the top. The grass blades are made of plastic, and the infill layer is typically composed of a mixture of sand and what is referred to as “crumb rubber,” often made from recycled car and truck tires.</w:t>
      </w:r>
      <w:r w:rsidR="002046B6">
        <w:fldChar w:fldCharType="begin"/>
      </w:r>
      <w:r w:rsidR="0058200D">
        <w:instrText xml:space="preserve"> ADDIN ZOTERO_ITEM CSL_CITATION {"citationID":"Qd0RQ5DM","properties":{"formattedCitation":"\\super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002046B6">
        <w:fldChar w:fldCharType="separate"/>
      </w:r>
      <w:r w:rsidR="0058200D" w:rsidRPr="0058200D">
        <w:rPr>
          <w:rFonts w:ascii="Calibri" w:hAnsi="Calibri" w:cs="Calibri"/>
          <w:vertAlign w:val="superscript"/>
        </w:rPr>
        <w:t>137</w:t>
      </w:r>
      <w:r w:rsidR="002046B6">
        <w:fldChar w:fldCharType="end"/>
      </w:r>
      <w:r>
        <w:t xml:space="preserve"> </w:t>
      </w:r>
      <w:r w:rsidR="0F61D409">
        <w:t>Alternatives to recycled tires for crumb rubber include ethylene propylene diene terpolymer, thermoplastic elastomer, and waste athletic shoe materials, among many other materials.</w:t>
      </w:r>
      <w:r>
        <w:fldChar w:fldCharType="begin"/>
      </w:r>
      <w:r w:rsidR="009632BF">
        <w:instrText xml:space="preserve"> ADDIN ZOTERO_ITEM CSL_CITATION {"citationID":"pUC5CiJw","properties":{"formattedCitation":"\\super 138\\nosupersub{}","plainCitation":"138","noteIndex":0},"citationItems":[{"id":885,"uris":["http://zotero.org/groups/5563646/items/8GYMKMCI"],"itemData":{"id":885,"type":"report","event-place":"Lowell,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(TURI)","given":""}],"accessed":{"date-parts":[["2024",7,25]]},"issued":{"date-parts":[["2019",4]]}}}],"schema":"https://github.com/citation-style-language/schema/raw/master/csl-citation.json"} </w:instrText>
      </w:r>
      <w:r>
        <w:fldChar w:fldCharType="separate"/>
      </w:r>
      <w:r w:rsidR="009632BF" w:rsidRPr="009632BF">
        <w:rPr>
          <w:rFonts w:ascii="Calibri" w:hAnsi="Calibri" w:cs="Calibri"/>
          <w:vertAlign w:val="superscript"/>
        </w:rPr>
        <w:t>138</w:t>
      </w:r>
      <w:r>
        <w:fldChar w:fldCharType="end"/>
      </w:r>
      <w:r w:rsidR="0F61D409">
        <w:t xml:space="preserve"> Mineral-based and plant-derived materials such as sand, cork, coconut hulls, and walnut shells can also be used and may provide lower chemical alternatives to crumb rubber.</w:t>
      </w:r>
      <w:r>
        <w:fldChar w:fldCharType="begin"/>
      </w:r>
      <w:r w:rsidR="00C8729C">
        <w:instrText xml:space="preserve"> ADDIN ZOTERO_ITEM CSL_CITATION {"citationID":"JTxHKQ3r","properties":{"formattedCitation":"\\super 138\\nosupersub{}","plainCitation":"138","noteIndex":0},"citationItems":[{"id":885,"uris":["http://zotero.org/groups/5563646/items/8GYMKMCI"],"itemData":{"id":885,"type":"report","event-place":"Lowell,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(TURI)","given":""}],"accessed":{"date-parts":[["2024",7,25]]},"issued":{"date-parts":[["2019",4]]}}}],"schema":"https://github.com/citation-style-language/schema/raw/master/csl-citation.json"} </w:instrText>
      </w:r>
      <w:r>
        <w:fldChar w:fldCharType="separate"/>
      </w:r>
      <w:r w:rsidR="00C8729C" w:rsidRPr="00C8729C">
        <w:rPr>
          <w:rFonts w:ascii="Calibri" w:hAnsi="Calibri" w:cs="Calibri"/>
          <w:vertAlign w:val="superscript"/>
        </w:rPr>
        <w:t>138</w:t>
      </w:r>
      <w:r>
        <w:fldChar w:fldCharType="end"/>
      </w:r>
      <w:r w:rsidR="0F61D409">
        <w:t xml:space="preserve"> </w:t>
      </w:r>
    </w:p>
    <w:p w14:paraId="4B98F2EF" w14:textId="3561767E" w:rsidR="002A4835" w:rsidRDefault="00BA7234" w:rsidP="006D7DE6">
      <w:pPr>
        <w:pStyle w:val="BodyTextFirstIndent"/>
      </w:pPr>
      <w:r>
        <w:t>While DPH has found that scientific research generally concludes that adverse health effects from ATFs are unlikely</w:t>
      </w:r>
      <w:r w:rsidR="00CC6A03">
        <w:t>,</w:t>
      </w:r>
      <w:r>
        <w:t xml:space="preserve"> </w:t>
      </w:r>
      <w:r w:rsidR="00517940">
        <w:t xml:space="preserve">there are no existing studies that have specifically </w:t>
      </w:r>
      <w:r w:rsidR="00C22D15">
        <w:t>examined the relationship between exposure to crumb rubber and disease outcomes</w:t>
      </w:r>
      <w:r w:rsidR="00C57059">
        <w:t>.</w:t>
      </w:r>
      <w:r w:rsidR="00D80A0A">
        <w:fldChar w:fldCharType="begin"/>
      </w:r>
      <w:r w:rsidR="001A00FC">
        <w:instrText xml:space="preserve"> ADDIN ZOTERO_ITEM CSL_CITATION {"citationID":"tjRT1rhF","properties":{"formattedCitation":"\\super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00D80A0A">
        <w:fldChar w:fldCharType="separate"/>
      </w:r>
      <w:r w:rsidR="001A00FC" w:rsidRPr="001A00FC">
        <w:rPr>
          <w:rFonts w:ascii="Calibri" w:hAnsi="Calibri" w:cs="Calibri"/>
          <w:vertAlign w:val="superscript"/>
        </w:rPr>
        <w:t>137</w:t>
      </w:r>
      <w:r w:rsidR="00D80A0A">
        <w:fldChar w:fldCharType="end"/>
      </w:r>
      <w:r w:rsidR="00C57059">
        <w:t xml:space="preserve"> C</w:t>
      </w:r>
      <w:r w:rsidR="000332F4">
        <w:t xml:space="preserve">ommunities have raised </w:t>
      </w:r>
      <w:r w:rsidR="00636254">
        <w:t xml:space="preserve">concerns </w:t>
      </w:r>
      <w:r w:rsidR="2B6F2959">
        <w:t>about</w:t>
      </w:r>
      <w:r w:rsidR="00471EA5">
        <w:t xml:space="preserve"> potential</w:t>
      </w:r>
      <w:r w:rsidR="093DEF7C">
        <w:t xml:space="preserve"> exposure to</w:t>
      </w:r>
      <w:r w:rsidR="2B6F2959">
        <w:t xml:space="preserve"> </w:t>
      </w:r>
      <w:r w:rsidR="38E5B8BA">
        <w:t xml:space="preserve">chemicals that </w:t>
      </w:r>
      <w:r w:rsidR="00471EA5">
        <w:t>may</w:t>
      </w:r>
      <w:r w:rsidR="38E5B8BA">
        <w:t xml:space="preserve"> be found in the crumb rubber infill layer, which include PFAS, VOCs, SVOCs, and metals such as lead.</w:t>
      </w:r>
      <w:r w:rsidR="38E5B8BA">
        <w:fldChar w:fldCharType="begin"/>
      </w:r>
      <w:r w:rsidR="00E840EC">
        <w:instrText xml:space="preserve"> ADDIN ZOTERO_ITEM CSL_CITATION {"citationID":"j1x0JQNf","properties":{"formattedCitation":"\\super 137,140\\nosupersub{}","plainCitation":"137,140","noteIndex":0},"citationItems":[{"id":891,"uris":["http://zotero.org/groups/5563646/items/U5U9L3HZ"],"itemData":{"id":891,"type":"webpage","abstract":"See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Health","given":""}],"accessed":{"date-parts":[["2024",7,25]]},"issued":{"date-parts":[["2020",6]]}}},{"id":888,"uris":["http://zotero.org/groups/5563646/items/Q74LKR4Y"],"itemData":{"id":888,"type":"article-newspaper","container-title":"The Guardian","language":"en","source":"Zotero","title":"Boston bans artificial turf in parks due to toxic ‘forever chemicals’","URL":"https://www.theguardian.com/environment/2022/sep/30/boston-bans-artificial-turf-toxic-forever-chemicals-pfas","author":[{"family":"Perkins","given":"Tom"}],"issued":{"date-parts":[["2022",9,30]]}}}],"schema":"https://github.com/citation-style-language/schema/raw/master/csl-citation.json"} </w:instrText>
      </w:r>
      <w:r w:rsidR="38E5B8BA">
        <w:fldChar w:fldCharType="separate"/>
      </w:r>
      <w:r w:rsidR="00E840EC" w:rsidRPr="00E840EC">
        <w:rPr>
          <w:rFonts w:ascii="Calibri" w:hAnsi="Calibri" w:cs="Calibri"/>
          <w:vertAlign w:val="superscript"/>
        </w:rPr>
        <w:t>137,140</w:t>
      </w:r>
      <w:r w:rsidR="38E5B8BA">
        <w:fldChar w:fldCharType="end"/>
      </w:r>
      <w:r w:rsidR="38E5B8BA">
        <w:t xml:space="preserve"> </w:t>
      </w:r>
      <w:r w:rsidR="10847636">
        <w:t>E</w:t>
      </w:r>
      <w:r w:rsidR="56D05158">
        <w:t>xposure to chemicals in ATFs could occur through inhalation of VOCs or particles released by the ATF during use, swallowing crumb rubber while playing on fields, and skin contact with crumb rubber and plastic blades.</w:t>
      </w:r>
      <w:r w:rsidR="38E5B8BA">
        <w:fldChar w:fldCharType="begin"/>
      </w:r>
      <w:r w:rsidR="00BA4EC3">
        <w:instrText xml:space="preserve"> ADDIN ZOTERO_ITEM CSL_CITATION {"citationID":"1cH5YYCv","properties":{"formattedCitation":"\\super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38E5B8BA">
        <w:fldChar w:fldCharType="separate"/>
      </w:r>
      <w:r w:rsidR="00BA4EC3" w:rsidRPr="00BA4EC3">
        <w:rPr>
          <w:rFonts w:ascii="Calibri" w:hAnsi="Calibri" w:cs="Calibri"/>
          <w:vertAlign w:val="superscript"/>
        </w:rPr>
        <w:t>137</w:t>
      </w:r>
      <w:r w:rsidR="38E5B8BA">
        <w:fldChar w:fldCharType="end"/>
      </w:r>
      <w:r w:rsidR="56D05158">
        <w:t xml:space="preserve"> </w:t>
      </w:r>
      <w:r w:rsidR="002046B6">
        <w:fldChar w:fldCharType="begin"/>
      </w:r>
      <w:r w:rsidR="007E1EA6">
        <w:instrText xml:space="preserve"> ADDIN ZOTERO_ITEM CSL_CITATION {"citationID":"AzIPimoJ","properties":{"formattedCitation":"\\super 138\\nosupersub{}","plainCitation":"138","noteIndex":0},"citationItems":[{"id":885,"uris":["http://zotero.org/groups/5563646/items/8GYMKMCI"],"itemData":{"id":885,"type":"report","event-place":"Lowell,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(TURI)","given":""}],"accessed":{"date-parts":[["2024",7,25]]},"issued":{"date-parts":[["2019",4]]}}}],"schema":"https://github.com/citation-style-language/schema/raw/master/csl-citation.json"} </w:instrText>
      </w:r>
      <w:r w:rsidR="002046B6">
        <w:fldChar w:fldCharType="separate"/>
      </w:r>
      <w:r w:rsidR="007E1EA6" w:rsidRPr="007E1EA6">
        <w:rPr>
          <w:rFonts w:cs="Arial"/>
          <w:vertAlign w:val="superscript"/>
        </w:rPr>
        <w:t>138</w:t>
      </w:r>
      <w:r w:rsidR="002046B6">
        <w:fldChar w:fldCharType="end"/>
      </w:r>
      <w:r w:rsidR="38E5B8BA">
        <w:t xml:space="preserve"> </w:t>
      </w:r>
      <w:r w:rsidR="002046B6">
        <w:fldChar w:fldCharType="begin"/>
      </w:r>
      <w:r w:rsidR="00732FAA">
        <w:instrText xml:space="preserve"> ADDIN ZOTERO_ITEM CSL_CITATION {"citationID":"CyHHKMCk","properties":{"formattedCitation":"\\super 137,138\\nosupersub{}","plainCitation":"137,138","noteIndex":0},"citationItems":[{"id":885,"uris":["http://zotero.org/groups/5563646/items/8GYMKMCI"],"itemData":{"id":885,"type":"report","event-place":"Lowell,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002046B6">
        <w:fldChar w:fldCharType="separate"/>
      </w:r>
      <w:r w:rsidR="00732FAA" w:rsidRPr="00732FAA">
        <w:rPr>
          <w:rFonts w:cs="Arial"/>
          <w:vertAlign w:val="superscript"/>
        </w:rPr>
        <w:t>137,138</w:t>
      </w:r>
      <w:r w:rsidR="002046B6">
        <w:fldChar w:fldCharType="end"/>
      </w:r>
      <w:r w:rsidR="005E04EF">
        <w:t xml:space="preserve"> </w:t>
      </w:r>
    </w:p>
    <w:p w14:paraId="2B424B1D" w14:textId="1E18B95A" w:rsidR="002046B6" w:rsidRDefault="38E5B8BA" w:rsidP="006D7DE6">
      <w:pPr>
        <w:pStyle w:val="BodyTextFirstIndent"/>
        <w:rPr>
          <w:rFonts w:ascii="Calibri" w:hAnsi="Calibri" w:cs="Calibri"/>
          <w:vertAlign w:val="superscript"/>
        </w:rPr>
      </w:pPr>
      <w:r>
        <w:t>In response to concerns about ATF</w:t>
      </w:r>
      <w:r w:rsidR="48E4CC7E">
        <w:t>s</w:t>
      </w:r>
      <w:r>
        <w:t xml:space="preserve">, the </w:t>
      </w:r>
      <w:r w:rsidR="00D3448A" w:rsidRPr="00D3448A">
        <w:t xml:space="preserve">U.S. Centers for Disease Control and Prevention </w:t>
      </w:r>
      <w:r w:rsidR="00D3448A">
        <w:t>(</w:t>
      </w:r>
      <w:r>
        <w:t>CDC</w:t>
      </w:r>
      <w:r w:rsidR="00D3448A">
        <w:t>)</w:t>
      </w:r>
      <w:r>
        <w:t>/Agency for Toxic Substances and Disease Registry, EPA, and the Consumer Product Safety Commission conducted a multi-year research effort to understand the constituent chemicals in tire crumb rubber and how people may be exposed while playing on ATF</w:t>
      </w:r>
      <w:r w:rsidR="1FD0CF6B">
        <w:t>s</w:t>
      </w:r>
      <w:r>
        <w:t>.</w:t>
      </w:r>
      <w:r w:rsidR="002046B6">
        <w:fldChar w:fldCharType="begin"/>
      </w:r>
      <w:r w:rsidR="00B23F5F">
        <w:instrText xml:space="preserve"> ADDIN ZOTERO_ITEM CSL_CITATION {"citationID":"y89WFUW0","properties":{"formattedCitation":"\\super 141\\nosupersub{}","plainCitation":"141","noteIndex":0},"citationItems":[{"id":881,"uris":["http://zotero.org/groups/5563646/items/466Q9QYH"],"itemData":{"id":881,"type":"webpage","abstract":"Ground rubber is recovered from scrap tires or from the tire retreading process. It is used in road construction and in athletic and recreational applications,like ground cover under playground equipment, running track material, and as a soil additive.","genre":"Overviews and Factsheets","language":"en","title":"Federal Research on Recycled Tire Crumb Used on Playing Fields and Playgrounds","URL":"https://www.epa.gov/chemical-research/federal-research-recycled-tire-crumb-used-playing-fields-and-playgrounds","author":[{"family":"US EPA","given":""}],"accessed":{"date-parts":[["2024",7,25]]},"issued":{"date-parts":[["2024",4,17]]}}}],"schema":"https://github.com/citation-style-language/schema/raw/master/csl-citation.json"} </w:instrText>
      </w:r>
      <w:r w:rsidR="002046B6">
        <w:fldChar w:fldCharType="separate"/>
      </w:r>
      <w:r w:rsidR="00B23F5F" w:rsidRPr="00B23F5F">
        <w:rPr>
          <w:rFonts w:ascii="Calibri" w:hAnsi="Calibri" w:cs="Calibri"/>
          <w:sz w:val="22"/>
          <w:vertAlign w:val="superscript"/>
        </w:rPr>
        <w:t>141</w:t>
      </w:r>
      <w:r w:rsidR="002046B6">
        <w:fldChar w:fldCharType="end"/>
      </w:r>
      <w:r>
        <w:t xml:space="preserve"> Only small amounts of chemicals were found to be released into the air from tire crumb. For many chemicals measured, concentrations measured near ATF</w:t>
      </w:r>
      <w:r w:rsidR="1FD0CF6B">
        <w:t>s</w:t>
      </w:r>
      <w:r>
        <w:t xml:space="preserve"> were no different than background levels; for some chemicals, however, measured concentrations were higher near the ATF. Less than 1</w:t>
      </w:r>
      <w:r w:rsidR="2C5E81B1">
        <w:t xml:space="preserve"> to </w:t>
      </w:r>
      <w:r>
        <w:t>3 percent of metals were released from tire crumb rubber into simulated biological fluids. Concentrations of metals in the blood of people who played on ATF</w:t>
      </w:r>
      <w:r w:rsidR="1FD0CF6B">
        <w:t>s</w:t>
      </w:r>
      <w:r>
        <w:t xml:space="preserve"> were similar to those of the general population. There was no difference in polycyclic aromatic </w:t>
      </w:r>
      <w:r>
        <w:lastRenderedPageBreak/>
        <w:t>hydrocarbon metabolites found between people playing on ATF</w:t>
      </w:r>
      <w:r w:rsidR="1FD0CF6B">
        <w:t>s</w:t>
      </w:r>
      <w:r>
        <w:t xml:space="preserve"> and those playing on grass.</w:t>
      </w:r>
      <w:r w:rsidR="002046B6">
        <w:fldChar w:fldCharType="begin"/>
      </w:r>
      <w:r w:rsidR="001A031C">
        <w:instrText xml:space="preserve"> ADDIN ZOTERO_ITEM CSL_CITATION {"citationID":"U7Nu7vZN","properties":{"formattedCitation":"\\super 141\\nosupersub{}","plainCitation":"141","noteIndex":0},"citationItems":[{"id":881,"uris":["http://zotero.org/groups/5563646/items/466Q9QYH"],"itemData":{"id":881,"type":"webpage","abstract":"Ground rubber is recovered from scrap tires or from the tire retreading process. It is used in road construction and in athletic and recreational applications,like ground cover under playground equipment, running track material, and as a soil additive.","genre":"Overviews and Factsheets","language":"en","title":"Federal Research on Recycled Tire Crumb Used on Playing Fields and Playgrounds","URL":"https://www.epa.gov/chemical-research/federal-research-recycled-tire-crumb-used-playing-fields-and-playgrounds","author":[{"family":"US EPA","given":""}],"accessed":{"date-parts":[["2024",7,25]]},"issued":{"date-parts":[["2024",4,17]]}}}],"schema":"https://github.com/citation-style-language/schema/raw/master/csl-citation.json"} </w:instrText>
      </w:r>
      <w:r w:rsidR="002046B6">
        <w:fldChar w:fldCharType="separate"/>
      </w:r>
      <w:r w:rsidR="001A031C" w:rsidRPr="001A031C">
        <w:rPr>
          <w:rFonts w:ascii="Calibri" w:hAnsi="Calibri" w:cs="Calibri"/>
          <w:sz w:val="22"/>
          <w:vertAlign w:val="superscript"/>
        </w:rPr>
        <w:t>141</w:t>
      </w:r>
      <w:r w:rsidR="002046B6">
        <w:fldChar w:fldCharType="end"/>
      </w:r>
      <w:r>
        <w:t xml:space="preserve"> </w:t>
      </w:r>
    </w:p>
    <w:p w14:paraId="27428AD0" w14:textId="6BF97BB9" w:rsidR="002E48B0" w:rsidRPr="005E3E9C" w:rsidRDefault="002E48B0" w:rsidP="006D7DE6">
      <w:pPr>
        <w:pStyle w:val="BodyTextFirstIndent"/>
        <w:rPr>
          <w:rFonts w:ascii="Calibri" w:hAnsi="Calibri" w:cs="Calibri"/>
          <w:vertAlign w:val="superscript"/>
        </w:rPr>
      </w:pPr>
      <w:r>
        <w:t>Beyond possible exposure to hazardous chemicals, there are additional health-related concerns about using ATFs as an alternative to natural grass fields, including more frequent skin abrasions, higher risk of heat-related illness during exercise, higher incidence of joint injuries, and potentially more significant risk of head injuries.</w:t>
      </w:r>
      <w:r>
        <w:fldChar w:fldCharType="begin"/>
      </w:r>
      <w:r w:rsidR="00360B63">
        <w:instrText xml:space="preserve"> ADDIN ZOTERO_ITEM CSL_CITATION {"citationID":"8ZEPRmow","properties":{"formattedCitation":"\\super 137,139\\nosupersub{}","plainCitation":"137,139","noteIndex":0},"citationItems":[{"id":889,"uris":["http://zotero.org/groups/5563646/items/7EAIFFGY"],"itemData":{"id":889,"type":"article-newspaper","container-title":"The Boston Globe","language":"en","source":"Zotero","title":"Aging artificial turf fields may carry risk of head injuries","URL":"https://www.bostonglobe.com/2022/09/24/metro/aging-artificial-turf-fields-may-carry-risk-head-injuries/?p1=Article_Inline_Text_Link","author":[{"family":"Lazar","given":"Kay"}],"issued":{"date-parts":[["2022",9,24]]}}},{"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fldChar w:fldCharType="separate"/>
      </w:r>
      <w:r w:rsidR="00360B63" w:rsidRPr="00360B63">
        <w:rPr>
          <w:rFonts w:ascii="Calibri" w:hAnsi="Calibri" w:cs="Calibri"/>
          <w:vertAlign w:val="superscript"/>
        </w:rPr>
        <w:t>137,139</w:t>
      </w:r>
      <w:r>
        <w:fldChar w:fldCharType="end"/>
      </w:r>
      <w:r>
        <w:t xml:space="preserve"> Various studies have found ATFs to be anywhere from 35°F to 86°F hotter than natural grass, which can contribute to heat-related illness and burns.</w:t>
      </w:r>
      <w:r>
        <w:fldChar w:fldCharType="begin"/>
      </w:r>
      <w:r w:rsidR="00CC57BD">
        <w:instrText xml:space="preserve"> ADDIN ZOTERO_ITEM CSL_CITATION {"citationID":"HHdzBPaS","properties":{"formattedCitation":"\\super 138\\nosupersub{}","plainCitation":"138","noteIndex":0},"citationItems":[{"id":885,"uris":["http://zotero.org/groups/5563646/items/8GYMKMCI"],"itemData":{"id":885,"type":"report","event-place":"Lowell,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(TURI)","given":""}],"accessed":{"date-parts":[["2024",7,25]]},"issued":{"date-parts":[["2019",4]]}}}],"schema":"https://github.com/citation-style-language/schema/raw/master/csl-citation.json"} </w:instrText>
      </w:r>
      <w:r>
        <w:fldChar w:fldCharType="separate"/>
      </w:r>
      <w:r w:rsidR="00CC57BD" w:rsidRPr="00CC57BD">
        <w:rPr>
          <w:rFonts w:ascii="Calibri" w:hAnsi="Calibri" w:cs="Calibri"/>
          <w:vertAlign w:val="superscript"/>
        </w:rPr>
        <w:t>138</w:t>
      </w:r>
      <w:r>
        <w:fldChar w:fldCharType="end"/>
      </w:r>
      <w:r>
        <w:t xml:space="preserve"> Heat can also lead to increased emissions of VOCs and SVOCs from the plastic and rubber materials that make up ATFs.</w:t>
      </w:r>
      <w:r>
        <w:fldChar w:fldCharType="begin"/>
      </w:r>
      <w:r w:rsidR="00FF44CC">
        <w:instrText xml:space="preserve"> ADDIN ZOTERO_ITEM CSL_CITATION {"citationID":"1bnPXdcZ","properties":{"formattedCitation":"\\super 138\\nosupersub{}","plainCitation":"138","noteIndex":0},"citationItems":[{"id":885,"uris":["http://zotero.org/groups/5563646/items/8GYMKMCI"],"itemData":{"id":885,"type":"report","event-place":"Lowell,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(TURI)","given":""}],"accessed":{"date-parts":[["2024",7,25]]},"issued":{"date-parts":[["2019",4]]}}}],"schema":"https://github.com/citation-style-language/schema/raw/master/csl-citation.json"} </w:instrText>
      </w:r>
      <w:r>
        <w:fldChar w:fldCharType="separate"/>
      </w:r>
      <w:r w:rsidR="00FF44CC" w:rsidRPr="00FF44CC">
        <w:rPr>
          <w:rFonts w:ascii="Calibri" w:hAnsi="Calibri" w:cs="Calibri"/>
          <w:vertAlign w:val="superscript"/>
        </w:rPr>
        <w:t>138</w:t>
      </w:r>
      <w:r>
        <w:fldChar w:fldCharType="end"/>
      </w:r>
      <w:r>
        <w:t xml:space="preserve"> </w:t>
      </w:r>
    </w:p>
    <w:p w14:paraId="00E488FA" w14:textId="5A21D6ED" w:rsidR="002046B6" w:rsidRDefault="002046B6" w:rsidP="006D7DE6">
      <w:pPr>
        <w:pStyle w:val="BodyTextFirstIndent"/>
        <w:rPr>
          <w:rFonts w:ascii="Calibri" w:hAnsi="Calibri" w:cs="Calibri"/>
          <w:vertAlign w:val="superscript"/>
        </w:rPr>
      </w:pPr>
      <w:r>
        <w:t>ATF</w:t>
      </w:r>
      <w:r w:rsidR="0098359F">
        <w:t>s</w:t>
      </w:r>
      <w:r>
        <w:t xml:space="preserve"> have a limited lifespan, and they can become unsafe to play on beyond that timeframe.</w:t>
      </w:r>
      <w:r>
        <w:fldChar w:fldCharType="begin"/>
      </w:r>
      <w:r w:rsidR="004E622A">
        <w:instrText xml:space="preserve"> ADDIN ZOTERO_ITEM CSL_CITATION {"citationID":"1tPUENeL","properties":{"formattedCitation":"\\super 139\\nosupersub{}","plainCitation":"139","noteIndex":0},"citationItems":[{"id":889,"uris":["http://zotero.org/groups/5563646/items/7EAIFFGY"],"itemData":{"id":889,"type":"article-newspaper","container-title":"The Boston Globe","language":"en","source":"Zotero","title":"Aging artificial turf fields may carry risk of head injuries","URL":"https://www.bostonglobe.com/2022/09/24/metro/aging-artificial-turf-fields-may-carry-risk-head-injuries/?p1=Article_Inline_Text_Link","author":[{"family":"Lazar","given":"Kay"}],"issued":{"date-parts":[["2022",9,24]]}}}],"schema":"https://github.com/citation-style-language/schema/raw/master/csl-citation.json"} </w:instrText>
      </w:r>
      <w:r>
        <w:fldChar w:fldCharType="separate"/>
      </w:r>
      <w:r w:rsidR="004E622A" w:rsidRPr="004E622A">
        <w:rPr>
          <w:rFonts w:ascii="Calibri" w:hAnsi="Calibri" w:cs="Calibri"/>
          <w:sz w:val="22"/>
          <w:vertAlign w:val="superscript"/>
        </w:rPr>
        <w:t>139</w:t>
      </w:r>
      <w:r>
        <w:fldChar w:fldCharType="end"/>
      </w:r>
      <w:r>
        <w:t xml:space="preserve"> Disposal and replacement of fields represent additional costs that schools often overlook when deciding whether or not to install </w:t>
      </w:r>
      <w:r w:rsidR="00554D35">
        <w:t xml:space="preserve">an </w:t>
      </w:r>
      <w:r>
        <w:t>ATF. While some cities in Massachusetts have developed rules related to the use of ATF</w:t>
      </w:r>
      <w:r w:rsidR="00554D35">
        <w:t>s</w:t>
      </w:r>
      <w:r>
        <w:t>, there are currently no state regulations related to ATF</w:t>
      </w:r>
      <w:r w:rsidR="00554D35">
        <w:t>s</w:t>
      </w:r>
      <w:r>
        <w:t>.</w:t>
      </w:r>
      <w:r>
        <w:fldChar w:fldCharType="begin"/>
      </w:r>
      <w:r w:rsidR="006F2985">
        <w:instrText xml:space="preserve"> ADDIN ZOTERO_ITEM CSL_CITATION {"citationID":"hssDvQZd","properties":{"formattedCitation":"\\super 140\\nosupersub{}","plainCitation":"140","noteIndex":0},"citationItems":[{"id":888,"uris":["http://zotero.org/groups/5563646/items/Q74LKR4Y"],"itemData":{"id":888,"type":"article-newspaper","container-title":"The Guardian","language":"en","source":"Zotero","title":"Boston bans artificial turf in parks due to toxic ‘forever chemicals’","URL":"https://www.theguardian.com/environment/2022/sep/30/boston-bans-artificial-turf-toxic-forever-chemicals-pfas","author":[{"family":"Perkins","given":"Tom"}],"issued":{"date-parts":[["2022",9,30]]}}}],"schema":"https://github.com/citation-style-language/schema/raw/master/csl-citation.json"} </w:instrText>
      </w:r>
      <w:r>
        <w:fldChar w:fldCharType="separate"/>
      </w:r>
      <w:r w:rsidR="006F2985" w:rsidRPr="006F2985">
        <w:rPr>
          <w:rFonts w:ascii="Calibri" w:hAnsi="Calibri" w:cs="Calibri"/>
          <w:sz w:val="22"/>
          <w:vertAlign w:val="superscript"/>
        </w:rPr>
        <w:t>140</w:t>
      </w:r>
      <w:r>
        <w:fldChar w:fldCharType="end"/>
      </w:r>
      <w:r>
        <w:t xml:space="preserve"> When considering the installation of ATF</w:t>
      </w:r>
      <w:r w:rsidR="00554D35">
        <w:t>s</w:t>
      </w:r>
      <w:r>
        <w:t xml:space="preserve"> or when playing on </w:t>
      </w:r>
      <w:r w:rsidR="00554D35">
        <w:t xml:space="preserve">an </w:t>
      </w:r>
      <w:r>
        <w:t>ATF, school leaders can take numerous steps to weigh their options and reduce children’s exposure to chemicals or particles from ATF</w:t>
      </w:r>
      <w:r w:rsidR="00554D35">
        <w:t>s</w:t>
      </w:r>
      <w:r>
        <w:t xml:space="preserve"> while playing sports.</w:t>
      </w:r>
    </w:p>
    <w:p w14:paraId="5A679631" w14:textId="77777777" w:rsidR="002046B6" w:rsidRDefault="002046B6" w:rsidP="002046B6">
      <w:pPr>
        <w:pStyle w:val="Heading3"/>
      </w:pPr>
      <w:r>
        <w:t>Methods and Best Practices</w:t>
      </w:r>
    </w:p>
    <w:p w14:paraId="5977E351" w14:textId="5692262D" w:rsidR="002046B6" w:rsidRDefault="002046B6" w:rsidP="006D7DE6">
      <w:pPr>
        <w:pStyle w:val="BodyTextFirstIndent"/>
      </w:pPr>
      <w:r>
        <w:fldChar w:fldCharType="begin"/>
      </w:r>
      <w:r>
        <w:instrText xml:space="preserve"> REF _Ref171632720 \h </w:instrText>
      </w:r>
      <w:r>
        <w:fldChar w:fldCharType="separate"/>
      </w:r>
      <w:r w:rsidR="00307850">
        <w:t xml:space="preserve">Table </w:t>
      </w:r>
      <w:r w:rsidR="00307850">
        <w:rPr>
          <w:noProof/>
        </w:rPr>
        <w:t>26</w:t>
      </w:r>
      <w:r>
        <w:fldChar w:fldCharType="end"/>
      </w:r>
      <w:r>
        <w:t xml:space="preserve"> </w:t>
      </w:r>
      <w:r w:rsidRPr="007935AE">
        <w:t xml:space="preserve">summarizes </w:t>
      </w:r>
      <w:r>
        <w:t xml:space="preserve">the </w:t>
      </w:r>
      <w:r w:rsidRPr="007935AE">
        <w:t xml:space="preserve">methods and best practices for </w:t>
      </w:r>
      <w:r>
        <w:t xml:space="preserve">procuring, using, and disposing of </w:t>
      </w:r>
      <w:r w:rsidR="00DA2FEB">
        <w:t xml:space="preserve">ATFs containing </w:t>
      </w:r>
      <w:r>
        <w:t>crumb rubber in</w:t>
      </w:r>
      <w:r w:rsidRPr="007935AE">
        <w:t xml:space="preserve"> schools. For each method and best practice, the table presents the approximate capital and operating costs, implementation timeframe, and ease of implementation.</w:t>
      </w:r>
      <w:r w:rsidR="00DA2FEB">
        <w:t xml:space="preserve"> </w:t>
      </w:r>
      <w:r w:rsidR="00DA2FEB" w:rsidRPr="00C43978">
        <w:t xml:space="preserve">See </w:t>
      </w:r>
      <w:hyperlink w:anchor="SectVII_2g" w:history="1">
        <w:r w:rsidR="00275879" w:rsidRPr="00275879">
          <w:rPr>
            <w:rStyle w:val="Hyperlink"/>
          </w:rPr>
          <w:t>Section VII, Objective 2g</w:t>
        </w:r>
      </w:hyperlink>
      <w:r w:rsidR="00DA2FEB" w:rsidRPr="00C43978">
        <w:t xml:space="preserve"> for additional narrative descriptions of each of the methods and best practices.</w:t>
      </w:r>
    </w:p>
    <w:p w14:paraId="67588E90" w14:textId="246EC961" w:rsidR="002046B6" w:rsidRDefault="002046B6" w:rsidP="00B30C96">
      <w:pPr>
        <w:pStyle w:val="TableTitle"/>
      </w:pPr>
      <w:bookmarkStart w:id="241" w:name="_Ref171632720"/>
      <w:bookmarkStart w:id="242" w:name="_Toc172200332"/>
      <w:bookmarkStart w:id="243" w:name="_Toc192711692"/>
      <w:bookmarkStart w:id="244" w:name="_Toc193112574"/>
      <w:bookmarkStart w:id="245" w:name="_Toc193116973"/>
      <w:r>
        <w:lastRenderedPageBreak/>
        <w:t xml:space="preserve">Table </w:t>
      </w:r>
      <w:fldSimple w:instr=" SEQ Table \* ARABIC ">
        <w:r w:rsidR="00307850">
          <w:rPr>
            <w:noProof/>
          </w:rPr>
          <w:t>26</w:t>
        </w:r>
      </w:fldSimple>
      <w:bookmarkEnd w:id="241"/>
      <w:r>
        <w:t>. Methods</w:t>
      </w:r>
      <w:r w:rsidR="00074426">
        <w:t xml:space="preserve"> and </w:t>
      </w:r>
      <w:r>
        <w:t>Best Practices Related to Procuring, Using, and Disposing of Crumb Rubber</w:t>
      </w:r>
      <w:bookmarkEnd w:id="242"/>
      <w:bookmarkEnd w:id="243"/>
      <w:bookmarkEnd w:id="244"/>
      <w:bookmarkEnd w:id="245"/>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procuring, using, and disposing of crumb rubber."/>
      </w:tblPr>
      <w:tblGrid>
        <w:gridCol w:w="570"/>
        <w:gridCol w:w="5952"/>
        <w:gridCol w:w="707"/>
        <w:gridCol w:w="707"/>
        <w:gridCol w:w="707"/>
        <w:gridCol w:w="707"/>
      </w:tblGrid>
      <w:tr w:rsidR="002046B6" w:rsidRPr="00C8094D" w14:paraId="7ABAD8D7"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4B6218FB" w14:textId="77777777" w:rsidR="002046B6" w:rsidRDefault="002046B6" w:rsidP="00BE19B9">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D6539E4" w14:textId="77777777" w:rsidR="002046B6" w:rsidRPr="00C8094D" w:rsidRDefault="002046B6" w:rsidP="00A83553">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F6A9819" w14:textId="77777777" w:rsidR="002046B6" w:rsidRDefault="002046B6" w:rsidP="00A83553">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759E0BB" w14:textId="77777777" w:rsidR="002046B6" w:rsidRPr="00C8094D" w:rsidRDefault="002046B6" w:rsidP="00A83553">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E0F4446" w14:textId="77777777" w:rsidR="002046B6" w:rsidRPr="00C8094D" w:rsidRDefault="002046B6" w:rsidP="00A83553">
            <w:pPr>
              <w:pStyle w:val="TableColumnHeader"/>
              <w:jc w:val="left"/>
            </w:pPr>
            <w:r>
              <w:t xml:space="preserve">Ease of </w:t>
            </w:r>
            <w:r w:rsidRPr="00C8094D">
              <w:t>Implementation</w:t>
            </w:r>
          </w:p>
        </w:tc>
      </w:tr>
      <w:tr w:rsidR="002046B6" w:rsidRPr="00C8094D" w14:paraId="2460F6B6" w14:textId="77777777" w:rsidTr="006F5AAC">
        <w:trPr>
          <w:cantSplit/>
          <w:trHeight w:val="255"/>
          <w:tblHeader/>
          <w:jc w:val="center"/>
        </w:trPr>
        <w:tc>
          <w:tcPr>
            <w:tcW w:w="5000" w:type="pct"/>
            <w:gridSpan w:val="6"/>
            <w:tcBorders>
              <w:top w:val="nil"/>
              <w:left w:val="single" w:sz="4" w:space="0" w:color="auto"/>
              <w:bottom w:val="single" w:sz="4" w:space="0" w:color="auto"/>
              <w:right w:val="single" w:sz="4" w:space="0" w:color="auto"/>
            </w:tcBorders>
            <w:shd w:val="clear" w:color="auto" w:fill="1F497D" w:themeFill="text2"/>
          </w:tcPr>
          <w:p w14:paraId="6D1D9EC6" w14:textId="5E8FF63D" w:rsidR="002046B6" w:rsidRPr="00276B41" w:rsidRDefault="002046B6" w:rsidP="00BE19B9">
            <w:pPr>
              <w:pStyle w:val="TableRowHeader"/>
            </w:pPr>
            <w:r w:rsidRPr="000D2358">
              <w:t>Considerations and Practices for School Decision</w:t>
            </w:r>
            <w:r w:rsidR="00FB3E75">
              <w:t xml:space="preserve"> </w:t>
            </w:r>
            <w:r w:rsidR="00602E0E">
              <w:t>M</w:t>
            </w:r>
            <w:r w:rsidR="00602E0E" w:rsidRPr="000D2358">
              <w:t xml:space="preserve">akers </w:t>
            </w:r>
            <w:r w:rsidRPr="000D2358">
              <w:t>and Field Maintenance Staff</w:t>
            </w:r>
          </w:p>
        </w:tc>
      </w:tr>
      <w:tr w:rsidR="002046B6" w:rsidRPr="00C8094D" w14:paraId="782D8E5C"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36E5636F" w14:textId="77777777" w:rsidR="002046B6" w:rsidRDefault="002046B6" w:rsidP="00BE19B9">
            <w:pPr>
              <w:pStyle w:val="TableText"/>
            </w:pPr>
            <w:r>
              <w:t>(1)</w:t>
            </w:r>
          </w:p>
        </w:tc>
        <w:tc>
          <w:tcPr>
            <w:tcW w:w="3183" w:type="pct"/>
            <w:tcBorders>
              <w:top w:val="single" w:sz="4" w:space="0" w:color="auto"/>
              <w:bottom w:val="single" w:sz="4" w:space="0" w:color="auto"/>
              <w:right w:val="single" w:sz="4" w:space="0" w:color="auto"/>
            </w:tcBorders>
          </w:tcPr>
          <w:p w14:paraId="19245F76" w14:textId="5FA753AA" w:rsidR="002046B6" w:rsidRDefault="008F44B1" w:rsidP="00BE19B9">
            <w:pPr>
              <w:pStyle w:val="TableText"/>
            </w:pPr>
            <w:r w:rsidRPr="008F44B1">
              <w:t>Consider the pros and cons of ATFs and natural grass when planning for field upgrades</w:t>
            </w:r>
          </w:p>
        </w:tc>
        <w:tc>
          <w:tcPr>
            <w:tcW w:w="378" w:type="pct"/>
            <w:tcBorders>
              <w:top w:val="nil"/>
              <w:left w:val="single" w:sz="4" w:space="0" w:color="auto"/>
              <w:bottom w:val="single" w:sz="4" w:space="0" w:color="auto"/>
              <w:right w:val="single" w:sz="4" w:space="0" w:color="auto"/>
            </w:tcBorders>
            <w:shd w:val="clear" w:color="auto" w:fill="auto"/>
            <w:vAlign w:val="center"/>
          </w:tcPr>
          <w:p w14:paraId="236EE5F2" w14:textId="77777777" w:rsidR="002046B6" w:rsidRPr="00C8094D" w:rsidRDefault="002046B6" w:rsidP="00BE19B9">
            <w:pPr>
              <w:pStyle w:val="TableText"/>
            </w:pPr>
            <w:r>
              <w:t>NA</w:t>
            </w:r>
          </w:p>
        </w:tc>
        <w:tc>
          <w:tcPr>
            <w:tcW w:w="378" w:type="pct"/>
            <w:tcBorders>
              <w:top w:val="single" w:sz="4" w:space="0" w:color="auto"/>
              <w:left w:val="single" w:sz="4" w:space="0" w:color="auto"/>
              <w:bottom w:val="single" w:sz="4" w:space="0" w:color="auto"/>
              <w:right w:val="single" w:sz="4" w:space="0" w:color="auto"/>
            </w:tcBorders>
            <w:vAlign w:val="center"/>
          </w:tcPr>
          <w:p w14:paraId="7078319A" w14:textId="77777777" w:rsidR="002046B6" w:rsidRPr="00C8094D" w:rsidRDefault="002046B6" w:rsidP="00BE19B9">
            <w:pPr>
              <w:pStyle w:val="TableText"/>
            </w:pPr>
            <w:r>
              <w:t>NA</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E13E618" w14:textId="77777777" w:rsidR="002046B6" w:rsidRPr="00C8094D" w:rsidRDefault="002046B6" w:rsidP="00BE19B9">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C6EF803" w14:textId="77777777" w:rsidR="002046B6" w:rsidRPr="00C8094D" w:rsidRDefault="002046B6" w:rsidP="00BE19B9">
            <w:pPr>
              <w:pStyle w:val="TableText"/>
            </w:pPr>
            <w:r>
              <w:t>NA</w:t>
            </w:r>
          </w:p>
        </w:tc>
      </w:tr>
      <w:tr w:rsidR="002046B6" w:rsidRPr="00C8094D" w14:paraId="3A11B450"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06BB689F" w14:textId="77777777" w:rsidR="002046B6" w:rsidRPr="00C8094D" w:rsidRDefault="002046B6" w:rsidP="00BE19B9">
            <w:pPr>
              <w:pStyle w:val="TableText"/>
            </w:pPr>
            <w:r>
              <w:t>(2)</w:t>
            </w:r>
          </w:p>
        </w:tc>
        <w:tc>
          <w:tcPr>
            <w:tcW w:w="3183" w:type="pct"/>
            <w:tcBorders>
              <w:top w:val="single" w:sz="4" w:space="0" w:color="auto"/>
              <w:bottom w:val="single" w:sz="4" w:space="0" w:color="auto"/>
              <w:right w:val="single" w:sz="4" w:space="0" w:color="auto"/>
            </w:tcBorders>
          </w:tcPr>
          <w:p w14:paraId="5EA93F5A" w14:textId="5E3CAA41" w:rsidR="002046B6" w:rsidRPr="001B5D05" w:rsidRDefault="00AE5641" w:rsidP="00BE19B9">
            <w:pPr>
              <w:pStyle w:val="TableText"/>
              <w:rPr>
                <w:iCs/>
              </w:rPr>
            </w:pPr>
            <w:r w:rsidRPr="00AE5641">
              <w:rPr>
                <w:iCs/>
              </w:rPr>
              <w:t>Plan for and implement routine ATF maintenance</w:t>
            </w:r>
          </w:p>
        </w:tc>
        <w:tc>
          <w:tcPr>
            <w:tcW w:w="378" w:type="pct"/>
            <w:tcBorders>
              <w:top w:val="nil"/>
              <w:left w:val="single" w:sz="4" w:space="0" w:color="auto"/>
              <w:bottom w:val="single" w:sz="4" w:space="0" w:color="auto"/>
              <w:right w:val="single" w:sz="4" w:space="0" w:color="auto"/>
            </w:tcBorders>
            <w:shd w:val="clear" w:color="auto" w:fill="auto"/>
            <w:vAlign w:val="center"/>
          </w:tcPr>
          <w:p w14:paraId="1DF04440" w14:textId="77777777" w:rsidR="002046B6" w:rsidRPr="00C8094D"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25771BF3" w14:textId="77777777" w:rsidR="002046B6" w:rsidRPr="00C8094D" w:rsidRDefault="002046B6"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57804CE" w14:textId="77777777" w:rsidR="002046B6" w:rsidRPr="00C8094D" w:rsidRDefault="002046B6" w:rsidP="00BE19B9">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85D3045" w14:textId="77777777" w:rsidR="002046B6" w:rsidRPr="00C8094D" w:rsidRDefault="002046B6" w:rsidP="00BE19B9">
            <w:pPr>
              <w:pStyle w:val="TableText"/>
            </w:pPr>
            <w:r>
              <w:t>2</w:t>
            </w:r>
          </w:p>
        </w:tc>
      </w:tr>
      <w:tr w:rsidR="002046B6" w:rsidRPr="00C8094D" w14:paraId="1AE5EB86"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543F3475" w14:textId="77777777" w:rsidR="002046B6" w:rsidRDefault="002046B6" w:rsidP="00BE19B9">
            <w:pPr>
              <w:pStyle w:val="TableText"/>
            </w:pPr>
            <w:r>
              <w:t>(3)</w:t>
            </w:r>
          </w:p>
        </w:tc>
        <w:tc>
          <w:tcPr>
            <w:tcW w:w="3183" w:type="pct"/>
            <w:tcBorders>
              <w:top w:val="single" w:sz="4" w:space="0" w:color="auto"/>
              <w:bottom w:val="single" w:sz="4" w:space="0" w:color="auto"/>
              <w:right w:val="single" w:sz="4" w:space="0" w:color="auto"/>
            </w:tcBorders>
          </w:tcPr>
          <w:p w14:paraId="17CC4CB7" w14:textId="27A6A651" w:rsidR="002046B6" w:rsidRPr="001B5D05" w:rsidRDefault="00AC463D" w:rsidP="00BE19B9">
            <w:pPr>
              <w:pStyle w:val="TableText"/>
            </w:pPr>
            <w:r w:rsidRPr="00AC463D">
              <w:t>Plan for and conduct proper disposal of ATFs at end of lifespan</w:t>
            </w:r>
          </w:p>
        </w:tc>
        <w:tc>
          <w:tcPr>
            <w:tcW w:w="378" w:type="pct"/>
            <w:tcBorders>
              <w:top w:val="nil"/>
              <w:left w:val="single" w:sz="4" w:space="0" w:color="auto"/>
              <w:bottom w:val="single" w:sz="4" w:space="0" w:color="auto"/>
              <w:right w:val="single" w:sz="4" w:space="0" w:color="auto"/>
            </w:tcBorders>
            <w:shd w:val="clear" w:color="auto" w:fill="auto"/>
            <w:vAlign w:val="center"/>
          </w:tcPr>
          <w:p w14:paraId="13A7C4A7" w14:textId="77777777" w:rsidR="002046B6" w:rsidRPr="00C8094D" w:rsidRDefault="002046B6"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262FE8AD" w14:textId="77777777" w:rsidR="002046B6" w:rsidRPr="00C8094D"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6FDFC8F" w14:textId="77777777" w:rsidR="002046B6" w:rsidRPr="00C8094D" w:rsidRDefault="002046B6" w:rsidP="00BE19B9">
            <w:pPr>
              <w:pStyle w:val="TableText"/>
            </w:pPr>
            <w: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8CEA6E8" w14:textId="77777777" w:rsidR="002046B6" w:rsidRPr="00C8094D" w:rsidRDefault="002046B6" w:rsidP="00BE19B9">
            <w:pPr>
              <w:pStyle w:val="TableText"/>
            </w:pPr>
            <w:r>
              <w:t>2</w:t>
            </w:r>
          </w:p>
        </w:tc>
      </w:tr>
      <w:tr w:rsidR="002046B6" w:rsidRPr="00C8094D" w14:paraId="079B8518" w14:textId="77777777" w:rsidTr="006F5AAC">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497D" w:themeFill="text2"/>
          </w:tcPr>
          <w:p w14:paraId="018933F9" w14:textId="77777777" w:rsidR="002046B6" w:rsidRPr="00381EF0" w:rsidRDefault="002046B6" w:rsidP="00BE19B9">
            <w:pPr>
              <w:pStyle w:val="TableRowHeader"/>
            </w:pPr>
            <w:r w:rsidRPr="000D2358">
              <w:t>Considerations and Practices for Students, Staff, and Families Playing on ATF</w:t>
            </w:r>
          </w:p>
        </w:tc>
      </w:tr>
      <w:tr w:rsidR="002046B6" w:rsidRPr="00C8094D" w14:paraId="4C8E0533"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44D8E95" w14:textId="77777777" w:rsidR="002046B6" w:rsidRDefault="002046B6" w:rsidP="00BE19B9">
            <w:pPr>
              <w:pStyle w:val="TableText"/>
            </w:pPr>
            <w:r>
              <w:t>(4)</w:t>
            </w:r>
          </w:p>
        </w:tc>
        <w:tc>
          <w:tcPr>
            <w:tcW w:w="3183" w:type="pct"/>
            <w:tcBorders>
              <w:top w:val="single" w:sz="4" w:space="0" w:color="auto"/>
              <w:bottom w:val="single" w:sz="4" w:space="0" w:color="auto"/>
              <w:right w:val="single" w:sz="4" w:space="0" w:color="auto"/>
            </w:tcBorders>
          </w:tcPr>
          <w:p w14:paraId="5E63DD8E" w14:textId="42120082" w:rsidR="002046B6" w:rsidRPr="001B5D05" w:rsidRDefault="00F81695" w:rsidP="00BE19B9">
            <w:pPr>
              <w:pStyle w:val="TableText"/>
              <w:rPr>
                <w:iCs/>
              </w:rPr>
            </w:pPr>
            <w:r w:rsidRPr="00F81695">
              <w:rPr>
                <w:iCs/>
              </w:rPr>
              <w:t>Wear shoes on ATFs at all times</w:t>
            </w:r>
          </w:p>
        </w:tc>
        <w:tc>
          <w:tcPr>
            <w:tcW w:w="378" w:type="pct"/>
            <w:tcBorders>
              <w:top w:val="nil"/>
              <w:left w:val="single" w:sz="4" w:space="0" w:color="auto"/>
              <w:bottom w:val="single" w:sz="4" w:space="0" w:color="auto"/>
              <w:right w:val="single" w:sz="4" w:space="0" w:color="auto"/>
            </w:tcBorders>
            <w:shd w:val="clear" w:color="auto" w:fill="auto"/>
            <w:vAlign w:val="center"/>
          </w:tcPr>
          <w:p w14:paraId="383776B7"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2D2140F"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0586B87" w14:textId="77777777" w:rsidR="002046B6"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B21D8FC" w14:textId="77777777" w:rsidR="002046B6" w:rsidRDefault="002046B6" w:rsidP="00BE19B9">
            <w:pPr>
              <w:pStyle w:val="TableText"/>
            </w:pPr>
            <w:r>
              <w:t>1</w:t>
            </w:r>
          </w:p>
        </w:tc>
      </w:tr>
      <w:tr w:rsidR="002046B6" w:rsidRPr="00C8094D" w14:paraId="38186B82"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F6A6491" w14:textId="77777777" w:rsidR="002046B6" w:rsidRDefault="002046B6" w:rsidP="00BE19B9">
            <w:pPr>
              <w:pStyle w:val="TableText"/>
            </w:pPr>
            <w:r>
              <w:t>(5)</w:t>
            </w:r>
          </w:p>
        </w:tc>
        <w:tc>
          <w:tcPr>
            <w:tcW w:w="3183" w:type="pct"/>
            <w:tcBorders>
              <w:top w:val="single" w:sz="4" w:space="0" w:color="auto"/>
              <w:bottom w:val="single" w:sz="4" w:space="0" w:color="auto"/>
              <w:right w:val="single" w:sz="4" w:space="0" w:color="auto"/>
            </w:tcBorders>
          </w:tcPr>
          <w:p w14:paraId="2FA11639" w14:textId="0C4046F5" w:rsidR="002046B6" w:rsidRPr="001B5D05" w:rsidRDefault="00602E91" w:rsidP="00BE19B9">
            <w:pPr>
              <w:pStyle w:val="TableText"/>
              <w:rPr>
                <w:iCs/>
              </w:rPr>
            </w:pPr>
            <w:r w:rsidRPr="00602E91">
              <w:rPr>
                <w:iCs/>
              </w:rPr>
              <w:t>Do not swallow or allow small children to swallow crumb rubber</w:t>
            </w:r>
          </w:p>
        </w:tc>
        <w:tc>
          <w:tcPr>
            <w:tcW w:w="378" w:type="pct"/>
            <w:tcBorders>
              <w:top w:val="nil"/>
              <w:left w:val="single" w:sz="4" w:space="0" w:color="auto"/>
              <w:bottom w:val="single" w:sz="4" w:space="0" w:color="auto"/>
              <w:right w:val="single" w:sz="4" w:space="0" w:color="auto"/>
            </w:tcBorders>
            <w:shd w:val="clear" w:color="auto" w:fill="auto"/>
            <w:vAlign w:val="center"/>
          </w:tcPr>
          <w:p w14:paraId="51DE52CF"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591BC1B0"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8E26BC2" w14:textId="77777777" w:rsidR="002046B6"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14CBDC1" w14:textId="77777777" w:rsidR="002046B6" w:rsidRDefault="002046B6" w:rsidP="00BE19B9">
            <w:pPr>
              <w:pStyle w:val="TableText"/>
            </w:pPr>
            <w:r>
              <w:t>1</w:t>
            </w:r>
          </w:p>
        </w:tc>
      </w:tr>
      <w:tr w:rsidR="002046B6" w:rsidRPr="00C8094D" w14:paraId="0F5D80F6"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1BE11E44" w14:textId="77777777" w:rsidR="002046B6" w:rsidRDefault="002046B6" w:rsidP="00BE19B9">
            <w:pPr>
              <w:pStyle w:val="TableText"/>
            </w:pPr>
            <w:r>
              <w:t>(6)</w:t>
            </w:r>
          </w:p>
        </w:tc>
        <w:tc>
          <w:tcPr>
            <w:tcW w:w="3183" w:type="pct"/>
            <w:tcBorders>
              <w:top w:val="single" w:sz="4" w:space="0" w:color="auto"/>
              <w:bottom w:val="single" w:sz="4" w:space="0" w:color="auto"/>
              <w:right w:val="single" w:sz="4" w:space="0" w:color="auto"/>
            </w:tcBorders>
          </w:tcPr>
          <w:p w14:paraId="2652C77C" w14:textId="72BCC5BE" w:rsidR="002046B6" w:rsidRPr="001B5D05" w:rsidRDefault="007A7480" w:rsidP="00BE19B9">
            <w:pPr>
              <w:pStyle w:val="TableText"/>
              <w:rPr>
                <w:iCs/>
              </w:rPr>
            </w:pPr>
            <w:r w:rsidRPr="007A7480">
              <w:rPr>
                <w:iCs/>
              </w:rPr>
              <w:t>Increase ventilation at indoor ATF facilities</w:t>
            </w:r>
          </w:p>
        </w:tc>
        <w:tc>
          <w:tcPr>
            <w:tcW w:w="378" w:type="pct"/>
            <w:tcBorders>
              <w:top w:val="nil"/>
              <w:left w:val="single" w:sz="4" w:space="0" w:color="auto"/>
              <w:bottom w:val="single" w:sz="4" w:space="0" w:color="auto"/>
              <w:right w:val="single" w:sz="4" w:space="0" w:color="auto"/>
            </w:tcBorders>
            <w:shd w:val="clear" w:color="auto" w:fill="auto"/>
            <w:vAlign w:val="center"/>
          </w:tcPr>
          <w:p w14:paraId="50BB9D0A"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8845CED"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8EDD734" w14:textId="77777777" w:rsidR="002046B6"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76596F7" w14:textId="77777777" w:rsidR="002046B6" w:rsidRDefault="002046B6" w:rsidP="00BE19B9">
            <w:pPr>
              <w:pStyle w:val="TableText"/>
            </w:pPr>
            <w:r>
              <w:t>2</w:t>
            </w:r>
          </w:p>
        </w:tc>
      </w:tr>
      <w:tr w:rsidR="002046B6" w:rsidRPr="00C8094D" w14:paraId="5FDE9F85"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11292155" w14:textId="77777777" w:rsidR="002046B6" w:rsidRPr="00C8094D" w:rsidRDefault="002046B6" w:rsidP="00BE19B9">
            <w:pPr>
              <w:pStyle w:val="TableText"/>
            </w:pPr>
            <w:r>
              <w:t>(7)</w:t>
            </w:r>
          </w:p>
        </w:tc>
        <w:tc>
          <w:tcPr>
            <w:tcW w:w="3183" w:type="pct"/>
            <w:tcBorders>
              <w:top w:val="single" w:sz="4" w:space="0" w:color="auto"/>
              <w:bottom w:val="single" w:sz="4" w:space="0" w:color="auto"/>
              <w:right w:val="single" w:sz="4" w:space="0" w:color="auto"/>
            </w:tcBorders>
          </w:tcPr>
          <w:p w14:paraId="71F063B0" w14:textId="29A8D73D" w:rsidR="002046B6" w:rsidRPr="001B5D05" w:rsidRDefault="0062342F" w:rsidP="00BE19B9">
            <w:pPr>
              <w:pStyle w:val="TableText"/>
              <w:rPr>
                <w:iCs/>
              </w:rPr>
            </w:pPr>
            <w:r w:rsidRPr="0062342F">
              <w:rPr>
                <w:iCs/>
              </w:rPr>
              <w:t>Raise awareness of and protect against extreme heat exposure</w:t>
            </w:r>
          </w:p>
        </w:tc>
        <w:tc>
          <w:tcPr>
            <w:tcW w:w="378" w:type="pct"/>
            <w:tcBorders>
              <w:top w:val="nil"/>
              <w:left w:val="single" w:sz="4" w:space="0" w:color="auto"/>
              <w:bottom w:val="single" w:sz="4" w:space="0" w:color="auto"/>
              <w:right w:val="single" w:sz="4" w:space="0" w:color="auto"/>
            </w:tcBorders>
            <w:shd w:val="clear" w:color="auto" w:fill="auto"/>
            <w:vAlign w:val="center"/>
          </w:tcPr>
          <w:p w14:paraId="2E2D3E6A" w14:textId="77777777" w:rsidR="002046B6" w:rsidRPr="00F45120"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18C03C81" w14:textId="77777777" w:rsidR="002046B6" w:rsidRPr="00F45120" w:rsidRDefault="002046B6"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1DDEC18" w14:textId="77777777" w:rsidR="002046B6" w:rsidRPr="00F45120"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9B71648" w14:textId="77777777" w:rsidR="002046B6" w:rsidRPr="00F45120" w:rsidRDefault="002046B6" w:rsidP="00BE19B9">
            <w:pPr>
              <w:pStyle w:val="TableText"/>
            </w:pPr>
            <w:r>
              <w:t>2</w:t>
            </w:r>
          </w:p>
        </w:tc>
      </w:tr>
      <w:tr w:rsidR="002046B6" w:rsidRPr="00C8094D" w14:paraId="14ABDDDD"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A9AA993" w14:textId="77777777" w:rsidR="002046B6" w:rsidRDefault="002046B6" w:rsidP="00BE19B9">
            <w:pPr>
              <w:pStyle w:val="TableText"/>
            </w:pPr>
            <w:r>
              <w:t>(8)</w:t>
            </w:r>
          </w:p>
        </w:tc>
        <w:tc>
          <w:tcPr>
            <w:tcW w:w="3183" w:type="pct"/>
            <w:tcBorders>
              <w:top w:val="single" w:sz="4" w:space="0" w:color="auto"/>
              <w:bottom w:val="single" w:sz="4" w:space="0" w:color="auto"/>
              <w:right w:val="single" w:sz="4" w:space="0" w:color="auto"/>
            </w:tcBorders>
          </w:tcPr>
          <w:p w14:paraId="1A685AB3" w14:textId="11DF60D8" w:rsidR="002046B6" w:rsidRPr="001B5D05" w:rsidRDefault="00553821" w:rsidP="00BE19B9">
            <w:pPr>
              <w:pStyle w:val="TableText"/>
              <w:rPr>
                <w:iCs/>
              </w:rPr>
            </w:pPr>
            <w:r w:rsidRPr="00553821">
              <w:rPr>
                <w:iCs/>
              </w:rPr>
              <w:t>Minimize passive recreation on ATFs</w:t>
            </w:r>
          </w:p>
        </w:tc>
        <w:tc>
          <w:tcPr>
            <w:tcW w:w="378" w:type="pct"/>
            <w:tcBorders>
              <w:top w:val="nil"/>
              <w:left w:val="single" w:sz="4" w:space="0" w:color="auto"/>
              <w:bottom w:val="single" w:sz="4" w:space="0" w:color="auto"/>
              <w:right w:val="single" w:sz="4" w:space="0" w:color="auto"/>
            </w:tcBorders>
            <w:shd w:val="clear" w:color="auto" w:fill="auto"/>
            <w:vAlign w:val="center"/>
          </w:tcPr>
          <w:p w14:paraId="306C46E4"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4E865B4" w14:textId="77777777" w:rsidR="002046B6"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292922B" w14:textId="77777777" w:rsidR="002046B6"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BFE450C" w14:textId="77777777" w:rsidR="002046B6" w:rsidRDefault="002046B6" w:rsidP="00BE19B9">
            <w:pPr>
              <w:pStyle w:val="TableText"/>
            </w:pPr>
            <w:r>
              <w:t>1</w:t>
            </w:r>
          </w:p>
        </w:tc>
      </w:tr>
      <w:tr w:rsidR="002046B6" w:rsidRPr="00C8094D" w14:paraId="14BC3E11"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206B2E8B" w14:textId="77777777" w:rsidR="002046B6" w:rsidRPr="00C8094D" w:rsidRDefault="002046B6" w:rsidP="00BE19B9">
            <w:pPr>
              <w:pStyle w:val="TableText"/>
            </w:pPr>
            <w:r>
              <w:t>(9)</w:t>
            </w:r>
          </w:p>
        </w:tc>
        <w:tc>
          <w:tcPr>
            <w:tcW w:w="3183" w:type="pct"/>
            <w:tcBorders>
              <w:top w:val="single" w:sz="4" w:space="0" w:color="auto"/>
              <w:bottom w:val="single" w:sz="4" w:space="0" w:color="auto"/>
              <w:right w:val="single" w:sz="4" w:space="0" w:color="auto"/>
            </w:tcBorders>
          </w:tcPr>
          <w:p w14:paraId="4AE55A5F" w14:textId="4FFAB08E" w:rsidR="002046B6" w:rsidRPr="001B5D05" w:rsidRDefault="00553821" w:rsidP="00BE19B9">
            <w:pPr>
              <w:pStyle w:val="TableText"/>
              <w:rPr>
                <w:iCs/>
              </w:rPr>
            </w:pPr>
            <w:r w:rsidRPr="00553821">
              <w:rPr>
                <w:iCs/>
              </w:rPr>
              <w:t>Clean hands, clothing, equipment, and turf burns after playing on ATFs</w:t>
            </w:r>
          </w:p>
        </w:tc>
        <w:tc>
          <w:tcPr>
            <w:tcW w:w="378" w:type="pct"/>
            <w:tcBorders>
              <w:top w:val="nil"/>
              <w:left w:val="single" w:sz="4" w:space="0" w:color="auto"/>
              <w:bottom w:val="single" w:sz="4" w:space="0" w:color="auto"/>
              <w:right w:val="single" w:sz="4" w:space="0" w:color="auto"/>
            </w:tcBorders>
            <w:shd w:val="clear" w:color="auto" w:fill="auto"/>
            <w:vAlign w:val="center"/>
          </w:tcPr>
          <w:p w14:paraId="5BC8BA1D" w14:textId="77777777" w:rsidR="002046B6" w:rsidRPr="00F45120"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3E98CEF1" w14:textId="77777777" w:rsidR="002046B6" w:rsidRPr="00F45120" w:rsidRDefault="002046B6"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747B651" w14:textId="77777777" w:rsidR="002046B6" w:rsidRPr="00F45120" w:rsidRDefault="002046B6"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529EED5" w14:textId="77777777" w:rsidR="002046B6" w:rsidRPr="00F45120" w:rsidRDefault="002046B6" w:rsidP="00BE19B9">
            <w:pPr>
              <w:pStyle w:val="TableText"/>
            </w:pPr>
            <w:r>
              <w:t>1</w:t>
            </w:r>
          </w:p>
        </w:tc>
      </w:tr>
      <w:tr w:rsidR="002046B6" w:rsidRPr="00C8094D" w14:paraId="0259D64C"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A5E01B" w14:textId="77777777" w:rsidR="002046B6" w:rsidRPr="00FF51E8" w:rsidRDefault="002046B6" w:rsidP="00BE19B9">
            <w:pPr>
              <w:rPr>
                <w:rFonts w:ascii="Arial" w:hAnsi="Arial" w:cs="Arial"/>
                <w:b/>
                <w:bCs/>
                <w:sz w:val="20"/>
                <w:szCs w:val="20"/>
                <w:u w:val="single"/>
              </w:rPr>
            </w:pPr>
            <w:r w:rsidRPr="00FF51E8">
              <w:rPr>
                <w:rFonts w:ascii="Arial" w:hAnsi="Arial" w:cs="Arial"/>
                <w:b/>
                <w:bCs/>
                <w:sz w:val="20"/>
                <w:szCs w:val="20"/>
                <w:u w:val="single"/>
              </w:rPr>
              <w:t>Key:</w:t>
            </w:r>
          </w:p>
          <w:p w14:paraId="3A931BB0" w14:textId="77777777" w:rsidR="002046B6" w:rsidRPr="00FF51E8" w:rsidRDefault="002046B6" w:rsidP="00BE19B9">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389A0B66" w14:textId="4920B09C" w:rsidR="002046B6" w:rsidRPr="00FF51E8" w:rsidRDefault="002046B6" w:rsidP="00BE19B9">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08B42771" w14:textId="77777777" w:rsidR="002046B6" w:rsidRPr="00FF51E8" w:rsidRDefault="002046B6" w:rsidP="00BE19B9">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46A575F7" w14:textId="77777777" w:rsidR="002046B6" w:rsidRDefault="002046B6" w:rsidP="002046B6">
      <w:pPr>
        <w:pStyle w:val="Heading3"/>
      </w:pPr>
      <w:r>
        <w:t>Barriers and Challenges</w:t>
      </w:r>
    </w:p>
    <w:p w14:paraId="02353B01" w14:textId="21EDD2DD" w:rsidR="003428A6" w:rsidRDefault="38E5B8BA" w:rsidP="006D7DE6">
      <w:pPr>
        <w:pStyle w:val="BodyTextFirstIndent"/>
      </w:pPr>
      <w:r>
        <w:t xml:space="preserve">One particular challenge regarding </w:t>
      </w:r>
      <w:r w:rsidR="4BEACA9B">
        <w:t xml:space="preserve">the use of </w:t>
      </w:r>
      <w:r>
        <w:t xml:space="preserve">ATF is the lack of definitive research on the safety or health effects of playing on ATFs. While research suggests that chemical exposure while playing on an ATF is not much greater than background exposure, not all chemicals in ATFs are always known and characterized, and numerous routes of exposure exist. </w:t>
      </w:r>
      <w:r w:rsidR="2308EFFB">
        <w:t xml:space="preserve">Both ATF and natural grass fields cost money to maintain; disposal costs and methods for ATF at the end of their useful life span will need to be accounted for in </w:t>
      </w:r>
      <w:r w:rsidR="5AF20F85">
        <w:t>school district budgets.</w:t>
      </w:r>
    </w:p>
    <w:p w14:paraId="4063D4DC" w14:textId="6B2123FA" w:rsidR="00904065" w:rsidRDefault="670367DD" w:rsidP="001C7888">
      <w:pPr>
        <w:pStyle w:val="Heading2"/>
      </w:pPr>
      <w:bookmarkStart w:id="246" w:name="_Toc171518376"/>
      <w:bookmarkStart w:id="247" w:name="_Toc171519329"/>
      <w:bookmarkStart w:id="248" w:name="_Toc193116908"/>
      <w:r>
        <w:lastRenderedPageBreak/>
        <w:t xml:space="preserve">Objective 2h. </w:t>
      </w:r>
      <w:r w:rsidR="1C34FFB1">
        <w:t>Create a Safe Environment for Students with Life-Threatening Food Allergies</w:t>
      </w:r>
      <w:bookmarkEnd w:id="246"/>
      <w:bookmarkEnd w:id="247"/>
      <w:bookmarkEnd w:id="248"/>
    </w:p>
    <w:p w14:paraId="34DF2E5D" w14:textId="77777777" w:rsidR="007C6F23" w:rsidRDefault="007C6F23" w:rsidP="007C6F23">
      <w:pPr>
        <w:pStyle w:val="Heading3"/>
      </w:pPr>
      <w:r>
        <w:t>Background</w:t>
      </w:r>
    </w:p>
    <w:p w14:paraId="7102811F" w14:textId="36072578" w:rsidR="007C6F23" w:rsidRDefault="067D43E1" w:rsidP="006D7DE6">
      <w:pPr>
        <w:pStyle w:val="BodyTextFirstIndent"/>
      </w:pPr>
      <w:r>
        <w:t>Food allergies affect about 8 percent of children in the United States.</w:t>
      </w:r>
      <w:r>
        <w:fldChar w:fldCharType="begin"/>
      </w:r>
      <w:r w:rsidR="00472D66">
        <w:instrText xml:space="preserve"> ADDIN ZOTERO_ITEM CSL_CITATION {"citationID":"a2br5tcv8i1","properties":{"formattedCitation":"\\super 142\\nosupersub{}","plainCitation":"142","noteIndex":0},"citationItems":[{"id":1004,"uris":["http://zotero.org/groups/5563646/items/8QM9H7PS"],"itemData":{"id":1004,"type":"webpage","abstract":"Food allergies are a growing food safety and public health concern that affect an estimated 8% of children in the United States. Learn how schools can develop plans for preventing an allergic reaction and responding to a food allergy emergency.","language":"en-us","title":"Food Allergies | Healthy Schools | CDC","URL":"https://www.cdc.gov/healthyschools/foodallergies/index.htm","accessed":{"date-parts":[["2024",7,29]]},"issued":{"date-parts":[["2022",8,24]]}}}],"schema":"https://github.com/citation-style-language/schema/raw/master/csl-citation.json"} </w:instrText>
      </w:r>
      <w:r>
        <w:fldChar w:fldCharType="separate"/>
      </w:r>
      <w:r w:rsidR="00472D66" w:rsidRPr="00472D66">
        <w:rPr>
          <w:rFonts w:cs="Arial"/>
          <w:vertAlign w:val="superscript"/>
        </w:rPr>
        <w:t>142</w:t>
      </w:r>
      <w:r>
        <w:fldChar w:fldCharType="end"/>
      </w:r>
      <w:r>
        <w:t xml:space="preserve"> </w:t>
      </w:r>
      <w:r w:rsidR="0FD62718">
        <w:t xml:space="preserve">People can be allergic to any food, but the </w:t>
      </w:r>
      <w:r w:rsidR="224ED6DC">
        <w:t xml:space="preserve">nine most </w:t>
      </w:r>
      <w:r>
        <w:t>common food allergens in the United States are milk, eggs, fish, shellfish, wheat, soy, peanuts, tree nuts</w:t>
      </w:r>
      <w:r w:rsidR="685E5C7A">
        <w:t>, and sesame</w:t>
      </w:r>
      <w:r>
        <w:t>.</w:t>
      </w:r>
      <w:r>
        <w:fldChar w:fldCharType="begin"/>
      </w:r>
      <w:r w:rsidR="00FB15B2">
        <w:instrText xml:space="preserve"> ADDIN ZOTERO_ITEM CSL_CITATION {"citationID":"a1ivu13jjhv","properties":{"formattedCitation":"\\super 142\\nosupersub{}","plainCitation":"142","noteIndex":0},"citationItems":[{"id":1004,"uris":["http://zotero.org/groups/5563646/items/8QM9H7PS"],"itemData":{"id":1004,"type":"webpage","abstract":"Food allergies are a growing food safety and public health concern that affect an estimated 8% of children in the United States. Learn how schools can develop plans for preventing an allergic reaction and responding to a food allergy emergency.","language":"en-us","title":"Food Allergies | Healthy Schools | CDC","URL":"https://www.cdc.gov/healthyschools/foodallergies/index.htm","accessed":{"date-parts":[["2024",7,29]]},"issued":{"date-parts":[["2022",8,24]]}}}],"schema":"https://github.com/citation-style-language/schema/raw/master/csl-citation.json"} </w:instrText>
      </w:r>
      <w:r>
        <w:fldChar w:fldCharType="separate"/>
      </w:r>
      <w:r w:rsidR="00FB15B2" w:rsidRPr="00FB15B2">
        <w:rPr>
          <w:rFonts w:cs="Arial"/>
          <w:vertAlign w:val="superscript"/>
        </w:rPr>
        <w:t>142</w:t>
      </w:r>
      <w:r>
        <w:fldChar w:fldCharType="end"/>
      </w:r>
      <w:r>
        <w:t xml:space="preserve"> Food allergies </w:t>
      </w:r>
      <w:r w:rsidR="65E05B96">
        <w:t xml:space="preserve">can be </w:t>
      </w:r>
      <w:r>
        <w:t>life-threatening</w:t>
      </w:r>
      <w:r w:rsidR="00B9016B">
        <w:t>,</w:t>
      </w:r>
      <w:r w:rsidR="1901BD49">
        <w:t xml:space="preserve"> and some people with severe reactions may not have experienced them in the past. Avoidance</w:t>
      </w:r>
      <w:r>
        <w:t xml:space="preserve"> is the best way to </w:t>
      </w:r>
      <w:r w:rsidR="11FC30F4">
        <w:t xml:space="preserve">keep children safe. </w:t>
      </w:r>
      <w:r>
        <w:t xml:space="preserve"> Individuals with life-threatening food allergies </w:t>
      </w:r>
      <w:r w:rsidR="7F8E1F98">
        <w:t>may be</w:t>
      </w:r>
      <w:r>
        <w:t xml:space="preserve"> prescribed epinephrine auto-injecting pens in the event of exposure to allergens. During the 2</w:t>
      </w:r>
      <w:r w:rsidR="45ACB84C">
        <w:t>021</w:t>
      </w:r>
      <w:r w:rsidR="00B9016B">
        <w:t>–</w:t>
      </w:r>
      <w:r w:rsidR="45ACB84C">
        <w:t>2022</w:t>
      </w:r>
      <w:r>
        <w:t xml:space="preserve"> school year in Massachusetts, </w:t>
      </w:r>
      <w:r w:rsidR="792B31C3">
        <w:t xml:space="preserve">259 students and </w:t>
      </w:r>
      <w:r w:rsidR="20F53D46">
        <w:t xml:space="preserve">27 other individuals </w:t>
      </w:r>
      <w:r>
        <w:t xml:space="preserve">were treated for anaphylaxis at school, and </w:t>
      </w:r>
      <w:r w:rsidR="4716C66B">
        <w:t>39.5</w:t>
      </w:r>
      <w:r>
        <w:t xml:space="preserve"> percent of these anaphylactic shock events were among individuals with no history of anaphylaxis.</w:t>
      </w:r>
      <w:r>
        <w:fldChar w:fldCharType="begin"/>
      </w:r>
      <w:r w:rsidR="00983E04">
        <w:instrText xml:space="preserve"> ADDIN ZOTERO_ITEM CSL_CITATION {"citationID":"a1t9u6naulg","properties":{"formattedCitation":"\\super 143\\nosupersub{}","plainCitation":"143","noteIndex":0},"citationItems":[{"id":1003,"uris":["http://zotero.org/groups/5563646/items/7TCI9IS2"],"itemData":{"id":1003,"type":"webpage","title":"Life-Threatening Allergies, Anaphylactic Events and the Administration of Epinephrine in School","URL":"https://www.mass.gov/lists/life-threatening-allergies-and-anaphylactic-events-in-schools","author":[{"family":"MA DPH","given":""}],"issued":{"date-parts":[["2017"]]}}}],"schema":"https://github.com/citation-style-language/schema/raw/master/csl-citation.json"} </w:instrText>
      </w:r>
      <w:r>
        <w:fldChar w:fldCharType="separate"/>
      </w:r>
      <w:r w:rsidR="00983E04" w:rsidRPr="00983E04">
        <w:rPr>
          <w:rFonts w:cs="Arial"/>
          <w:vertAlign w:val="superscript"/>
        </w:rPr>
        <w:t>143</w:t>
      </w:r>
      <w:r>
        <w:fldChar w:fldCharType="end"/>
      </w:r>
      <w:r>
        <w:t xml:space="preserve"> Most of these reactions (65</w:t>
      </w:r>
      <w:r w:rsidR="72D1A403">
        <w:t>.7</w:t>
      </w:r>
      <w:r>
        <w:t xml:space="preserve"> percent) were caused by food</w:t>
      </w:r>
      <w:r w:rsidR="4AB593A1">
        <w:t xml:space="preserve">, and in 159 of the 188 food allergen </w:t>
      </w:r>
      <w:r w:rsidR="3127AE56">
        <w:t>anaphylactic events</w:t>
      </w:r>
      <w:r w:rsidR="4AB593A1">
        <w:t>, the reaction was caused by ingesting a food allergen</w:t>
      </w:r>
      <w:r>
        <w:t>.</w:t>
      </w:r>
      <w:r>
        <w:fldChar w:fldCharType="begin"/>
      </w:r>
      <w:r w:rsidR="00B07473">
        <w:instrText xml:space="preserve"> ADDIN ZOTERO_ITEM CSL_CITATION {"citationID":"a2nh7gughcs","properties":{"formattedCitation":"\\super 143\\nosupersub{}","plainCitation":"143","noteIndex":0},"citationItems":[{"id":1003,"uris":["http://zotero.org/groups/5563646/items/7TCI9IS2"],"itemData":{"id":1003,"type":"webpage","title":"Life-Threatening Allergies, Anaphylactic Events and the Administration of Epinephrine in School","URL":"https://www.mass.gov/lists/life-threatening-allergies-and-anaphylactic-events-in-schools","author":[{"family":"MA DPH","given":""}],"issued":{"date-parts":[["2017"]]}}}],"schema":"https://github.com/citation-style-language/schema/raw/master/csl-citation.json"} </w:instrText>
      </w:r>
      <w:r>
        <w:fldChar w:fldCharType="separate"/>
      </w:r>
      <w:r w:rsidR="00B07473" w:rsidRPr="00B07473">
        <w:rPr>
          <w:rFonts w:cs="Arial"/>
          <w:vertAlign w:val="superscript"/>
        </w:rPr>
        <w:t>143</w:t>
      </w:r>
      <w:r>
        <w:fldChar w:fldCharType="end"/>
      </w:r>
      <w:r>
        <w:t xml:space="preserve">   </w:t>
      </w:r>
    </w:p>
    <w:p w14:paraId="5992720B" w14:textId="2BF02CD4" w:rsidR="597F83D5" w:rsidRDefault="597F83D5" w:rsidP="006D7DE6">
      <w:pPr>
        <w:pStyle w:val="BodyTextFirstIndent"/>
      </w:pPr>
      <w:r>
        <w:t>Schools can help students avoid food allergens by creating allergy- or food-free spaces</w:t>
      </w:r>
      <w:r w:rsidR="3F0F21DA">
        <w:t xml:space="preserve"> outside of designated eating areas</w:t>
      </w:r>
      <w:r>
        <w:t xml:space="preserve">, </w:t>
      </w:r>
      <w:r w:rsidR="0C2E1EE1">
        <w:t>keeping and understanding ingredients in each of the food items being served</w:t>
      </w:r>
      <w:r w:rsidR="71EA68B2">
        <w:t xml:space="preserve"> (</w:t>
      </w:r>
      <w:r w:rsidR="0C2E1EE1">
        <w:t>especially if the items are prepared and do not have visible labels</w:t>
      </w:r>
      <w:r w:rsidR="167E53E0">
        <w:t>)</w:t>
      </w:r>
      <w:r w:rsidR="0C2E1EE1">
        <w:t xml:space="preserve">, </w:t>
      </w:r>
      <w:r>
        <w:t xml:space="preserve">ensuring proper food preparation practices, and </w:t>
      </w:r>
      <w:r w:rsidR="3CC896AB">
        <w:t xml:space="preserve">avoiding </w:t>
      </w:r>
      <w:r>
        <w:t>cross-</w:t>
      </w:r>
      <w:r w:rsidR="244DD68F">
        <w:t>contact</w:t>
      </w:r>
      <w:r>
        <w:t xml:space="preserve"> in food</w:t>
      </w:r>
      <w:r w:rsidR="19D62E1A">
        <w:t xml:space="preserve"> preparation and service areas, including </w:t>
      </w:r>
      <w:r w:rsidR="00564258">
        <w:t>in</w:t>
      </w:r>
      <w:r w:rsidR="19D62E1A">
        <w:t xml:space="preserve"> kitchen</w:t>
      </w:r>
      <w:r w:rsidR="00564258">
        <w:t>s</w:t>
      </w:r>
      <w:r w:rsidR="19D62E1A">
        <w:t xml:space="preserve"> and eating areas.</w:t>
      </w:r>
      <w:r>
        <w:t xml:space="preserve"> Schools must also be able to respond to anaphylactic shock events in the case of cross-conta</w:t>
      </w:r>
      <w:r w:rsidR="003228AB">
        <w:t>ct</w:t>
      </w:r>
      <w:r>
        <w:t xml:space="preserve"> or in the case of previously unknown allergies. </w:t>
      </w:r>
    </w:p>
    <w:p w14:paraId="7BDD1860" w14:textId="29FB81A1" w:rsidR="242F482D" w:rsidRDefault="242F482D" w:rsidP="006D7DE6">
      <w:pPr>
        <w:pStyle w:val="BodyTextFirstIndent"/>
      </w:pPr>
      <w:r>
        <w:t>In Massachusetts, p</w:t>
      </w:r>
      <w:r w:rsidRPr="62E2E3B4">
        <w:t xml:space="preserve">ublic and private schools, educational institutions, summer camps, childcare facilities, and other childcare programs approved to participate in </w:t>
      </w:r>
      <w:r w:rsidR="00F37143">
        <w:t>U.S. Department of Agriculture (</w:t>
      </w:r>
      <w:r w:rsidRPr="62E2E3B4">
        <w:t>USDA</w:t>
      </w:r>
      <w:r w:rsidR="00F37143">
        <w:t>)</w:t>
      </w:r>
      <w:r w:rsidRPr="62E2E3B4">
        <w:t xml:space="preserve"> Child Nutrition Programs are exempt from DPH regulations 105 CMR 590.</w:t>
      </w:r>
      <w:r w:rsidR="30504E86" w:rsidRPr="62E2E3B4">
        <w:t xml:space="preserve">000 </w:t>
      </w:r>
      <w:r w:rsidRPr="62E2E3B4">
        <w:t xml:space="preserve">regarding food allergens, provided that they have written policies and procedures for identifying, documenting, and accommodating students with food allergies. Documentation is also required to verify participation in food allergen training recognized by </w:t>
      </w:r>
      <w:r w:rsidR="00855647">
        <w:t>DESE</w:t>
      </w:r>
      <w:r w:rsidRPr="62E2E3B4">
        <w:t xml:space="preserve"> and </w:t>
      </w:r>
      <w:r w:rsidR="00855647">
        <w:t>DPH</w:t>
      </w:r>
      <w:r w:rsidRPr="62E2E3B4">
        <w:t xml:space="preserve">. These institutions must also </w:t>
      </w:r>
      <w:r w:rsidR="00AD6D51">
        <w:t>train</w:t>
      </w:r>
      <w:r w:rsidRPr="62E2E3B4">
        <w:t xml:space="preserve"> their employees in food allergy awareness as it relates to their assigned duties.</w:t>
      </w:r>
    </w:p>
    <w:p w14:paraId="5EE42776" w14:textId="77777777" w:rsidR="007C6F23" w:rsidRDefault="597F83D5" w:rsidP="007C6F23">
      <w:pPr>
        <w:pStyle w:val="Heading3"/>
      </w:pPr>
      <w:r>
        <w:t>Methods and Best Practices</w:t>
      </w:r>
    </w:p>
    <w:p w14:paraId="27D02B51" w14:textId="209FE585" w:rsidR="007C6F23" w:rsidRDefault="007C6F23" w:rsidP="006D7DE6">
      <w:pPr>
        <w:pStyle w:val="BodyTextFirstIndent"/>
      </w:pPr>
      <w:r>
        <w:fldChar w:fldCharType="begin"/>
      </w:r>
      <w:r>
        <w:instrText xml:space="preserve"> REF _Ref171633045 \h </w:instrText>
      </w:r>
      <w:r>
        <w:fldChar w:fldCharType="separate"/>
      </w:r>
      <w:r w:rsidR="00307850">
        <w:t xml:space="preserve">Table </w:t>
      </w:r>
      <w:r w:rsidR="00307850">
        <w:rPr>
          <w:noProof/>
        </w:rPr>
        <w:t>27</w:t>
      </w:r>
      <w:r>
        <w:fldChar w:fldCharType="end"/>
      </w:r>
      <w:r>
        <w:t xml:space="preserve"> </w:t>
      </w:r>
      <w:r w:rsidRPr="007935AE">
        <w:t xml:space="preserve">summarizes </w:t>
      </w:r>
      <w:r>
        <w:t xml:space="preserve">the </w:t>
      </w:r>
      <w:r w:rsidRPr="007935AE">
        <w:t xml:space="preserve">methods and best practices for </w:t>
      </w:r>
      <w:r>
        <w:t>creating a safe environment for students with life-threatening food allergies in</w:t>
      </w:r>
      <w:r w:rsidRPr="007935AE">
        <w:t xml:space="preserve"> schools</w:t>
      </w:r>
      <w:r w:rsidR="00067495">
        <w:t xml:space="preserve"> related to developing written protocols, ensuring preparedness, and implementing prevention measures</w:t>
      </w:r>
      <w:r w:rsidRPr="007935AE">
        <w:t>. For each method and best practice, the table presents the approximate capital and operating costs, implementation timeframe, and ease of implementation.</w:t>
      </w:r>
      <w:r w:rsidR="00067495">
        <w:t xml:space="preserve"> </w:t>
      </w:r>
      <w:r w:rsidR="00067495" w:rsidRPr="00C43978">
        <w:t xml:space="preserve">See </w:t>
      </w:r>
      <w:hyperlink w:anchor="SectVII_2h" w:history="1">
        <w:r w:rsidR="00275879" w:rsidRPr="00275879">
          <w:rPr>
            <w:rStyle w:val="Hyperlink"/>
          </w:rPr>
          <w:t>Section VII, Objective 2h</w:t>
        </w:r>
      </w:hyperlink>
      <w:r w:rsidR="00067495" w:rsidRPr="00C43978">
        <w:t xml:space="preserve"> for additional narrative descriptions of each of the methods and best practices.</w:t>
      </w:r>
    </w:p>
    <w:p w14:paraId="781A8B67" w14:textId="3D3CD3BD" w:rsidR="007C6F23" w:rsidRDefault="007C6F23" w:rsidP="00B30C96">
      <w:pPr>
        <w:pStyle w:val="TableTitle"/>
      </w:pPr>
      <w:bookmarkStart w:id="249" w:name="_Ref171633045"/>
      <w:bookmarkStart w:id="250" w:name="_Toc172200335"/>
      <w:bookmarkStart w:id="251" w:name="_Toc192711693"/>
      <w:bookmarkStart w:id="252" w:name="_Toc193112575"/>
      <w:bookmarkStart w:id="253" w:name="_Toc193116974"/>
      <w:r>
        <w:lastRenderedPageBreak/>
        <w:t xml:space="preserve">Table </w:t>
      </w:r>
      <w:fldSimple w:instr=" SEQ Table \* ARABIC ">
        <w:r w:rsidR="00307850">
          <w:rPr>
            <w:noProof/>
          </w:rPr>
          <w:t>27</w:t>
        </w:r>
      </w:fldSimple>
      <w:bookmarkEnd w:id="249"/>
      <w:r>
        <w:t>. Methods</w:t>
      </w:r>
      <w:r w:rsidR="00074426">
        <w:t xml:space="preserve"> and </w:t>
      </w:r>
      <w:r>
        <w:t>Best Practices Related to C</w:t>
      </w:r>
      <w:r w:rsidRPr="004D7D14">
        <w:t xml:space="preserve">reating a </w:t>
      </w:r>
      <w:r>
        <w:t>S</w:t>
      </w:r>
      <w:r w:rsidRPr="004D7D14">
        <w:t xml:space="preserve">afe </w:t>
      </w:r>
      <w:r>
        <w:t>E</w:t>
      </w:r>
      <w:r w:rsidRPr="004D7D14">
        <w:t xml:space="preserve">nvironment for </w:t>
      </w:r>
      <w:r>
        <w:t>S</w:t>
      </w:r>
      <w:r w:rsidRPr="004D7D14">
        <w:t xml:space="preserve">tudents with </w:t>
      </w:r>
      <w:r>
        <w:t>L</w:t>
      </w:r>
      <w:r w:rsidRPr="004D7D14">
        <w:t>ife-</w:t>
      </w:r>
      <w:r>
        <w:t>T</w:t>
      </w:r>
      <w:r w:rsidRPr="004D7D14">
        <w:t xml:space="preserve">hreatening </w:t>
      </w:r>
      <w:r>
        <w:t>F</w:t>
      </w:r>
      <w:r w:rsidRPr="004D7D14">
        <w:t xml:space="preserve">ood </w:t>
      </w:r>
      <w:r>
        <w:t>A</w:t>
      </w:r>
      <w:r w:rsidRPr="004D7D14">
        <w:t>llergies</w:t>
      </w:r>
      <w:bookmarkEnd w:id="250"/>
      <w:bookmarkEnd w:id="251"/>
      <w:bookmarkEnd w:id="252"/>
      <w:bookmarkEnd w:id="253"/>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Creating a Safe Environment for Students with Life-Threatening Food Allergies."/>
      </w:tblPr>
      <w:tblGrid>
        <w:gridCol w:w="570"/>
        <w:gridCol w:w="5952"/>
        <w:gridCol w:w="707"/>
        <w:gridCol w:w="707"/>
        <w:gridCol w:w="707"/>
        <w:gridCol w:w="707"/>
      </w:tblGrid>
      <w:tr w:rsidR="007C6F23" w:rsidRPr="00C8094D" w14:paraId="3E1B7F81" w14:textId="77777777" w:rsidTr="006F5AAC">
        <w:trPr>
          <w:cantSplit/>
          <w:trHeight w:val="2420"/>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2D62EB7A" w14:textId="77777777" w:rsidR="007C6F23" w:rsidRDefault="007C6F23" w:rsidP="00BE19B9">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6F060F1" w14:textId="77777777" w:rsidR="007C6F23" w:rsidRPr="00C8094D" w:rsidRDefault="007C6F23" w:rsidP="00BE19B9">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0EC3CB2E" w14:textId="77777777" w:rsidR="007C6F23" w:rsidRDefault="007C6F23" w:rsidP="00BE19B9">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8565E15" w14:textId="77777777" w:rsidR="007C6F23" w:rsidRPr="00C8094D" w:rsidRDefault="007C6F23" w:rsidP="00BE19B9">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4641235" w14:textId="77777777" w:rsidR="007C6F23" w:rsidRPr="00C8094D" w:rsidRDefault="007C6F23" w:rsidP="00BE19B9">
            <w:pPr>
              <w:pStyle w:val="TableColumnHeader"/>
              <w:jc w:val="left"/>
            </w:pPr>
            <w:r>
              <w:t xml:space="preserve">Ease of </w:t>
            </w:r>
            <w:r w:rsidRPr="00C8094D">
              <w:t>Implementation</w:t>
            </w:r>
          </w:p>
        </w:tc>
      </w:tr>
      <w:tr w:rsidR="007C6F23" w:rsidRPr="00C8094D" w14:paraId="2F60F1FF" w14:textId="77777777" w:rsidTr="006F5AAC">
        <w:trPr>
          <w:cantSplit/>
          <w:trHeight w:val="255"/>
          <w:tblHeader/>
          <w:jc w:val="center"/>
        </w:trPr>
        <w:tc>
          <w:tcPr>
            <w:tcW w:w="3487" w:type="pct"/>
            <w:gridSpan w:val="2"/>
            <w:tcBorders>
              <w:top w:val="nil"/>
              <w:left w:val="single" w:sz="4" w:space="0" w:color="auto"/>
              <w:bottom w:val="single" w:sz="4" w:space="0" w:color="auto"/>
              <w:right w:val="single" w:sz="4" w:space="0" w:color="auto"/>
            </w:tcBorders>
            <w:shd w:val="clear" w:color="auto" w:fill="1F497D" w:themeFill="text2"/>
          </w:tcPr>
          <w:p w14:paraId="3FF74244" w14:textId="14CDDF68" w:rsidR="007C6F23" w:rsidRPr="00276B41" w:rsidRDefault="000C0C3E" w:rsidP="00BE19B9">
            <w:pPr>
              <w:pStyle w:val="TableRowHeader"/>
            </w:pPr>
            <w:r>
              <w:t xml:space="preserve">Develop </w:t>
            </w:r>
            <w:r w:rsidR="007C6F23">
              <w:t>Written Protocols</w:t>
            </w:r>
          </w:p>
        </w:tc>
        <w:tc>
          <w:tcPr>
            <w:tcW w:w="378" w:type="pct"/>
            <w:tcBorders>
              <w:top w:val="nil"/>
              <w:left w:val="single" w:sz="4" w:space="0" w:color="auto"/>
              <w:bottom w:val="single" w:sz="4" w:space="0" w:color="auto"/>
              <w:right w:val="single" w:sz="4" w:space="0" w:color="auto"/>
            </w:tcBorders>
            <w:shd w:val="clear" w:color="auto" w:fill="1F497D" w:themeFill="text2"/>
            <w:vAlign w:val="center"/>
          </w:tcPr>
          <w:p w14:paraId="0BB612B5"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2F861B9"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DC9EA58"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63020A3" w14:textId="77777777" w:rsidR="007C6F23" w:rsidRPr="00276B41" w:rsidRDefault="007C6F23" w:rsidP="00BE19B9">
            <w:pPr>
              <w:pStyle w:val="TableText"/>
            </w:pPr>
          </w:p>
        </w:tc>
      </w:tr>
      <w:tr w:rsidR="007C6F23" w:rsidRPr="00C8094D" w14:paraId="3335D27C"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353082F4" w14:textId="77777777" w:rsidR="007C6F23" w:rsidRDefault="007C6F23" w:rsidP="00BE19B9">
            <w:pPr>
              <w:pStyle w:val="TableText"/>
            </w:pPr>
            <w:r>
              <w:t>(1)</w:t>
            </w:r>
          </w:p>
        </w:tc>
        <w:tc>
          <w:tcPr>
            <w:tcW w:w="3183" w:type="pct"/>
            <w:tcBorders>
              <w:top w:val="single" w:sz="4" w:space="0" w:color="auto"/>
              <w:bottom w:val="single" w:sz="4" w:space="0" w:color="auto"/>
              <w:right w:val="single" w:sz="4" w:space="0" w:color="auto"/>
            </w:tcBorders>
          </w:tcPr>
          <w:p w14:paraId="211C90C7" w14:textId="6C2D7314" w:rsidR="007C6F23" w:rsidRDefault="00905844" w:rsidP="00BE19B9">
            <w:pPr>
              <w:pStyle w:val="TableText"/>
            </w:pPr>
            <w:r w:rsidRPr="00905844">
              <w:t>Develop an allergy management and prevention plan</w:t>
            </w:r>
          </w:p>
        </w:tc>
        <w:tc>
          <w:tcPr>
            <w:tcW w:w="378" w:type="pct"/>
            <w:tcBorders>
              <w:top w:val="nil"/>
              <w:left w:val="single" w:sz="4" w:space="0" w:color="auto"/>
              <w:bottom w:val="single" w:sz="4" w:space="0" w:color="auto"/>
              <w:right w:val="single" w:sz="4" w:space="0" w:color="auto"/>
            </w:tcBorders>
            <w:shd w:val="clear" w:color="auto" w:fill="auto"/>
            <w:vAlign w:val="center"/>
          </w:tcPr>
          <w:p w14:paraId="5FEAD65E" w14:textId="77777777" w:rsidR="007C6F23" w:rsidRPr="00C8094D"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4F2EB734" w14:textId="77777777" w:rsidR="007C6F23" w:rsidRPr="00C8094D"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E3724AD" w14:textId="77777777" w:rsidR="007C6F23" w:rsidRPr="00C8094D"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486D212" w14:textId="77777777" w:rsidR="007C6F23" w:rsidRPr="00C8094D" w:rsidRDefault="007C6F23" w:rsidP="00BE19B9">
            <w:pPr>
              <w:pStyle w:val="TableText"/>
            </w:pPr>
            <w:r>
              <w:t>1</w:t>
            </w:r>
          </w:p>
        </w:tc>
      </w:tr>
      <w:tr w:rsidR="007C6F23" w:rsidRPr="00C8094D" w14:paraId="1319FC68"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32D89FA3" w14:textId="77777777" w:rsidR="007C6F23" w:rsidRPr="00C8094D" w:rsidRDefault="007C6F23" w:rsidP="00BE19B9">
            <w:pPr>
              <w:pStyle w:val="TableText"/>
            </w:pPr>
            <w:r>
              <w:t>(2)</w:t>
            </w:r>
          </w:p>
        </w:tc>
        <w:tc>
          <w:tcPr>
            <w:tcW w:w="3183" w:type="pct"/>
            <w:tcBorders>
              <w:top w:val="single" w:sz="4" w:space="0" w:color="auto"/>
              <w:bottom w:val="single" w:sz="4" w:space="0" w:color="auto"/>
              <w:right w:val="single" w:sz="4" w:space="0" w:color="auto"/>
            </w:tcBorders>
          </w:tcPr>
          <w:p w14:paraId="3B70F9B8" w14:textId="24B3453A" w:rsidR="007C6F23" w:rsidRPr="00C8094D" w:rsidRDefault="00F63A1F" w:rsidP="00BE19B9">
            <w:pPr>
              <w:pStyle w:val="TableText"/>
            </w:pPr>
            <w:r w:rsidRPr="00F63A1F">
              <w:t>Develop and maintain individual health care plans</w:t>
            </w:r>
          </w:p>
        </w:tc>
        <w:tc>
          <w:tcPr>
            <w:tcW w:w="378" w:type="pct"/>
            <w:tcBorders>
              <w:top w:val="nil"/>
              <w:left w:val="single" w:sz="4" w:space="0" w:color="auto"/>
              <w:bottom w:val="single" w:sz="4" w:space="0" w:color="auto"/>
              <w:right w:val="single" w:sz="4" w:space="0" w:color="auto"/>
            </w:tcBorders>
            <w:shd w:val="clear" w:color="auto" w:fill="auto"/>
            <w:vAlign w:val="center"/>
          </w:tcPr>
          <w:p w14:paraId="7828E8F3" w14:textId="77777777" w:rsidR="007C6F23" w:rsidRPr="00C8094D"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547D9BB3" w14:textId="77777777" w:rsidR="007C6F23" w:rsidRPr="00C8094D"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1CB11BE" w14:textId="77777777" w:rsidR="007C6F23" w:rsidRPr="00C8094D"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6749F8F" w14:textId="77777777" w:rsidR="007C6F23" w:rsidRPr="00C8094D" w:rsidRDefault="007C6F23" w:rsidP="00BE19B9">
            <w:pPr>
              <w:pStyle w:val="TableText"/>
            </w:pPr>
            <w:r>
              <w:t>1</w:t>
            </w:r>
          </w:p>
        </w:tc>
      </w:tr>
      <w:tr w:rsidR="007C6F23" w:rsidRPr="00C8094D" w14:paraId="7586F82F" w14:textId="77777777" w:rsidTr="006F5AAC">
        <w:trPr>
          <w:cantSplit/>
          <w:trHeight w:val="255"/>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66F4D1E2" w14:textId="13548251" w:rsidR="007C6F23" w:rsidRPr="00381EF0" w:rsidRDefault="00E41480" w:rsidP="00BE19B9">
            <w:pPr>
              <w:pStyle w:val="TableRowHeader"/>
            </w:pPr>
            <w:r>
              <w:t>Facilitate</w:t>
            </w:r>
            <w:r w:rsidR="00F63A1F">
              <w:t xml:space="preserve"> </w:t>
            </w:r>
            <w:r w:rsidR="007C6F23">
              <w:t>Preparedness</w:t>
            </w:r>
          </w:p>
        </w:tc>
        <w:tc>
          <w:tcPr>
            <w:tcW w:w="378" w:type="pct"/>
            <w:tcBorders>
              <w:top w:val="nil"/>
              <w:left w:val="single" w:sz="4" w:space="0" w:color="auto"/>
              <w:bottom w:val="single" w:sz="4" w:space="0" w:color="auto"/>
              <w:right w:val="single" w:sz="4" w:space="0" w:color="auto"/>
            </w:tcBorders>
            <w:shd w:val="clear" w:color="auto" w:fill="1F497D" w:themeFill="text2"/>
            <w:vAlign w:val="center"/>
          </w:tcPr>
          <w:p w14:paraId="5924BC78" w14:textId="77777777" w:rsidR="007C6F23" w:rsidRPr="00381EF0"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15F1A9D" w14:textId="77777777" w:rsidR="007C6F23" w:rsidRPr="00381EF0"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88CDCC3" w14:textId="77777777" w:rsidR="007C6F23" w:rsidRPr="00381EF0"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tcPr>
          <w:p w14:paraId="7EFE1C0C" w14:textId="77777777" w:rsidR="007C6F23" w:rsidRPr="00381EF0" w:rsidRDefault="007C6F23" w:rsidP="00BE19B9">
            <w:pPr>
              <w:pStyle w:val="TableText"/>
            </w:pPr>
          </w:p>
        </w:tc>
      </w:tr>
      <w:tr w:rsidR="007C6F23" w:rsidRPr="00C8094D" w14:paraId="323ECDB6"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55EC1EC8" w14:textId="77777777" w:rsidR="007C6F23" w:rsidRDefault="007C6F23" w:rsidP="00BE19B9">
            <w:pPr>
              <w:pStyle w:val="TableText"/>
            </w:pPr>
            <w:r>
              <w:t>(3)</w:t>
            </w:r>
          </w:p>
        </w:tc>
        <w:tc>
          <w:tcPr>
            <w:tcW w:w="3183" w:type="pct"/>
            <w:tcBorders>
              <w:top w:val="single" w:sz="4" w:space="0" w:color="auto"/>
              <w:bottom w:val="single" w:sz="4" w:space="0" w:color="auto"/>
              <w:right w:val="single" w:sz="4" w:space="0" w:color="auto"/>
            </w:tcBorders>
          </w:tcPr>
          <w:p w14:paraId="5E65B44C" w14:textId="27627272" w:rsidR="007C6F23" w:rsidRDefault="006E727F" w:rsidP="00BE19B9">
            <w:pPr>
              <w:pStyle w:val="TableText"/>
            </w:pPr>
            <w:r w:rsidRPr="006E727F">
              <w:t>Conduct training on life-threatening allergies and emergency response</w:t>
            </w:r>
          </w:p>
        </w:tc>
        <w:tc>
          <w:tcPr>
            <w:tcW w:w="378" w:type="pct"/>
            <w:tcBorders>
              <w:top w:val="nil"/>
              <w:left w:val="single" w:sz="4" w:space="0" w:color="auto"/>
              <w:bottom w:val="single" w:sz="4" w:space="0" w:color="auto"/>
              <w:right w:val="single" w:sz="4" w:space="0" w:color="auto"/>
            </w:tcBorders>
            <w:shd w:val="clear" w:color="auto" w:fill="auto"/>
            <w:vAlign w:val="center"/>
          </w:tcPr>
          <w:p w14:paraId="7EC2B90C" w14:textId="77777777" w:rsidR="007C6F23"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0F4201B7" w14:textId="77777777" w:rsidR="007C6F23" w:rsidRDefault="007C6F23"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24882CC" w14:textId="77777777" w:rsidR="007C6F23"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2CECA96" w14:textId="77777777" w:rsidR="007C6F23" w:rsidRDefault="007C6F23" w:rsidP="00BE19B9">
            <w:pPr>
              <w:pStyle w:val="TableText"/>
            </w:pPr>
            <w:r>
              <w:t>1</w:t>
            </w:r>
          </w:p>
        </w:tc>
      </w:tr>
      <w:tr w:rsidR="007C6F23" w:rsidRPr="00C8094D" w14:paraId="15F41D64"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2E668434" w14:textId="77777777" w:rsidR="007C6F23" w:rsidRDefault="007C6F23" w:rsidP="00BE19B9">
            <w:pPr>
              <w:pStyle w:val="TableText"/>
            </w:pPr>
            <w:r>
              <w:t>(4)</w:t>
            </w:r>
          </w:p>
        </w:tc>
        <w:tc>
          <w:tcPr>
            <w:tcW w:w="3183" w:type="pct"/>
            <w:tcBorders>
              <w:top w:val="single" w:sz="4" w:space="0" w:color="auto"/>
              <w:bottom w:val="single" w:sz="4" w:space="0" w:color="auto"/>
              <w:right w:val="single" w:sz="4" w:space="0" w:color="auto"/>
            </w:tcBorders>
          </w:tcPr>
          <w:p w14:paraId="2DEA8480" w14:textId="10B21624" w:rsidR="007C6F23" w:rsidRDefault="00857D92" w:rsidP="00BE19B9">
            <w:pPr>
              <w:pStyle w:val="TableText"/>
            </w:pPr>
            <w:r w:rsidRPr="00857D92">
              <w:t>Maintain a supply of epinephrine auto-injectors in a secure location</w:t>
            </w:r>
          </w:p>
        </w:tc>
        <w:tc>
          <w:tcPr>
            <w:tcW w:w="378" w:type="pct"/>
            <w:tcBorders>
              <w:top w:val="nil"/>
              <w:left w:val="single" w:sz="4" w:space="0" w:color="auto"/>
              <w:bottom w:val="single" w:sz="4" w:space="0" w:color="auto"/>
              <w:right w:val="single" w:sz="4" w:space="0" w:color="auto"/>
            </w:tcBorders>
            <w:shd w:val="clear" w:color="auto" w:fill="auto"/>
            <w:vAlign w:val="center"/>
          </w:tcPr>
          <w:p w14:paraId="18E9F287" w14:textId="77777777" w:rsidR="007C6F23"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6209D838" w14:textId="77777777" w:rsidR="007C6F23" w:rsidRDefault="007C6F23"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EB8B882" w14:textId="77777777" w:rsidR="007C6F23"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F8B16BC" w14:textId="77777777" w:rsidR="007C6F23" w:rsidRDefault="007C6F23" w:rsidP="00BE19B9">
            <w:pPr>
              <w:pStyle w:val="TableText"/>
            </w:pPr>
            <w:r>
              <w:t>1</w:t>
            </w:r>
          </w:p>
        </w:tc>
      </w:tr>
      <w:tr w:rsidR="007C6F23" w:rsidRPr="00C8094D" w14:paraId="2483D3B8" w14:textId="77777777" w:rsidTr="006F5AAC">
        <w:trPr>
          <w:cantSplit/>
          <w:trHeight w:val="255"/>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511838CE" w14:textId="20816FC1" w:rsidR="007C6F23" w:rsidRPr="00276B41" w:rsidRDefault="00021446" w:rsidP="00BE19B9">
            <w:pPr>
              <w:pStyle w:val="TableRowHeader"/>
            </w:pPr>
            <w:r w:rsidRPr="00021446">
              <w:t>Implement Prevention Measures</w:t>
            </w:r>
          </w:p>
        </w:tc>
        <w:tc>
          <w:tcPr>
            <w:tcW w:w="378" w:type="pct"/>
            <w:tcBorders>
              <w:top w:val="nil"/>
              <w:left w:val="single" w:sz="4" w:space="0" w:color="auto"/>
              <w:bottom w:val="single" w:sz="4" w:space="0" w:color="auto"/>
              <w:right w:val="single" w:sz="4" w:space="0" w:color="auto"/>
            </w:tcBorders>
            <w:shd w:val="clear" w:color="auto" w:fill="1F497D" w:themeFill="text2"/>
            <w:vAlign w:val="center"/>
          </w:tcPr>
          <w:p w14:paraId="29480882"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B7B3C9E"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1D1479F" w14:textId="77777777" w:rsidR="007C6F23" w:rsidRPr="00276B41" w:rsidRDefault="007C6F23" w:rsidP="00BE19B9">
            <w:pPr>
              <w:pStyle w:val="TableText"/>
            </w:pPr>
          </w:p>
        </w:tc>
        <w:tc>
          <w:tcPr>
            <w:tcW w:w="37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4B590E0" w14:textId="77777777" w:rsidR="007C6F23" w:rsidRPr="00276B41" w:rsidRDefault="007C6F23" w:rsidP="00BE19B9">
            <w:pPr>
              <w:pStyle w:val="TableText"/>
            </w:pPr>
          </w:p>
        </w:tc>
      </w:tr>
      <w:tr w:rsidR="007C6F23" w:rsidRPr="00C8094D" w14:paraId="4B0A63C6"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05DF45C" w14:textId="68B6EB51" w:rsidR="007C6F23" w:rsidRPr="00C8094D" w:rsidRDefault="007C6F23" w:rsidP="00BE19B9">
            <w:pPr>
              <w:pStyle w:val="TableText"/>
            </w:pPr>
            <w:r>
              <w:t>(</w:t>
            </w:r>
            <w:r w:rsidR="00857D92">
              <w:t>5</w:t>
            </w:r>
            <w:r>
              <w:t>)</w:t>
            </w:r>
          </w:p>
        </w:tc>
        <w:tc>
          <w:tcPr>
            <w:tcW w:w="3183" w:type="pct"/>
            <w:tcBorders>
              <w:top w:val="single" w:sz="4" w:space="0" w:color="auto"/>
              <w:bottom w:val="single" w:sz="4" w:space="0" w:color="auto"/>
              <w:right w:val="single" w:sz="4" w:space="0" w:color="auto"/>
            </w:tcBorders>
          </w:tcPr>
          <w:p w14:paraId="5F74684D" w14:textId="78BCAF71" w:rsidR="007C6F23" w:rsidRPr="00C8094D" w:rsidRDefault="00403E81" w:rsidP="00BE19B9">
            <w:pPr>
              <w:pStyle w:val="TableText"/>
            </w:pPr>
            <w:r w:rsidRPr="00403E81">
              <w:t>Prohibit eating food on school buses or in classrooms</w:t>
            </w:r>
          </w:p>
        </w:tc>
        <w:tc>
          <w:tcPr>
            <w:tcW w:w="378" w:type="pct"/>
            <w:tcBorders>
              <w:top w:val="nil"/>
              <w:left w:val="single" w:sz="4" w:space="0" w:color="auto"/>
              <w:bottom w:val="single" w:sz="4" w:space="0" w:color="auto"/>
              <w:right w:val="single" w:sz="4" w:space="0" w:color="auto"/>
            </w:tcBorders>
            <w:shd w:val="clear" w:color="auto" w:fill="auto"/>
            <w:vAlign w:val="center"/>
          </w:tcPr>
          <w:p w14:paraId="0FD24DFB" w14:textId="77777777" w:rsidR="007C6F23" w:rsidRPr="00F45120"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12066144" w14:textId="77777777" w:rsidR="007C6F23" w:rsidRPr="00F45120"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9CE2155" w14:textId="77777777" w:rsidR="007C6F23" w:rsidRPr="00F45120"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3E17321" w14:textId="77777777" w:rsidR="007C6F23" w:rsidRPr="00F45120" w:rsidRDefault="007C6F23" w:rsidP="00BE19B9">
            <w:pPr>
              <w:pStyle w:val="TableText"/>
            </w:pPr>
            <w:r>
              <w:t>1</w:t>
            </w:r>
          </w:p>
        </w:tc>
      </w:tr>
      <w:tr w:rsidR="007C6F23" w:rsidRPr="00C8094D" w14:paraId="6EEFDAFA"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8A271E7" w14:textId="04E6E517" w:rsidR="007C6F23" w:rsidRDefault="007C6F23" w:rsidP="00BE19B9">
            <w:pPr>
              <w:pStyle w:val="TableText"/>
            </w:pPr>
            <w:r>
              <w:t>(</w:t>
            </w:r>
            <w:r w:rsidR="00857D92">
              <w:t>6</w:t>
            </w:r>
            <w:r>
              <w:t>)</w:t>
            </w:r>
          </w:p>
        </w:tc>
        <w:tc>
          <w:tcPr>
            <w:tcW w:w="3183" w:type="pct"/>
            <w:tcBorders>
              <w:top w:val="single" w:sz="4" w:space="0" w:color="auto"/>
              <w:bottom w:val="single" w:sz="4" w:space="0" w:color="auto"/>
              <w:right w:val="single" w:sz="4" w:space="0" w:color="auto"/>
            </w:tcBorders>
          </w:tcPr>
          <w:p w14:paraId="3AF895FE" w14:textId="78137E93" w:rsidR="007C6F23" w:rsidRDefault="00961C3C" w:rsidP="00BE19B9">
            <w:pPr>
              <w:pStyle w:val="TableText"/>
            </w:pPr>
            <w:r w:rsidRPr="00961C3C">
              <w:t>Prevent cross-</w:t>
            </w:r>
            <w:r w:rsidR="000B2512">
              <w:t>contact</w:t>
            </w:r>
            <w:r w:rsidRPr="00961C3C">
              <w:t xml:space="preserve"> </w:t>
            </w:r>
            <w:r w:rsidR="000B2512">
              <w:t>of</w:t>
            </w:r>
            <w:r w:rsidRPr="00961C3C">
              <w:t xml:space="preserve"> food</w:t>
            </w:r>
            <w:r w:rsidR="000B2512">
              <w:t>s</w:t>
            </w:r>
          </w:p>
        </w:tc>
        <w:tc>
          <w:tcPr>
            <w:tcW w:w="378" w:type="pct"/>
            <w:tcBorders>
              <w:top w:val="nil"/>
              <w:left w:val="single" w:sz="4" w:space="0" w:color="auto"/>
              <w:bottom w:val="single" w:sz="4" w:space="0" w:color="auto"/>
              <w:right w:val="single" w:sz="4" w:space="0" w:color="auto"/>
            </w:tcBorders>
            <w:shd w:val="clear" w:color="auto" w:fill="auto"/>
            <w:vAlign w:val="center"/>
          </w:tcPr>
          <w:p w14:paraId="6D9EFA67" w14:textId="77777777" w:rsidR="007C6F23"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06F9260D" w14:textId="77777777" w:rsidR="007C6F23" w:rsidRDefault="007C6F23"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F35721A" w14:textId="77777777" w:rsidR="007C6F23"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0671DD2" w14:textId="77777777" w:rsidR="007C6F23" w:rsidRDefault="007C6F23" w:rsidP="00BE19B9">
            <w:pPr>
              <w:pStyle w:val="TableText"/>
            </w:pPr>
            <w:r>
              <w:t>2</w:t>
            </w:r>
          </w:p>
        </w:tc>
      </w:tr>
      <w:tr w:rsidR="007C6F23" w:rsidRPr="00C8094D" w14:paraId="30212AAB"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02B092EC" w14:textId="16CC690F" w:rsidR="007C6F23" w:rsidRPr="00C8094D" w:rsidRDefault="007C6F23" w:rsidP="00BE19B9">
            <w:pPr>
              <w:pStyle w:val="TableText"/>
            </w:pPr>
            <w:r>
              <w:t>(</w:t>
            </w:r>
            <w:r w:rsidR="00857D92">
              <w:t>7</w:t>
            </w:r>
            <w:r>
              <w:t>)</w:t>
            </w:r>
          </w:p>
        </w:tc>
        <w:tc>
          <w:tcPr>
            <w:tcW w:w="3183" w:type="pct"/>
            <w:tcBorders>
              <w:top w:val="single" w:sz="4" w:space="0" w:color="auto"/>
              <w:bottom w:val="single" w:sz="4" w:space="0" w:color="auto"/>
              <w:right w:val="single" w:sz="4" w:space="0" w:color="auto"/>
            </w:tcBorders>
          </w:tcPr>
          <w:p w14:paraId="4B012301" w14:textId="4DCB1538" w:rsidR="007C6F23" w:rsidRDefault="000D3232" w:rsidP="00BE19B9">
            <w:pPr>
              <w:pStyle w:val="TableText"/>
            </w:pPr>
            <w:r w:rsidRPr="000D3232">
              <w:t>Display a food allergen awareness poster</w:t>
            </w:r>
          </w:p>
        </w:tc>
        <w:tc>
          <w:tcPr>
            <w:tcW w:w="378" w:type="pct"/>
            <w:tcBorders>
              <w:top w:val="nil"/>
              <w:left w:val="single" w:sz="4" w:space="0" w:color="auto"/>
              <w:bottom w:val="single" w:sz="4" w:space="0" w:color="auto"/>
              <w:right w:val="single" w:sz="4" w:space="0" w:color="auto"/>
            </w:tcBorders>
            <w:shd w:val="clear" w:color="auto" w:fill="auto"/>
            <w:vAlign w:val="center"/>
          </w:tcPr>
          <w:p w14:paraId="05A8AAD8" w14:textId="77777777" w:rsidR="007C6F23" w:rsidRPr="00F45120"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32AEE3E8" w14:textId="77777777" w:rsidR="007C6F23" w:rsidRPr="00F45120" w:rsidRDefault="007C6F23" w:rsidP="00BE19B9">
            <w:pPr>
              <w:pStyle w:val="TableText"/>
            </w:pPr>
            <w: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A6A0109" w14:textId="77777777" w:rsidR="007C6F23" w:rsidRPr="00F45120" w:rsidRDefault="007C6F23"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FB6BA98" w14:textId="77777777" w:rsidR="007C6F23" w:rsidRPr="00F45120" w:rsidRDefault="007C6F23" w:rsidP="00BE19B9">
            <w:pPr>
              <w:pStyle w:val="TableText"/>
            </w:pPr>
            <w:r>
              <w:t>1</w:t>
            </w:r>
          </w:p>
        </w:tc>
      </w:tr>
      <w:tr w:rsidR="007C6F23" w:rsidRPr="00C8094D" w14:paraId="240BF85F"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36EA69C" w14:textId="77777777" w:rsidR="007C6F23" w:rsidRPr="00FF51E8" w:rsidRDefault="007C6F23" w:rsidP="00BE19B9">
            <w:pPr>
              <w:rPr>
                <w:rFonts w:ascii="Arial" w:hAnsi="Arial" w:cs="Arial"/>
                <w:b/>
                <w:bCs/>
                <w:sz w:val="20"/>
                <w:szCs w:val="20"/>
                <w:u w:val="single"/>
              </w:rPr>
            </w:pPr>
            <w:r w:rsidRPr="00FF51E8">
              <w:rPr>
                <w:rFonts w:ascii="Arial" w:hAnsi="Arial" w:cs="Arial"/>
                <w:b/>
                <w:bCs/>
                <w:sz w:val="20"/>
                <w:szCs w:val="20"/>
                <w:u w:val="single"/>
              </w:rPr>
              <w:t>Key:</w:t>
            </w:r>
          </w:p>
          <w:p w14:paraId="46FA62E6" w14:textId="77777777" w:rsidR="007C6F23" w:rsidRPr="00FF51E8" w:rsidRDefault="007C6F23" w:rsidP="00BE19B9">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0EB0DC30" w14:textId="5C3DCE67" w:rsidR="007C6F23" w:rsidRPr="00FF51E8" w:rsidRDefault="007C6F23" w:rsidP="00BE19B9">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31FBCD9E" w14:textId="77777777" w:rsidR="007C6F23" w:rsidRPr="00FF51E8" w:rsidRDefault="007C6F23" w:rsidP="00BE19B9">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32D1DE61" w14:textId="77777777" w:rsidR="007C6F23" w:rsidRDefault="007C6F23" w:rsidP="007C6F23">
      <w:pPr>
        <w:pStyle w:val="Heading3"/>
      </w:pPr>
      <w:r>
        <w:t>Barriers and Challenges</w:t>
      </w:r>
    </w:p>
    <w:p w14:paraId="384D0ABA" w14:textId="7C0247E2" w:rsidR="007C6F23" w:rsidRDefault="007C6F23" w:rsidP="006D7DE6">
      <w:pPr>
        <w:pStyle w:val="BodyTextFirstIndent"/>
      </w:pPr>
      <w:r>
        <w:t>By the time children are in elementary or secondary school, many life-threatening allergens are already known. A significant percentage of school epinephrine administrations, however, involve individuals who did not have a previously recognized allergy. For example, between 2004 and 2010, 23 percent of epinephrine administrations in Massachusetts schools were to individuals without a previously recognized allergy.</w:t>
      </w:r>
      <w:r>
        <w:fldChar w:fldCharType="begin"/>
      </w:r>
      <w:r w:rsidR="00B82F86">
        <w:instrText xml:space="preserve"> ADDIN ZOTERO_ITEM CSL_CITATION {"citationID":"as9n6me3mm","properties":{"formattedCitation":"\\super 144\\nosupersub{}","plainCitation":"144","noteIndex":0},"citationItems":[{"id":1016,"uris":["http://zotero.org/groups/5563646/items/UNMY2YCZ"],"itemData":{"id":1016,"type":"article-journal","language":"en","source":"Zotero","title":"Managing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schema":"https://github.com/citation-style-language/schema/raw/master/csl-citation.json"} </w:instrText>
      </w:r>
      <w:r>
        <w:fldChar w:fldCharType="separate"/>
      </w:r>
      <w:r w:rsidR="00B82F86" w:rsidRPr="00B82F86">
        <w:rPr>
          <w:rFonts w:cs="Arial"/>
          <w:vertAlign w:val="superscript"/>
        </w:rPr>
        <w:t>144</w:t>
      </w:r>
      <w:r>
        <w:fldChar w:fldCharType="end"/>
      </w:r>
      <w:r>
        <w:t xml:space="preserve"> This means that regardless of prevention efforts, schools will always need to be prepared to respond to serious allergic reactions.</w:t>
      </w:r>
      <w:r w:rsidR="00B278E9">
        <w:t xml:space="preserve"> </w:t>
      </w:r>
      <w:r w:rsidR="00B278E9" w:rsidRPr="00B278E9">
        <w:t>Additionally</w:t>
      </w:r>
      <w:r w:rsidR="00B278E9">
        <w:t>,</w:t>
      </w:r>
      <w:r w:rsidR="00B278E9" w:rsidRPr="00B278E9">
        <w:t xml:space="preserve"> while food is not typically an asthma trigger, children wi</w:t>
      </w:r>
      <w:r w:rsidR="00B278E9">
        <w:t>th</w:t>
      </w:r>
      <w:r w:rsidR="00B278E9" w:rsidRPr="00B278E9">
        <w:t xml:space="preserve"> both food allergies and asthma are at greater risk of a serious reaction.</w:t>
      </w:r>
    </w:p>
    <w:p w14:paraId="7EA15317" w14:textId="35F6B001" w:rsidR="007C6F23" w:rsidRDefault="00B278E9" w:rsidP="006D7DE6">
      <w:pPr>
        <w:pStyle w:val="BodyTextFirstIndent"/>
      </w:pPr>
      <w:r>
        <w:t>M</w:t>
      </w:r>
      <w:r w:rsidR="597F83D5">
        <w:t xml:space="preserve">aintaining allergy-free zones can be difficult when physical space is limited, such as in cafeterias and kitchens. This is especially true for existing </w:t>
      </w:r>
      <w:r w:rsidR="106C39B3">
        <w:t>older</w:t>
      </w:r>
      <w:r w:rsidR="597F83D5">
        <w:t xml:space="preserve"> buildings</w:t>
      </w:r>
      <w:r w:rsidR="001D273B">
        <w:t>, though it</w:t>
      </w:r>
      <w:r w:rsidR="4222CBC8">
        <w:t xml:space="preserve"> can and should be done regardless of the space limitations.</w:t>
      </w:r>
    </w:p>
    <w:p w14:paraId="36ED95AE" w14:textId="77777777" w:rsidR="007C6F23" w:rsidRDefault="007C6F23" w:rsidP="007C6F23">
      <w:pPr>
        <w:rPr>
          <w:rFonts w:cs="Arial"/>
          <w:b/>
          <w:bCs/>
          <w:color w:val="1F497D" w:themeColor="text2"/>
          <w:sz w:val="24"/>
          <w:szCs w:val="22"/>
        </w:rPr>
      </w:pPr>
    </w:p>
    <w:p w14:paraId="76452E17" w14:textId="294078F4" w:rsidR="00904065" w:rsidRDefault="00904065" w:rsidP="001C7888">
      <w:pPr>
        <w:pStyle w:val="Heading2"/>
      </w:pPr>
      <w:bookmarkStart w:id="254" w:name="Objective_2i"/>
      <w:bookmarkStart w:id="255" w:name="_Toc171518377"/>
      <w:bookmarkStart w:id="256" w:name="_Toc171519330"/>
      <w:bookmarkStart w:id="257" w:name="_Toc193116909"/>
      <w:bookmarkEnd w:id="254"/>
      <w:r>
        <w:lastRenderedPageBreak/>
        <w:t xml:space="preserve">Objective 2i. </w:t>
      </w:r>
      <w:r w:rsidR="00BF0D90">
        <w:t>Create a Productive Learning Environment for All Students</w:t>
      </w:r>
      <w:bookmarkEnd w:id="255"/>
      <w:bookmarkEnd w:id="256"/>
      <w:bookmarkEnd w:id="257"/>
    </w:p>
    <w:p w14:paraId="54DD304B" w14:textId="28A384F8" w:rsidR="00EF55C2" w:rsidRDefault="00042D0C" w:rsidP="00EF55C2">
      <w:pPr>
        <w:pStyle w:val="AirQualitySubheading"/>
      </w:pPr>
      <w:r>
        <w:t>2i(1)</w:t>
      </w:r>
      <w:r>
        <w:tab/>
      </w:r>
      <w:r w:rsidR="009F0EEC">
        <w:t>Optimiz</w:t>
      </w:r>
      <w:r w:rsidR="0031171C">
        <w:t>e</w:t>
      </w:r>
      <w:r w:rsidR="009F0EEC">
        <w:t xml:space="preserve"> Lighting</w:t>
      </w:r>
    </w:p>
    <w:p w14:paraId="2DFD115A" w14:textId="77777777" w:rsidR="00744EAE" w:rsidRDefault="00744EAE" w:rsidP="00744EAE">
      <w:pPr>
        <w:pStyle w:val="Heading3"/>
      </w:pPr>
      <w:r>
        <w:t>Background</w:t>
      </w:r>
    </w:p>
    <w:p w14:paraId="608F8029" w14:textId="3CF16A79" w:rsidR="00744EAE" w:rsidRDefault="00744EAE" w:rsidP="006D7DE6">
      <w:pPr>
        <w:pStyle w:val="BodyTextFirstIndent"/>
      </w:pPr>
      <w:r>
        <w:t>Students are engaged in various visual tasks throughout the day, from reading printed materials up close to blackboards at a distance.</w:t>
      </w:r>
      <w:r>
        <w:fldChar w:fldCharType="begin"/>
      </w:r>
      <w:r w:rsidR="006912CB">
        <w:instrText xml:space="preserve"> ADDIN ZOTERO_ITEM CSL_CITATION {"citationID":"PuTBU3Mz","properties":{"formattedCitation":"\\super 145\\nosupersub{}","plainCitation":"145","noteIndex":0},"citationItems":[{"id":540,"uris":["http://zotero.org/groups/5563646/items/C36H34MV"],"itemData":{"id":540,"type":"article-journal","language":"en","source":"Zotero","title":"National Best Practices Manual for Building High Performance Schools","author":[{"family":"Nicklas","given":"Mike"},{"family":"Design","given":"Innovative"}]}}],"schema":"https://github.com/citation-style-language/schema/raw/master/csl-citation.json"} </w:instrText>
      </w:r>
      <w:r>
        <w:fldChar w:fldCharType="separate"/>
      </w:r>
      <w:r w:rsidR="006912CB" w:rsidRPr="006912CB">
        <w:rPr>
          <w:rFonts w:ascii="Calibri" w:hAnsi="Calibri" w:cs="Calibri"/>
          <w:sz w:val="22"/>
          <w:vertAlign w:val="superscript"/>
        </w:rPr>
        <w:t>145</w:t>
      </w:r>
      <w:r>
        <w:fldChar w:fldCharType="end"/>
      </w:r>
      <w:r>
        <w:t xml:space="preserve"> Studies show that children are sensitive to light exposure and that low levels of light indoors can be associated with an increased risk of nearsightedness.</w:t>
      </w:r>
      <w:r>
        <w:fldChar w:fldCharType="begin"/>
      </w:r>
      <w:r w:rsidR="002814AB">
        <w:instrText xml:space="preserve"> ADDIN ZOTERO_ITEM CSL_CITATION {"citationID":"h2JOvJ71","properties":{"formattedCitation":"\\super 120\\nosupersub{}","plainCitation":"120","noteIndex":0},"citationItems":[{"id":541,"uris":["http://zotero.org/groups/5563646/items/YJ5JP7N8"],"itemData":{"id":541,"type":"document","title":"Foundations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program","given":""}]}}],"schema":"https://github.com/citation-style-language/schema/raw/master/csl-citation.json"} </w:instrText>
      </w:r>
      <w:r>
        <w:fldChar w:fldCharType="separate"/>
      </w:r>
      <w:r w:rsidR="002814AB" w:rsidRPr="002814AB">
        <w:rPr>
          <w:rFonts w:ascii="Calibri" w:hAnsi="Calibri" w:cs="Calibri"/>
          <w:sz w:val="22"/>
          <w:vertAlign w:val="superscript"/>
        </w:rPr>
        <w:t>120</w:t>
      </w:r>
      <w:r>
        <w:fldChar w:fldCharType="end"/>
      </w:r>
      <w:r>
        <w:t xml:space="preserve"> Further, bright lighting is associated with greater alertness and can enhance a student’s performance at school.</w:t>
      </w:r>
      <w:r>
        <w:fldChar w:fldCharType="begin"/>
      </w:r>
      <w:r w:rsidR="003B1C7C">
        <w:instrText xml:space="preserve"> ADDIN ZOTERO_ITEM CSL_CITATION {"citationID":"CeDklazC","properties":{"formattedCitation":"\\super 120\\nosupersub{}","plainCitation":"120","noteIndex":0},"citationItems":[{"id":541,"uris":["http://zotero.org/groups/5563646/items/YJ5JP7N8"],"itemData":{"id":541,"type":"document","title":"Foundations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program","given":""}]}}],"schema":"https://github.com/citation-style-language/schema/raw/master/csl-citation.json"} </w:instrText>
      </w:r>
      <w:r>
        <w:fldChar w:fldCharType="separate"/>
      </w:r>
      <w:r w:rsidR="003B1C7C" w:rsidRPr="003B1C7C">
        <w:rPr>
          <w:rFonts w:ascii="Calibri" w:hAnsi="Calibri" w:cs="Calibri"/>
          <w:sz w:val="22"/>
          <w:vertAlign w:val="superscript"/>
        </w:rPr>
        <w:t>120</w:t>
      </w:r>
      <w:r>
        <w:fldChar w:fldCharType="end"/>
      </w:r>
      <w:r>
        <w:t xml:space="preserve"> Thus, school</w:t>
      </w:r>
      <w:r w:rsidR="00C315A8">
        <w:t xml:space="preserve"> </w:t>
      </w:r>
      <w:r>
        <w:t xml:space="preserve">classrooms </w:t>
      </w:r>
      <w:r w:rsidR="00B637B6">
        <w:t xml:space="preserve">with </w:t>
      </w:r>
      <w:r>
        <w:t xml:space="preserve">high-quality lighting promote effective learning and teaching. </w:t>
      </w:r>
    </w:p>
    <w:p w14:paraId="7C349642" w14:textId="77777777" w:rsidR="00744EAE" w:rsidRDefault="00744EAE" w:rsidP="00744EAE">
      <w:pPr>
        <w:pStyle w:val="Heading3"/>
      </w:pPr>
      <w:r>
        <w:t>Methods and Best Practices</w:t>
      </w:r>
    </w:p>
    <w:p w14:paraId="130BD91C" w14:textId="26C48791" w:rsidR="00744EAE" w:rsidRDefault="00744EAE" w:rsidP="006D7DE6">
      <w:pPr>
        <w:pStyle w:val="BodyTextFirstIndent"/>
      </w:pPr>
      <w:r>
        <w:fldChar w:fldCharType="begin"/>
      </w:r>
      <w:r>
        <w:instrText xml:space="preserve"> REF _Ref171633482 \h </w:instrText>
      </w:r>
      <w:r>
        <w:fldChar w:fldCharType="separate"/>
      </w:r>
      <w:r w:rsidR="00307850">
        <w:t xml:space="preserve">Table </w:t>
      </w:r>
      <w:r w:rsidR="00307850">
        <w:rPr>
          <w:noProof/>
        </w:rPr>
        <w:t>28</w:t>
      </w:r>
      <w:r>
        <w:fldChar w:fldCharType="end"/>
      </w:r>
      <w:r>
        <w:t xml:space="preserve"> </w:t>
      </w:r>
      <w:r w:rsidRPr="007935AE">
        <w:t xml:space="preserve">summarizes </w:t>
      </w:r>
      <w:r>
        <w:t xml:space="preserve">the </w:t>
      </w:r>
      <w:r w:rsidRPr="007935AE">
        <w:t xml:space="preserve">methods and best practices for </w:t>
      </w:r>
      <w:r>
        <w:t>optimizing lighting in</w:t>
      </w:r>
      <w:r w:rsidRPr="007935AE">
        <w:t xml:space="preserve"> schools</w:t>
      </w:r>
      <w:r w:rsidR="00067495">
        <w:t>.</w:t>
      </w:r>
      <w:r w:rsidRPr="007935AE">
        <w:t xml:space="preserve"> For each method and best practice, the table presents the approximate capital and operating costs, implementation timeframe, and ease of implementation.</w:t>
      </w:r>
      <w:r w:rsidR="00067495">
        <w:t xml:space="preserve"> </w:t>
      </w:r>
      <w:r w:rsidR="00067495" w:rsidRPr="00C43978">
        <w:t xml:space="preserve">See </w:t>
      </w:r>
      <w:hyperlink w:anchor="SectVII_2i1" w:history="1">
        <w:r w:rsidR="00275879" w:rsidRPr="00275879">
          <w:rPr>
            <w:rStyle w:val="Hyperlink"/>
          </w:rPr>
          <w:t>Section VII, Objective 2i(1)</w:t>
        </w:r>
      </w:hyperlink>
      <w:r w:rsidR="00067495" w:rsidRPr="00C43978">
        <w:t xml:space="preserve"> for additional narrative descriptions of each of the methods and best practices.</w:t>
      </w:r>
    </w:p>
    <w:p w14:paraId="4894B0AF" w14:textId="7E2A3B5A" w:rsidR="00744EAE" w:rsidRDefault="00744EAE" w:rsidP="00B30C96">
      <w:pPr>
        <w:pStyle w:val="TableTitle"/>
      </w:pPr>
      <w:bookmarkStart w:id="258" w:name="_Ref171633482"/>
      <w:bookmarkStart w:id="259" w:name="_Toc172200338"/>
      <w:bookmarkStart w:id="260" w:name="_Toc192711694"/>
      <w:bookmarkStart w:id="261" w:name="_Toc193112576"/>
      <w:bookmarkStart w:id="262" w:name="_Toc193116975"/>
      <w:r>
        <w:t xml:space="preserve">Table </w:t>
      </w:r>
      <w:fldSimple w:instr=" SEQ Table \* ARABIC ">
        <w:r w:rsidR="00307850">
          <w:rPr>
            <w:noProof/>
          </w:rPr>
          <w:t>28</w:t>
        </w:r>
      </w:fldSimple>
      <w:bookmarkEnd w:id="258"/>
      <w:r>
        <w:t>. Methods</w:t>
      </w:r>
      <w:r w:rsidR="00074426">
        <w:t xml:space="preserve"> and </w:t>
      </w:r>
      <w:r>
        <w:t>Best Practices Related to Optimizing Lighting</w:t>
      </w:r>
      <w:bookmarkEnd w:id="259"/>
      <w:bookmarkEnd w:id="260"/>
      <w:bookmarkEnd w:id="261"/>
      <w:bookmarkEnd w:id="262"/>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optimizing lighting."/>
      </w:tblPr>
      <w:tblGrid>
        <w:gridCol w:w="570"/>
        <w:gridCol w:w="5952"/>
        <w:gridCol w:w="707"/>
        <w:gridCol w:w="707"/>
        <w:gridCol w:w="707"/>
        <w:gridCol w:w="707"/>
      </w:tblGrid>
      <w:tr w:rsidR="00744EAE" w:rsidRPr="00C8094D" w14:paraId="68764DFD" w14:textId="77777777" w:rsidTr="006F5AAC">
        <w:trPr>
          <w:cantSplit/>
          <w:trHeight w:val="2015"/>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0B4AF52E" w14:textId="77777777" w:rsidR="00744EAE" w:rsidRDefault="00744EAE" w:rsidP="00BE19B9">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5ACA3C0" w14:textId="77777777" w:rsidR="00744EAE" w:rsidRPr="00C8094D" w:rsidRDefault="00744EAE" w:rsidP="00BE19B9">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5B12E5E0" w14:textId="77777777" w:rsidR="00744EAE" w:rsidRDefault="00744EAE" w:rsidP="00BE19B9">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F099624" w14:textId="77777777" w:rsidR="00744EAE" w:rsidRPr="00C8094D" w:rsidRDefault="00744EAE" w:rsidP="00BE19B9">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2DD1E621" w14:textId="77777777" w:rsidR="00744EAE" w:rsidRPr="00C8094D" w:rsidRDefault="00744EAE" w:rsidP="00BE19B9">
            <w:pPr>
              <w:pStyle w:val="TableColumnHeader"/>
              <w:jc w:val="left"/>
            </w:pPr>
            <w:r>
              <w:t xml:space="preserve">Ease of </w:t>
            </w:r>
            <w:r w:rsidRPr="00C8094D">
              <w:t>Implementation</w:t>
            </w:r>
          </w:p>
        </w:tc>
      </w:tr>
      <w:tr w:rsidR="00744EAE" w:rsidRPr="00C8094D" w14:paraId="7BB13DF1"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1D9AC020" w14:textId="77777777" w:rsidR="00744EAE" w:rsidRDefault="00744EAE" w:rsidP="00BE19B9">
            <w:pPr>
              <w:pStyle w:val="TableText"/>
            </w:pPr>
            <w:r>
              <w:t>(1)</w:t>
            </w:r>
          </w:p>
        </w:tc>
        <w:tc>
          <w:tcPr>
            <w:tcW w:w="3183" w:type="pct"/>
            <w:tcBorders>
              <w:top w:val="single" w:sz="4" w:space="0" w:color="auto"/>
              <w:bottom w:val="single" w:sz="4" w:space="0" w:color="auto"/>
              <w:right w:val="single" w:sz="4" w:space="0" w:color="auto"/>
            </w:tcBorders>
          </w:tcPr>
          <w:p w14:paraId="54C93D9A" w14:textId="48BA5DF3" w:rsidR="00744EAE" w:rsidRDefault="00744EAE" w:rsidP="00BE19B9">
            <w:pPr>
              <w:pStyle w:val="TableText"/>
            </w:pPr>
            <w:r>
              <w:t xml:space="preserve">Integrate </w:t>
            </w:r>
            <w:r w:rsidR="008A5CB6">
              <w:t>b</w:t>
            </w:r>
            <w:r>
              <w:t xml:space="preserve">oth </w:t>
            </w:r>
            <w:r w:rsidR="008A5CB6">
              <w:t>n</w:t>
            </w:r>
            <w:r>
              <w:t xml:space="preserve">atural and </w:t>
            </w:r>
            <w:r w:rsidR="008A5CB6">
              <w:t>a</w:t>
            </w:r>
            <w:r>
              <w:t xml:space="preserve">rtificial </w:t>
            </w:r>
            <w:r w:rsidR="008A5CB6">
              <w:t>l</w:t>
            </w:r>
            <w:r>
              <w:t xml:space="preserve">ighting </w:t>
            </w:r>
            <w:r w:rsidR="008A5CB6">
              <w:t>t</w:t>
            </w:r>
            <w:r>
              <w:t xml:space="preserve">hroughout </w:t>
            </w:r>
            <w:r w:rsidR="008A5CB6">
              <w:t>s</w:t>
            </w:r>
            <w:r>
              <w:t>chools</w:t>
            </w:r>
          </w:p>
        </w:tc>
        <w:tc>
          <w:tcPr>
            <w:tcW w:w="378" w:type="pct"/>
            <w:tcBorders>
              <w:top w:val="nil"/>
              <w:left w:val="single" w:sz="4" w:space="0" w:color="auto"/>
              <w:bottom w:val="single" w:sz="4" w:space="0" w:color="auto"/>
              <w:right w:val="single" w:sz="4" w:space="0" w:color="auto"/>
            </w:tcBorders>
            <w:shd w:val="clear" w:color="auto" w:fill="auto"/>
            <w:vAlign w:val="center"/>
          </w:tcPr>
          <w:p w14:paraId="474D1CB4" w14:textId="77777777" w:rsidR="00744EAE" w:rsidRPr="00C8094D" w:rsidRDefault="00744EAE"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74530479" w14:textId="77777777" w:rsidR="00744EAE" w:rsidRPr="00C8094D" w:rsidRDefault="00744EAE"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FDF830E" w14:textId="77777777" w:rsidR="00744EAE" w:rsidRPr="00C8094D" w:rsidRDefault="00744EAE"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CB3758C" w14:textId="77777777" w:rsidR="00744EAE" w:rsidRPr="00C8094D" w:rsidRDefault="00744EAE" w:rsidP="00BE19B9">
            <w:pPr>
              <w:pStyle w:val="TableText"/>
            </w:pPr>
            <w:r>
              <w:t>2</w:t>
            </w:r>
          </w:p>
        </w:tc>
      </w:tr>
      <w:tr w:rsidR="00744EAE" w:rsidRPr="00C8094D" w14:paraId="136B9460"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59A24EB2" w14:textId="77777777" w:rsidR="00744EAE" w:rsidRPr="00C8094D" w:rsidRDefault="00744EAE" w:rsidP="00BE19B9">
            <w:pPr>
              <w:pStyle w:val="TableText"/>
            </w:pPr>
            <w:r>
              <w:t>(2)</w:t>
            </w:r>
          </w:p>
        </w:tc>
        <w:tc>
          <w:tcPr>
            <w:tcW w:w="3183" w:type="pct"/>
            <w:tcBorders>
              <w:top w:val="single" w:sz="4" w:space="0" w:color="auto"/>
              <w:bottom w:val="single" w:sz="4" w:space="0" w:color="auto"/>
              <w:right w:val="single" w:sz="4" w:space="0" w:color="auto"/>
            </w:tcBorders>
          </w:tcPr>
          <w:p w14:paraId="42B1DE27" w14:textId="1307E818" w:rsidR="00744EAE" w:rsidRPr="00C8094D" w:rsidRDefault="00744EAE" w:rsidP="00BE19B9">
            <w:pPr>
              <w:pStyle w:val="TableText"/>
            </w:pPr>
            <w:r w:rsidRPr="000178D3">
              <w:t xml:space="preserve">Consider </w:t>
            </w:r>
            <w:r w:rsidR="008A5CB6">
              <w:t>i</w:t>
            </w:r>
            <w:r w:rsidRPr="000178D3">
              <w:t xml:space="preserve">lluminance, </w:t>
            </w:r>
            <w:r w:rsidR="008A5CB6">
              <w:t>c</w:t>
            </w:r>
            <w:r w:rsidRPr="000178D3">
              <w:t xml:space="preserve">olor </w:t>
            </w:r>
            <w:r w:rsidR="008A5CB6">
              <w:t>t</w:t>
            </w:r>
            <w:r w:rsidRPr="000178D3">
              <w:t xml:space="preserve">emperature, and </w:t>
            </w:r>
            <w:r w:rsidR="008A5CB6">
              <w:t>g</w:t>
            </w:r>
            <w:r w:rsidRPr="000178D3">
              <w:t>lare</w:t>
            </w:r>
          </w:p>
        </w:tc>
        <w:tc>
          <w:tcPr>
            <w:tcW w:w="378" w:type="pct"/>
            <w:tcBorders>
              <w:top w:val="nil"/>
              <w:left w:val="single" w:sz="4" w:space="0" w:color="auto"/>
              <w:bottom w:val="single" w:sz="4" w:space="0" w:color="auto"/>
              <w:right w:val="single" w:sz="4" w:space="0" w:color="auto"/>
            </w:tcBorders>
            <w:shd w:val="clear" w:color="auto" w:fill="auto"/>
            <w:vAlign w:val="center"/>
          </w:tcPr>
          <w:p w14:paraId="3CA44FB1" w14:textId="77777777" w:rsidR="00744EAE" w:rsidRPr="00C8094D" w:rsidRDefault="00744EAE"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069204C2" w14:textId="77777777" w:rsidR="00744EAE" w:rsidRPr="00C8094D" w:rsidRDefault="00744EAE"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ACD3695" w14:textId="77777777" w:rsidR="00744EAE" w:rsidRPr="00C8094D" w:rsidRDefault="00744EAE" w:rsidP="00BE19B9">
            <w:pPr>
              <w:pStyle w:val="TableText"/>
            </w:pPr>
            <w: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DB3BD22" w14:textId="77777777" w:rsidR="00744EAE" w:rsidRPr="00C8094D" w:rsidRDefault="00744EAE" w:rsidP="00BE19B9">
            <w:pPr>
              <w:pStyle w:val="TableText"/>
            </w:pPr>
            <w:r>
              <w:t>1</w:t>
            </w:r>
          </w:p>
        </w:tc>
      </w:tr>
      <w:tr w:rsidR="00744EAE" w:rsidRPr="00C8094D" w14:paraId="0DE6D4E3"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127E43E" w14:textId="77777777" w:rsidR="00744EAE" w:rsidRPr="00FF51E8" w:rsidRDefault="00744EAE" w:rsidP="00BE19B9">
            <w:pPr>
              <w:rPr>
                <w:rFonts w:ascii="Arial" w:hAnsi="Arial" w:cs="Arial"/>
                <w:b/>
                <w:bCs/>
                <w:sz w:val="20"/>
                <w:szCs w:val="20"/>
                <w:u w:val="single"/>
              </w:rPr>
            </w:pPr>
            <w:r w:rsidRPr="00FF51E8">
              <w:rPr>
                <w:rFonts w:ascii="Arial" w:hAnsi="Arial" w:cs="Arial"/>
                <w:b/>
                <w:bCs/>
                <w:sz w:val="20"/>
                <w:szCs w:val="20"/>
                <w:u w:val="single"/>
              </w:rPr>
              <w:t>Key:</w:t>
            </w:r>
          </w:p>
          <w:p w14:paraId="126BEF4D" w14:textId="77777777" w:rsidR="00744EAE" w:rsidRPr="00FF51E8" w:rsidRDefault="00744EAE" w:rsidP="00BE19B9">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51C8091B" w14:textId="3425C0B2" w:rsidR="00744EAE" w:rsidRPr="00FF51E8" w:rsidRDefault="00744EAE" w:rsidP="00BE19B9">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02122A21" w14:textId="77777777" w:rsidR="00744EAE" w:rsidRPr="00FF51E8" w:rsidRDefault="00744EAE" w:rsidP="00BE19B9">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3AA50C32" w14:textId="77777777" w:rsidR="00744EAE" w:rsidRDefault="00744EAE" w:rsidP="00744EAE">
      <w:pPr>
        <w:pStyle w:val="Heading3"/>
      </w:pPr>
      <w:r>
        <w:t>Barriers and Challenges</w:t>
      </w:r>
    </w:p>
    <w:p w14:paraId="68D1A47E" w14:textId="77777777" w:rsidR="00744EAE" w:rsidRDefault="00744EAE" w:rsidP="006D7DE6">
      <w:pPr>
        <w:pStyle w:val="BodyTextFirstIndent"/>
      </w:pPr>
      <w:r>
        <w:t xml:space="preserve">Barriers associated with lighting as a means of creating a productive learning environment may include the cost of artificial lighting with appropriate illuminance and color temperature and building-specific constraints that may limit available natural light. Schools should strive to balance artificial and natural lighting based on their current lighting system and available resources. </w:t>
      </w:r>
    </w:p>
    <w:p w14:paraId="7A1094E5" w14:textId="0B724854" w:rsidR="00EF55C2" w:rsidRDefault="00042D0C" w:rsidP="00EF55C2">
      <w:pPr>
        <w:pStyle w:val="AirQualitySubheading"/>
      </w:pPr>
      <w:r>
        <w:lastRenderedPageBreak/>
        <w:t>2i(2)</w:t>
      </w:r>
      <w:r>
        <w:tab/>
      </w:r>
      <w:r w:rsidR="001B62F5">
        <w:t>Optimiz</w:t>
      </w:r>
      <w:r w:rsidR="00597D62">
        <w:t>e</w:t>
      </w:r>
      <w:r w:rsidR="001B62F5">
        <w:t xml:space="preserve"> Acoustic Performance</w:t>
      </w:r>
    </w:p>
    <w:p w14:paraId="34168D2C" w14:textId="77777777" w:rsidR="00A81504" w:rsidRDefault="00A81504" w:rsidP="00A81504">
      <w:pPr>
        <w:pStyle w:val="Heading3"/>
      </w:pPr>
      <w:r>
        <w:t>Background</w:t>
      </w:r>
    </w:p>
    <w:p w14:paraId="6032A846" w14:textId="5CB701CC" w:rsidR="00A81504" w:rsidRDefault="00A81504" w:rsidP="006D7DE6">
      <w:pPr>
        <w:pStyle w:val="BodyTextFirstIndent"/>
      </w:pPr>
      <w:r>
        <w:t>Ensuring that classrooms have appropriate noise levels and listening conditions is essential for students to clearly understand the instruction delivered by teachers.</w:t>
      </w:r>
      <w:r>
        <w:fldChar w:fldCharType="begin"/>
      </w:r>
      <w:r w:rsidR="0049556C">
        <w:instrText xml:space="preserve"> ADDIN ZOTERO_ITEM CSL_CITATION {"citationID":"8Ap2lxnV","properties":{"formattedCitation":"\\super 146\\nosupersub{}","plainCitation":"146","noteIndex":0},"citationItems":[{"id":421,"uris":["http://zotero.org/groups/5563646/items/INWZBTLD"],"itemData":{"id":421,"type":"report","publisher":"Harvard T.H. Chan School of Public Health, Healthy Buildings program","title":"Foundations for Student Success: How School Buildings Influence Student Health, Thinking and Performance","URL":"https://schools.forhealth.org/wp-content/uploads/2020/02/Schools_ForHealth_UpdatedJan21.pdf","author":[{"family":"Eitland","given":"Erika"},{"family":"Klingensmith","given":"Lacey"},{"family":"MacNaughton","given":"Piers"},{"family":"Laurent","given":"Jose Cedeno"},{"family":"Spengler","given":"Jack"},{"family":"Bernstein","given":"Ari"},{"family":"Allen","given":"Joseph"}],"accessed":{"date-parts":[["2024",7,2]]},"issued":{"date-parts":[["2020",1]]}}}],"schema":"https://github.com/citation-style-language/schema/raw/master/csl-citation.json"} </w:instrText>
      </w:r>
      <w:r>
        <w:fldChar w:fldCharType="separate"/>
      </w:r>
      <w:r w:rsidR="0049556C" w:rsidRPr="0049556C">
        <w:rPr>
          <w:rFonts w:ascii="Calibri" w:hAnsi="Calibri" w:cs="Calibri"/>
          <w:sz w:val="22"/>
          <w:vertAlign w:val="superscript"/>
        </w:rPr>
        <w:t>146</w:t>
      </w:r>
      <w:r>
        <w:fldChar w:fldCharType="end"/>
      </w:r>
      <w:r>
        <w:t xml:space="preserve"> Children </w:t>
      </w:r>
      <w:r w:rsidR="00F02BAD">
        <w:t>younger than</w:t>
      </w:r>
      <w:r>
        <w:t xml:space="preserve"> 15</w:t>
      </w:r>
      <w:r w:rsidR="00F02BAD">
        <w:t xml:space="preserve"> years old</w:t>
      </w:r>
      <w:r>
        <w:t xml:space="preserve"> are more sensitive to disruptive listening conditions, where excessive noise can cause cognitive distress and reduced performance in school.</w:t>
      </w:r>
      <w:r>
        <w:fldChar w:fldCharType="begin"/>
      </w:r>
      <w:r w:rsidR="00BC4B15">
        <w:instrText xml:space="preserve"> ADDIN ZOTERO_ITEM CSL_CITATION {"citationID":"XbPC8iMN","properties":{"formattedCitation":"\\super 145,146\\nosupersub{}","plainCitation":"145,146","noteIndex":0},"citationItems":[{"id":421,"uris":["http://zotero.org/groups/5563646/items/INWZBTLD"],"itemData":{"id":421,"type":"report","publisher":"Harvard T.H. Chan School of Public Health, Healthy Buildings program","title":"Foundations for Student Success: How School Buildings Influence Student Health, Thinking and Performance","URL":"https://schools.forhealth.org/wp-content/uploads/2020/02/Schools_ForHealth_UpdatedJan21.pdf","author":[{"family":"Eitland","given":"Erika"},{"family":"Klingensmith","given":"Lacey"},{"family":"MacNaughton","given":"Piers"},{"family":"Laurent","given":"Jose Cedeno"},{"family":"Spengler","given":"Jack"},{"family":"Bernstein","given":"Ari"},{"family":"Allen","given":"Joseph"}],"accessed":{"date-parts":[["2024",7,2]]},"issued":{"date-parts":[["2020",1]]}}},{"id":540,"uris":["http://zotero.org/groups/5563646/items/C36H34MV"],"itemData":{"id":540,"type":"article-journal","language":"en","source":"Zotero","title":"National Best Practices Manual for Building High Performance Schools","author":[{"family":"Nicklas","given":"Mike"},{"family":"Design","given":"Innovative"}]}}],"schema":"https://github.com/citation-style-language/schema/raw/master/csl-citation.json"} </w:instrText>
      </w:r>
      <w:r>
        <w:fldChar w:fldCharType="separate"/>
      </w:r>
      <w:r w:rsidR="00BC4B15" w:rsidRPr="00BC4B15">
        <w:rPr>
          <w:rFonts w:ascii="Calibri" w:hAnsi="Calibri" w:cs="Calibri"/>
          <w:sz w:val="22"/>
          <w:vertAlign w:val="superscript"/>
        </w:rPr>
        <w:t>145,146</w:t>
      </w:r>
      <w:r>
        <w:fldChar w:fldCharType="end"/>
      </w:r>
      <w:r>
        <w:t xml:space="preserve"> Thus, schools should focus on improving the acoustic environment in the classroom to enhance the learning experience for all students.  </w:t>
      </w:r>
    </w:p>
    <w:p w14:paraId="126E76B9" w14:textId="77777777" w:rsidR="00A81504" w:rsidRDefault="00A81504" w:rsidP="00A81504">
      <w:pPr>
        <w:pStyle w:val="Heading3"/>
      </w:pPr>
      <w:r>
        <w:t>Methods and Best Practices</w:t>
      </w:r>
    </w:p>
    <w:p w14:paraId="328C2B87" w14:textId="46A127E8" w:rsidR="00A81504" w:rsidRDefault="00A81504" w:rsidP="006D7DE6">
      <w:pPr>
        <w:pStyle w:val="BodyTextFirstIndent"/>
      </w:pPr>
      <w:r>
        <w:fldChar w:fldCharType="begin"/>
      </w:r>
      <w:r>
        <w:instrText xml:space="preserve"> REF _Ref171633608 \h </w:instrText>
      </w:r>
      <w:r>
        <w:fldChar w:fldCharType="separate"/>
      </w:r>
      <w:r w:rsidR="00307850">
        <w:t xml:space="preserve">Table </w:t>
      </w:r>
      <w:r w:rsidR="00307850">
        <w:rPr>
          <w:noProof/>
        </w:rPr>
        <w:t>29</w:t>
      </w:r>
      <w:r>
        <w:fldChar w:fldCharType="end"/>
      </w:r>
      <w:r>
        <w:t xml:space="preserve"> </w:t>
      </w:r>
      <w:r w:rsidRPr="007935AE">
        <w:t xml:space="preserve">summarizes </w:t>
      </w:r>
      <w:r>
        <w:t xml:space="preserve">the </w:t>
      </w:r>
      <w:r w:rsidRPr="007935AE">
        <w:t xml:space="preserve">methods and best practices for </w:t>
      </w:r>
      <w:r>
        <w:t>optimizing acoustic performance in</w:t>
      </w:r>
      <w:r w:rsidRPr="007935AE">
        <w:t xml:space="preserve"> schools. For each method and best practice, the table presents the approximate capital and operating costs, implementation timeframe, and ease of implementation.</w:t>
      </w:r>
      <w:r w:rsidR="00465F58">
        <w:t xml:space="preserve"> </w:t>
      </w:r>
      <w:r w:rsidR="00465F58" w:rsidRPr="00C43978">
        <w:t xml:space="preserve">See </w:t>
      </w:r>
      <w:hyperlink w:anchor="SectVII_2i2" w:history="1">
        <w:r w:rsidR="00275879" w:rsidRPr="00275879">
          <w:rPr>
            <w:rStyle w:val="Hyperlink"/>
          </w:rPr>
          <w:t>Section VII, Objective 2i(2)</w:t>
        </w:r>
      </w:hyperlink>
      <w:r w:rsidR="00465F58" w:rsidRPr="00C43978">
        <w:t xml:space="preserve"> for additional narrative descriptions of each of the methods and best practices.</w:t>
      </w:r>
    </w:p>
    <w:p w14:paraId="466EA199" w14:textId="0BC2A1A0" w:rsidR="00A81504" w:rsidRDefault="00A81504" w:rsidP="00B30C96">
      <w:pPr>
        <w:pStyle w:val="TableTitle"/>
      </w:pPr>
      <w:bookmarkStart w:id="263" w:name="_Ref171633608"/>
      <w:bookmarkStart w:id="264" w:name="_Toc172200341"/>
      <w:bookmarkStart w:id="265" w:name="_Toc192711695"/>
      <w:bookmarkStart w:id="266" w:name="_Toc193112577"/>
      <w:bookmarkStart w:id="267" w:name="_Toc193116976"/>
      <w:r>
        <w:t xml:space="preserve">Table </w:t>
      </w:r>
      <w:fldSimple w:instr=" SEQ Table \* ARABIC ">
        <w:r w:rsidR="00307850">
          <w:rPr>
            <w:noProof/>
          </w:rPr>
          <w:t>29</w:t>
        </w:r>
      </w:fldSimple>
      <w:bookmarkEnd w:id="263"/>
      <w:r>
        <w:t>. Methods</w:t>
      </w:r>
      <w:r w:rsidR="00074426">
        <w:t xml:space="preserve"> and </w:t>
      </w:r>
      <w:r>
        <w:t>Best Practices Related to Optimizing Acoustic Performance</w:t>
      </w:r>
      <w:bookmarkEnd w:id="264"/>
      <w:bookmarkEnd w:id="265"/>
      <w:bookmarkEnd w:id="266"/>
      <w:bookmarkEnd w:id="267"/>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optimizing acoustic performance."/>
      </w:tblPr>
      <w:tblGrid>
        <w:gridCol w:w="570"/>
        <w:gridCol w:w="5952"/>
        <w:gridCol w:w="707"/>
        <w:gridCol w:w="707"/>
        <w:gridCol w:w="707"/>
        <w:gridCol w:w="707"/>
      </w:tblGrid>
      <w:tr w:rsidR="00A81504" w:rsidRPr="00C8094D" w14:paraId="3B6D13C7" w14:textId="77777777" w:rsidTr="006F5AAC">
        <w:trPr>
          <w:cantSplit/>
          <w:trHeight w:val="1871"/>
          <w:tblHeader/>
          <w:jc w:val="center"/>
        </w:trPr>
        <w:tc>
          <w:tcPr>
            <w:tcW w:w="348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1D3A5655" w14:textId="77777777" w:rsidR="00A81504" w:rsidRDefault="00A81504" w:rsidP="00BE19B9">
            <w:pPr>
              <w:pStyle w:val="TableColumnHeader"/>
            </w:pPr>
            <w:r>
              <w:t>Methods/Best Practices</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20EB5FF" w14:textId="77777777" w:rsidR="00A81504" w:rsidRPr="00C8094D" w:rsidRDefault="00A81504" w:rsidP="00BE19B9">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6968DD89" w14:textId="77777777" w:rsidR="00A81504" w:rsidRDefault="00A81504" w:rsidP="00BE19B9">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707D22B" w14:textId="77777777" w:rsidR="00A81504" w:rsidRPr="00C8094D" w:rsidRDefault="00A81504" w:rsidP="00BE19B9">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216B010" w14:textId="77777777" w:rsidR="00A81504" w:rsidRPr="00C8094D" w:rsidRDefault="00A81504" w:rsidP="00BE19B9">
            <w:pPr>
              <w:pStyle w:val="TableColumnHeader"/>
              <w:jc w:val="left"/>
            </w:pPr>
            <w:r>
              <w:t xml:space="preserve">Ease of </w:t>
            </w:r>
            <w:r w:rsidRPr="00C8094D">
              <w:t>Implementation</w:t>
            </w:r>
          </w:p>
        </w:tc>
      </w:tr>
      <w:tr w:rsidR="00A81504" w:rsidRPr="00C8094D" w14:paraId="3DF493FD"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629C9B73" w14:textId="77777777" w:rsidR="00A81504" w:rsidRDefault="00A81504" w:rsidP="00BE19B9">
            <w:pPr>
              <w:pStyle w:val="TableText"/>
            </w:pPr>
            <w:r>
              <w:t>(1)</w:t>
            </w:r>
          </w:p>
        </w:tc>
        <w:tc>
          <w:tcPr>
            <w:tcW w:w="3183" w:type="pct"/>
            <w:tcBorders>
              <w:top w:val="single" w:sz="4" w:space="0" w:color="auto"/>
              <w:bottom w:val="single" w:sz="4" w:space="0" w:color="auto"/>
              <w:right w:val="single" w:sz="4" w:space="0" w:color="auto"/>
            </w:tcBorders>
          </w:tcPr>
          <w:p w14:paraId="2D0479AC" w14:textId="4A14B542" w:rsidR="00A81504" w:rsidRDefault="00A81504" w:rsidP="00BE19B9">
            <w:pPr>
              <w:pStyle w:val="TableText"/>
            </w:pPr>
            <w:r>
              <w:t xml:space="preserve">Reduce </w:t>
            </w:r>
            <w:r w:rsidR="00F16E16">
              <w:t>s</w:t>
            </w:r>
            <w:r>
              <w:t xml:space="preserve">ound </w:t>
            </w:r>
            <w:r w:rsidR="00F16E16">
              <w:t>r</w:t>
            </w:r>
            <w:r>
              <w:t xml:space="preserve">everberation </w:t>
            </w:r>
            <w:r w:rsidR="00F16E16">
              <w:t>t</w:t>
            </w:r>
            <w:r>
              <w:t xml:space="preserve">ime and </w:t>
            </w:r>
            <w:r w:rsidR="00F16E16">
              <w:t>m</w:t>
            </w:r>
            <w:r>
              <w:t xml:space="preserve">inimize </w:t>
            </w:r>
            <w:r w:rsidR="00F16E16">
              <w:t>b</w:t>
            </w:r>
            <w:r>
              <w:t xml:space="preserve">ackground </w:t>
            </w:r>
            <w:r w:rsidR="00F16E16">
              <w:t>n</w:t>
            </w:r>
            <w:r>
              <w:t xml:space="preserve">oise in </w:t>
            </w:r>
            <w:r w:rsidR="00F16E16">
              <w:t>c</w:t>
            </w:r>
            <w:r>
              <w:t xml:space="preserve">lassrooms </w:t>
            </w:r>
          </w:p>
        </w:tc>
        <w:tc>
          <w:tcPr>
            <w:tcW w:w="378" w:type="pct"/>
            <w:tcBorders>
              <w:top w:val="nil"/>
              <w:left w:val="single" w:sz="4" w:space="0" w:color="auto"/>
              <w:bottom w:val="single" w:sz="4" w:space="0" w:color="auto"/>
              <w:right w:val="single" w:sz="4" w:space="0" w:color="auto"/>
            </w:tcBorders>
            <w:shd w:val="clear" w:color="auto" w:fill="auto"/>
            <w:vAlign w:val="center"/>
          </w:tcPr>
          <w:p w14:paraId="1FBC8EBB" w14:textId="77777777" w:rsidR="00A81504" w:rsidRPr="00C8094D" w:rsidRDefault="00A81504"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vAlign w:val="center"/>
          </w:tcPr>
          <w:p w14:paraId="1FBC6E35" w14:textId="77777777" w:rsidR="00A81504" w:rsidRPr="00C8094D" w:rsidRDefault="00A81504" w:rsidP="00BE19B9">
            <w:pPr>
              <w:pStyle w:val="TableText"/>
            </w:pPr>
            <w: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ADCABAB" w14:textId="77777777" w:rsidR="00A81504" w:rsidRPr="00C8094D" w:rsidRDefault="00A81504" w:rsidP="00BE19B9">
            <w:pPr>
              <w:pStyle w:val="TableText"/>
            </w:pPr>
            <w: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EB26C61" w14:textId="77777777" w:rsidR="00A81504" w:rsidRPr="00C8094D" w:rsidRDefault="00A81504" w:rsidP="00BE19B9">
            <w:pPr>
              <w:pStyle w:val="TableText"/>
            </w:pPr>
            <w:r>
              <w:t>1-2</w:t>
            </w:r>
          </w:p>
        </w:tc>
      </w:tr>
      <w:tr w:rsidR="00A81504" w:rsidRPr="00C8094D" w14:paraId="2465A642"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ADE2713" w14:textId="77777777" w:rsidR="00A81504" w:rsidRPr="00FF51E8" w:rsidRDefault="00A81504" w:rsidP="00BE19B9">
            <w:pPr>
              <w:rPr>
                <w:rFonts w:ascii="Arial" w:hAnsi="Arial" w:cs="Arial"/>
                <w:b/>
                <w:bCs/>
                <w:sz w:val="20"/>
                <w:szCs w:val="20"/>
                <w:u w:val="single"/>
              </w:rPr>
            </w:pPr>
            <w:r w:rsidRPr="00FF51E8">
              <w:rPr>
                <w:rFonts w:ascii="Arial" w:hAnsi="Arial" w:cs="Arial"/>
                <w:b/>
                <w:bCs/>
                <w:sz w:val="20"/>
                <w:szCs w:val="20"/>
                <w:u w:val="single"/>
              </w:rPr>
              <w:t>Key:</w:t>
            </w:r>
          </w:p>
          <w:p w14:paraId="678DFFC2" w14:textId="77777777" w:rsidR="00A81504" w:rsidRPr="00FF51E8" w:rsidRDefault="00A81504" w:rsidP="00BE19B9">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4D99990E" w14:textId="09D686E3" w:rsidR="00A81504" w:rsidRPr="00FF51E8" w:rsidRDefault="00A81504" w:rsidP="00BE19B9">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1891974A" w14:textId="77777777" w:rsidR="00A81504" w:rsidRPr="00FF51E8" w:rsidRDefault="00A81504" w:rsidP="00BE19B9">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2BCCF28B" w14:textId="77777777" w:rsidR="00A81504" w:rsidRDefault="00A81504" w:rsidP="00A81504">
      <w:pPr>
        <w:pStyle w:val="Heading3"/>
      </w:pPr>
      <w:r>
        <w:t>Barriers and Challenges</w:t>
      </w:r>
    </w:p>
    <w:p w14:paraId="70817F9B" w14:textId="27BDAB83" w:rsidR="00A81504" w:rsidRPr="0055194B" w:rsidRDefault="00A81504" w:rsidP="006D7DE6">
      <w:pPr>
        <w:pStyle w:val="BodyTextFirstIndent"/>
      </w:pPr>
      <w:r>
        <w:t xml:space="preserve">The main barrier to creating a productive learning environment by enhancing acoustic performance is ensuring that building materials have good sound-absorbing capabilities. While new construction and modernization projects can seamlessly incorporate these materials into the design and construction, this can </w:t>
      </w:r>
      <w:r w:rsidR="00B2668C">
        <w:t>require</w:t>
      </w:r>
      <w:r>
        <w:t xml:space="preserve"> more work to implement as a retrofit measure in an existing building. Further, background noise from sources outside of the school (e.g., vehicular traffic from nearby roadways) can also impact student learning yet are challenging to control. Thus, schools should focus on minimizing noise from sources they can control, such as HVAC systems, and invest in materials that effectively reduce sound reverberation times. </w:t>
      </w:r>
    </w:p>
    <w:p w14:paraId="6C33C529" w14:textId="005AACDB" w:rsidR="00904065" w:rsidRDefault="00904065" w:rsidP="001C7888">
      <w:pPr>
        <w:pStyle w:val="Heading2"/>
      </w:pPr>
      <w:bookmarkStart w:id="268" w:name="_Toc171518378"/>
      <w:bookmarkStart w:id="269" w:name="_Toc171519331"/>
      <w:bookmarkStart w:id="270" w:name="_Toc193116910"/>
      <w:r>
        <w:lastRenderedPageBreak/>
        <w:t xml:space="preserve">Objective 2j. </w:t>
      </w:r>
      <w:bookmarkEnd w:id="268"/>
      <w:bookmarkEnd w:id="269"/>
      <w:r w:rsidR="00BA3D1B" w:rsidRPr="00BA3D1B">
        <w:t>Design the Built Environment to Foster a Peaceful School Comm</w:t>
      </w:r>
      <w:r w:rsidR="00BA3D1B">
        <w:t>unity</w:t>
      </w:r>
      <w:bookmarkEnd w:id="270"/>
    </w:p>
    <w:p w14:paraId="72FA5382" w14:textId="77777777" w:rsidR="00A128BB" w:rsidRDefault="00A128BB" w:rsidP="00A128BB">
      <w:pPr>
        <w:pStyle w:val="Heading3"/>
      </w:pPr>
      <w:r>
        <w:t>Background</w:t>
      </w:r>
    </w:p>
    <w:p w14:paraId="08629E63" w14:textId="6CA85BF2" w:rsidR="00A128BB" w:rsidRDefault="00A128BB" w:rsidP="006D7DE6">
      <w:pPr>
        <w:pStyle w:val="BodyTextFirstIndent"/>
      </w:pPr>
      <w:r>
        <w:t xml:space="preserve">In Massachusetts, students </w:t>
      </w:r>
      <w:r w:rsidR="003A1355">
        <w:t xml:space="preserve">and staff </w:t>
      </w:r>
      <w:r>
        <w:t xml:space="preserve">spend long days in school buildings. The design of these buildings can play an important role in creating conditions that foster a peaceful school community. High-traffic areas that force crowding and jostling can lead to stress and increased violence, whereas specific and intentional design elements can support positive mindsets and interactions. </w:t>
      </w:r>
    </w:p>
    <w:p w14:paraId="4A62EEB1" w14:textId="77777777" w:rsidR="00A128BB" w:rsidRDefault="00A128BB" w:rsidP="00A128BB">
      <w:pPr>
        <w:pStyle w:val="Heading3"/>
      </w:pPr>
      <w:r>
        <w:t>Methods and Best Practices</w:t>
      </w:r>
    </w:p>
    <w:p w14:paraId="3301D23B" w14:textId="0F2FE774" w:rsidR="00A128BB" w:rsidRDefault="00A128BB" w:rsidP="006D7DE6">
      <w:pPr>
        <w:pStyle w:val="BodyTextFirstIndent"/>
      </w:pPr>
      <w:r>
        <w:fldChar w:fldCharType="begin"/>
      </w:r>
      <w:r>
        <w:instrText xml:space="preserve"> REF _Ref171633964 \h </w:instrText>
      </w:r>
      <w:r>
        <w:fldChar w:fldCharType="separate"/>
      </w:r>
      <w:r w:rsidR="00307850">
        <w:t xml:space="preserve">Table </w:t>
      </w:r>
      <w:r w:rsidR="00307850">
        <w:rPr>
          <w:noProof/>
        </w:rPr>
        <w:t>30</w:t>
      </w:r>
      <w:r>
        <w:fldChar w:fldCharType="end"/>
      </w:r>
      <w:r>
        <w:t xml:space="preserve"> </w:t>
      </w:r>
      <w:r w:rsidRPr="007935AE">
        <w:t xml:space="preserve">summarizes </w:t>
      </w:r>
      <w:r>
        <w:t xml:space="preserve">the </w:t>
      </w:r>
      <w:r w:rsidRPr="007935AE">
        <w:t xml:space="preserve">methods and best practices for </w:t>
      </w:r>
      <w:r>
        <w:t>d</w:t>
      </w:r>
      <w:r w:rsidRPr="00E72B5B">
        <w:t>esign</w:t>
      </w:r>
      <w:r>
        <w:t>ing</w:t>
      </w:r>
      <w:r w:rsidRPr="00E72B5B">
        <w:t xml:space="preserve"> </w:t>
      </w:r>
      <w:r>
        <w:t>the built environment to foster a peaceful school community</w:t>
      </w:r>
      <w:r w:rsidR="00C258D2">
        <w:t xml:space="preserve"> across three categories: reducing stressors resulting from the built environment; designing spaces in school buildings to promote overall well-being</w:t>
      </w:r>
      <w:r w:rsidR="00743A28">
        <w:t>;</w:t>
      </w:r>
      <w:r w:rsidR="00C258D2">
        <w:t xml:space="preserve"> </w:t>
      </w:r>
      <w:r w:rsidR="00994080">
        <w:t xml:space="preserve">and </w:t>
      </w:r>
      <w:r w:rsidR="00C258D2">
        <w:t>designing spaces that facilitate positive social interactions at school</w:t>
      </w:r>
      <w:r w:rsidRPr="007935AE">
        <w:t>. For each method and best practice, the table presents the approximate capital and operating costs, implementation timeframe, and ease of implementation.</w:t>
      </w:r>
      <w:r w:rsidR="00C258D2">
        <w:t xml:space="preserve"> </w:t>
      </w:r>
      <w:r w:rsidR="00C258D2" w:rsidRPr="00C43978">
        <w:t xml:space="preserve">See </w:t>
      </w:r>
      <w:hyperlink w:anchor="SectVII_2j" w:history="1">
        <w:r w:rsidR="00275879" w:rsidRPr="00275879">
          <w:rPr>
            <w:rStyle w:val="Hyperlink"/>
          </w:rPr>
          <w:t>Section VII, Objective 2j</w:t>
        </w:r>
      </w:hyperlink>
      <w:r w:rsidR="00C258D2" w:rsidRPr="00C43978">
        <w:t xml:space="preserve"> for additional narrative descriptions of each of the methods and best practices.</w:t>
      </w:r>
    </w:p>
    <w:p w14:paraId="67EAF62D" w14:textId="72C42477" w:rsidR="00A128BB" w:rsidRDefault="00A128BB" w:rsidP="00B30C96">
      <w:pPr>
        <w:pStyle w:val="TableTitle"/>
      </w:pPr>
      <w:bookmarkStart w:id="271" w:name="_Ref171633964"/>
      <w:bookmarkStart w:id="272" w:name="_Toc172200344"/>
      <w:bookmarkStart w:id="273" w:name="_Toc192711696"/>
      <w:bookmarkStart w:id="274" w:name="_Toc193112578"/>
      <w:bookmarkStart w:id="275" w:name="_Toc193116977"/>
      <w:r>
        <w:lastRenderedPageBreak/>
        <w:t xml:space="preserve">Table </w:t>
      </w:r>
      <w:fldSimple w:instr=" SEQ Table \* ARABIC ">
        <w:r w:rsidR="00307850">
          <w:rPr>
            <w:noProof/>
          </w:rPr>
          <w:t>30</w:t>
        </w:r>
      </w:fldSimple>
      <w:bookmarkEnd w:id="271"/>
      <w:r>
        <w:t>. Methods</w:t>
      </w:r>
      <w:r w:rsidR="00074426">
        <w:t xml:space="preserve"> and </w:t>
      </w:r>
      <w:r>
        <w:t xml:space="preserve">Best Practices Related to </w:t>
      </w:r>
      <w:r w:rsidRPr="00E72B5B">
        <w:t>Design</w:t>
      </w:r>
      <w:r>
        <w:t>ing</w:t>
      </w:r>
      <w:r w:rsidRPr="00E72B5B">
        <w:t xml:space="preserve"> </w:t>
      </w:r>
      <w:bookmarkEnd w:id="272"/>
      <w:r>
        <w:t>the Built Environment to Foster a Peaceful School Community</w:t>
      </w:r>
      <w:bookmarkEnd w:id="273"/>
      <w:bookmarkEnd w:id="274"/>
      <w:bookmarkEnd w:id="275"/>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Designing the Built Environment to Foster a Peaceful School Community."/>
      </w:tblPr>
      <w:tblGrid>
        <w:gridCol w:w="570"/>
        <w:gridCol w:w="5761"/>
        <w:gridCol w:w="898"/>
        <w:gridCol w:w="707"/>
        <w:gridCol w:w="707"/>
        <w:gridCol w:w="707"/>
      </w:tblGrid>
      <w:tr w:rsidR="00A128BB" w:rsidRPr="00C8094D" w14:paraId="5FCC4773" w14:textId="77777777" w:rsidTr="006F5AAC">
        <w:trPr>
          <w:cantSplit/>
          <w:trHeight w:val="1925"/>
          <w:tblHeader/>
          <w:jc w:val="center"/>
        </w:trPr>
        <w:tc>
          <w:tcPr>
            <w:tcW w:w="338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3BF306E5" w14:textId="77777777" w:rsidR="00A128BB" w:rsidRDefault="00A128BB" w:rsidP="00BE19B9">
            <w:pPr>
              <w:pStyle w:val="TableColumnHeader"/>
            </w:pPr>
            <w:r>
              <w:t>Methods/Best Practices</w:t>
            </w:r>
          </w:p>
        </w:tc>
        <w:tc>
          <w:tcPr>
            <w:tcW w:w="480"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55C6444" w14:textId="77777777" w:rsidR="00A128BB" w:rsidRPr="00C8094D" w:rsidRDefault="00A128BB" w:rsidP="00BE19B9">
            <w:pPr>
              <w:pStyle w:val="TableColumnHeader"/>
              <w:jc w:val="left"/>
            </w:pPr>
            <w:r>
              <w:t xml:space="preserve">Capital </w:t>
            </w:r>
            <w:r w:rsidRPr="00C8094D">
              <w:t>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47F862D" w14:textId="77777777" w:rsidR="00A128BB" w:rsidRDefault="00A128BB" w:rsidP="00BE19B9">
            <w:pPr>
              <w:pStyle w:val="TableColumnHeader"/>
              <w:jc w:val="left"/>
            </w:pPr>
            <w:r>
              <w:t>Operating Cost</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5B4B67C1" w14:textId="77777777" w:rsidR="00A128BB" w:rsidRPr="00C8094D" w:rsidRDefault="00A128BB" w:rsidP="00BE19B9">
            <w:pPr>
              <w:pStyle w:val="TableColumnHeader"/>
              <w:jc w:val="left"/>
            </w:pPr>
            <w:r>
              <w:t xml:space="preserve">Implementation </w:t>
            </w:r>
            <w:r w:rsidRPr="00C8094D">
              <w:t>Timeframe</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6D8373E" w14:textId="77777777" w:rsidR="00A128BB" w:rsidRPr="00C8094D" w:rsidRDefault="00A128BB" w:rsidP="00BE19B9">
            <w:pPr>
              <w:pStyle w:val="TableColumnHeader"/>
              <w:jc w:val="left"/>
            </w:pPr>
            <w:r>
              <w:t xml:space="preserve">Ease of </w:t>
            </w:r>
            <w:r w:rsidRPr="00C8094D">
              <w:t>Implementation</w:t>
            </w:r>
          </w:p>
        </w:tc>
      </w:tr>
      <w:tr w:rsidR="00471CBA" w:rsidRPr="00C8094D" w14:paraId="7EFF2AAA" w14:textId="77777777" w:rsidTr="006F5AAC">
        <w:trPr>
          <w:cantSplit/>
          <w:trHeight w:val="255"/>
          <w:tblHeader/>
          <w:jc w:val="center"/>
        </w:trPr>
        <w:tc>
          <w:tcPr>
            <w:tcW w:w="5000" w:type="pct"/>
            <w:gridSpan w:val="6"/>
            <w:tcBorders>
              <w:top w:val="nil"/>
              <w:left w:val="single" w:sz="4" w:space="0" w:color="auto"/>
              <w:bottom w:val="single" w:sz="4" w:space="0" w:color="auto"/>
              <w:right w:val="single" w:sz="4" w:space="0" w:color="auto"/>
            </w:tcBorders>
            <w:shd w:val="clear" w:color="auto" w:fill="1F497D" w:themeFill="text2"/>
          </w:tcPr>
          <w:p w14:paraId="3D8DABA8" w14:textId="25345390" w:rsidR="00471CBA" w:rsidRPr="009140AF" w:rsidRDefault="00471CBA" w:rsidP="00471CBA">
            <w:pPr>
              <w:pStyle w:val="TableRowHeader"/>
            </w:pPr>
            <w:r w:rsidRPr="009140AF">
              <w:t>Reduce Stressors</w:t>
            </w:r>
          </w:p>
        </w:tc>
      </w:tr>
      <w:tr w:rsidR="00A128BB" w:rsidRPr="00C8094D" w14:paraId="7CC5DA96" w14:textId="77777777" w:rsidTr="006F5AAC">
        <w:trPr>
          <w:cantSplit/>
          <w:trHeight w:val="255"/>
          <w:tblHeader/>
          <w:jc w:val="center"/>
        </w:trPr>
        <w:tc>
          <w:tcPr>
            <w:tcW w:w="305" w:type="pct"/>
            <w:tcBorders>
              <w:top w:val="nil"/>
              <w:left w:val="single" w:sz="4" w:space="0" w:color="auto"/>
              <w:bottom w:val="single" w:sz="4" w:space="0" w:color="auto"/>
            </w:tcBorders>
            <w:shd w:val="clear" w:color="auto" w:fill="auto"/>
          </w:tcPr>
          <w:p w14:paraId="1E14A569" w14:textId="77777777" w:rsidR="00A128BB" w:rsidRPr="009140AF" w:rsidRDefault="00A128BB" w:rsidP="00BE19B9">
            <w:pPr>
              <w:pStyle w:val="TableText"/>
              <w:rPr>
                <w:rFonts w:cs="Arial"/>
                <w:szCs w:val="24"/>
              </w:rPr>
            </w:pPr>
            <w:r w:rsidRPr="009140AF">
              <w:rPr>
                <w:rFonts w:cs="Arial"/>
                <w:szCs w:val="24"/>
              </w:rPr>
              <w:t>(1)</w:t>
            </w:r>
          </w:p>
        </w:tc>
        <w:tc>
          <w:tcPr>
            <w:tcW w:w="3081" w:type="pct"/>
            <w:tcBorders>
              <w:top w:val="single" w:sz="4" w:space="0" w:color="auto"/>
              <w:bottom w:val="single" w:sz="4" w:space="0" w:color="auto"/>
              <w:right w:val="single" w:sz="4" w:space="0" w:color="auto"/>
            </w:tcBorders>
          </w:tcPr>
          <w:p w14:paraId="191A651E" w14:textId="611CB1FA" w:rsidR="00A128BB" w:rsidRPr="009140AF" w:rsidRDefault="00A128BB" w:rsidP="00BE19B9">
            <w:pPr>
              <w:pStyle w:val="TableText"/>
              <w:rPr>
                <w:rFonts w:cs="Arial"/>
                <w:szCs w:val="24"/>
              </w:rPr>
            </w:pPr>
            <w:r>
              <w:rPr>
                <w:rFonts w:cs="Arial"/>
                <w:szCs w:val="24"/>
              </w:rPr>
              <w:t>Reduce</w:t>
            </w:r>
            <w:r w:rsidRPr="009140AF">
              <w:rPr>
                <w:rFonts w:cs="Arial"/>
                <w:szCs w:val="24"/>
              </w:rPr>
              <w:t xml:space="preserve"> </w:t>
            </w:r>
            <w:r w:rsidR="004A4E8E">
              <w:rPr>
                <w:rFonts w:cs="Arial"/>
                <w:szCs w:val="24"/>
              </w:rPr>
              <w:t>c</w:t>
            </w:r>
            <w:r w:rsidRPr="009140AF">
              <w:rPr>
                <w:rFonts w:cs="Arial"/>
                <w:szCs w:val="24"/>
              </w:rPr>
              <w:t>rowding</w:t>
            </w:r>
          </w:p>
        </w:tc>
        <w:tc>
          <w:tcPr>
            <w:tcW w:w="480" w:type="pct"/>
            <w:tcBorders>
              <w:top w:val="nil"/>
              <w:left w:val="single" w:sz="4" w:space="0" w:color="auto"/>
              <w:bottom w:val="single" w:sz="4" w:space="0" w:color="auto"/>
              <w:right w:val="single" w:sz="4" w:space="0" w:color="auto"/>
            </w:tcBorders>
            <w:shd w:val="clear" w:color="auto" w:fill="auto"/>
            <w:vAlign w:val="center"/>
          </w:tcPr>
          <w:p w14:paraId="24A5FDAD"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vAlign w:val="center"/>
          </w:tcPr>
          <w:p w14:paraId="0F019E28"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C1D22DF" w14:textId="77777777" w:rsidR="00A128BB" w:rsidRPr="009140AF" w:rsidRDefault="00A128BB" w:rsidP="00BE19B9">
            <w:pPr>
              <w:pStyle w:val="TableText"/>
              <w:rPr>
                <w:rFonts w:cs="Arial"/>
                <w:szCs w:val="24"/>
              </w:rPr>
            </w:pPr>
            <w:r w:rsidRPr="009140AF">
              <w:rPr>
                <w:rFonts w:cs="Arial"/>
                <w:szCs w:val="24"/>
              </w:rP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4CFA3A6" w14:textId="77777777" w:rsidR="00A128BB" w:rsidRPr="009140AF" w:rsidRDefault="00A128BB" w:rsidP="00BE19B9">
            <w:pPr>
              <w:pStyle w:val="TableText"/>
              <w:rPr>
                <w:rFonts w:cs="Arial"/>
                <w:szCs w:val="24"/>
              </w:rPr>
            </w:pPr>
            <w:r w:rsidRPr="009140AF">
              <w:rPr>
                <w:rFonts w:cs="Arial"/>
                <w:szCs w:val="24"/>
              </w:rPr>
              <w:t>2</w:t>
            </w:r>
          </w:p>
        </w:tc>
      </w:tr>
      <w:tr w:rsidR="00A128BB" w:rsidRPr="00C8094D" w14:paraId="32151150"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4D5FB10A" w14:textId="77777777" w:rsidR="00A128BB" w:rsidRPr="009140AF" w:rsidRDefault="00A128BB" w:rsidP="00BE19B9">
            <w:pPr>
              <w:pStyle w:val="TableText"/>
              <w:rPr>
                <w:rFonts w:cs="Arial"/>
                <w:szCs w:val="24"/>
              </w:rPr>
            </w:pPr>
            <w:r w:rsidRPr="009140AF">
              <w:rPr>
                <w:rFonts w:cs="Arial"/>
                <w:szCs w:val="24"/>
              </w:rPr>
              <w:t>(2)</w:t>
            </w:r>
          </w:p>
        </w:tc>
        <w:tc>
          <w:tcPr>
            <w:tcW w:w="3081" w:type="pct"/>
            <w:tcBorders>
              <w:top w:val="single" w:sz="4" w:space="0" w:color="auto"/>
              <w:bottom w:val="single" w:sz="4" w:space="0" w:color="auto"/>
              <w:right w:val="single" w:sz="4" w:space="0" w:color="auto"/>
            </w:tcBorders>
          </w:tcPr>
          <w:p w14:paraId="6B17B2E8" w14:textId="3EE2DF4B" w:rsidR="00A128BB" w:rsidRPr="009140AF" w:rsidRDefault="00A128BB" w:rsidP="00BE19B9">
            <w:pPr>
              <w:pStyle w:val="TableText"/>
              <w:rPr>
                <w:rFonts w:cs="Arial"/>
                <w:szCs w:val="24"/>
              </w:rPr>
            </w:pPr>
            <w:r w:rsidRPr="009140AF">
              <w:rPr>
                <w:rFonts w:cs="Arial"/>
                <w:szCs w:val="24"/>
              </w:rPr>
              <w:t xml:space="preserve">Reduce </w:t>
            </w:r>
            <w:r w:rsidR="004A4E8E">
              <w:rPr>
                <w:rFonts w:cs="Arial"/>
                <w:szCs w:val="24"/>
              </w:rPr>
              <w:t>e</w:t>
            </w:r>
            <w:r w:rsidRPr="009140AF">
              <w:rPr>
                <w:rFonts w:cs="Arial"/>
                <w:szCs w:val="24"/>
              </w:rPr>
              <w:t xml:space="preserve">nvironmental </w:t>
            </w:r>
            <w:r w:rsidR="004A4E8E">
              <w:rPr>
                <w:rFonts w:cs="Arial"/>
                <w:szCs w:val="24"/>
              </w:rPr>
              <w:t>s</w:t>
            </w:r>
            <w:r w:rsidRPr="009140AF">
              <w:rPr>
                <w:rFonts w:cs="Arial"/>
                <w:szCs w:val="24"/>
              </w:rPr>
              <w:t>tressors</w:t>
            </w:r>
          </w:p>
        </w:tc>
        <w:tc>
          <w:tcPr>
            <w:tcW w:w="480" w:type="pct"/>
            <w:tcBorders>
              <w:top w:val="nil"/>
              <w:left w:val="single" w:sz="4" w:space="0" w:color="auto"/>
              <w:bottom w:val="single" w:sz="4" w:space="0" w:color="auto"/>
              <w:right w:val="single" w:sz="4" w:space="0" w:color="auto"/>
            </w:tcBorders>
            <w:shd w:val="clear" w:color="auto" w:fill="auto"/>
            <w:vAlign w:val="center"/>
          </w:tcPr>
          <w:p w14:paraId="07376C2A"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vAlign w:val="center"/>
          </w:tcPr>
          <w:p w14:paraId="743D40BA" w14:textId="77777777" w:rsidR="00A128BB" w:rsidRPr="009140AF" w:rsidRDefault="00A128BB" w:rsidP="00BE19B9">
            <w:pPr>
              <w:pStyle w:val="TableText"/>
              <w:rPr>
                <w:rFonts w:cs="Arial"/>
                <w:szCs w:val="24"/>
              </w:rPr>
            </w:pPr>
            <w:r w:rsidRPr="009140AF">
              <w:rPr>
                <w:rFonts w:cs="Arial"/>
                <w:szCs w:val="24"/>
              </w:rP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CE9059F" w14:textId="77777777" w:rsidR="00A128BB" w:rsidRPr="009140AF" w:rsidRDefault="00A128BB" w:rsidP="00BE19B9">
            <w:pPr>
              <w:pStyle w:val="TableText"/>
              <w:rPr>
                <w:rFonts w:cs="Arial"/>
                <w:szCs w:val="24"/>
              </w:rPr>
            </w:pPr>
            <w:r w:rsidRPr="009140AF">
              <w:rPr>
                <w:rFonts w:cs="Arial"/>
                <w:szCs w:val="24"/>
              </w:rP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2898DE3" w14:textId="77777777" w:rsidR="00A128BB" w:rsidRPr="009140AF" w:rsidRDefault="00A128BB" w:rsidP="00BE19B9">
            <w:pPr>
              <w:pStyle w:val="TableText"/>
              <w:rPr>
                <w:rFonts w:cs="Arial"/>
                <w:szCs w:val="24"/>
              </w:rPr>
            </w:pPr>
            <w:r w:rsidRPr="009140AF">
              <w:rPr>
                <w:rFonts w:cs="Arial"/>
                <w:szCs w:val="24"/>
              </w:rPr>
              <w:t>2</w:t>
            </w:r>
          </w:p>
        </w:tc>
      </w:tr>
      <w:tr w:rsidR="00471CBA" w:rsidRPr="00C8094D" w14:paraId="0327F2B7" w14:textId="77777777" w:rsidTr="006F5AAC">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497D" w:themeFill="text2"/>
          </w:tcPr>
          <w:p w14:paraId="2B555198" w14:textId="01765FAC" w:rsidR="00471CBA" w:rsidRPr="009140AF" w:rsidRDefault="00471CBA" w:rsidP="00471CBA">
            <w:pPr>
              <w:pStyle w:val="TableRowHeader"/>
            </w:pPr>
            <w:r w:rsidRPr="00B161D5">
              <w:t>Design Spaces to Support Wellbeing</w:t>
            </w:r>
          </w:p>
        </w:tc>
      </w:tr>
      <w:tr w:rsidR="00A128BB" w:rsidRPr="00C8094D" w14:paraId="5B314F64"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2E96F654" w14:textId="77777777" w:rsidR="00A128BB" w:rsidRPr="009140AF" w:rsidRDefault="00A128BB" w:rsidP="00BE19B9">
            <w:pPr>
              <w:pStyle w:val="TableText"/>
              <w:rPr>
                <w:rFonts w:cs="Arial"/>
                <w:szCs w:val="24"/>
              </w:rPr>
            </w:pPr>
            <w:r w:rsidRPr="009140AF">
              <w:rPr>
                <w:rFonts w:cs="Arial"/>
                <w:szCs w:val="24"/>
              </w:rPr>
              <w:t>(3)</w:t>
            </w:r>
          </w:p>
        </w:tc>
        <w:tc>
          <w:tcPr>
            <w:tcW w:w="3081" w:type="pct"/>
            <w:tcBorders>
              <w:top w:val="single" w:sz="4" w:space="0" w:color="auto"/>
              <w:bottom w:val="single" w:sz="4" w:space="0" w:color="auto"/>
              <w:right w:val="single" w:sz="4" w:space="0" w:color="auto"/>
            </w:tcBorders>
          </w:tcPr>
          <w:p w14:paraId="7074AF8F" w14:textId="17C6F107" w:rsidR="00A128BB" w:rsidRPr="009140AF" w:rsidRDefault="00A128BB" w:rsidP="00BE19B9">
            <w:pPr>
              <w:pStyle w:val="TableText"/>
              <w:rPr>
                <w:rFonts w:cs="Arial"/>
                <w:szCs w:val="24"/>
              </w:rPr>
            </w:pPr>
            <w:r w:rsidRPr="009140AF">
              <w:rPr>
                <w:rFonts w:cs="Arial"/>
                <w:color w:val="000000" w:themeColor="text1"/>
                <w:szCs w:val="24"/>
              </w:rPr>
              <w:t xml:space="preserve">Provide </w:t>
            </w:r>
            <w:r w:rsidR="004A4E8E">
              <w:rPr>
                <w:rFonts w:cs="Arial"/>
                <w:color w:val="000000" w:themeColor="text1"/>
                <w:szCs w:val="24"/>
              </w:rPr>
              <w:t>s</w:t>
            </w:r>
            <w:r w:rsidRPr="009140AF">
              <w:rPr>
                <w:rFonts w:cs="Arial"/>
                <w:color w:val="000000" w:themeColor="text1"/>
                <w:szCs w:val="24"/>
              </w:rPr>
              <w:t xml:space="preserve">paces to </w:t>
            </w:r>
            <w:r w:rsidR="004A4E8E">
              <w:rPr>
                <w:rFonts w:cs="Arial"/>
                <w:color w:val="000000" w:themeColor="text1"/>
                <w:szCs w:val="24"/>
              </w:rPr>
              <w:t>s</w:t>
            </w:r>
            <w:r w:rsidRPr="009140AF">
              <w:rPr>
                <w:rFonts w:cs="Arial"/>
                <w:color w:val="000000" w:themeColor="text1"/>
                <w:szCs w:val="24"/>
              </w:rPr>
              <w:t xml:space="preserve">upport </w:t>
            </w:r>
            <w:r w:rsidR="004A4E8E">
              <w:rPr>
                <w:rFonts w:cs="Arial"/>
                <w:color w:val="000000" w:themeColor="text1"/>
                <w:szCs w:val="24"/>
              </w:rPr>
              <w:t>n</w:t>
            </w:r>
            <w:r w:rsidRPr="009140AF">
              <w:rPr>
                <w:rFonts w:cs="Arial"/>
                <w:color w:val="000000" w:themeColor="text1"/>
                <w:szCs w:val="24"/>
              </w:rPr>
              <w:t xml:space="preserve">eurocognitive </w:t>
            </w:r>
            <w:r w:rsidR="004A4E8E">
              <w:rPr>
                <w:rFonts w:cs="Arial"/>
                <w:color w:val="000000" w:themeColor="text1"/>
                <w:szCs w:val="24"/>
              </w:rPr>
              <w:t>b</w:t>
            </w:r>
            <w:r w:rsidRPr="009140AF">
              <w:rPr>
                <w:rFonts w:cs="Arial"/>
                <w:color w:val="000000" w:themeColor="text1"/>
                <w:szCs w:val="24"/>
              </w:rPr>
              <w:t>alance</w:t>
            </w:r>
          </w:p>
        </w:tc>
        <w:tc>
          <w:tcPr>
            <w:tcW w:w="480" w:type="pct"/>
            <w:tcBorders>
              <w:top w:val="nil"/>
              <w:left w:val="single" w:sz="4" w:space="0" w:color="auto"/>
              <w:bottom w:val="single" w:sz="4" w:space="0" w:color="auto"/>
              <w:right w:val="single" w:sz="4" w:space="0" w:color="auto"/>
            </w:tcBorders>
            <w:shd w:val="clear" w:color="auto" w:fill="auto"/>
            <w:vAlign w:val="center"/>
          </w:tcPr>
          <w:p w14:paraId="477FF6E3" w14:textId="77777777" w:rsidR="00A128BB" w:rsidRPr="009140AF" w:rsidRDefault="00A128BB" w:rsidP="00BE19B9">
            <w:pPr>
              <w:pStyle w:val="TableText"/>
              <w:rPr>
                <w:rFonts w:cs="Arial"/>
                <w:szCs w:val="24"/>
              </w:rPr>
            </w:pPr>
            <w:r w:rsidRPr="009140AF">
              <w:rPr>
                <w:rFonts w:cs="Arial"/>
                <w:szCs w:val="24"/>
              </w:rPr>
              <w:t>$-$$$</w:t>
            </w:r>
          </w:p>
        </w:tc>
        <w:tc>
          <w:tcPr>
            <w:tcW w:w="378" w:type="pct"/>
            <w:tcBorders>
              <w:top w:val="single" w:sz="4" w:space="0" w:color="auto"/>
              <w:left w:val="single" w:sz="4" w:space="0" w:color="auto"/>
              <w:bottom w:val="single" w:sz="4" w:space="0" w:color="auto"/>
              <w:right w:val="single" w:sz="4" w:space="0" w:color="auto"/>
            </w:tcBorders>
            <w:vAlign w:val="center"/>
          </w:tcPr>
          <w:p w14:paraId="132F38B6"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59F5438" w14:textId="77777777" w:rsidR="00A128BB" w:rsidRPr="009140AF" w:rsidRDefault="00A128BB" w:rsidP="00BE19B9">
            <w:pPr>
              <w:pStyle w:val="TableText"/>
              <w:rPr>
                <w:rFonts w:cs="Arial"/>
                <w:szCs w:val="24"/>
              </w:rPr>
            </w:pPr>
            <w:r w:rsidRPr="009140AF">
              <w:rPr>
                <w:rFonts w:cs="Arial"/>
                <w:szCs w:val="24"/>
              </w:rP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C6EA15E" w14:textId="77777777" w:rsidR="00A128BB" w:rsidRPr="009140AF" w:rsidRDefault="00A128BB" w:rsidP="00BE19B9">
            <w:pPr>
              <w:pStyle w:val="TableText"/>
              <w:rPr>
                <w:rFonts w:cs="Arial"/>
                <w:szCs w:val="24"/>
              </w:rPr>
            </w:pPr>
            <w:r w:rsidRPr="009140AF">
              <w:rPr>
                <w:rFonts w:cs="Arial"/>
                <w:szCs w:val="24"/>
              </w:rPr>
              <w:t>2</w:t>
            </w:r>
          </w:p>
        </w:tc>
      </w:tr>
      <w:tr w:rsidR="00A128BB" w:rsidRPr="00C8094D" w14:paraId="47F06089"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0DBF8AAB" w14:textId="77777777" w:rsidR="00A128BB" w:rsidRPr="009140AF" w:rsidRDefault="00A128BB" w:rsidP="00BE19B9">
            <w:pPr>
              <w:pStyle w:val="TableText"/>
              <w:rPr>
                <w:rFonts w:cs="Arial"/>
                <w:szCs w:val="24"/>
              </w:rPr>
            </w:pPr>
            <w:r w:rsidRPr="009140AF">
              <w:rPr>
                <w:rFonts w:cs="Arial"/>
                <w:szCs w:val="24"/>
              </w:rPr>
              <w:t>(4)</w:t>
            </w:r>
          </w:p>
        </w:tc>
        <w:tc>
          <w:tcPr>
            <w:tcW w:w="3081" w:type="pct"/>
            <w:tcBorders>
              <w:top w:val="single" w:sz="4" w:space="0" w:color="auto"/>
              <w:bottom w:val="single" w:sz="4" w:space="0" w:color="auto"/>
              <w:right w:val="single" w:sz="4" w:space="0" w:color="auto"/>
            </w:tcBorders>
          </w:tcPr>
          <w:p w14:paraId="083785B6" w14:textId="5E4971B8" w:rsidR="00A128BB" w:rsidRPr="009140AF" w:rsidRDefault="00A128BB" w:rsidP="00BE19B9">
            <w:pPr>
              <w:pStyle w:val="TableText"/>
              <w:rPr>
                <w:rFonts w:cs="Arial"/>
                <w:szCs w:val="24"/>
              </w:rPr>
            </w:pPr>
            <w:bookmarkStart w:id="276" w:name="_Hlk172886614"/>
            <w:r w:rsidRPr="009140AF">
              <w:rPr>
                <w:rFonts w:cs="Arial"/>
                <w:szCs w:val="24"/>
              </w:rPr>
              <w:t xml:space="preserve">Incorporate </w:t>
            </w:r>
            <w:r w:rsidR="004A4E8E">
              <w:rPr>
                <w:rFonts w:cs="Arial"/>
                <w:szCs w:val="24"/>
              </w:rPr>
              <w:t>a</w:t>
            </w:r>
            <w:r w:rsidRPr="009140AF">
              <w:rPr>
                <w:rFonts w:cs="Arial"/>
                <w:szCs w:val="24"/>
              </w:rPr>
              <w:t xml:space="preserve">ccess to </w:t>
            </w:r>
            <w:r w:rsidR="004A4E8E">
              <w:rPr>
                <w:rFonts w:cs="Arial"/>
                <w:szCs w:val="24"/>
              </w:rPr>
              <w:t>b</w:t>
            </w:r>
            <w:r>
              <w:rPr>
                <w:rFonts w:cs="Arial"/>
                <w:szCs w:val="24"/>
              </w:rPr>
              <w:t xml:space="preserve">oth </w:t>
            </w:r>
            <w:r w:rsidR="004A4E8E">
              <w:rPr>
                <w:rFonts w:cs="Arial"/>
                <w:szCs w:val="24"/>
              </w:rPr>
              <w:t>i</w:t>
            </w:r>
            <w:r>
              <w:rPr>
                <w:rFonts w:cs="Arial"/>
                <w:szCs w:val="24"/>
              </w:rPr>
              <w:t xml:space="preserve">ndoor and </w:t>
            </w:r>
            <w:r w:rsidR="004A4E8E">
              <w:rPr>
                <w:rFonts w:cs="Arial"/>
                <w:szCs w:val="24"/>
              </w:rPr>
              <w:t>o</w:t>
            </w:r>
            <w:r>
              <w:rPr>
                <w:rFonts w:cs="Arial"/>
                <w:szCs w:val="24"/>
              </w:rPr>
              <w:t xml:space="preserve">utdoor </w:t>
            </w:r>
            <w:bookmarkEnd w:id="276"/>
            <w:r w:rsidR="004A4E8E">
              <w:rPr>
                <w:rFonts w:cs="Arial"/>
                <w:szCs w:val="24"/>
              </w:rPr>
              <w:t>n</w:t>
            </w:r>
            <w:r w:rsidRPr="009140AF">
              <w:rPr>
                <w:rFonts w:cs="Arial"/>
                <w:szCs w:val="24"/>
              </w:rPr>
              <w:t>ature</w:t>
            </w:r>
          </w:p>
        </w:tc>
        <w:tc>
          <w:tcPr>
            <w:tcW w:w="480" w:type="pct"/>
            <w:tcBorders>
              <w:top w:val="nil"/>
              <w:left w:val="single" w:sz="4" w:space="0" w:color="auto"/>
              <w:bottom w:val="single" w:sz="4" w:space="0" w:color="auto"/>
              <w:right w:val="single" w:sz="4" w:space="0" w:color="auto"/>
            </w:tcBorders>
            <w:shd w:val="clear" w:color="auto" w:fill="auto"/>
            <w:vAlign w:val="center"/>
          </w:tcPr>
          <w:p w14:paraId="55114473"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vAlign w:val="center"/>
          </w:tcPr>
          <w:p w14:paraId="127BC580" w14:textId="77777777" w:rsidR="00A128BB" w:rsidRPr="009140AF" w:rsidRDefault="00A128BB" w:rsidP="00BE19B9">
            <w:pPr>
              <w:pStyle w:val="TableText"/>
              <w:rPr>
                <w:rFonts w:cs="Arial"/>
                <w:szCs w:val="24"/>
              </w:rPr>
            </w:pPr>
            <w:r w:rsidRPr="009140AF">
              <w:rPr>
                <w:rFonts w:cs="Arial"/>
                <w:szCs w:val="24"/>
              </w:rP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1546B2F" w14:textId="77777777" w:rsidR="00A128BB" w:rsidRPr="009140AF" w:rsidRDefault="00A128BB" w:rsidP="00BE19B9">
            <w:pPr>
              <w:pStyle w:val="TableText"/>
              <w:rPr>
                <w:rFonts w:cs="Arial"/>
                <w:szCs w:val="24"/>
              </w:rPr>
            </w:pPr>
            <w:r w:rsidRPr="009140AF">
              <w:rPr>
                <w:rFonts w:cs="Arial"/>
                <w:szCs w:val="24"/>
              </w:rP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EA0BFF2" w14:textId="77777777" w:rsidR="00A128BB" w:rsidRPr="009140AF" w:rsidRDefault="00A128BB" w:rsidP="00BE19B9">
            <w:pPr>
              <w:pStyle w:val="TableText"/>
              <w:rPr>
                <w:rFonts w:cs="Arial"/>
                <w:szCs w:val="24"/>
              </w:rPr>
            </w:pPr>
            <w:r w:rsidRPr="009140AF">
              <w:rPr>
                <w:rFonts w:cs="Arial"/>
                <w:szCs w:val="24"/>
              </w:rPr>
              <w:t>1</w:t>
            </w:r>
          </w:p>
        </w:tc>
      </w:tr>
      <w:tr w:rsidR="00A128BB" w:rsidRPr="00C8094D" w14:paraId="377EFEF3"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BB43565" w14:textId="77777777" w:rsidR="00A128BB" w:rsidRPr="009140AF" w:rsidRDefault="00A128BB" w:rsidP="00BE19B9">
            <w:pPr>
              <w:pStyle w:val="TableText"/>
              <w:rPr>
                <w:rFonts w:cs="Arial"/>
                <w:szCs w:val="24"/>
              </w:rPr>
            </w:pPr>
            <w:r w:rsidRPr="009140AF">
              <w:rPr>
                <w:rFonts w:cs="Arial"/>
                <w:szCs w:val="24"/>
              </w:rPr>
              <w:t>(5)</w:t>
            </w:r>
          </w:p>
        </w:tc>
        <w:tc>
          <w:tcPr>
            <w:tcW w:w="3081" w:type="pct"/>
            <w:tcBorders>
              <w:top w:val="single" w:sz="4" w:space="0" w:color="auto"/>
              <w:bottom w:val="single" w:sz="4" w:space="0" w:color="auto"/>
              <w:right w:val="single" w:sz="4" w:space="0" w:color="auto"/>
            </w:tcBorders>
          </w:tcPr>
          <w:p w14:paraId="7B71446C" w14:textId="5A1B9132" w:rsidR="00A128BB" w:rsidRPr="009140AF" w:rsidRDefault="00A128BB" w:rsidP="00BE19B9">
            <w:pPr>
              <w:pStyle w:val="TableText"/>
              <w:rPr>
                <w:rFonts w:cs="Arial"/>
                <w:szCs w:val="24"/>
              </w:rPr>
            </w:pPr>
            <w:r w:rsidRPr="009140AF">
              <w:rPr>
                <w:rFonts w:cs="Arial"/>
                <w:szCs w:val="24"/>
              </w:rPr>
              <w:t xml:space="preserve">Use </w:t>
            </w:r>
            <w:r w:rsidR="004A4E8E">
              <w:rPr>
                <w:rFonts w:cs="Arial"/>
                <w:szCs w:val="24"/>
              </w:rPr>
              <w:t>c</w:t>
            </w:r>
            <w:r w:rsidRPr="009140AF">
              <w:rPr>
                <w:rFonts w:cs="Arial"/>
                <w:szCs w:val="24"/>
              </w:rPr>
              <w:t xml:space="preserve">olors and </w:t>
            </w:r>
            <w:r w:rsidR="004A4E8E">
              <w:rPr>
                <w:rFonts w:cs="Arial"/>
                <w:szCs w:val="24"/>
              </w:rPr>
              <w:t>t</w:t>
            </w:r>
            <w:r w:rsidRPr="009140AF">
              <w:rPr>
                <w:rFonts w:cs="Arial"/>
                <w:szCs w:val="24"/>
              </w:rPr>
              <w:t xml:space="preserve">extures that </w:t>
            </w:r>
            <w:r w:rsidR="004A4E8E">
              <w:rPr>
                <w:rFonts w:cs="Arial"/>
                <w:szCs w:val="24"/>
              </w:rPr>
              <w:t>p</w:t>
            </w:r>
            <w:r w:rsidRPr="009140AF">
              <w:rPr>
                <w:rFonts w:cs="Arial"/>
                <w:szCs w:val="24"/>
              </w:rPr>
              <w:t xml:space="preserve">romote a </w:t>
            </w:r>
            <w:r w:rsidR="004A4E8E">
              <w:rPr>
                <w:rFonts w:cs="Arial"/>
                <w:szCs w:val="24"/>
              </w:rPr>
              <w:t>p</w:t>
            </w:r>
            <w:r w:rsidRPr="009140AF">
              <w:rPr>
                <w:rFonts w:cs="Arial"/>
                <w:szCs w:val="24"/>
              </w:rPr>
              <w:t xml:space="preserve">eaceful </w:t>
            </w:r>
            <w:r w:rsidR="004A4E8E">
              <w:rPr>
                <w:rFonts w:cs="Arial"/>
                <w:szCs w:val="24"/>
              </w:rPr>
              <w:t>e</w:t>
            </w:r>
            <w:r w:rsidRPr="009140AF">
              <w:rPr>
                <w:rFonts w:cs="Arial"/>
                <w:szCs w:val="24"/>
              </w:rPr>
              <w:t>nvironment</w:t>
            </w:r>
          </w:p>
        </w:tc>
        <w:tc>
          <w:tcPr>
            <w:tcW w:w="480" w:type="pct"/>
            <w:tcBorders>
              <w:top w:val="nil"/>
              <w:left w:val="single" w:sz="4" w:space="0" w:color="auto"/>
              <w:bottom w:val="single" w:sz="4" w:space="0" w:color="auto"/>
              <w:right w:val="single" w:sz="4" w:space="0" w:color="auto"/>
            </w:tcBorders>
            <w:shd w:val="clear" w:color="auto" w:fill="auto"/>
            <w:vAlign w:val="center"/>
          </w:tcPr>
          <w:p w14:paraId="435AD041" w14:textId="77777777" w:rsidR="00A128BB" w:rsidRPr="009140AF" w:rsidRDefault="00A128BB" w:rsidP="00BE19B9">
            <w:pPr>
              <w:pStyle w:val="TableText"/>
              <w:rPr>
                <w:rFonts w:cs="Arial"/>
                <w:szCs w:val="24"/>
              </w:rPr>
            </w:pPr>
            <w:r w:rsidRPr="009140AF">
              <w:rPr>
                <w:rFonts w:cs="Arial"/>
                <w:szCs w:val="24"/>
              </w:rPr>
              <w:t>$</w:t>
            </w:r>
          </w:p>
        </w:tc>
        <w:tc>
          <w:tcPr>
            <w:tcW w:w="378" w:type="pct"/>
            <w:tcBorders>
              <w:top w:val="single" w:sz="4" w:space="0" w:color="auto"/>
              <w:left w:val="single" w:sz="4" w:space="0" w:color="auto"/>
              <w:bottom w:val="single" w:sz="4" w:space="0" w:color="auto"/>
              <w:right w:val="single" w:sz="4" w:space="0" w:color="auto"/>
            </w:tcBorders>
            <w:vAlign w:val="center"/>
          </w:tcPr>
          <w:p w14:paraId="0DF4328C"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C43CBAB" w14:textId="77777777" w:rsidR="00A128BB" w:rsidRPr="009140AF" w:rsidRDefault="00A128BB" w:rsidP="00BE19B9">
            <w:pPr>
              <w:pStyle w:val="TableText"/>
              <w:rPr>
                <w:rFonts w:cs="Arial"/>
                <w:szCs w:val="24"/>
              </w:rPr>
            </w:pPr>
            <w:r w:rsidRPr="009140AF">
              <w:rPr>
                <w:rFonts w:cs="Arial"/>
                <w:szCs w:val="24"/>
              </w:rPr>
              <w:t>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FE962C4" w14:textId="77777777" w:rsidR="00A128BB" w:rsidRPr="009140AF" w:rsidRDefault="00A128BB" w:rsidP="00BE19B9">
            <w:pPr>
              <w:pStyle w:val="TableText"/>
              <w:rPr>
                <w:rFonts w:cs="Arial"/>
                <w:szCs w:val="24"/>
              </w:rPr>
            </w:pPr>
            <w:r w:rsidRPr="009140AF">
              <w:rPr>
                <w:rFonts w:cs="Arial"/>
                <w:szCs w:val="24"/>
              </w:rPr>
              <w:t>1</w:t>
            </w:r>
          </w:p>
        </w:tc>
      </w:tr>
      <w:tr w:rsidR="00471CBA" w:rsidRPr="00C8094D" w14:paraId="1151717C" w14:textId="77777777" w:rsidTr="006F5AAC">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497D" w:themeFill="text2"/>
          </w:tcPr>
          <w:p w14:paraId="5DF168E1" w14:textId="2AEA10AA" w:rsidR="00471CBA" w:rsidRPr="009140AF" w:rsidRDefault="00471CBA" w:rsidP="00471CBA">
            <w:pPr>
              <w:pStyle w:val="TableRowHeader"/>
            </w:pPr>
            <w:r w:rsidRPr="00B161D5">
              <w:t>Design Spaces to Facilitate Positive Social Interaction</w:t>
            </w:r>
          </w:p>
        </w:tc>
      </w:tr>
      <w:tr w:rsidR="00A128BB" w:rsidRPr="00C8094D" w14:paraId="66C9AD04"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7C7B4B2E" w14:textId="77777777" w:rsidR="00A128BB" w:rsidRPr="009140AF" w:rsidRDefault="00A128BB" w:rsidP="00BE19B9">
            <w:pPr>
              <w:pStyle w:val="TableText"/>
              <w:rPr>
                <w:rFonts w:cs="Arial"/>
                <w:szCs w:val="24"/>
              </w:rPr>
            </w:pPr>
            <w:r w:rsidRPr="009140AF">
              <w:rPr>
                <w:rFonts w:cs="Arial"/>
                <w:szCs w:val="24"/>
              </w:rPr>
              <w:t>(6)</w:t>
            </w:r>
          </w:p>
        </w:tc>
        <w:tc>
          <w:tcPr>
            <w:tcW w:w="3081" w:type="pct"/>
            <w:tcBorders>
              <w:top w:val="single" w:sz="4" w:space="0" w:color="auto"/>
              <w:bottom w:val="single" w:sz="4" w:space="0" w:color="auto"/>
              <w:right w:val="single" w:sz="4" w:space="0" w:color="auto"/>
            </w:tcBorders>
          </w:tcPr>
          <w:p w14:paraId="21001933" w14:textId="14C81BB0" w:rsidR="00A128BB" w:rsidRPr="009140AF" w:rsidRDefault="00A128BB" w:rsidP="00BE19B9">
            <w:pPr>
              <w:pStyle w:val="TableText"/>
              <w:rPr>
                <w:rFonts w:cs="Arial"/>
                <w:szCs w:val="24"/>
              </w:rPr>
            </w:pPr>
            <w:r w:rsidRPr="009140AF">
              <w:rPr>
                <w:rFonts w:cs="Arial"/>
                <w:szCs w:val="24"/>
              </w:rPr>
              <w:t xml:space="preserve">Provide </w:t>
            </w:r>
            <w:r w:rsidR="00471CBA">
              <w:rPr>
                <w:rFonts w:cs="Arial"/>
                <w:szCs w:val="24"/>
              </w:rPr>
              <w:t>d</w:t>
            </w:r>
            <w:r w:rsidRPr="009140AF">
              <w:rPr>
                <w:rFonts w:cs="Arial"/>
                <w:szCs w:val="24"/>
              </w:rPr>
              <w:t xml:space="preserve">iverse </w:t>
            </w:r>
            <w:r w:rsidR="00471CBA">
              <w:rPr>
                <w:rFonts w:cs="Arial"/>
                <w:szCs w:val="24"/>
              </w:rPr>
              <w:t>c</w:t>
            </w:r>
            <w:r w:rsidRPr="009140AF">
              <w:rPr>
                <w:rFonts w:cs="Arial"/>
                <w:szCs w:val="24"/>
              </w:rPr>
              <w:t xml:space="preserve">ommunal </w:t>
            </w:r>
            <w:r w:rsidR="00471CBA">
              <w:rPr>
                <w:rFonts w:cs="Arial"/>
                <w:szCs w:val="24"/>
              </w:rPr>
              <w:t>s</w:t>
            </w:r>
            <w:r w:rsidRPr="009140AF">
              <w:rPr>
                <w:rFonts w:cs="Arial"/>
                <w:szCs w:val="24"/>
              </w:rPr>
              <w:t>paces</w:t>
            </w:r>
          </w:p>
        </w:tc>
        <w:tc>
          <w:tcPr>
            <w:tcW w:w="480" w:type="pct"/>
            <w:tcBorders>
              <w:top w:val="nil"/>
              <w:left w:val="single" w:sz="4" w:space="0" w:color="auto"/>
              <w:bottom w:val="single" w:sz="4" w:space="0" w:color="auto"/>
              <w:right w:val="single" w:sz="4" w:space="0" w:color="auto"/>
            </w:tcBorders>
            <w:shd w:val="clear" w:color="auto" w:fill="auto"/>
            <w:vAlign w:val="center"/>
          </w:tcPr>
          <w:p w14:paraId="1BD38C2D"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vAlign w:val="center"/>
          </w:tcPr>
          <w:p w14:paraId="1DB55B3D"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179F22D" w14:textId="77777777" w:rsidR="00A128BB" w:rsidRPr="009140AF" w:rsidRDefault="00A128BB" w:rsidP="00BE19B9">
            <w:pPr>
              <w:pStyle w:val="TableText"/>
              <w:rPr>
                <w:rFonts w:cs="Arial"/>
                <w:szCs w:val="24"/>
              </w:rPr>
            </w:pPr>
            <w:r w:rsidRPr="009140AF">
              <w:rPr>
                <w:rFonts w:cs="Arial"/>
                <w:szCs w:val="24"/>
              </w:rPr>
              <w:t>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E4C78F8" w14:textId="77777777" w:rsidR="00A128BB" w:rsidRPr="009140AF" w:rsidRDefault="00A128BB" w:rsidP="00BE19B9">
            <w:pPr>
              <w:pStyle w:val="TableText"/>
              <w:rPr>
                <w:rFonts w:cs="Arial"/>
                <w:szCs w:val="24"/>
              </w:rPr>
            </w:pPr>
            <w:r w:rsidRPr="009140AF">
              <w:rPr>
                <w:rFonts w:cs="Arial"/>
                <w:szCs w:val="24"/>
              </w:rPr>
              <w:t>1</w:t>
            </w:r>
          </w:p>
        </w:tc>
      </w:tr>
      <w:tr w:rsidR="00A128BB" w:rsidRPr="00C8094D" w14:paraId="18147B39" w14:textId="77777777" w:rsidTr="006F5AAC">
        <w:trPr>
          <w:cantSplit/>
          <w:trHeight w:val="255"/>
          <w:tblHeader/>
          <w:jc w:val="center"/>
        </w:trPr>
        <w:tc>
          <w:tcPr>
            <w:tcW w:w="305" w:type="pct"/>
            <w:tcBorders>
              <w:top w:val="single" w:sz="4" w:space="0" w:color="auto"/>
              <w:left w:val="single" w:sz="4" w:space="0" w:color="auto"/>
              <w:bottom w:val="single" w:sz="4" w:space="0" w:color="auto"/>
            </w:tcBorders>
            <w:shd w:val="clear" w:color="auto" w:fill="auto"/>
          </w:tcPr>
          <w:p w14:paraId="61FF5402" w14:textId="77777777" w:rsidR="00A128BB" w:rsidRPr="009140AF" w:rsidRDefault="00A128BB" w:rsidP="00BE19B9">
            <w:pPr>
              <w:pStyle w:val="TableText"/>
              <w:rPr>
                <w:rFonts w:cs="Arial"/>
                <w:szCs w:val="24"/>
              </w:rPr>
            </w:pPr>
            <w:r w:rsidRPr="009140AF">
              <w:rPr>
                <w:rFonts w:cs="Arial"/>
                <w:szCs w:val="24"/>
              </w:rPr>
              <w:t>(7)</w:t>
            </w:r>
          </w:p>
        </w:tc>
        <w:tc>
          <w:tcPr>
            <w:tcW w:w="3081" w:type="pct"/>
            <w:tcBorders>
              <w:top w:val="single" w:sz="4" w:space="0" w:color="auto"/>
              <w:bottom w:val="single" w:sz="4" w:space="0" w:color="auto"/>
              <w:right w:val="single" w:sz="4" w:space="0" w:color="auto"/>
            </w:tcBorders>
          </w:tcPr>
          <w:p w14:paraId="1B46BD9A" w14:textId="597EFE7A" w:rsidR="00A128BB" w:rsidRPr="009140AF" w:rsidRDefault="00A128BB" w:rsidP="00BE19B9">
            <w:pPr>
              <w:pStyle w:val="TableText"/>
              <w:rPr>
                <w:rFonts w:cs="Arial"/>
                <w:szCs w:val="24"/>
              </w:rPr>
            </w:pPr>
            <w:r w:rsidRPr="009140AF">
              <w:rPr>
                <w:rFonts w:cs="Arial"/>
                <w:szCs w:val="24"/>
              </w:rPr>
              <w:t xml:space="preserve">Design </w:t>
            </w:r>
            <w:r w:rsidR="00471CBA">
              <w:rPr>
                <w:rFonts w:cs="Arial"/>
                <w:szCs w:val="24"/>
              </w:rPr>
              <w:t>s</w:t>
            </w:r>
            <w:r w:rsidRPr="009140AF">
              <w:rPr>
                <w:rFonts w:cs="Arial"/>
                <w:szCs w:val="24"/>
              </w:rPr>
              <w:t xml:space="preserve">paces for </w:t>
            </w:r>
            <w:r w:rsidR="00471CBA">
              <w:rPr>
                <w:rFonts w:cs="Arial"/>
                <w:szCs w:val="24"/>
              </w:rPr>
              <w:t>e</w:t>
            </w:r>
            <w:r w:rsidRPr="009140AF">
              <w:rPr>
                <w:rFonts w:cs="Arial"/>
                <w:szCs w:val="24"/>
              </w:rPr>
              <w:t xml:space="preserve">asy </w:t>
            </w:r>
            <w:r w:rsidR="00471CBA">
              <w:rPr>
                <w:rFonts w:cs="Arial"/>
                <w:szCs w:val="24"/>
              </w:rPr>
              <w:t>m</w:t>
            </w:r>
            <w:r w:rsidRPr="009140AF">
              <w:rPr>
                <w:rFonts w:cs="Arial"/>
                <w:szCs w:val="24"/>
              </w:rPr>
              <w:t>ovement</w:t>
            </w:r>
          </w:p>
        </w:tc>
        <w:tc>
          <w:tcPr>
            <w:tcW w:w="480" w:type="pct"/>
            <w:tcBorders>
              <w:top w:val="nil"/>
              <w:left w:val="single" w:sz="4" w:space="0" w:color="auto"/>
              <w:bottom w:val="single" w:sz="4" w:space="0" w:color="auto"/>
              <w:right w:val="single" w:sz="4" w:space="0" w:color="auto"/>
            </w:tcBorders>
            <w:shd w:val="clear" w:color="auto" w:fill="auto"/>
            <w:vAlign w:val="center"/>
          </w:tcPr>
          <w:p w14:paraId="03E46D81"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vAlign w:val="center"/>
          </w:tcPr>
          <w:p w14:paraId="6D4995F3" w14:textId="77777777" w:rsidR="00A128BB" w:rsidRPr="009140AF" w:rsidRDefault="00A128BB" w:rsidP="00BE19B9">
            <w:pPr>
              <w:pStyle w:val="TableText"/>
              <w:rPr>
                <w:rFonts w:cs="Arial"/>
                <w:szCs w:val="24"/>
              </w:rPr>
            </w:pPr>
            <w:r w:rsidRPr="009140AF">
              <w:rPr>
                <w:rFonts w:cs="Arial"/>
                <w:szCs w:val="24"/>
              </w:rPr>
              <w:t>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B0A6BEF" w14:textId="77777777" w:rsidR="00A128BB" w:rsidRPr="009140AF" w:rsidRDefault="00A128BB" w:rsidP="00BE19B9">
            <w:pPr>
              <w:pStyle w:val="TableText"/>
              <w:rPr>
                <w:rFonts w:cs="Arial"/>
                <w:szCs w:val="24"/>
              </w:rPr>
            </w:pPr>
            <w:r w:rsidRPr="009140AF">
              <w:rPr>
                <w:rFonts w:cs="Arial"/>
                <w:szCs w:val="24"/>
              </w:rP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9DB95F4" w14:textId="77777777" w:rsidR="00A128BB" w:rsidRPr="009140AF" w:rsidRDefault="00A128BB" w:rsidP="00BE19B9">
            <w:pPr>
              <w:pStyle w:val="TableText"/>
              <w:rPr>
                <w:rFonts w:cs="Arial"/>
                <w:szCs w:val="24"/>
              </w:rPr>
            </w:pPr>
            <w:r w:rsidRPr="009140AF">
              <w:rPr>
                <w:rFonts w:cs="Arial"/>
                <w:szCs w:val="24"/>
              </w:rPr>
              <w:t>2</w:t>
            </w:r>
          </w:p>
        </w:tc>
      </w:tr>
      <w:tr w:rsidR="00A128BB" w:rsidRPr="00C8094D" w14:paraId="68BAB32D" w14:textId="77777777" w:rsidTr="006F5AAC">
        <w:trPr>
          <w:cantSplit/>
          <w:trHeight w:val="125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4C7FB6B" w14:textId="77777777" w:rsidR="00A128BB" w:rsidRPr="00FF51E8" w:rsidRDefault="00A128BB" w:rsidP="00BE19B9">
            <w:pPr>
              <w:rPr>
                <w:rFonts w:ascii="Arial" w:hAnsi="Arial" w:cs="Arial"/>
                <w:b/>
                <w:bCs/>
                <w:sz w:val="20"/>
                <w:szCs w:val="20"/>
                <w:u w:val="single"/>
              </w:rPr>
            </w:pPr>
            <w:r w:rsidRPr="00FF51E8">
              <w:rPr>
                <w:rFonts w:ascii="Arial" w:hAnsi="Arial" w:cs="Arial"/>
                <w:b/>
                <w:bCs/>
                <w:sz w:val="20"/>
                <w:szCs w:val="20"/>
                <w:u w:val="single"/>
              </w:rPr>
              <w:t>Key:</w:t>
            </w:r>
          </w:p>
          <w:p w14:paraId="67051D2C" w14:textId="77777777" w:rsidR="00A128BB" w:rsidRPr="00FF51E8" w:rsidRDefault="00A128BB" w:rsidP="00BE19B9">
            <w:pPr>
              <w:rPr>
                <w:rFonts w:ascii="Arial" w:hAnsi="Arial" w:cs="Arial"/>
                <w:sz w:val="20"/>
                <w:szCs w:val="20"/>
              </w:rPr>
            </w:pPr>
            <w:r w:rsidRPr="00FF51E8">
              <w:rPr>
                <w:rFonts w:ascii="Arial" w:hAnsi="Arial" w:cs="Arial"/>
                <w:b/>
                <w:bCs/>
                <w:sz w:val="20"/>
                <w:szCs w:val="20"/>
              </w:rPr>
              <w:t>Cost:</w:t>
            </w:r>
            <w:r w:rsidRPr="00FF51E8">
              <w:rPr>
                <w:rFonts w:ascii="Arial" w:hAnsi="Arial" w:cs="Arial"/>
                <w:sz w:val="20"/>
                <w:szCs w:val="20"/>
              </w:rPr>
              <w:t xml:space="preserve"> 0 = no cost; $ = low cost (&lt;$25k), $$ = medium cost ($25-100k), $$$ = high cost (&gt;$100k) </w:t>
            </w:r>
          </w:p>
          <w:p w14:paraId="4A3D1100" w14:textId="6A004F2D" w:rsidR="00A128BB" w:rsidRPr="00FF51E8" w:rsidRDefault="00A128BB" w:rsidP="00BE19B9">
            <w:pPr>
              <w:rPr>
                <w:rFonts w:ascii="Arial" w:hAnsi="Arial" w:cs="Arial"/>
                <w:sz w:val="20"/>
                <w:szCs w:val="20"/>
              </w:rPr>
            </w:pPr>
            <w:r w:rsidRPr="00FF51E8">
              <w:rPr>
                <w:rFonts w:ascii="Arial" w:hAnsi="Arial" w:cs="Arial"/>
                <w:b/>
                <w:bCs/>
                <w:sz w:val="20"/>
                <w:szCs w:val="20"/>
              </w:rPr>
              <w:t xml:space="preserve">Implementation Timeframe: </w:t>
            </w:r>
            <w:r w:rsidRPr="00FF51E8">
              <w:rPr>
                <w:rFonts w:ascii="Arial" w:hAnsi="Arial" w:cs="Arial"/>
                <w:sz w:val="20"/>
                <w:szCs w:val="20"/>
              </w:rPr>
              <w:t>1 = near-term (0-3 months); 2 = medium-term (4-12 months); 3 = long-term (</w:t>
            </w:r>
            <w:r w:rsidR="00A83553">
              <w:rPr>
                <w:rFonts w:ascii="Arial" w:hAnsi="Arial" w:cs="Arial"/>
                <w:sz w:val="20"/>
                <w:szCs w:val="20"/>
              </w:rPr>
              <w:t>&gt;</w:t>
            </w:r>
            <w:r w:rsidRPr="00FF51E8">
              <w:rPr>
                <w:rFonts w:ascii="Arial" w:hAnsi="Arial" w:cs="Arial"/>
                <w:sz w:val="20"/>
                <w:szCs w:val="20"/>
              </w:rPr>
              <w:t>12 months)</w:t>
            </w:r>
          </w:p>
          <w:p w14:paraId="23C21C0C" w14:textId="77777777" w:rsidR="00A128BB" w:rsidRPr="00FF51E8" w:rsidRDefault="00A128BB" w:rsidP="00BE19B9">
            <w:pPr>
              <w:rPr>
                <w:sz w:val="20"/>
                <w:szCs w:val="22"/>
              </w:rPr>
            </w:pPr>
            <w:r w:rsidRPr="00FF51E8">
              <w:rPr>
                <w:rFonts w:ascii="Arial" w:hAnsi="Arial" w:cs="Arial"/>
                <w:b/>
                <w:bCs/>
                <w:sz w:val="20"/>
                <w:szCs w:val="20"/>
              </w:rPr>
              <w:t>Ease of Implementation:</w:t>
            </w:r>
            <w:r w:rsidRPr="00FF51E8">
              <w:rPr>
                <w:rFonts w:ascii="Arial" w:hAnsi="Arial" w:cs="Arial"/>
                <w:sz w:val="20"/>
                <w:szCs w:val="20"/>
              </w:rPr>
              <w:t xml:space="preserve"> 1= easier to implement; 3 = more difficult to implement</w:t>
            </w:r>
          </w:p>
        </w:tc>
      </w:tr>
    </w:tbl>
    <w:p w14:paraId="24AA7AA7" w14:textId="77777777" w:rsidR="00A128BB" w:rsidRPr="004F4834" w:rsidRDefault="00A128BB" w:rsidP="00A128BB">
      <w:pPr>
        <w:pStyle w:val="Heading3"/>
      </w:pPr>
      <w:r w:rsidRPr="004F4834">
        <w:t>Barriers and Challenges</w:t>
      </w:r>
    </w:p>
    <w:p w14:paraId="3B3024B9" w14:textId="467FE520" w:rsidR="00A128BB" w:rsidRDefault="00A128BB" w:rsidP="006D7DE6">
      <w:pPr>
        <w:pStyle w:val="BodyTextFirstIndent"/>
      </w:pPr>
      <w:r>
        <w:t>The greatest challenge to d</w:t>
      </w:r>
      <w:r w:rsidRPr="00722C67">
        <w:t xml:space="preserve">esigning </w:t>
      </w:r>
      <w:r>
        <w:t xml:space="preserve">schools that </w:t>
      </w:r>
      <w:r w:rsidRPr="00722C67">
        <w:t xml:space="preserve">foster </w:t>
      </w:r>
      <w:r>
        <w:t xml:space="preserve">a </w:t>
      </w:r>
      <w:r w:rsidRPr="00722C67">
        <w:t>peaceful</w:t>
      </w:r>
      <w:r>
        <w:t xml:space="preserve"> school community lies in the existing infrastructure of Massachusetts school buildings. School building layouts tend to be static. Changing built environment features such as room and hallway layouts to reduce crowding and facilitate easy movement of students</w:t>
      </w:r>
      <w:r w:rsidR="00C41BDF">
        <w:t xml:space="preserve"> and staff</w:t>
      </w:r>
      <w:r>
        <w:t xml:space="preserve"> may only be possible with costly renovations. Additionally, many schools face crowding challenges and might not have the physical space to provide students with options for calming and activation without extensive renovations. Environmental stressors can also be a challenge for older school buildings to address. See </w:t>
      </w:r>
      <w:hyperlink w:anchor="Objective_2a" w:history="1">
        <w:r w:rsidRPr="00BC4C07">
          <w:rPr>
            <w:rStyle w:val="Hyperlink"/>
          </w:rPr>
          <w:t>Objective 2a. Improve Air Quality</w:t>
        </w:r>
      </w:hyperlink>
      <w:r w:rsidR="00BC4C07">
        <w:t>,</w:t>
      </w:r>
      <w:r>
        <w:t xml:space="preserve"> </w:t>
      </w:r>
      <w:hyperlink w:anchor="Objective_2c" w:history="1">
        <w:r w:rsidRPr="00BC4C07">
          <w:rPr>
            <w:rStyle w:val="Hyperlink"/>
          </w:rPr>
          <w:t>Objective 2c. Maintain Thermal Comfort</w:t>
        </w:r>
      </w:hyperlink>
      <w:r w:rsidR="00BC4C07">
        <w:t>,</w:t>
      </w:r>
      <w:r>
        <w:t xml:space="preserve"> and </w:t>
      </w:r>
      <w:hyperlink w:anchor="Objective_2i" w:history="1">
        <w:r w:rsidRPr="00BC4C07">
          <w:rPr>
            <w:rStyle w:val="Hyperlink"/>
          </w:rPr>
          <w:t>Objective 2i. Create a Productive Learning Environment for All Students</w:t>
        </w:r>
      </w:hyperlink>
      <w:r>
        <w:t xml:space="preserve"> </w:t>
      </w:r>
      <w:r w:rsidRPr="000870C0">
        <w:t xml:space="preserve">for additional </w:t>
      </w:r>
      <w:r>
        <w:t>relevant barriers and challenges.</w:t>
      </w:r>
    </w:p>
    <w:p w14:paraId="68C31BF6" w14:textId="62FA5B0A" w:rsidR="00D95E0E" w:rsidRDefault="00D95E0E" w:rsidP="006D7DE6">
      <w:pPr>
        <w:pStyle w:val="BodyTextFirstIndent"/>
      </w:pPr>
    </w:p>
    <w:p w14:paraId="67C7C309" w14:textId="2634C53E" w:rsidR="00265F56" w:rsidRDefault="00265F56" w:rsidP="006D7DE6">
      <w:pPr>
        <w:pStyle w:val="BodyTextFirstIndent"/>
        <w:sectPr w:rsidR="00265F56" w:rsidSect="009B66D5">
          <w:headerReference w:type="even" r:id="rId78"/>
          <w:headerReference w:type="default" r:id="rId79"/>
          <w:footerReference w:type="default" r:id="rId80"/>
          <w:headerReference w:type="first" r:id="rId81"/>
          <w:pgSz w:w="12240" w:h="15840"/>
          <w:pgMar w:top="1440" w:right="1440" w:bottom="1440" w:left="1440" w:header="720" w:footer="720" w:gutter="0"/>
          <w:cols w:space="720"/>
          <w:docGrid w:linePitch="360"/>
        </w:sectPr>
      </w:pPr>
    </w:p>
    <w:p w14:paraId="3934D6B8" w14:textId="3BA9FEE4" w:rsidR="00CE6BDD" w:rsidRDefault="00395C33" w:rsidP="00A90558">
      <w:pPr>
        <w:pStyle w:val="Heading1"/>
      </w:pPr>
      <w:bookmarkStart w:id="277" w:name="_Toc171518379"/>
      <w:bookmarkStart w:id="278" w:name="_Toc171519332"/>
      <w:bookmarkStart w:id="279" w:name="_Toc193116911"/>
      <w:r>
        <w:rPr>
          <w:noProof/>
        </w:rPr>
        <w:lastRenderedPageBreak/>
        <w:drawing>
          <wp:anchor distT="0" distB="182880" distL="114300" distR="114300" simplePos="0" relativeHeight="251619840" behindDoc="0" locked="0" layoutInCell="1" allowOverlap="1" wp14:anchorId="1ECB0D5F" wp14:editId="2AE1BAED">
            <wp:simplePos x="0" y="0"/>
            <wp:positionH relativeFrom="margin">
              <wp:align>right</wp:align>
            </wp:positionH>
            <wp:positionV relativeFrom="paragraph">
              <wp:posOffset>381000</wp:posOffset>
            </wp:positionV>
            <wp:extent cx="5939028" cy="3959352"/>
            <wp:effectExtent l="0" t="0" r="5080" b="3175"/>
            <wp:wrapSquare wrapText="bothSides"/>
            <wp:docPr id="2002365669" name="Picture 4" descr="Picture of a diverse group of happy schoolchildren, foregrounded by a smiling teacher with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65669" name="Picture 4" descr="Picture of a diverse group of happy schoolchildren, foregrounded by a smiling teacher with a laptop."/>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5939028" cy="39593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3C24" w:rsidRPr="001F3C24">
        <w:t>I</w:t>
      </w:r>
      <w:r w:rsidR="008C7139">
        <w:t>V</w:t>
      </w:r>
      <w:r w:rsidR="001F3C24" w:rsidRPr="001F3C24">
        <w:t>. Goal 3:</w:t>
      </w:r>
      <w:r w:rsidR="008A6ABA">
        <w:t xml:space="preserve"> Achieve Equitable Outcomes for All Students</w:t>
      </w:r>
      <w:bookmarkEnd w:id="277"/>
      <w:bookmarkEnd w:id="278"/>
      <w:bookmarkEnd w:id="279"/>
    </w:p>
    <w:p w14:paraId="3443AB12" w14:textId="39C67CE1" w:rsidR="00E11E0C" w:rsidRDefault="00E446EB" w:rsidP="006D7DE6">
      <w:pPr>
        <w:pStyle w:val="BodyTextFirstIndent"/>
      </w:pPr>
      <w:r>
        <w:t>Achieving equitable outcomes for all students</w:t>
      </w:r>
      <w:r w:rsidR="002E519B">
        <w:t xml:space="preserve"> </w:t>
      </w:r>
      <w:r w:rsidR="00741993">
        <w:t xml:space="preserve">is </w:t>
      </w:r>
      <w:r w:rsidR="002E519B">
        <w:t xml:space="preserve">essential </w:t>
      </w:r>
      <w:r w:rsidR="00F574D2">
        <w:t xml:space="preserve">to accomplishing the goal of having </w:t>
      </w:r>
      <w:r w:rsidR="00994080">
        <w:t>g</w:t>
      </w:r>
      <w:r w:rsidR="00146C60">
        <w:t xml:space="preserve">reen and </w:t>
      </w:r>
      <w:r w:rsidR="00994080">
        <w:t>h</w:t>
      </w:r>
      <w:r w:rsidR="00146C60">
        <w:t xml:space="preserve">ealthy </w:t>
      </w:r>
      <w:r w:rsidR="00994080">
        <w:t xml:space="preserve">schools </w:t>
      </w:r>
      <w:r w:rsidR="00146C60">
        <w:t xml:space="preserve">throughout the Commonwealth of Massachusetts. </w:t>
      </w:r>
      <w:r w:rsidR="00A97A82">
        <w:t>For too long</w:t>
      </w:r>
      <w:r w:rsidR="00932521">
        <w:t>,</w:t>
      </w:r>
      <w:r w:rsidR="00A97A82">
        <w:t xml:space="preserve"> inequitable distribution of funding</w:t>
      </w:r>
      <w:r w:rsidR="000A4255">
        <w:t xml:space="preserve"> and resources ha</w:t>
      </w:r>
      <w:r w:rsidR="0016522B">
        <w:t>s</w:t>
      </w:r>
      <w:r w:rsidR="000A4255">
        <w:t xml:space="preserve"> led to inequitable outcomes for marginalized students, including those with special education needs.</w:t>
      </w:r>
      <w:r w:rsidR="000371EA">
        <w:t xml:space="preserve"> These ine</w:t>
      </w:r>
      <w:r w:rsidR="00EF6D87">
        <w:t>quities are the result of intentional choices that have been made by policymakers and school districts</w:t>
      </w:r>
      <w:r w:rsidR="005D3CCC">
        <w:t xml:space="preserve"> since public schools first entered the Commonwealth.</w:t>
      </w:r>
      <w:r w:rsidR="002F3963">
        <w:fldChar w:fldCharType="begin"/>
      </w:r>
      <w:r w:rsidR="00504E80">
        <w:instrText xml:space="preserve"> ADDIN ZOTERO_ITEM CSL_CITATION {"citationID":"a19hobv2ia9","properties":{"formattedCitation":"\\super 147\\uc0\\u8211{}149\\nosupersub{}","plainCitation":"147–149","noteIndex":0},"citationItems":[{"id":830,"uris":["http://zotero.org/groups/5563646/items/7HBXW6ZC"],"itemData":{"id":830,"type":"post-weblog","abstract":"Educational inequity has negatively impacted public schools in Massachusetts for decades. By implementing “controlled choice” and other initiatives, has the Cambridge public school system finally solved the problem?","container-title":"Harvard Political Review","language":"en-US","title":"Massachusetts’ Public Schools Have Been Grappling with Educational Inequity for Decades. Cambridge has a Solution.","URL":"https://harvardpolitics.com/controlled-choice-cambridge/","author":[{"family":"Chaaraoui","given":"Layla"}],"accessed":{"date-parts":[["2024",7,24]]},"issued":{"date-parts":[["2024",1,5]]}}},{"id":829,"uris":["http://zotero.org/groups/5563646/items/TWKTRP5M"],"itemData":{"id":829,"type":"webpage","container-title":"BostonGlobe.com","language":"en-US","title":"Massachusetts’ public schools are highly segregated. It’s time we treated that like the crisis it is - The Boston Globe","URL":"https://www.bostonglobe.com/2020/12/11/opinion/massachusetts-public-schools-are-highly-segregated-its-time-we-treated-that-like-crisis-it-is/","author":[{"family":"Scharfenberg","given":"David"}],"issued":{"date-parts":[["2020",12,11]]}}},{"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rsidR="002F3963">
        <w:fldChar w:fldCharType="separate"/>
      </w:r>
      <w:r w:rsidR="00504E80" w:rsidRPr="00504E80">
        <w:rPr>
          <w:rFonts w:cs="Arial"/>
          <w:vertAlign w:val="superscript"/>
        </w:rPr>
        <w:t>147–149</w:t>
      </w:r>
      <w:r w:rsidR="002F3963">
        <w:fldChar w:fldCharType="end"/>
      </w:r>
      <w:r w:rsidR="005D3CCC">
        <w:t xml:space="preserve"> </w:t>
      </w:r>
      <w:r w:rsidR="00BB6060">
        <w:t>To mitigate</w:t>
      </w:r>
      <w:r w:rsidR="00735477">
        <w:t xml:space="preserve"> the inequities </w:t>
      </w:r>
      <w:r w:rsidR="00631B2E">
        <w:t>previously</w:t>
      </w:r>
      <w:r w:rsidR="00D46D8B">
        <w:t xml:space="preserve"> inherent in</w:t>
      </w:r>
      <w:r w:rsidR="00631B2E">
        <w:t xml:space="preserve"> </w:t>
      </w:r>
      <w:r w:rsidR="00614460">
        <w:t>school systems</w:t>
      </w:r>
      <w:r w:rsidR="009B5EB2">
        <w:t>, policymakers and school districts must be intentional about centering equity when</w:t>
      </w:r>
      <w:r w:rsidR="005D085B">
        <w:t xml:space="preserve"> d</w:t>
      </w:r>
      <w:r w:rsidR="00AB0CC1">
        <w:t xml:space="preserve">ispersing funding and resources for capital improvement projects. </w:t>
      </w:r>
    </w:p>
    <w:p w14:paraId="73AEDF16" w14:textId="6E529311" w:rsidR="00AB0CC1" w:rsidRDefault="008F1491" w:rsidP="006D7DE6">
      <w:pPr>
        <w:pStyle w:val="BodyTextFirstIndent"/>
      </w:pPr>
      <w:r>
        <w:t>Segregation o</w:t>
      </w:r>
      <w:r w:rsidR="00911E5E">
        <w:t>f Black and Latino students is a growing issue</w:t>
      </w:r>
      <w:r w:rsidR="00445747">
        <w:t xml:space="preserve"> throughout Massachusetts</w:t>
      </w:r>
      <w:r w:rsidR="00474C71">
        <w:t>.</w:t>
      </w:r>
      <w:r w:rsidR="00924693">
        <w:fldChar w:fldCharType="begin"/>
      </w:r>
      <w:r w:rsidR="000947BE">
        <w:instrText xml:space="preserve"> ADDIN ZOTERO_ITEM CSL_CITATION {"citationID":"a23njftp1hc","properties":{"formattedCitation":"\\super 148\\nosupersub{}","plainCitation":"148","noteIndex":0},"citationItems":[{"id":829,"uris":["http://zotero.org/groups/5563646/items/TWKTRP5M"],"itemData":{"id":829,"type":"webpage","container-title":"BostonGlobe.com","language":"en-US","title":"Massachusetts’ public schools are highly segregated. It’s time we treated that like the crisis it is - The Boston Globe","URL":"https://www.bostonglobe.com/2020/12/11/opinion/massachusetts-public-schools-are-highly-segregated-its-time-we-treated-that-like-crisis-it-is/","author":[{"family":"Scharfenberg","given":"David"}],"issued":{"date-parts":[["2020",12,11]]}}}],"schema":"https://github.com/citation-style-language/schema/raw/master/csl-citation.json"} </w:instrText>
      </w:r>
      <w:r w:rsidR="00924693">
        <w:fldChar w:fldCharType="separate"/>
      </w:r>
      <w:r w:rsidR="000947BE" w:rsidRPr="000947BE">
        <w:rPr>
          <w:rFonts w:cs="Arial"/>
          <w:vertAlign w:val="superscript"/>
        </w:rPr>
        <w:t>148</w:t>
      </w:r>
      <w:r w:rsidR="00924693">
        <w:fldChar w:fldCharType="end"/>
      </w:r>
      <w:r w:rsidR="00DA29F2">
        <w:t xml:space="preserve"> This is evident in the number of </w:t>
      </w:r>
      <w:r w:rsidR="00DB3922">
        <w:t>schools</w:t>
      </w:r>
      <w:r w:rsidR="002B5F71">
        <w:t xml:space="preserve"> experiencing racial isolation and </w:t>
      </w:r>
      <w:r w:rsidR="002111A5">
        <w:t>in the</w:t>
      </w:r>
      <w:r w:rsidR="00A82075">
        <w:t xml:space="preserve"> </w:t>
      </w:r>
      <w:r w:rsidR="00741993">
        <w:t>over-</w:t>
      </w:r>
      <w:r w:rsidR="00A82075">
        <w:t xml:space="preserve">placement of Black and Latino students in </w:t>
      </w:r>
      <w:r w:rsidR="008E4D25">
        <w:t>more restrictive learning environments.</w:t>
      </w:r>
      <w:r w:rsidR="00226460">
        <w:fldChar w:fldCharType="begin"/>
      </w:r>
      <w:r w:rsidR="00FA1348">
        <w:instrText xml:space="preserve"> ADDIN ZOTERO_ITEM CSL_CITATION {"citationID":"a1dq0rl3c0q","properties":{"formattedCitation":"\\super 148,149\\nosupersub{}","plainCitation":"148,149","noteIndex":0},"citationItems":[{"id":829,"uris":["http://zotero.org/groups/5563646/items/TWKTRP5M"],"itemData":{"id":829,"type":"webpage","container-title":"BostonGlobe.com","language":"en-US","title":"Massachusetts’ public schools are highly segregated. It’s time we treated that like the crisis it is - The Boston Globe","URL":"https://www.bostonglobe.com/2020/12/11/opinion/massachusetts-public-schools-are-highly-segregated-its-time-we-treated-that-like-crisis-it-is/","author":[{"family":"Scharfenberg","given":"David"}],"issued":{"date-parts":[["2020",12,11]]}}},{"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rsidR="00226460">
        <w:fldChar w:fldCharType="separate"/>
      </w:r>
      <w:r w:rsidR="00FA1348" w:rsidRPr="00FA1348">
        <w:rPr>
          <w:rFonts w:cs="Arial"/>
          <w:vertAlign w:val="superscript"/>
        </w:rPr>
        <w:t>148,149</w:t>
      </w:r>
      <w:r w:rsidR="00226460">
        <w:fldChar w:fldCharType="end"/>
      </w:r>
      <w:r w:rsidR="00513DBF">
        <w:t xml:space="preserve"> As school </w:t>
      </w:r>
      <w:r w:rsidR="00301D8D">
        <w:t xml:space="preserve">districts </w:t>
      </w:r>
      <w:r w:rsidR="00D30146">
        <w:t xml:space="preserve">move </w:t>
      </w:r>
      <w:r w:rsidR="00741993">
        <w:t xml:space="preserve">toward a </w:t>
      </w:r>
      <w:r w:rsidR="00904A77">
        <w:t xml:space="preserve">more </w:t>
      </w:r>
      <w:r w:rsidR="00E758DE">
        <w:t>g</w:t>
      </w:r>
      <w:r w:rsidR="00904A77">
        <w:t xml:space="preserve">reen and </w:t>
      </w:r>
      <w:r w:rsidR="00E758DE">
        <w:t>h</w:t>
      </w:r>
      <w:r w:rsidR="00904A77">
        <w:t xml:space="preserve">ealthy </w:t>
      </w:r>
      <w:r w:rsidR="00741993">
        <w:t>school model</w:t>
      </w:r>
      <w:r w:rsidR="00E758DE">
        <w:t>,</w:t>
      </w:r>
      <w:r w:rsidR="00904A77">
        <w:t xml:space="preserve"> it is their responsibility to </w:t>
      </w:r>
      <w:r w:rsidR="00265253">
        <w:t xml:space="preserve">provide students with </w:t>
      </w:r>
      <w:r w:rsidR="00732E79">
        <w:t>equitable access to inclusive and healthy</w:t>
      </w:r>
      <w:r w:rsidR="0098256E">
        <w:t xml:space="preserve"> learning environments—r</w:t>
      </w:r>
      <w:r w:rsidR="001831CE">
        <w:t xml:space="preserve">egardless of race, gender, </w:t>
      </w:r>
      <w:r w:rsidR="00FB3A1D">
        <w:t xml:space="preserve">disability, or any other </w:t>
      </w:r>
      <w:r w:rsidR="00741993">
        <w:t>identity</w:t>
      </w:r>
      <w:r w:rsidR="00732E79">
        <w:t>.</w:t>
      </w:r>
      <w:r w:rsidR="009E1E27">
        <w:t xml:space="preserve"> </w:t>
      </w:r>
      <w:r w:rsidR="00085F3D">
        <w:t>Just as e</w:t>
      </w:r>
      <w:r w:rsidR="00D86992">
        <w:t xml:space="preserve">very student has the right to </w:t>
      </w:r>
      <w:r w:rsidR="005A496D">
        <w:t>receive an education in the least restrictive learning environment</w:t>
      </w:r>
      <w:r w:rsidR="00085F3D">
        <w:t>, every student has a right to attend accessible</w:t>
      </w:r>
      <w:r w:rsidR="00C233BB">
        <w:t>, inclusive</w:t>
      </w:r>
      <w:r w:rsidR="00085F3D">
        <w:t xml:space="preserve"> schools </w:t>
      </w:r>
      <w:r w:rsidR="00CB78E5">
        <w:t xml:space="preserve">free of environmental </w:t>
      </w:r>
      <w:r w:rsidR="00456BDC">
        <w:t xml:space="preserve">and health </w:t>
      </w:r>
      <w:r w:rsidR="00CB78E5">
        <w:t>hazards</w:t>
      </w:r>
      <w:r w:rsidR="00085F3D">
        <w:t xml:space="preserve">. </w:t>
      </w:r>
    </w:p>
    <w:p w14:paraId="14EF0476" w14:textId="528EF352" w:rsidR="00C37F07" w:rsidRDefault="00EE78EC" w:rsidP="006D7DE6">
      <w:pPr>
        <w:pStyle w:val="BodyTextFirstIndent"/>
      </w:pPr>
      <w:r>
        <w:lastRenderedPageBreak/>
        <w:t xml:space="preserve">This section presents a tabular summary of the methods and best practices that can help school districts across the Commonwealth achieve </w:t>
      </w:r>
      <w:r w:rsidR="008866BB">
        <w:t xml:space="preserve">equitable outcomes for all students and </w:t>
      </w:r>
      <w:r>
        <w:t xml:space="preserve">a brief discussion of notable barriers and challenges that schools are likely to face. </w:t>
      </w:r>
      <w:r w:rsidR="00C37F07">
        <w:t xml:space="preserve">Content is provided across the following </w:t>
      </w:r>
      <w:r w:rsidR="00723C0F">
        <w:t>three</w:t>
      </w:r>
      <w:r w:rsidR="00C37F07">
        <w:t xml:space="preserve"> objectives: </w:t>
      </w:r>
    </w:p>
    <w:p w14:paraId="1D60411B" w14:textId="16406991" w:rsidR="009F7EE3" w:rsidRDefault="002D2F0C" w:rsidP="0073680D">
      <w:pPr>
        <w:pStyle w:val="ListLetter"/>
        <w:numPr>
          <w:ilvl w:val="0"/>
          <w:numId w:val="9"/>
        </w:numPr>
      </w:pPr>
      <w:r>
        <w:t>Optimize space to equitably</w:t>
      </w:r>
      <w:r w:rsidR="007B73B2">
        <w:t xml:space="preserve"> meet</w:t>
      </w:r>
      <w:r w:rsidR="009F7EE3">
        <w:t xml:space="preserve"> special education</w:t>
      </w:r>
      <w:r w:rsidR="007B73B2">
        <w:t xml:space="preserve"> needs</w:t>
      </w:r>
    </w:p>
    <w:p w14:paraId="308AEA93" w14:textId="15223B0D" w:rsidR="00C37F07" w:rsidRPr="00CE319F" w:rsidRDefault="00D96F25" w:rsidP="0073680D">
      <w:pPr>
        <w:pStyle w:val="ListLetter"/>
        <w:numPr>
          <w:ilvl w:val="0"/>
          <w:numId w:val="9"/>
        </w:numPr>
      </w:pPr>
      <w:r>
        <w:t>Prioritize</w:t>
      </w:r>
      <w:r w:rsidR="00723C0F">
        <w:t xml:space="preserve"> universal accessibility</w:t>
      </w:r>
    </w:p>
    <w:p w14:paraId="055CC212" w14:textId="50A18F31" w:rsidR="00C37F07" w:rsidRDefault="00FC7800" w:rsidP="0073680D">
      <w:pPr>
        <w:pStyle w:val="ListLetter"/>
      </w:pPr>
      <w:r>
        <w:t>Use available data to identify and equitably prioritize schools of greatest need</w:t>
      </w:r>
      <w:r w:rsidR="007D3A55">
        <w:t xml:space="preserve"> and advocate for additional funding opportunities</w:t>
      </w:r>
    </w:p>
    <w:p w14:paraId="2463F55A" w14:textId="30DD60C4" w:rsidR="006B12CF" w:rsidRPr="00CE319F" w:rsidRDefault="00275879" w:rsidP="006D7DE6">
      <w:pPr>
        <w:pStyle w:val="BodyTextFirstIndent"/>
      </w:pPr>
      <w:hyperlink w:anchor="Section_VIII" w:history="1">
        <w:r w:rsidRPr="00275879">
          <w:rPr>
            <w:rStyle w:val="Hyperlink"/>
          </w:rPr>
          <w:t>Section VIII</w:t>
        </w:r>
      </w:hyperlink>
      <w:r w:rsidR="006B12CF" w:rsidRPr="006B12CF">
        <w:t xml:space="preserve"> provides a more detailed narrative description of the methods and best practices, details related to the relevant statutory/regulatory framework and notable standards, and relevant resources across each of the </w:t>
      </w:r>
      <w:r w:rsidR="006B12CF">
        <w:t>three</w:t>
      </w:r>
      <w:r w:rsidR="006B12CF" w:rsidRPr="006B12CF">
        <w:t xml:space="preserve"> objectives.</w:t>
      </w:r>
    </w:p>
    <w:p w14:paraId="1CE80C41" w14:textId="19EB1921" w:rsidR="007B73B2" w:rsidRDefault="007B73B2" w:rsidP="001C7888">
      <w:pPr>
        <w:pStyle w:val="Heading2"/>
      </w:pPr>
      <w:bookmarkStart w:id="280" w:name="_Toc171518380"/>
      <w:bookmarkStart w:id="281" w:name="_Toc171519333"/>
      <w:bookmarkStart w:id="282" w:name="_Toc193116912"/>
      <w:r>
        <w:t>Objective 3a. Optimize Space to Equitably Meet Special Education Needs</w:t>
      </w:r>
      <w:bookmarkEnd w:id="280"/>
      <w:bookmarkEnd w:id="281"/>
      <w:bookmarkEnd w:id="282"/>
    </w:p>
    <w:p w14:paraId="7F31E16B" w14:textId="77777777" w:rsidR="00DD18C5" w:rsidRDefault="00DD18C5" w:rsidP="00DD18C5">
      <w:pPr>
        <w:pStyle w:val="Heading3"/>
      </w:pPr>
      <w:r>
        <w:t>Background</w:t>
      </w:r>
      <w:r w:rsidRPr="0029407F">
        <w:t xml:space="preserve"> </w:t>
      </w:r>
    </w:p>
    <w:p w14:paraId="37A1BB49" w14:textId="716E3BC2" w:rsidR="00DD18C5" w:rsidRDefault="00DD18C5" w:rsidP="006D7DE6">
      <w:pPr>
        <w:pStyle w:val="BodyTextFirstIndent"/>
      </w:pPr>
      <w:r>
        <w:t xml:space="preserve">Federal and state regulations guarantee all students in the Commonwealth of Massachusetts access to a free and appropriate public education </w:t>
      </w:r>
      <w:r w:rsidR="00D46A63">
        <w:t xml:space="preserve">(FAPE) </w:t>
      </w:r>
      <w:r>
        <w:t>in the least restrictive environment</w:t>
      </w:r>
      <w:r w:rsidR="00DB1986">
        <w:t xml:space="preserve"> (LRE)</w:t>
      </w:r>
      <w:r w:rsidR="00D46A63">
        <w:t>,</w:t>
      </w:r>
      <w:r>
        <w:t xml:space="preserve"> regardless of disability.</w:t>
      </w:r>
      <w:r>
        <w:fldChar w:fldCharType="begin"/>
      </w:r>
      <w:r w:rsidR="00D24D66">
        <w:instrText xml:space="preserve"> ADDIN ZOTERO_ITEM CSL_CITATION {"citationID":"CcGClxiH","properties":{"formattedCitation":"\\super 150\\uc0\\u8211{}152\\nosupersub{}","plainCitation":"150–152","noteIndex":0},"citationItems":[{"id":277,"uris":["http://zotero.org/groups/5563646/items/WD4RXUTF"],"itemData":{"id":277,"type":"post-weblog","abstract":"The IDEA is a law that makes available a free appropriate public education to eligible children with disabilities throughout the nation and ensures special education and related services to those children.","container-title":"Individuals with Disabilities Education Act","language":"en-US","title":"About IDEA","URL":"https://sites.ed.gov/idea/about-idea/","accessed":{"date-parts":[["2024",6,24]]}}},{"id":309,"uris":["http://zotero.org/groups/5563646/items/ZFF3GS9L"],"itemData":{"id":309,"type":"webpage","title":"603 CMR 28.00: Special Education - Education Laws and Regulations","URL":"https://www.doe.mass.edu/lawsregs/603cmr28.html?section=01","accessed":{"date-parts":[["2024",6,24]]}}},{"id":312,"uris":["http://zotero.org/groups/5563646/items/XTMJ87L2"],"itemData":{"id":312,"type":"webpage","abstract":"If you are a person with a disability, you have certain rights related to your education. Find out about them.","language":"en","title":"Learn about education rights | Mass.gov","URL":"https://www.mass.gov/info-details/learn-about-education-rights","accessed":{"date-parts":[["2024",6,24]]}}}],"schema":"https://github.com/citation-style-language/schema/raw/master/csl-citation.json"} </w:instrText>
      </w:r>
      <w:r>
        <w:fldChar w:fldCharType="separate"/>
      </w:r>
      <w:r w:rsidR="00D24D66" w:rsidRPr="00D24D66">
        <w:rPr>
          <w:rFonts w:cs="Arial"/>
          <w:vertAlign w:val="superscript"/>
        </w:rPr>
        <w:t>150–152</w:t>
      </w:r>
      <w:r>
        <w:fldChar w:fldCharType="end"/>
      </w:r>
      <w:r>
        <w:t xml:space="preserve"> This guarantee is especially important for historically excluded students from underserved and marginalized communities. Integrating students with disabilities into school communities is essential for their behavioral, social, and academic well-being. Optimizing learning spaces to meet the needs of all learners </w:t>
      </w:r>
      <w:r w:rsidR="00D46A63">
        <w:t xml:space="preserve">equitably </w:t>
      </w:r>
      <w:r>
        <w:t>must be a top priority for schools and school districts to guarantee students’ access to FAPE in the least restrictive learning environment</w:t>
      </w:r>
      <w:r w:rsidR="00D46A63">
        <w:t xml:space="preserve"> possible</w:t>
      </w:r>
      <w:r>
        <w:t xml:space="preserve">. </w:t>
      </w:r>
    </w:p>
    <w:p w14:paraId="529AAB45" w14:textId="5B396398" w:rsidR="00DD18C5" w:rsidRDefault="00DD18C5" w:rsidP="006D7DE6">
      <w:pPr>
        <w:pStyle w:val="BodyTextFirstIndent"/>
      </w:pPr>
      <w:r>
        <w:t>A review of special education in Massachusetts examined the identification, placement, and performance of students with disabilities throughout Massachusetts’ school districts.</w:t>
      </w:r>
      <w:r>
        <w:fldChar w:fldCharType="begin"/>
      </w:r>
      <w:r w:rsidR="0007385B">
        <w:instrText xml:space="preserve"> ADDIN ZOTERO_ITEM CSL_CITATION {"citationID":"GKX13gR6","properties":{"formattedCitation":"\\super 149\\nosupersub{}","plainCitation":"149","noteIndex":0},"citationItems":[{"id":264,"uris":["http://zotero.org/groups/5563646/items/Z5D3WVGX"],"itemData":{"id":264,"type":"article-journal","language":"en","source":"Zotero","title":"Review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fldChar w:fldCharType="separate"/>
      </w:r>
      <w:r w:rsidR="0007385B" w:rsidRPr="0007385B">
        <w:rPr>
          <w:rFonts w:cs="Arial"/>
          <w:vertAlign w:val="superscript"/>
        </w:rPr>
        <w:t>149</w:t>
      </w:r>
      <w:r>
        <w:fldChar w:fldCharType="end"/>
      </w:r>
      <w:r>
        <w:t xml:space="preserve"> The study developed four key findings:</w:t>
      </w:r>
    </w:p>
    <w:p w14:paraId="12A96869" w14:textId="46BBF51C" w:rsidR="00DD18C5" w:rsidRPr="00F9412A" w:rsidRDefault="00DD18C5" w:rsidP="008131EB">
      <w:pPr>
        <w:pStyle w:val="ListBullet"/>
      </w:pPr>
      <w:r w:rsidRPr="00F9412A">
        <w:t>Low-income and non-low-income students with disabilities experience substantial differences in identification, placement, and performance.</w:t>
      </w:r>
    </w:p>
    <w:p w14:paraId="08173EAB" w14:textId="77777777" w:rsidR="00DD18C5" w:rsidRPr="00F9412A" w:rsidRDefault="00DD18C5" w:rsidP="008131EB">
      <w:pPr>
        <w:pStyle w:val="ListBullet"/>
      </w:pPr>
      <w:r w:rsidRPr="00F9412A">
        <w:t>Students with disabilities placed in full inclusion settings outperformed peers with similar disabilities who spent less time in the general education setting.</w:t>
      </w:r>
    </w:p>
    <w:p w14:paraId="7ECBD446" w14:textId="77777777" w:rsidR="00DD18C5" w:rsidRPr="00F9412A" w:rsidRDefault="00DD18C5" w:rsidP="008131EB">
      <w:pPr>
        <w:pStyle w:val="ListBullet"/>
      </w:pPr>
      <w:r w:rsidRPr="00F9412A">
        <w:t>Secondary schools offer limited inclusive options for students with disabilities.</w:t>
      </w:r>
    </w:p>
    <w:p w14:paraId="6C9B7D6F" w14:textId="77777777" w:rsidR="00DD18C5" w:rsidRPr="00F9412A" w:rsidRDefault="00DD18C5" w:rsidP="008131EB">
      <w:pPr>
        <w:pStyle w:val="ListBullet"/>
      </w:pPr>
      <w:r w:rsidRPr="00F9412A">
        <w:t>Special education identification, placement, and performance varied significantly from district to district.</w:t>
      </w:r>
    </w:p>
    <w:p w14:paraId="2427FCD8" w14:textId="4C8F2087" w:rsidR="00DD18C5" w:rsidRPr="00E543F2" w:rsidRDefault="00DD18C5" w:rsidP="006D7DE6">
      <w:pPr>
        <w:pStyle w:val="BodyTextFirstIndent"/>
      </w:pPr>
      <w:r w:rsidRPr="00F9412A">
        <w:t>In addition to the four key findings, the study also found that Black and Latino students were disproportionately excluded from the general education setting.</w:t>
      </w:r>
      <w:r w:rsidRPr="00F9412A">
        <w:fldChar w:fldCharType="begin"/>
      </w:r>
      <w:r w:rsidR="00345062">
        <w:instrText xml:space="preserve"> ADDIN ZOTERO_ITEM CSL_CITATION {"citationID":"tG4egrXf","properties":{"formattedCitation":"\\super 149\\nosupersub{}","plainCitation":"149","noteIndex":0},"citationItems":[{"id":264,"uris":["http://zotero.org/groups/5563646/items/Z5D3WVGX"],"itemData":{"id":264,"type":"article-journal","language":"en","source":"Zotero","title":"Review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rsidRPr="00F9412A">
        <w:fldChar w:fldCharType="separate"/>
      </w:r>
      <w:r w:rsidR="00345062" w:rsidRPr="00345062">
        <w:rPr>
          <w:rFonts w:cs="Arial"/>
          <w:vertAlign w:val="superscript"/>
        </w:rPr>
        <w:t>149</w:t>
      </w:r>
      <w:r w:rsidRPr="00F9412A">
        <w:fldChar w:fldCharType="end"/>
      </w:r>
      <w:r w:rsidRPr="00F9412A">
        <w:t xml:space="preserve"> This was especially evident in secondary schools where Black students were twice as likely as their White peers to be placed in a substantially separate setting</w:t>
      </w:r>
      <w:r w:rsidR="00D46A63">
        <w:t>,</w:t>
      </w:r>
      <w:r w:rsidRPr="00F9412A">
        <w:t xml:space="preserve"> even though Black </w:t>
      </w:r>
      <w:r w:rsidRPr="00F9412A">
        <w:lastRenderedPageBreak/>
        <w:t>and White students have similar rates of inclusion at the elementary level.</w:t>
      </w:r>
      <w:r w:rsidRPr="00F9412A">
        <w:fldChar w:fldCharType="begin"/>
      </w:r>
      <w:r w:rsidR="003B717B">
        <w:instrText xml:space="preserve"> ADDIN ZOTERO_ITEM CSL_CITATION {"citationID":"jcfnN0ZR","properties":{"formattedCitation":"\\super 149\\nosupersub{}","plainCitation":"149","noteIndex":0},"citationItems":[{"id":264,"uris":["http://zotero.org/groups/5563646/items/Z5D3WVGX"],"itemData":{"id":264,"type":"article-journal","language":"en","source":"Zotero","title":"Review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rsidRPr="00F9412A">
        <w:fldChar w:fldCharType="separate"/>
      </w:r>
      <w:r w:rsidR="003B717B" w:rsidRPr="003B717B">
        <w:rPr>
          <w:rFonts w:cs="Arial"/>
          <w:vertAlign w:val="superscript"/>
        </w:rPr>
        <w:t>149</w:t>
      </w:r>
      <w:r w:rsidRPr="00F9412A">
        <w:fldChar w:fldCharType="end"/>
      </w:r>
      <w:r w:rsidRPr="00F9412A">
        <w:t xml:space="preserve"> These disparities are a result of historic</w:t>
      </w:r>
      <w:r w:rsidR="00D46A63">
        <w:t>al</w:t>
      </w:r>
      <w:r w:rsidRPr="00F9412A">
        <w:t xml:space="preserve"> and systemic practices limiting access to special education services in underserved and marginalized communities. Student placement should always be based on individual needs rather than available space.</w:t>
      </w:r>
      <w:r w:rsidRPr="00F9412A">
        <w:fldChar w:fldCharType="begin"/>
      </w:r>
      <w:r w:rsidR="00484C02">
        <w:instrText xml:space="preserve"> ADDIN ZOTERO_ITEM CSL_CITATION {"citationID":"hCpdB2CL","properties":{"formattedCitation":"\\super 153\\nosupersub{}","plainCitation":"153","noteIndex":0},"citationItems":[{"id":267,"uris":["http://zotero.org/groups/5563646/items/NZI2M352"],"itemData":{"id":267,"type":"webpage","abstract":"When educators work to educate students with disabilities alongside their non-disabled peers, while also meeting their unique needs and circumstances, they can effectively move beyond the confines of a one-size-fits-all classroom model.","language":"en","title":"Maximizing Student Success with Least Restrictive Environments and Appropriate Models of Inclusion | NEA","URL":"https://www.nea.org/nea-today/all-news-articles/maximizing-student-success-least-restrictive-environments-and-appropriate-models-inclusion","author":[{"family":"Graham","given":"Edward"}],"accessed":{"date-parts":[["2024",6,24]]}}}],"schema":"https://github.com/citation-style-language/schema/raw/master/csl-citation.json"} </w:instrText>
      </w:r>
      <w:r w:rsidRPr="00F9412A">
        <w:fldChar w:fldCharType="separate"/>
      </w:r>
      <w:r w:rsidR="00484C02" w:rsidRPr="00484C02">
        <w:rPr>
          <w:rFonts w:cs="Arial"/>
          <w:vertAlign w:val="superscript"/>
        </w:rPr>
        <w:t>153</w:t>
      </w:r>
      <w:r w:rsidRPr="00F9412A">
        <w:fldChar w:fldCharType="end"/>
      </w:r>
      <w:r w:rsidRPr="00F9412A">
        <w:t xml:space="preserve"> To accomplish this, schools and school districts must evaluate the availability of and access to special education services and inclusion classrooms.</w:t>
      </w:r>
    </w:p>
    <w:p w14:paraId="2D1BA524" w14:textId="5E9EC73D" w:rsidR="00DD18C5" w:rsidRDefault="00DD18C5" w:rsidP="006D7DE6">
      <w:pPr>
        <w:pStyle w:val="BodyTextFirstIndent"/>
      </w:pPr>
      <w:r>
        <w:t>There is no one-size-fits-all solution to educating students with disabilities. However, in Massachusetts, students with disabilities placed in inclusion settings are five times more likely to graduate in five years or less than peers of similar ability excluded from the general education setting.</w:t>
      </w:r>
      <w:r>
        <w:fldChar w:fldCharType="begin"/>
      </w:r>
      <w:r w:rsidR="001722FA">
        <w:instrText xml:space="preserve"> ADDIN ZOTERO_ITEM CSL_CITATION {"citationID":"QGhDJQCq","properties":{"formattedCitation":"\\super 149\\nosupersub{}","plainCitation":"149","noteIndex":0},"citationItems":[{"id":264,"uris":["http://zotero.org/groups/5563646/items/Z5D3WVGX"],"itemData":{"id":264,"type":"article-journal","language":"en","source":"Zotero","title":"Review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fldChar w:fldCharType="separate"/>
      </w:r>
      <w:r w:rsidR="001722FA" w:rsidRPr="001722FA">
        <w:rPr>
          <w:rFonts w:cs="Arial"/>
          <w:vertAlign w:val="superscript"/>
        </w:rPr>
        <w:t>149</w:t>
      </w:r>
      <w:r>
        <w:fldChar w:fldCharType="end"/>
      </w:r>
      <w:r>
        <w:t xml:space="preserve"> Adequately placing students in the least restrictive environment</w:t>
      </w:r>
      <w:r w:rsidR="00A37582">
        <w:t>,</w:t>
      </w:r>
      <w:r>
        <w:t xml:space="preserve"> most appropriate to serve their individual needs</w:t>
      </w:r>
      <w:r w:rsidR="00A37582">
        <w:t>,</w:t>
      </w:r>
      <w:r>
        <w:t xml:space="preserve"> is paramount to their success. Schools and school districts across Massachusetts must deploy a wide variety of strategies to mitigate the disparities found in special education services. Optimizing learning spaces to meet the needs of all students </w:t>
      </w:r>
      <w:r w:rsidR="00D46A63">
        <w:t xml:space="preserve">equitably </w:t>
      </w:r>
      <w:r>
        <w:t>requires existing schools to rethink and revise their current classroom compositions</w:t>
      </w:r>
      <w:r w:rsidR="00D46A63">
        <w:t xml:space="preserve">. In contrast, </w:t>
      </w:r>
      <w:r>
        <w:t>schools undergoing new construction and/or renovations can integrate universal design</w:t>
      </w:r>
      <w:r w:rsidR="004443C0">
        <w:t xml:space="preserve"> (UD)</w:t>
      </w:r>
      <w:r>
        <w:t xml:space="preserve"> and other design principles to plan for a more inclusive environment from the start.</w:t>
      </w:r>
      <w:r w:rsidR="00A103D5">
        <w:t xml:space="preserve"> </w:t>
      </w:r>
      <w:r w:rsidR="006D4FF0">
        <w:t xml:space="preserve">Sufficiently </w:t>
      </w:r>
      <w:r w:rsidR="00A103D5">
        <w:t>designing</w:t>
      </w:r>
      <w:r>
        <w:t xml:space="preserve"> </w:t>
      </w:r>
      <w:r w:rsidR="00657CF3">
        <w:t xml:space="preserve">spaces </w:t>
      </w:r>
      <w:r>
        <w:t xml:space="preserve">to meet the </w:t>
      </w:r>
      <w:r w:rsidR="00A103D5">
        <w:t xml:space="preserve">programmatic </w:t>
      </w:r>
      <w:r>
        <w:t xml:space="preserve">needs of all students receiving special education takes thoughtful consideration and intentional planning. </w:t>
      </w:r>
    </w:p>
    <w:p w14:paraId="4083566A" w14:textId="77777777" w:rsidR="00DD18C5" w:rsidRDefault="00DD18C5" w:rsidP="00DD18C5">
      <w:pPr>
        <w:pStyle w:val="Heading3"/>
      </w:pPr>
      <w:r>
        <w:t>Methods and Best Practices</w:t>
      </w:r>
    </w:p>
    <w:p w14:paraId="3EA8998D" w14:textId="18AEC40A" w:rsidR="006D7485" w:rsidRDefault="00D07F24" w:rsidP="006D7DE6">
      <w:pPr>
        <w:pStyle w:val="BodyTextFirstIndent"/>
      </w:pPr>
      <w:r>
        <w:fldChar w:fldCharType="begin"/>
      </w:r>
      <w:r>
        <w:instrText xml:space="preserve"> REF _Ref170337932 \h </w:instrText>
      </w:r>
      <w:r>
        <w:fldChar w:fldCharType="separate"/>
      </w:r>
      <w:r w:rsidR="00307850">
        <w:t xml:space="preserve">Table </w:t>
      </w:r>
      <w:r w:rsidR="00307850">
        <w:rPr>
          <w:noProof/>
        </w:rPr>
        <w:t>31</w:t>
      </w:r>
      <w:r>
        <w:fldChar w:fldCharType="end"/>
      </w:r>
      <w:r w:rsidR="006D7485">
        <w:t xml:space="preserve"> </w:t>
      </w:r>
      <w:r w:rsidR="006D7485" w:rsidRPr="00B40F18">
        <w:t xml:space="preserve">summarizes </w:t>
      </w:r>
      <w:r w:rsidR="006D7485">
        <w:t xml:space="preserve">methods and best practices for optimizing space to meet special education needs </w:t>
      </w:r>
      <w:r w:rsidR="00C034E4">
        <w:t xml:space="preserve">equitably </w:t>
      </w:r>
      <w:r w:rsidR="006D7485">
        <w:t xml:space="preserve">in schools. For each method/best practice, the table presents </w:t>
      </w:r>
      <w:r w:rsidR="006D7485" w:rsidRPr="00B40F18">
        <w:t>the approximate</w:t>
      </w:r>
      <w:r w:rsidR="006D7485">
        <w:t xml:space="preserve"> capital and operating</w:t>
      </w:r>
      <w:r w:rsidR="006D7485" w:rsidRPr="00B40F18">
        <w:t xml:space="preserve"> cost</w:t>
      </w:r>
      <w:r w:rsidR="006D7485">
        <w:t>s</w:t>
      </w:r>
      <w:r w:rsidR="006D7485" w:rsidRPr="00B40F18">
        <w:t>,</w:t>
      </w:r>
      <w:r w:rsidR="006D7485">
        <w:t xml:space="preserve"> implementation timeframe</w:t>
      </w:r>
      <w:r w:rsidR="006D7485" w:rsidRPr="00B40F18">
        <w:t>, and</w:t>
      </w:r>
      <w:r w:rsidR="006D7485">
        <w:t xml:space="preserve"> ease of</w:t>
      </w:r>
      <w:r w:rsidR="006D7485" w:rsidRPr="00B40F18">
        <w:t xml:space="preserve"> implementation</w:t>
      </w:r>
      <w:r w:rsidR="006D7485">
        <w:t>.</w:t>
      </w:r>
      <w:r w:rsidR="006B12CF">
        <w:t xml:space="preserve"> </w:t>
      </w:r>
      <w:r w:rsidR="006B12CF" w:rsidRPr="006B12CF">
        <w:t xml:space="preserve">See </w:t>
      </w:r>
      <w:hyperlink w:anchor="SectVIII_3a" w:history="1">
        <w:r w:rsidR="00105509" w:rsidRPr="00105509">
          <w:rPr>
            <w:rStyle w:val="Hyperlink"/>
          </w:rPr>
          <w:t>Section VIII, Objective 3a</w:t>
        </w:r>
      </w:hyperlink>
      <w:r w:rsidR="006B12CF" w:rsidRPr="006B12CF">
        <w:t xml:space="preserve"> for additional narrative descriptions of each of the methods and best practices.</w:t>
      </w:r>
    </w:p>
    <w:p w14:paraId="65179A53" w14:textId="112DE5DD" w:rsidR="006D7485" w:rsidRDefault="0058527B" w:rsidP="00B30C96">
      <w:pPr>
        <w:pStyle w:val="Caption"/>
      </w:pPr>
      <w:bookmarkStart w:id="283" w:name="_Ref170337932"/>
      <w:bookmarkStart w:id="284" w:name="_Toc170345798"/>
      <w:bookmarkStart w:id="285" w:name="_Toc192711697"/>
      <w:bookmarkStart w:id="286" w:name="_Toc193112579"/>
      <w:bookmarkStart w:id="287" w:name="_Toc193116978"/>
      <w:r>
        <w:lastRenderedPageBreak/>
        <w:t xml:space="preserve">Table </w:t>
      </w:r>
      <w:fldSimple w:instr=" SEQ Table \* ARABIC ">
        <w:r w:rsidR="00307850">
          <w:rPr>
            <w:noProof/>
          </w:rPr>
          <w:t>31</w:t>
        </w:r>
      </w:fldSimple>
      <w:bookmarkEnd w:id="283"/>
      <w:r w:rsidR="006D7485">
        <w:t xml:space="preserve">. </w:t>
      </w:r>
      <w:r w:rsidR="006D7485" w:rsidRPr="00837CC4">
        <w:t>Methods</w:t>
      </w:r>
      <w:r w:rsidR="00AB6143">
        <w:t xml:space="preserve"> and </w:t>
      </w:r>
      <w:r w:rsidR="006D7485" w:rsidRPr="00837CC4">
        <w:t xml:space="preserve">Best Practices </w:t>
      </w:r>
      <w:r w:rsidR="00500583">
        <w:t>for</w:t>
      </w:r>
      <w:r w:rsidR="006D7485" w:rsidRPr="00837CC4">
        <w:t xml:space="preserve"> </w:t>
      </w:r>
      <w:r w:rsidR="006D7485">
        <w:t>Optimiz</w:t>
      </w:r>
      <w:r w:rsidR="00E012D7">
        <w:t>ing</w:t>
      </w:r>
      <w:r w:rsidR="006D7485">
        <w:t xml:space="preserve"> Space to Equitably Meet Special Education Needs</w:t>
      </w:r>
      <w:bookmarkEnd w:id="284"/>
      <w:bookmarkEnd w:id="285"/>
      <w:bookmarkEnd w:id="286"/>
      <w:bookmarkEnd w:id="287"/>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optimizing space to equitably meet special education needs."/>
      </w:tblPr>
      <w:tblGrid>
        <w:gridCol w:w="468"/>
        <w:gridCol w:w="5380"/>
        <w:gridCol w:w="875"/>
        <w:gridCol w:w="875"/>
        <w:gridCol w:w="875"/>
        <w:gridCol w:w="877"/>
      </w:tblGrid>
      <w:tr w:rsidR="006D7485" w:rsidRPr="00C8094D" w14:paraId="2697EEF8" w14:textId="77777777" w:rsidTr="006D7485">
        <w:trPr>
          <w:cantSplit/>
          <w:trHeight w:val="2420"/>
          <w:tblHeader/>
          <w:jc w:val="center"/>
        </w:trPr>
        <w:tc>
          <w:tcPr>
            <w:tcW w:w="312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558855C4" w14:textId="77777777" w:rsidR="006D7485" w:rsidRDefault="006D7485">
            <w:pPr>
              <w:pStyle w:val="TableColumnHeader"/>
            </w:pPr>
            <w:r>
              <w:t>Methods/Best Practices</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A4F2474" w14:textId="77777777" w:rsidR="006D7485" w:rsidRPr="00C8094D" w:rsidRDefault="006D7485">
            <w:pPr>
              <w:pStyle w:val="TableColumnHeader"/>
              <w:jc w:val="left"/>
            </w:pPr>
            <w:r>
              <w:t xml:space="preserve">Capital </w:t>
            </w:r>
            <w:r w:rsidRPr="00C8094D">
              <w:t>Cost</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793677B0" w14:textId="77777777" w:rsidR="006D7485" w:rsidRDefault="006D7485">
            <w:pPr>
              <w:pStyle w:val="TableColumnHeader"/>
              <w:jc w:val="left"/>
            </w:pPr>
            <w:r>
              <w:t>Operating Cost</w:t>
            </w:r>
          </w:p>
        </w:tc>
        <w:tc>
          <w:tcPr>
            <w:tcW w:w="468"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399A9D50" w14:textId="77777777" w:rsidR="006D7485" w:rsidRPr="00C8094D" w:rsidRDefault="006D7485">
            <w:pPr>
              <w:pStyle w:val="TableColumnHeader"/>
              <w:jc w:val="left"/>
            </w:pPr>
            <w:r>
              <w:t xml:space="preserve">Implementation </w:t>
            </w:r>
            <w:r w:rsidRPr="00C8094D">
              <w:t>Timeframe</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B91E1FF" w14:textId="77777777" w:rsidR="006D7485" w:rsidRPr="00C8094D" w:rsidRDefault="006D7485">
            <w:pPr>
              <w:pStyle w:val="TableColumnHeader"/>
              <w:jc w:val="left"/>
            </w:pPr>
            <w:r>
              <w:t xml:space="preserve">Ease of </w:t>
            </w:r>
            <w:r w:rsidRPr="00C8094D">
              <w:t>Implementation</w:t>
            </w:r>
          </w:p>
        </w:tc>
      </w:tr>
      <w:tr w:rsidR="006D7485" w:rsidRPr="00C8094D" w14:paraId="2DA16F8E" w14:textId="77777777" w:rsidTr="006D7485">
        <w:trPr>
          <w:cantSplit/>
          <w:trHeight w:val="255"/>
          <w:tblHeader/>
          <w:jc w:val="center"/>
        </w:trPr>
        <w:tc>
          <w:tcPr>
            <w:tcW w:w="250" w:type="pct"/>
            <w:tcBorders>
              <w:top w:val="nil"/>
              <w:left w:val="single" w:sz="4" w:space="0" w:color="auto"/>
              <w:bottom w:val="single" w:sz="4" w:space="0" w:color="auto"/>
            </w:tcBorders>
            <w:shd w:val="clear" w:color="auto" w:fill="auto"/>
          </w:tcPr>
          <w:p w14:paraId="2DB77956" w14:textId="77777777" w:rsidR="006D7485" w:rsidRDefault="006D7485">
            <w:pPr>
              <w:pStyle w:val="TableText"/>
            </w:pPr>
            <w:r>
              <w:t>(1)</w:t>
            </w:r>
          </w:p>
        </w:tc>
        <w:tc>
          <w:tcPr>
            <w:tcW w:w="2877" w:type="pct"/>
            <w:tcBorders>
              <w:top w:val="single" w:sz="4" w:space="0" w:color="auto"/>
              <w:bottom w:val="single" w:sz="4" w:space="0" w:color="auto"/>
              <w:right w:val="single" w:sz="4" w:space="0" w:color="auto"/>
            </w:tcBorders>
          </w:tcPr>
          <w:p w14:paraId="72B69887" w14:textId="5336D922" w:rsidR="006D7485" w:rsidRDefault="006D7485">
            <w:pPr>
              <w:pStyle w:val="TableText"/>
            </w:pPr>
            <w:r>
              <w:t>Design inclusive classrooms</w:t>
            </w:r>
          </w:p>
        </w:tc>
        <w:tc>
          <w:tcPr>
            <w:tcW w:w="468" w:type="pct"/>
            <w:tcBorders>
              <w:top w:val="nil"/>
              <w:left w:val="single" w:sz="4" w:space="0" w:color="auto"/>
              <w:bottom w:val="single" w:sz="4" w:space="0" w:color="auto"/>
              <w:right w:val="single" w:sz="4" w:space="0" w:color="auto"/>
            </w:tcBorders>
            <w:shd w:val="clear" w:color="auto" w:fill="auto"/>
            <w:vAlign w:val="center"/>
          </w:tcPr>
          <w:p w14:paraId="62066D66" w14:textId="1B05543A" w:rsidR="006D7485" w:rsidRPr="00C8094D" w:rsidRDefault="00375A49">
            <w:pPr>
              <w:pStyle w:val="TableText"/>
            </w:pPr>
            <w:r>
              <w:t>0</w:t>
            </w:r>
          </w:p>
        </w:tc>
        <w:tc>
          <w:tcPr>
            <w:tcW w:w="468" w:type="pct"/>
            <w:tcBorders>
              <w:top w:val="single" w:sz="4" w:space="0" w:color="auto"/>
              <w:left w:val="single" w:sz="4" w:space="0" w:color="auto"/>
              <w:bottom w:val="single" w:sz="4" w:space="0" w:color="auto"/>
              <w:right w:val="single" w:sz="4" w:space="0" w:color="auto"/>
            </w:tcBorders>
            <w:vAlign w:val="center"/>
          </w:tcPr>
          <w:p w14:paraId="2B9FD3B9" w14:textId="140919FC" w:rsidR="006D7485" w:rsidRPr="00C8094D" w:rsidRDefault="00375A49">
            <w:pPr>
              <w:pStyle w:val="TableText"/>
            </w:pPr>
            <w:r>
              <w:t>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2D8A28BD" w14:textId="3381E3D2" w:rsidR="006D7485" w:rsidRPr="00C8094D" w:rsidRDefault="00C0260F">
            <w:pPr>
              <w:pStyle w:val="TableText"/>
            </w:pPr>
            <w: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2849ADE8" w14:textId="39019753" w:rsidR="006D7485" w:rsidRPr="00C8094D" w:rsidRDefault="00C0260F">
            <w:pPr>
              <w:pStyle w:val="TableText"/>
            </w:pPr>
            <w:r>
              <w:t>1</w:t>
            </w:r>
          </w:p>
        </w:tc>
      </w:tr>
      <w:tr w:rsidR="006D7485" w:rsidRPr="00C8094D" w14:paraId="55424AB7" w14:textId="77777777" w:rsidTr="006D7485">
        <w:trPr>
          <w:cantSplit/>
          <w:trHeight w:val="255"/>
          <w:tblHeader/>
          <w:jc w:val="center"/>
        </w:trPr>
        <w:tc>
          <w:tcPr>
            <w:tcW w:w="250" w:type="pct"/>
            <w:tcBorders>
              <w:top w:val="nil"/>
              <w:left w:val="single" w:sz="4" w:space="0" w:color="auto"/>
              <w:bottom w:val="single" w:sz="4" w:space="0" w:color="auto"/>
            </w:tcBorders>
            <w:shd w:val="clear" w:color="auto" w:fill="auto"/>
          </w:tcPr>
          <w:p w14:paraId="25415EFF" w14:textId="77777777" w:rsidR="006D7485" w:rsidRDefault="006D7485">
            <w:pPr>
              <w:pStyle w:val="TableText"/>
            </w:pPr>
            <w:r>
              <w:t>(2)</w:t>
            </w:r>
          </w:p>
        </w:tc>
        <w:tc>
          <w:tcPr>
            <w:tcW w:w="2877" w:type="pct"/>
            <w:tcBorders>
              <w:top w:val="single" w:sz="4" w:space="0" w:color="auto"/>
              <w:bottom w:val="single" w:sz="4" w:space="0" w:color="auto"/>
              <w:right w:val="single" w:sz="4" w:space="0" w:color="auto"/>
            </w:tcBorders>
          </w:tcPr>
          <w:p w14:paraId="57E63041" w14:textId="146745F1" w:rsidR="006D7485" w:rsidRDefault="006D7485">
            <w:pPr>
              <w:pStyle w:val="TableText"/>
            </w:pPr>
            <w:r>
              <w:t>Avoid clustering special education spaces</w:t>
            </w:r>
          </w:p>
        </w:tc>
        <w:tc>
          <w:tcPr>
            <w:tcW w:w="468" w:type="pct"/>
            <w:tcBorders>
              <w:top w:val="nil"/>
              <w:left w:val="single" w:sz="4" w:space="0" w:color="auto"/>
              <w:bottom w:val="single" w:sz="4" w:space="0" w:color="auto"/>
              <w:right w:val="single" w:sz="4" w:space="0" w:color="auto"/>
            </w:tcBorders>
            <w:shd w:val="clear" w:color="auto" w:fill="auto"/>
            <w:vAlign w:val="center"/>
          </w:tcPr>
          <w:p w14:paraId="34D622BA" w14:textId="2D3F830A" w:rsidR="006D7485" w:rsidRPr="00C8094D" w:rsidRDefault="003F2988">
            <w:pPr>
              <w:pStyle w:val="TableText"/>
            </w:pPr>
            <w:r>
              <w:t>0</w:t>
            </w:r>
          </w:p>
        </w:tc>
        <w:tc>
          <w:tcPr>
            <w:tcW w:w="468" w:type="pct"/>
            <w:tcBorders>
              <w:top w:val="single" w:sz="4" w:space="0" w:color="auto"/>
              <w:left w:val="single" w:sz="4" w:space="0" w:color="auto"/>
              <w:bottom w:val="single" w:sz="4" w:space="0" w:color="auto"/>
              <w:right w:val="single" w:sz="4" w:space="0" w:color="auto"/>
            </w:tcBorders>
            <w:vAlign w:val="center"/>
          </w:tcPr>
          <w:p w14:paraId="15FF0FBE" w14:textId="3F3AE5CD" w:rsidR="006D7485" w:rsidRPr="00C8094D" w:rsidRDefault="003F2988">
            <w:pPr>
              <w:pStyle w:val="TableText"/>
            </w:pPr>
            <w:r>
              <w:t>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750B9B27" w14:textId="09C5C6E9" w:rsidR="006D7485" w:rsidRPr="00C8094D" w:rsidRDefault="003F2988">
            <w:pPr>
              <w:pStyle w:val="TableText"/>
            </w:pPr>
            <w: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594C0AAC" w14:textId="2616E55B" w:rsidR="006D7485" w:rsidRPr="00C8094D" w:rsidRDefault="003F2988">
            <w:pPr>
              <w:pStyle w:val="TableText"/>
            </w:pPr>
            <w:r>
              <w:t>1</w:t>
            </w:r>
          </w:p>
        </w:tc>
      </w:tr>
      <w:tr w:rsidR="006D7485" w:rsidRPr="00C8094D" w14:paraId="1CD3B9F9" w14:textId="77777777" w:rsidTr="006D7485">
        <w:trPr>
          <w:cantSplit/>
          <w:trHeight w:val="255"/>
          <w:tblHeader/>
          <w:jc w:val="center"/>
        </w:trPr>
        <w:tc>
          <w:tcPr>
            <w:tcW w:w="250" w:type="pct"/>
            <w:tcBorders>
              <w:top w:val="nil"/>
              <w:left w:val="single" w:sz="4" w:space="0" w:color="auto"/>
              <w:bottom w:val="single" w:sz="4" w:space="0" w:color="auto"/>
            </w:tcBorders>
            <w:shd w:val="clear" w:color="auto" w:fill="auto"/>
          </w:tcPr>
          <w:p w14:paraId="6B392D56" w14:textId="77777777" w:rsidR="006D7485" w:rsidRDefault="006D7485">
            <w:pPr>
              <w:pStyle w:val="TableText"/>
            </w:pPr>
            <w:r>
              <w:t>(3)</w:t>
            </w:r>
          </w:p>
        </w:tc>
        <w:tc>
          <w:tcPr>
            <w:tcW w:w="2877" w:type="pct"/>
            <w:tcBorders>
              <w:top w:val="single" w:sz="4" w:space="0" w:color="auto"/>
              <w:bottom w:val="single" w:sz="4" w:space="0" w:color="auto"/>
              <w:right w:val="single" w:sz="4" w:space="0" w:color="auto"/>
            </w:tcBorders>
          </w:tcPr>
          <w:p w14:paraId="0B8D3ACD" w14:textId="54B5A669" w:rsidR="006D7485" w:rsidRDefault="006D7485">
            <w:pPr>
              <w:pStyle w:val="TableText"/>
            </w:pPr>
            <w:r>
              <w:t>Prioritize principles of universal design</w:t>
            </w:r>
          </w:p>
        </w:tc>
        <w:tc>
          <w:tcPr>
            <w:tcW w:w="468" w:type="pct"/>
            <w:tcBorders>
              <w:top w:val="nil"/>
              <w:left w:val="single" w:sz="4" w:space="0" w:color="auto"/>
              <w:bottom w:val="single" w:sz="4" w:space="0" w:color="auto"/>
              <w:right w:val="single" w:sz="4" w:space="0" w:color="auto"/>
            </w:tcBorders>
            <w:shd w:val="clear" w:color="auto" w:fill="auto"/>
            <w:vAlign w:val="center"/>
          </w:tcPr>
          <w:p w14:paraId="44157602" w14:textId="697551D0" w:rsidR="006D7485" w:rsidRPr="00C8094D" w:rsidRDefault="00507191">
            <w:pPr>
              <w:pStyle w:val="TableText"/>
            </w:pPr>
            <w:r>
              <w:t>$-$$$</w:t>
            </w:r>
          </w:p>
        </w:tc>
        <w:tc>
          <w:tcPr>
            <w:tcW w:w="468" w:type="pct"/>
            <w:tcBorders>
              <w:top w:val="single" w:sz="4" w:space="0" w:color="auto"/>
              <w:left w:val="single" w:sz="4" w:space="0" w:color="auto"/>
              <w:bottom w:val="single" w:sz="4" w:space="0" w:color="auto"/>
              <w:right w:val="single" w:sz="4" w:space="0" w:color="auto"/>
            </w:tcBorders>
            <w:vAlign w:val="center"/>
          </w:tcPr>
          <w:p w14:paraId="065CF2A9" w14:textId="036679F6" w:rsidR="006D7485" w:rsidRPr="00C8094D" w:rsidRDefault="008205BC">
            <w:pPr>
              <w:pStyle w:val="TableText"/>
            </w:pPr>
            <w:r>
              <w:t>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36D5FF42" w14:textId="58999419" w:rsidR="006D7485" w:rsidRPr="00C8094D" w:rsidRDefault="0030249B">
            <w:pPr>
              <w:pStyle w:val="TableText"/>
            </w:pPr>
            <w: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4AAE53DA" w14:textId="7E0325C1" w:rsidR="006D7485" w:rsidRPr="00C8094D" w:rsidRDefault="004C7C29">
            <w:pPr>
              <w:pStyle w:val="TableText"/>
            </w:pPr>
            <w:r>
              <w:t>2</w:t>
            </w:r>
          </w:p>
        </w:tc>
      </w:tr>
      <w:tr w:rsidR="006D7485" w:rsidRPr="00C8094D" w14:paraId="00E3BADF" w14:textId="77777777" w:rsidTr="006D7485">
        <w:trPr>
          <w:cantSplit/>
          <w:trHeight w:val="255"/>
          <w:tblHeader/>
          <w:jc w:val="center"/>
        </w:trPr>
        <w:tc>
          <w:tcPr>
            <w:tcW w:w="250" w:type="pct"/>
            <w:tcBorders>
              <w:top w:val="single" w:sz="4" w:space="0" w:color="auto"/>
              <w:left w:val="single" w:sz="4" w:space="0" w:color="auto"/>
              <w:bottom w:val="single" w:sz="4" w:space="0" w:color="auto"/>
            </w:tcBorders>
            <w:shd w:val="clear" w:color="auto" w:fill="auto"/>
          </w:tcPr>
          <w:p w14:paraId="01924EE4" w14:textId="77777777" w:rsidR="006D7485" w:rsidRPr="00C8094D" w:rsidRDefault="006D7485">
            <w:pPr>
              <w:pStyle w:val="TableText"/>
            </w:pPr>
            <w:r>
              <w:t>(4)</w:t>
            </w:r>
          </w:p>
        </w:tc>
        <w:tc>
          <w:tcPr>
            <w:tcW w:w="2877" w:type="pct"/>
            <w:tcBorders>
              <w:top w:val="single" w:sz="4" w:space="0" w:color="auto"/>
              <w:bottom w:val="single" w:sz="4" w:space="0" w:color="auto"/>
              <w:right w:val="single" w:sz="4" w:space="0" w:color="auto"/>
            </w:tcBorders>
          </w:tcPr>
          <w:p w14:paraId="64E9349A" w14:textId="09F31CBA" w:rsidR="006D7485" w:rsidRPr="00C8094D" w:rsidRDefault="006D7485">
            <w:pPr>
              <w:pStyle w:val="TableText"/>
            </w:pPr>
            <w:r>
              <w:t>Collaborate within and across districts</w:t>
            </w:r>
          </w:p>
        </w:tc>
        <w:tc>
          <w:tcPr>
            <w:tcW w:w="468" w:type="pct"/>
            <w:tcBorders>
              <w:top w:val="nil"/>
              <w:left w:val="single" w:sz="4" w:space="0" w:color="auto"/>
              <w:bottom w:val="single" w:sz="4" w:space="0" w:color="auto"/>
              <w:right w:val="single" w:sz="4" w:space="0" w:color="auto"/>
            </w:tcBorders>
            <w:shd w:val="clear" w:color="auto" w:fill="auto"/>
            <w:vAlign w:val="center"/>
          </w:tcPr>
          <w:p w14:paraId="6193E57D" w14:textId="08B74547" w:rsidR="006D7485" w:rsidRPr="00C8094D" w:rsidRDefault="00507191">
            <w:pPr>
              <w:pStyle w:val="TableText"/>
            </w:pPr>
            <w:r>
              <w:t>0</w:t>
            </w:r>
          </w:p>
        </w:tc>
        <w:tc>
          <w:tcPr>
            <w:tcW w:w="468" w:type="pct"/>
            <w:tcBorders>
              <w:top w:val="single" w:sz="4" w:space="0" w:color="auto"/>
              <w:left w:val="single" w:sz="4" w:space="0" w:color="auto"/>
              <w:bottom w:val="single" w:sz="4" w:space="0" w:color="auto"/>
              <w:right w:val="single" w:sz="4" w:space="0" w:color="auto"/>
            </w:tcBorders>
            <w:vAlign w:val="center"/>
          </w:tcPr>
          <w:p w14:paraId="01D7E726" w14:textId="26497B5D" w:rsidR="006D7485" w:rsidRPr="00C8094D" w:rsidRDefault="00507191">
            <w:pPr>
              <w:pStyle w:val="TableText"/>
            </w:pPr>
            <w:r>
              <w:t>$</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52CB3E26" w14:textId="14CA0730" w:rsidR="006D7485" w:rsidRPr="00C8094D" w:rsidRDefault="00507191">
            <w:pPr>
              <w:pStyle w:val="TableText"/>
            </w:pPr>
            <w: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5A1C0B20" w14:textId="5BD59567" w:rsidR="006D7485" w:rsidRPr="00C8094D" w:rsidRDefault="00507191">
            <w:pPr>
              <w:pStyle w:val="TableText"/>
            </w:pPr>
            <w:r>
              <w:t>1</w:t>
            </w:r>
          </w:p>
        </w:tc>
      </w:tr>
      <w:tr w:rsidR="006D7485" w:rsidRPr="00C8094D" w14:paraId="4B1D5425" w14:textId="77777777" w:rsidTr="006D7485">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BDE2A7D" w14:textId="77777777" w:rsidR="006D7485" w:rsidRPr="00C956A9" w:rsidRDefault="006D7485" w:rsidP="006D7485">
            <w:pPr>
              <w:pStyle w:val="TableKey"/>
            </w:pPr>
            <w:r w:rsidRPr="00C956A9">
              <w:t>Key:</w:t>
            </w:r>
          </w:p>
          <w:p w14:paraId="3510BC33" w14:textId="77777777" w:rsidR="006D7485" w:rsidRPr="00C956A9" w:rsidRDefault="006D7485" w:rsidP="006D7485">
            <w:pPr>
              <w:pStyle w:val="TableKey"/>
            </w:pPr>
            <w:r w:rsidRPr="00C956A9">
              <w:t xml:space="preserve">Cost: 0 = no cost; $ = low cost (&lt;$25k), $$ = medium cost ($25-100k), $$$ = high cost (&gt;$100k) </w:t>
            </w:r>
          </w:p>
          <w:p w14:paraId="5E10D29B" w14:textId="7D480729" w:rsidR="006D7485" w:rsidRPr="00C956A9" w:rsidRDefault="006D7485" w:rsidP="006D7485">
            <w:pPr>
              <w:pStyle w:val="TableKey"/>
            </w:pPr>
            <w:r w:rsidRPr="00C956A9">
              <w:t>Implementation Timeframe: 1 = near-term (0-3 months); 2 = medium-term (4-12 months); 3 = long-term (</w:t>
            </w:r>
            <w:r w:rsidR="000F276A">
              <w:t>&gt;</w:t>
            </w:r>
            <w:r w:rsidRPr="00C956A9">
              <w:t>12 months)</w:t>
            </w:r>
          </w:p>
          <w:p w14:paraId="5CEEAADA" w14:textId="6175FDFB" w:rsidR="006D7485" w:rsidRPr="006D7485" w:rsidRDefault="006D7485" w:rsidP="006D7485">
            <w:pPr>
              <w:pStyle w:val="TableKey"/>
              <w:rPr>
                <w:szCs w:val="22"/>
              </w:rPr>
            </w:pPr>
            <w:r w:rsidRPr="00C956A9">
              <w:t>Ease of Implementation:</w:t>
            </w:r>
            <w:r>
              <w:t xml:space="preserve"> 1= easier to implement; 3 = more difficult to implement</w:t>
            </w:r>
          </w:p>
        </w:tc>
      </w:tr>
    </w:tbl>
    <w:p w14:paraId="407CE7A3" w14:textId="77777777" w:rsidR="00DD18C5" w:rsidRDefault="00DD18C5" w:rsidP="00DD18C5">
      <w:pPr>
        <w:pStyle w:val="Heading3"/>
      </w:pPr>
      <w:r w:rsidRPr="00B40F18">
        <w:t xml:space="preserve">Barriers and Challenges </w:t>
      </w:r>
    </w:p>
    <w:p w14:paraId="12CF27DE" w14:textId="11894588" w:rsidR="00DD18C5" w:rsidRDefault="00DD18C5" w:rsidP="006D7DE6">
      <w:pPr>
        <w:pStyle w:val="BodyTextFirstIndent"/>
      </w:pPr>
      <w:r>
        <w:t xml:space="preserve">Optimizing space to meet special education needs </w:t>
      </w:r>
      <w:r w:rsidR="00B764E0">
        <w:t xml:space="preserve">more equitably </w:t>
      </w:r>
      <w:r>
        <w:t xml:space="preserve">is </w:t>
      </w:r>
      <w:r w:rsidR="00B764E0">
        <w:t>essential</w:t>
      </w:r>
      <w:r>
        <w:t xml:space="preserve">; however, optimizing space alone will not fix the special education disparities in Massachusetts schools. Proper identification of students and adequate staffing are also essential elements in equitably meeting special education needs. This document addresses how schools and school districts can optimize space while assuming appropriate identification and staffing. </w:t>
      </w:r>
    </w:p>
    <w:p w14:paraId="599CF15F" w14:textId="397B2081" w:rsidR="001E4243" w:rsidRDefault="009502E6" w:rsidP="006D7DE6">
      <w:pPr>
        <w:pStyle w:val="BodyTextFirstIndent"/>
      </w:pPr>
      <w:r>
        <w:t>Not e</w:t>
      </w:r>
      <w:r w:rsidR="00DD18C5">
        <w:t xml:space="preserve">very school and school district </w:t>
      </w:r>
      <w:r w:rsidR="00926B5C">
        <w:t>are able to</w:t>
      </w:r>
      <w:r w:rsidR="00DD18C5">
        <w:t xml:space="preserve"> meet the individual needs of every student. Out-of-district placements and </w:t>
      </w:r>
      <w:r w:rsidR="009821F3">
        <w:t>E</w:t>
      </w:r>
      <w:r w:rsidR="00DD18C5">
        <w:t xml:space="preserve">ducation </w:t>
      </w:r>
      <w:r w:rsidR="009821F3">
        <w:t>C</w:t>
      </w:r>
      <w:r w:rsidR="00DD18C5">
        <w:t xml:space="preserve">ollaboratives can help ease </w:t>
      </w:r>
      <w:r w:rsidR="00B764E0">
        <w:t xml:space="preserve">the </w:t>
      </w:r>
      <w:r w:rsidR="00DD18C5">
        <w:t>challenges that come with serving students with the greatest educational needs. School districts in urban and suburban areas have a greater concentration of resources</w:t>
      </w:r>
      <w:r w:rsidR="00B764E0">
        <w:t>,</w:t>
      </w:r>
      <w:r w:rsidR="00DD18C5">
        <w:t xml:space="preserve"> allowing them to place most students in an appropriate setting within a reasonable distance from their home. Rural districts are more likely to face challenges placing students in </w:t>
      </w:r>
      <w:r w:rsidR="00B764E0">
        <w:t xml:space="preserve">the proper </w:t>
      </w:r>
      <w:r w:rsidR="00DD18C5">
        <w:t>settings because resources are more dispersed</w:t>
      </w:r>
      <w:r w:rsidR="00B764E0">
        <w:t xml:space="preserve"> than in urban and suburban areas</w:t>
      </w:r>
      <w:r w:rsidR="00DD18C5">
        <w:t>.</w:t>
      </w:r>
      <w:r w:rsidR="001A41BB">
        <w:t xml:space="preserve"> For this reason</w:t>
      </w:r>
      <w:r w:rsidR="002F14CA">
        <w:t xml:space="preserve"> and many others</w:t>
      </w:r>
      <w:r w:rsidR="00D1697F">
        <w:t xml:space="preserve"> highlighted earlier in the report</w:t>
      </w:r>
      <w:r w:rsidR="001A41BB">
        <w:t xml:space="preserve">, rural districts face more challenges when trying to meet the needs of </w:t>
      </w:r>
      <w:r w:rsidR="002F14CA">
        <w:t>every student.</w:t>
      </w:r>
    </w:p>
    <w:p w14:paraId="6B742511" w14:textId="0F00B6FF" w:rsidR="00C1402C" w:rsidRDefault="00F22B8C" w:rsidP="006D7DE6">
      <w:pPr>
        <w:pStyle w:val="BodyTextFirstIndent"/>
      </w:pPr>
      <w:r>
        <w:t xml:space="preserve">Transportation can be an issue for students in urban and rural areas. Though students with transportation listed on their </w:t>
      </w:r>
      <w:r w:rsidR="00BC1E86">
        <w:t>Individualized Education Plan (</w:t>
      </w:r>
      <w:r>
        <w:t>IEP</w:t>
      </w:r>
      <w:r w:rsidR="00BC1E86">
        <w:t>)</w:t>
      </w:r>
      <w:r>
        <w:t xml:space="preserve"> are entitled to transportation to out</w:t>
      </w:r>
      <w:r w:rsidR="00A33C3D">
        <w:t>-</w:t>
      </w:r>
      <w:r>
        <w:t>of</w:t>
      </w:r>
      <w:r w:rsidR="00A33C3D">
        <w:t>-</w:t>
      </w:r>
      <w:r>
        <w:t>district</w:t>
      </w:r>
      <w:r w:rsidR="00A33C3D">
        <w:t xml:space="preserve"> </w:t>
      </w:r>
      <w:r>
        <w:t>placements, this transportation can be unreliable</w:t>
      </w:r>
      <w:r w:rsidR="00B51A1E">
        <w:t xml:space="preserve">. Students without transportation on their IEP </w:t>
      </w:r>
      <w:r w:rsidR="00045D4A">
        <w:t xml:space="preserve">and </w:t>
      </w:r>
      <w:r w:rsidR="00B51A1E">
        <w:t>placed out of district</w:t>
      </w:r>
      <w:r w:rsidR="00D73D74">
        <w:t xml:space="preserve"> will face even greater challenges since transportation falls on the parents. </w:t>
      </w:r>
      <w:r w:rsidR="009F3702">
        <w:t>Parents</w:t>
      </w:r>
      <w:r w:rsidR="00D73D74">
        <w:t xml:space="preserve"> that work long hours, have other children, </w:t>
      </w:r>
      <w:r w:rsidR="009F3702">
        <w:t>lack transportation</w:t>
      </w:r>
      <w:r w:rsidR="00D11553">
        <w:t xml:space="preserve">, </w:t>
      </w:r>
      <w:r w:rsidR="0016283D">
        <w:t>or in many other</w:t>
      </w:r>
      <w:r w:rsidR="00D73D74">
        <w:t xml:space="preserve"> </w:t>
      </w:r>
      <w:r w:rsidR="00773FA2">
        <w:t>circumstances may struggl</w:t>
      </w:r>
      <w:r w:rsidR="00306712">
        <w:t xml:space="preserve">e or be unable to </w:t>
      </w:r>
      <w:r w:rsidR="00625141">
        <w:t xml:space="preserve">transport their child to a school out of </w:t>
      </w:r>
      <w:r w:rsidR="000C4B87">
        <w:t xml:space="preserve">their </w:t>
      </w:r>
      <w:r w:rsidR="00625141">
        <w:t>district</w:t>
      </w:r>
      <w:r w:rsidR="00824E11">
        <w:t xml:space="preserve">, further </w:t>
      </w:r>
      <w:r w:rsidR="00824E11">
        <w:lastRenderedPageBreak/>
        <w:t>exacerbating inequities</w:t>
      </w:r>
      <w:r w:rsidR="00E96886">
        <w:t xml:space="preserve">. </w:t>
      </w:r>
      <w:r w:rsidR="000356CB">
        <w:t>Teachers</w:t>
      </w:r>
      <w:r w:rsidR="000C4B87">
        <w:t xml:space="preserve">, parents, and everyone on a student’s IEP team should consider </w:t>
      </w:r>
      <w:r w:rsidR="00D27947">
        <w:t>potential transportation</w:t>
      </w:r>
      <w:r w:rsidR="000C4B87">
        <w:t xml:space="preserve"> barrier</w:t>
      </w:r>
      <w:r w:rsidR="00D27947">
        <w:t>s</w:t>
      </w:r>
      <w:r w:rsidR="000C4B87">
        <w:t xml:space="preserve"> before placing a student. </w:t>
      </w:r>
    </w:p>
    <w:p w14:paraId="6846F4D9" w14:textId="00AA9DFC" w:rsidR="00FC7800" w:rsidRDefault="00FC7800" w:rsidP="001C7888">
      <w:pPr>
        <w:pStyle w:val="Heading2"/>
      </w:pPr>
      <w:bookmarkStart w:id="288" w:name="Objective_3b"/>
      <w:bookmarkStart w:id="289" w:name="_Toc171518381"/>
      <w:bookmarkStart w:id="290" w:name="_Toc171519334"/>
      <w:bookmarkStart w:id="291" w:name="_Toc193116913"/>
      <w:bookmarkEnd w:id="288"/>
      <w:r>
        <w:t>Objective 3</w:t>
      </w:r>
      <w:r w:rsidR="007B73B2">
        <w:t>b</w:t>
      </w:r>
      <w:r>
        <w:t xml:space="preserve">. </w:t>
      </w:r>
      <w:r w:rsidR="00774060">
        <w:t>Prioritize</w:t>
      </w:r>
      <w:r>
        <w:t xml:space="preserve"> Universal Accessibility</w:t>
      </w:r>
      <w:bookmarkEnd w:id="289"/>
      <w:bookmarkEnd w:id="290"/>
      <w:bookmarkEnd w:id="291"/>
    </w:p>
    <w:p w14:paraId="05FE6807" w14:textId="77777777" w:rsidR="00A46F11" w:rsidRDefault="00A46F11" w:rsidP="00A46F11">
      <w:pPr>
        <w:pStyle w:val="Heading3"/>
      </w:pPr>
      <w:r>
        <w:t>Background</w:t>
      </w:r>
    </w:p>
    <w:p w14:paraId="0BE99090" w14:textId="08420081" w:rsidR="00A46F11" w:rsidRDefault="00A02403" w:rsidP="006D7DE6">
      <w:pPr>
        <w:pStyle w:val="BodyTextFirstIndent"/>
      </w:pPr>
      <w:r>
        <w:t xml:space="preserve">Massachusetts is home to some of the oldest schools in the country, with many school buildings </w:t>
      </w:r>
      <w:r w:rsidR="00472A97">
        <w:t>more than</w:t>
      </w:r>
      <w:r>
        <w:t xml:space="preserve"> 70 years old.</w:t>
      </w:r>
      <w:r>
        <w:fldChar w:fldCharType="begin"/>
      </w:r>
      <w:r w:rsidR="00B4325E">
        <w:instrText xml:space="preserve"> ADDIN ZOTERO_ITEM CSL_CITATION {"citationID":"a19r87g28aa","properties":{"formattedCitation":"\\super 154\\nosupersub{}","plainCitation":"154","noteIndex":0},"citationItems":[{"id":904,"uris":["http://zotero.org/groups/5563646/items/3RY6ZPX3"],"itemData":{"id":904,"type":"webpage","abstract":"Massachusetts took aggressive steps two decades ago to rein in school construction spending, but the effort has led to substantially more aid going to white students on a per pupil basis than to Latino and Black students.","container-title":"BostonGlobe.com","language":"en-US","title":"Massachusetts spends thousands more on school construction aid for white students than for students of color - The Boston Globe","URL":"https://www.bostonglobe.com/2023/05/27/metro/massachusetts-school-construction-aid/","author":[{"family":"Vaznis","given":"James"},{"family":"Staff","given":"Christopher Huffaker Globe"}],"accessed":{"date-parts":[["2024",7,25]]}}}],"schema":"https://github.com/citation-style-language/schema/raw/master/csl-citation.json"} </w:instrText>
      </w:r>
      <w:r>
        <w:fldChar w:fldCharType="separate"/>
      </w:r>
      <w:r w:rsidR="00B4325E" w:rsidRPr="00B4325E">
        <w:rPr>
          <w:rFonts w:cs="Arial"/>
          <w:vertAlign w:val="superscript"/>
        </w:rPr>
        <w:t>154</w:t>
      </w:r>
      <w:r>
        <w:fldChar w:fldCharType="end"/>
      </w:r>
      <w:r>
        <w:t xml:space="preserve"> Historically, schools were not designed to guarantee access for disabled students and were not welcoming to students of all genders or races. Black and Latino students are more likely to attend older, </w:t>
      </w:r>
      <w:r w:rsidR="00B764E0">
        <w:t>out-of-</w:t>
      </w:r>
      <w:r>
        <w:t xml:space="preserve">date schools. </w:t>
      </w:r>
      <w:r w:rsidR="00943772">
        <w:t>Schools are mandate</w:t>
      </w:r>
      <w:r w:rsidR="00990E0B">
        <w:t>d to</w:t>
      </w:r>
      <w:r w:rsidR="00323BBF">
        <w:t xml:space="preserve"> protect</w:t>
      </w:r>
      <w:r w:rsidR="00041139">
        <w:t xml:space="preserve"> students from discrimination </w:t>
      </w:r>
      <w:r w:rsidR="00B764E0">
        <w:t>based on</w:t>
      </w:r>
      <w:r w:rsidR="00041139">
        <w:t xml:space="preserve"> disability, gender identity, sexual orientation, and race</w:t>
      </w:r>
      <w:r w:rsidR="002F368D">
        <w:t xml:space="preserve"> by state and federal laws and regulations</w:t>
      </w:r>
      <w:r w:rsidR="00041139">
        <w:t>.</w:t>
      </w:r>
      <w:r w:rsidR="00041139">
        <w:fldChar w:fldCharType="begin"/>
      </w:r>
      <w:r w:rsidR="00402C3B">
        <w:instrText xml:space="preserve"> ADDIN ZOTERO_ITEM CSL_CITATION {"citationID":"a21vhugocqh","properties":{"formattedCitation":"\\super 155,156\\nosupersub{}","plainCitation":"155,156","noteIndex":0},"citationItems":[{"id":416,"uris":["http://zotero.org/groups/5563646/items/GWD8R58M"],"itemData":{"id":416,"type":"webpage","abstract":"The text of the Americans with Disabilities Act of 1990 (ADA), including changes made by the ADA Amendments Act of 2008.","container-title":"ADA.gov","language":"en","title":"Americans with Disabilities Act of 1990, As Amended","URL":"https://www.ada.gov/law-and-regs/ada/","accessed":{"date-parts":[["2024",7,3]]}}},{"id":435,"uris":["http://zotero.org/groups/5563646/items/WQTH49W7"],"itemData":{"id":435,"type":"webpage","title":"Session Law - Acts of 2011 Chapter 199","URL":"https://malegislature.gov/Laws/SessionLaws/Acts/2011/Chapter199","accessed":{"date-parts":[["2024",7,2]]}}}],"schema":"https://github.com/citation-style-language/schema/raw/master/csl-citation.json"} </w:instrText>
      </w:r>
      <w:r w:rsidR="00041139">
        <w:fldChar w:fldCharType="separate"/>
      </w:r>
      <w:r w:rsidR="00402C3B" w:rsidRPr="00402C3B">
        <w:rPr>
          <w:rFonts w:cs="Arial"/>
          <w:vertAlign w:val="superscript"/>
        </w:rPr>
        <w:t>155,156</w:t>
      </w:r>
      <w:r w:rsidR="00041139">
        <w:fldChar w:fldCharType="end"/>
      </w:r>
      <w:r w:rsidR="00041139">
        <w:t xml:space="preserve"> </w:t>
      </w:r>
      <w:r w:rsidR="00875595">
        <w:t>To accomplish this,</w:t>
      </w:r>
      <w:r w:rsidR="007A5C76">
        <w:t xml:space="preserve"> school facilities </w:t>
      </w:r>
      <w:r w:rsidR="00244D05">
        <w:t xml:space="preserve">need </w:t>
      </w:r>
      <w:r w:rsidR="007A5C76">
        <w:t xml:space="preserve">to </w:t>
      </w:r>
      <w:r w:rsidR="00F16BDB">
        <w:t>adopt</w:t>
      </w:r>
      <w:r w:rsidR="007A5C76">
        <w:t xml:space="preserve"> more inclusive and accessible policies. </w:t>
      </w:r>
      <w:r w:rsidR="00AA771D" w:rsidRPr="000165C7">
        <w:t xml:space="preserve">Disabilities are only disabling if they </w:t>
      </w:r>
      <w:r w:rsidR="006D6DEB">
        <w:t>limit</w:t>
      </w:r>
      <w:r w:rsidR="00AA771D" w:rsidRPr="000165C7">
        <w:t xml:space="preserve"> people from </w:t>
      </w:r>
      <w:r w:rsidR="00B764E0">
        <w:t>achieving</w:t>
      </w:r>
      <w:r w:rsidR="00B764E0" w:rsidRPr="000165C7">
        <w:t xml:space="preserve"> </w:t>
      </w:r>
      <w:r w:rsidR="00B764E0">
        <w:t>what</w:t>
      </w:r>
      <w:r w:rsidR="00AA771D" w:rsidRPr="000165C7">
        <w:t xml:space="preserve"> they want and need to do.</w:t>
      </w:r>
      <w:r w:rsidR="00FC3FEA">
        <w:t xml:space="preserve"> </w:t>
      </w:r>
      <w:r w:rsidR="002D394E">
        <w:t>I</w:t>
      </w:r>
      <w:r w:rsidR="00FC3FEA">
        <w:t>ncreasing</w:t>
      </w:r>
      <w:r w:rsidR="002B6C5F">
        <w:t xml:space="preserve"> the</w:t>
      </w:r>
      <w:r w:rsidR="00590494">
        <w:t xml:space="preserve"> accessibility </w:t>
      </w:r>
      <w:r w:rsidR="002B6C5F">
        <w:t>of</w:t>
      </w:r>
      <w:r w:rsidR="00590494">
        <w:t xml:space="preserve"> school facilities and learning environments</w:t>
      </w:r>
      <w:r w:rsidR="002D394E">
        <w:t xml:space="preserve"> creates</w:t>
      </w:r>
      <w:r w:rsidR="00BC7AE5">
        <w:t xml:space="preserve"> more</w:t>
      </w:r>
      <w:r w:rsidR="00D05A34">
        <w:t xml:space="preserve"> opportunities for</w:t>
      </w:r>
      <w:r w:rsidR="00301D34">
        <w:t xml:space="preserve"> student</w:t>
      </w:r>
      <w:r w:rsidR="00D05A34">
        <w:t xml:space="preserve">s </w:t>
      </w:r>
      <w:r w:rsidR="00301D34">
        <w:t xml:space="preserve">to </w:t>
      </w:r>
      <w:r w:rsidR="003D4665">
        <w:t>thrive in their school communities</w:t>
      </w:r>
      <w:r w:rsidR="00301D34">
        <w:t xml:space="preserve">. </w:t>
      </w:r>
    </w:p>
    <w:p w14:paraId="1A5BAABF" w14:textId="152A5352" w:rsidR="00A46F11" w:rsidRDefault="00A46F11" w:rsidP="00A46F11">
      <w:pPr>
        <w:pStyle w:val="Heading3"/>
      </w:pPr>
      <w:r>
        <w:t>Methods and Best Practices</w:t>
      </w:r>
    </w:p>
    <w:p w14:paraId="7C8D9A73" w14:textId="4C278439" w:rsidR="003B3944" w:rsidRDefault="000B6D4D" w:rsidP="006D7DE6">
      <w:pPr>
        <w:pStyle w:val="BodyTextFirstIndent"/>
      </w:pPr>
      <w:r>
        <w:fldChar w:fldCharType="begin"/>
      </w:r>
      <w:r>
        <w:instrText xml:space="preserve"> REF _Ref172200826 \h </w:instrText>
      </w:r>
      <w:r>
        <w:fldChar w:fldCharType="separate"/>
      </w:r>
      <w:r w:rsidR="00307850">
        <w:t xml:space="preserve">Table </w:t>
      </w:r>
      <w:r w:rsidR="00307850">
        <w:rPr>
          <w:noProof/>
        </w:rPr>
        <w:t>32</w:t>
      </w:r>
      <w:r>
        <w:fldChar w:fldCharType="end"/>
      </w:r>
      <w:r>
        <w:t xml:space="preserve"> </w:t>
      </w:r>
      <w:r w:rsidR="003B3944" w:rsidRPr="00B40F18">
        <w:t xml:space="preserve">summarizes </w:t>
      </w:r>
      <w:r w:rsidR="003B3944">
        <w:t xml:space="preserve">methods and best practices for </w:t>
      </w:r>
      <w:r w:rsidR="006B12CF">
        <w:t>universal accessibility</w:t>
      </w:r>
      <w:r w:rsidR="003B3944">
        <w:t xml:space="preserve"> in schools. For each method/best practice, the table presents </w:t>
      </w:r>
      <w:r w:rsidR="003B3944" w:rsidRPr="00B40F18">
        <w:t>the approximate</w:t>
      </w:r>
      <w:r w:rsidR="003B3944">
        <w:t xml:space="preserve"> capital and operating</w:t>
      </w:r>
      <w:r w:rsidR="003B3944" w:rsidRPr="00B40F18">
        <w:t xml:space="preserve"> cost</w:t>
      </w:r>
      <w:r w:rsidR="003B3944">
        <w:t>s</w:t>
      </w:r>
      <w:r w:rsidR="003B3944" w:rsidRPr="00B40F18">
        <w:t>,</w:t>
      </w:r>
      <w:r w:rsidR="003B3944">
        <w:t xml:space="preserve"> implementation timeframe</w:t>
      </w:r>
      <w:r w:rsidR="003B3944" w:rsidRPr="00B40F18">
        <w:t>, and</w:t>
      </w:r>
      <w:r w:rsidR="003B3944">
        <w:t xml:space="preserve"> ease of</w:t>
      </w:r>
      <w:r w:rsidR="003B3944" w:rsidRPr="00B40F18">
        <w:t xml:space="preserve"> implementation</w:t>
      </w:r>
      <w:r w:rsidR="003B3944">
        <w:t xml:space="preserve">. </w:t>
      </w:r>
      <w:r w:rsidR="006B12CF" w:rsidRPr="006B12CF">
        <w:t xml:space="preserve">See </w:t>
      </w:r>
      <w:hyperlink w:anchor="SectVIII_3b" w:history="1">
        <w:r w:rsidR="00105509" w:rsidRPr="00105509">
          <w:rPr>
            <w:rStyle w:val="Hyperlink"/>
          </w:rPr>
          <w:t>Section VIII, Objective 3b</w:t>
        </w:r>
      </w:hyperlink>
      <w:r w:rsidR="006B12CF" w:rsidRPr="006B12CF">
        <w:t xml:space="preserve"> for additional narrative descriptions of each of the methods and best practices.</w:t>
      </w:r>
    </w:p>
    <w:p w14:paraId="5F6B2237" w14:textId="59889648" w:rsidR="003B3944" w:rsidRDefault="00FE5730" w:rsidP="00B30C96">
      <w:pPr>
        <w:pStyle w:val="Caption"/>
      </w:pPr>
      <w:bookmarkStart w:id="292" w:name="_Ref172200826"/>
      <w:bookmarkStart w:id="293" w:name="_Toc192711698"/>
      <w:bookmarkStart w:id="294" w:name="_Toc193112580"/>
      <w:bookmarkStart w:id="295" w:name="_Toc193116979"/>
      <w:r>
        <w:lastRenderedPageBreak/>
        <w:t xml:space="preserve">Table </w:t>
      </w:r>
      <w:fldSimple w:instr=" SEQ Table \* ARABIC ">
        <w:r w:rsidR="00307850">
          <w:rPr>
            <w:noProof/>
          </w:rPr>
          <w:t>32</w:t>
        </w:r>
      </w:fldSimple>
      <w:bookmarkEnd w:id="292"/>
      <w:r w:rsidR="000C3192">
        <w:t xml:space="preserve">. </w:t>
      </w:r>
      <w:r w:rsidR="003B3944" w:rsidRPr="00837CC4">
        <w:t>Methods</w:t>
      </w:r>
      <w:r w:rsidR="00AB6143">
        <w:t xml:space="preserve"> and </w:t>
      </w:r>
      <w:r w:rsidR="003B3944" w:rsidRPr="00837CC4">
        <w:t xml:space="preserve">Best Practices </w:t>
      </w:r>
      <w:r w:rsidR="00333329">
        <w:t xml:space="preserve">for </w:t>
      </w:r>
      <w:r w:rsidR="00E933E4">
        <w:t>Prioritizing</w:t>
      </w:r>
      <w:r w:rsidR="00906761">
        <w:t xml:space="preserve"> Universal Accessibility</w:t>
      </w:r>
      <w:bookmarkEnd w:id="293"/>
      <w:bookmarkEnd w:id="294"/>
      <w:bookmarkEnd w:id="295"/>
    </w:p>
    <w:tbl>
      <w:tblPr>
        <w:tblW w:w="5000" w:type="pct"/>
        <w:jc w:val="center"/>
        <w:tblCellMar>
          <w:left w:w="58" w:type="dxa"/>
          <w:right w:w="58" w:type="dxa"/>
        </w:tblCellMar>
        <w:tblLook w:val="04A0" w:firstRow="1" w:lastRow="0" w:firstColumn="1" w:lastColumn="0" w:noHBand="0" w:noVBand="1"/>
        <w:tblDescription w:val="Table listing the associated approximate costs, ease of implementation, and implementation timeframe associated with methods or best practices for prioritizing universal accessibility."/>
      </w:tblPr>
      <w:tblGrid>
        <w:gridCol w:w="543"/>
        <w:gridCol w:w="5365"/>
        <w:gridCol w:w="860"/>
        <w:gridCol w:w="860"/>
        <w:gridCol w:w="860"/>
        <w:gridCol w:w="862"/>
      </w:tblGrid>
      <w:tr w:rsidR="003B3944" w:rsidRPr="00C8094D" w14:paraId="7D696D14" w14:textId="77777777" w:rsidTr="00E229A6">
        <w:trPr>
          <w:cantSplit/>
          <w:trHeight w:val="2420"/>
          <w:tblHeader/>
          <w:jc w:val="center"/>
        </w:trPr>
        <w:tc>
          <w:tcPr>
            <w:tcW w:w="315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hideMark/>
          </w:tcPr>
          <w:p w14:paraId="2C0C7C50" w14:textId="5FCB6D57" w:rsidR="003B3944" w:rsidRDefault="003B3944">
            <w:pPr>
              <w:pStyle w:val="TableColumnHeader"/>
            </w:pPr>
            <w:bookmarkStart w:id="296" w:name="_Toc171518382"/>
            <w:bookmarkStart w:id="297" w:name="_Toc171519335"/>
            <w:r>
              <w:t>Methods</w:t>
            </w:r>
            <w:r w:rsidR="00AB6143">
              <w:t xml:space="preserve"> and </w:t>
            </w:r>
            <w:r>
              <w:t>Best Practices</w:t>
            </w:r>
          </w:p>
        </w:tc>
        <w:tc>
          <w:tcPr>
            <w:tcW w:w="460"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7609C4DA" w14:textId="77777777" w:rsidR="003B3944" w:rsidRPr="00C8094D" w:rsidRDefault="003B3944">
            <w:pPr>
              <w:pStyle w:val="TableColumnHeader"/>
              <w:jc w:val="left"/>
            </w:pPr>
            <w:r>
              <w:t xml:space="preserve">Capital </w:t>
            </w:r>
            <w:r w:rsidRPr="00C8094D">
              <w:t>Cost</w:t>
            </w:r>
          </w:p>
        </w:tc>
        <w:tc>
          <w:tcPr>
            <w:tcW w:w="460"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6FD1DD72" w14:textId="77777777" w:rsidR="003B3944" w:rsidRDefault="003B3944">
            <w:pPr>
              <w:pStyle w:val="TableColumnHeader"/>
              <w:jc w:val="left"/>
            </w:pPr>
            <w:r>
              <w:t>Operating Cost</w:t>
            </w:r>
          </w:p>
        </w:tc>
        <w:tc>
          <w:tcPr>
            <w:tcW w:w="460"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6129612A" w14:textId="77777777" w:rsidR="003B3944" w:rsidRPr="00C8094D" w:rsidRDefault="003B3944">
            <w:pPr>
              <w:pStyle w:val="TableColumnHeader"/>
              <w:jc w:val="left"/>
            </w:pPr>
            <w:r>
              <w:t xml:space="preserve">Implementation </w:t>
            </w:r>
            <w:r w:rsidRPr="00C8094D">
              <w:t>Timeframe</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0B8160C0" w14:textId="77777777" w:rsidR="003B3944" w:rsidRPr="00C8094D" w:rsidRDefault="003B3944">
            <w:pPr>
              <w:pStyle w:val="TableColumnHeader"/>
              <w:jc w:val="left"/>
            </w:pPr>
            <w:r>
              <w:t xml:space="preserve">Ease of </w:t>
            </w:r>
            <w:r w:rsidRPr="00C8094D">
              <w:t>Implementation</w:t>
            </w:r>
          </w:p>
        </w:tc>
      </w:tr>
      <w:tr w:rsidR="00D854C4" w:rsidRPr="00C8094D" w14:paraId="0F56491A" w14:textId="77777777" w:rsidTr="00D854C4">
        <w:trPr>
          <w:cantSplit/>
          <w:trHeight w:val="255"/>
          <w:tblHeader/>
          <w:jc w:val="center"/>
        </w:trPr>
        <w:tc>
          <w:tcPr>
            <w:tcW w:w="5000" w:type="pct"/>
            <w:gridSpan w:val="6"/>
            <w:tcBorders>
              <w:top w:val="nil"/>
              <w:left w:val="single" w:sz="4" w:space="0" w:color="auto"/>
              <w:bottom w:val="single" w:sz="4" w:space="0" w:color="auto"/>
              <w:right w:val="single" w:sz="4" w:space="0" w:color="auto"/>
            </w:tcBorders>
            <w:shd w:val="clear" w:color="auto" w:fill="002060"/>
          </w:tcPr>
          <w:p w14:paraId="626672FD" w14:textId="60C073EF" w:rsidR="00D854C4" w:rsidRPr="00D854C4" w:rsidRDefault="00D854C4">
            <w:pPr>
              <w:pStyle w:val="TableText"/>
              <w:rPr>
                <w:b/>
                <w:bCs/>
              </w:rPr>
            </w:pPr>
            <w:r w:rsidRPr="00D854C4">
              <w:rPr>
                <w:b/>
                <w:bCs/>
                <w:color w:val="FFFFFF" w:themeColor="background1"/>
              </w:rPr>
              <w:t>Physical Disabilities</w:t>
            </w:r>
            <w:r w:rsidR="00A62BA3">
              <w:rPr>
                <w:b/>
                <w:bCs/>
                <w:color w:val="FFFFFF" w:themeColor="background1"/>
              </w:rPr>
              <w:t>:</w:t>
            </w:r>
            <w:r w:rsidR="00EE6813">
              <w:rPr>
                <w:b/>
                <w:bCs/>
                <w:color w:val="FFFFFF" w:themeColor="background1"/>
              </w:rPr>
              <w:t xml:space="preserve"> Design Physically Accessible Spaces</w:t>
            </w:r>
          </w:p>
        </w:tc>
      </w:tr>
      <w:tr w:rsidR="00945F6C" w:rsidRPr="00C8094D" w14:paraId="3002BF4F"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457EA3C0" w14:textId="657867B7" w:rsidR="00945F6C" w:rsidRDefault="00D67841">
            <w:pPr>
              <w:pStyle w:val="TableText"/>
            </w:pPr>
            <w:r>
              <w:t>(1)</w:t>
            </w:r>
          </w:p>
        </w:tc>
        <w:tc>
          <w:tcPr>
            <w:tcW w:w="2869" w:type="pct"/>
            <w:tcBorders>
              <w:top w:val="single" w:sz="4" w:space="0" w:color="auto"/>
              <w:bottom w:val="single" w:sz="4" w:space="0" w:color="auto"/>
              <w:right w:val="single" w:sz="4" w:space="0" w:color="auto"/>
            </w:tcBorders>
          </w:tcPr>
          <w:p w14:paraId="265CE700" w14:textId="5A3124FE" w:rsidR="00945F6C" w:rsidRDefault="009F7B31">
            <w:pPr>
              <w:pStyle w:val="TableText"/>
            </w:pPr>
            <w:r>
              <w:t xml:space="preserve">Evaluate </w:t>
            </w:r>
            <w:r w:rsidR="00F93CC7">
              <w:t>b</w:t>
            </w:r>
            <w:r>
              <w:t xml:space="preserve">arriers to </w:t>
            </w:r>
            <w:r w:rsidR="00F93CC7">
              <w:t>p</w:t>
            </w:r>
            <w:r>
              <w:t xml:space="preserve">hysical </w:t>
            </w:r>
            <w:r w:rsidR="00F93CC7">
              <w:t>a</w:t>
            </w:r>
            <w:r>
              <w:t>ccess</w:t>
            </w:r>
          </w:p>
        </w:tc>
        <w:tc>
          <w:tcPr>
            <w:tcW w:w="460" w:type="pct"/>
            <w:tcBorders>
              <w:top w:val="nil"/>
              <w:left w:val="single" w:sz="4" w:space="0" w:color="auto"/>
              <w:bottom w:val="single" w:sz="4" w:space="0" w:color="auto"/>
              <w:right w:val="single" w:sz="4" w:space="0" w:color="auto"/>
            </w:tcBorders>
            <w:shd w:val="clear" w:color="auto" w:fill="auto"/>
            <w:vAlign w:val="center"/>
          </w:tcPr>
          <w:p w14:paraId="5516B434" w14:textId="3AD68651" w:rsidR="00945F6C" w:rsidRPr="00C8094D" w:rsidRDefault="002551FB" w:rsidP="00227A0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vAlign w:val="center"/>
          </w:tcPr>
          <w:p w14:paraId="630C1A7C" w14:textId="17B3AF9F" w:rsidR="00945F6C" w:rsidRPr="00C8094D" w:rsidRDefault="00573F9F"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26100F4" w14:textId="53D43CB4" w:rsidR="00945F6C" w:rsidRPr="00C8094D" w:rsidRDefault="00573F9F" w:rsidP="00227A08">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E6E7EC9" w14:textId="4B3DC662" w:rsidR="00945F6C" w:rsidRPr="00C8094D" w:rsidRDefault="00573F9F" w:rsidP="00227A08">
            <w:pPr>
              <w:pStyle w:val="TableText"/>
              <w:jc w:val="center"/>
            </w:pPr>
            <w:r>
              <w:t>2</w:t>
            </w:r>
          </w:p>
        </w:tc>
      </w:tr>
      <w:tr w:rsidR="00945F6C" w:rsidRPr="00C8094D" w14:paraId="31738E73"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16117E3C" w14:textId="72539A4A" w:rsidR="00945F6C" w:rsidRDefault="009F4DDB">
            <w:pPr>
              <w:pStyle w:val="TableText"/>
            </w:pPr>
            <w:r>
              <w:t>(2)</w:t>
            </w:r>
          </w:p>
        </w:tc>
        <w:tc>
          <w:tcPr>
            <w:tcW w:w="2869" w:type="pct"/>
            <w:tcBorders>
              <w:top w:val="single" w:sz="4" w:space="0" w:color="auto"/>
              <w:bottom w:val="single" w:sz="4" w:space="0" w:color="auto"/>
              <w:right w:val="single" w:sz="4" w:space="0" w:color="auto"/>
            </w:tcBorders>
          </w:tcPr>
          <w:p w14:paraId="38247C5E" w14:textId="1AC2C6F6" w:rsidR="00945F6C" w:rsidRDefault="00A85D4C">
            <w:pPr>
              <w:pStyle w:val="TableText"/>
            </w:pPr>
            <w:r>
              <w:t>Prioritize</w:t>
            </w:r>
            <w:r w:rsidR="009F4DDB">
              <w:t xml:space="preserve"> </w:t>
            </w:r>
            <w:r w:rsidR="00F93CC7">
              <w:t>u</w:t>
            </w:r>
            <w:r w:rsidR="009F4DDB">
              <w:t xml:space="preserve">niversal </w:t>
            </w:r>
            <w:r w:rsidR="00F93CC7">
              <w:t>a</w:t>
            </w:r>
            <w:r w:rsidR="009F4DDB">
              <w:t xml:space="preserve">ccess to </w:t>
            </w:r>
            <w:r w:rsidR="00F93CC7">
              <w:t>s</w:t>
            </w:r>
            <w:r w:rsidR="009F4DDB">
              <w:t xml:space="preserve">chool </w:t>
            </w:r>
            <w:r w:rsidR="00F93CC7">
              <w:t>b</w:t>
            </w:r>
            <w:r w:rsidR="009F4DDB">
              <w:t>uildings</w:t>
            </w:r>
          </w:p>
        </w:tc>
        <w:tc>
          <w:tcPr>
            <w:tcW w:w="460" w:type="pct"/>
            <w:tcBorders>
              <w:top w:val="nil"/>
              <w:left w:val="single" w:sz="4" w:space="0" w:color="auto"/>
              <w:bottom w:val="single" w:sz="4" w:space="0" w:color="auto"/>
              <w:right w:val="single" w:sz="4" w:space="0" w:color="auto"/>
            </w:tcBorders>
            <w:shd w:val="clear" w:color="auto" w:fill="auto"/>
            <w:vAlign w:val="center"/>
          </w:tcPr>
          <w:p w14:paraId="6AC4014E" w14:textId="7BAE79A8" w:rsidR="00945F6C" w:rsidRPr="00C8094D" w:rsidRDefault="00945F6C" w:rsidP="00227A08">
            <w:pPr>
              <w:pStyle w:val="TableText"/>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7C730166" w14:textId="4B9A5B54" w:rsidR="00945F6C" w:rsidRPr="00C8094D" w:rsidRDefault="00945F6C" w:rsidP="00227A08">
            <w:pPr>
              <w:pStyle w:val="TableText"/>
              <w:jc w:val="center"/>
            </w:pP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3098DC1" w14:textId="7E7AE46E" w:rsidR="00945F6C" w:rsidRPr="00C8094D" w:rsidRDefault="00945F6C" w:rsidP="00227A08">
            <w:pPr>
              <w:pStyle w:val="TableText"/>
              <w:jc w:val="cente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0900DF1" w14:textId="2F522C51" w:rsidR="00945F6C" w:rsidRPr="00C8094D" w:rsidRDefault="00945F6C" w:rsidP="00227A08">
            <w:pPr>
              <w:pStyle w:val="TableText"/>
              <w:jc w:val="center"/>
            </w:pPr>
          </w:p>
        </w:tc>
      </w:tr>
      <w:tr w:rsidR="00945F6C" w:rsidRPr="00C8094D" w14:paraId="47F4F34A"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59FF4031" w14:textId="6FB32472" w:rsidR="00945F6C" w:rsidRDefault="00945F6C">
            <w:pPr>
              <w:pStyle w:val="TableText"/>
            </w:pPr>
          </w:p>
        </w:tc>
        <w:tc>
          <w:tcPr>
            <w:tcW w:w="2869" w:type="pct"/>
            <w:tcBorders>
              <w:top w:val="single" w:sz="4" w:space="0" w:color="auto"/>
              <w:bottom w:val="single" w:sz="4" w:space="0" w:color="auto"/>
              <w:right w:val="single" w:sz="4" w:space="0" w:color="auto"/>
            </w:tcBorders>
          </w:tcPr>
          <w:p w14:paraId="304E8619" w14:textId="4E5CE862" w:rsidR="00945F6C" w:rsidRDefault="00263DD7">
            <w:pPr>
              <w:pStyle w:val="TableText"/>
            </w:pPr>
            <w:r>
              <w:t xml:space="preserve">(2a) </w:t>
            </w:r>
            <w:r w:rsidR="003B4C0D">
              <w:t xml:space="preserve">Update </w:t>
            </w:r>
            <w:r w:rsidR="00F93CC7">
              <w:t>s</w:t>
            </w:r>
            <w:r w:rsidR="003B4C0D">
              <w:t>i</w:t>
            </w:r>
            <w:r w:rsidR="00A85D02">
              <w:t>gn</w:t>
            </w:r>
            <w:r w:rsidR="003B4C0D">
              <w:t>age</w:t>
            </w:r>
          </w:p>
        </w:tc>
        <w:tc>
          <w:tcPr>
            <w:tcW w:w="460" w:type="pct"/>
            <w:tcBorders>
              <w:top w:val="nil"/>
              <w:left w:val="single" w:sz="4" w:space="0" w:color="auto"/>
              <w:bottom w:val="single" w:sz="4" w:space="0" w:color="auto"/>
              <w:right w:val="single" w:sz="4" w:space="0" w:color="auto"/>
            </w:tcBorders>
            <w:shd w:val="clear" w:color="auto" w:fill="auto"/>
            <w:vAlign w:val="center"/>
          </w:tcPr>
          <w:p w14:paraId="4F7B2EF2" w14:textId="3AC1EC68" w:rsidR="00945F6C" w:rsidRPr="00EC5E82" w:rsidRDefault="00EC5E82"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vAlign w:val="center"/>
          </w:tcPr>
          <w:p w14:paraId="43C4C6CA" w14:textId="227226DD" w:rsidR="00945F6C" w:rsidRPr="00EC5E82" w:rsidRDefault="00EC5E82"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F0B1B28" w14:textId="242F74AC" w:rsidR="00945F6C" w:rsidRPr="00EC5E82" w:rsidRDefault="00F2703B" w:rsidP="00227A08">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81DBD54" w14:textId="09DF01FD" w:rsidR="00945F6C" w:rsidRPr="00EC5E82" w:rsidRDefault="00F2703B" w:rsidP="00227A08">
            <w:pPr>
              <w:pStyle w:val="TableText"/>
              <w:jc w:val="center"/>
            </w:pPr>
            <w:r>
              <w:t>1</w:t>
            </w:r>
          </w:p>
        </w:tc>
      </w:tr>
      <w:tr w:rsidR="00945F6C" w:rsidRPr="00C8094D" w14:paraId="519F12AF"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314331EF" w14:textId="468A2007" w:rsidR="00945F6C" w:rsidRDefault="00945F6C">
            <w:pPr>
              <w:pStyle w:val="TableText"/>
            </w:pPr>
          </w:p>
        </w:tc>
        <w:tc>
          <w:tcPr>
            <w:tcW w:w="2869" w:type="pct"/>
            <w:tcBorders>
              <w:top w:val="single" w:sz="4" w:space="0" w:color="auto"/>
              <w:bottom w:val="single" w:sz="4" w:space="0" w:color="auto"/>
              <w:right w:val="single" w:sz="4" w:space="0" w:color="auto"/>
            </w:tcBorders>
          </w:tcPr>
          <w:p w14:paraId="79DF7D5B" w14:textId="6EBC8F10" w:rsidR="00945F6C" w:rsidRDefault="00263DD7">
            <w:pPr>
              <w:pStyle w:val="TableText"/>
            </w:pPr>
            <w:r>
              <w:t xml:space="preserve">(2b) </w:t>
            </w:r>
            <w:r w:rsidR="00FB60CA">
              <w:t xml:space="preserve">Update </w:t>
            </w:r>
            <w:r w:rsidR="00F93CC7">
              <w:t>d</w:t>
            </w:r>
            <w:r w:rsidR="00FB60CA">
              <w:t xml:space="preserve">oor </w:t>
            </w:r>
            <w:r w:rsidR="00F93CC7">
              <w:t>h</w:t>
            </w:r>
            <w:r w:rsidR="00FB60CA">
              <w:t>andles</w:t>
            </w:r>
          </w:p>
        </w:tc>
        <w:tc>
          <w:tcPr>
            <w:tcW w:w="460" w:type="pct"/>
            <w:tcBorders>
              <w:top w:val="nil"/>
              <w:left w:val="single" w:sz="4" w:space="0" w:color="auto"/>
              <w:bottom w:val="single" w:sz="4" w:space="0" w:color="auto"/>
              <w:right w:val="single" w:sz="4" w:space="0" w:color="auto"/>
            </w:tcBorders>
            <w:shd w:val="clear" w:color="auto" w:fill="auto"/>
            <w:vAlign w:val="center"/>
          </w:tcPr>
          <w:p w14:paraId="0DD8FC9B" w14:textId="593CEB10" w:rsidR="00945F6C" w:rsidRPr="00C8094D" w:rsidRDefault="004E7D9E" w:rsidP="00505E3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vAlign w:val="center"/>
          </w:tcPr>
          <w:p w14:paraId="585F7331" w14:textId="078616B3" w:rsidR="00945F6C" w:rsidRPr="00C8094D" w:rsidRDefault="00505E38" w:rsidP="00505E3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60D2F112" w14:textId="52FB1BF0" w:rsidR="00945F6C" w:rsidRPr="00C8094D" w:rsidRDefault="00F51D1F" w:rsidP="00F51D1F">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7772A51" w14:textId="6664E156" w:rsidR="00945F6C" w:rsidRPr="00C8094D" w:rsidRDefault="00F51D1F" w:rsidP="00F51D1F">
            <w:pPr>
              <w:pStyle w:val="TableText"/>
              <w:jc w:val="center"/>
            </w:pPr>
            <w:r>
              <w:t>1</w:t>
            </w:r>
          </w:p>
        </w:tc>
      </w:tr>
      <w:tr w:rsidR="00945F6C" w:rsidRPr="00C8094D" w14:paraId="5F8B6A9A"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4489E909" w14:textId="3BFB74B3" w:rsidR="00945F6C" w:rsidRDefault="00945F6C">
            <w:pPr>
              <w:pStyle w:val="TableText"/>
            </w:pPr>
          </w:p>
        </w:tc>
        <w:tc>
          <w:tcPr>
            <w:tcW w:w="2869" w:type="pct"/>
            <w:tcBorders>
              <w:top w:val="single" w:sz="4" w:space="0" w:color="auto"/>
              <w:bottom w:val="single" w:sz="4" w:space="0" w:color="auto"/>
              <w:right w:val="single" w:sz="4" w:space="0" w:color="auto"/>
            </w:tcBorders>
          </w:tcPr>
          <w:p w14:paraId="79BDD0EA" w14:textId="113E019A" w:rsidR="00945F6C" w:rsidRDefault="00263DD7">
            <w:pPr>
              <w:pStyle w:val="TableText"/>
            </w:pPr>
            <w:r>
              <w:t xml:space="preserve">(2c) </w:t>
            </w:r>
            <w:r w:rsidR="00205188">
              <w:t xml:space="preserve">Update </w:t>
            </w:r>
            <w:r w:rsidR="005C1CBB">
              <w:t>d</w:t>
            </w:r>
            <w:r w:rsidR="00205188">
              <w:t>oors (i.e.</w:t>
            </w:r>
            <w:r w:rsidR="00A33C3D">
              <w:t>,</w:t>
            </w:r>
            <w:r w:rsidR="00205188">
              <w:t xml:space="preserve"> remove heavy doors, add automated openers, etc.)</w:t>
            </w:r>
          </w:p>
        </w:tc>
        <w:tc>
          <w:tcPr>
            <w:tcW w:w="460" w:type="pct"/>
            <w:tcBorders>
              <w:top w:val="nil"/>
              <w:left w:val="single" w:sz="4" w:space="0" w:color="auto"/>
              <w:bottom w:val="single" w:sz="4" w:space="0" w:color="auto"/>
              <w:right w:val="single" w:sz="4" w:space="0" w:color="auto"/>
            </w:tcBorders>
            <w:shd w:val="clear" w:color="auto" w:fill="auto"/>
            <w:vAlign w:val="center"/>
          </w:tcPr>
          <w:p w14:paraId="02048843" w14:textId="50338224" w:rsidR="00945F6C" w:rsidRPr="00C8094D" w:rsidRDefault="00505E38" w:rsidP="00505E38">
            <w:pPr>
              <w:pStyle w:val="TableText"/>
              <w:jc w:val="center"/>
            </w:pPr>
            <w:r>
              <w:t>$</w:t>
            </w:r>
            <w:r w:rsidR="00263DD7">
              <w:t>-$$</w:t>
            </w:r>
          </w:p>
        </w:tc>
        <w:tc>
          <w:tcPr>
            <w:tcW w:w="460" w:type="pct"/>
            <w:tcBorders>
              <w:top w:val="single" w:sz="4" w:space="0" w:color="auto"/>
              <w:left w:val="single" w:sz="4" w:space="0" w:color="auto"/>
              <w:bottom w:val="single" w:sz="4" w:space="0" w:color="auto"/>
              <w:right w:val="single" w:sz="4" w:space="0" w:color="auto"/>
            </w:tcBorders>
            <w:vAlign w:val="center"/>
          </w:tcPr>
          <w:p w14:paraId="02EC3182" w14:textId="3E218C99" w:rsidR="00945F6C" w:rsidRPr="00C8094D" w:rsidRDefault="00505E38" w:rsidP="00505E3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A34006D" w14:textId="066B9611" w:rsidR="00945F6C" w:rsidRPr="00C8094D" w:rsidRDefault="00F51D1F" w:rsidP="00F51D1F">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80128E9" w14:textId="47257CEE" w:rsidR="00945F6C" w:rsidRPr="00C8094D" w:rsidRDefault="00F51D1F" w:rsidP="00F51D1F">
            <w:pPr>
              <w:pStyle w:val="TableText"/>
              <w:jc w:val="center"/>
            </w:pPr>
            <w:r>
              <w:t>1</w:t>
            </w:r>
          </w:p>
        </w:tc>
      </w:tr>
      <w:tr w:rsidR="00945F6C" w:rsidRPr="00C8094D" w14:paraId="51F45BE2"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03749AF7" w14:textId="38B8CDCC" w:rsidR="00945F6C" w:rsidRDefault="00945F6C">
            <w:pPr>
              <w:pStyle w:val="TableText"/>
            </w:pPr>
          </w:p>
        </w:tc>
        <w:tc>
          <w:tcPr>
            <w:tcW w:w="2869" w:type="pct"/>
            <w:tcBorders>
              <w:top w:val="single" w:sz="4" w:space="0" w:color="auto"/>
              <w:bottom w:val="single" w:sz="4" w:space="0" w:color="auto"/>
              <w:right w:val="single" w:sz="4" w:space="0" w:color="auto"/>
            </w:tcBorders>
          </w:tcPr>
          <w:p w14:paraId="2B699C8B" w14:textId="659564CF" w:rsidR="00945F6C" w:rsidRDefault="00263DD7">
            <w:pPr>
              <w:pStyle w:val="TableText"/>
            </w:pPr>
            <w:r>
              <w:t xml:space="preserve">(2d) </w:t>
            </w:r>
            <w:r w:rsidR="00205188">
              <w:t xml:space="preserve">Add </w:t>
            </w:r>
            <w:r w:rsidR="005C1CBB">
              <w:t>r</w:t>
            </w:r>
            <w:r w:rsidR="00205188">
              <w:t xml:space="preserve">amps and </w:t>
            </w:r>
            <w:r w:rsidR="005C1CBB">
              <w:t>c</w:t>
            </w:r>
            <w:r w:rsidR="00450A4B">
              <w:t>h</w:t>
            </w:r>
            <w:r w:rsidR="00205188">
              <w:t xml:space="preserve">air </w:t>
            </w:r>
            <w:r w:rsidR="005C1CBB">
              <w:t>l</w:t>
            </w:r>
            <w:r w:rsidR="00205188">
              <w:t>ifts</w:t>
            </w:r>
          </w:p>
        </w:tc>
        <w:tc>
          <w:tcPr>
            <w:tcW w:w="460" w:type="pct"/>
            <w:tcBorders>
              <w:top w:val="nil"/>
              <w:left w:val="single" w:sz="4" w:space="0" w:color="auto"/>
              <w:bottom w:val="single" w:sz="4" w:space="0" w:color="auto"/>
              <w:right w:val="single" w:sz="4" w:space="0" w:color="auto"/>
            </w:tcBorders>
            <w:shd w:val="clear" w:color="auto" w:fill="auto"/>
            <w:vAlign w:val="center"/>
          </w:tcPr>
          <w:p w14:paraId="0DA75DC9" w14:textId="3F52FC4A" w:rsidR="00945F6C" w:rsidRPr="00C8094D" w:rsidRDefault="005B4B82" w:rsidP="00505E38">
            <w:pPr>
              <w:pStyle w:val="TableText"/>
              <w:jc w:val="center"/>
            </w:pPr>
            <w:r>
              <w:t>$-</w:t>
            </w:r>
            <w:r w:rsidR="00505E38">
              <w:t>$$$</w:t>
            </w:r>
          </w:p>
        </w:tc>
        <w:tc>
          <w:tcPr>
            <w:tcW w:w="460" w:type="pct"/>
            <w:tcBorders>
              <w:top w:val="single" w:sz="4" w:space="0" w:color="auto"/>
              <w:left w:val="single" w:sz="4" w:space="0" w:color="auto"/>
              <w:bottom w:val="single" w:sz="4" w:space="0" w:color="auto"/>
              <w:right w:val="single" w:sz="4" w:space="0" w:color="auto"/>
            </w:tcBorders>
            <w:vAlign w:val="center"/>
          </w:tcPr>
          <w:p w14:paraId="68C5A0F6" w14:textId="1A667097" w:rsidR="00945F6C" w:rsidRPr="00C8094D" w:rsidRDefault="009C7033" w:rsidP="008D2581">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0BCFF5F" w14:textId="6868AF6A" w:rsidR="00945F6C" w:rsidRPr="00C8094D" w:rsidRDefault="00F51D1F" w:rsidP="00F51D1F">
            <w:pPr>
              <w:pStyle w:val="TableText"/>
              <w:jc w:val="center"/>
            </w:pPr>
            <w:r>
              <w:t>2</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6D9D989B" w14:textId="04368464" w:rsidR="00945F6C" w:rsidRPr="00C8094D" w:rsidRDefault="00F51D1F" w:rsidP="00F51D1F">
            <w:pPr>
              <w:pStyle w:val="TableText"/>
              <w:jc w:val="center"/>
            </w:pPr>
            <w:r>
              <w:t>2</w:t>
            </w:r>
          </w:p>
        </w:tc>
      </w:tr>
      <w:tr w:rsidR="00945F6C" w:rsidRPr="00C8094D" w14:paraId="1C8572A7"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37E65877" w14:textId="24BBCBA0" w:rsidR="00945F6C" w:rsidRDefault="00945F6C">
            <w:pPr>
              <w:pStyle w:val="TableText"/>
            </w:pPr>
          </w:p>
        </w:tc>
        <w:tc>
          <w:tcPr>
            <w:tcW w:w="2869" w:type="pct"/>
            <w:tcBorders>
              <w:top w:val="single" w:sz="4" w:space="0" w:color="auto"/>
              <w:bottom w:val="single" w:sz="4" w:space="0" w:color="auto"/>
              <w:right w:val="single" w:sz="4" w:space="0" w:color="auto"/>
            </w:tcBorders>
          </w:tcPr>
          <w:p w14:paraId="1ADCACB1" w14:textId="706DF198" w:rsidR="00945F6C" w:rsidRDefault="00263DD7">
            <w:pPr>
              <w:pStyle w:val="TableText"/>
            </w:pPr>
            <w:r>
              <w:t xml:space="preserve">(2e) </w:t>
            </w:r>
            <w:r w:rsidR="009D65B9">
              <w:t xml:space="preserve">Update </w:t>
            </w:r>
            <w:r w:rsidR="005C1CBB">
              <w:t>b</w:t>
            </w:r>
            <w:r w:rsidR="009D65B9">
              <w:t>athroom</w:t>
            </w:r>
            <w:r w:rsidR="00051182">
              <w:t xml:space="preserve"> </w:t>
            </w:r>
            <w:r w:rsidR="005C1CBB">
              <w:t>i</w:t>
            </w:r>
            <w:r w:rsidR="00051182">
              <w:t>nfrastructure</w:t>
            </w:r>
          </w:p>
        </w:tc>
        <w:tc>
          <w:tcPr>
            <w:tcW w:w="460" w:type="pct"/>
            <w:tcBorders>
              <w:top w:val="nil"/>
              <w:left w:val="single" w:sz="4" w:space="0" w:color="auto"/>
              <w:bottom w:val="single" w:sz="4" w:space="0" w:color="auto"/>
              <w:right w:val="single" w:sz="4" w:space="0" w:color="auto"/>
            </w:tcBorders>
            <w:shd w:val="clear" w:color="auto" w:fill="auto"/>
            <w:vAlign w:val="center"/>
          </w:tcPr>
          <w:p w14:paraId="1ED9C584" w14:textId="4CB20B97" w:rsidR="00945F6C" w:rsidRPr="00C8094D" w:rsidRDefault="005B4B82" w:rsidP="00505E38">
            <w:pPr>
              <w:pStyle w:val="TableText"/>
              <w:jc w:val="center"/>
            </w:pPr>
            <w:r>
              <w:t>$-</w:t>
            </w:r>
            <w:r w:rsidR="00505E38">
              <w:t>$$$</w:t>
            </w:r>
          </w:p>
        </w:tc>
        <w:tc>
          <w:tcPr>
            <w:tcW w:w="460" w:type="pct"/>
            <w:tcBorders>
              <w:top w:val="single" w:sz="4" w:space="0" w:color="auto"/>
              <w:left w:val="single" w:sz="4" w:space="0" w:color="auto"/>
              <w:bottom w:val="single" w:sz="4" w:space="0" w:color="auto"/>
              <w:right w:val="single" w:sz="4" w:space="0" w:color="auto"/>
            </w:tcBorders>
            <w:vAlign w:val="center"/>
          </w:tcPr>
          <w:p w14:paraId="237B09CF" w14:textId="14A75538" w:rsidR="00945F6C" w:rsidRPr="00C8094D" w:rsidRDefault="00816F62" w:rsidP="00816F62">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2340E29" w14:textId="0E6C28C6" w:rsidR="00945F6C" w:rsidRPr="00C8094D" w:rsidRDefault="00F51D1F" w:rsidP="00F51D1F">
            <w:pPr>
              <w:pStyle w:val="TableText"/>
              <w:jc w:val="center"/>
            </w:pPr>
            <w:r>
              <w:t>3</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62100B11" w14:textId="19EBEDB8" w:rsidR="00945F6C" w:rsidRPr="00C8094D" w:rsidRDefault="00F51D1F" w:rsidP="00F51D1F">
            <w:pPr>
              <w:pStyle w:val="TableText"/>
              <w:jc w:val="center"/>
            </w:pPr>
            <w:r>
              <w:t>3</w:t>
            </w:r>
          </w:p>
        </w:tc>
      </w:tr>
      <w:tr w:rsidR="00E229A6" w:rsidRPr="00C8094D" w14:paraId="315409EE" w14:textId="77777777" w:rsidTr="007415F9">
        <w:trPr>
          <w:cantSplit/>
          <w:trHeight w:val="255"/>
          <w:tblHeader/>
          <w:jc w:val="center"/>
        </w:trPr>
        <w:tc>
          <w:tcPr>
            <w:tcW w:w="5000" w:type="pct"/>
            <w:gridSpan w:val="6"/>
            <w:tcBorders>
              <w:top w:val="nil"/>
              <w:left w:val="single" w:sz="4" w:space="0" w:color="auto"/>
              <w:bottom w:val="single" w:sz="4" w:space="0" w:color="auto"/>
              <w:right w:val="single" w:sz="4" w:space="0" w:color="auto"/>
            </w:tcBorders>
            <w:shd w:val="clear" w:color="auto" w:fill="002060"/>
          </w:tcPr>
          <w:p w14:paraId="4D0E1BF9" w14:textId="062B1AD3" w:rsidR="00E229A6" w:rsidRPr="007415F9" w:rsidRDefault="00EE6813" w:rsidP="00CB0EAA">
            <w:pPr>
              <w:pStyle w:val="TableRowHeader"/>
            </w:pPr>
            <w:r>
              <w:t xml:space="preserve">Transgender, Non-Binary, and Intersex Experience: </w:t>
            </w:r>
            <w:r w:rsidR="00E229A6" w:rsidRPr="007415F9">
              <w:t>Design Gender-Inclusive Spaces</w:t>
            </w:r>
          </w:p>
        </w:tc>
      </w:tr>
      <w:tr w:rsidR="003B3944" w:rsidRPr="00C8094D" w14:paraId="66BB69D3"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7C3F2137" w14:textId="05C2A8FA" w:rsidR="003B3944" w:rsidRDefault="003B3944">
            <w:pPr>
              <w:pStyle w:val="TableText"/>
            </w:pPr>
            <w:r>
              <w:t>(</w:t>
            </w:r>
            <w:r w:rsidR="00E229A6">
              <w:t>3</w:t>
            </w:r>
            <w:r>
              <w:t>)</w:t>
            </w:r>
          </w:p>
        </w:tc>
        <w:tc>
          <w:tcPr>
            <w:tcW w:w="2869" w:type="pct"/>
            <w:tcBorders>
              <w:top w:val="single" w:sz="4" w:space="0" w:color="auto"/>
              <w:bottom w:val="single" w:sz="4" w:space="0" w:color="auto"/>
              <w:right w:val="single" w:sz="4" w:space="0" w:color="auto"/>
            </w:tcBorders>
          </w:tcPr>
          <w:p w14:paraId="1CEA32B8" w14:textId="626EA4B3" w:rsidR="003B3944" w:rsidRDefault="003226A3">
            <w:pPr>
              <w:pStyle w:val="TableText"/>
            </w:pPr>
            <w:r>
              <w:t xml:space="preserve">Evaluate </w:t>
            </w:r>
            <w:r w:rsidR="003B722B">
              <w:t>g</w:t>
            </w:r>
            <w:r>
              <w:t>ender-</w:t>
            </w:r>
            <w:r w:rsidR="003B722B">
              <w:t>b</w:t>
            </w:r>
            <w:r>
              <w:t xml:space="preserve">ased </w:t>
            </w:r>
            <w:r w:rsidR="003B722B">
              <w:t>r</w:t>
            </w:r>
            <w:r>
              <w:t>ules,</w:t>
            </w:r>
            <w:r w:rsidR="003B722B">
              <w:t xml:space="preserve"> p</w:t>
            </w:r>
            <w:r>
              <w:t xml:space="preserve">olicies, and </w:t>
            </w:r>
            <w:r w:rsidR="003B722B">
              <w:t>p</w:t>
            </w:r>
            <w:r>
              <w:t>ractices</w:t>
            </w:r>
          </w:p>
        </w:tc>
        <w:tc>
          <w:tcPr>
            <w:tcW w:w="460" w:type="pct"/>
            <w:tcBorders>
              <w:top w:val="nil"/>
              <w:left w:val="single" w:sz="4" w:space="0" w:color="auto"/>
              <w:bottom w:val="single" w:sz="4" w:space="0" w:color="auto"/>
              <w:right w:val="single" w:sz="4" w:space="0" w:color="auto"/>
            </w:tcBorders>
            <w:shd w:val="clear" w:color="auto" w:fill="auto"/>
            <w:vAlign w:val="center"/>
          </w:tcPr>
          <w:p w14:paraId="5FA87A82" w14:textId="0B8B6FAB" w:rsidR="003B3944" w:rsidRPr="00C8094D" w:rsidRDefault="009C7033" w:rsidP="00227A0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vAlign w:val="center"/>
          </w:tcPr>
          <w:p w14:paraId="5D70B9DF" w14:textId="4C777FAF" w:rsidR="003B3944" w:rsidRPr="00C8094D" w:rsidRDefault="00FF1FDA"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8978863" w14:textId="15CD482A" w:rsidR="003B3944" w:rsidRPr="00227A08" w:rsidRDefault="00FF1FDA" w:rsidP="00227A08">
            <w:pPr>
              <w:pStyle w:val="TableText"/>
              <w:jc w:val="center"/>
              <w:rPr>
                <w:b/>
                <w:bCs/>
              </w:rP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85818C6" w14:textId="535B0842" w:rsidR="003B3944" w:rsidRPr="00C8094D" w:rsidRDefault="00FF1FDA" w:rsidP="00227A08">
            <w:pPr>
              <w:pStyle w:val="TableText"/>
              <w:jc w:val="center"/>
            </w:pPr>
            <w:r>
              <w:t>1</w:t>
            </w:r>
          </w:p>
        </w:tc>
      </w:tr>
      <w:tr w:rsidR="003B3944" w:rsidRPr="00C8094D" w14:paraId="653E48B5" w14:textId="77777777" w:rsidTr="00E229A6">
        <w:trPr>
          <w:cantSplit/>
          <w:trHeight w:val="255"/>
          <w:tblHeader/>
          <w:jc w:val="center"/>
        </w:trPr>
        <w:tc>
          <w:tcPr>
            <w:tcW w:w="290" w:type="pct"/>
            <w:tcBorders>
              <w:top w:val="nil"/>
              <w:left w:val="single" w:sz="4" w:space="0" w:color="auto"/>
              <w:bottom w:val="single" w:sz="4" w:space="0" w:color="auto"/>
            </w:tcBorders>
            <w:shd w:val="clear" w:color="auto" w:fill="auto"/>
          </w:tcPr>
          <w:p w14:paraId="3ED7B445" w14:textId="0068D66F" w:rsidR="003B3944" w:rsidRDefault="003B3944">
            <w:pPr>
              <w:pStyle w:val="TableText"/>
            </w:pPr>
            <w:r>
              <w:t>(</w:t>
            </w:r>
            <w:r w:rsidR="00E229A6">
              <w:t>4</w:t>
            </w:r>
            <w:r>
              <w:t>)</w:t>
            </w:r>
          </w:p>
        </w:tc>
        <w:tc>
          <w:tcPr>
            <w:tcW w:w="2869" w:type="pct"/>
            <w:tcBorders>
              <w:top w:val="single" w:sz="4" w:space="0" w:color="auto"/>
              <w:bottom w:val="single" w:sz="4" w:space="0" w:color="auto"/>
              <w:right w:val="single" w:sz="4" w:space="0" w:color="auto"/>
            </w:tcBorders>
          </w:tcPr>
          <w:p w14:paraId="742B9521" w14:textId="3D579672" w:rsidR="003B3944" w:rsidRDefault="00A85D4C">
            <w:pPr>
              <w:pStyle w:val="TableText"/>
            </w:pPr>
            <w:r>
              <w:t>Prioritize</w:t>
            </w:r>
            <w:r w:rsidR="003226A3">
              <w:t xml:space="preserve"> </w:t>
            </w:r>
            <w:r w:rsidR="003B722B">
              <w:t>a</w:t>
            </w:r>
            <w:r w:rsidR="003226A3">
              <w:t xml:space="preserve">ccess to </w:t>
            </w:r>
            <w:r w:rsidR="003B722B">
              <w:t>g</w:t>
            </w:r>
            <w:r w:rsidR="003226A3">
              <w:t>ender-</w:t>
            </w:r>
            <w:r w:rsidR="003B722B">
              <w:t>i</w:t>
            </w:r>
            <w:r w:rsidR="003226A3">
              <w:t xml:space="preserve">nclusive </w:t>
            </w:r>
            <w:r w:rsidR="003B722B">
              <w:t>r</w:t>
            </w:r>
            <w:r w:rsidR="003226A3">
              <w:t xml:space="preserve">estrooms, </w:t>
            </w:r>
            <w:r w:rsidR="003B722B">
              <w:t>l</w:t>
            </w:r>
            <w:r w:rsidR="003226A3">
              <w:t xml:space="preserve">ocker </w:t>
            </w:r>
            <w:r w:rsidR="003B722B">
              <w:t>r</w:t>
            </w:r>
            <w:r w:rsidR="003226A3">
              <w:t xml:space="preserve">ooms, and </w:t>
            </w:r>
            <w:r w:rsidR="003B722B">
              <w:t>c</w:t>
            </w:r>
            <w:r w:rsidR="003226A3">
              <w:t xml:space="preserve">hanging </w:t>
            </w:r>
            <w:r w:rsidR="003B722B">
              <w:t>f</w:t>
            </w:r>
            <w:r w:rsidR="003226A3">
              <w:t>acilities</w:t>
            </w:r>
          </w:p>
        </w:tc>
        <w:tc>
          <w:tcPr>
            <w:tcW w:w="460" w:type="pct"/>
            <w:tcBorders>
              <w:top w:val="nil"/>
              <w:left w:val="single" w:sz="4" w:space="0" w:color="auto"/>
              <w:bottom w:val="single" w:sz="4" w:space="0" w:color="auto"/>
              <w:right w:val="single" w:sz="4" w:space="0" w:color="auto"/>
            </w:tcBorders>
            <w:shd w:val="clear" w:color="auto" w:fill="auto"/>
            <w:vAlign w:val="center"/>
          </w:tcPr>
          <w:p w14:paraId="4704F991" w14:textId="63631FF2" w:rsidR="003B3944" w:rsidRPr="00C8094D" w:rsidRDefault="00E537EA" w:rsidP="00227A08">
            <w:pPr>
              <w:pStyle w:val="TableText"/>
              <w:jc w:val="center"/>
            </w:pPr>
            <w:r>
              <w:t>$</w:t>
            </w:r>
            <w:r w:rsidR="00FF1FDA">
              <w:t>-$$$</w:t>
            </w:r>
          </w:p>
        </w:tc>
        <w:tc>
          <w:tcPr>
            <w:tcW w:w="460" w:type="pct"/>
            <w:tcBorders>
              <w:top w:val="single" w:sz="4" w:space="0" w:color="auto"/>
              <w:left w:val="single" w:sz="4" w:space="0" w:color="auto"/>
              <w:bottom w:val="single" w:sz="4" w:space="0" w:color="auto"/>
              <w:right w:val="single" w:sz="4" w:space="0" w:color="auto"/>
            </w:tcBorders>
            <w:vAlign w:val="center"/>
          </w:tcPr>
          <w:p w14:paraId="24E6FCC7" w14:textId="5E62DB4C" w:rsidR="003B3944" w:rsidRPr="00C8094D" w:rsidRDefault="00FF1FDA" w:rsidP="00227A0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C7C349C" w14:textId="13030207" w:rsidR="003B3944" w:rsidRPr="00C8094D" w:rsidRDefault="00E537EA" w:rsidP="00227A08">
            <w:pPr>
              <w:pStyle w:val="TableText"/>
              <w:jc w:val="center"/>
            </w:pPr>
            <w:r>
              <w:t>1-3</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53FB281A" w14:textId="1EAE1503" w:rsidR="003B3944" w:rsidRPr="00C8094D" w:rsidRDefault="00E537EA" w:rsidP="00227A08">
            <w:pPr>
              <w:pStyle w:val="TableText"/>
              <w:jc w:val="center"/>
            </w:pPr>
            <w:r>
              <w:t>1-3</w:t>
            </w:r>
          </w:p>
        </w:tc>
      </w:tr>
      <w:tr w:rsidR="00582AAE" w:rsidRPr="00C8094D" w14:paraId="713D71FC" w14:textId="77777777" w:rsidTr="00582AAE">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2060"/>
          </w:tcPr>
          <w:p w14:paraId="02938AB8" w14:textId="1192C981" w:rsidR="00582AAE" w:rsidRPr="00582AAE" w:rsidRDefault="00582AAE" w:rsidP="00CB0EAA">
            <w:pPr>
              <w:pStyle w:val="TableRowHeader"/>
            </w:pPr>
            <w:r w:rsidRPr="00582AAE">
              <w:t>Neuro</w:t>
            </w:r>
            <w:r w:rsidR="00EE6813">
              <w:t>divergence: Design N</w:t>
            </w:r>
            <w:r w:rsidR="00CB0EAA">
              <w:t>e</w:t>
            </w:r>
            <w:r w:rsidR="00EE6813">
              <w:t>uro-</w:t>
            </w:r>
            <w:r w:rsidRPr="00582AAE">
              <w:t>Inclusive Spaces</w:t>
            </w:r>
          </w:p>
        </w:tc>
      </w:tr>
      <w:tr w:rsidR="007415F9" w:rsidRPr="00C8094D" w14:paraId="3A83A06B" w14:textId="77777777" w:rsidTr="00E229A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1A3A8441" w14:textId="24068710" w:rsidR="007415F9" w:rsidRDefault="00582AAE">
            <w:pPr>
              <w:pStyle w:val="TableText"/>
            </w:pPr>
            <w:r>
              <w:t>(5)</w:t>
            </w:r>
          </w:p>
        </w:tc>
        <w:tc>
          <w:tcPr>
            <w:tcW w:w="2869" w:type="pct"/>
            <w:tcBorders>
              <w:top w:val="single" w:sz="4" w:space="0" w:color="auto"/>
              <w:bottom w:val="single" w:sz="4" w:space="0" w:color="auto"/>
              <w:right w:val="single" w:sz="4" w:space="0" w:color="auto"/>
            </w:tcBorders>
          </w:tcPr>
          <w:p w14:paraId="51F06E9B" w14:textId="2CB2C1D8" w:rsidR="007415F9" w:rsidRDefault="00582AAE">
            <w:pPr>
              <w:pStyle w:val="TableText"/>
            </w:pPr>
            <w:r>
              <w:t xml:space="preserve">Evaluate </w:t>
            </w:r>
            <w:r w:rsidR="00363866">
              <w:t xml:space="preserve">the school’s </w:t>
            </w:r>
            <w:r w:rsidR="003B722B">
              <w:t>s</w:t>
            </w:r>
            <w:r>
              <w:t xml:space="preserve">ensory </w:t>
            </w:r>
            <w:r w:rsidR="003B722B">
              <w:t>l</w:t>
            </w:r>
            <w:r>
              <w:t>andscape</w:t>
            </w:r>
          </w:p>
        </w:tc>
        <w:tc>
          <w:tcPr>
            <w:tcW w:w="460" w:type="pct"/>
            <w:tcBorders>
              <w:top w:val="nil"/>
              <w:left w:val="single" w:sz="4" w:space="0" w:color="auto"/>
              <w:bottom w:val="single" w:sz="4" w:space="0" w:color="auto"/>
              <w:right w:val="single" w:sz="4" w:space="0" w:color="auto"/>
            </w:tcBorders>
            <w:shd w:val="clear" w:color="auto" w:fill="auto"/>
            <w:vAlign w:val="center"/>
          </w:tcPr>
          <w:p w14:paraId="0FD0049B" w14:textId="65FB6A78" w:rsidR="007415F9" w:rsidRPr="00C8094D" w:rsidRDefault="00DF6CFD" w:rsidP="00227A08">
            <w:pPr>
              <w:pStyle w:val="TableText"/>
              <w:jc w:val="center"/>
            </w:pPr>
            <w:r>
              <w:t>0</w:t>
            </w:r>
          </w:p>
        </w:tc>
        <w:tc>
          <w:tcPr>
            <w:tcW w:w="460" w:type="pct"/>
            <w:tcBorders>
              <w:top w:val="single" w:sz="4" w:space="0" w:color="auto"/>
              <w:left w:val="single" w:sz="4" w:space="0" w:color="auto"/>
              <w:bottom w:val="single" w:sz="4" w:space="0" w:color="auto"/>
              <w:right w:val="single" w:sz="4" w:space="0" w:color="auto"/>
            </w:tcBorders>
            <w:vAlign w:val="center"/>
          </w:tcPr>
          <w:p w14:paraId="3A4D6F0C" w14:textId="3C570FAE" w:rsidR="007415F9" w:rsidRPr="00C8094D" w:rsidRDefault="00DF6CFD"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7A9F6CD" w14:textId="15CC65BD" w:rsidR="007415F9" w:rsidRPr="00C8094D" w:rsidRDefault="00DF6CFD" w:rsidP="00227A08">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5E6DEF56" w14:textId="288AD7F9" w:rsidR="007415F9" w:rsidRPr="00C8094D" w:rsidRDefault="00DF6CFD" w:rsidP="00227A08">
            <w:pPr>
              <w:pStyle w:val="TableText"/>
              <w:jc w:val="center"/>
            </w:pPr>
            <w:r>
              <w:t>1</w:t>
            </w:r>
          </w:p>
        </w:tc>
      </w:tr>
      <w:tr w:rsidR="003B3944" w:rsidRPr="00C8094D" w14:paraId="47B562EF" w14:textId="77777777" w:rsidTr="00E229A6">
        <w:trPr>
          <w:cantSplit/>
          <w:trHeight w:val="255"/>
          <w:tblHeader/>
          <w:jc w:val="center"/>
        </w:trPr>
        <w:tc>
          <w:tcPr>
            <w:tcW w:w="290" w:type="pct"/>
            <w:tcBorders>
              <w:top w:val="single" w:sz="4" w:space="0" w:color="auto"/>
              <w:left w:val="single" w:sz="4" w:space="0" w:color="auto"/>
              <w:bottom w:val="single" w:sz="4" w:space="0" w:color="auto"/>
            </w:tcBorders>
            <w:shd w:val="clear" w:color="auto" w:fill="auto"/>
          </w:tcPr>
          <w:p w14:paraId="21782ABD" w14:textId="7AB1BD88" w:rsidR="003B3944" w:rsidRPr="00C8094D" w:rsidRDefault="003B3944">
            <w:pPr>
              <w:pStyle w:val="TableText"/>
            </w:pPr>
            <w:r>
              <w:t>(</w:t>
            </w:r>
            <w:r w:rsidR="001F19E9">
              <w:t>6</w:t>
            </w:r>
            <w:r>
              <w:t>)</w:t>
            </w:r>
          </w:p>
        </w:tc>
        <w:tc>
          <w:tcPr>
            <w:tcW w:w="2869" w:type="pct"/>
            <w:tcBorders>
              <w:top w:val="single" w:sz="4" w:space="0" w:color="auto"/>
              <w:bottom w:val="single" w:sz="4" w:space="0" w:color="auto"/>
              <w:right w:val="single" w:sz="4" w:space="0" w:color="auto"/>
            </w:tcBorders>
          </w:tcPr>
          <w:p w14:paraId="1A0C461E" w14:textId="7CF014B7" w:rsidR="003B3944" w:rsidRPr="00C8094D" w:rsidRDefault="00582AAE">
            <w:pPr>
              <w:pStyle w:val="TableText"/>
            </w:pPr>
            <w:r>
              <w:t xml:space="preserve">Design with </w:t>
            </w:r>
            <w:r w:rsidR="00363866">
              <w:t>s</w:t>
            </w:r>
            <w:r>
              <w:t xml:space="preserve">ensory </w:t>
            </w:r>
            <w:r w:rsidR="00363866">
              <w:t>e</w:t>
            </w:r>
            <w:r>
              <w:t xml:space="preserve">xperiences in </w:t>
            </w:r>
            <w:r w:rsidR="00363866">
              <w:t>m</w:t>
            </w:r>
            <w:r>
              <w:t>ind</w:t>
            </w:r>
          </w:p>
        </w:tc>
        <w:tc>
          <w:tcPr>
            <w:tcW w:w="460" w:type="pct"/>
            <w:tcBorders>
              <w:top w:val="nil"/>
              <w:left w:val="single" w:sz="4" w:space="0" w:color="auto"/>
              <w:bottom w:val="single" w:sz="4" w:space="0" w:color="auto"/>
              <w:right w:val="single" w:sz="4" w:space="0" w:color="auto"/>
            </w:tcBorders>
            <w:shd w:val="clear" w:color="auto" w:fill="auto"/>
            <w:vAlign w:val="center"/>
          </w:tcPr>
          <w:p w14:paraId="63EA9BE0" w14:textId="47BB7EE2" w:rsidR="003B3944" w:rsidRPr="00C8094D" w:rsidRDefault="00C31955"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vAlign w:val="center"/>
          </w:tcPr>
          <w:p w14:paraId="3A6ADC4F" w14:textId="64FE2588" w:rsidR="003B3944" w:rsidRPr="00C8094D" w:rsidRDefault="00C31955" w:rsidP="00227A08">
            <w:pPr>
              <w:pStyle w:val="TableText"/>
              <w:jc w:val="center"/>
            </w:pPr>
            <w:r>
              <w:t>$-$$</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09286CF" w14:textId="6F5747EC" w:rsidR="003B3944" w:rsidRPr="00C8094D" w:rsidRDefault="00C31955" w:rsidP="00227A08">
            <w:pPr>
              <w:pStyle w:val="TableText"/>
              <w:jc w:val="center"/>
            </w:pPr>
            <w:r>
              <w:t>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04A9150" w14:textId="51713214" w:rsidR="003B3944" w:rsidRPr="00C8094D" w:rsidRDefault="00C31955" w:rsidP="00227A08">
            <w:pPr>
              <w:pStyle w:val="TableText"/>
              <w:jc w:val="center"/>
            </w:pPr>
            <w:r>
              <w:t>2</w:t>
            </w:r>
          </w:p>
        </w:tc>
      </w:tr>
      <w:tr w:rsidR="003B3944" w:rsidRPr="00C8094D" w14:paraId="64BFDE08" w14:textId="77777777">
        <w:trPr>
          <w:cantSplit/>
          <w:trHeight w:val="25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A13F7F" w14:textId="77777777" w:rsidR="003B3944" w:rsidRPr="00C956A9" w:rsidRDefault="003B3944">
            <w:pPr>
              <w:pStyle w:val="TableKey"/>
            </w:pPr>
            <w:r w:rsidRPr="00C956A9">
              <w:t>Key:</w:t>
            </w:r>
          </w:p>
          <w:p w14:paraId="090DB6BE" w14:textId="77777777" w:rsidR="003B3944" w:rsidRPr="00C956A9" w:rsidRDefault="003B3944">
            <w:pPr>
              <w:pStyle w:val="TableKey"/>
            </w:pPr>
            <w:r w:rsidRPr="00C956A9">
              <w:t xml:space="preserve">Cost: 0 = no cost; $ = low cost (&lt;$25k), $$ = medium cost ($25-100k), $$$ = high cost (&gt;$100k) </w:t>
            </w:r>
          </w:p>
          <w:p w14:paraId="6E285510" w14:textId="77777777" w:rsidR="003B3944" w:rsidRPr="00C956A9" w:rsidRDefault="003B3944">
            <w:pPr>
              <w:pStyle w:val="TableKey"/>
            </w:pPr>
            <w:r w:rsidRPr="00C956A9">
              <w:t>Implementation Timeframe: 1 = near-term (0-3 months); 2 = medium-term (4-12 months); 3 = long-term (12 months)</w:t>
            </w:r>
          </w:p>
          <w:p w14:paraId="1C542FF0" w14:textId="77777777" w:rsidR="003B3944" w:rsidRPr="006D7485" w:rsidRDefault="003B3944">
            <w:pPr>
              <w:pStyle w:val="TableKey"/>
              <w:rPr>
                <w:szCs w:val="22"/>
              </w:rPr>
            </w:pPr>
            <w:r w:rsidRPr="00C956A9">
              <w:t>Ease of Implementation:</w:t>
            </w:r>
            <w:r>
              <w:t xml:space="preserve"> 1= easier to implement; 3 = more difficult to implement</w:t>
            </w:r>
          </w:p>
        </w:tc>
      </w:tr>
    </w:tbl>
    <w:p w14:paraId="43DD4AEE" w14:textId="6DDFF249" w:rsidR="00D83D09" w:rsidRDefault="00D83D09" w:rsidP="00D83D09">
      <w:pPr>
        <w:pStyle w:val="Heading3"/>
      </w:pPr>
      <w:r>
        <w:t>Barriers and Challenges</w:t>
      </w:r>
    </w:p>
    <w:p w14:paraId="1B90596A" w14:textId="6BD6B788" w:rsidR="00D83D09" w:rsidRDefault="00505EDF" w:rsidP="006D7DE6">
      <w:pPr>
        <w:pStyle w:val="BodyTextFirstIndent"/>
      </w:pPr>
      <w:r>
        <w:t>Schools</w:t>
      </w:r>
      <w:r w:rsidR="007F3561">
        <w:t xml:space="preserve"> and school districts must constantly </w:t>
      </w:r>
      <w:r w:rsidR="0095523D">
        <w:t>decide</w:t>
      </w:r>
      <w:r w:rsidR="007F3561">
        <w:t xml:space="preserve"> how to best utilize limited funds and resources. </w:t>
      </w:r>
      <w:r w:rsidR="00CF588A">
        <w:t>This</w:t>
      </w:r>
      <w:r w:rsidR="004C7088">
        <w:t xml:space="preserve"> often means th</w:t>
      </w:r>
      <w:r w:rsidR="00C86D7C">
        <w:t xml:space="preserve">at funding is directed to the most pressing needs that impact the </w:t>
      </w:r>
      <w:r w:rsidR="0095523D">
        <w:t>most</w:t>
      </w:r>
      <w:r w:rsidR="00C86D7C">
        <w:t xml:space="preserve"> students. For older buildings, this </w:t>
      </w:r>
      <w:r w:rsidR="008217BF">
        <w:t xml:space="preserve">means that structural and safety fixes take priority. </w:t>
      </w:r>
      <w:r w:rsidR="003C69F4">
        <w:t>Prioritizing</w:t>
      </w:r>
      <w:r w:rsidR="00D72268">
        <w:t xml:space="preserve"> universal accessibility is important and</w:t>
      </w:r>
      <w:r w:rsidR="00895465">
        <w:t>,</w:t>
      </w:r>
      <w:r w:rsidR="00D72268">
        <w:t xml:space="preserve"> in some cases</w:t>
      </w:r>
      <w:r w:rsidR="00895465">
        <w:t>,</w:t>
      </w:r>
      <w:r w:rsidR="00D72268">
        <w:t xml:space="preserve"> r</w:t>
      </w:r>
      <w:r w:rsidR="001E0B91">
        <w:t>equired by law</w:t>
      </w:r>
      <w:r w:rsidR="0095523D">
        <w:t>; h</w:t>
      </w:r>
      <w:r w:rsidR="001E0B91">
        <w:t xml:space="preserve">owever, deciding which </w:t>
      </w:r>
      <w:r w:rsidR="005339C9">
        <w:t xml:space="preserve">aspects of improving </w:t>
      </w:r>
      <w:r w:rsidR="001E0B91">
        <w:t xml:space="preserve">accessibility </w:t>
      </w:r>
      <w:r w:rsidR="005339C9">
        <w:t>to address first</w:t>
      </w:r>
      <w:r w:rsidR="003322D2">
        <w:t xml:space="preserve"> can be difficult. Each school </w:t>
      </w:r>
      <w:r w:rsidR="00FC4589">
        <w:t xml:space="preserve">faces different challenges and serves </w:t>
      </w:r>
      <w:r w:rsidR="001015FF">
        <w:t xml:space="preserve">students with a wide range of needs. </w:t>
      </w:r>
      <w:r w:rsidR="00992B78">
        <w:t xml:space="preserve">In many cases, schools and school districts will have to use discretion </w:t>
      </w:r>
      <w:r w:rsidR="009E6906">
        <w:t xml:space="preserve">when deciding </w:t>
      </w:r>
      <w:r w:rsidR="001F6157">
        <w:t xml:space="preserve">which </w:t>
      </w:r>
      <w:r w:rsidR="009E6906">
        <w:t>elements of accessibility to prioritize.</w:t>
      </w:r>
    </w:p>
    <w:p w14:paraId="31ED4321" w14:textId="2444876A" w:rsidR="009E6906" w:rsidRDefault="00D964FF" w:rsidP="006D7DE6">
      <w:pPr>
        <w:pStyle w:val="BodyTextFirstIndent"/>
      </w:pPr>
      <w:r>
        <w:lastRenderedPageBreak/>
        <w:t xml:space="preserve">Another challenge </w:t>
      </w:r>
      <w:r w:rsidR="0095523D">
        <w:t xml:space="preserve">in </w:t>
      </w:r>
      <w:r w:rsidR="003C69F4">
        <w:t>prioritizing</w:t>
      </w:r>
      <w:r>
        <w:t xml:space="preserve"> universal accessibility is the impact of segregation</w:t>
      </w:r>
      <w:r w:rsidR="003E7AE6">
        <w:t xml:space="preserve"> and the inequitable distribution of resources throughout schools in the Commonwealth. </w:t>
      </w:r>
      <w:r w:rsidR="00001B93">
        <w:t>White, affluent communities have more resources</w:t>
      </w:r>
      <w:r w:rsidR="00011DB5">
        <w:t>, receive more funding</w:t>
      </w:r>
      <w:r w:rsidR="00BC1E86">
        <w:t>,</w:t>
      </w:r>
      <w:r w:rsidR="00001B93">
        <w:t xml:space="preserve"> and often contain more updated, accessible schools.</w:t>
      </w:r>
      <w:r w:rsidR="00011DB5">
        <w:fldChar w:fldCharType="begin"/>
      </w:r>
      <w:r w:rsidR="0097552C">
        <w:instrText xml:space="preserve"> ADDIN ZOTERO_ITEM CSL_CITATION {"citationID":"ae9o57049h","properties":{"formattedCitation":"\\super 154\\nosupersub{}","plainCitation":"154","noteIndex":0},"citationItems":[{"id":904,"uris":["http://zotero.org/groups/5563646/items/3RY6ZPX3"],"itemData":{"id":904,"type":"webpage","abstract":"Massachusetts took aggressive steps two decades ago to rein in school construction spending, but the effort has led to substantially more aid going to white students on a per pupil basis than to Latino and Black students.","container-title":"BostonGlobe.com","language":"en-US","title":"Massachusetts spends thousands more on school construction aid for white students than for students of color - The Boston Globe","URL":"https://www.bostonglobe.com/2023/05/27/metro/massachusetts-school-construction-aid/","author":[{"family":"Vaznis","given":"James"},{"family":"Staff","given":"Christopher Huffaker Globe"}],"accessed":{"date-parts":[["2024",7,25]]}}}],"schema":"https://github.com/citation-style-language/schema/raw/master/csl-citation.json"} </w:instrText>
      </w:r>
      <w:r w:rsidR="00011DB5">
        <w:fldChar w:fldCharType="separate"/>
      </w:r>
      <w:r w:rsidR="0097552C" w:rsidRPr="0097552C">
        <w:rPr>
          <w:rFonts w:cs="Arial"/>
          <w:vertAlign w:val="superscript"/>
        </w:rPr>
        <w:t>154</w:t>
      </w:r>
      <w:r w:rsidR="00011DB5">
        <w:fldChar w:fldCharType="end"/>
      </w:r>
      <w:r w:rsidR="00001B93">
        <w:t xml:space="preserve"> </w:t>
      </w:r>
      <w:r w:rsidR="00286280">
        <w:t xml:space="preserve">This results in </w:t>
      </w:r>
      <w:r w:rsidR="001526E2">
        <w:t xml:space="preserve">inequalities that must be </w:t>
      </w:r>
      <w:r w:rsidR="357522A5">
        <w:t>addressed</w:t>
      </w:r>
      <w:r w:rsidR="001526E2">
        <w:t xml:space="preserve"> beyond the three categories</w:t>
      </w:r>
      <w:r w:rsidR="007E7636">
        <w:t xml:space="preserve"> of methods and best practices</w:t>
      </w:r>
      <w:r w:rsidR="001526E2">
        <w:t xml:space="preserve"> </w:t>
      </w:r>
      <w:r w:rsidR="007E7636">
        <w:t xml:space="preserve">outlined in </w:t>
      </w:r>
      <w:r w:rsidR="007E7636">
        <w:fldChar w:fldCharType="begin"/>
      </w:r>
      <w:r w:rsidR="007E7636">
        <w:instrText xml:space="preserve"> REF _Ref172200826 \h </w:instrText>
      </w:r>
      <w:r w:rsidR="007E7636">
        <w:fldChar w:fldCharType="separate"/>
      </w:r>
      <w:r w:rsidR="00307850">
        <w:t xml:space="preserve">Table </w:t>
      </w:r>
      <w:r w:rsidR="00307850">
        <w:rPr>
          <w:noProof/>
        </w:rPr>
        <w:t>32</w:t>
      </w:r>
      <w:r w:rsidR="007E7636">
        <w:fldChar w:fldCharType="end"/>
      </w:r>
      <w:r w:rsidR="00F21014">
        <w:t xml:space="preserve">. </w:t>
      </w:r>
      <w:r w:rsidR="007C4977">
        <w:t xml:space="preserve">School districts that serve </w:t>
      </w:r>
      <w:r w:rsidR="0095523D">
        <w:t>low-</w:t>
      </w:r>
      <w:r w:rsidR="004E784A">
        <w:t xml:space="preserve">income, Black and Latino, and rural students </w:t>
      </w:r>
      <w:r w:rsidR="000C675C">
        <w:t>face greater challenges</w:t>
      </w:r>
      <w:r w:rsidR="008B4DF8">
        <w:t>.</w:t>
      </w:r>
      <w:r w:rsidR="00E62C0A">
        <w:fldChar w:fldCharType="begin"/>
      </w:r>
      <w:r w:rsidR="00467228">
        <w:instrText xml:space="preserve"> ADDIN ZOTERO_ITEM CSL_CITATION {"citationID":"a1ecn1lg4lp","properties":{"formattedCitation":"\\super 23,148\\nosupersub{}","plainCitation":"23,148","noteIndex":0},"citationItems":[{"id":829,"uris":["http://zotero.org/groups/5563646/items/TWKTRP5M"],"itemData":{"id":829,"type":"webpage","container-title":"BostonGlobe.com","language":"en-US","title":"Massachusetts’ public schools are highly segregated. It’s time we treated that like the crisis it is - The Boston Globe","URL":"https://www.bostonglobe.com/2020/12/11/opinion/massachusetts-public-schools-are-highly-segregated-its-time-we-treated-that-like-crisis-it-is/","author":[{"family":"Scharfenberg","given":"David"}],"issued":{"date-parts":[["2020",12,11]]}}},{"id":422,"uris":["http://zotero.org/groups/5563646/items/SWKSURCM"],"itemData":{"id":422,"type":"webpage","container-title":"Rural Schools Advocacy in Massachusetts","language":"en-US","title":"Rural Needs and Information Sources","URL":"https://www.ruralschoolsma.org/info","author":[{"family":"Rural Schools Advocacy in Massachusetts","given":""}],"accessed":{"date-parts":[["2024",7,8]]}}}],"schema":"https://github.com/citation-style-language/schema/raw/master/csl-citation.json"} </w:instrText>
      </w:r>
      <w:r w:rsidR="00E62C0A">
        <w:fldChar w:fldCharType="separate"/>
      </w:r>
      <w:r w:rsidR="00467228" w:rsidRPr="00467228">
        <w:rPr>
          <w:rFonts w:cs="Arial"/>
          <w:vertAlign w:val="superscript"/>
        </w:rPr>
        <w:t>23,148</w:t>
      </w:r>
      <w:r w:rsidR="00E62C0A">
        <w:fldChar w:fldCharType="end"/>
      </w:r>
      <w:r w:rsidR="008B4DF8">
        <w:t xml:space="preserve"> Systemic changes to funding and </w:t>
      </w:r>
      <w:r w:rsidR="00051257">
        <w:t>school placement must be a part of the conversation</w:t>
      </w:r>
      <w:r w:rsidR="00A92E99">
        <w:t xml:space="preserve"> around </w:t>
      </w:r>
      <w:r w:rsidR="003C69F4">
        <w:t>prioritizing</w:t>
      </w:r>
      <w:r w:rsidR="00A92E99">
        <w:t xml:space="preserve"> </w:t>
      </w:r>
      <w:r w:rsidR="00FE0838">
        <w:t>universal accessibility</w:t>
      </w:r>
      <w:r w:rsidR="00A92E99">
        <w:t>.</w:t>
      </w:r>
    </w:p>
    <w:p w14:paraId="6CD37EA0" w14:textId="085A29D1" w:rsidR="009F04AB" w:rsidRDefault="009F04AB" w:rsidP="006D7DE6">
      <w:pPr>
        <w:pStyle w:val="BodyTextFirstIndent"/>
      </w:pPr>
      <w:r>
        <w:t>Existing schools may face challenges when providing gender</w:t>
      </w:r>
      <w:r w:rsidR="00693095">
        <w:t>-</w:t>
      </w:r>
      <w:r>
        <w:t xml:space="preserve">neutral bathrooms to students. If the </w:t>
      </w:r>
      <w:r w:rsidR="002E12EB">
        <w:t>nurse’s</w:t>
      </w:r>
      <w:r>
        <w:t xml:space="preserve"> office or a staff bathroom</w:t>
      </w:r>
      <w:r w:rsidR="00BC1E86">
        <w:t xml:space="preserve"> is </w:t>
      </w:r>
      <w:r>
        <w:t xml:space="preserve">the best option for a student, </w:t>
      </w:r>
      <w:r w:rsidR="00BC1E86">
        <w:t>the</w:t>
      </w:r>
      <w:r w:rsidR="00474CB5">
        <w:t xml:space="preserve"> student </w:t>
      </w:r>
      <w:r w:rsidR="002E12EB">
        <w:t>may have</w:t>
      </w:r>
      <w:r w:rsidR="00474CB5">
        <w:t xml:space="preserve"> to </w:t>
      </w:r>
      <w:r w:rsidR="002E12EB">
        <w:t xml:space="preserve">spend more time out of class </w:t>
      </w:r>
      <w:r w:rsidR="00474CB5">
        <w:t xml:space="preserve">to </w:t>
      </w:r>
      <w:r w:rsidR="002E12EB">
        <w:t>access</w:t>
      </w:r>
      <w:r w:rsidR="00474CB5">
        <w:t xml:space="preserve"> the bathroom. </w:t>
      </w:r>
      <w:r w:rsidR="002E12EB">
        <w:t xml:space="preserve">This can also result in students feeling </w:t>
      </w:r>
      <w:r w:rsidR="00BC1E86">
        <w:t>“</w:t>
      </w:r>
      <w:r w:rsidR="002E12EB">
        <w:t>othered</w:t>
      </w:r>
      <w:r w:rsidR="00BC1E86">
        <w:t>”</w:t>
      </w:r>
      <w:r w:rsidR="00474CB5">
        <w:t xml:space="preserve"> </w:t>
      </w:r>
      <w:r w:rsidR="0071496A">
        <w:t xml:space="preserve">or isolated, especially if they are facing the issue alone. Schools should </w:t>
      </w:r>
      <w:r w:rsidR="00761BB2">
        <w:t xml:space="preserve">enable </w:t>
      </w:r>
      <w:r w:rsidR="002B5F43">
        <w:t xml:space="preserve">students </w:t>
      </w:r>
      <w:r w:rsidR="00FD24AD">
        <w:t>to</w:t>
      </w:r>
      <w:r w:rsidR="002B5F43">
        <w:t xml:space="preserve"> access gender</w:t>
      </w:r>
      <w:r w:rsidR="00693095">
        <w:t>-</w:t>
      </w:r>
      <w:r w:rsidR="002B5F43">
        <w:t>neutral bathrooms with ease to minimize time out of class and create a</w:t>
      </w:r>
      <w:r w:rsidR="00BB59D2">
        <w:t>n inclusive environment. This will be less of a barrier for new schools and schools undergoing renovations</w:t>
      </w:r>
      <w:r w:rsidR="005F5A1B">
        <w:t>,</w:t>
      </w:r>
      <w:r w:rsidR="00375783">
        <w:t xml:space="preserve"> </w:t>
      </w:r>
      <w:r w:rsidR="005F5A1B">
        <w:t>as they will typically have</w:t>
      </w:r>
      <w:r w:rsidR="00375783">
        <w:t xml:space="preserve"> </w:t>
      </w:r>
      <w:r w:rsidR="005F5A1B">
        <w:t>greater</w:t>
      </w:r>
      <w:r w:rsidR="00375783">
        <w:t xml:space="preserve"> flexibility to determine the placement of gender</w:t>
      </w:r>
      <w:r w:rsidR="005C7B20">
        <w:t>-</w:t>
      </w:r>
      <w:r w:rsidR="00375783">
        <w:t>neutral bathrooms.</w:t>
      </w:r>
    </w:p>
    <w:p w14:paraId="088964D9" w14:textId="4AE01EB5" w:rsidR="00FC7800" w:rsidRDefault="00FC7800" w:rsidP="001C7888">
      <w:pPr>
        <w:pStyle w:val="Heading2"/>
      </w:pPr>
      <w:bookmarkStart w:id="298" w:name="Objective_3c"/>
      <w:bookmarkStart w:id="299" w:name="_Toc193116914"/>
      <w:bookmarkEnd w:id="298"/>
      <w:r>
        <w:t xml:space="preserve">Objective 3c. </w:t>
      </w:r>
      <w:r w:rsidR="00814FD6">
        <w:t>Use Available Data to Identify and Equitably Prioritize Schools of Greatest Need</w:t>
      </w:r>
      <w:bookmarkEnd w:id="296"/>
      <w:bookmarkEnd w:id="297"/>
      <w:r w:rsidR="00A61113">
        <w:t xml:space="preserve"> and Ad</w:t>
      </w:r>
      <w:r w:rsidR="007D3A55">
        <w:t>vocate for Additional Funding Priorities</w:t>
      </w:r>
      <w:bookmarkEnd w:id="299"/>
    </w:p>
    <w:p w14:paraId="4C515449" w14:textId="6BCE76E1" w:rsidR="00205489" w:rsidRDefault="00CD15FF" w:rsidP="006D7DE6">
      <w:pPr>
        <w:pStyle w:val="BodyTextFirstIndent"/>
      </w:pPr>
      <w:r>
        <w:t>Many</w:t>
      </w:r>
      <w:r w:rsidR="009948DE">
        <w:t xml:space="preserve"> of the </w:t>
      </w:r>
      <w:r>
        <w:t>best practices outlined in this report requir</w:t>
      </w:r>
      <w:r w:rsidR="00DB0688">
        <w:t>e</w:t>
      </w:r>
      <w:r>
        <w:t xml:space="preserve"> little or no funding</w:t>
      </w:r>
      <w:r w:rsidR="00DB0688">
        <w:t xml:space="preserve">; </w:t>
      </w:r>
      <w:r w:rsidR="00BC1E86">
        <w:t>therefore</w:t>
      </w:r>
      <w:r w:rsidR="00DB0688">
        <w:t>, school districts can readily adopt many of these strategies</w:t>
      </w:r>
      <w:r w:rsidR="009948DE">
        <w:t xml:space="preserve"> across all schools in </w:t>
      </w:r>
      <w:r w:rsidR="000B3FAC">
        <w:t xml:space="preserve">their respective </w:t>
      </w:r>
      <w:r w:rsidR="009948DE">
        <w:t xml:space="preserve">district. </w:t>
      </w:r>
      <w:r w:rsidR="00634F8B">
        <w:t xml:space="preserve">There are also many best practices that can be very </w:t>
      </w:r>
      <w:r w:rsidR="00F17710">
        <w:t>costly to implement</w:t>
      </w:r>
      <w:r w:rsidR="00E943C1">
        <w:t>; for these best practices, school district</w:t>
      </w:r>
      <w:r w:rsidR="005908D9">
        <w:t>s</w:t>
      </w:r>
      <w:r w:rsidR="00E943C1">
        <w:t xml:space="preserve"> will need to </w:t>
      </w:r>
      <w:r w:rsidR="00365B9C">
        <w:t xml:space="preserve">determine </w:t>
      </w:r>
      <w:r w:rsidR="00F82092">
        <w:t>which school(s) in</w:t>
      </w:r>
      <w:r w:rsidR="005908D9">
        <w:t xml:space="preserve"> their respective district have the greatest need.</w:t>
      </w:r>
      <w:r w:rsidR="00634F8B">
        <w:t xml:space="preserve"> </w:t>
      </w:r>
      <w:r w:rsidR="00205489">
        <w:t xml:space="preserve">There is no “one-size-fits-all” approach for a school district to </w:t>
      </w:r>
      <w:r w:rsidR="0014709F">
        <w:t xml:space="preserve">identify </w:t>
      </w:r>
      <w:r w:rsidR="00622A75">
        <w:t xml:space="preserve">those </w:t>
      </w:r>
      <w:r w:rsidR="0014709F">
        <w:t xml:space="preserve">schools </w:t>
      </w:r>
      <w:r w:rsidR="00024369">
        <w:t>having the</w:t>
      </w:r>
      <w:r w:rsidR="0014709F">
        <w:t xml:space="preserve"> greatest need</w:t>
      </w:r>
      <w:r w:rsidR="00694424">
        <w:t xml:space="preserve"> and</w:t>
      </w:r>
      <w:r w:rsidR="00070674">
        <w:t xml:space="preserve"> to</w:t>
      </w:r>
      <w:r w:rsidR="00694424">
        <w:t xml:space="preserve"> </w:t>
      </w:r>
      <w:r w:rsidR="00205489">
        <w:t>develop a</w:t>
      </w:r>
      <w:r w:rsidR="00694424">
        <w:t xml:space="preserve"> corresponding</w:t>
      </w:r>
      <w:r w:rsidR="00205489">
        <w:t xml:space="preserve"> prioritized plan for project funding and implementation across its portfolio of schools. As noted in prior sections, the many school districts within the Commonwealth of Massachusetts vary across many characteristics, including geographic location, facility portfolio (number, size, and type of buildings), student enrollment, racial and demographic composition of the student body, student performance, annual capital and operating budgets, and amount of annual state aid received. A small rural school district with one elementary school will likely take a very different approach to selecting and prioritizing projects as compared to a large urban school district with dozens of elementary, middle, and high schools in its portfolio. </w:t>
      </w:r>
    </w:p>
    <w:p w14:paraId="6551BF0E" w14:textId="7CB417ED" w:rsidR="00EE5087" w:rsidRDefault="00205489" w:rsidP="006D7DE6">
      <w:pPr>
        <w:pStyle w:val="BodyTextFirstIndent"/>
      </w:pPr>
      <w:r>
        <w:t xml:space="preserve">The objective of this section is to </w:t>
      </w:r>
      <w:r w:rsidR="00145FC7">
        <w:t>call attention to a collection of readily available</w:t>
      </w:r>
      <w:r>
        <w:t xml:space="preserve"> </w:t>
      </w:r>
      <w:r w:rsidR="0040511C">
        <w:t>data s</w:t>
      </w:r>
      <w:r w:rsidR="003548EA">
        <w:t>ource</w:t>
      </w:r>
      <w:r w:rsidR="0040511C">
        <w:t>s</w:t>
      </w:r>
      <w:r w:rsidR="001E7102">
        <w:t xml:space="preserve"> </w:t>
      </w:r>
      <w:r w:rsidR="0040511C">
        <w:t xml:space="preserve">that </w:t>
      </w:r>
      <w:r>
        <w:t>school districts</w:t>
      </w:r>
      <w:r w:rsidR="003C2CC8">
        <w:t xml:space="preserve"> </w:t>
      </w:r>
      <w:r w:rsidR="001E7102">
        <w:t xml:space="preserve">can consider when thinking about how to </w:t>
      </w:r>
      <w:r w:rsidR="00CD4A3B">
        <w:t xml:space="preserve">identify </w:t>
      </w:r>
      <w:r w:rsidR="001D554B">
        <w:t xml:space="preserve">the </w:t>
      </w:r>
      <w:r w:rsidR="00CD4A3B">
        <w:t>schools having the greatest need</w:t>
      </w:r>
      <w:r w:rsidR="001D554B">
        <w:t>s</w:t>
      </w:r>
      <w:r w:rsidR="003548EA">
        <w:t>.</w:t>
      </w:r>
      <w:r w:rsidR="00987053">
        <w:t xml:space="preserve"> </w:t>
      </w:r>
      <w:r w:rsidR="00796954">
        <w:t xml:space="preserve">School districts can then </w:t>
      </w:r>
      <w:r w:rsidR="001E7102">
        <w:t>prioritize</w:t>
      </w:r>
      <w:r w:rsidR="00D23C79">
        <w:t xml:space="preserve"> projects </w:t>
      </w:r>
      <w:r w:rsidR="001D554B">
        <w:t xml:space="preserve">in an equitable manner </w:t>
      </w:r>
      <w:r w:rsidR="008D133D">
        <w:t xml:space="preserve">to </w:t>
      </w:r>
      <w:r w:rsidR="00796954">
        <w:t xml:space="preserve">advocate for and </w:t>
      </w:r>
      <w:r w:rsidR="00321607">
        <w:t xml:space="preserve">work towards </w:t>
      </w:r>
      <w:r w:rsidR="008D133D">
        <w:t xml:space="preserve"> green and health</w:t>
      </w:r>
      <w:r w:rsidR="009E2475">
        <w:t>y</w:t>
      </w:r>
      <w:r w:rsidR="008D133D">
        <w:t xml:space="preserve"> schools </w:t>
      </w:r>
      <w:r w:rsidR="00796954">
        <w:t>across</w:t>
      </w:r>
      <w:r w:rsidR="008D133D">
        <w:t xml:space="preserve"> their district</w:t>
      </w:r>
      <w:r w:rsidR="006D20D9">
        <w:t xml:space="preserve">. </w:t>
      </w:r>
      <w:r w:rsidR="00B24430" w:rsidRPr="00B24430">
        <w:t xml:space="preserve">Districts can also use this data to demonstrate need and potential </w:t>
      </w:r>
      <w:r w:rsidR="0053615E">
        <w:t xml:space="preserve">health </w:t>
      </w:r>
      <w:r w:rsidR="00B24430" w:rsidRPr="00B24430">
        <w:t>co-benefits as part of grant applications</w:t>
      </w:r>
      <w:r w:rsidR="0053615E">
        <w:t>.</w:t>
      </w:r>
    </w:p>
    <w:p w14:paraId="4CE5FE9B" w14:textId="0588515D" w:rsidR="0076591B" w:rsidRDefault="005C1101" w:rsidP="006D7DE6">
      <w:pPr>
        <w:pStyle w:val="BodyTextFirstIndent"/>
      </w:pPr>
      <w:r>
        <w:t>Th</w:t>
      </w:r>
      <w:r w:rsidR="004E7386">
        <w:t>is section presents</w:t>
      </w:r>
      <w:r>
        <w:t xml:space="preserve"> data sets </w:t>
      </w:r>
      <w:r w:rsidR="004E7386">
        <w:t xml:space="preserve">across </w:t>
      </w:r>
      <w:r w:rsidR="00251EAE">
        <w:t xml:space="preserve">the following </w:t>
      </w:r>
      <w:r w:rsidR="004E7386">
        <w:t xml:space="preserve">two </w:t>
      </w:r>
      <w:r w:rsidR="00251EAE">
        <w:t>categories:</w:t>
      </w:r>
    </w:p>
    <w:p w14:paraId="0F6D9282" w14:textId="35914728" w:rsidR="00251EAE" w:rsidRDefault="00251EAE" w:rsidP="008131EB">
      <w:pPr>
        <w:pStyle w:val="ListBullet"/>
      </w:pPr>
      <w:r w:rsidRPr="00501203">
        <w:rPr>
          <w:b/>
          <w:bCs/>
        </w:rPr>
        <w:lastRenderedPageBreak/>
        <w:t xml:space="preserve">Tier 1 </w:t>
      </w:r>
      <w:r>
        <w:t>represents</w:t>
      </w:r>
      <w:r w:rsidR="006B27EA">
        <w:t xml:space="preserve"> the primary data that school districts should evaluate</w:t>
      </w:r>
      <w:r w:rsidR="00FA7319">
        <w:t xml:space="preserve"> to identify schools of greatest need.</w:t>
      </w:r>
    </w:p>
    <w:p w14:paraId="52E6EB25" w14:textId="7CC66DD7" w:rsidR="00FA7319" w:rsidRDefault="006A7C59" w:rsidP="008131EB">
      <w:pPr>
        <w:pStyle w:val="ListBullet"/>
      </w:pPr>
      <w:r>
        <w:rPr>
          <w:noProof/>
        </w:rPr>
        <w:drawing>
          <wp:anchor distT="0" distB="0" distL="114300" distR="114300" simplePos="0" relativeHeight="251632128" behindDoc="0" locked="0" layoutInCell="1" allowOverlap="1" wp14:anchorId="328F3B9F" wp14:editId="54A7B81C">
            <wp:simplePos x="0" y="0"/>
            <wp:positionH relativeFrom="margin">
              <wp:align>right</wp:align>
            </wp:positionH>
            <wp:positionV relativeFrom="paragraph">
              <wp:posOffset>351155</wp:posOffset>
            </wp:positionV>
            <wp:extent cx="3528060" cy="2457450"/>
            <wp:effectExtent l="19050" t="19050" r="15240" b="19050"/>
            <wp:wrapSquare wrapText="bothSides"/>
            <wp:docPr id="1960287641" name="Picture 30" descr="Conceptual figure of four overlapping, colored circles, showing the intersection between physical infrastructure, environmental health, learning environment and outcomes, and additional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87641" name="Picture 30" descr="Conceptual figure of four overlapping, colored circles, showing the intersection between physical infrastructure, environmental health, learning environment and outcomes, and additional demographics."/>
                    <pic:cNvPicPr/>
                  </pic:nvPicPr>
                  <pic:blipFill rotWithShape="1">
                    <a:blip r:embed="rId83" cstate="print">
                      <a:extLst>
                        <a:ext uri="{28A0092B-C50C-407E-A947-70E740481C1C}">
                          <a14:useLocalDpi xmlns:a14="http://schemas.microsoft.com/office/drawing/2010/main" val="0"/>
                        </a:ext>
                      </a:extLst>
                    </a:blip>
                    <a:srcRect l="13782" t="6839" r="14424" b="4273"/>
                    <a:stretch/>
                  </pic:blipFill>
                  <pic:spPr bwMode="auto">
                    <a:xfrm>
                      <a:off x="0" y="0"/>
                      <a:ext cx="3528060" cy="24574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319" w:rsidRPr="00501203">
        <w:rPr>
          <w:b/>
          <w:bCs/>
        </w:rPr>
        <w:t>Tier 2</w:t>
      </w:r>
      <w:r w:rsidR="00FA7319">
        <w:t xml:space="preserve"> represents additional </w:t>
      </w:r>
      <w:r w:rsidR="00F16F03" w:rsidRPr="00F16F03">
        <w:t xml:space="preserve">data for </w:t>
      </w:r>
      <w:r w:rsidR="00F16F03">
        <w:t>school districts</w:t>
      </w:r>
      <w:r w:rsidR="00F16F03" w:rsidRPr="00F16F03">
        <w:t xml:space="preserve"> </w:t>
      </w:r>
      <w:r w:rsidR="00501203">
        <w:t>that have</w:t>
      </w:r>
      <w:r w:rsidR="00F16F03" w:rsidRPr="00F16F03">
        <w:t xml:space="preserve"> additional time/resources available and are interested in examining data at a deeper level</w:t>
      </w:r>
      <w:r w:rsidR="00501203">
        <w:t>.</w:t>
      </w:r>
    </w:p>
    <w:p w14:paraId="332734BB" w14:textId="7A4D2662" w:rsidR="0040511C" w:rsidRDefault="005916BC" w:rsidP="006D7DE6">
      <w:pPr>
        <w:pStyle w:val="BodyTextFirstIndent"/>
      </w:pPr>
      <w:r>
        <w:t xml:space="preserve">Within each </w:t>
      </w:r>
      <w:r w:rsidR="004B42CF">
        <w:t>Tier 1/Tier 2 category, this section presents data sets pertaining to the following four categories</w:t>
      </w:r>
      <w:r w:rsidR="006429CA">
        <w:t>:</w:t>
      </w:r>
    </w:p>
    <w:p w14:paraId="05148173" w14:textId="74A85A71" w:rsidR="00D81EA8" w:rsidRDefault="00D81EA8" w:rsidP="008131EB">
      <w:pPr>
        <w:pStyle w:val="ListBullet"/>
      </w:pPr>
      <w:r>
        <w:t>Physical infrastructure</w:t>
      </w:r>
    </w:p>
    <w:p w14:paraId="7EB6BBB1" w14:textId="5961E9AC" w:rsidR="00D81EA8" w:rsidRDefault="00D81EA8" w:rsidP="008131EB">
      <w:pPr>
        <w:pStyle w:val="ListBullet"/>
      </w:pPr>
      <w:r>
        <w:t>Environmental health</w:t>
      </w:r>
    </w:p>
    <w:p w14:paraId="434B67DE" w14:textId="131C18A1" w:rsidR="00D81EA8" w:rsidRDefault="00C14DC4" w:rsidP="008131EB">
      <w:pPr>
        <w:pStyle w:val="ListBullet"/>
      </w:pPr>
      <w:r>
        <w:t xml:space="preserve">Learning </w:t>
      </w:r>
      <w:r w:rsidR="006E0193">
        <w:t xml:space="preserve">environment and </w:t>
      </w:r>
      <w:r>
        <w:t>outcomes</w:t>
      </w:r>
    </w:p>
    <w:p w14:paraId="2A95024D" w14:textId="743AE5D7" w:rsidR="006429CA" w:rsidRDefault="00D81EA8" w:rsidP="008131EB">
      <w:pPr>
        <w:pStyle w:val="ListBullet"/>
      </w:pPr>
      <w:r>
        <w:t>Additional demographic</w:t>
      </w:r>
      <w:r w:rsidR="00B85B3C">
        <w:t>s</w:t>
      </w:r>
    </w:p>
    <w:p w14:paraId="0B25A9CA" w14:textId="4B2D4862" w:rsidR="00C80EC8" w:rsidRDefault="00C80EC8">
      <w:pPr>
        <w:rPr>
          <w:rFonts w:ascii="Arial" w:hAnsi="Arial" w:cstheme="minorHAnsi"/>
          <w:sz w:val="24"/>
        </w:rPr>
      </w:pPr>
    </w:p>
    <w:p w14:paraId="436531DF" w14:textId="61795740" w:rsidR="00032A9A" w:rsidRDefault="00C80EC8" w:rsidP="00E06AD8">
      <w:pPr>
        <w:pStyle w:val="Heading1NoTOC"/>
      </w:pPr>
      <w:r>
        <w:t>Tier 1 Data Sets</w:t>
      </w:r>
    </w:p>
    <w:p w14:paraId="54F10B5E" w14:textId="141E7E20" w:rsidR="00FB67CA" w:rsidRDefault="007158E4" w:rsidP="00195E0E">
      <w:pPr>
        <w:pStyle w:val="Heading4"/>
      </w:pPr>
      <w:r>
        <w:t>Physical Infrastructure</w:t>
      </w:r>
    </w:p>
    <w:p w14:paraId="7D139869" w14:textId="669F9425" w:rsidR="00877EA4" w:rsidRDefault="00B44190" w:rsidP="006D7DE6">
      <w:pPr>
        <w:pStyle w:val="BodyTextFirstIndent"/>
      </w:pPr>
      <w:r>
        <w:t xml:space="preserve">Perhaps the most obvious </w:t>
      </w:r>
      <w:r w:rsidR="00342BE4">
        <w:t xml:space="preserve">factor to consider when identifying schools </w:t>
      </w:r>
      <w:r w:rsidR="00BC6A57">
        <w:t xml:space="preserve">having the greatest need is the existing condition of </w:t>
      </w:r>
      <w:r w:rsidR="00041759">
        <w:t xml:space="preserve">a </w:t>
      </w:r>
      <w:r w:rsidR="00BC6A57">
        <w:t>school</w:t>
      </w:r>
      <w:r w:rsidR="00041759">
        <w:t>’</w:t>
      </w:r>
      <w:r w:rsidR="00BC6A57">
        <w:t>s physical infrastructure</w:t>
      </w:r>
      <w:r w:rsidR="003B7EE3">
        <w:t>.</w:t>
      </w:r>
      <w:r w:rsidR="00B271D8">
        <w:t xml:space="preserve"> School</w:t>
      </w:r>
      <w:r w:rsidR="002B78F7">
        <w:t xml:space="preserve"> district</w:t>
      </w:r>
      <w:r w:rsidR="00B271D8">
        <w:t>s should consider evaluati</w:t>
      </w:r>
      <w:r w:rsidR="00E73927">
        <w:t xml:space="preserve">ng the following three data sources from </w:t>
      </w:r>
      <w:r w:rsidR="000B0AEB">
        <w:t xml:space="preserve">the </w:t>
      </w:r>
      <w:r w:rsidR="00E73927">
        <w:t xml:space="preserve">MSBA to </w:t>
      </w:r>
      <w:r w:rsidR="002B78F7">
        <w:t>evaluate the physical infrastructure of</w:t>
      </w:r>
      <w:r w:rsidR="00877EA4">
        <w:t xml:space="preserve"> the schools in their portfolio:</w:t>
      </w:r>
    </w:p>
    <w:p w14:paraId="74FF9CAD" w14:textId="0A1FE37C" w:rsidR="00E44442" w:rsidRPr="00A12EAC" w:rsidRDefault="00E44442" w:rsidP="008131EB">
      <w:pPr>
        <w:pStyle w:val="ListBullet"/>
      </w:pPr>
      <w:r w:rsidRPr="00A12EAC">
        <w:t>MSBA School Survey</w:t>
      </w:r>
      <w:r w:rsidR="00C1498C">
        <w:t xml:space="preserve"> Report</w:t>
      </w:r>
    </w:p>
    <w:p w14:paraId="700383C1" w14:textId="774AF559" w:rsidR="007158E4" w:rsidRPr="00A12EAC" w:rsidRDefault="00A12EAC" w:rsidP="008131EB">
      <w:pPr>
        <w:pStyle w:val="ListBullet"/>
      </w:pPr>
      <w:r w:rsidRPr="00A12EAC">
        <w:t>MSBA School-Level Summary Reports</w:t>
      </w:r>
    </w:p>
    <w:p w14:paraId="67709E21" w14:textId="122EB4FB" w:rsidR="00A12EAC" w:rsidRDefault="00A12EAC" w:rsidP="008131EB">
      <w:pPr>
        <w:pStyle w:val="ListBullet"/>
      </w:pPr>
      <w:r w:rsidRPr="00A12EAC">
        <w:t>MSBA District-Level Summary Reports</w:t>
      </w:r>
    </w:p>
    <w:p w14:paraId="2AC19232" w14:textId="5BDE2BBC" w:rsidR="00A12EAC" w:rsidRDefault="00A12EAC" w:rsidP="00E34A72">
      <w:pPr>
        <w:pStyle w:val="Heading5"/>
      </w:pPr>
      <w:r>
        <w:t>MSBA School Survey</w:t>
      </w:r>
      <w:r w:rsidR="00C1498C">
        <w:t xml:space="preserve"> Report</w:t>
      </w:r>
    </w:p>
    <w:p w14:paraId="194EB9B3" w14:textId="635E6636" w:rsidR="00A12EAC" w:rsidRDefault="00AA2218" w:rsidP="006D7DE6">
      <w:pPr>
        <w:pStyle w:val="BodyTextFirstIndent"/>
      </w:pPr>
      <w:r>
        <w:t xml:space="preserve">As noted in the </w:t>
      </w:r>
      <w:hyperlink w:anchor="Introduction" w:history="1">
        <w:r w:rsidRPr="00421605">
          <w:rPr>
            <w:rStyle w:val="Hyperlink"/>
          </w:rPr>
          <w:t>Introduction</w:t>
        </w:r>
      </w:hyperlink>
      <w:r>
        <w:t xml:space="preserve">, </w:t>
      </w:r>
      <w:r w:rsidR="000B0AEB">
        <w:t xml:space="preserve">the </w:t>
      </w:r>
      <w:r w:rsidR="00421605">
        <w:t>MSBA</w:t>
      </w:r>
      <w:r w:rsidR="00C11EA7">
        <w:t xml:space="preserve"> has thus far performed School Surveys in 2005, 2010, and 2016, and expects to </w:t>
      </w:r>
      <w:r w:rsidR="00C11EA7" w:rsidRPr="00C11EA7">
        <w:t>complete its next survey and publish the accompanying report by the end of 2025</w:t>
      </w:r>
      <w:r w:rsidR="004F509F">
        <w:t xml:space="preserve">. The information outlined in this section is based on </w:t>
      </w:r>
      <w:r w:rsidR="000B0AEB">
        <w:t xml:space="preserve">the </w:t>
      </w:r>
      <w:r w:rsidR="004F509F">
        <w:t xml:space="preserve">MSBA’s most recently completed and published </w:t>
      </w:r>
      <w:hyperlink r:id="rId84" w:history="1">
        <w:r w:rsidR="00B51D6D" w:rsidRPr="00C1498C">
          <w:rPr>
            <w:rStyle w:val="Hyperlink"/>
          </w:rPr>
          <w:t>2016 School Survey</w:t>
        </w:r>
        <w:r w:rsidR="00C1498C" w:rsidRPr="00C1498C">
          <w:rPr>
            <w:rStyle w:val="Hyperlink"/>
          </w:rPr>
          <w:t xml:space="preserve"> Report</w:t>
        </w:r>
      </w:hyperlink>
      <w:r w:rsidR="00217F1C">
        <w:t xml:space="preserve"> (see the “School Summaries” section on page 44)</w:t>
      </w:r>
      <w:r w:rsidR="00B51D6D">
        <w:t>.</w:t>
      </w:r>
      <w:r w:rsidR="008C6532">
        <w:t xml:space="preserve"> </w:t>
      </w:r>
      <w:r w:rsidR="008C6532">
        <w:fldChar w:fldCharType="begin"/>
      </w:r>
      <w:r w:rsidR="008C6532">
        <w:instrText xml:space="preserve"> REF _Ref173943724 \h </w:instrText>
      </w:r>
      <w:r w:rsidR="008C6532">
        <w:fldChar w:fldCharType="separate"/>
      </w:r>
      <w:r w:rsidR="00307850">
        <w:t xml:space="preserve">Table </w:t>
      </w:r>
      <w:r w:rsidR="00307850">
        <w:rPr>
          <w:noProof/>
        </w:rPr>
        <w:t>33</w:t>
      </w:r>
      <w:r w:rsidR="008C6532">
        <w:fldChar w:fldCharType="end"/>
      </w:r>
      <w:r w:rsidR="008C6532">
        <w:t xml:space="preserve"> outlines notable details and recommendations for</w:t>
      </w:r>
      <w:r w:rsidR="004D158F">
        <w:t xml:space="preserve"> school districts </w:t>
      </w:r>
      <w:r w:rsidR="00F672B3">
        <w:t>to</w:t>
      </w:r>
      <w:r w:rsidR="004D158F">
        <w:t xml:space="preserve"> </w:t>
      </w:r>
      <w:r w:rsidR="00B060AB">
        <w:t>evaluate the</w:t>
      </w:r>
      <w:r w:rsidR="004D158F">
        <w:t xml:space="preserve"> schools</w:t>
      </w:r>
      <w:r w:rsidR="0086457D">
        <w:t xml:space="preserve"> in their district </w:t>
      </w:r>
      <w:r w:rsidR="007B75D6">
        <w:t xml:space="preserve">having the </w:t>
      </w:r>
      <w:r w:rsidR="004D158F">
        <w:t>greatest need.</w:t>
      </w:r>
    </w:p>
    <w:p w14:paraId="6B82D4D3" w14:textId="6AB3E358" w:rsidR="007A790B" w:rsidRDefault="007A790B" w:rsidP="00B30C96">
      <w:pPr>
        <w:pStyle w:val="Caption"/>
      </w:pPr>
      <w:bookmarkStart w:id="300" w:name="_Ref173943724"/>
      <w:bookmarkStart w:id="301" w:name="_Toc192711699"/>
      <w:bookmarkStart w:id="302" w:name="_Toc193112581"/>
      <w:bookmarkStart w:id="303" w:name="_Toc193116980"/>
      <w:r>
        <w:lastRenderedPageBreak/>
        <w:t xml:space="preserve">Table </w:t>
      </w:r>
      <w:fldSimple w:instr=" SEQ Table \* ARABIC ">
        <w:r w:rsidR="00307850">
          <w:rPr>
            <w:noProof/>
          </w:rPr>
          <w:t>33</w:t>
        </w:r>
      </w:fldSimple>
      <w:bookmarkEnd w:id="300"/>
      <w:r>
        <w:t xml:space="preserve">. </w:t>
      </w:r>
      <w:r w:rsidR="00747E7A">
        <w:t xml:space="preserve">Notable Details and Recommendations for the </w:t>
      </w:r>
      <w:r w:rsidR="00AA2218">
        <w:t xml:space="preserve">Evaluation of </w:t>
      </w:r>
      <w:r w:rsidR="00832C66">
        <w:t xml:space="preserve">the </w:t>
      </w:r>
      <w:r w:rsidR="00AA2218">
        <w:t>MSBA</w:t>
      </w:r>
      <w:r w:rsidR="008C6532">
        <w:t>’s 2016</w:t>
      </w:r>
      <w:r w:rsidR="00AA2218">
        <w:t xml:space="preserve"> School Survey</w:t>
      </w:r>
      <w:r w:rsidR="008C6532">
        <w:t xml:space="preserve"> Report</w:t>
      </w:r>
      <w:bookmarkEnd w:id="301"/>
      <w:bookmarkEnd w:id="302"/>
      <w:bookmarkEnd w:id="303"/>
    </w:p>
    <w:tbl>
      <w:tblPr>
        <w:tblStyle w:val="TableGrid"/>
        <w:tblW w:w="0" w:type="auto"/>
        <w:tblLook w:val="04A0" w:firstRow="1" w:lastRow="0" w:firstColumn="1" w:lastColumn="0" w:noHBand="0" w:noVBand="1"/>
        <w:tblDescription w:val="Table that provides recommendations on how to interpret specific data that MSBA collects to prioritize building upgrades."/>
      </w:tblPr>
      <w:tblGrid>
        <w:gridCol w:w="2155"/>
        <w:gridCol w:w="4078"/>
        <w:gridCol w:w="3117"/>
      </w:tblGrid>
      <w:tr w:rsidR="00DD6698" w14:paraId="13D7CDCB" w14:textId="77777777" w:rsidTr="00AD6F84">
        <w:trPr>
          <w:tblHeader/>
        </w:trPr>
        <w:tc>
          <w:tcPr>
            <w:tcW w:w="2155" w:type="dxa"/>
            <w:shd w:val="clear" w:color="auto" w:fill="C6D9F1" w:themeFill="text2" w:themeFillTint="33"/>
          </w:tcPr>
          <w:p w14:paraId="24B6C0FD" w14:textId="34270F0A" w:rsidR="00DD6698" w:rsidRDefault="00DD6698" w:rsidP="00EB0D79">
            <w:pPr>
              <w:pStyle w:val="TableColumnHeader"/>
            </w:pPr>
            <w:r>
              <w:t>Data of Interest</w:t>
            </w:r>
          </w:p>
        </w:tc>
        <w:tc>
          <w:tcPr>
            <w:tcW w:w="4078" w:type="dxa"/>
            <w:shd w:val="clear" w:color="auto" w:fill="C6D9F1" w:themeFill="text2" w:themeFillTint="33"/>
          </w:tcPr>
          <w:p w14:paraId="121677FD" w14:textId="2FF18BD9" w:rsidR="00DD6698" w:rsidRDefault="001C3666" w:rsidP="00EB0D79">
            <w:pPr>
              <w:pStyle w:val="TableColumnHeader"/>
            </w:pPr>
            <w:r>
              <w:t>Description/</w:t>
            </w:r>
            <w:r w:rsidR="00EB0D79">
              <w:t>Notes</w:t>
            </w:r>
          </w:p>
        </w:tc>
        <w:tc>
          <w:tcPr>
            <w:tcW w:w="3117" w:type="dxa"/>
            <w:shd w:val="clear" w:color="auto" w:fill="C6D9F1" w:themeFill="text2" w:themeFillTint="33"/>
          </w:tcPr>
          <w:p w14:paraId="0305E2BB" w14:textId="25EE8F74" w:rsidR="00DD6698" w:rsidRDefault="00EB0D79" w:rsidP="00EB0D79">
            <w:pPr>
              <w:pStyle w:val="TableColumnHeader"/>
            </w:pPr>
            <w:r>
              <w:t>Recommendations</w:t>
            </w:r>
          </w:p>
        </w:tc>
      </w:tr>
      <w:tr w:rsidR="00DD6698" w14:paraId="70890A2D" w14:textId="77777777" w:rsidTr="00166C24">
        <w:tc>
          <w:tcPr>
            <w:tcW w:w="2155" w:type="dxa"/>
          </w:tcPr>
          <w:p w14:paraId="58FE9E84" w14:textId="0F61AE30" w:rsidR="00DD6698" w:rsidRDefault="00CD311E" w:rsidP="00DD6698">
            <w:pPr>
              <w:pStyle w:val="TableText"/>
            </w:pPr>
            <w:r>
              <w:t>Building Condition Rating</w:t>
            </w:r>
          </w:p>
        </w:tc>
        <w:tc>
          <w:tcPr>
            <w:tcW w:w="4078" w:type="dxa"/>
          </w:tcPr>
          <w:p w14:paraId="6CDE1830" w14:textId="77777777" w:rsidR="00DD6698" w:rsidRDefault="001E72D9" w:rsidP="00167E15">
            <w:pPr>
              <w:pStyle w:val="TableBullet1"/>
            </w:pPr>
            <w:r w:rsidRPr="001E72D9">
              <w:t>Evaluates seven site and 18 building systems</w:t>
            </w:r>
          </w:p>
          <w:p w14:paraId="3B142085" w14:textId="71509E65" w:rsidR="009171CA" w:rsidRDefault="009171CA" w:rsidP="00167E15">
            <w:pPr>
              <w:pStyle w:val="TableBullet1"/>
            </w:pPr>
            <w:r w:rsidRPr="009171CA">
              <w:t>Rating scale: 1 to 4; a rating of 1 indicat</w:t>
            </w:r>
            <w:r>
              <w:t>es</w:t>
            </w:r>
            <w:r w:rsidRPr="009171CA">
              <w:t xml:space="preserve"> the best conditions and a 4 indicat</w:t>
            </w:r>
            <w:r>
              <w:t>es</w:t>
            </w:r>
            <w:r w:rsidRPr="009171CA">
              <w:t xml:space="preserve"> the poorest</w:t>
            </w:r>
          </w:p>
        </w:tc>
        <w:tc>
          <w:tcPr>
            <w:tcW w:w="3117" w:type="dxa"/>
          </w:tcPr>
          <w:p w14:paraId="0E305DBE" w14:textId="1AD9AE04" w:rsidR="00DD6698" w:rsidRDefault="00C03800" w:rsidP="00C03800">
            <w:pPr>
              <w:pStyle w:val="TableText"/>
            </w:pPr>
            <w:r w:rsidRPr="00C03800">
              <w:t>Prioritize schools with rating</w:t>
            </w:r>
            <w:r>
              <w:t>s</w:t>
            </w:r>
            <w:r w:rsidRPr="00C03800">
              <w:t xml:space="preserve"> of 4 or 3, which require extensive or moderate renovations, respectively</w:t>
            </w:r>
            <w:r>
              <w:t>.</w:t>
            </w:r>
          </w:p>
        </w:tc>
      </w:tr>
      <w:tr w:rsidR="00DD6698" w14:paraId="1E326FF8" w14:textId="77777777" w:rsidTr="00166C24">
        <w:tc>
          <w:tcPr>
            <w:tcW w:w="2155" w:type="dxa"/>
          </w:tcPr>
          <w:p w14:paraId="50B9F653" w14:textId="7C383904" w:rsidR="00DD6698" w:rsidRDefault="00CD311E" w:rsidP="00DD6698">
            <w:pPr>
              <w:pStyle w:val="TableText"/>
            </w:pPr>
            <w:r>
              <w:t>Capacity Rating</w:t>
            </w:r>
          </w:p>
        </w:tc>
        <w:tc>
          <w:tcPr>
            <w:tcW w:w="4078" w:type="dxa"/>
          </w:tcPr>
          <w:p w14:paraId="143AF915" w14:textId="77777777" w:rsidR="00DD6698" w:rsidRDefault="00C639CE" w:rsidP="00167E15">
            <w:pPr>
              <w:pStyle w:val="TableBullet1"/>
            </w:pPr>
            <w:r w:rsidRPr="00C639CE">
              <w:t>Based on each school’s Capacity Utilization (a measure of student enrollment divided by the building’s capacity</w:t>
            </w:r>
            <w:r>
              <w:t>)</w:t>
            </w:r>
          </w:p>
          <w:p w14:paraId="08F9C57D" w14:textId="77777777" w:rsidR="00897D50" w:rsidRDefault="00897D50" w:rsidP="00167E15">
            <w:pPr>
              <w:pStyle w:val="TableBullet1"/>
            </w:pPr>
            <w:r>
              <w:t>Rating scale:</w:t>
            </w:r>
          </w:p>
          <w:p w14:paraId="5BD21B4F" w14:textId="689CB226" w:rsidR="00166C24" w:rsidRDefault="00166C24" w:rsidP="00167E15">
            <w:pPr>
              <w:pStyle w:val="TableBullet2"/>
            </w:pPr>
            <w:r>
              <w:t>Under Utilization (less than 80</w:t>
            </w:r>
            <w:r w:rsidR="00E806C9">
              <w:t xml:space="preserve"> percent</w:t>
            </w:r>
            <w:r>
              <w:t xml:space="preserve"> capacity utilization)</w:t>
            </w:r>
          </w:p>
          <w:p w14:paraId="266E8FA6" w14:textId="752232EF" w:rsidR="00166C24" w:rsidRDefault="00166C24" w:rsidP="00167E15">
            <w:pPr>
              <w:pStyle w:val="TableBullet2"/>
            </w:pPr>
            <w:r>
              <w:t>Average Utilization (between 80 and 125</w:t>
            </w:r>
            <w:r w:rsidR="00A62ADB">
              <w:t xml:space="preserve"> percent</w:t>
            </w:r>
            <w:r>
              <w:t xml:space="preserve"> capacity utilization)</w:t>
            </w:r>
          </w:p>
          <w:p w14:paraId="092BB123" w14:textId="0A815610" w:rsidR="00897D50" w:rsidRDefault="00166C24" w:rsidP="00167E15">
            <w:pPr>
              <w:pStyle w:val="TableBullet2"/>
            </w:pPr>
            <w:r>
              <w:t>Over Utilization (equal to or greater than 125</w:t>
            </w:r>
            <w:r w:rsidR="00A62ADB">
              <w:t xml:space="preserve"> percent</w:t>
            </w:r>
            <w:r>
              <w:t xml:space="preserve"> capacity utilization)</w:t>
            </w:r>
          </w:p>
        </w:tc>
        <w:tc>
          <w:tcPr>
            <w:tcW w:w="3117" w:type="dxa"/>
          </w:tcPr>
          <w:p w14:paraId="6C373D2A" w14:textId="4721B4AF" w:rsidR="00DD6698" w:rsidRDefault="00526FE3" w:rsidP="00DD6698">
            <w:pPr>
              <w:pStyle w:val="TableText"/>
            </w:pPr>
            <w:r w:rsidRPr="00526FE3">
              <w:t>Prioritize schools that are over utilized.</w:t>
            </w:r>
          </w:p>
        </w:tc>
      </w:tr>
      <w:tr w:rsidR="00DD6698" w14:paraId="0CE041D3" w14:textId="77777777" w:rsidTr="00166C24">
        <w:tc>
          <w:tcPr>
            <w:tcW w:w="2155" w:type="dxa"/>
          </w:tcPr>
          <w:p w14:paraId="54585D7A" w14:textId="6F03CE66" w:rsidR="00DD6698" w:rsidRDefault="00CD311E" w:rsidP="00DD6698">
            <w:pPr>
              <w:pStyle w:val="TableText"/>
            </w:pPr>
            <w:r>
              <w:t>General Environment Rating</w:t>
            </w:r>
          </w:p>
        </w:tc>
        <w:tc>
          <w:tcPr>
            <w:tcW w:w="4078" w:type="dxa"/>
          </w:tcPr>
          <w:p w14:paraId="6E08068F" w14:textId="77777777" w:rsidR="00DD6698" w:rsidRDefault="00EF71B3" w:rsidP="00167E15">
            <w:pPr>
              <w:pStyle w:val="TableBullet1"/>
            </w:pPr>
            <w:r w:rsidRPr="00EF71B3">
              <w:t>An overall rating that reflects the school building’s Learning Environment, Building Safety, Universal Accessibility, Academic Sufficiency, Program Sufficiency, and Instructional Technology</w:t>
            </w:r>
          </w:p>
          <w:p w14:paraId="5D06F858" w14:textId="5667CE59" w:rsidR="00EF71B3" w:rsidRDefault="00EF71B3" w:rsidP="00167E15">
            <w:pPr>
              <w:pStyle w:val="TableBullet1"/>
            </w:pPr>
            <w:r>
              <w:t xml:space="preserve">Rating scale: </w:t>
            </w:r>
            <w:r w:rsidR="00AD6F84" w:rsidRPr="00AD6F84">
              <w:t>1 to 4; a rating of 1 indicat</w:t>
            </w:r>
            <w:r w:rsidR="00AD6F84">
              <w:t>es</w:t>
            </w:r>
            <w:r w:rsidR="00AD6F84" w:rsidRPr="00AD6F84">
              <w:t xml:space="preserve"> the best environment and a 4 indicat</w:t>
            </w:r>
            <w:r w:rsidR="00AD6F84">
              <w:t>es</w:t>
            </w:r>
            <w:r w:rsidR="00AD6F84" w:rsidRPr="00AD6F84">
              <w:t xml:space="preserve"> the poorest</w:t>
            </w:r>
          </w:p>
        </w:tc>
        <w:tc>
          <w:tcPr>
            <w:tcW w:w="3117" w:type="dxa"/>
          </w:tcPr>
          <w:p w14:paraId="0BCD5864" w14:textId="7AE51448" w:rsidR="00DD6698" w:rsidRDefault="00C81000" w:rsidP="00DD6698">
            <w:pPr>
              <w:pStyle w:val="TableText"/>
            </w:pPr>
            <w:r w:rsidRPr="00C81000">
              <w:t>Prioritize schools with</w:t>
            </w:r>
            <w:r w:rsidR="00BC1E86">
              <w:t xml:space="preserve"> a</w:t>
            </w:r>
            <w:r w:rsidRPr="00C81000">
              <w:t xml:space="preserve"> rating of either:</w:t>
            </w:r>
          </w:p>
          <w:p w14:paraId="0C979E31" w14:textId="77777777" w:rsidR="00CE1A16" w:rsidRDefault="00CE1A16" w:rsidP="00167E15">
            <w:pPr>
              <w:pStyle w:val="TableBullet1"/>
            </w:pPr>
            <w:r>
              <w:t xml:space="preserve">4 (indicating the overall physical environment is poor and may present obstacles to teaching and learning); or </w:t>
            </w:r>
          </w:p>
          <w:p w14:paraId="6F723ECD" w14:textId="2F9C7CD2" w:rsidR="00C81000" w:rsidRDefault="00CE1A16" w:rsidP="00167E15">
            <w:pPr>
              <w:pStyle w:val="TableBullet1"/>
            </w:pPr>
            <w:r>
              <w:t>3 (physical environment is not sufficient and may be negatively affecting teaching and learning)</w:t>
            </w:r>
          </w:p>
        </w:tc>
      </w:tr>
      <w:tr w:rsidR="00DD6698" w14:paraId="5A6EBAA3" w14:textId="77777777" w:rsidTr="00166C24">
        <w:tc>
          <w:tcPr>
            <w:tcW w:w="2155" w:type="dxa"/>
          </w:tcPr>
          <w:p w14:paraId="1249FF2A" w14:textId="46FFE8A3" w:rsidR="00DD6698" w:rsidRDefault="00494065" w:rsidP="00DD6698">
            <w:pPr>
              <w:pStyle w:val="TableText"/>
            </w:pPr>
            <w:r w:rsidRPr="00494065">
              <w:t>Year Founded (i.e., Originally Constructed)</w:t>
            </w:r>
          </w:p>
        </w:tc>
        <w:tc>
          <w:tcPr>
            <w:tcW w:w="4078" w:type="dxa"/>
          </w:tcPr>
          <w:p w14:paraId="1008DA9E" w14:textId="112867BC" w:rsidR="009457EA" w:rsidRDefault="009457EA" w:rsidP="00167E15">
            <w:pPr>
              <w:pStyle w:val="TableBullet1"/>
            </w:pPr>
            <w:r>
              <w:t>The building code in place at the time of construction informs building construction type and can be considered to subdivide schools.</w:t>
            </w:r>
          </w:p>
          <w:p w14:paraId="3BCEBAFC" w14:textId="69D22AD1" w:rsidR="00DD6698" w:rsidRDefault="009457EA" w:rsidP="00167E15">
            <w:pPr>
              <w:pStyle w:val="TableBullet1"/>
            </w:pPr>
            <w:r>
              <w:t>Districts should account for “Addition/Renovation Year” provided in the accompanying MSBA School-Level Reports</w:t>
            </w:r>
            <w:r w:rsidR="004A5E93">
              <w:t xml:space="preserve"> (see below)</w:t>
            </w:r>
            <w:r>
              <w:t>.</w:t>
            </w:r>
          </w:p>
        </w:tc>
        <w:tc>
          <w:tcPr>
            <w:tcW w:w="3117" w:type="dxa"/>
          </w:tcPr>
          <w:p w14:paraId="04E82F64" w14:textId="29733EB1" w:rsidR="00DD6698" w:rsidRDefault="00911C12" w:rsidP="00DD6698">
            <w:pPr>
              <w:pStyle w:val="TableText"/>
            </w:pPr>
            <w:r w:rsidRPr="00911C12">
              <w:t>Prioritize older schools</w:t>
            </w:r>
          </w:p>
        </w:tc>
      </w:tr>
      <w:tr w:rsidR="00DD6698" w14:paraId="436687A8" w14:textId="77777777" w:rsidTr="00166C24">
        <w:tc>
          <w:tcPr>
            <w:tcW w:w="2155" w:type="dxa"/>
          </w:tcPr>
          <w:p w14:paraId="64FAD89A" w14:textId="49E58825" w:rsidR="00DD6698" w:rsidRDefault="000167CE" w:rsidP="00DD6698">
            <w:pPr>
              <w:pStyle w:val="TableText"/>
            </w:pPr>
            <w:r w:rsidRPr="000167CE">
              <w:lastRenderedPageBreak/>
              <w:t>Type of School</w:t>
            </w:r>
          </w:p>
        </w:tc>
        <w:tc>
          <w:tcPr>
            <w:tcW w:w="4078" w:type="dxa"/>
          </w:tcPr>
          <w:p w14:paraId="51F609F3" w14:textId="77777777" w:rsidR="00464B2E" w:rsidRDefault="00464B2E" w:rsidP="00167E15">
            <w:pPr>
              <w:pStyle w:val="TableBullet1"/>
            </w:pPr>
            <w:r>
              <w:t>Projects targeting the optimization of environmental health implemented in PreK/Kindergarten and elementary schools result in health benefits earlier in a student’s life.</w:t>
            </w:r>
          </w:p>
          <w:p w14:paraId="23A0EA21" w14:textId="77777777" w:rsidR="00464B2E" w:rsidRDefault="00464B2E" w:rsidP="00167E15">
            <w:pPr>
              <w:pStyle w:val="TableBullet1"/>
            </w:pPr>
            <w:r>
              <w:t>There are pressures to maintain accreditation for high schools</w:t>
            </w:r>
          </w:p>
          <w:p w14:paraId="0654808A" w14:textId="1D5010CA" w:rsidR="00DD6698" w:rsidRDefault="00464B2E" w:rsidP="00167E15">
            <w:pPr>
              <w:pStyle w:val="TableBullet1"/>
            </w:pPr>
            <w:r>
              <w:t>Important to balance considerations</w:t>
            </w:r>
          </w:p>
        </w:tc>
        <w:tc>
          <w:tcPr>
            <w:tcW w:w="3117" w:type="dxa"/>
          </w:tcPr>
          <w:p w14:paraId="72D3D385" w14:textId="7754905E" w:rsidR="00DD6698" w:rsidRDefault="003D11C9" w:rsidP="00DD6698">
            <w:pPr>
              <w:pStyle w:val="TableText"/>
            </w:pPr>
            <w:r>
              <w:t xml:space="preserve">N/A; </w:t>
            </w:r>
            <w:r w:rsidR="00013141">
              <w:t xml:space="preserve">individual school districts will need to evaluate </w:t>
            </w:r>
            <w:r w:rsidR="00104E59">
              <w:t>this factor based on the unique circumstances of its district.</w:t>
            </w:r>
          </w:p>
        </w:tc>
      </w:tr>
    </w:tbl>
    <w:p w14:paraId="263A4CAF" w14:textId="723A41DE" w:rsidR="00945440" w:rsidRDefault="00517C00" w:rsidP="006D7DE6">
      <w:pPr>
        <w:pStyle w:val="BodyTextFirstIndent"/>
      </w:pPr>
      <w:r>
        <w:fldChar w:fldCharType="begin"/>
      </w:r>
      <w:r>
        <w:instrText xml:space="preserve"> REF _Ref173944134 \h </w:instrText>
      </w:r>
      <w:r>
        <w:fldChar w:fldCharType="separate"/>
      </w:r>
      <w:r w:rsidR="00307850">
        <w:t xml:space="preserve">Figure </w:t>
      </w:r>
      <w:r w:rsidR="00307850">
        <w:rPr>
          <w:noProof/>
        </w:rPr>
        <w:t>5</w:t>
      </w:r>
      <w:r>
        <w:fldChar w:fldCharType="end"/>
      </w:r>
      <w:r>
        <w:t xml:space="preserve"> presents a screenshot of a sampling of 2016 School Survey Summary Findings</w:t>
      </w:r>
      <w:r w:rsidR="000C236B">
        <w:t xml:space="preserve"> with the five </w:t>
      </w:r>
      <w:r w:rsidR="007F5D9F">
        <w:t xml:space="preserve">data elements of interest from </w:t>
      </w:r>
      <w:r w:rsidR="007F5D9F">
        <w:fldChar w:fldCharType="begin"/>
      </w:r>
      <w:r w:rsidR="007F5D9F">
        <w:instrText xml:space="preserve"> REF _Ref173943724 \h </w:instrText>
      </w:r>
      <w:r w:rsidR="007F5D9F">
        <w:fldChar w:fldCharType="separate"/>
      </w:r>
      <w:r w:rsidR="00307850">
        <w:t xml:space="preserve">Table </w:t>
      </w:r>
      <w:r w:rsidR="00307850">
        <w:rPr>
          <w:noProof/>
        </w:rPr>
        <w:t>33</w:t>
      </w:r>
      <w:r w:rsidR="007F5D9F">
        <w:fldChar w:fldCharType="end"/>
      </w:r>
      <w:r w:rsidR="007F5D9F">
        <w:t xml:space="preserve"> highlighted in yellow.</w:t>
      </w:r>
    </w:p>
    <w:p w14:paraId="0A2F1BF2" w14:textId="77777777" w:rsidR="00AD233B" w:rsidRDefault="00AD233B" w:rsidP="006D7DE6">
      <w:pPr>
        <w:pStyle w:val="BodyTextFirstIndent"/>
      </w:pPr>
    </w:p>
    <w:p w14:paraId="434D32B1" w14:textId="77777777" w:rsidR="00517C00" w:rsidRDefault="00517C00" w:rsidP="006D7DE6">
      <w:pPr>
        <w:pStyle w:val="BodyTextFirstIndent"/>
        <w:sectPr w:rsidR="00517C00" w:rsidSect="00B20DE2">
          <w:pgSz w:w="12240" w:h="15840"/>
          <w:pgMar w:top="1440" w:right="1440" w:bottom="1440" w:left="1440" w:header="720" w:footer="720" w:gutter="0"/>
          <w:cols w:space="720"/>
          <w:docGrid w:linePitch="360"/>
        </w:sectPr>
      </w:pPr>
    </w:p>
    <w:p w14:paraId="4E41F455" w14:textId="1C9CB11C" w:rsidR="00DD6698" w:rsidRDefault="001D64D3" w:rsidP="00B30C96">
      <w:pPr>
        <w:pStyle w:val="Caption"/>
      </w:pPr>
      <w:bookmarkStart w:id="304" w:name="_Ref173944134"/>
      <w:bookmarkStart w:id="305" w:name="_Toc193112292"/>
      <w:bookmarkStart w:id="306" w:name="_Toc193117049"/>
      <w:r>
        <w:lastRenderedPageBreak/>
        <w:t xml:space="preserve">Figure </w:t>
      </w:r>
      <w:fldSimple w:instr=" SEQ Figure \* ARABIC ">
        <w:r w:rsidR="00307850">
          <w:rPr>
            <w:noProof/>
          </w:rPr>
          <w:t>5</w:t>
        </w:r>
      </w:fldSimple>
      <w:bookmarkEnd w:id="304"/>
      <w:r>
        <w:t xml:space="preserve">. Screenshot of </w:t>
      </w:r>
      <w:r w:rsidR="0027750D">
        <w:t xml:space="preserve">Sampling of </w:t>
      </w:r>
      <w:r>
        <w:t>2016 School Survey Summary Findings</w:t>
      </w:r>
      <w:bookmarkEnd w:id="305"/>
      <w:bookmarkEnd w:id="306"/>
    </w:p>
    <w:p w14:paraId="1E402F97" w14:textId="4CFE63B0" w:rsidR="00593057" w:rsidRDefault="00593057" w:rsidP="006D7DE6">
      <w:pPr>
        <w:pStyle w:val="BodyTextFirstIndent"/>
      </w:pPr>
      <w:r>
        <w:rPr>
          <w:noProof/>
        </w:rPr>
        <w:drawing>
          <wp:inline distT="0" distB="0" distL="0" distR="0" wp14:anchorId="56433A37" wp14:editId="65D7D034">
            <wp:extent cx="8249308" cy="4333875"/>
            <wp:effectExtent l="0" t="0" r="0" b="0"/>
            <wp:docPr id="1824676442" name="Picture 2" descr="A screenshot of an excel sheet with five columns highlighted yellow: Type, Year Founded, Building Condition Rating, Capacity Rating, and General Environmental 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76442" name="Picture 2" descr="A screenshot of an excel sheet with five columns highlighted yellow: Type, Year Founded, Building Condition Rating, Capacity Rating, and General Environmental Rating."/>
                    <pic:cNvPicPr/>
                  </pic:nvPicPr>
                  <pic:blipFill rotWithShape="1">
                    <a:blip r:embed="rId85">
                      <a:extLst>
                        <a:ext uri="{28A0092B-C50C-407E-A947-70E740481C1C}">
                          <a14:useLocalDpi xmlns:a14="http://schemas.microsoft.com/office/drawing/2010/main" val="0"/>
                        </a:ext>
                      </a:extLst>
                    </a:blip>
                    <a:srcRect t="3824" b="2778"/>
                    <a:stretch/>
                  </pic:blipFill>
                  <pic:spPr bwMode="auto">
                    <a:xfrm>
                      <a:off x="0" y="0"/>
                      <a:ext cx="8258723" cy="4338821"/>
                    </a:xfrm>
                    <a:prstGeom prst="rect">
                      <a:avLst/>
                    </a:prstGeom>
                    <a:ln>
                      <a:noFill/>
                    </a:ln>
                    <a:extLst>
                      <a:ext uri="{53640926-AAD7-44D8-BBD7-CCE9431645EC}">
                        <a14:shadowObscured xmlns:a14="http://schemas.microsoft.com/office/drawing/2010/main"/>
                      </a:ext>
                    </a:extLst>
                  </pic:spPr>
                </pic:pic>
              </a:graphicData>
            </a:graphic>
          </wp:inline>
        </w:drawing>
      </w:r>
    </w:p>
    <w:p w14:paraId="38094E2A" w14:textId="77777777" w:rsidR="00945440" w:rsidRDefault="00945440" w:rsidP="006D7DE6">
      <w:pPr>
        <w:pStyle w:val="BodyTextFirstIndent"/>
        <w:sectPr w:rsidR="00945440" w:rsidSect="00945440">
          <w:pgSz w:w="15840" w:h="12240" w:orient="landscape"/>
          <w:pgMar w:top="1440" w:right="1440" w:bottom="1440" w:left="1440" w:header="720" w:footer="720" w:gutter="0"/>
          <w:cols w:space="720"/>
          <w:docGrid w:linePitch="360"/>
        </w:sectPr>
      </w:pPr>
    </w:p>
    <w:p w14:paraId="2A992E13" w14:textId="4846A383" w:rsidR="00A12EAC" w:rsidRDefault="00EF4932" w:rsidP="00E34A72">
      <w:pPr>
        <w:pStyle w:val="Heading5"/>
      </w:pPr>
      <w:r>
        <w:lastRenderedPageBreak/>
        <w:t>MSBA School-Level Summary Reports</w:t>
      </w:r>
    </w:p>
    <w:p w14:paraId="7153DEC2" w14:textId="388A39F0" w:rsidR="00EF4932" w:rsidRDefault="0097754E" w:rsidP="006D7DE6">
      <w:pPr>
        <w:pStyle w:val="BodyTextFirstIndent"/>
      </w:pPr>
      <w:r>
        <w:t xml:space="preserve">In addition to publishing School Survey Reports, </w:t>
      </w:r>
      <w:r w:rsidR="001C24CF">
        <w:t xml:space="preserve">the </w:t>
      </w:r>
      <w:r>
        <w:t xml:space="preserve">MSBA also </w:t>
      </w:r>
      <w:r w:rsidR="005131A8">
        <w:t xml:space="preserve">prepares </w:t>
      </w:r>
      <w:r w:rsidR="004040D5">
        <w:t>S</w:t>
      </w:r>
      <w:r w:rsidR="005131A8">
        <w:t>chool-</w:t>
      </w:r>
      <w:r w:rsidR="004040D5">
        <w:t>L</w:t>
      </w:r>
      <w:r w:rsidR="005131A8">
        <w:t xml:space="preserve">evel </w:t>
      </w:r>
      <w:r w:rsidR="004040D5">
        <w:t>S</w:t>
      </w:r>
      <w:r w:rsidR="005131A8">
        <w:t xml:space="preserve">ummary </w:t>
      </w:r>
      <w:r w:rsidR="004040D5">
        <w:t>R</w:t>
      </w:r>
      <w:r w:rsidR="005131A8">
        <w:t xml:space="preserve">eports that schools and school districts can request from </w:t>
      </w:r>
      <w:r w:rsidR="00EF424A">
        <w:t xml:space="preserve">the </w:t>
      </w:r>
      <w:r w:rsidR="005131A8">
        <w:t>MSBA.</w:t>
      </w:r>
      <w:r w:rsidR="00030833">
        <w:t xml:space="preserve"> </w:t>
      </w:r>
      <w:r w:rsidR="00030833">
        <w:fldChar w:fldCharType="begin"/>
      </w:r>
      <w:r w:rsidR="00030833">
        <w:instrText xml:space="preserve"> REF _Ref173944037 \h </w:instrText>
      </w:r>
      <w:r w:rsidR="00030833">
        <w:fldChar w:fldCharType="separate"/>
      </w:r>
      <w:r w:rsidR="00307850">
        <w:t xml:space="preserve">Table </w:t>
      </w:r>
      <w:r w:rsidR="00307850">
        <w:rPr>
          <w:noProof/>
        </w:rPr>
        <w:t>34</w:t>
      </w:r>
      <w:r w:rsidR="00030833">
        <w:fldChar w:fldCharType="end"/>
      </w:r>
      <w:r w:rsidR="00030833">
        <w:t xml:space="preserve"> </w:t>
      </w:r>
      <w:r w:rsidR="00B976CA" w:rsidRPr="00B976CA">
        <w:t>outlines notable details and recommendations for school districts to evaluate the schools in their district having the greatest need</w:t>
      </w:r>
      <w:r w:rsidR="00AD233B">
        <w:t>.</w:t>
      </w:r>
    </w:p>
    <w:p w14:paraId="3E686F6D" w14:textId="7852AAE0" w:rsidR="00030833" w:rsidRDefault="00030833" w:rsidP="00B30C96">
      <w:pPr>
        <w:pStyle w:val="Caption"/>
      </w:pPr>
      <w:bookmarkStart w:id="307" w:name="_Ref173944037"/>
      <w:bookmarkStart w:id="308" w:name="_Toc192711700"/>
      <w:bookmarkStart w:id="309" w:name="_Toc193112582"/>
      <w:bookmarkStart w:id="310" w:name="_Toc193116981"/>
      <w:r>
        <w:t xml:space="preserve">Table </w:t>
      </w:r>
      <w:fldSimple w:instr=" SEQ Table \* ARABIC ">
        <w:r w:rsidR="00307850">
          <w:rPr>
            <w:noProof/>
          </w:rPr>
          <w:t>34</w:t>
        </w:r>
      </w:fldSimple>
      <w:bookmarkEnd w:id="307"/>
      <w:r>
        <w:t xml:space="preserve">. </w:t>
      </w:r>
      <w:r w:rsidRPr="00030833">
        <w:t xml:space="preserve">Notable Details and Recommendations for the Evaluation of </w:t>
      </w:r>
      <w:r w:rsidR="00EF424A">
        <w:t xml:space="preserve">the </w:t>
      </w:r>
      <w:r w:rsidRPr="00030833">
        <w:t xml:space="preserve">MSBA’s </w:t>
      </w:r>
      <w:r>
        <w:t>S</w:t>
      </w:r>
      <w:r w:rsidRPr="00030833">
        <w:t>chool</w:t>
      </w:r>
      <w:r>
        <w:t>-Level</w:t>
      </w:r>
      <w:r w:rsidRPr="00030833">
        <w:t xml:space="preserve"> </w:t>
      </w:r>
      <w:r>
        <w:t>Summary</w:t>
      </w:r>
      <w:r w:rsidRPr="00030833">
        <w:t xml:space="preserve"> Report</w:t>
      </w:r>
      <w:r>
        <w:t>s</w:t>
      </w:r>
      <w:bookmarkEnd w:id="308"/>
      <w:bookmarkEnd w:id="309"/>
      <w:bookmarkEnd w:id="310"/>
    </w:p>
    <w:tbl>
      <w:tblPr>
        <w:tblStyle w:val="TableGrid"/>
        <w:tblW w:w="0" w:type="auto"/>
        <w:tblLook w:val="04A0" w:firstRow="1" w:lastRow="0" w:firstColumn="1" w:lastColumn="0" w:noHBand="0" w:noVBand="1"/>
        <w:tblDescription w:val="Table that provides recommendations for how to interpret data from the MSBA's school-level summary reports."/>
      </w:tblPr>
      <w:tblGrid>
        <w:gridCol w:w="2445"/>
        <w:gridCol w:w="3906"/>
        <w:gridCol w:w="2999"/>
      </w:tblGrid>
      <w:tr w:rsidR="009414A8" w14:paraId="40A52B8B" w14:textId="77777777" w:rsidTr="00377E36">
        <w:trPr>
          <w:tblHeader/>
        </w:trPr>
        <w:tc>
          <w:tcPr>
            <w:tcW w:w="2065" w:type="dxa"/>
            <w:shd w:val="clear" w:color="auto" w:fill="C6D9F1" w:themeFill="text2" w:themeFillTint="33"/>
          </w:tcPr>
          <w:p w14:paraId="4598405A" w14:textId="0B1306D4" w:rsidR="009414A8" w:rsidRDefault="009414A8" w:rsidP="00BE19B9">
            <w:pPr>
              <w:pStyle w:val="TableColumnHeader"/>
            </w:pPr>
            <w:r>
              <w:t>Data of Interest</w:t>
            </w:r>
          </w:p>
        </w:tc>
        <w:tc>
          <w:tcPr>
            <w:tcW w:w="4168" w:type="dxa"/>
            <w:shd w:val="clear" w:color="auto" w:fill="C6D9F1" w:themeFill="text2" w:themeFillTint="33"/>
          </w:tcPr>
          <w:p w14:paraId="7CE9A42B" w14:textId="77777777" w:rsidR="009414A8" w:rsidRDefault="009414A8" w:rsidP="00BE19B9">
            <w:pPr>
              <w:pStyle w:val="TableColumnHeader"/>
            </w:pPr>
            <w:r>
              <w:t>Notes/Considerations</w:t>
            </w:r>
          </w:p>
        </w:tc>
        <w:tc>
          <w:tcPr>
            <w:tcW w:w="3117" w:type="dxa"/>
            <w:shd w:val="clear" w:color="auto" w:fill="C6D9F1" w:themeFill="text2" w:themeFillTint="33"/>
          </w:tcPr>
          <w:p w14:paraId="2A4BFFE8" w14:textId="77777777" w:rsidR="009414A8" w:rsidRDefault="009414A8" w:rsidP="00BE19B9">
            <w:pPr>
              <w:pStyle w:val="TableColumnHeader"/>
            </w:pPr>
            <w:r>
              <w:t>Recommendations</w:t>
            </w:r>
          </w:p>
        </w:tc>
      </w:tr>
      <w:tr w:rsidR="009414A8" w14:paraId="0ADFA7BD" w14:textId="77777777" w:rsidTr="00814443">
        <w:tc>
          <w:tcPr>
            <w:tcW w:w="2065" w:type="dxa"/>
          </w:tcPr>
          <w:p w14:paraId="1B84392F" w14:textId="742176D4" w:rsidR="009414A8" w:rsidRDefault="00EC3954" w:rsidP="00BE19B9">
            <w:pPr>
              <w:pStyle w:val="TableText"/>
            </w:pPr>
            <w:r w:rsidRPr="00EC3954">
              <w:t xml:space="preserve">Year Built and </w:t>
            </w:r>
            <w:r w:rsidR="001C7779">
              <w:t>“Addition/Renovation Details”</w:t>
            </w:r>
          </w:p>
        </w:tc>
        <w:tc>
          <w:tcPr>
            <w:tcW w:w="4168" w:type="dxa"/>
          </w:tcPr>
          <w:p w14:paraId="24FD7366" w14:textId="77777777" w:rsidR="009414A8" w:rsidRDefault="00063E4B" w:rsidP="00167E15">
            <w:pPr>
              <w:pStyle w:val="TableBullet1"/>
            </w:pPr>
            <w:r>
              <w:t>“Year Built” should be consistent with the “Year Founded” field in the MSBA School Surveys</w:t>
            </w:r>
          </w:p>
          <w:p w14:paraId="3A9270B4" w14:textId="44B3F4E1" w:rsidR="00063E4B" w:rsidRDefault="001C7779" w:rsidP="00167E15">
            <w:pPr>
              <w:pStyle w:val="TableBullet1"/>
            </w:pPr>
            <w:r>
              <w:t>The “</w:t>
            </w:r>
            <w:r w:rsidR="0089308D">
              <w:t xml:space="preserve">Addition/Renovation Details” field will </w:t>
            </w:r>
            <w:r w:rsidR="003E49F5">
              <w:t>indicate if school has had recent additions/renovations since original construction</w:t>
            </w:r>
          </w:p>
        </w:tc>
        <w:tc>
          <w:tcPr>
            <w:tcW w:w="3117" w:type="dxa"/>
          </w:tcPr>
          <w:p w14:paraId="1EFA7ED0" w14:textId="6FCF2169" w:rsidR="009414A8" w:rsidRDefault="006D7EBF" w:rsidP="006D7EBF">
            <w:pPr>
              <w:pStyle w:val="TableText"/>
            </w:pPr>
            <w:r w:rsidRPr="006D7EBF">
              <w:t xml:space="preserve">Prioritize older schools based on </w:t>
            </w:r>
            <w:r w:rsidR="00BC1E86">
              <w:t>“</w:t>
            </w:r>
            <w:r w:rsidRPr="006D7EBF">
              <w:t>Year Built</w:t>
            </w:r>
            <w:r w:rsidR="00167E15">
              <w:t>”</w:t>
            </w:r>
            <w:r w:rsidRPr="006D7EBF">
              <w:t xml:space="preserve"> that have not had recent additions/renovations</w:t>
            </w:r>
          </w:p>
        </w:tc>
      </w:tr>
      <w:tr w:rsidR="009414A8" w14:paraId="012F5B26" w14:textId="77777777" w:rsidTr="00814443">
        <w:tc>
          <w:tcPr>
            <w:tcW w:w="2065" w:type="dxa"/>
          </w:tcPr>
          <w:p w14:paraId="4132BDA6" w14:textId="05DCFAD7" w:rsidR="009414A8" w:rsidRDefault="001C3666" w:rsidP="00BE19B9">
            <w:pPr>
              <w:pStyle w:val="TableText"/>
            </w:pPr>
            <w:r>
              <w:t>Asset-Level Data (“Building Systems” section)</w:t>
            </w:r>
          </w:p>
        </w:tc>
        <w:tc>
          <w:tcPr>
            <w:tcW w:w="4168" w:type="dxa"/>
          </w:tcPr>
          <w:p w14:paraId="35CD27FC" w14:textId="65B8DEAA" w:rsidR="007154B6" w:rsidRDefault="007154B6" w:rsidP="00167E15">
            <w:pPr>
              <w:pStyle w:val="TableBullet1"/>
            </w:pPr>
            <w:r>
              <w:t>The 2024 MSBA Accelerated Repair Program includes minimum age thresholds for windows (30-years) and roofs (25-years).</w:t>
            </w:r>
          </w:p>
          <w:p w14:paraId="1A83B32F" w14:textId="06A804DB" w:rsidR="007154B6" w:rsidRDefault="007154B6" w:rsidP="00167E15">
            <w:pPr>
              <w:pStyle w:val="TableBullet1"/>
            </w:pPr>
            <w:r>
              <w:t>Schools should consider the qualitative context in the building system notes.</w:t>
            </w:r>
          </w:p>
          <w:p w14:paraId="52A267CA" w14:textId="4ED1E813" w:rsidR="009414A8" w:rsidRDefault="002879AF" w:rsidP="00167E15">
            <w:pPr>
              <w:pStyle w:val="TableBullet1"/>
            </w:pPr>
            <w:r>
              <w:t>Schools should consider the q</w:t>
            </w:r>
            <w:r w:rsidR="007154B6">
              <w:t xml:space="preserve">ualitative information </w:t>
            </w:r>
            <w:r>
              <w:t xml:space="preserve">in </w:t>
            </w:r>
            <w:r w:rsidR="007154B6">
              <w:t xml:space="preserve">the </w:t>
            </w:r>
            <w:r w:rsidR="00167E15">
              <w:t>“</w:t>
            </w:r>
            <w:r w:rsidR="007154B6">
              <w:t>Electrical Services and Distribution</w:t>
            </w:r>
            <w:r w:rsidR="00167E15">
              <w:t>”</w:t>
            </w:r>
            <w:r w:rsidR="007154B6">
              <w:t xml:space="preserve"> field (e.g., circuits trip regularly).</w:t>
            </w:r>
          </w:p>
        </w:tc>
        <w:tc>
          <w:tcPr>
            <w:tcW w:w="3117" w:type="dxa"/>
          </w:tcPr>
          <w:p w14:paraId="3CC0E16D" w14:textId="688D7115" w:rsidR="00814443" w:rsidRDefault="00814443" w:rsidP="00167E15">
            <w:pPr>
              <w:pStyle w:val="TableBullet1"/>
            </w:pPr>
            <w:r>
              <w:t>Prioritize buildings with multiple, older systems for more comprehensive projects (modernization, new construction, deep energy retrofits). Buildings with individual, older systems can be prioritized for component retrofits.</w:t>
            </w:r>
          </w:p>
          <w:p w14:paraId="4E94DF2C" w14:textId="2140D90A" w:rsidR="00814443" w:rsidRDefault="00814443" w:rsidP="00167E15">
            <w:pPr>
              <w:pStyle w:val="TableBullet1"/>
            </w:pPr>
            <w:r>
              <w:t>Single pane windows should be prioritized</w:t>
            </w:r>
            <w:r w:rsidR="00626C51">
              <w:t xml:space="preserve"> for upgrades</w:t>
            </w:r>
            <w:r>
              <w:t>.</w:t>
            </w:r>
          </w:p>
          <w:p w14:paraId="40428D40" w14:textId="69214742" w:rsidR="00814443" w:rsidRDefault="00814443" w:rsidP="00167E15">
            <w:pPr>
              <w:pStyle w:val="TableBullet1"/>
            </w:pPr>
            <w:r>
              <w:t xml:space="preserve">Boiler: Oil boilers should be </w:t>
            </w:r>
            <w:r w:rsidR="00626C51">
              <w:t>p</w:t>
            </w:r>
            <w:r>
              <w:t>rioritized</w:t>
            </w:r>
            <w:r w:rsidR="00626C51">
              <w:t xml:space="preserve"> f</w:t>
            </w:r>
            <w:r w:rsidR="00EF4A5D">
              <w:t>or replacement</w:t>
            </w:r>
            <w:r>
              <w:t>.</w:t>
            </w:r>
          </w:p>
          <w:p w14:paraId="5431AA2A" w14:textId="28632C1D" w:rsidR="00814443" w:rsidRDefault="00167E15" w:rsidP="00167E15">
            <w:pPr>
              <w:pStyle w:val="TableBullet1"/>
            </w:pPr>
            <w:r>
              <w:t>“</w:t>
            </w:r>
            <w:r w:rsidR="00814443">
              <w:t>HVAC Heating Type</w:t>
            </w:r>
            <w:r>
              <w:t>”</w:t>
            </w:r>
            <w:r w:rsidR="00814443">
              <w:t xml:space="preserve"> = “Steam” should be prioritized</w:t>
            </w:r>
            <w:r w:rsidR="00EF4A5D">
              <w:t xml:space="preserve"> for replacement</w:t>
            </w:r>
            <w:r w:rsidR="00814443">
              <w:t>.</w:t>
            </w:r>
          </w:p>
          <w:p w14:paraId="1059E5E7" w14:textId="45A6B6E5" w:rsidR="00814443" w:rsidRDefault="00167E15" w:rsidP="00167E15">
            <w:pPr>
              <w:pStyle w:val="TableBullet1"/>
            </w:pPr>
            <w:r>
              <w:t>“</w:t>
            </w:r>
            <w:r w:rsidR="00814443">
              <w:t>HVAC – Ventilation/AC Type</w:t>
            </w:r>
            <w:r>
              <w:t>”</w:t>
            </w:r>
            <w:r w:rsidR="00814443">
              <w:t xml:space="preserve"> = </w:t>
            </w:r>
            <w:r w:rsidR="00814443">
              <w:lastRenderedPageBreak/>
              <w:t xml:space="preserve">“None” should be prioritized. </w:t>
            </w:r>
          </w:p>
          <w:p w14:paraId="63D57DD2" w14:textId="2EAD43C8" w:rsidR="00814443" w:rsidRDefault="00814443" w:rsidP="00167E15">
            <w:pPr>
              <w:pStyle w:val="TableBullet1"/>
            </w:pPr>
            <w:r>
              <w:t xml:space="preserve"> </w:t>
            </w:r>
            <w:r w:rsidR="00167E15">
              <w:t>“</w:t>
            </w:r>
            <w:r>
              <w:t>HVAC – Ventilation/AC Coverage</w:t>
            </w:r>
            <w:r w:rsidR="00167E15">
              <w:t>”</w:t>
            </w:r>
            <w:r>
              <w:t xml:space="preserve"> = “Partial” should be prioritized.</w:t>
            </w:r>
          </w:p>
          <w:p w14:paraId="1048D641" w14:textId="7D4D2A61" w:rsidR="00814443" w:rsidRDefault="00167E15" w:rsidP="00167E15">
            <w:pPr>
              <w:pStyle w:val="TableBullet1"/>
            </w:pPr>
            <w:r>
              <w:t>“</w:t>
            </w:r>
            <w:r w:rsidR="00814443">
              <w:t>HVAC – Ventilation/AC Type</w:t>
            </w:r>
            <w:r>
              <w:t>”</w:t>
            </w:r>
            <w:r w:rsidR="00814443">
              <w:t xml:space="preserve"> = “DX/Package” and “DX/Split” should be prioritized for component retrofit</w:t>
            </w:r>
            <w:r w:rsidR="00EF4A5D">
              <w:t xml:space="preserve"> since</w:t>
            </w:r>
            <w:r w:rsidR="00814443">
              <w:t xml:space="preserve"> they do not rely on a central plant and may be able to offer heating (in addition to cooling) with an electric heat pump retrofit.</w:t>
            </w:r>
          </w:p>
          <w:p w14:paraId="3B748C18" w14:textId="34002168" w:rsidR="009414A8" w:rsidRDefault="00814443" w:rsidP="00167E15">
            <w:pPr>
              <w:pStyle w:val="TableBullet1"/>
            </w:pPr>
            <w:r>
              <w:t xml:space="preserve">Prioritize schools with higher </w:t>
            </w:r>
            <w:r w:rsidR="00167E15">
              <w:t>“</w:t>
            </w:r>
            <w:r>
              <w:t>Amperage of the main breaker</w:t>
            </w:r>
            <w:r w:rsidR="00167E15">
              <w:t>”</w:t>
            </w:r>
            <w:r>
              <w:t xml:space="preserve"> for electrification</w:t>
            </w:r>
            <w:r w:rsidR="00377E36">
              <w:t>.</w:t>
            </w:r>
          </w:p>
        </w:tc>
      </w:tr>
    </w:tbl>
    <w:p w14:paraId="61533415" w14:textId="0FF4C394" w:rsidR="009414A8" w:rsidRDefault="000E3B3B" w:rsidP="006D7DE6">
      <w:pPr>
        <w:pStyle w:val="BodyTextFirstIndent"/>
      </w:pPr>
      <w:r>
        <w:rPr>
          <w:highlight w:val="yellow"/>
        </w:rPr>
        <w:fldChar w:fldCharType="begin"/>
      </w:r>
      <w:r>
        <w:instrText xml:space="preserve"> REF _Ref173944753 \h </w:instrText>
      </w:r>
      <w:r>
        <w:rPr>
          <w:highlight w:val="yellow"/>
        </w:rPr>
      </w:r>
      <w:r>
        <w:rPr>
          <w:highlight w:val="yellow"/>
        </w:rPr>
        <w:fldChar w:fldCharType="separate"/>
      </w:r>
      <w:r w:rsidR="00307850">
        <w:t xml:space="preserve">Figure </w:t>
      </w:r>
      <w:r w:rsidR="00307850">
        <w:rPr>
          <w:noProof/>
        </w:rPr>
        <w:t>6</w:t>
      </w:r>
      <w:r>
        <w:rPr>
          <w:highlight w:val="yellow"/>
        </w:rPr>
        <w:fldChar w:fldCharType="end"/>
      </w:r>
      <w:r>
        <w:t xml:space="preserve"> through </w:t>
      </w:r>
      <w:r>
        <w:rPr>
          <w:highlight w:val="yellow"/>
        </w:rPr>
        <w:fldChar w:fldCharType="begin"/>
      </w:r>
      <w:r>
        <w:instrText xml:space="preserve"> REF _Ref173944766 \h </w:instrText>
      </w:r>
      <w:r>
        <w:rPr>
          <w:highlight w:val="yellow"/>
        </w:rPr>
      </w:r>
      <w:r>
        <w:rPr>
          <w:highlight w:val="yellow"/>
        </w:rPr>
        <w:fldChar w:fldCharType="separate"/>
      </w:r>
      <w:r w:rsidR="00307850">
        <w:t xml:space="preserve">Figure </w:t>
      </w:r>
      <w:r w:rsidR="00307850">
        <w:rPr>
          <w:noProof/>
        </w:rPr>
        <w:t>9</w:t>
      </w:r>
      <w:r>
        <w:rPr>
          <w:highlight w:val="yellow"/>
        </w:rPr>
        <w:fldChar w:fldCharType="end"/>
      </w:r>
      <w:r>
        <w:t xml:space="preserve"> present</w:t>
      </w:r>
      <w:r w:rsidR="00FE736B">
        <w:t xml:space="preserve"> </w:t>
      </w:r>
      <w:r w:rsidR="00FE736B" w:rsidRPr="00FE736B">
        <w:t>screenshot</w:t>
      </w:r>
      <w:r w:rsidR="00FE736B">
        <w:t>s</w:t>
      </w:r>
      <w:r w:rsidR="00FE736B" w:rsidRPr="00FE736B">
        <w:t xml:space="preserve"> </w:t>
      </w:r>
      <w:r w:rsidR="00FE736B">
        <w:t>from various</w:t>
      </w:r>
      <w:r w:rsidR="00FE736B" w:rsidRPr="00FE736B">
        <w:t xml:space="preserve"> </w:t>
      </w:r>
      <w:r w:rsidR="00FE736B">
        <w:t>sections of a</w:t>
      </w:r>
      <w:r w:rsidR="00FE736B" w:rsidRPr="00FE736B">
        <w:t xml:space="preserve"> sampl</w:t>
      </w:r>
      <w:r w:rsidR="00FE736B">
        <w:t>e</w:t>
      </w:r>
      <w:r w:rsidR="00FE736B" w:rsidRPr="00FE736B">
        <w:t xml:space="preserve"> </w:t>
      </w:r>
      <w:r w:rsidR="00FE736B">
        <w:t>MSBA School-Level Summary Report</w:t>
      </w:r>
      <w:r w:rsidR="00DB5923">
        <w:t xml:space="preserve"> that illustrate the data elements summarized in </w:t>
      </w:r>
      <w:r w:rsidR="00DB5923">
        <w:fldChar w:fldCharType="begin"/>
      </w:r>
      <w:r w:rsidR="00DB5923">
        <w:instrText xml:space="preserve"> REF _Ref173944037 \h </w:instrText>
      </w:r>
      <w:r w:rsidR="00DB5923">
        <w:fldChar w:fldCharType="separate"/>
      </w:r>
      <w:r w:rsidR="00307850">
        <w:t xml:space="preserve">Table </w:t>
      </w:r>
      <w:r w:rsidR="00307850">
        <w:rPr>
          <w:noProof/>
        </w:rPr>
        <w:t>34</w:t>
      </w:r>
      <w:r w:rsidR="00DB5923">
        <w:fldChar w:fldCharType="end"/>
      </w:r>
      <w:r w:rsidR="00FE736B">
        <w:t>.</w:t>
      </w:r>
    </w:p>
    <w:p w14:paraId="149A002D" w14:textId="4F364E7E" w:rsidR="008F7D92" w:rsidRDefault="008F7D92" w:rsidP="00B30C96">
      <w:pPr>
        <w:pStyle w:val="Caption"/>
      </w:pPr>
      <w:bookmarkStart w:id="311" w:name="_Ref173944753"/>
      <w:bookmarkStart w:id="312" w:name="_Toc193112293"/>
      <w:bookmarkStart w:id="313" w:name="_Toc193117050"/>
      <w:r>
        <w:t xml:space="preserve">Figure </w:t>
      </w:r>
      <w:fldSimple w:instr=" SEQ Figure \* ARABIC ">
        <w:r w:rsidR="00307850">
          <w:rPr>
            <w:noProof/>
          </w:rPr>
          <w:t>6</w:t>
        </w:r>
      </w:fldSimple>
      <w:bookmarkEnd w:id="311"/>
      <w:r>
        <w:t xml:space="preserve">. Screenshot from Sample </w:t>
      </w:r>
      <w:r w:rsidRPr="008F7D92">
        <w:t>MSB</w:t>
      </w:r>
      <w:r>
        <w:t>A</w:t>
      </w:r>
      <w:r w:rsidRPr="008F7D92">
        <w:t xml:space="preserve"> School-Level Summary Report</w:t>
      </w:r>
      <w:r>
        <w:t xml:space="preserve"> Illustrating </w:t>
      </w:r>
      <w:r w:rsidR="00363854" w:rsidRPr="00363854">
        <w:t>Year Built and Addition/Renovation Details</w:t>
      </w:r>
      <w:bookmarkEnd w:id="312"/>
      <w:bookmarkEnd w:id="313"/>
    </w:p>
    <w:p w14:paraId="330A27AE" w14:textId="1C0BE2C3" w:rsidR="00E77B34" w:rsidRDefault="00E77B34" w:rsidP="006D7DE6">
      <w:pPr>
        <w:pStyle w:val="BodyTextFirstIndent"/>
      </w:pPr>
      <w:r>
        <w:rPr>
          <w:noProof/>
        </w:rPr>
        <w:drawing>
          <wp:anchor distT="0" distB="0" distL="114300" distR="114300" simplePos="0" relativeHeight="251717120" behindDoc="0" locked="0" layoutInCell="1" allowOverlap="1" wp14:anchorId="03CA6F51" wp14:editId="59168A25">
            <wp:simplePos x="933450" y="6342732"/>
            <wp:positionH relativeFrom="column">
              <wp:align>left</wp:align>
            </wp:positionH>
            <wp:positionV relativeFrom="paragraph">
              <wp:align>top</wp:align>
            </wp:positionV>
            <wp:extent cx="5565913" cy="1865244"/>
            <wp:effectExtent l="12700" t="12700" r="9525" b="14605"/>
            <wp:wrapSquare wrapText="bothSides"/>
            <wp:docPr id="635902483" name="Picture 3" descr="Screenshot of MSBA report for a building with &quot;Year Built&quot; and &quot;Add/Reno Year&quot; fields highlighte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02483" name="Picture 3" descr="Screenshot of MSBA report for a building with &quot;Year Built&quot; and &quot;Add/Reno Year&quot; fields highlighted yellow."/>
                    <pic:cNvPicPr/>
                  </pic:nvPicPr>
                  <pic:blipFill rotWithShape="1">
                    <a:blip r:embed="rId86">
                      <a:extLst>
                        <a:ext uri="{28A0092B-C50C-407E-A947-70E740481C1C}">
                          <a14:useLocalDpi xmlns:a14="http://schemas.microsoft.com/office/drawing/2010/main" val="0"/>
                        </a:ext>
                      </a:extLst>
                    </a:blip>
                    <a:srcRect l="7846" t="17139" r="1607" b="28916"/>
                    <a:stretch/>
                  </pic:blipFill>
                  <pic:spPr bwMode="auto">
                    <a:xfrm>
                      <a:off x="0" y="0"/>
                      <a:ext cx="5565913" cy="1865244"/>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4541633B" w14:textId="15AF8CF1" w:rsidR="00363854" w:rsidRDefault="003B39DB" w:rsidP="00B30C96">
      <w:pPr>
        <w:pStyle w:val="Caption"/>
      </w:pPr>
      <w:bookmarkStart w:id="314" w:name="_Toc193112294"/>
      <w:bookmarkStart w:id="315" w:name="_Toc193117051"/>
      <w:r>
        <w:lastRenderedPageBreak/>
        <w:t xml:space="preserve">Figure </w:t>
      </w:r>
      <w:fldSimple w:instr=" SEQ Figure \* ARABIC ">
        <w:r w:rsidR="00307850">
          <w:rPr>
            <w:noProof/>
          </w:rPr>
          <w:t>7</w:t>
        </w:r>
      </w:fldSimple>
      <w:r>
        <w:t xml:space="preserve">. </w:t>
      </w:r>
      <w:r w:rsidRPr="003B39DB">
        <w:t xml:space="preserve">Screenshot from Sample MSBA School-Level Summary Report Illustrating Asset-Level Data </w:t>
      </w:r>
      <w:r w:rsidR="00EB1C9E">
        <w:t xml:space="preserve">in </w:t>
      </w:r>
      <w:r w:rsidRPr="003B39DB">
        <w:t xml:space="preserve">“Building Systems” </w:t>
      </w:r>
      <w:r w:rsidR="00EB1C9E">
        <w:t>S</w:t>
      </w:r>
      <w:r w:rsidRPr="003B39DB">
        <w:t>ection</w:t>
      </w:r>
      <w:bookmarkEnd w:id="314"/>
      <w:bookmarkEnd w:id="315"/>
    </w:p>
    <w:p w14:paraId="7E9B5783" w14:textId="69F0997C" w:rsidR="00E77B34" w:rsidRDefault="009D0873" w:rsidP="006D7DE6">
      <w:pPr>
        <w:pStyle w:val="BodyTextFirstIndent"/>
      </w:pPr>
      <w:r w:rsidRPr="00E461BA">
        <w:rPr>
          <w:noProof/>
        </w:rPr>
        <w:drawing>
          <wp:inline distT="0" distB="0" distL="0" distR="0" wp14:anchorId="4E3D224E" wp14:editId="6DC672EF">
            <wp:extent cx="5570377" cy="4010025"/>
            <wp:effectExtent l="19050" t="19050" r="11430" b="9525"/>
            <wp:docPr id="252821608" name="Picture 1" descr="Screenshot from a Sample MSBA School-Level Summary Report demonstrating what asset-level data could look like, with listed building features accompanied by selection drop-down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21608" name="Picture 1" descr="Screenshot from a Sample MSBA School-Level Summary Report demonstrating what asset-level data could look like, with listed building features accompanied by selection drop-down menus."/>
                    <pic:cNvPicPr/>
                  </pic:nvPicPr>
                  <pic:blipFill>
                    <a:blip r:embed="rId87"/>
                    <a:stretch>
                      <a:fillRect/>
                    </a:stretch>
                  </pic:blipFill>
                  <pic:spPr>
                    <a:xfrm>
                      <a:off x="0" y="0"/>
                      <a:ext cx="5596159" cy="4028585"/>
                    </a:xfrm>
                    <a:prstGeom prst="rect">
                      <a:avLst/>
                    </a:prstGeom>
                    <a:ln>
                      <a:solidFill>
                        <a:schemeClr val="tx1"/>
                      </a:solidFill>
                    </a:ln>
                  </pic:spPr>
                </pic:pic>
              </a:graphicData>
            </a:graphic>
          </wp:inline>
        </w:drawing>
      </w:r>
    </w:p>
    <w:p w14:paraId="5E1E70AE" w14:textId="210ECE58" w:rsidR="00EB1C9E" w:rsidRDefault="00EB1C9E" w:rsidP="00B30C96">
      <w:pPr>
        <w:pStyle w:val="Caption"/>
      </w:pPr>
      <w:bookmarkStart w:id="316" w:name="_Toc193112295"/>
      <w:bookmarkStart w:id="317" w:name="_Toc193117052"/>
      <w:r>
        <w:lastRenderedPageBreak/>
        <w:t xml:space="preserve">Figure </w:t>
      </w:r>
      <w:fldSimple w:instr=" SEQ Figure \* ARABIC ">
        <w:r w:rsidR="00307850">
          <w:rPr>
            <w:noProof/>
          </w:rPr>
          <w:t>8</w:t>
        </w:r>
      </w:fldSimple>
      <w:r>
        <w:t xml:space="preserve">. </w:t>
      </w:r>
      <w:r w:rsidRPr="003B39DB">
        <w:t xml:space="preserve">Screenshot from Sample MSBA School-Level Summary Report Illustrating Asset-Level Data </w:t>
      </w:r>
      <w:r>
        <w:t xml:space="preserve">in </w:t>
      </w:r>
      <w:r w:rsidRPr="003B39DB">
        <w:t xml:space="preserve">“Building Systems” </w:t>
      </w:r>
      <w:r>
        <w:t>S</w:t>
      </w:r>
      <w:r w:rsidRPr="003B39DB">
        <w:t>ection</w:t>
      </w:r>
      <w:r>
        <w:t xml:space="preserve"> (Continued)</w:t>
      </w:r>
      <w:bookmarkEnd w:id="316"/>
      <w:bookmarkEnd w:id="317"/>
    </w:p>
    <w:p w14:paraId="3312E54A" w14:textId="6F6F9B4D" w:rsidR="009D0873" w:rsidRDefault="00C743B1" w:rsidP="006D7DE6">
      <w:pPr>
        <w:pStyle w:val="BodyTextFirstIndent"/>
      </w:pPr>
      <w:r w:rsidRPr="00625363">
        <w:rPr>
          <w:noProof/>
        </w:rPr>
        <w:drawing>
          <wp:inline distT="0" distB="0" distL="0" distR="0" wp14:anchorId="27A5C492" wp14:editId="6A48949C">
            <wp:extent cx="5619750" cy="7258050"/>
            <wp:effectExtent l="19050" t="19050" r="19050" b="19050"/>
            <wp:docPr id="929760947" name="Picture 1" descr="Screenshot from a Sample MSBA School-Level Summary Report demonstrating what asset-level data could look like, with listed building features accompanied by selection drop-down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60947" name="Picture 1" descr="Screenshot from a Sample MSBA School-Level Summary Report demonstrating what asset-level data could look like, with listed building features accompanied by selection drop-down menus."/>
                    <pic:cNvPicPr/>
                  </pic:nvPicPr>
                  <pic:blipFill rotWithShape="1">
                    <a:blip r:embed="rId88"/>
                    <a:srcRect l="1487" t="-651" r="1046" b="1425"/>
                    <a:stretch/>
                  </pic:blipFill>
                  <pic:spPr bwMode="auto">
                    <a:xfrm>
                      <a:off x="0" y="0"/>
                      <a:ext cx="5630835" cy="72723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1F47C7" w14:textId="369BC8A5" w:rsidR="00EB1C9E" w:rsidRDefault="00EB1C9E" w:rsidP="00B30C96">
      <w:pPr>
        <w:pStyle w:val="Caption"/>
      </w:pPr>
      <w:bookmarkStart w:id="318" w:name="_Ref173944766"/>
      <w:bookmarkStart w:id="319" w:name="_Toc193112296"/>
      <w:bookmarkStart w:id="320" w:name="_Toc193117053"/>
      <w:r>
        <w:lastRenderedPageBreak/>
        <w:t xml:space="preserve">Figure </w:t>
      </w:r>
      <w:fldSimple w:instr=" SEQ Figure \* ARABIC ">
        <w:r w:rsidR="00307850">
          <w:rPr>
            <w:noProof/>
          </w:rPr>
          <w:t>9</w:t>
        </w:r>
      </w:fldSimple>
      <w:bookmarkEnd w:id="318"/>
      <w:r>
        <w:t xml:space="preserve">. </w:t>
      </w:r>
      <w:r w:rsidRPr="003B39DB">
        <w:t xml:space="preserve">Screenshot from Sample MSBA School-Level Summary Report Illustrating Asset-Level Data </w:t>
      </w:r>
      <w:r>
        <w:t xml:space="preserve">in </w:t>
      </w:r>
      <w:r w:rsidRPr="003B39DB">
        <w:t xml:space="preserve">“Building Systems” </w:t>
      </w:r>
      <w:r>
        <w:t>S</w:t>
      </w:r>
      <w:r w:rsidRPr="003B39DB">
        <w:t>ection</w:t>
      </w:r>
      <w:r>
        <w:t xml:space="preserve"> (Continued)</w:t>
      </w:r>
      <w:bookmarkEnd w:id="319"/>
      <w:bookmarkEnd w:id="320"/>
    </w:p>
    <w:p w14:paraId="3146C421" w14:textId="53E9C616" w:rsidR="005340C7" w:rsidRDefault="005340C7" w:rsidP="006D7DE6">
      <w:pPr>
        <w:pStyle w:val="BodyTextFirstIndent"/>
      </w:pPr>
      <w:r w:rsidRPr="004830A6">
        <w:rPr>
          <w:noProof/>
        </w:rPr>
        <w:drawing>
          <wp:inline distT="0" distB="0" distL="0" distR="0" wp14:anchorId="4A610DE9" wp14:editId="1986CCE7">
            <wp:extent cx="5400675" cy="5474531"/>
            <wp:effectExtent l="19050" t="19050" r="9525" b="12065"/>
            <wp:docPr id="1067503437" name="Picture 1" descr="Screenshot from a Sample MSBA School-Level Summary Report demonstrating what asset-level data could look like, with listed building features accompanied by selection drop-down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03437" name="Picture 1" descr="Screenshot from a Sample MSBA School-Level Summary Report demonstrating what asset-level data could look like, with listed building features accompanied by selection drop-down menus."/>
                    <pic:cNvPicPr/>
                  </pic:nvPicPr>
                  <pic:blipFill>
                    <a:blip r:embed="rId89"/>
                    <a:stretch>
                      <a:fillRect/>
                    </a:stretch>
                  </pic:blipFill>
                  <pic:spPr>
                    <a:xfrm>
                      <a:off x="0" y="0"/>
                      <a:ext cx="5413232" cy="5487259"/>
                    </a:xfrm>
                    <a:prstGeom prst="rect">
                      <a:avLst/>
                    </a:prstGeom>
                    <a:ln>
                      <a:solidFill>
                        <a:schemeClr val="tx1"/>
                      </a:solidFill>
                    </a:ln>
                  </pic:spPr>
                </pic:pic>
              </a:graphicData>
            </a:graphic>
          </wp:inline>
        </w:drawing>
      </w:r>
    </w:p>
    <w:p w14:paraId="6BA259AB" w14:textId="7AD5BF97" w:rsidR="00EF4932" w:rsidRDefault="00EF4932" w:rsidP="00E34A72">
      <w:pPr>
        <w:pStyle w:val="Heading5"/>
      </w:pPr>
      <w:r>
        <w:t>MSBA District-Level Summary Reports</w:t>
      </w:r>
    </w:p>
    <w:p w14:paraId="2203A737" w14:textId="385490EE" w:rsidR="00EF4932" w:rsidRDefault="002B0285" w:rsidP="006D7DE6">
      <w:pPr>
        <w:pStyle w:val="BodyTextFirstIndent"/>
      </w:pPr>
      <w:r>
        <w:t xml:space="preserve">The </w:t>
      </w:r>
      <w:r w:rsidR="006D17C5" w:rsidRPr="006D17C5">
        <w:t xml:space="preserve">MSBA also prepares </w:t>
      </w:r>
      <w:r w:rsidR="004040D5">
        <w:t>D</w:t>
      </w:r>
      <w:r w:rsidR="006D17C5">
        <w:t>istrict</w:t>
      </w:r>
      <w:r w:rsidR="006D17C5" w:rsidRPr="006D17C5">
        <w:t>-</w:t>
      </w:r>
      <w:r w:rsidR="004040D5">
        <w:t>L</w:t>
      </w:r>
      <w:r w:rsidR="006D17C5" w:rsidRPr="006D17C5">
        <w:t xml:space="preserve">evel </w:t>
      </w:r>
      <w:r w:rsidR="004040D5">
        <w:t>S</w:t>
      </w:r>
      <w:r w:rsidR="006D17C5" w:rsidRPr="006D17C5">
        <w:t xml:space="preserve">ummary </w:t>
      </w:r>
      <w:r w:rsidR="004040D5">
        <w:t>R</w:t>
      </w:r>
      <w:r w:rsidR="006D17C5" w:rsidRPr="006D17C5">
        <w:t>eports</w:t>
      </w:r>
      <w:r w:rsidR="00D27AE7">
        <w:t xml:space="preserve"> that summarize data for all schools within a school district.</w:t>
      </w:r>
      <w:r w:rsidR="006D17C5" w:rsidRPr="006D17C5">
        <w:t xml:space="preserve"> </w:t>
      </w:r>
      <w:r w:rsidR="00D27AE7">
        <w:t>S</w:t>
      </w:r>
      <w:r w:rsidR="006D17C5" w:rsidRPr="006D17C5">
        <w:t xml:space="preserve">chool districts can </w:t>
      </w:r>
      <w:r w:rsidR="00D27AE7">
        <w:t xml:space="preserve">also </w:t>
      </w:r>
      <w:r w:rsidR="006D17C5" w:rsidRPr="006D17C5">
        <w:t>request</w:t>
      </w:r>
      <w:r w:rsidR="00D27AE7">
        <w:t xml:space="preserve"> a copy of these reports</w:t>
      </w:r>
      <w:r w:rsidR="006D17C5" w:rsidRPr="006D17C5">
        <w:t xml:space="preserve"> from </w:t>
      </w:r>
      <w:r w:rsidR="00E56EF2">
        <w:t xml:space="preserve">the </w:t>
      </w:r>
      <w:r w:rsidR="006D17C5" w:rsidRPr="006D17C5">
        <w:t xml:space="preserve">MSBA. </w:t>
      </w:r>
      <w:r w:rsidR="00712478">
        <w:fldChar w:fldCharType="begin"/>
      </w:r>
      <w:r w:rsidR="00712478">
        <w:instrText xml:space="preserve"> REF _Ref173955819 \h </w:instrText>
      </w:r>
      <w:r w:rsidR="00712478">
        <w:fldChar w:fldCharType="separate"/>
      </w:r>
      <w:r w:rsidR="00307850">
        <w:t xml:space="preserve">Table </w:t>
      </w:r>
      <w:r w:rsidR="00307850">
        <w:rPr>
          <w:noProof/>
        </w:rPr>
        <w:t>35</w:t>
      </w:r>
      <w:r w:rsidR="00712478">
        <w:fldChar w:fldCharType="end"/>
      </w:r>
      <w:r w:rsidR="006D17C5" w:rsidRPr="006D17C5">
        <w:t xml:space="preserve"> </w:t>
      </w:r>
      <w:r w:rsidR="00B976CA" w:rsidRPr="00B976CA">
        <w:t>outlines notable details and recommendations for school districts to evaluate the schools in their district having the greatest need</w:t>
      </w:r>
      <w:r w:rsidR="0079042F">
        <w:t>.</w:t>
      </w:r>
    </w:p>
    <w:p w14:paraId="31DC5D37" w14:textId="77777777" w:rsidR="006D17C5" w:rsidRDefault="006D17C5">
      <w:pPr>
        <w:rPr>
          <w:rFonts w:ascii="Arial" w:hAnsi="Arial" w:cstheme="minorHAnsi"/>
          <w:b/>
          <w:color w:val="1F497D" w:themeColor="text2"/>
          <w:sz w:val="24"/>
        </w:rPr>
      </w:pPr>
      <w:r>
        <w:br w:type="page"/>
      </w:r>
    </w:p>
    <w:p w14:paraId="337652B0" w14:textId="24B3BB12" w:rsidR="006D17C5" w:rsidRDefault="006D17C5" w:rsidP="00B30C96">
      <w:pPr>
        <w:pStyle w:val="Caption"/>
      </w:pPr>
      <w:bookmarkStart w:id="321" w:name="_Ref173955819"/>
      <w:bookmarkStart w:id="322" w:name="_Toc192711701"/>
      <w:bookmarkStart w:id="323" w:name="_Toc193112583"/>
      <w:bookmarkStart w:id="324" w:name="_Toc193116982"/>
      <w:r>
        <w:lastRenderedPageBreak/>
        <w:t xml:space="preserve">Table </w:t>
      </w:r>
      <w:fldSimple w:instr=" SEQ Table \* ARABIC ">
        <w:r w:rsidR="00307850">
          <w:rPr>
            <w:noProof/>
          </w:rPr>
          <w:t>35</w:t>
        </w:r>
      </w:fldSimple>
      <w:bookmarkEnd w:id="321"/>
      <w:r>
        <w:t xml:space="preserve">. </w:t>
      </w:r>
      <w:r w:rsidRPr="00030833">
        <w:t xml:space="preserve">Notable Details and Recommendations for the Evaluation of </w:t>
      </w:r>
      <w:r w:rsidR="000B09E9">
        <w:t xml:space="preserve">the </w:t>
      </w:r>
      <w:r w:rsidRPr="00030833">
        <w:t xml:space="preserve">MSBA’s </w:t>
      </w:r>
      <w:r>
        <w:t>District-Level</w:t>
      </w:r>
      <w:r w:rsidRPr="00030833">
        <w:t xml:space="preserve"> </w:t>
      </w:r>
      <w:r>
        <w:t>Summary</w:t>
      </w:r>
      <w:r w:rsidRPr="00030833">
        <w:t xml:space="preserve"> Report</w:t>
      </w:r>
      <w:r>
        <w:t>s</w:t>
      </w:r>
      <w:bookmarkEnd w:id="322"/>
      <w:bookmarkEnd w:id="323"/>
      <w:bookmarkEnd w:id="324"/>
    </w:p>
    <w:tbl>
      <w:tblPr>
        <w:tblStyle w:val="TableGrid"/>
        <w:tblW w:w="0" w:type="auto"/>
        <w:tblLook w:val="04A0" w:firstRow="1" w:lastRow="0" w:firstColumn="1" w:lastColumn="0" w:noHBand="0" w:noVBand="1"/>
        <w:tblDescription w:val="Table providing recommendations for how to interpret the &quot;Non-School Building List&quot; and &quot;Shared Campus Notes&quot; data fields."/>
      </w:tblPr>
      <w:tblGrid>
        <w:gridCol w:w="3116"/>
        <w:gridCol w:w="3117"/>
        <w:gridCol w:w="3117"/>
      </w:tblGrid>
      <w:tr w:rsidR="00F8769B" w14:paraId="5D94F2A8" w14:textId="77777777" w:rsidTr="00BE19B9">
        <w:tc>
          <w:tcPr>
            <w:tcW w:w="3116" w:type="dxa"/>
            <w:shd w:val="clear" w:color="auto" w:fill="C6D9F1" w:themeFill="text2" w:themeFillTint="33"/>
          </w:tcPr>
          <w:p w14:paraId="774BB6C6" w14:textId="1FE9137D" w:rsidR="00F8769B" w:rsidRDefault="00F8769B" w:rsidP="00BE19B9">
            <w:pPr>
              <w:pStyle w:val="TableColumnHeader"/>
            </w:pPr>
            <w:r>
              <w:t>Data</w:t>
            </w:r>
            <w:r w:rsidR="000C236B">
              <w:t xml:space="preserve"> </w:t>
            </w:r>
            <w:r>
              <w:t>of Interest</w:t>
            </w:r>
          </w:p>
        </w:tc>
        <w:tc>
          <w:tcPr>
            <w:tcW w:w="3117" w:type="dxa"/>
            <w:shd w:val="clear" w:color="auto" w:fill="C6D9F1" w:themeFill="text2" w:themeFillTint="33"/>
          </w:tcPr>
          <w:p w14:paraId="2EAFB348" w14:textId="77777777" w:rsidR="00F8769B" w:rsidRDefault="00F8769B" w:rsidP="00BE19B9">
            <w:pPr>
              <w:pStyle w:val="TableColumnHeader"/>
            </w:pPr>
            <w:r>
              <w:t>Notes/Considerations</w:t>
            </w:r>
          </w:p>
        </w:tc>
        <w:tc>
          <w:tcPr>
            <w:tcW w:w="3117" w:type="dxa"/>
            <w:shd w:val="clear" w:color="auto" w:fill="C6D9F1" w:themeFill="text2" w:themeFillTint="33"/>
          </w:tcPr>
          <w:p w14:paraId="257D939F" w14:textId="77777777" w:rsidR="00F8769B" w:rsidRDefault="00F8769B" w:rsidP="00BE19B9">
            <w:pPr>
              <w:pStyle w:val="TableColumnHeader"/>
            </w:pPr>
            <w:r>
              <w:t>Recommendations</w:t>
            </w:r>
          </w:p>
        </w:tc>
      </w:tr>
      <w:tr w:rsidR="002F49BE" w14:paraId="7F3DBB91" w14:textId="77777777" w:rsidTr="00BE19B9">
        <w:tc>
          <w:tcPr>
            <w:tcW w:w="3116" w:type="dxa"/>
          </w:tcPr>
          <w:p w14:paraId="4EB56AA1" w14:textId="3690981C" w:rsidR="002F49BE" w:rsidRDefault="002F49BE" w:rsidP="002F49BE">
            <w:pPr>
              <w:pStyle w:val="TableText"/>
            </w:pPr>
            <w:r>
              <w:t>“</w:t>
            </w:r>
            <w:r w:rsidRPr="001E098F">
              <w:t>Non-School Building List”</w:t>
            </w:r>
          </w:p>
        </w:tc>
        <w:tc>
          <w:tcPr>
            <w:tcW w:w="3117" w:type="dxa"/>
          </w:tcPr>
          <w:p w14:paraId="20C88DA3" w14:textId="6428426F" w:rsidR="002F49BE" w:rsidRDefault="002F49BE" w:rsidP="002F49BE">
            <w:pPr>
              <w:pStyle w:val="TableText"/>
            </w:pPr>
            <w:r>
              <w:t>N/A</w:t>
            </w:r>
          </w:p>
        </w:tc>
        <w:tc>
          <w:tcPr>
            <w:tcW w:w="3117" w:type="dxa"/>
          </w:tcPr>
          <w:p w14:paraId="48EE7650" w14:textId="77899B79" w:rsidR="002F49BE" w:rsidRDefault="002F49BE" w:rsidP="002F49BE">
            <w:pPr>
              <w:pStyle w:val="TableText"/>
            </w:pPr>
            <w:r w:rsidRPr="002035F7">
              <w:t>Consider non-school buildings where projects may impact other municipal facilities</w:t>
            </w:r>
          </w:p>
        </w:tc>
      </w:tr>
      <w:tr w:rsidR="00D078C9" w14:paraId="4BEFD1F8" w14:textId="77777777" w:rsidTr="005B08D7">
        <w:tc>
          <w:tcPr>
            <w:tcW w:w="3116" w:type="dxa"/>
          </w:tcPr>
          <w:p w14:paraId="2D5B1074" w14:textId="393C4BB3" w:rsidR="00D078C9" w:rsidRDefault="00D078C9" w:rsidP="00D078C9">
            <w:pPr>
              <w:pStyle w:val="TableText"/>
            </w:pPr>
            <w:r>
              <w:t>“</w:t>
            </w:r>
            <w:r w:rsidRPr="001839ED">
              <w:t>Shared Campus Notes”</w:t>
            </w:r>
          </w:p>
        </w:tc>
        <w:tc>
          <w:tcPr>
            <w:tcW w:w="3117" w:type="dxa"/>
          </w:tcPr>
          <w:p w14:paraId="1992FA26" w14:textId="5930D610" w:rsidR="00D078C9" w:rsidRDefault="00D078C9" w:rsidP="00D078C9">
            <w:pPr>
              <w:pStyle w:val="TableText"/>
            </w:pPr>
            <w:r>
              <w:t>N/A</w:t>
            </w:r>
          </w:p>
        </w:tc>
        <w:tc>
          <w:tcPr>
            <w:tcW w:w="3117" w:type="dxa"/>
          </w:tcPr>
          <w:p w14:paraId="36934CA3" w14:textId="4190FAF4" w:rsidR="00D078C9" w:rsidRPr="002035F7" w:rsidRDefault="00D078C9" w:rsidP="00D078C9">
            <w:pPr>
              <w:pStyle w:val="TableText"/>
            </w:pPr>
            <w:r w:rsidRPr="005219F4">
              <w:t>Consider shared campuses where projects may impact and offer benefits to multiple school</w:t>
            </w:r>
            <w:r>
              <w:t xml:space="preserve"> buildings</w:t>
            </w:r>
          </w:p>
        </w:tc>
      </w:tr>
    </w:tbl>
    <w:p w14:paraId="4F13C72E" w14:textId="607A3FFC" w:rsidR="00EF4932" w:rsidRDefault="00D91B50" w:rsidP="006D7DE6">
      <w:pPr>
        <w:pStyle w:val="BodyTextFirstIndent"/>
      </w:pPr>
      <w:r>
        <w:fldChar w:fldCharType="begin"/>
      </w:r>
      <w:r>
        <w:instrText xml:space="preserve"> REF _Ref173956485 \h </w:instrText>
      </w:r>
      <w:r>
        <w:fldChar w:fldCharType="separate"/>
      </w:r>
      <w:r w:rsidR="00307850">
        <w:t xml:space="preserve">Figure </w:t>
      </w:r>
      <w:r w:rsidR="00307850">
        <w:rPr>
          <w:noProof/>
        </w:rPr>
        <w:t>10</w:t>
      </w:r>
      <w:r>
        <w:fldChar w:fldCharType="end"/>
      </w:r>
      <w:r w:rsidRPr="00D91B50">
        <w:t xml:space="preserve"> present</w:t>
      </w:r>
      <w:r w:rsidR="004D2C2E">
        <w:t>s</w:t>
      </w:r>
      <w:r w:rsidRPr="00D91B50">
        <w:t xml:space="preserve"> screenshots from </w:t>
      </w:r>
      <w:r w:rsidR="004D2C2E">
        <w:t>two</w:t>
      </w:r>
      <w:r w:rsidRPr="00D91B50">
        <w:t xml:space="preserve"> sections of a sample MSBA </w:t>
      </w:r>
      <w:r w:rsidR="004D2C2E">
        <w:t>District</w:t>
      </w:r>
      <w:r w:rsidRPr="00D91B50">
        <w:t xml:space="preserve">-Level Summary Report that illustrate the data elements summarized in </w:t>
      </w:r>
      <w:r w:rsidR="004D2C2E">
        <w:fldChar w:fldCharType="begin"/>
      </w:r>
      <w:r w:rsidR="004D2C2E">
        <w:instrText xml:space="preserve"> REF _Ref173955819 \h </w:instrText>
      </w:r>
      <w:r w:rsidR="004D2C2E">
        <w:fldChar w:fldCharType="separate"/>
      </w:r>
      <w:r w:rsidR="00307850">
        <w:t xml:space="preserve">Table </w:t>
      </w:r>
      <w:r w:rsidR="00307850">
        <w:rPr>
          <w:noProof/>
        </w:rPr>
        <w:t>35</w:t>
      </w:r>
      <w:r w:rsidR="004D2C2E">
        <w:fldChar w:fldCharType="end"/>
      </w:r>
      <w:r w:rsidRPr="00D91B50">
        <w:t>.</w:t>
      </w:r>
    </w:p>
    <w:p w14:paraId="258FAE8D" w14:textId="2BEA64AA" w:rsidR="00D91B50" w:rsidRDefault="00D91B50" w:rsidP="00B30C96">
      <w:pPr>
        <w:pStyle w:val="Caption"/>
      </w:pPr>
      <w:bookmarkStart w:id="325" w:name="_Ref173956485"/>
      <w:bookmarkStart w:id="326" w:name="_Toc193112297"/>
      <w:bookmarkStart w:id="327" w:name="_Toc193117054"/>
      <w:r>
        <w:t xml:space="preserve">Figure </w:t>
      </w:r>
      <w:fldSimple w:instr=" SEQ Figure \* ARABIC ">
        <w:r w:rsidR="00307850">
          <w:rPr>
            <w:noProof/>
          </w:rPr>
          <w:t>10</w:t>
        </w:r>
      </w:fldSimple>
      <w:bookmarkEnd w:id="325"/>
      <w:r>
        <w:t>.</w:t>
      </w:r>
      <w:r w:rsidR="00F337F0">
        <w:t xml:space="preserve"> </w:t>
      </w:r>
      <w:r w:rsidR="00F337F0" w:rsidRPr="003B39DB">
        <w:t xml:space="preserve">Screenshot from Sample MSBA </w:t>
      </w:r>
      <w:r w:rsidR="00F337F0">
        <w:t>District</w:t>
      </w:r>
      <w:r w:rsidR="00F337F0" w:rsidRPr="003B39DB">
        <w:t xml:space="preserve">-Level Summary Report Illustrating </w:t>
      </w:r>
      <w:r w:rsidR="000A04BE">
        <w:t>Qualitative</w:t>
      </w:r>
      <w:r w:rsidR="00F337F0" w:rsidRPr="003B39DB">
        <w:t xml:space="preserve"> Data </w:t>
      </w:r>
      <w:r w:rsidR="00F337F0">
        <w:t xml:space="preserve">in </w:t>
      </w:r>
      <w:r w:rsidR="000A04BE">
        <w:t xml:space="preserve">the </w:t>
      </w:r>
      <w:r w:rsidR="00F337F0" w:rsidRPr="003B39DB">
        <w:t>“</w:t>
      </w:r>
      <w:r w:rsidR="000A04BE">
        <w:t>Non-School Building List</w:t>
      </w:r>
      <w:r w:rsidR="00F337F0" w:rsidRPr="003B39DB">
        <w:t>”</w:t>
      </w:r>
      <w:r w:rsidR="000A04BE">
        <w:t xml:space="preserve"> and “Shared Campus Notes”</w:t>
      </w:r>
      <w:r w:rsidR="00F337F0" w:rsidRPr="003B39DB">
        <w:t xml:space="preserve"> </w:t>
      </w:r>
      <w:r w:rsidR="00F337F0">
        <w:t>S</w:t>
      </w:r>
      <w:r w:rsidR="00F337F0" w:rsidRPr="003B39DB">
        <w:t>ection</w:t>
      </w:r>
      <w:r w:rsidR="000A04BE">
        <w:t>s</w:t>
      </w:r>
      <w:bookmarkEnd w:id="326"/>
      <w:bookmarkEnd w:id="327"/>
    </w:p>
    <w:p w14:paraId="506459E4" w14:textId="42EE8CA3" w:rsidR="00456F3B" w:rsidRDefault="00182C90" w:rsidP="006D7DE6">
      <w:pPr>
        <w:pStyle w:val="BodyTextFirstIndent"/>
      </w:pPr>
      <w:r>
        <w:rPr>
          <w:noProof/>
        </w:rPr>
        <w:drawing>
          <wp:inline distT="0" distB="0" distL="0" distR="0" wp14:anchorId="54961A49" wp14:editId="65476967">
            <wp:extent cx="5943600" cy="4105275"/>
            <wp:effectExtent l="0" t="0" r="0" b="9525"/>
            <wp:docPr id="931570523" name="Picture 29" descr="Stacked screenshots of two data fields with data dull yellow headers at the top of each screenshot and open text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0523" name="Picture 29" descr="Stacked screenshots of two data fields with data dull yellow headers at the top of each screenshot and open text beneath."/>
                    <pic:cNvPicPr/>
                  </pic:nvPicPr>
                  <pic:blipFill rotWithShape="1">
                    <a:blip r:embed="rId90">
                      <a:extLst>
                        <a:ext uri="{28A0092B-C50C-407E-A947-70E740481C1C}">
                          <a14:useLocalDpi xmlns:a14="http://schemas.microsoft.com/office/drawing/2010/main" val="0"/>
                        </a:ext>
                      </a:extLst>
                    </a:blip>
                    <a:srcRect t="1981" b="47785"/>
                    <a:stretch/>
                  </pic:blipFill>
                  <pic:spPr bwMode="auto">
                    <a:xfrm>
                      <a:off x="0" y="0"/>
                      <a:ext cx="5943600" cy="4105275"/>
                    </a:xfrm>
                    <a:prstGeom prst="rect">
                      <a:avLst/>
                    </a:prstGeom>
                    <a:ln>
                      <a:noFill/>
                    </a:ln>
                    <a:extLst>
                      <a:ext uri="{53640926-AAD7-44D8-BBD7-CCE9431645EC}">
                        <a14:shadowObscured xmlns:a14="http://schemas.microsoft.com/office/drawing/2010/main"/>
                      </a:ext>
                    </a:extLst>
                  </pic:spPr>
                </pic:pic>
              </a:graphicData>
            </a:graphic>
          </wp:inline>
        </w:drawing>
      </w:r>
    </w:p>
    <w:p w14:paraId="3827777C" w14:textId="4C147929" w:rsidR="00456F3B" w:rsidRDefault="00456F3B" w:rsidP="006D7DE6">
      <w:pPr>
        <w:pStyle w:val="BodyTextFirstIndent"/>
      </w:pPr>
    </w:p>
    <w:p w14:paraId="6935E81F" w14:textId="0B196B27" w:rsidR="001839ED" w:rsidRDefault="001839ED" w:rsidP="00983502">
      <w:pPr>
        <w:pStyle w:val="Heading4"/>
      </w:pPr>
      <w:r>
        <w:lastRenderedPageBreak/>
        <w:t>Environmental Health</w:t>
      </w:r>
    </w:p>
    <w:p w14:paraId="3A64F909" w14:textId="7D7DF5F3" w:rsidR="00D113EA" w:rsidRDefault="4C8F6CCA" w:rsidP="006D7DE6">
      <w:pPr>
        <w:pStyle w:val="BodyTextFirstIndent"/>
      </w:pPr>
      <w:r>
        <w:t>Beyond consideration of the physical infrastructure</w:t>
      </w:r>
      <w:r w:rsidR="57731A56">
        <w:t xml:space="preserve"> of each district’s </w:t>
      </w:r>
      <w:r w:rsidR="39039A10">
        <w:t>portfolio of school buildings</w:t>
      </w:r>
      <w:r w:rsidR="6C913BAF">
        <w:t xml:space="preserve">, DPH </w:t>
      </w:r>
      <w:r w:rsidR="0E3FB98D">
        <w:t xml:space="preserve">suggests that school districts also evaluate publicly available environmental health </w:t>
      </w:r>
      <w:r w:rsidR="57425261">
        <w:t xml:space="preserve">and disease </w:t>
      </w:r>
      <w:r w:rsidR="0E3FB98D">
        <w:t>data</w:t>
      </w:r>
      <w:r w:rsidR="240F185E">
        <w:t xml:space="preserve"> for </w:t>
      </w:r>
      <w:r w:rsidR="7690B7E7">
        <w:t>communities where their students live</w:t>
      </w:r>
      <w:r w:rsidR="00975FED" w:rsidDel="0C687020">
        <w:t>.</w:t>
      </w:r>
      <w:r w:rsidR="0E3FB98D">
        <w:t xml:space="preserve"> </w:t>
      </w:r>
      <w:r w:rsidR="0C687020">
        <w:t>This will help districts</w:t>
      </w:r>
      <w:r w:rsidR="0E3FB98D">
        <w:t xml:space="preserve"> identify schools that </w:t>
      </w:r>
      <w:r w:rsidR="3FC231FD">
        <w:t xml:space="preserve">may </w:t>
      </w:r>
      <w:r w:rsidR="2B17D671">
        <w:t>experience</w:t>
      </w:r>
      <w:r w:rsidR="263A74CA">
        <w:t xml:space="preserve"> disproportionally </w:t>
      </w:r>
      <w:r w:rsidR="2B17D671">
        <w:t>high rates</w:t>
      </w:r>
      <w:r w:rsidR="39F22A9B">
        <w:t xml:space="preserve"> of childhood lead poisoning and</w:t>
      </w:r>
      <w:r w:rsidR="3FC231FD">
        <w:t>/or</w:t>
      </w:r>
      <w:r w:rsidR="39F22A9B">
        <w:t xml:space="preserve"> pediatric asthma.</w:t>
      </w:r>
      <w:r w:rsidR="00285CA2">
        <w:t xml:space="preserve"> Both of these health outcomes are directly linked to future school performance, increased learning disabilities</w:t>
      </w:r>
      <w:r w:rsidR="002866C0">
        <w:t>, and, consequently, an increased burden on school</w:t>
      </w:r>
      <w:r w:rsidR="008F269B">
        <w:t>s</w:t>
      </w:r>
      <w:r w:rsidR="002866C0">
        <w:t>.</w:t>
      </w:r>
      <w:r w:rsidR="6C913BAF">
        <w:t xml:space="preserve"> </w:t>
      </w:r>
      <w:r w:rsidR="1C0F8420">
        <w:t xml:space="preserve">School districts should consider evaluating the following </w:t>
      </w:r>
      <w:r w:rsidR="5AA41D69">
        <w:t>two</w:t>
      </w:r>
      <w:r w:rsidR="1C0F8420">
        <w:t xml:space="preserve"> sources from </w:t>
      </w:r>
      <w:r w:rsidR="031AB3BE">
        <w:t>DPH</w:t>
      </w:r>
      <w:r w:rsidR="1C0F8420">
        <w:t xml:space="preserve"> to evaluate </w:t>
      </w:r>
      <w:r w:rsidR="5AA41D69">
        <w:t>relevant environment</w:t>
      </w:r>
      <w:r w:rsidR="3392EC61">
        <w:t>al</w:t>
      </w:r>
      <w:r w:rsidR="1C0F8420">
        <w:t xml:space="preserve"> </w:t>
      </w:r>
      <w:r w:rsidR="231267E6">
        <w:t xml:space="preserve">health indicators that </w:t>
      </w:r>
      <w:r w:rsidR="360C8054">
        <w:t xml:space="preserve">will help increase awareness of and identify schools having </w:t>
      </w:r>
      <w:r w:rsidR="3392EC61">
        <w:t xml:space="preserve">the </w:t>
      </w:r>
      <w:r w:rsidR="360C8054">
        <w:t>greatest need</w:t>
      </w:r>
      <w:r w:rsidR="3392EC61">
        <w:t>s</w:t>
      </w:r>
      <w:r w:rsidR="0046EB49">
        <w:t>:</w:t>
      </w:r>
    </w:p>
    <w:p w14:paraId="4EB29DB1" w14:textId="229076F8" w:rsidR="00D113EA" w:rsidRPr="00A12EAC" w:rsidRDefault="00E75656" w:rsidP="008131EB">
      <w:pPr>
        <w:pStyle w:val="ListBullet"/>
      </w:pPr>
      <w:r>
        <w:t xml:space="preserve">DPH Annual Childhood Lead Poisoning Surveillance Reports </w:t>
      </w:r>
    </w:p>
    <w:p w14:paraId="35587DD2" w14:textId="64B1E591" w:rsidR="00D113EA" w:rsidRPr="00A12EAC" w:rsidRDefault="00EE5CE3" w:rsidP="008131EB">
      <w:pPr>
        <w:pStyle w:val="ListBullet"/>
      </w:pPr>
      <w:r w:rsidRPr="00EE5CE3">
        <w:t>Massachusetts Environmental Public Health Tracking Tool</w:t>
      </w:r>
    </w:p>
    <w:p w14:paraId="1879DFF5" w14:textId="1CD82AD0" w:rsidR="00983502" w:rsidRDefault="00DB2E20" w:rsidP="00E34A72">
      <w:pPr>
        <w:pStyle w:val="Heading5"/>
      </w:pPr>
      <w:r>
        <w:t xml:space="preserve">DPH </w:t>
      </w:r>
      <w:r w:rsidRPr="00DB2E20">
        <w:t>Annual Childhood Lead Poisoning Surveillance Reports</w:t>
      </w:r>
    </w:p>
    <w:p w14:paraId="4ABAFECB" w14:textId="1243CC9B" w:rsidR="00DB2E20" w:rsidRDefault="00A27B6B" w:rsidP="006D7DE6">
      <w:pPr>
        <w:pStyle w:val="BodyTextFirstIndent"/>
      </w:pPr>
      <w:r>
        <w:t xml:space="preserve">DPH’s Childhood Lead Poisoning Prevention Program publishes </w:t>
      </w:r>
      <w:r w:rsidR="00832FBA">
        <w:t xml:space="preserve">an </w:t>
      </w:r>
      <w:hyperlink r:id="rId91" w:history="1">
        <w:r w:rsidR="00832FBA" w:rsidRPr="00F9773E">
          <w:rPr>
            <w:rStyle w:val="Hyperlink"/>
          </w:rPr>
          <w:t>Annual Childhood Lead Poisoning Surveillance Report</w:t>
        </w:r>
      </w:hyperlink>
      <w:r w:rsidR="00832FBA">
        <w:t>.</w:t>
      </w:r>
      <w:r w:rsidR="004B74E3">
        <w:t xml:space="preserve"> In each </w:t>
      </w:r>
      <w:r w:rsidR="00167E15">
        <w:t xml:space="preserve">of these </w:t>
      </w:r>
      <w:r w:rsidR="004B74E3">
        <w:t>report</w:t>
      </w:r>
      <w:r w:rsidR="00167E15">
        <w:t>s</w:t>
      </w:r>
      <w:r w:rsidR="004B74E3">
        <w:t>, DPH</w:t>
      </w:r>
      <w:r w:rsidR="009F1914">
        <w:t xml:space="preserve"> identifies a list of communities within the Commonwealth</w:t>
      </w:r>
      <w:r w:rsidR="001A037D">
        <w:t xml:space="preserve"> that</w:t>
      </w:r>
      <w:r w:rsidR="00E34A72">
        <w:t xml:space="preserve"> </w:t>
      </w:r>
      <w:r w:rsidR="001A037D">
        <w:t xml:space="preserve">DPH has determined to be at high risk of </w:t>
      </w:r>
      <w:r w:rsidR="00167E15">
        <w:t xml:space="preserve">having </w:t>
      </w:r>
      <w:r w:rsidR="001A037D">
        <w:t xml:space="preserve">childhood lead poisoning </w:t>
      </w:r>
      <w:r w:rsidR="00A343B2">
        <w:t>based on the following factors:</w:t>
      </w:r>
    </w:p>
    <w:p w14:paraId="74A1FE01" w14:textId="30B320E7" w:rsidR="00A343B2" w:rsidRDefault="00A343B2" w:rsidP="008131EB">
      <w:pPr>
        <w:pStyle w:val="ListBullet"/>
      </w:pPr>
      <w:r>
        <w:t>Rates of newly poisoned children</w:t>
      </w:r>
    </w:p>
    <w:p w14:paraId="569D4D87" w14:textId="2BF08BF1" w:rsidR="00A343B2" w:rsidRDefault="00A343B2" w:rsidP="008131EB">
      <w:pPr>
        <w:pStyle w:val="ListBullet"/>
      </w:pPr>
      <w:r>
        <w:t>Age of housing</w:t>
      </w:r>
    </w:p>
    <w:p w14:paraId="67424B4D" w14:textId="6B458632" w:rsidR="00D03FD4" w:rsidRDefault="00D03FD4" w:rsidP="008131EB">
      <w:pPr>
        <w:pStyle w:val="ListBullet"/>
      </w:pPr>
      <w:r>
        <w:t>Income levels</w:t>
      </w:r>
    </w:p>
    <w:p w14:paraId="46871234" w14:textId="23D0604F" w:rsidR="00D03FD4" w:rsidRDefault="00D03FD4" w:rsidP="008131EB">
      <w:pPr>
        <w:pStyle w:val="ListBullet"/>
      </w:pPr>
      <w:r>
        <w:t xml:space="preserve">At least 15 cases of lead poisoning in the previous </w:t>
      </w:r>
      <w:r w:rsidR="00983C34">
        <w:t>five</w:t>
      </w:r>
      <w:r>
        <w:t xml:space="preserve"> years</w:t>
      </w:r>
    </w:p>
    <w:p w14:paraId="1DE70327" w14:textId="10C813FB" w:rsidR="00B738F2" w:rsidRDefault="002A4649" w:rsidP="006D7DE6">
      <w:pPr>
        <w:pStyle w:val="BodyTextFirstIndent"/>
      </w:pPr>
      <w:r>
        <w:fldChar w:fldCharType="begin"/>
      </w:r>
      <w:r>
        <w:instrText xml:space="preserve"> REF _Ref184937330 \h </w:instrText>
      </w:r>
      <w:r>
        <w:fldChar w:fldCharType="separate"/>
      </w:r>
      <w:r w:rsidR="00307850">
        <w:t xml:space="preserve">Figure </w:t>
      </w:r>
      <w:r w:rsidR="00307850">
        <w:rPr>
          <w:noProof/>
        </w:rPr>
        <w:t>11</w:t>
      </w:r>
      <w:r>
        <w:fldChar w:fldCharType="end"/>
      </w:r>
      <w:r w:rsidR="00FD7AF5">
        <w:fldChar w:fldCharType="begin"/>
      </w:r>
      <w:r w:rsidR="00FD7AF5">
        <w:instrText xml:space="preserve"> REF _Ref173960102 \h </w:instrText>
      </w:r>
      <w:r w:rsidR="00FD7AF5">
        <w:fldChar w:fldCharType="end"/>
      </w:r>
      <w:r w:rsidR="00016624">
        <w:t xml:space="preserve"> presents the list of 1</w:t>
      </w:r>
      <w:r>
        <w:t>6</w:t>
      </w:r>
      <w:r w:rsidR="00016624">
        <w:t xml:space="preserve"> communities that DPH identified in 202</w:t>
      </w:r>
      <w:r w:rsidR="00510B36">
        <w:t>3</w:t>
      </w:r>
      <w:r w:rsidR="00016624">
        <w:t xml:space="preserve"> as</w:t>
      </w:r>
      <w:r w:rsidR="00016624" w:rsidRPr="00016624">
        <w:t xml:space="preserve"> </w:t>
      </w:r>
      <w:r w:rsidR="00167E15">
        <w:t xml:space="preserve">having a </w:t>
      </w:r>
      <w:r w:rsidR="00016624">
        <w:t>high risk of childhood lead poisoning</w:t>
      </w:r>
      <w:r w:rsidR="002B4894">
        <w:t>.</w:t>
      </w:r>
      <w:r w:rsidR="00F412F3">
        <w:t xml:space="preserve"> </w:t>
      </w:r>
      <w:r w:rsidR="00A42B69">
        <w:t xml:space="preserve">In addition, </w:t>
      </w:r>
      <w:r w:rsidR="00CA7E1F">
        <w:t xml:space="preserve">for rural communities </w:t>
      </w:r>
      <w:r w:rsidR="00FA457A">
        <w:t>that</w:t>
      </w:r>
      <w:r w:rsidR="00AE1483">
        <w:t xml:space="preserve"> may not meet the 15</w:t>
      </w:r>
      <w:r w:rsidR="002A52D3">
        <w:t>-</w:t>
      </w:r>
      <w:r w:rsidR="00AE1483">
        <w:t>case</w:t>
      </w:r>
      <w:r w:rsidR="0079449B">
        <w:t xml:space="preserve"> threshold</w:t>
      </w:r>
      <w:r w:rsidR="00EB07DE">
        <w:t xml:space="preserve"> but </w:t>
      </w:r>
      <w:r w:rsidR="00602E10">
        <w:t>may</w:t>
      </w:r>
      <w:r w:rsidR="00EB07DE">
        <w:t xml:space="preserve"> exhibit high prevalence of childhood lead exposure</w:t>
      </w:r>
      <w:r w:rsidR="0079449B">
        <w:t xml:space="preserve">, </w:t>
      </w:r>
      <w:r w:rsidR="00A307FF">
        <w:t xml:space="preserve">the </w:t>
      </w:r>
      <w:r w:rsidR="000B77A7">
        <w:t>report</w:t>
      </w:r>
      <w:r w:rsidR="00F412F3">
        <w:t xml:space="preserve"> </w:t>
      </w:r>
      <w:r w:rsidR="003B54D5">
        <w:t>provides</w:t>
      </w:r>
      <w:r w:rsidR="00925EDD">
        <w:t xml:space="preserve"> </w:t>
      </w:r>
      <w:r w:rsidR="00461DE3">
        <w:t>special analyses and mapping</w:t>
      </w:r>
      <w:r w:rsidR="00925EDD">
        <w:t xml:space="preserve"> to </w:t>
      </w:r>
      <w:r w:rsidR="00062A8C">
        <w:t xml:space="preserve">identify areas of </w:t>
      </w:r>
      <w:r w:rsidR="00663518">
        <w:t>high</w:t>
      </w:r>
      <w:r w:rsidR="00062A8C">
        <w:t xml:space="preserve"> risk. </w:t>
      </w:r>
      <w:r w:rsidR="00461DE3">
        <w:t xml:space="preserve">In particular, </w:t>
      </w:r>
      <w:r w:rsidR="0008426F">
        <w:t xml:space="preserve">many rural </w:t>
      </w:r>
      <w:r w:rsidR="009053D0">
        <w:t xml:space="preserve">areas in the central and western </w:t>
      </w:r>
      <w:r w:rsidR="00EF445E">
        <w:t>parts</w:t>
      </w:r>
      <w:r w:rsidR="009053D0">
        <w:t xml:space="preserve"> of the state have a higher prevalence of </w:t>
      </w:r>
      <w:r w:rsidR="00395872">
        <w:t>e</w:t>
      </w:r>
      <w:r w:rsidR="00DE3C6C">
        <w:t xml:space="preserve">levated </w:t>
      </w:r>
      <w:r w:rsidR="009053D0">
        <w:t xml:space="preserve">blood lead levels compared to the state </w:t>
      </w:r>
      <w:r w:rsidR="000B77A7">
        <w:t>overall</w:t>
      </w:r>
      <w:r w:rsidR="00D55B29">
        <w:t xml:space="preserve"> and </w:t>
      </w:r>
      <w:r w:rsidR="00314CB3">
        <w:t xml:space="preserve">children in </w:t>
      </w:r>
      <w:hyperlink r:id="rId92" w:history="1">
        <w:r w:rsidR="00D55B29" w:rsidRPr="00753A7D">
          <w:rPr>
            <w:rStyle w:val="Hyperlink"/>
          </w:rPr>
          <w:t>rural level 2 communities</w:t>
        </w:r>
      </w:hyperlink>
      <w:r w:rsidR="00101855" w:rsidRPr="00327080">
        <w:t xml:space="preserve"> </w:t>
      </w:r>
      <w:r w:rsidR="00A6575F" w:rsidRPr="00327080">
        <w:t>are twice as likely to have</w:t>
      </w:r>
      <w:r w:rsidR="003F20C3" w:rsidRPr="00327080">
        <w:t xml:space="preserve"> el</w:t>
      </w:r>
      <w:r w:rsidR="003F20C3">
        <w:t>evated blood lead levels</w:t>
      </w:r>
      <w:r w:rsidR="00753A7D">
        <w:t xml:space="preserve">. </w:t>
      </w:r>
      <w:r w:rsidR="00F412F3">
        <w:t xml:space="preserve">While the </w:t>
      </w:r>
      <w:r w:rsidR="00F412F3" w:rsidRPr="00F412F3">
        <w:t>Annual Childhood Lead Poisoning Surveillance Report</w:t>
      </w:r>
      <w:r w:rsidR="00CD4B0B">
        <w:t xml:space="preserve"> </w:t>
      </w:r>
      <w:r w:rsidR="00CD4B0B" w:rsidRPr="00CD4B0B">
        <w:t xml:space="preserve">does not provide a school district the means to differentiate </w:t>
      </w:r>
      <w:r w:rsidR="00CD4B0B">
        <w:t xml:space="preserve">levels of risk </w:t>
      </w:r>
      <w:r w:rsidR="00CD4B0B" w:rsidRPr="00CD4B0B">
        <w:t>between specific schools within its distric</w:t>
      </w:r>
      <w:r w:rsidR="00CD4B0B">
        <w:t>t, th</w:t>
      </w:r>
      <w:r w:rsidR="008A2498">
        <w:t>e annual list</w:t>
      </w:r>
      <w:r w:rsidR="00894CA5">
        <w:t xml:space="preserve"> of</w:t>
      </w:r>
      <w:r w:rsidR="008A2498">
        <w:t xml:space="preserve"> high-risk communities </w:t>
      </w:r>
      <w:r w:rsidR="004A2A90">
        <w:t xml:space="preserve">contributes to general awareness of </w:t>
      </w:r>
      <w:r w:rsidR="006C3E4C">
        <w:t>the prevalence of th</w:t>
      </w:r>
      <w:r w:rsidR="00C863A7">
        <w:t>is health indicator within a community.</w:t>
      </w:r>
    </w:p>
    <w:p w14:paraId="3EFF3131" w14:textId="4C5559B8" w:rsidR="00983C34" w:rsidRDefault="0033289D" w:rsidP="00B30C96">
      <w:pPr>
        <w:pStyle w:val="Caption"/>
      </w:pPr>
      <w:bookmarkStart w:id="328" w:name="_Ref173960102"/>
      <w:bookmarkStart w:id="329" w:name="_Ref184937330"/>
      <w:bookmarkStart w:id="330" w:name="_Toc193112298"/>
      <w:bookmarkStart w:id="331" w:name="_Toc193117055"/>
      <w:r>
        <w:rPr>
          <w:rFonts w:ascii="Times New Roman" w:hAnsi="Times New Roman" w:cs="Times New Roman"/>
          <w:noProof/>
        </w:rPr>
        <w:lastRenderedPageBreak/>
        <w:drawing>
          <wp:anchor distT="0" distB="182880" distL="114300" distR="114300" simplePos="0" relativeHeight="251640320" behindDoc="0" locked="0" layoutInCell="1" allowOverlap="1" wp14:anchorId="05420C05" wp14:editId="3BDB38AB">
            <wp:simplePos x="0" y="0"/>
            <wp:positionH relativeFrom="margin">
              <wp:posOffset>38100</wp:posOffset>
            </wp:positionH>
            <wp:positionV relativeFrom="paragraph">
              <wp:posOffset>378460</wp:posOffset>
            </wp:positionV>
            <wp:extent cx="5943600" cy="1696720"/>
            <wp:effectExtent l="0" t="0" r="0" b="0"/>
            <wp:wrapTopAndBottom/>
            <wp:docPr id="2013703117" name="Picture 33" descr="List of Communities Identified as High Risk for Childhood Lead Poisoning in 2023 contained in a navy blue, round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03117" name="Picture 33" descr="List of Communities Identified as High Risk for Childhood Lead Poisoning in 2023 contained in a navy blue, rounded rectangl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1696720"/>
                    </a:xfrm>
                    <a:prstGeom prst="rect">
                      <a:avLst/>
                    </a:prstGeom>
                    <a:noFill/>
                  </pic:spPr>
                </pic:pic>
              </a:graphicData>
            </a:graphic>
            <wp14:sizeRelH relativeFrom="margin">
              <wp14:pctWidth>0</wp14:pctWidth>
            </wp14:sizeRelH>
            <wp14:sizeRelV relativeFrom="margin">
              <wp14:pctHeight>0</wp14:pctHeight>
            </wp14:sizeRelV>
          </wp:anchor>
        </w:drawing>
      </w:r>
      <w:bookmarkEnd w:id="328"/>
      <w:r>
        <w:t xml:space="preserve">Figure </w:t>
      </w:r>
      <w:fldSimple w:instr=" SEQ Figure \* ARABIC ">
        <w:r w:rsidR="00307850">
          <w:rPr>
            <w:noProof/>
          </w:rPr>
          <w:t>11</w:t>
        </w:r>
      </w:fldSimple>
      <w:bookmarkEnd w:id="329"/>
      <w:r>
        <w:t>. Communities Identified as High Risk for Childhood Lead Poisoning</w:t>
      </w:r>
      <w:r w:rsidR="000C6508">
        <w:t xml:space="preserve"> </w:t>
      </w:r>
      <w:r w:rsidR="005A6815">
        <w:t xml:space="preserve">    </w:t>
      </w:r>
      <w:r>
        <w:t>in 2023</w:t>
      </w:r>
      <w:bookmarkEnd w:id="330"/>
      <w:bookmarkEnd w:id="331"/>
    </w:p>
    <w:p w14:paraId="094D08FB" w14:textId="7B34FEE6" w:rsidR="001839ED" w:rsidRDefault="008B3ECA" w:rsidP="00E34A72">
      <w:pPr>
        <w:pStyle w:val="Heading5"/>
      </w:pPr>
      <w:r w:rsidRPr="008B3ECA">
        <w:t>Massachusetts Environmental Public Health Tracking Tool</w:t>
      </w:r>
    </w:p>
    <w:p w14:paraId="58882960" w14:textId="10C84F7F" w:rsidR="008B3ECA" w:rsidRDefault="00020304" w:rsidP="006D7DE6">
      <w:pPr>
        <w:pStyle w:val="BodyTextFirstIndent"/>
      </w:pPr>
      <w:r>
        <w:t xml:space="preserve">DPH </w:t>
      </w:r>
      <w:r w:rsidR="00386C93">
        <w:t>maintains</w:t>
      </w:r>
      <w:r w:rsidR="008C39B0">
        <w:t xml:space="preserve"> the </w:t>
      </w:r>
      <w:hyperlink r:id="rId94" w:history="1">
        <w:r w:rsidR="008C39B0" w:rsidRPr="004216C4">
          <w:rPr>
            <w:rStyle w:val="Hyperlink"/>
          </w:rPr>
          <w:t>Massachusetts Environmental Public Health Tracking Tool</w:t>
        </w:r>
      </w:hyperlink>
      <w:r w:rsidR="005C31D5">
        <w:t xml:space="preserve"> (EPHT),</w:t>
      </w:r>
      <w:r w:rsidR="009A5215">
        <w:t xml:space="preserve"> which includes a wealth of </w:t>
      </w:r>
      <w:r w:rsidR="00A5685B">
        <w:t>environmental and health data for communities across</w:t>
      </w:r>
      <w:r w:rsidR="00757917">
        <w:t xml:space="preserve"> the Commonwealth. </w:t>
      </w:r>
      <w:r w:rsidR="001F405A">
        <w:t xml:space="preserve">The </w:t>
      </w:r>
      <w:r w:rsidR="005C31D5">
        <w:t>EPHT</w:t>
      </w:r>
      <w:r w:rsidR="00757917">
        <w:t xml:space="preserve"> enables users to query</w:t>
      </w:r>
      <w:r w:rsidR="008A74A2">
        <w:t xml:space="preserve"> </w:t>
      </w:r>
      <w:r w:rsidR="00017F03">
        <w:t>comprehensive</w:t>
      </w:r>
      <w:r w:rsidR="008A74A2">
        <w:t xml:space="preserve"> </w:t>
      </w:r>
      <w:r w:rsidR="00F35317">
        <w:t xml:space="preserve">health </w:t>
      </w:r>
      <w:r w:rsidR="008A74A2">
        <w:t>data set</w:t>
      </w:r>
      <w:r w:rsidR="00017F03">
        <w:t>s</w:t>
      </w:r>
      <w:r w:rsidR="008A74A2">
        <w:t xml:space="preserve"> </w:t>
      </w:r>
      <w:r w:rsidR="0070652F">
        <w:t xml:space="preserve">and </w:t>
      </w:r>
      <w:r w:rsidR="00F35317">
        <w:t xml:space="preserve">produce </w:t>
      </w:r>
      <w:r w:rsidR="00F16BFF">
        <w:t>custom map overla</w:t>
      </w:r>
      <w:r w:rsidR="00E63BBC">
        <w:t>ys</w:t>
      </w:r>
      <w:r w:rsidR="0046245D">
        <w:t xml:space="preserve"> with</w:t>
      </w:r>
      <w:r w:rsidR="00F16BFF">
        <w:t xml:space="preserve"> </w:t>
      </w:r>
      <w:r w:rsidR="006264A8">
        <w:t xml:space="preserve">vulnerability criteria </w:t>
      </w:r>
      <w:r w:rsidR="008A74A2">
        <w:t xml:space="preserve">to identify areas where public health mitigation actions </w:t>
      </w:r>
      <w:r w:rsidR="000F20A8">
        <w:t xml:space="preserve">should be implemented. DPH encourages school districts to evaluate </w:t>
      </w:r>
      <w:r w:rsidR="00C03073">
        <w:t xml:space="preserve">the following </w:t>
      </w:r>
      <w:r w:rsidR="000F20A8">
        <w:t xml:space="preserve">two </w:t>
      </w:r>
      <w:r w:rsidR="00C03073">
        <w:t>particular areas within the tool, each of which is covered in more detail in this section:</w:t>
      </w:r>
    </w:p>
    <w:p w14:paraId="650C8F88" w14:textId="0865DF40" w:rsidR="00C03073" w:rsidRDefault="00C03073" w:rsidP="008131EB">
      <w:pPr>
        <w:pStyle w:val="ListBullet"/>
      </w:pPr>
      <w:r>
        <w:t>Prevalence of pediatric asthma</w:t>
      </w:r>
    </w:p>
    <w:p w14:paraId="578DCE6D" w14:textId="43CC68F7" w:rsidR="00C03073" w:rsidRDefault="007B4648" w:rsidP="008131EB">
      <w:pPr>
        <w:pStyle w:val="ListBullet"/>
      </w:pPr>
      <w:r>
        <w:t>Community profiles</w:t>
      </w:r>
    </w:p>
    <w:p w14:paraId="5961F005" w14:textId="1F4085C8" w:rsidR="008B3ECA" w:rsidRDefault="00027799" w:rsidP="00027799">
      <w:pPr>
        <w:pStyle w:val="Heading5a"/>
      </w:pPr>
      <w:r w:rsidRPr="00027799">
        <w:t>Prevalence of Pediatric Asthma</w:t>
      </w:r>
    </w:p>
    <w:p w14:paraId="0CB08CDF" w14:textId="04DB7CF7" w:rsidR="007B4648" w:rsidRDefault="00063117" w:rsidP="006D7DE6">
      <w:pPr>
        <w:pStyle w:val="BodyTextFirstIndent"/>
      </w:pPr>
      <w:r>
        <w:t xml:space="preserve">Since 2003, DPH </w:t>
      </w:r>
      <w:r w:rsidR="002D04F4">
        <w:t>has tracked the occurrence of pediatric asthma using health record</w:t>
      </w:r>
      <w:r w:rsidR="00E10CB9">
        <w:t xml:space="preserve"> data </w:t>
      </w:r>
      <w:r w:rsidR="002C147D">
        <w:t>reported by school nurse</w:t>
      </w:r>
      <w:r w:rsidR="008D75D7">
        <w:t xml:space="preserve">s from </w:t>
      </w:r>
      <w:r w:rsidR="00ED2AF2">
        <w:t xml:space="preserve">all </w:t>
      </w:r>
      <w:r w:rsidR="008D75D7">
        <w:t xml:space="preserve">public and private </w:t>
      </w:r>
      <w:r w:rsidR="00715C68">
        <w:t>K-8 schools</w:t>
      </w:r>
      <w:r w:rsidR="000910FC">
        <w:t>.</w:t>
      </w:r>
      <w:r w:rsidR="00715C68">
        <w:t xml:space="preserve"> </w:t>
      </w:r>
      <w:r w:rsidR="00920B1A">
        <w:t xml:space="preserve">Within </w:t>
      </w:r>
      <w:r w:rsidR="001F405A">
        <w:t xml:space="preserve">the </w:t>
      </w:r>
      <w:r w:rsidR="00114E03">
        <w:t>EPHT’s</w:t>
      </w:r>
      <w:r w:rsidR="00920B1A">
        <w:t xml:space="preserve"> Health Module</w:t>
      </w:r>
      <w:r w:rsidR="00114E03">
        <w:t>,</w:t>
      </w:r>
      <w:r w:rsidR="00920B1A">
        <w:t xml:space="preserve"> </w:t>
      </w:r>
      <w:r w:rsidR="00AA6DF8">
        <w:t>school</w:t>
      </w:r>
      <w:r w:rsidR="000144DD">
        <w:t xml:space="preserve"> </w:t>
      </w:r>
      <w:r w:rsidR="00F01848">
        <w:t xml:space="preserve">districts can </w:t>
      </w:r>
      <w:hyperlink r:id="rId95" w:history="1">
        <w:r w:rsidR="00101D01" w:rsidRPr="000910FC">
          <w:rPr>
            <w:rStyle w:val="Hyperlink"/>
          </w:rPr>
          <w:t xml:space="preserve">explore pediatric asthma maps and </w:t>
        </w:r>
        <w:r w:rsidR="00F55DB1">
          <w:rPr>
            <w:rStyle w:val="Hyperlink"/>
          </w:rPr>
          <w:t xml:space="preserve">data </w:t>
        </w:r>
        <w:r w:rsidR="00101D01" w:rsidRPr="000910FC">
          <w:rPr>
            <w:rStyle w:val="Hyperlink"/>
          </w:rPr>
          <w:t>tables</w:t>
        </w:r>
      </w:hyperlink>
      <w:r w:rsidR="004500D2">
        <w:rPr>
          <w:rStyle w:val="Hyperlink"/>
        </w:rPr>
        <w:t xml:space="preserve"> </w:t>
      </w:r>
      <w:r w:rsidR="00504CCD">
        <w:rPr>
          <w:rStyle w:val="Hyperlink"/>
        </w:rPr>
        <w:t>from</w:t>
      </w:r>
      <w:r w:rsidR="00F55DB1">
        <w:rPr>
          <w:rStyle w:val="Hyperlink"/>
        </w:rPr>
        <w:t xml:space="preserve"> the 2009</w:t>
      </w:r>
      <w:r w:rsidR="001F405A">
        <w:rPr>
          <w:rStyle w:val="Hyperlink"/>
        </w:rPr>
        <w:t>–</w:t>
      </w:r>
      <w:r w:rsidR="00F55DB1">
        <w:rPr>
          <w:rStyle w:val="Hyperlink"/>
        </w:rPr>
        <w:t>2010 school year</w:t>
      </w:r>
      <w:r w:rsidR="004D0B31">
        <w:rPr>
          <w:rStyle w:val="Hyperlink"/>
        </w:rPr>
        <w:t xml:space="preserve"> to </w:t>
      </w:r>
      <w:r w:rsidR="001F405A">
        <w:rPr>
          <w:rStyle w:val="Hyperlink"/>
        </w:rPr>
        <w:t xml:space="preserve">the </w:t>
      </w:r>
      <w:r w:rsidR="004D0B31">
        <w:rPr>
          <w:rStyle w:val="Hyperlink"/>
        </w:rPr>
        <w:t>present</w:t>
      </w:r>
      <w:r w:rsidR="000910FC">
        <w:t xml:space="preserve">. </w:t>
      </w:r>
      <w:r w:rsidR="00114E03">
        <w:fldChar w:fldCharType="begin"/>
      </w:r>
      <w:r w:rsidR="00114E03">
        <w:instrText xml:space="preserve"> REF _Ref173961733 \h </w:instrText>
      </w:r>
      <w:r w:rsidR="00114E03">
        <w:fldChar w:fldCharType="separate"/>
      </w:r>
      <w:r w:rsidR="00307850">
        <w:t xml:space="preserve">Table </w:t>
      </w:r>
      <w:r w:rsidR="00307850">
        <w:rPr>
          <w:noProof/>
        </w:rPr>
        <w:t>36</w:t>
      </w:r>
      <w:r w:rsidR="00114E03">
        <w:fldChar w:fldCharType="end"/>
      </w:r>
      <w:r w:rsidR="00114E03">
        <w:t xml:space="preserve"> </w:t>
      </w:r>
      <w:r w:rsidR="007B4648" w:rsidRPr="007B4648">
        <w:t xml:space="preserve">outlines notable details </w:t>
      </w:r>
      <w:r w:rsidR="00114E03">
        <w:t>supporting</w:t>
      </w:r>
      <w:r w:rsidR="007B4648" w:rsidRPr="007B4648">
        <w:t xml:space="preserve"> the evaluation of </w:t>
      </w:r>
      <w:r w:rsidR="001F405A">
        <w:t xml:space="preserve">the </w:t>
      </w:r>
      <w:r w:rsidR="00114E03">
        <w:t>EPHT’s pediatric asthma prevalence data</w:t>
      </w:r>
      <w:r w:rsidR="007B4648" w:rsidRPr="007B4648">
        <w:t xml:space="preserve"> to assist school districts in identifying schools of greatest need</w:t>
      </w:r>
      <w:r w:rsidR="006D0C4D">
        <w:t>.</w:t>
      </w:r>
    </w:p>
    <w:p w14:paraId="6144A4EF" w14:textId="09F8A584" w:rsidR="006A0A0F" w:rsidRDefault="006A0A0F" w:rsidP="00B30C96">
      <w:pPr>
        <w:pStyle w:val="Caption"/>
      </w:pPr>
      <w:bookmarkStart w:id="332" w:name="_Ref173961733"/>
      <w:bookmarkStart w:id="333" w:name="_Toc192711702"/>
      <w:bookmarkStart w:id="334" w:name="_Toc193112584"/>
      <w:bookmarkStart w:id="335" w:name="_Toc193116983"/>
      <w:r>
        <w:t xml:space="preserve">Table </w:t>
      </w:r>
      <w:fldSimple w:instr=" SEQ Table \* ARABIC ">
        <w:r w:rsidR="00307850">
          <w:rPr>
            <w:noProof/>
          </w:rPr>
          <w:t>36</w:t>
        </w:r>
      </w:fldSimple>
      <w:bookmarkEnd w:id="332"/>
      <w:r>
        <w:t xml:space="preserve">. </w:t>
      </w:r>
      <w:r w:rsidR="006272DD" w:rsidRPr="00030833">
        <w:t>Notable Details</w:t>
      </w:r>
      <w:r w:rsidR="00165501">
        <w:t xml:space="preserve"> Supporting the</w:t>
      </w:r>
      <w:r w:rsidR="006272DD" w:rsidRPr="00030833">
        <w:t xml:space="preserve"> Evaluation of </w:t>
      </w:r>
      <w:r w:rsidR="001F405A">
        <w:t xml:space="preserve">the </w:t>
      </w:r>
      <w:r w:rsidR="00114E03">
        <w:t xml:space="preserve">EPHT’s </w:t>
      </w:r>
      <w:r w:rsidR="00165501">
        <w:t>Pediatric Asthma Prev</w:t>
      </w:r>
      <w:r w:rsidR="005C31D5">
        <w:t>alence Data</w:t>
      </w:r>
      <w:bookmarkEnd w:id="333"/>
      <w:bookmarkEnd w:id="334"/>
      <w:bookmarkEnd w:id="335"/>
    </w:p>
    <w:tbl>
      <w:tblPr>
        <w:tblStyle w:val="TableGrid"/>
        <w:tblW w:w="5000" w:type="pct"/>
        <w:tblLook w:val="04A0" w:firstRow="1" w:lastRow="0" w:firstColumn="1" w:lastColumn="0" w:noHBand="0" w:noVBand="1"/>
        <w:tblDescription w:val="Table listing notable details and data visualization options in support of the Evaluation of EPHT’s Pediatric Asthma Prevalence Data."/>
      </w:tblPr>
      <w:tblGrid>
        <w:gridCol w:w="2785"/>
        <w:gridCol w:w="3420"/>
        <w:gridCol w:w="3145"/>
      </w:tblGrid>
      <w:tr w:rsidR="00194751" w14:paraId="7D9574A6" w14:textId="4A192ABA" w:rsidTr="00194751">
        <w:trPr>
          <w:tblHeader/>
        </w:trPr>
        <w:tc>
          <w:tcPr>
            <w:tcW w:w="1489" w:type="pct"/>
            <w:shd w:val="clear" w:color="auto" w:fill="C6D9F1" w:themeFill="text2" w:themeFillTint="33"/>
          </w:tcPr>
          <w:p w14:paraId="353A249F" w14:textId="208C44A9" w:rsidR="00194751" w:rsidRDefault="00194751" w:rsidP="00BE19B9">
            <w:pPr>
              <w:pStyle w:val="TableColumnHeader"/>
            </w:pPr>
            <w:r>
              <w:t>Data of Interest</w:t>
            </w:r>
          </w:p>
        </w:tc>
        <w:tc>
          <w:tcPr>
            <w:tcW w:w="1829" w:type="pct"/>
            <w:shd w:val="clear" w:color="auto" w:fill="C6D9F1" w:themeFill="text2" w:themeFillTint="33"/>
          </w:tcPr>
          <w:p w14:paraId="129BC9B2" w14:textId="77777777" w:rsidR="00194751" w:rsidRDefault="00194751" w:rsidP="00BE19B9">
            <w:pPr>
              <w:pStyle w:val="TableColumnHeader"/>
            </w:pPr>
            <w:r>
              <w:t>Notes/Considerations</w:t>
            </w:r>
          </w:p>
        </w:tc>
        <w:tc>
          <w:tcPr>
            <w:tcW w:w="1682" w:type="pct"/>
            <w:shd w:val="clear" w:color="auto" w:fill="C6D9F1" w:themeFill="text2" w:themeFillTint="33"/>
          </w:tcPr>
          <w:p w14:paraId="428900BB" w14:textId="4A6341E3" w:rsidR="00194751" w:rsidRDefault="00B53B89" w:rsidP="00BE19B9">
            <w:pPr>
              <w:pStyle w:val="TableColumnHeader"/>
            </w:pPr>
            <w:r>
              <w:t>Options for Viewing Output</w:t>
            </w:r>
          </w:p>
        </w:tc>
      </w:tr>
      <w:tr w:rsidR="00194751" w14:paraId="4765712B" w14:textId="34F96B0C" w:rsidTr="00194751">
        <w:tc>
          <w:tcPr>
            <w:tcW w:w="1489" w:type="pct"/>
          </w:tcPr>
          <w:p w14:paraId="69A8ECFA" w14:textId="424BE9FF" w:rsidR="00194751" w:rsidRPr="00944899" w:rsidRDefault="00194751" w:rsidP="00BE19B9">
            <w:pPr>
              <w:rPr>
                <w:rFonts w:ascii="Arial" w:hAnsi="Arial" w:cs="Calibri"/>
                <w:color w:val="000000"/>
                <w:sz w:val="24"/>
                <w:szCs w:val="20"/>
              </w:rPr>
            </w:pPr>
            <w:r>
              <w:rPr>
                <w:rFonts w:ascii="Arial" w:hAnsi="Arial" w:cs="Calibri"/>
                <w:color w:val="000000"/>
                <w:sz w:val="24"/>
                <w:szCs w:val="20"/>
              </w:rPr>
              <w:t>Prevalence of Pediatric Asthma</w:t>
            </w:r>
          </w:p>
        </w:tc>
        <w:tc>
          <w:tcPr>
            <w:tcW w:w="1829" w:type="pct"/>
          </w:tcPr>
          <w:p w14:paraId="7D2EB404" w14:textId="50FD8106" w:rsidR="00DF0D8C" w:rsidRDefault="00DF0D8C" w:rsidP="00167E15">
            <w:pPr>
              <w:pStyle w:val="TableBullet1"/>
            </w:pPr>
            <w:r>
              <w:t>Data available at school</w:t>
            </w:r>
            <w:r w:rsidR="001F405A">
              <w:t xml:space="preserve"> </w:t>
            </w:r>
            <w:r>
              <w:t>level</w:t>
            </w:r>
            <w:r w:rsidR="00B64FED">
              <w:t xml:space="preserve"> or </w:t>
            </w:r>
            <w:r w:rsidR="0079672C">
              <w:t>town of residence</w:t>
            </w:r>
          </w:p>
          <w:p w14:paraId="03BCEEC0" w14:textId="5413C53F" w:rsidR="00DF0D8C" w:rsidRDefault="002C1192" w:rsidP="00167E15">
            <w:pPr>
              <w:pStyle w:val="TableBullet1"/>
            </w:pPr>
            <w:r>
              <w:t>10</w:t>
            </w:r>
            <w:r w:rsidR="00E01401">
              <w:t xml:space="preserve"> </w:t>
            </w:r>
            <w:r w:rsidR="00DF0D8C">
              <w:t>school years of data currently available</w:t>
            </w:r>
          </w:p>
          <w:p w14:paraId="6943F578" w14:textId="40D99161" w:rsidR="00E01401" w:rsidRDefault="000878F4" w:rsidP="00167E15">
            <w:pPr>
              <w:pStyle w:val="TableBullet1"/>
            </w:pPr>
            <w:r>
              <w:t>Pandemic-related gap in data from 2019</w:t>
            </w:r>
            <w:r w:rsidR="001F405A">
              <w:t>–</w:t>
            </w:r>
            <w:r w:rsidR="0087011E">
              <w:t>2022</w:t>
            </w:r>
          </w:p>
          <w:p w14:paraId="4397A132" w14:textId="77777777" w:rsidR="00194751" w:rsidRDefault="00194751" w:rsidP="00167E15">
            <w:pPr>
              <w:pStyle w:val="TableBullet1"/>
            </w:pPr>
            <w:r>
              <w:lastRenderedPageBreak/>
              <w:t>Numerous means of viewing output</w:t>
            </w:r>
          </w:p>
          <w:p w14:paraId="23D1EC5D" w14:textId="269111EB" w:rsidR="00194751" w:rsidRDefault="00CE0BDD" w:rsidP="00167E15">
            <w:pPr>
              <w:pStyle w:val="TableBullet1"/>
            </w:pPr>
            <w:r>
              <w:t xml:space="preserve">Data represent </w:t>
            </w:r>
            <w:r w:rsidR="00B17715">
              <w:t>children</w:t>
            </w:r>
            <w:r w:rsidR="0055401E">
              <w:t xml:space="preserve"> </w:t>
            </w:r>
            <w:r w:rsidR="0055401E" w:rsidRPr="005C4077">
              <w:rPr>
                <w:i/>
              </w:rPr>
              <w:t>ever</w:t>
            </w:r>
            <w:r w:rsidR="0055401E">
              <w:t xml:space="preserve"> diagnosed with asthma</w:t>
            </w:r>
            <w:r w:rsidR="005C4077">
              <w:t xml:space="preserve"> (as compared to</w:t>
            </w:r>
            <w:r w:rsidR="0033411C">
              <w:t xml:space="preserve"> active asthma</w:t>
            </w:r>
            <w:r w:rsidR="005C4077">
              <w:t>)</w:t>
            </w:r>
          </w:p>
        </w:tc>
        <w:tc>
          <w:tcPr>
            <w:tcW w:w="1682" w:type="pct"/>
          </w:tcPr>
          <w:p w14:paraId="1E07EF1D" w14:textId="77777777" w:rsidR="00194751" w:rsidRDefault="00B53B89" w:rsidP="00167E15">
            <w:pPr>
              <w:pStyle w:val="TableBullet1"/>
            </w:pPr>
            <w:r>
              <w:lastRenderedPageBreak/>
              <w:t>Map view</w:t>
            </w:r>
          </w:p>
          <w:p w14:paraId="61A8B537" w14:textId="77777777" w:rsidR="00B53B89" w:rsidRDefault="00B53B89" w:rsidP="00167E15">
            <w:pPr>
              <w:pStyle w:val="TableBullet1"/>
            </w:pPr>
            <w:r>
              <w:t>Table view</w:t>
            </w:r>
          </w:p>
          <w:p w14:paraId="21DCBC06" w14:textId="77777777" w:rsidR="00B53B89" w:rsidRDefault="00B53B89" w:rsidP="00167E15">
            <w:pPr>
              <w:pStyle w:val="TableBullet1"/>
            </w:pPr>
            <w:r>
              <w:t>Chart view</w:t>
            </w:r>
          </w:p>
          <w:p w14:paraId="5F8C89B1" w14:textId="6E8962FC" w:rsidR="00B53B89" w:rsidRDefault="00B53B89" w:rsidP="00167E15">
            <w:pPr>
              <w:pStyle w:val="TableBullet1"/>
            </w:pPr>
            <w:r>
              <w:t>Raw data export</w:t>
            </w:r>
          </w:p>
        </w:tc>
      </w:tr>
    </w:tbl>
    <w:p w14:paraId="04E1C2D1" w14:textId="4969AE58" w:rsidR="00B078E9" w:rsidRDefault="00F762A3" w:rsidP="006D7DE6">
      <w:pPr>
        <w:pStyle w:val="BodyTextFirstIndent"/>
      </w:pPr>
      <w:r>
        <w:fldChar w:fldCharType="begin"/>
      </w:r>
      <w:r>
        <w:instrText xml:space="preserve"> REF _Ref173962017 \h </w:instrText>
      </w:r>
      <w:r>
        <w:fldChar w:fldCharType="separate"/>
      </w:r>
      <w:r w:rsidR="00307850">
        <w:t xml:space="preserve">Figure </w:t>
      </w:r>
      <w:r w:rsidR="00307850">
        <w:rPr>
          <w:noProof/>
        </w:rPr>
        <w:t>12</w:t>
      </w:r>
      <w:r>
        <w:fldChar w:fldCharType="end"/>
      </w:r>
      <w:r w:rsidR="00FE0BB7">
        <w:t xml:space="preserve"> presents a screenshot of the </w:t>
      </w:r>
      <w:r w:rsidR="00586226">
        <w:t>EPHT module</w:t>
      </w:r>
      <w:r w:rsidR="00FE0BB7">
        <w:t xml:space="preserve"> in which users input their query parameters</w:t>
      </w:r>
      <w:r w:rsidR="00586226">
        <w:t xml:space="preserve"> to view pediatric asthma prevalence data</w:t>
      </w:r>
      <w:r w:rsidR="003716BB">
        <w:t>.</w:t>
      </w:r>
      <w:r w:rsidR="00F31662">
        <w:t xml:space="preserve"> DPH suggests school districts </w:t>
      </w:r>
      <w:r w:rsidR="004A2049">
        <w:t xml:space="preserve">structure the query to capture </w:t>
      </w:r>
      <w:r w:rsidR="00230DA0">
        <w:t>multiple</w:t>
      </w:r>
      <w:r w:rsidR="004A2049">
        <w:t xml:space="preserve"> years of data and </w:t>
      </w:r>
      <w:r w:rsidR="00C9650C">
        <w:t>include data for both males and females (select “Total” in the “Select Sex” field).</w:t>
      </w:r>
    </w:p>
    <w:p w14:paraId="0F5698B6" w14:textId="252712C2" w:rsidR="003716BB" w:rsidRDefault="003716BB" w:rsidP="00B30C96">
      <w:pPr>
        <w:pStyle w:val="Caption"/>
      </w:pPr>
      <w:bookmarkStart w:id="336" w:name="_Ref173962017"/>
      <w:bookmarkStart w:id="337" w:name="_Toc193112299"/>
      <w:bookmarkStart w:id="338" w:name="_Toc193117056"/>
      <w:r>
        <w:t xml:space="preserve">Figure </w:t>
      </w:r>
      <w:fldSimple w:instr=" SEQ Figure \* ARABIC ">
        <w:r w:rsidR="00307850">
          <w:rPr>
            <w:noProof/>
          </w:rPr>
          <w:t>12</w:t>
        </w:r>
      </w:fldSimple>
      <w:bookmarkEnd w:id="336"/>
      <w:r>
        <w:t xml:space="preserve">. </w:t>
      </w:r>
      <w:r w:rsidR="00F762A3">
        <w:t>EPHT Query Parameters for Pediatric Asthma Prevalence by Community and School</w:t>
      </w:r>
      <w:bookmarkEnd w:id="337"/>
      <w:bookmarkEnd w:id="338"/>
      <w:r w:rsidR="00F762A3">
        <w:t xml:space="preserve"> </w:t>
      </w:r>
    </w:p>
    <w:p w14:paraId="5EE19619" w14:textId="11F967FA" w:rsidR="00B078E9" w:rsidRDefault="006B5638" w:rsidP="006D7DE6">
      <w:pPr>
        <w:pStyle w:val="BodyTextFirstIndent"/>
      </w:pPr>
      <w:r w:rsidRPr="002E2380">
        <w:rPr>
          <w:noProof/>
        </w:rPr>
        <w:drawing>
          <wp:inline distT="0" distB="0" distL="0" distR="0" wp14:anchorId="2816AC13" wp14:editId="713CB1DA">
            <wp:extent cx="5943600" cy="3602666"/>
            <wp:effectExtent l="0" t="0" r="0" b="0"/>
            <wp:docPr id="1403657269" name="Picture 1" descr="Screenshot of the Massachusetts Environmental Public Health Tracking website with a prepopulated search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57269" name="Picture 1" descr="Screenshot of the Massachusetts Environmental Public Health Tracking website with a prepopulated search query."/>
                    <pic:cNvPicPr/>
                  </pic:nvPicPr>
                  <pic:blipFill>
                    <a:blip r:embed="rId96"/>
                    <a:stretch>
                      <a:fillRect/>
                    </a:stretch>
                  </pic:blipFill>
                  <pic:spPr>
                    <a:xfrm>
                      <a:off x="0" y="0"/>
                      <a:ext cx="5943600" cy="3602666"/>
                    </a:xfrm>
                    <a:prstGeom prst="rect">
                      <a:avLst/>
                    </a:prstGeom>
                  </pic:spPr>
                </pic:pic>
              </a:graphicData>
            </a:graphic>
          </wp:inline>
        </w:drawing>
      </w:r>
    </w:p>
    <w:p w14:paraId="16889E75" w14:textId="77777777" w:rsidR="00D86E38" w:rsidRDefault="00D86E38">
      <w:pPr>
        <w:rPr>
          <w:rFonts w:ascii="Arial" w:eastAsiaTheme="majorEastAsia" w:hAnsi="Arial" w:cstheme="minorHAnsi"/>
          <w:sz w:val="24"/>
        </w:rPr>
      </w:pPr>
      <w:r>
        <w:br w:type="page"/>
      </w:r>
    </w:p>
    <w:p w14:paraId="324A9E12" w14:textId="75573908" w:rsidR="00E76E40" w:rsidRDefault="006C7614" w:rsidP="006D7DE6">
      <w:pPr>
        <w:pStyle w:val="BodyTextFirstIndent"/>
      </w:pPr>
      <w:r>
        <w:lastRenderedPageBreak/>
        <w:fldChar w:fldCharType="begin"/>
      </w:r>
      <w:r>
        <w:instrText xml:space="preserve"> REF _Ref173964001 \h </w:instrText>
      </w:r>
      <w:r>
        <w:fldChar w:fldCharType="separate"/>
      </w:r>
      <w:r w:rsidR="00307850">
        <w:t xml:space="preserve">Figure </w:t>
      </w:r>
      <w:r w:rsidR="00307850">
        <w:rPr>
          <w:noProof/>
        </w:rPr>
        <w:t>13</w:t>
      </w:r>
      <w:r>
        <w:fldChar w:fldCharType="end"/>
      </w:r>
      <w:r w:rsidRPr="006C7614">
        <w:t xml:space="preserve"> illustrates a sample screenshot of </w:t>
      </w:r>
      <w:r w:rsidR="001F405A">
        <w:t xml:space="preserve">the </w:t>
      </w:r>
      <w:r w:rsidRPr="006C7614">
        <w:t xml:space="preserve">EPHT’s </w:t>
      </w:r>
      <w:r>
        <w:t>map</w:t>
      </w:r>
      <w:r w:rsidRPr="006C7614">
        <w:t xml:space="preserve"> view output of pediatric asthma prevalence data.</w:t>
      </w:r>
      <w:r w:rsidR="009154F9">
        <w:t xml:space="preserve"> This view presents</w:t>
      </w:r>
      <w:r w:rsidR="00992C8A">
        <w:t xml:space="preserve"> circles of varying colors for each school reporting asthma data to DPH. Each color correspond</w:t>
      </w:r>
      <w:r w:rsidR="003D7D2A">
        <w:t>s</w:t>
      </w:r>
      <w:r w:rsidR="00992C8A">
        <w:t xml:space="preserve"> to a specified asthma prevalence </w:t>
      </w:r>
      <w:r w:rsidR="000C449D">
        <w:t>category</w:t>
      </w:r>
      <w:r w:rsidR="00115C00">
        <w:t>, which enables users to quickly focus on schools with higher prevalence.</w:t>
      </w:r>
      <w:r w:rsidR="00992C8A">
        <w:t xml:space="preserve"> </w:t>
      </w:r>
    </w:p>
    <w:p w14:paraId="3168270E" w14:textId="5B02869F" w:rsidR="00586226" w:rsidRDefault="00586226" w:rsidP="00B30C96">
      <w:pPr>
        <w:pStyle w:val="Caption"/>
      </w:pPr>
      <w:bookmarkStart w:id="339" w:name="_Ref173964001"/>
      <w:bookmarkStart w:id="340" w:name="_Toc193112300"/>
      <w:bookmarkStart w:id="341" w:name="_Toc193117057"/>
      <w:r>
        <w:t xml:space="preserve">Figure </w:t>
      </w:r>
      <w:fldSimple w:instr=" SEQ Figure \* ARABIC ">
        <w:r w:rsidR="00307850">
          <w:rPr>
            <w:noProof/>
          </w:rPr>
          <w:t>13</w:t>
        </w:r>
      </w:fldSimple>
      <w:bookmarkEnd w:id="339"/>
      <w:r>
        <w:t xml:space="preserve">. </w:t>
      </w:r>
      <w:r w:rsidR="007B1249">
        <w:t xml:space="preserve">EPHT’s </w:t>
      </w:r>
      <w:r>
        <w:t>Map View Output</w:t>
      </w:r>
      <w:r w:rsidR="007B1249">
        <w:t xml:space="preserve"> of Pediatric Asthma Prevalence Data</w:t>
      </w:r>
      <w:bookmarkEnd w:id="340"/>
      <w:bookmarkEnd w:id="341"/>
    </w:p>
    <w:p w14:paraId="5C1A20CB" w14:textId="48AE1D60" w:rsidR="00E76E40" w:rsidRDefault="00E76E40" w:rsidP="006D7DE6">
      <w:pPr>
        <w:pStyle w:val="BodyTextFirstIndent"/>
      </w:pPr>
      <w:r w:rsidRPr="00371CFB">
        <w:rPr>
          <w:noProof/>
        </w:rPr>
        <w:drawing>
          <wp:inline distT="0" distB="0" distL="0" distR="0" wp14:anchorId="5AA9BF6B" wp14:editId="450C771C">
            <wp:extent cx="5943600" cy="3758231"/>
            <wp:effectExtent l="19050" t="19050" r="19050" b="13970"/>
            <wp:docPr id="1877074237" name="Picture 1" descr="Screenshot of the Massachusetts Environmental Public Health Tracking website with a map of pediatric asthma prevalence data, with darker blue circles representing a higher prevalence and lighter yellow circles representing less preval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74237" name="Picture 1" descr="Screenshot of the Massachusetts Environmental Public Health Tracking website with a map of pediatric asthma prevalence data, with darker blue circles representing a higher prevalence and lighter yellow circles representing less prevalence. "/>
                    <pic:cNvPicPr/>
                  </pic:nvPicPr>
                  <pic:blipFill>
                    <a:blip r:embed="rId97"/>
                    <a:stretch>
                      <a:fillRect/>
                    </a:stretch>
                  </pic:blipFill>
                  <pic:spPr>
                    <a:xfrm>
                      <a:off x="0" y="0"/>
                      <a:ext cx="5943600" cy="3758231"/>
                    </a:xfrm>
                    <a:prstGeom prst="rect">
                      <a:avLst/>
                    </a:prstGeom>
                    <a:ln>
                      <a:solidFill>
                        <a:schemeClr val="tx1"/>
                      </a:solidFill>
                    </a:ln>
                  </pic:spPr>
                </pic:pic>
              </a:graphicData>
            </a:graphic>
          </wp:inline>
        </w:drawing>
      </w:r>
    </w:p>
    <w:p w14:paraId="04720536" w14:textId="77777777" w:rsidR="003A6FF0" w:rsidRDefault="003A6FF0">
      <w:pPr>
        <w:rPr>
          <w:rFonts w:ascii="Arial" w:eastAsiaTheme="majorEastAsia" w:hAnsi="Arial" w:cstheme="minorHAnsi"/>
          <w:sz w:val="24"/>
        </w:rPr>
      </w:pPr>
      <w:r>
        <w:br w:type="page"/>
      </w:r>
    </w:p>
    <w:p w14:paraId="7011B78B" w14:textId="46D61667" w:rsidR="005A7937" w:rsidRDefault="00AD5157" w:rsidP="006D7DE6">
      <w:pPr>
        <w:pStyle w:val="BodyTextFirstIndent"/>
      </w:pPr>
      <w:r>
        <w:lastRenderedPageBreak/>
        <w:fldChar w:fldCharType="begin"/>
      </w:r>
      <w:r>
        <w:instrText xml:space="preserve"> REF _Ref173963134 \h </w:instrText>
      </w:r>
      <w:r>
        <w:fldChar w:fldCharType="separate"/>
      </w:r>
      <w:r w:rsidR="00307850">
        <w:t xml:space="preserve">Figure </w:t>
      </w:r>
      <w:r w:rsidR="00307850">
        <w:rPr>
          <w:noProof/>
        </w:rPr>
        <w:t>14</w:t>
      </w:r>
      <w:r>
        <w:fldChar w:fldCharType="end"/>
      </w:r>
      <w:r>
        <w:t xml:space="preserve"> illustrates a </w:t>
      </w:r>
      <w:r w:rsidR="009542F3">
        <w:t xml:space="preserve">sample </w:t>
      </w:r>
      <w:r>
        <w:t>screenshot</w:t>
      </w:r>
      <w:r w:rsidR="009542F3">
        <w:t xml:space="preserve"> of </w:t>
      </w:r>
      <w:r w:rsidR="001F405A">
        <w:t xml:space="preserve">the </w:t>
      </w:r>
      <w:r w:rsidR="009542F3">
        <w:t>EPHT’s table view output of pediatric asthma prevalence data. This output presents</w:t>
      </w:r>
      <w:r w:rsidR="00E43A11">
        <w:t xml:space="preserve"> annual data for each participating school in the selected community</w:t>
      </w:r>
      <w:r w:rsidR="000E2157">
        <w:t xml:space="preserve">, as well as aggregated </w:t>
      </w:r>
      <w:r w:rsidR="00723316">
        <w:t>statewide</w:t>
      </w:r>
      <w:r w:rsidR="000E2157">
        <w:t xml:space="preserve"> data at the very bottom of the screen</w:t>
      </w:r>
      <w:r w:rsidR="005B094D">
        <w:t>.</w:t>
      </w:r>
    </w:p>
    <w:p w14:paraId="2A9E672A" w14:textId="33059ECC" w:rsidR="007B1249" w:rsidRDefault="007B1249" w:rsidP="00B30C96">
      <w:pPr>
        <w:pStyle w:val="Caption"/>
      </w:pPr>
      <w:bookmarkStart w:id="342" w:name="_Ref173963134"/>
      <w:bookmarkStart w:id="343" w:name="_Toc193112301"/>
      <w:bookmarkStart w:id="344" w:name="_Toc193117058"/>
      <w:r>
        <w:t xml:space="preserve">Figure </w:t>
      </w:r>
      <w:fldSimple w:instr=" SEQ Figure \* ARABIC ">
        <w:r w:rsidR="00307850">
          <w:rPr>
            <w:noProof/>
          </w:rPr>
          <w:t>14</w:t>
        </w:r>
      </w:fldSimple>
      <w:bookmarkEnd w:id="342"/>
      <w:r>
        <w:t>. EPHT’s Table View Output of Pediatric Asthma Prevalence Data</w:t>
      </w:r>
      <w:bookmarkEnd w:id="343"/>
      <w:bookmarkEnd w:id="344"/>
    </w:p>
    <w:p w14:paraId="42957710" w14:textId="5953DDEE" w:rsidR="00CD26C6" w:rsidRDefault="00AD5157" w:rsidP="006D7DE6">
      <w:pPr>
        <w:pStyle w:val="BodyTextFirstIndent"/>
      </w:pPr>
      <w:r>
        <w:rPr>
          <w:noProof/>
        </w:rPr>
        <w:drawing>
          <wp:inline distT="0" distB="0" distL="0" distR="0" wp14:anchorId="62087E11" wp14:editId="774DDF96">
            <wp:extent cx="5943600" cy="5267325"/>
            <wp:effectExtent l="19050" t="19050" r="19050" b="28575"/>
            <wp:docPr id="1478224865" name="Picture 31" descr="Screenshot of the Massachusetts Environmental Public Health Tracking website with a series of tables and a large yellow arrow indicating that the state-wide data are at the very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24865" name="Picture 31" descr="Screenshot of the Massachusetts Environmental Public Health Tracking website with a series of tables and a large yellow arrow indicating that the state-wide data are at the very bottom."/>
                    <pic:cNvPicPr/>
                  </pic:nvPicPr>
                  <pic:blipFill rotWithShape="1">
                    <a:blip r:embed="rId98">
                      <a:extLst>
                        <a:ext uri="{28A0092B-C50C-407E-A947-70E740481C1C}">
                          <a14:useLocalDpi xmlns:a14="http://schemas.microsoft.com/office/drawing/2010/main" val="0"/>
                        </a:ext>
                      </a:extLst>
                    </a:blip>
                    <a:srcRect b="31520"/>
                    <a:stretch/>
                  </pic:blipFill>
                  <pic:spPr bwMode="auto">
                    <a:xfrm>
                      <a:off x="0" y="0"/>
                      <a:ext cx="5943600" cy="52673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CDC99F9" w14:textId="7089FD43" w:rsidR="00221FE8" w:rsidRDefault="00221FE8" w:rsidP="006D7DE6">
      <w:pPr>
        <w:pStyle w:val="BodyTextFirstIndent"/>
      </w:pPr>
      <w:r>
        <w:fldChar w:fldCharType="begin"/>
      </w:r>
      <w:r>
        <w:instrText xml:space="preserve"> REF _Ref173964247 \h </w:instrText>
      </w:r>
      <w:r>
        <w:fldChar w:fldCharType="separate"/>
      </w:r>
      <w:r w:rsidR="00307850">
        <w:t xml:space="preserve">Figure </w:t>
      </w:r>
      <w:r w:rsidR="00307850">
        <w:rPr>
          <w:noProof/>
        </w:rPr>
        <w:t>15</w:t>
      </w:r>
      <w:r>
        <w:fldChar w:fldCharType="end"/>
      </w:r>
      <w:r w:rsidRPr="00221FE8">
        <w:t xml:space="preserve"> illustrates a sample screenshot of </w:t>
      </w:r>
      <w:r w:rsidR="001F405A">
        <w:t xml:space="preserve">the </w:t>
      </w:r>
      <w:r w:rsidRPr="00221FE8">
        <w:t xml:space="preserve">EPHT’s </w:t>
      </w:r>
      <w:r>
        <w:t>chart</w:t>
      </w:r>
      <w:r w:rsidRPr="00221FE8">
        <w:t xml:space="preserve"> view output of pediatric asthma prevalence data. This output presents annual data for each participating school in the selected community</w:t>
      </w:r>
      <w:r w:rsidR="002862D0">
        <w:t xml:space="preserve"> </w:t>
      </w:r>
      <w:r w:rsidR="009A1AFD">
        <w:t xml:space="preserve">in </w:t>
      </w:r>
      <w:r w:rsidR="002862D0">
        <w:t>a bar chart</w:t>
      </w:r>
      <w:r w:rsidRPr="00221FE8">
        <w:t>.</w:t>
      </w:r>
      <w:r w:rsidR="002A36CF">
        <w:t xml:space="preserve"> This enables users to both identify schools with greater prevalence </w:t>
      </w:r>
      <w:r w:rsidR="00C51676">
        <w:t xml:space="preserve">relative to other schools </w:t>
      </w:r>
      <w:r w:rsidR="009230DB">
        <w:t xml:space="preserve">and visually observe year-to-year trends in asthma prevalence </w:t>
      </w:r>
      <w:r w:rsidR="00C51676">
        <w:t>for a single school.</w:t>
      </w:r>
    </w:p>
    <w:p w14:paraId="5185EBF2" w14:textId="3C1AD458" w:rsidR="00E60757" w:rsidRDefault="00E60757" w:rsidP="00B30C96">
      <w:pPr>
        <w:pStyle w:val="Caption"/>
      </w:pPr>
      <w:bookmarkStart w:id="345" w:name="_Ref173964247"/>
      <w:bookmarkStart w:id="346" w:name="_Toc193112302"/>
      <w:bookmarkStart w:id="347" w:name="_Toc193117059"/>
      <w:r>
        <w:lastRenderedPageBreak/>
        <w:t xml:space="preserve">Figure </w:t>
      </w:r>
      <w:fldSimple w:instr=" SEQ Figure \* ARABIC ">
        <w:r w:rsidR="00307850">
          <w:rPr>
            <w:noProof/>
          </w:rPr>
          <w:t>15</w:t>
        </w:r>
      </w:fldSimple>
      <w:bookmarkEnd w:id="345"/>
      <w:r>
        <w:t>. EPHT’s Chart View Output of Pediatric Asthma Prevalence Data</w:t>
      </w:r>
      <w:bookmarkEnd w:id="346"/>
      <w:bookmarkEnd w:id="347"/>
    </w:p>
    <w:p w14:paraId="747D008B" w14:textId="7716B198" w:rsidR="00CD26C6" w:rsidRDefault="00CD26C6" w:rsidP="006D7DE6">
      <w:pPr>
        <w:pStyle w:val="BodyTextFirstIndent"/>
      </w:pPr>
      <w:r w:rsidRPr="00EE4DFF">
        <w:rPr>
          <w:noProof/>
        </w:rPr>
        <w:drawing>
          <wp:inline distT="0" distB="0" distL="0" distR="0" wp14:anchorId="3CA7F999" wp14:editId="598F65F9">
            <wp:extent cx="5867400" cy="4420645"/>
            <wp:effectExtent l="19050" t="19050" r="19050" b="18415"/>
            <wp:docPr id="1983688532" name="Picture 1" descr="Screenshot of the Massachusetts Environmental Public Health Tracking website with multi-colored horizontal bar charts colored by year and sized by pediatric asthma abundance, with each cluster of bars representing on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88532" name="Picture 1" descr="Screenshot of the Massachusetts Environmental Public Health Tracking website with multi-colored horizontal bar charts colored by year and sized by pediatric asthma abundance, with each cluster of bars representing one school."/>
                    <pic:cNvPicPr/>
                  </pic:nvPicPr>
                  <pic:blipFill rotWithShape="1">
                    <a:blip r:embed="rId99">
                      <a:extLst>
                        <a:ext uri="{28A0092B-C50C-407E-A947-70E740481C1C}">
                          <a14:useLocalDpi xmlns:a14="http://schemas.microsoft.com/office/drawing/2010/main" val="0"/>
                        </a:ext>
                      </a:extLst>
                    </a:blip>
                    <a:srcRect l="2327" b="43135"/>
                    <a:stretch/>
                  </pic:blipFill>
                  <pic:spPr bwMode="auto">
                    <a:xfrm>
                      <a:off x="0" y="0"/>
                      <a:ext cx="5876455" cy="44274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EC91BA" w14:textId="55A69C8E" w:rsidR="00C51676" w:rsidRDefault="00C51676" w:rsidP="006D7DE6">
      <w:pPr>
        <w:pStyle w:val="BodyTextFirstIndent"/>
      </w:pPr>
      <w:r>
        <w:fldChar w:fldCharType="begin"/>
      </w:r>
      <w:r>
        <w:instrText xml:space="preserve"> REF _Ref173964415 \h </w:instrText>
      </w:r>
      <w:r>
        <w:fldChar w:fldCharType="separate"/>
      </w:r>
      <w:r w:rsidR="00307850">
        <w:t xml:space="preserve">Figure </w:t>
      </w:r>
      <w:r w:rsidR="00307850">
        <w:rPr>
          <w:noProof/>
        </w:rPr>
        <w:t>16</w:t>
      </w:r>
      <w:r>
        <w:fldChar w:fldCharType="end"/>
      </w:r>
      <w:r>
        <w:t xml:space="preserve"> presents a screenshot of </w:t>
      </w:r>
      <w:r w:rsidR="006E72EC">
        <w:t>a sample export of pediatric asthma prevalence data into a CSV file, enabling users to perform additional custom analysis.</w:t>
      </w:r>
    </w:p>
    <w:p w14:paraId="156E37FE" w14:textId="0EBC99B0" w:rsidR="00E60757" w:rsidRDefault="00E60757" w:rsidP="00B30C96">
      <w:pPr>
        <w:pStyle w:val="Caption"/>
      </w:pPr>
      <w:bookmarkStart w:id="348" w:name="_Ref173964415"/>
      <w:bookmarkStart w:id="349" w:name="_Toc193112303"/>
      <w:bookmarkStart w:id="350" w:name="_Toc193117060"/>
      <w:r>
        <w:t xml:space="preserve">Figure </w:t>
      </w:r>
      <w:fldSimple w:instr=" SEQ Figure \* ARABIC ">
        <w:r w:rsidR="00307850">
          <w:rPr>
            <w:noProof/>
          </w:rPr>
          <w:t>16</w:t>
        </w:r>
      </w:fldSimple>
      <w:bookmarkEnd w:id="348"/>
      <w:r>
        <w:t>. Screenshot of Sampl</w:t>
      </w:r>
      <w:r w:rsidR="009F38BE">
        <w:t>e</w:t>
      </w:r>
      <w:r>
        <w:t xml:space="preserve"> Export of Pediatric Asthma Prevalence Data</w:t>
      </w:r>
      <w:r w:rsidR="009F38BE">
        <w:t xml:space="preserve"> from </w:t>
      </w:r>
      <w:r w:rsidR="001F405A">
        <w:t xml:space="preserve">the </w:t>
      </w:r>
      <w:r w:rsidR="009F38BE">
        <w:t>EPHT</w:t>
      </w:r>
      <w:bookmarkEnd w:id="349"/>
      <w:bookmarkEnd w:id="350"/>
    </w:p>
    <w:p w14:paraId="7DB78080" w14:textId="5F9CFFCB" w:rsidR="00BB7B37" w:rsidRDefault="00F0028E" w:rsidP="006D7DE6">
      <w:pPr>
        <w:pStyle w:val="BodyTextFirstIndent"/>
      </w:pPr>
      <w:r w:rsidRPr="00F0028E">
        <w:rPr>
          <w:noProof/>
        </w:rPr>
        <w:drawing>
          <wp:inline distT="0" distB="0" distL="0" distR="0" wp14:anchorId="250DF314" wp14:editId="11EC44E8">
            <wp:extent cx="5943600" cy="2205355"/>
            <wp:effectExtent l="19050" t="19050" r="19050" b="23495"/>
            <wp:docPr id="1781271132" name="Picture 1" descr="Screenshot of basic black-and-white data export of pediatric asthm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71132" name="Picture 1" descr="Screenshot of basic black-and-white data export of pediatric asthma data."/>
                    <pic:cNvPicPr/>
                  </pic:nvPicPr>
                  <pic:blipFill>
                    <a:blip r:embed="rId100"/>
                    <a:stretch>
                      <a:fillRect/>
                    </a:stretch>
                  </pic:blipFill>
                  <pic:spPr>
                    <a:xfrm>
                      <a:off x="0" y="0"/>
                      <a:ext cx="5943600" cy="2205355"/>
                    </a:xfrm>
                    <a:prstGeom prst="rect">
                      <a:avLst/>
                    </a:prstGeom>
                    <a:ln>
                      <a:solidFill>
                        <a:schemeClr val="tx1"/>
                      </a:solidFill>
                    </a:ln>
                  </pic:spPr>
                </pic:pic>
              </a:graphicData>
            </a:graphic>
          </wp:inline>
        </w:drawing>
      </w:r>
    </w:p>
    <w:p w14:paraId="5C259E52" w14:textId="06117881" w:rsidR="00027799" w:rsidRDefault="00027799" w:rsidP="00027799">
      <w:pPr>
        <w:pStyle w:val="Heading5a"/>
      </w:pPr>
      <w:r>
        <w:lastRenderedPageBreak/>
        <w:t>Community Profiles</w:t>
      </w:r>
    </w:p>
    <w:p w14:paraId="763D3192" w14:textId="2CDDCC60" w:rsidR="00C918F5" w:rsidRDefault="004E508A" w:rsidP="006D7DE6">
      <w:pPr>
        <w:pStyle w:val="BodyTextFirstIndent"/>
      </w:pPr>
      <w:r>
        <w:t xml:space="preserve">Within the Planning and Tools Module of </w:t>
      </w:r>
      <w:r w:rsidR="001F405A">
        <w:t xml:space="preserve">the </w:t>
      </w:r>
      <w:r>
        <w:t xml:space="preserve">EPHT, school districts can view </w:t>
      </w:r>
      <w:hyperlink r:id="rId101" w:history="1">
        <w:r w:rsidRPr="00381763">
          <w:rPr>
            <w:rStyle w:val="Hyperlink"/>
          </w:rPr>
          <w:t>Community Profiles</w:t>
        </w:r>
      </w:hyperlink>
      <w:r w:rsidR="00381763">
        <w:t>, which</w:t>
      </w:r>
      <w:r w:rsidR="00F70CA6">
        <w:t xml:space="preserve"> present</w:t>
      </w:r>
      <w:r w:rsidR="005443BE">
        <w:t xml:space="preserve"> a </w:t>
      </w:r>
      <w:r w:rsidR="006D1785">
        <w:t xml:space="preserve">comprehensive </w:t>
      </w:r>
      <w:r w:rsidR="005443BE">
        <w:t xml:space="preserve">synopsis of community-specific </w:t>
      </w:r>
      <w:r w:rsidR="00DC1E2F">
        <w:t>health</w:t>
      </w:r>
      <w:r w:rsidR="00220AE9">
        <w:t>, demographic,</w:t>
      </w:r>
      <w:r w:rsidR="00DC1E2F">
        <w:t xml:space="preserve"> and environmental </w:t>
      </w:r>
      <w:r w:rsidR="005443BE">
        <w:t xml:space="preserve">data, including </w:t>
      </w:r>
      <w:r w:rsidR="00D104A0">
        <w:t xml:space="preserve">how each </w:t>
      </w:r>
      <w:r w:rsidR="00E8717D">
        <w:t>pertain</w:t>
      </w:r>
      <w:r w:rsidR="00D104A0">
        <w:t>s</w:t>
      </w:r>
      <w:r w:rsidR="00E8717D">
        <w:t xml:space="preserve"> to climate change</w:t>
      </w:r>
      <w:r w:rsidR="00AD1C56">
        <w:t>, all in a single</w:t>
      </w:r>
      <w:r w:rsidR="006560DB">
        <w:t>,</w:t>
      </w:r>
      <w:r w:rsidR="00AD1C56">
        <w:t xml:space="preserve"> </w:t>
      </w:r>
      <w:r w:rsidR="00BC7987">
        <w:t xml:space="preserve">easy-to-use </w:t>
      </w:r>
      <w:r w:rsidR="00771A31">
        <w:t>report</w:t>
      </w:r>
      <w:r w:rsidR="00E8717D">
        <w:t xml:space="preserve">. </w:t>
      </w:r>
      <w:r w:rsidR="00E8717D">
        <w:fldChar w:fldCharType="begin"/>
      </w:r>
      <w:r w:rsidR="00E8717D">
        <w:instrText xml:space="preserve"> REF _Ref173965152 \h </w:instrText>
      </w:r>
      <w:r w:rsidR="00E8717D">
        <w:fldChar w:fldCharType="separate"/>
      </w:r>
      <w:r w:rsidR="00307850">
        <w:t xml:space="preserve">Figure </w:t>
      </w:r>
      <w:r w:rsidR="00307850">
        <w:rPr>
          <w:noProof/>
        </w:rPr>
        <w:t>17</w:t>
      </w:r>
      <w:r w:rsidR="00E8717D">
        <w:fldChar w:fldCharType="end"/>
      </w:r>
      <w:r w:rsidR="00E8717D">
        <w:t xml:space="preserve"> illustrates a screenshot of a sample Community Profile in </w:t>
      </w:r>
      <w:r w:rsidR="001F405A">
        <w:t xml:space="preserve">the </w:t>
      </w:r>
      <w:r w:rsidR="00E8717D">
        <w:t>EPHT.</w:t>
      </w:r>
      <w:r w:rsidR="00126797">
        <w:t xml:space="preserve"> </w:t>
      </w:r>
      <w:r w:rsidR="00846CF0">
        <w:t>T</w:t>
      </w:r>
      <w:r w:rsidR="00A34024">
        <w:t xml:space="preserve">he </w:t>
      </w:r>
      <w:r w:rsidR="00126797">
        <w:t>Community Profiles</w:t>
      </w:r>
      <w:r w:rsidR="00126797" w:rsidRPr="00126797">
        <w:t xml:space="preserve"> </w:t>
      </w:r>
      <w:r w:rsidR="00A34024">
        <w:t xml:space="preserve">in </w:t>
      </w:r>
      <w:r w:rsidR="001F405A">
        <w:t xml:space="preserve">the </w:t>
      </w:r>
      <w:r w:rsidR="00A34024">
        <w:t xml:space="preserve">EPHT </w:t>
      </w:r>
      <w:r w:rsidR="00126797" w:rsidRPr="00126797">
        <w:t xml:space="preserve">do not provide a school district the means to differentiate </w:t>
      </w:r>
      <w:r w:rsidR="0022075A">
        <w:t>health indicators</w:t>
      </w:r>
      <w:r w:rsidR="00126797" w:rsidRPr="00126797">
        <w:t xml:space="preserve"> between specific schools within its district</w:t>
      </w:r>
      <w:r w:rsidR="0022075A">
        <w:t>;</w:t>
      </w:r>
      <w:r w:rsidR="00126797" w:rsidRPr="00126797">
        <w:t xml:space="preserve"> </w:t>
      </w:r>
      <w:r w:rsidR="0022075A">
        <w:t xml:space="preserve">however, </w:t>
      </w:r>
      <w:r w:rsidR="00A34024">
        <w:t>the Community Profiles</w:t>
      </w:r>
      <w:r w:rsidR="00A34024" w:rsidRPr="00126797">
        <w:t xml:space="preserve"> </w:t>
      </w:r>
      <w:r w:rsidR="00A34024">
        <w:t xml:space="preserve">in </w:t>
      </w:r>
      <w:r w:rsidR="001F405A">
        <w:t xml:space="preserve">the </w:t>
      </w:r>
      <w:r w:rsidR="00A34024">
        <w:t>EPHT further</w:t>
      </w:r>
      <w:r w:rsidR="00126797" w:rsidRPr="00126797">
        <w:t xml:space="preserve"> contribute to general awareness of </w:t>
      </w:r>
      <w:r w:rsidR="006B7692">
        <w:t xml:space="preserve">environmental </w:t>
      </w:r>
      <w:r w:rsidR="00126797" w:rsidRPr="00126797">
        <w:t>health indicator</w:t>
      </w:r>
      <w:r w:rsidR="00A34024">
        <w:t>s</w:t>
      </w:r>
      <w:r w:rsidR="00126797" w:rsidRPr="00126797">
        <w:t xml:space="preserve"> within a community</w:t>
      </w:r>
      <w:r w:rsidR="00A34024">
        <w:t>.</w:t>
      </w:r>
    </w:p>
    <w:p w14:paraId="7E0FBE48" w14:textId="248C6637" w:rsidR="00EB77FA" w:rsidRDefault="00EB77FA" w:rsidP="00B30C96">
      <w:pPr>
        <w:pStyle w:val="Caption"/>
      </w:pPr>
      <w:bookmarkStart w:id="351" w:name="_Ref173965152"/>
      <w:bookmarkStart w:id="352" w:name="_Toc193112304"/>
      <w:bookmarkStart w:id="353" w:name="_Toc193117061"/>
      <w:r>
        <w:t xml:space="preserve">Figure </w:t>
      </w:r>
      <w:fldSimple w:instr=" SEQ Figure \* ARABIC ">
        <w:r w:rsidR="00307850">
          <w:rPr>
            <w:noProof/>
          </w:rPr>
          <w:t>17</w:t>
        </w:r>
      </w:fldSimple>
      <w:bookmarkEnd w:id="351"/>
      <w:r>
        <w:t xml:space="preserve">. Screenshot of </w:t>
      </w:r>
      <w:r w:rsidR="00E8717D">
        <w:t xml:space="preserve">a </w:t>
      </w:r>
      <w:r>
        <w:t>Sample Community Profile from EPHT</w:t>
      </w:r>
      <w:bookmarkEnd w:id="352"/>
      <w:bookmarkEnd w:id="353"/>
    </w:p>
    <w:p w14:paraId="602207AC" w14:textId="24315DBD" w:rsidR="00EB77FA" w:rsidRDefault="00EB77FA" w:rsidP="00263D06">
      <w:pPr>
        <w:pStyle w:val="BodyTextFirstIndent"/>
        <w:jc w:val="center"/>
      </w:pPr>
      <w:r w:rsidRPr="00EB77FA">
        <w:rPr>
          <w:noProof/>
        </w:rPr>
        <w:drawing>
          <wp:inline distT="0" distB="0" distL="0" distR="0" wp14:anchorId="14E5F221" wp14:editId="0660E156">
            <wp:extent cx="3802649" cy="5092700"/>
            <wp:effectExtent l="19050" t="19050" r="26670" b="12700"/>
            <wp:docPr id="726878421" name="Picture 1" descr="Screenshot of Community Profile for Worcester with a map of the state and county as well as various pie charts representing age and disability status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78421" name="Picture 1" descr="Screenshot of Community Profile for Worcester with a map of the state and county as well as various pie charts representing age and disability status demographics."/>
                    <pic:cNvPicPr/>
                  </pic:nvPicPr>
                  <pic:blipFill>
                    <a:blip r:embed="rId102"/>
                    <a:stretch>
                      <a:fillRect/>
                    </a:stretch>
                  </pic:blipFill>
                  <pic:spPr>
                    <a:xfrm>
                      <a:off x="0" y="0"/>
                      <a:ext cx="3807776" cy="5099567"/>
                    </a:xfrm>
                    <a:prstGeom prst="rect">
                      <a:avLst/>
                    </a:prstGeom>
                    <a:ln>
                      <a:solidFill>
                        <a:schemeClr val="tx1"/>
                      </a:solidFill>
                    </a:ln>
                  </pic:spPr>
                </pic:pic>
              </a:graphicData>
            </a:graphic>
          </wp:inline>
        </w:drawing>
      </w:r>
    </w:p>
    <w:p w14:paraId="534B3DB8" w14:textId="6924071A" w:rsidR="00341ACA" w:rsidRDefault="00EC5A86" w:rsidP="0016648F">
      <w:pPr>
        <w:pStyle w:val="Heading4"/>
      </w:pPr>
      <w:r>
        <w:t>Learning Environment and Outcomes</w:t>
      </w:r>
    </w:p>
    <w:p w14:paraId="52447C53" w14:textId="09D5DD3B" w:rsidR="000E074E" w:rsidRDefault="003C52D3" w:rsidP="006D7DE6">
      <w:pPr>
        <w:pStyle w:val="BodyTextFirstIndent"/>
      </w:pPr>
      <w:r>
        <w:t xml:space="preserve">In addition to </w:t>
      </w:r>
      <w:r w:rsidR="000E074E">
        <w:t>consider</w:t>
      </w:r>
      <w:r>
        <w:t>ing</w:t>
      </w:r>
      <w:r w:rsidR="000E074E">
        <w:t xml:space="preserve"> the physical infrastructure of each district’s portfolio of school buildings</w:t>
      </w:r>
      <w:r>
        <w:t xml:space="preserve"> and </w:t>
      </w:r>
      <w:r w:rsidR="00BA279B">
        <w:t>environmental health data from DPH, school</w:t>
      </w:r>
      <w:r w:rsidR="00FE4426">
        <w:t xml:space="preserve"> districts</w:t>
      </w:r>
      <w:r w:rsidR="00BA279B">
        <w:t xml:space="preserve"> should also evaluate</w:t>
      </w:r>
      <w:r w:rsidR="00595060">
        <w:t xml:space="preserve"> </w:t>
      </w:r>
      <w:r w:rsidR="00595060">
        <w:lastRenderedPageBreak/>
        <w:t xml:space="preserve">data from DESE’s </w:t>
      </w:r>
      <w:hyperlink r:id="rId103" w:history="1">
        <w:r w:rsidR="00595060" w:rsidRPr="00FE4426">
          <w:rPr>
            <w:rStyle w:val="Hyperlink"/>
          </w:rPr>
          <w:t>School and District Profiles</w:t>
        </w:r>
      </w:hyperlink>
      <w:r w:rsidR="00107490">
        <w:rPr>
          <w:rStyle w:val="Hyperlink"/>
        </w:rPr>
        <w:t>,</w:t>
      </w:r>
      <w:r w:rsidR="00407174">
        <w:t xml:space="preserve"> </w:t>
      </w:r>
      <w:r w:rsidR="00107490">
        <w:t>which</w:t>
      </w:r>
      <w:r w:rsidR="00407174">
        <w:t xml:space="preserve"> provide insights into individual school learning environments</w:t>
      </w:r>
      <w:r w:rsidR="000E4006">
        <w:t xml:space="preserve"> and outcomes</w:t>
      </w:r>
      <w:r w:rsidR="000E074E">
        <w:t xml:space="preserve">. This will help districts identify schools </w:t>
      </w:r>
      <w:r w:rsidR="00C144F4">
        <w:t xml:space="preserve">having </w:t>
      </w:r>
      <w:r w:rsidR="00DF535B">
        <w:t>greater percentages of non-</w:t>
      </w:r>
      <w:r w:rsidR="00191A7B">
        <w:t>w</w:t>
      </w:r>
      <w:r w:rsidR="00DF535B">
        <w:t xml:space="preserve">hite </w:t>
      </w:r>
      <w:r w:rsidR="004F10C6">
        <w:t>student</w:t>
      </w:r>
      <w:r w:rsidR="0057386B">
        <w:t xml:space="preserve">s, who have </w:t>
      </w:r>
      <w:r w:rsidR="00191A7B">
        <w:t>been historically marginalized</w:t>
      </w:r>
      <w:r w:rsidR="00605BEA">
        <w:t>;</w:t>
      </w:r>
      <w:r w:rsidR="0058714D">
        <w:t xml:space="preserve"> schools that have </w:t>
      </w:r>
      <w:r w:rsidR="00307312">
        <w:t xml:space="preserve">greater percentages of students </w:t>
      </w:r>
      <w:r w:rsidR="00CE0609">
        <w:t>with disabilities, high needs</w:t>
      </w:r>
      <w:r w:rsidR="005154F4">
        <w:t xml:space="preserve">, </w:t>
      </w:r>
      <w:r w:rsidR="001F405A">
        <w:t>low-</w:t>
      </w:r>
      <w:r w:rsidR="0008002F">
        <w:t xml:space="preserve">income backgrounds, and </w:t>
      </w:r>
      <w:r w:rsidR="00307312">
        <w:t>for whom English is not their first language</w:t>
      </w:r>
      <w:r w:rsidR="003317A4">
        <w:t>; and schools that have lower graduation rates relative to other schools.</w:t>
      </w:r>
      <w:r w:rsidR="00605BEA">
        <w:t xml:space="preserve"> </w:t>
      </w:r>
      <w:r w:rsidR="000E074E" w:rsidRPr="00211503">
        <w:t xml:space="preserve">School districts should consider evaluating the following </w:t>
      </w:r>
      <w:r w:rsidR="00420C5D">
        <w:t xml:space="preserve">three </w:t>
      </w:r>
      <w:r w:rsidR="00DD2099">
        <w:t>reports in DESE’s School and District Profiles</w:t>
      </w:r>
      <w:r w:rsidR="000E074E" w:rsidRPr="00211503">
        <w:t xml:space="preserve"> to evaluate </w:t>
      </w:r>
      <w:r w:rsidR="000E074E">
        <w:t xml:space="preserve">relevant </w:t>
      </w:r>
      <w:r w:rsidR="00DD2099">
        <w:t>learning environment and outcome</w:t>
      </w:r>
      <w:r w:rsidR="000E074E">
        <w:t xml:space="preserve"> indicators that will help increase awareness of and identify schools having the greatest needs:</w:t>
      </w:r>
    </w:p>
    <w:p w14:paraId="28626FFE" w14:textId="7037A853" w:rsidR="000E074E" w:rsidRPr="00A12EAC" w:rsidRDefault="006210DC" w:rsidP="008131EB">
      <w:pPr>
        <w:pStyle w:val="ListBullet"/>
      </w:pPr>
      <w:r>
        <w:t>Enrollment by Race/Gender</w:t>
      </w:r>
      <w:r w:rsidR="000E074E">
        <w:t xml:space="preserve"> </w:t>
      </w:r>
    </w:p>
    <w:p w14:paraId="39ECA709" w14:textId="77777777" w:rsidR="00444D2D" w:rsidRDefault="006210DC" w:rsidP="008131EB">
      <w:pPr>
        <w:pStyle w:val="ListBullet"/>
      </w:pPr>
      <w:r>
        <w:t>Selected Populations</w:t>
      </w:r>
    </w:p>
    <w:p w14:paraId="39B059B4" w14:textId="59F34D5E" w:rsidR="00B6702B" w:rsidRDefault="00444D2D" w:rsidP="008131EB">
      <w:pPr>
        <w:pStyle w:val="ListBullet"/>
      </w:pPr>
      <w:r w:rsidRPr="00444D2D">
        <w:t xml:space="preserve">Graduation Rate </w:t>
      </w:r>
    </w:p>
    <w:p w14:paraId="235F3016" w14:textId="365DD3FC" w:rsidR="00A04DC9" w:rsidRDefault="0077383B" w:rsidP="00E34A72">
      <w:pPr>
        <w:pStyle w:val="Heading5"/>
      </w:pPr>
      <w:r w:rsidRPr="0077383B">
        <w:t>Enrollment by Race/Gender Repor</w:t>
      </w:r>
      <w:r w:rsidR="00B6702B">
        <w:t>t</w:t>
      </w:r>
    </w:p>
    <w:p w14:paraId="349EA12A" w14:textId="78454389" w:rsidR="00A04DC9" w:rsidRDefault="006D0C4D" w:rsidP="006D7DE6">
      <w:pPr>
        <w:pStyle w:val="BodyTextFirstIndent"/>
      </w:pPr>
      <w:r>
        <w:fldChar w:fldCharType="begin"/>
      </w:r>
      <w:r>
        <w:instrText xml:space="preserve"> REF _Ref173967210 \h </w:instrText>
      </w:r>
      <w:r>
        <w:fldChar w:fldCharType="separate"/>
      </w:r>
      <w:r w:rsidR="00307850">
        <w:t xml:space="preserve">Table </w:t>
      </w:r>
      <w:r w:rsidR="00307850">
        <w:rPr>
          <w:noProof/>
        </w:rPr>
        <w:t>37</w:t>
      </w:r>
      <w:r>
        <w:fldChar w:fldCharType="end"/>
      </w:r>
      <w:r w:rsidRPr="006D0C4D">
        <w:t xml:space="preserve"> outlines notable details supporting the evaluation of </w:t>
      </w:r>
      <w:r w:rsidR="002560DE" w:rsidRPr="002560DE">
        <w:t xml:space="preserve">DESE’s </w:t>
      </w:r>
      <w:hyperlink r:id="rId104" w:history="1">
        <w:r w:rsidR="002560DE" w:rsidRPr="002560DE">
          <w:rPr>
            <w:rStyle w:val="Hyperlink"/>
          </w:rPr>
          <w:t>Enrollment by Race/Gender Report</w:t>
        </w:r>
      </w:hyperlink>
      <w:r w:rsidRPr="006D0C4D">
        <w:t xml:space="preserve"> to assist school districts in identifying schools of greatest need.</w:t>
      </w:r>
    </w:p>
    <w:p w14:paraId="4D458FEE" w14:textId="3BC5D284" w:rsidR="003779B7" w:rsidRDefault="003779B7" w:rsidP="00B30C96">
      <w:pPr>
        <w:pStyle w:val="Caption"/>
      </w:pPr>
      <w:bookmarkStart w:id="354" w:name="_Ref173967210"/>
      <w:bookmarkStart w:id="355" w:name="_Toc192711703"/>
      <w:bookmarkStart w:id="356" w:name="_Toc193112585"/>
      <w:bookmarkStart w:id="357" w:name="_Toc193116984"/>
      <w:r>
        <w:t xml:space="preserve">Table </w:t>
      </w:r>
      <w:fldSimple w:instr=" SEQ Table \* ARABIC ">
        <w:r w:rsidR="00307850">
          <w:rPr>
            <w:noProof/>
          </w:rPr>
          <w:t>37</w:t>
        </w:r>
      </w:fldSimple>
      <w:bookmarkEnd w:id="354"/>
      <w:r>
        <w:t xml:space="preserve">. </w:t>
      </w:r>
      <w:r w:rsidRPr="00030833">
        <w:t>Notable Details</w:t>
      </w:r>
      <w:r>
        <w:t xml:space="preserve"> Supporting the</w:t>
      </w:r>
      <w:r w:rsidRPr="00030833">
        <w:t xml:space="preserve"> Evaluation of </w:t>
      </w:r>
      <w:r>
        <w:t>DESE’s Enrollment</w:t>
      </w:r>
      <w:r w:rsidR="006560DB">
        <w:t xml:space="preserve"> </w:t>
      </w:r>
      <w:r>
        <w:t>by Race/Gender Report</w:t>
      </w:r>
      <w:bookmarkEnd w:id="355"/>
      <w:bookmarkEnd w:id="356"/>
      <w:bookmarkEnd w:id="357"/>
    </w:p>
    <w:tbl>
      <w:tblPr>
        <w:tblStyle w:val="TableGrid"/>
        <w:tblW w:w="5000" w:type="pct"/>
        <w:tblLook w:val="04A0" w:firstRow="1" w:lastRow="0" w:firstColumn="1" w:lastColumn="0" w:noHBand="0" w:noVBand="1"/>
        <w:tblDescription w:val="Table providing recommendations on how MSBA should interpret racial demographic data for schools."/>
      </w:tblPr>
      <w:tblGrid>
        <w:gridCol w:w="2785"/>
        <w:gridCol w:w="3420"/>
        <w:gridCol w:w="3145"/>
      </w:tblGrid>
      <w:tr w:rsidR="00907E8A" w14:paraId="299E2D76" w14:textId="77777777" w:rsidTr="00BE19B9">
        <w:trPr>
          <w:tblHeader/>
        </w:trPr>
        <w:tc>
          <w:tcPr>
            <w:tcW w:w="1489" w:type="pct"/>
            <w:shd w:val="clear" w:color="auto" w:fill="C6D9F1" w:themeFill="text2" w:themeFillTint="33"/>
          </w:tcPr>
          <w:p w14:paraId="04B9E55E" w14:textId="77777777" w:rsidR="00907E8A" w:rsidRDefault="00907E8A" w:rsidP="00BE19B9">
            <w:pPr>
              <w:pStyle w:val="TableColumnHeader"/>
            </w:pPr>
            <w:r>
              <w:t>Data of Interest</w:t>
            </w:r>
          </w:p>
        </w:tc>
        <w:tc>
          <w:tcPr>
            <w:tcW w:w="1829" w:type="pct"/>
            <w:shd w:val="clear" w:color="auto" w:fill="C6D9F1" w:themeFill="text2" w:themeFillTint="33"/>
          </w:tcPr>
          <w:p w14:paraId="6AA10BC8" w14:textId="77777777" w:rsidR="00907E8A" w:rsidRDefault="00907E8A" w:rsidP="00BE19B9">
            <w:pPr>
              <w:pStyle w:val="TableColumnHeader"/>
            </w:pPr>
            <w:r>
              <w:t>Notes/Considerations</w:t>
            </w:r>
          </w:p>
        </w:tc>
        <w:tc>
          <w:tcPr>
            <w:tcW w:w="1682" w:type="pct"/>
            <w:shd w:val="clear" w:color="auto" w:fill="C6D9F1" w:themeFill="text2" w:themeFillTint="33"/>
          </w:tcPr>
          <w:p w14:paraId="3F4DE02E" w14:textId="6A991AB1" w:rsidR="00907E8A" w:rsidRDefault="00785EEC" w:rsidP="00BE19B9">
            <w:pPr>
              <w:pStyle w:val="TableColumnHeader"/>
            </w:pPr>
            <w:r>
              <w:t>Recommendations</w:t>
            </w:r>
          </w:p>
        </w:tc>
      </w:tr>
      <w:tr w:rsidR="00907E8A" w14:paraId="6121EA21" w14:textId="77777777" w:rsidTr="00BE19B9">
        <w:tc>
          <w:tcPr>
            <w:tcW w:w="1489" w:type="pct"/>
          </w:tcPr>
          <w:p w14:paraId="102858B5" w14:textId="171F611E" w:rsidR="00CD29A1" w:rsidRDefault="00366B52" w:rsidP="00366B52">
            <w:pPr>
              <w:pStyle w:val="TableText"/>
            </w:pPr>
            <w:r>
              <w:t>Composition of student body by race</w:t>
            </w:r>
            <w:r w:rsidR="00CD29A1">
              <w:t xml:space="preserve"> </w:t>
            </w:r>
          </w:p>
          <w:p w14:paraId="7663716B" w14:textId="0954AAC7" w:rsidR="00CD29A1" w:rsidRDefault="00CD29A1" w:rsidP="00167E15">
            <w:pPr>
              <w:pStyle w:val="TableBullet1"/>
            </w:pPr>
            <w:r>
              <w:t>African American</w:t>
            </w:r>
          </w:p>
          <w:p w14:paraId="60030FC7" w14:textId="77777777" w:rsidR="00CD29A1" w:rsidRDefault="00CD29A1" w:rsidP="00167E15">
            <w:pPr>
              <w:pStyle w:val="TableBullet1"/>
            </w:pPr>
            <w:r>
              <w:t>Asian</w:t>
            </w:r>
          </w:p>
          <w:p w14:paraId="70813383" w14:textId="77777777" w:rsidR="00CD29A1" w:rsidRDefault="00CD29A1" w:rsidP="00167E15">
            <w:pPr>
              <w:pStyle w:val="TableBullet1"/>
            </w:pPr>
            <w:r>
              <w:t>Hispanic</w:t>
            </w:r>
          </w:p>
          <w:p w14:paraId="27A209D9" w14:textId="77777777" w:rsidR="00CD29A1" w:rsidRDefault="00CD29A1" w:rsidP="00167E15">
            <w:pPr>
              <w:pStyle w:val="TableBullet1"/>
            </w:pPr>
            <w:r>
              <w:t>White</w:t>
            </w:r>
          </w:p>
          <w:p w14:paraId="0E609AFC" w14:textId="77777777" w:rsidR="00CD29A1" w:rsidRDefault="00CD29A1" w:rsidP="00167E15">
            <w:pPr>
              <w:pStyle w:val="TableBullet1"/>
            </w:pPr>
            <w:r>
              <w:t>Native American</w:t>
            </w:r>
          </w:p>
          <w:p w14:paraId="2B265E29" w14:textId="77777777" w:rsidR="00CD29A1" w:rsidRDefault="00CD29A1" w:rsidP="00167E15">
            <w:pPr>
              <w:pStyle w:val="TableBullet1"/>
            </w:pPr>
            <w:r>
              <w:t>Native Hawaiian, Pacific Islander</w:t>
            </w:r>
          </w:p>
          <w:p w14:paraId="3442DF29" w14:textId="79F70F9A" w:rsidR="00907E8A" w:rsidRPr="00944899" w:rsidRDefault="00CD29A1" w:rsidP="00167E15">
            <w:pPr>
              <w:pStyle w:val="TableBullet1"/>
            </w:pPr>
            <w:r>
              <w:t>Multi-Race, Non-Hispanic</w:t>
            </w:r>
          </w:p>
        </w:tc>
        <w:tc>
          <w:tcPr>
            <w:tcW w:w="1829" w:type="pct"/>
          </w:tcPr>
          <w:p w14:paraId="2FDD653E" w14:textId="3BAFC694" w:rsidR="00907E8A" w:rsidRDefault="008B51A9" w:rsidP="00167E15">
            <w:pPr>
              <w:pStyle w:val="TableBullet1"/>
            </w:pPr>
            <w:r>
              <w:t>I</w:t>
            </w:r>
            <w:r w:rsidR="0072533B">
              <w:t xml:space="preserve">ndicator </w:t>
            </w:r>
            <w:r>
              <w:t xml:space="preserve">of </w:t>
            </w:r>
            <w:r w:rsidR="00191A7B">
              <w:t xml:space="preserve">schools </w:t>
            </w:r>
            <w:r w:rsidR="00191A7B" w:rsidRPr="00191A7B">
              <w:t>having greater percentages of non-white students, who have been historically marginalized</w:t>
            </w:r>
          </w:p>
        </w:tc>
        <w:tc>
          <w:tcPr>
            <w:tcW w:w="1682" w:type="pct"/>
          </w:tcPr>
          <w:p w14:paraId="267E94DF" w14:textId="25A1ECE2" w:rsidR="00907E8A" w:rsidRDefault="00EB0369" w:rsidP="000A0950">
            <w:pPr>
              <w:pStyle w:val="TableText"/>
            </w:pPr>
            <w:r>
              <w:t>P</w:t>
            </w:r>
            <w:r w:rsidRPr="00EB0369">
              <w:t xml:space="preserve">rioritize </w:t>
            </w:r>
            <w:r>
              <w:t xml:space="preserve">funding for project implementation in </w:t>
            </w:r>
            <w:r w:rsidRPr="00EB0369">
              <w:t>schools with higher rates of students of color</w:t>
            </w:r>
          </w:p>
        </w:tc>
      </w:tr>
    </w:tbl>
    <w:p w14:paraId="7B01A00F" w14:textId="042DFCE4" w:rsidR="002C4AEE" w:rsidRDefault="008079BC" w:rsidP="006D7DE6">
      <w:pPr>
        <w:pStyle w:val="BodyTextFirstIndent"/>
      </w:pPr>
      <w:r>
        <w:fldChar w:fldCharType="begin"/>
      </w:r>
      <w:r>
        <w:instrText xml:space="preserve"> REF _Ref173994320 \h </w:instrText>
      </w:r>
      <w:r>
        <w:fldChar w:fldCharType="separate"/>
      </w:r>
      <w:r w:rsidR="00307850">
        <w:t xml:space="preserve">Figure </w:t>
      </w:r>
      <w:r w:rsidR="00307850">
        <w:rPr>
          <w:noProof/>
        </w:rPr>
        <w:t>18</w:t>
      </w:r>
      <w:r>
        <w:fldChar w:fldCharType="end"/>
      </w:r>
      <w:r>
        <w:t xml:space="preserve"> presents a screenshot of DESE’s Enrollment by Race/Gender Report</w:t>
      </w:r>
      <w:r w:rsidR="00937197">
        <w:t xml:space="preserve">. Note that school districts are encouraged to select “School” in the “Report Type” field to differentiate </w:t>
      </w:r>
      <w:r w:rsidR="006B3EB7">
        <w:t>racial data at the individual school-level.</w:t>
      </w:r>
      <w:r w:rsidR="003246C9">
        <w:t xml:space="preserve"> For this and all other District Profiles, users are able to dynamically sort the data by any column header</w:t>
      </w:r>
      <w:r w:rsidR="00315F6B">
        <w:t xml:space="preserve">, </w:t>
      </w:r>
      <w:r w:rsidR="001F405A">
        <w:t xml:space="preserve">save </w:t>
      </w:r>
      <w:r w:rsidR="00315F6B">
        <w:t xml:space="preserve">the output to </w:t>
      </w:r>
      <w:r w:rsidR="001F405A">
        <w:t xml:space="preserve">a </w:t>
      </w:r>
      <w:r w:rsidR="00315F6B">
        <w:t>PDF,</w:t>
      </w:r>
      <w:r w:rsidR="00284875">
        <w:t xml:space="preserve"> and export the data to a Microsoft Excel file for additional custom analysis.</w:t>
      </w:r>
    </w:p>
    <w:p w14:paraId="542A2325" w14:textId="3125B94D" w:rsidR="00BC5915" w:rsidRDefault="002C4AEE" w:rsidP="00B30C96">
      <w:pPr>
        <w:pStyle w:val="Caption"/>
      </w:pPr>
      <w:bookmarkStart w:id="358" w:name="_Ref173994320"/>
      <w:bookmarkStart w:id="359" w:name="_Toc193112305"/>
      <w:bookmarkStart w:id="360" w:name="_Toc193117062"/>
      <w:r>
        <w:lastRenderedPageBreak/>
        <w:t xml:space="preserve">Figure </w:t>
      </w:r>
      <w:fldSimple w:instr=" SEQ Figure \* ARABIC ">
        <w:r w:rsidR="00307850">
          <w:rPr>
            <w:noProof/>
          </w:rPr>
          <w:t>18</w:t>
        </w:r>
      </w:fldSimple>
      <w:bookmarkEnd w:id="358"/>
      <w:r>
        <w:t xml:space="preserve">. Screenshot of </w:t>
      </w:r>
      <w:r w:rsidR="006560DB">
        <w:t xml:space="preserve">the </w:t>
      </w:r>
      <w:r>
        <w:t xml:space="preserve">DESE’s </w:t>
      </w:r>
      <w:r w:rsidRPr="002C4AEE">
        <w:t>Enrollment by Race/Gender Report</w:t>
      </w:r>
      <w:bookmarkEnd w:id="359"/>
      <w:bookmarkEnd w:id="360"/>
    </w:p>
    <w:p w14:paraId="38DC723C" w14:textId="07CFC463" w:rsidR="003036A4" w:rsidRPr="003036A4" w:rsidRDefault="002E2E1C" w:rsidP="006D7DE6">
      <w:pPr>
        <w:pStyle w:val="BodyTextFirstIndent"/>
      </w:pPr>
      <w:r w:rsidRPr="002E2E1C">
        <w:rPr>
          <w:noProof/>
        </w:rPr>
        <w:drawing>
          <wp:inline distT="0" distB="0" distL="0" distR="0" wp14:anchorId="48ADC48F" wp14:editId="41FB1DBD">
            <wp:extent cx="5943600" cy="2825115"/>
            <wp:effectExtent l="19050" t="19050" r="19050" b="13335"/>
            <wp:docPr id="1811511809" name="Picture 1" descr="Screenshot of web browser data base, with school names on the left of the chart and racial demographics spanning all columns right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11809" name="Picture 1" descr="Screenshot of web browser data base, with school names on the left of the chart and racial demographics spanning all columns rightwards. "/>
                    <pic:cNvPicPr/>
                  </pic:nvPicPr>
                  <pic:blipFill>
                    <a:blip r:embed="rId105"/>
                    <a:stretch>
                      <a:fillRect/>
                    </a:stretch>
                  </pic:blipFill>
                  <pic:spPr>
                    <a:xfrm>
                      <a:off x="0" y="0"/>
                      <a:ext cx="5943600" cy="2825115"/>
                    </a:xfrm>
                    <a:prstGeom prst="rect">
                      <a:avLst/>
                    </a:prstGeom>
                    <a:ln>
                      <a:solidFill>
                        <a:schemeClr val="tx1"/>
                      </a:solidFill>
                    </a:ln>
                  </pic:spPr>
                </pic:pic>
              </a:graphicData>
            </a:graphic>
          </wp:inline>
        </w:drawing>
      </w:r>
    </w:p>
    <w:p w14:paraId="24BE636F" w14:textId="6510E4E5" w:rsidR="0077383B" w:rsidRDefault="0077383B" w:rsidP="00E34A72">
      <w:pPr>
        <w:pStyle w:val="Heading5"/>
      </w:pPr>
      <w:r>
        <w:t>Selected Populations</w:t>
      </w:r>
      <w:r w:rsidRPr="0077383B">
        <w:t xml:space="preserve"> Report</w:t>
      </w:r>
    </w:p>
    <w:p w14:paraId="7CA4738D" w14:textId="26DAF20A" w:rsidR="00BC5915" w:rsidRDefault="00952D45" w:rsidP="006D7DE6">
      <w:pPr>
        <w:pStyle w:val="BodyTextFirstIndent"/>
      </w:pPr>
      <w:r>
        <w:fldChar w:fldCharType="begin"/>
      </w:r>
      <w:r>
        <w:instrText xml:space="preserve"> REF _Ref173967329 \h </w:instrText>
      </w:r>
      <w:r>
        <w:fldChar w:fldCharType="separate"/>
      </w:r>
      <w:r w:rsidR="00307850">
        <w:t xml:space="preserve">Table </w:t>
      </w:r>
      <w:r w:rsidR="00307850">
        <w:rPr>
          <w:noProof/>
        </w:rPr>
        <w:t>38</w:t>
      </w:r>
      <w:r>
        <w:fldChar w:fldCharType="end"/>
      </w:r>
      <w:r>
        <w:t xml:space="preserve"> </w:t>
      </w:r>
      <w:r w:rsidR="00BC5915" w:rsidRPr="006D0C4D">
        <w:t xml:space="preserve">outlines notable details supporting the evaluation of </w:t>
      </w:r>
      <w:r w:rsidR="001F405A">
        <w:t xml:space="preserve">the </w:t>
      </w:r>
      <w:r w:rsidR="00BC5915" w:rsidRPr="002560DE">
        <w:t xml:space="preserve">DESE’s </w:t>
      </w:r>
      <w:hyperlink r:id="rId106" w:history="1">
        <w:r w:rsidRPr="009C0DB4">
          <w:rPr>
            <w:rStyle w:val="Hyperlink"/>
          </w:rPr>
          <w:t>Selected Populations</w:t>
        </w:r>
        <w:r w:rsidR="00BC5915" w:rsidRPr="009C0DB4">
          <w:rPr>
            <w:rStyle w:val="Hyperlink"/>
          </w:rPr>
          <w:t xml:space="preserve"> Report</w:t>
        </w:r>
      </w:hyperlink>
      <w:r w:rsidR="00BC5915" w:rsidRPr="006D0C4D">
        <w:t xml:space="preserve"> to assist school districts in identifying schools of greatest need.</w:t>
      </w:r>
    </w:p>
    <w:p w14:paraId="4BF1EB59" w14:textId="2F1F977B" w:rsidR="00BC5915" w:rsidRDefault="00BC5915" w:rsidP="00B30C96">
      <w:pPr>
        <w:pStyle w:val="Caption"/>
      </w:pPr>
      <w:bookmarkStart w:id="361" w:name="_Ref173967329"/>
      <w:bookmarkStart w:id="362" w:name="_Toc192711704"/>
      <w:bookmarkStart w:id="363" w:name="_Toc193112586"/>
      <w:bookmarkStart w:id="364" w:name="_Toc193116985"/>
      <w:r>
        <w:t xml:space="preserve">Table </w:t>
      </w:r>
      <w:fldSimple w:instr=" SEQ Table \* ARABIC ">
        <w:r w:rsidR="00307850">
          <w:rPr>
            <w:noProof/>
          </w:rPr>
          <w:t>38</w:t>
        </w:r>
      </w:fldSimple>
      <w:bookmarkEnd w:id="361"/>
      <w:r>
        <w:t xml:space="preserve">. </w:t>
      </w:r>
      <w:r w:rsidRPr="00030833">
        <w:t>Notable Details</w:t>
      </w:r>
      <w:r>
        <w:t xml:space="preserve"> Supporting </w:t>
      </w:r>
      <w:r w:rsidRPr="00030833">
        <w:t xml:space="preserve">Evaluation of </w:t>
      </w:r>
      <w:r w:rsidR="001F405A">
        <w:t xml:space="preserve">the </w:t>
      </w:r>
      <w:r>
        <w:t xml:space="preserve">DESE’s </w:t>
      </w:r>
      <w:r w:rsidR="009C0DB4">
        <w:t>Selected Populations</w:t>
      </w:r>
      <w:r>
        <w:t xml:space="preserve"> Report</w:t>
      </w:r>
      <w:bookmarkEnd w:id="362"/>
      <w:bookmarkEnd w:id="363"/>
      <w:bookmarkEnd w:id="364"/>
    </w:p>
    <w:tbl>
      <w:tblPr>
        <w:tblStyle w:val="TableGrid"/>
        <w:tblW w:w="5000" w:type="pct"/>
        <w:tblLook w:val="04A0" w:firstRow="1" w:lastRow="0" w:firstColumn="1" w:lastColumn="0" w:noHBand="0" w:noVBand="1"/>
        <w:tblDescription w:val="Table providing recommendations on how MSBA should interpret general demographic data for schools for prioritizing equitable outcomes."/>
      </w:tblPr>
      <w:tblGrid>
        <w:gridCol w:w="2785"/>
        <w:gridCol w:w="3420"/>
        <w:gridCol w:w="3145"/>
      </w:tblGrid>
      <w:tr w:rsidR="00BC5915" w14:paraId="7A905A7B" w14:textId="77777777" w:rsidTr="00BE19B9">
        <w:trPr>
          <w:tblHeader/>
        </w:trPr>
        <w:tc>
          <w:tcPr>
            <w:tcW w:w="1489" w:type="pct"/>
            <w:shd w:val="clear" w:color="auto" w:fill="C6D9F1" w:themeFill="text2" w:themeFillTint="33"/>
          </w:tcPr>
          <w:p w14:paraId="1ADE8A61" w14:textId="77777777" w:rsidR="00BC5915" w:rsidRDefault="00BC5915" w:rsidP="00BE19B9">
            <w:pPr>
              <w:pStyle w:val="TableColumnHeader"/>
            </w:pPr>
            <w:r>
              <w:t>Data of Interest</w:t>
            </w:r>
          </w:p>
        </w:tc>
        <w:tc>
          <w:tcPr>
            <w:tcW w:w="1829" w:type="pct"/>
            <w:shd w:val="clear" w:color="auto" w:fill="C6D9F1" w:themeFill="text2" w:themeFillTint="33"/>
          </w:tcPr>
          <w:p w14:paraId="666F64EE" w14:textId="77777777" w:rsidR="00BC5915" w:rsidRDefault="00BC5915" w:rsidP="00BE19B9">
            <w:pPr>
              <w:pStyle w:val="TableColumnHeader"/>
            </w:pPr>
            <w:r>
              <w:t>Notes/Considerations</w:t>
            </w:r>
          </w:p>
        </w:tc>
        <w:tc>
          <w:tcPr>
            <w:tcW w:w="1682" w:type="pct"/>
            <w:shd w:val="clear" w:color="auto" w:fill="C6D9F1" w:themeFill="text2" w:themeFillTint="33"/>
          </w:tcPr>
          <w:p w14:paraId="5A7FF96B" w14:textId="77777777" w:rsidR="00BC5915" w:rsidRDefault="00BC5915" w:rsidP="00BE19B9">
            <w:pPr>
              <w:pStyle w:val="TableColumnHeader"/>
            </w:pPr>
            <w:r>
              <w:t>Recommendations</w:t>
            </w:r>
          </w:p>
        </w:tc>
      </w:tr>
      <w:tr w:rsidR="00BC5915" w14:paraId="77CC6FDE" w14:textId="77777777" w:rsidTr="00BE19B9">
        <w:tc>
          <w:tcPr>
            <w:tcW w:w="1489" w:type="pct"/>
          </w:tcPr>
          <w:p w14:paraId="0EEC0E02" w14:textId="529FFE7C" w:rsidR="00BC5915" w:rsidRDefault="00BC5915" w:rsidP="00BE19B9">
            <w:pPr>
              <w:pStyle w:val="TableText"/>
            </w:pPr>
            <w:r>
              <w:t xml:space="preserve">Composition of student body by </w:t>
            </w:r>
            <w:r w:rsidR="0030231B">
              <w:t>the following characteristics:</w:t>
            </w:r>
            <w:r>
              <w:t xml:space="preserve"> </w:t>
            </w:r>
          </w:p>
          <w:p w14:paraId="1F195D00" w14:textId="657B0958" w:rsidR="008B51A9" w:rsidRDefault="008B51A9" w:rsidP="00167E15">
            <w:pPr>
              <w:pStyle w:val="TableBullet1"/>
            </w:pPr>
            <w:r>
              <w:t>First language not English</w:t>
            </w:r>
          </w:p>
          <w:p w14:paraId="2B119581" w14:textId="45934A6D" w:rsidR="008B51A9" w:rsidRDefault="008B51A9" w:rsidP="00167E15">
            <w:pPr>
              <w:pStyle w:val="TableBullet1"/>
            </w:pPr>
            <w:r>
              <w:t>English language learner</w:t>
            </w:r>
          </w:p>
          <w:p w14:paraId="5CA13ACC" w14:textId="3EAEBEC8" w:rsidR="008B51A9" w:rsidRDefault="008B51A9" w:rsidP="00167E15">
            <w:pPr>
              <w:pStyle w:val="TableBullet1"/>
            </w:pPr>
            <w:r>
              <w:t>Students with disabilities</w:t>
            </w:r>
          </w:p>
          <w:p w14:paraId="30598225" w14:textId="108B8CB6" w:rsidR="008B51A9" w:rsidRDefault="008B51A9" w:rsidP="00167E15">
            <w:pPr>
              <w:pStyle w:val="TableBullet1"/>
            </w:pPr>
            <w:r>
              <w:t>High needs</w:t>
            </w:r>
          </w:p>
          <w:p w14:paraId="559B748F" w14:textId="24686D33" w:rsidR="00BC5915" w:rsidRPr="00944899" w:rsidRDefault="008B51A9" w:rsidP="00167E15">
            <w:pPr>
              <w:pStyle w:val="TableBullet1"/>
            </w:pPr>
            <w:r>
              <w:t>Low income</w:t>
            </w:r>
          </w:p>
        </w:tc>
        <w:tc>
          <w:tcPr>
            <w:tcW w:w="1829" w:type="pct"/>
          </w:tcPr>
          <w:p w14:paraId="47D3730E" w14:textId="0658F13A" w:rsidR="00BC5915" w:rsidRDefault="0008290C" w:rsidP="00167E15">
            <w:pPr>
              <w:pStyle w:val="TableBullet1"/>
            </w:pPr>
            <w:r>
              <w:t>Further i</w:t>
            </w:r>
            <w:r w:rsidR="00BC5915">
              <w:t xml:space="preserve">ndicator </w:t>
            </w:r>
            <w:r w:rsidR="008B51A9">
              <w:t xml:space="preserve">of </w:t>
            </w:r>
            <w:r w:rsidR="00BC5915">
              <w:t xml:space="preserve">schools </w:t>
            </w:r>
            <w:r w:rsidR="00BC5915" w:rsidRPr="00191A7B">
              <w:t>having greater percentages of students</w:t>
            </w:r>
            <w:r w:rsidR="006A2CCF">
              <w:t xml:space="preserve"> that have </w:t>
            </w:r>
            <w:r w:rsidR="00BD3646">
              <w:t>historically been marginalized</w:t>
            </w:r>
          </w:p>
        </w:tc>
        <w:tc>
          <w:tcPr>
            <w:tcW w:w="1682" w:type="pct"/>
          </w:tcPr>
          <w:p w14:paraId="3D3360BC" w14:textId="75EBB5FB" w:rsidR="00BC5915" w:rsidRDefault="00BC5915" w:rsidP="00BE19B9">
            <w:pPr>
              <w:pStyle w:val="TableText"/>
            </w:pPr>
            <w:r>
              <w:t>P</w:t>
            </w:r>
            <w:r w:rsidRPr="00EB0369">
              <w:t xml:space="preserve">rioritize </w:t>
            </w:r>
            <w:r>
              <w:t xml:space="preserve">funding for project implementation in </w:t>
            </w:r>
            <w:r w:rsidRPr="00EB0369">
              <w:t xml:space="preserve">schools with higher rates of </w:t>
            </w:r>
            <w:r w:rsidR="005C3E71">
              <w:t>the following characteristics:</w:t>
            </w:r>
          </w:p>
          <w:p w14:paraId="01FD4465" w14:textId="77777777" w:rsidR="005C3E71" w:rsidRDefault="005C3E71" w:rsidP="00167E15">
            <w:pPr>
              <w:pStyle w:val="TableBullet1"/>
            </w:pPr>
            <w:r>
              <w:t>First language not English</w:t>
            </w:r>
          </w:p>
          <w:p w14:paraId="6C357B7B" w14:textId="77777777" w:rsidR="005C3E71" w:rsidRDefault="005C3E71" w:rsidP="00167E15">
            <w:pPr>
              <w:pStyle w:val="TableBullet1"/>
            </w:pPr>
            <w:r>
              <w:t>English language learner</w:t>
            </w:r>
          </w:p>
          <w:p w14:paraId="5ACEFEA4" w14:textId="77777777" w:rsidR="005C3E71" w:rsidRDefault="005C3E71" w:rsidP="00167E15">
            <w:pPr>
              <w:pStyle w:val="TableBullet1"/>
            </w:pPr>
            <w:r>
              <w:t>Students with disabilities</w:t>
            </w:r>
          </w:p>
          <w:p w14:paraId="19B18B34" w14:textId="77777777" w:rsidR="005C3E71" w:rsidRDefault="005C3E71" w:rsidP="00167E15">
            <w:pPr>
              <w:pStyle w:val="TableBullet1"/>
            </w:pPr>
            <w:r>
              <w:t>High needs</w:t>
            </w:r>
          </w:p>
          <w:p w14:paraId="15F1C983" w14:textId="5C7543A9" w:rsidR="005C3E71" w:rsidRDefault="005C3E71" w:rsidP="00167E15">
            <w:pPr>
              <w:pStyle w:val="TableBullet1"/>
            </w:pPr>
            <w:r>
              <w:t>Low income</w:t>
            </w:r>
          </w:p>
        </w:tc>
      </w:tr>
    </w:tbl>
    <w:p w14:paraId="7A1A11B7" w14:textId="77777777" w:rsidR="00F56F5E" w:rsidRDefault="00F56F5E" w:rsidP="006D7DE6">
      <w:pPr>
        <w:pStyle w:val="BodyTextFirstIndent"/>
      </w:pPr>
    </w:p>
    <w:p w14:paraId="4452E6CA" w14:textId="77777777" w:rsidR="00F56F5E" w:rsidRDefault="00F56F5E">
      <w:pPr>
        <w:rPr>
          <w:rFonts w:ascii="Arial" w:eastAsiaTheme="majorEastAsia" w:hAnsi="Arial" w:cstheme="minorHAnsi"/>
          <w:sz w:val="24"/>
        </w:rPr>
      </w:pPr>
      <w:r>
        <w:br w:type="page"/>
      </w:r>
    </w:p>
    <w:p w14:paraId="279290CF" w14:textId="53EBAE9B" w:rsidR="006A0717" w:rsidRDefault="006A0717" w:rsidP="006D7DE6">
      <w:pPr>
        <w:pStyle w:val="BodyTextFirstIndent"/>
      </w:pPr>
      <w:r>
        <w:lastRenderedPageBreak/>
        <w:fldChar w:fldCharType="begin"/>
      </w:r>
      <w:r>
        <w:instrText xml:space="preserve"> REF _Ref173994617 \h </w:instrText>
      </w:r>
      <w:r>
        <w:fldChar w:fldCharType="separate"/>
      </w:r>
      <w:r w:rsidR="00307850">
        <w:t xml:space="preserve">Figure </w:t>
      </w:r>
      <w:r w:rsidR="00307850">
        <w:rPr>
          <w:noProof/>
        </w:rPr>
        <w:t>19</w:t>
      </w:r>
      <w:r>
        <w:fldChar w:fldCharType="end"/>
      </w:r>
      <w:r w:rsidRPr="006A0717">
        <w:t xml:space="preserve"> presents a screenshot of DESE’s </w:t>
      </w:r>
      <w:r>
        <w:t>Selected Populations</w:t>
      </w:r>
      <w:r w:rsidRPr="006A0717">
        <w:t xml:space="preserve"> Report. </w:t>
      </w:r>
    </w:p>
    <w:p w14:paraId="410EF1F5" w14:textId="63C43738" w:rsidR="005C3E71" w:rsidRDefault="004158F4" w:rsidP="00B30C96">
      <w:pPr>
        <w:pStyle w:val="Caption"/>
      </w:pPr>
      <w:bookmarkStart w:id="365" w:name="_Ref173994617"/>
      <w:bookmarkStart w:id="366" w:name="_Toc193112306"/>
      <w:bookmarkStart w:id="367" w:name="_Toc193117063"/>
      <w:r>
        <w:t xml:space="preserve">Figure </w:t>
      </w:r>
      <w:fldSimple w:instr=" SEQ Figure \* ARABIC ">
        <w:r w:rsidR="00307850">
          <w:rPr>
            <w:noProof/>
          </w:rPr>
          <w:t>19</w:t>
        </w:r>
      </w:fldSimple>
      <w:bookmarkEnd w:id="365"/>
      <w:r>
        <w:t xml:space="preserve">. </w:t>
      </w:r>
      <w:r w:rsidRPr="004158F4">
        <w:t xml:space="preserve">Screenshot of DESE’s </w:t>
      </w:r>
      <w:r w:rsidR="006A0717">
        <w:t>Selected Populations</w:t>
      </w:r>
      <w:r w:rsidRPr="004158F4">
        <w:t xml:space="preserve"> Report</w:t>
      </w:r>
      <w:bookmarkEnd w:id="366"/>
      <w:bookmarkEnd w:id="367"/>
    </w:p>
    <w:p w14:paraId="1A432903" w14:textId="50609664" w:rsidR="004158F4" w:rsidRPr="004158F4" w:rsidRDefault="004158F4" w:rsidP="006D7DE6">
      <w:pPr>
        <w:pStyle w:val="BodyTextFirstIndent"/>
      </w:pPr>
      <w:r w:rsidRPr="004158F4">
        <w:rPr>
          <w:noProof/>
        </w:rPr>
        <w:drawing>
          <wp:inline distT="0" distB="0" distL="0" distR="0" wp14:anchorId="24765691" wp14:editId="234D5D9F">
            <wp:extent cx="5943600" cy="2774315"/>
            <wp:effectExtent l="19050" t="19050" r="19050" b="26035"/>
            <wp:docPr id="827500473" name="Picture 1" descr="Screenshot of web browser data base, with school names on the left of the chart and selected demographics spanning all columns right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00473" name="Picture 1" descr="Screenshot of web browser data base, with school names on the left of the chart and selected demographics spanning all columns rightwards. "/>
                    <pic:cNvPicPr/>
                  </pic:nvPicPr>
                  <pic:blipFill>
                    <a:blip r:embed="rId107"/>
                    <a:stretch>
                      <a:fillRect/>
                    </a:stretch>
                  </pic:blipFill>
                  <pic:spPr>
                    <a:xfrm>
                      <a:off x="0" y="0"/>
                      <a:ext cx="5943600" cy="2774315"/>
                    </a:xfrm>
                    <a:prstGeom prst="rect">
                      <a:avLst/>
                    </a:prstGeom>
                    <a:ln>
                      <a:solidFill>
                        <a:schemeClr val="tx1"/>
                      </a:solidFill>
                    </a:ln>
                  </pic:spPr>
                </pic:pic>
              </a:graphicData>
            </a:graphic>
          </wp:inline>
        </w:drawing>
      </w:r>
    </w:p>
    <w:p w14:paraId="14F28834" w14:textId="6BB2FA97" w:rsidR="00363D8E" w:rsidRDefault="000C6B11" w:rsidP="00E34A72">
      <w:pPr>
        <w:pStyle w:val="Heading5"/>
      </w:pPr>
      <w:r w:rsidRPr="000C6B11">
        <w:t>Graduation Rate Report</w:t>
      </w:r>
    </w:p>
    <w:p w14:paraId="6D90382C" w14:textId="3B69C8C1" w:rsidR="00E67933" w:rsidRDefault="00E67933" w:rsidP="006D7DE6">
      <w:pPr>
        <w:pStyle w:val="BodyTextFirstIndent"/>
      </w:pPr>
      <w:r>
        <w:fldChar w:fldCharType="begin"/>
      </w:r>
      <w:r>
        <w:instrText xml:space="preserve"> REF _Ref173967745 \h </w:instrText>
      </w:r>
      <w:r>
        <w:fldChar w:fldCharType="separate"/>
      </w:r>
      <w:r w:rsidR="00307850">
        <w:t xml:space="preserve">Table </w:t>
      </w:r>
      <w:r w:rsidR="00307850">
        <w:rPr>
          <w:noProof/>
        </w:rPr>
        <w:t>39</w:t>
      </w:r>
      <w:r>
        <w:fldChar w:fldCharType="end"/>
      </w:r>
      <w:r>
        <w:t xml:space="preserve"> </w:t>
      </w:r>
      <w:r w:rsidRPr="006D0C4D">
        <w:t xml:space="preserve">outlines notable details supporting the evaluation of </w:t>
      </w:r>
      <w:r w:rsidRPr="002560DE">
        <w:t xml:space="preserve">DESE’s </w:t>
      </w:r>
      <w:hyperlink r:id="rId108" w:history="1">
        <w:r w:rsidRPr="00996770">
          <w:rPr>
            <w:rStyle w:val="Hyperlink"/>
          </w:rPr>
          <w:t>Graduation Rate Report for All Students</w:t>
        </w:r>
      </w:hyperlink>
      <w:r w:rsidRPr="006D0C4D">
        <w:t xml:space="preserve"> to assist school districts in identifying schools of greatest need.</w:t>
      </w:r>
    </w:p>
    <w:p w14:paraId="50C7E59F" w14:textId="5E602533" w:rsidR="00E67933" w:rsidRDefault="00E67933" w:rsidP="00B30C96">
      <w:pPr>
        <w:pStyle w:val="Caption"/>
      </w:pPr>
      <w:bookmarkStart w:id="368" w:name="_Ref173967745"/>
      <w:bookmarkStart w:id="369" w:name="_Toc192711705"/>
      <w:bookmarkStart w:id="370" w:name="_Toc193112587"/>
      <w:bookmarkStart w:id="371" w:name="_Toc193116986"/>
      <w:r>
        <w:t xml:space="preserve">Table </w:t>
      </w:r>
      <w:fldSimple w:instr=" SEQ Table \* ARABIC ">
        <w:r w:rsidR="00307850">
          <w:rPr>
            <w:noProof/>
          </w:rPr>
          <w:t>39</w:t>
        </w:r>
      </w:fldSimple>
      <w:bookmarkEnd w:id="368"/>
      <w:r>
        <w:t xml:space="preserve">. </w:t>
      </w:r>
      <w:r w:rsidRPr="00030833">
        <w:t>Notable Details</w:t>
      </w:r>
      <w:r>
        <w:t xml:space="preserve"> Supporting the</w:t>
      </w:r>
      <w:r w:rsidRPr="00030833">
        <w:t xml:space="preserve"> Evaluation of </w:t>
      </w:r>
      <w:r>
        <w:t xml:space="preserve">DESE’s </w:t>
      </w:r>
      <w:r w:rsidRPr="00E67933">
        <w:t>Graduation</w:t>
      </w:r>
      <w:r w:rsidR="006560DB">
        <w:t xml:space="preserve"> </w:t>
      </w:r>
      <w:r w:rsidRPr="00E67933">
        <w:t>Rate Report</w:t>
      </w:r>
      <w:bookmarkEnd w:id="369"/>
      <w:bookmarkEnd w:id="370"/>
      <w:bookmarkEnd w:id="371"/>
    </w:p>
    <w:tbl>
      <w:tblPr>
        <w:tblStyle w:val="TableGrid"/>
        <w:tblW w:w="5000" w:type="pct"/>
        <w:tblLook w:val="04A0" w:firstRow="1" w:lastRow="0" w:firstColumn="1" w:lastColumn="0" w:noHBand="0" w:noVBand="1"/>
        <w:tblDescription w:val="Table providing recommendations on how MSBA should interpret graduation rate data for schools for prioritizing equitable outcomes."/>
      </w:tblPr>
      <w:tblGrid>
        <w:gridCol w:w="2785"/>
        <w:gridCol w:w="3420"/>
        <w:gridCol w:w="3145"/>
      </w:tblGrid>
      <w:tr w:rsidR="00E67933" w14:paraId="0334B744" w14:textId="77777777" w:rsidTr="00BE19B9">
        <w:trPr>
          <w:tblHeader/>
        </w:trPr>
        <w:tc>
          <w:tcPr>
            <w:tcW w:w="1489" w:type="pct"/>
            <w:shd w:val="clear" w:color="auto" w:fill="C6D9F1" w:themeFill="text2" w:themeFillTint="33"/>
          </w:tcPr>
          <w:p w14:paraId="1FC0E57F" w14:textId="77777777" w:rsidR="00E67933" w:rsidRDefault="00E67933" w:rsidP="00BE19B9">
            <w:pPr>
              <w:pStyle w:val="TableColumnHeader"/>
            </w:pPr>
            <w:r>
              <w:t>Data of Interest</w:t>
            </w:r>
          </w:p>
        </w:tc>
        <w:tc>
          <w:tcPr>
            <w:tcW w:w="1829" w:type="pct"/>
            <w:shd w:val="clear" w:color="auto" w:fill="C6D9F1" w:themeFill="text2" w:themeFillTint="33"/>
          </w:tcPr>
          <w:p w14:paraId="4630FFB8" w14:textId="77777777" w:rsidR="00E67933" w:rsidRDefault="00E67933" w:rsidP="00BE19B9">
            <w:pPr>
              <w:pStyle w:val="TableColumnHeader"/>
            </w:pPr>
            <w:r>
              <w:t>Notes/Considerations</w:t>
            </w:r>
          </w:p>
        </w:tc>
        <w:tc>
          <w:tcPr>
            <w:tcW w:w="1682" w:type="pct"/>
            <w:shd w:val="clear" w:color="auto" w:fill="C6D9F1" w:themeFill="text2" w:themeFillTint="33"/>
          </w:tcPr>
          <w:p w14:paraId="60CF13BA" w14:textId="77777777" w:rsidR="00E67933" w:rsidRDefault="00E67933" w:rsidP="00BE19B9">
            <w:pPr>
              <w:pStyle w:val="TableColumnHeader"/>
            </w:pPr>
            <w:r>
              <w:t>Recommendations</w:t>
            </w:r>
          </w:p>
        </w:tc>
      </w:tr>
      <w:tr w:rsidR="00E67933" w14:paraId="6248C36D" w14:textId="77777777" w:rsidTr="00BE19B9">
        <w:tc>
          <w:tcPr>
            <w:tcW w:w="1489" w:type="pct"/>
          </w:tcPr>
          <w:p w14:paraId="51CF2CF8" w14:textId="4857FDBF" w:rsidR="00E67933" w:rsidRDefault="00A62ADB" w:rsidP="00167E15">
            <w:pPr>
              <w:pStyle w:val="TableBullet1"/>
            </w:pPr>
            <w:r>
              <w:t>Percent</w:t>
            </w:r>
            <w:r w:rsidR="001B5605">
              <w:t xml:space="preserve"> graduated</w:t>
            </w:r>
          </w:p>
          <w:p w14:paraId="59162002" w14:textId="7AE30050" w:rsidR="00E67933" w:rsidRPr="00944899" w:rsidRDefault="00E67933" w:rsidP="00167E15">
            <w:pPr>
              <w:pStyle w:val="TableBullet1"/>
              <w:numPr>
                <w:ilvl w:val="0"/>
                <w:numId w:val="0"/>
              </w:numPr>
              <w:ind w:left="288"/>
            </w:pPr>
          </w:p>
        </w:tc>
        <w:tc>
          <w:tcPr>
            <w:tcW w:w="1829" w:type="pct"/>
          </w:tcPr>
          <w:p w14:paraId="105161B1" w14:textId="77777777" w:rsidR="00952B85" w:rsidRPr="00952B85" w:rsidRDefault="00952B85" w:rsidP="00167E15">
            <w:pPr>
              <w:pStyle w:val="TableBullet1"/>
            </w:pPr>
            <w:r w:rsidRPr="00952B85">
              <w:t>Possible indicator of student performance and/or need for improved learning/social environment</w:t>
            </w:r>
          </w:p>
          <w:p w14:paraId="40D6C897" w14:textId="7E9E0C78" w:rsidR="00E67933" w:rsidRDefault="00E67933" w:rsidP="00167E15">
            <w:pPr>
              <w:pStyle w:val="TableBullet1"/>
              <w:numPr>
                <w:ilvl w:val="0"/>
                <w:numId w:val="0"/>
              </w:numPr>
              <w:ind w:left="14"/>
            </w:pPr>
          </w:p>
        </w:tc>
        <w:tc>
          <w:tcPr>
            <w:tcW w:w="1682" w:type="pct"/>
          </w:tcPr>
          <w:p w14:paraId="20EDEA78" w14:textId="5FD44D2E" w:rsidR="00E67933" w:rsidRDefault="00E67933" w:rsidP="009F219F">
            <w:pPr>
              <w:pStyle w:val="TableText"/>
            </w:pPr>
            <w:r>
              <w:t>P</w:t>
            </w:r>
            <w:r w:rsidRPr="00EB0369">
              <w:t xml:space="preserve">rioritize </w:t>
            </w:r>
            <w:r>
              <w:t xml:space="preserve">funding for project implementation in </w:t>
            </w:r>
            <w:r w:rsidRPr="00EB0369">
              <w:t xml:space="preserve">schools with </w:t>
            </w:r>
            <w:r w:rsidR="009F219F">
              <w:t>lower graduation rates</w:t>
            </w:r>
          </w:p>
        </w:tc>
      </w:tr>
    </w:tbl>
    <w:p w14:paraId="3F66C4F2" w14:textId="77777777" w:rsidR="00F56F5E" w:rsidRDefault="00F56F5E" w:rsidP="006D7DE6">
      <w:pPr>
        <w:pStyle w:val="BodyTextFirstIndent"/>
      </w:pPr>
    </w:p>
    <w:p w14:paraId="257FEFA5" w14:textId="77777777" w:rsidR="00F56F5E" w:rsidRDefault="00F56F5E">
      <w:pPr>
        <w:rPr>
          <w:rFonts w:ascii="Arial" w:eastAsiaTheme="majorEastAsia" w:hAnsi="Arial" w:cstheme="minorHAnsi"/>
          <w:sz w:val="24"/>
        </w:rPr>
      </w:pPr>
      <w:r>
        <w:br w:type="page"/>
      </w:r>
    </w:p>
    <w:p w14:paraId="7941E264" w14:textId="38C5BA39" w:rsidR="00144881" w:rsidRDefault="00144881" w:rsidP="006D7DE6">
      <w:pPr>
        <w:pStyle w:val="BodyTextFirstIndent"/>
      </w:pPr>
      <w:r>
        <w:lastRenderedPageBreak/>
        <w:fldChar w:fldCharType="begin"/>
      </w:r>
      <w:r>
        <w:instrText xml:space="preserve"> REF _Ref173994995 \h </w:instrText>
      </w:r>
      <w:r>
        <w:fldChar w:fldCharType="separate"/>
      </w:r>
      <w:r w:rsidR="00307850">
        <w:t xml:space="preserve">Figure </w:t>
      </w:r>
      <w:r w:rsidR="00307850">
        <w:rPr>
          <w:noProof/>
        </w:rPr>
        <w:t>20</w:t>
      </w:r>
      <w:r>
        <w:fldChar w:fldCharType="end"/>
      </w:r>
      <w:r>
        <w:t xml:space="preserve"> </w:t>
      </w:r>
      <w:r w:rsidRPr="006A0717">
        <w:t xml:space="preserve">presents a screenshot of DESE’s </w:t>
      </w:r>
      <w:r>
        <w:t>Graduation Rate Report.</w:t>
      </w:r>
    </w:p>
    <w:p w14:paraId="65932342" w14:textId="16E5CE67" w:rsidR="00144881" w:rsidRDefault="00144881" w:rsidP="00B30C96">
      <w:pPr>
        <w:pStyle w:val="Caption"/>
      </w:pPr>
      <w:bookmarkStart w:id="372" w:name="_Ref173994995"/>
      <w:bookmarkStart w:id="373" w:name="_Toc193112307"/>
      <w:bookmarkStart w:id="374" w:name="_Toc193117064"/>
      <w:r>
        <w:t xml:space="preserve">Figure </w:t>
      </w:r>
      <w:fldSimple w:instr=" SEQ Figure \* ARABIC ">
        <w:r w:rsidR="00307850">
          <w:rPr>
            <w:noProof/>
          </w:rPr>
          <w:t>20</w:t>
        </w:r>
      </w:fldSimple>
      <w:bookmarkEnd w:id="372"/>
      <w:r>
        <w:t xml:space="preserve">. </w:t>
      </w:r>
      <w:r w:rsidRPr="004158F4">
        <w:t xml:space="preserve">Screenshot of DESE’s </w:t>
      </w:r>
      <w:r>
        <w:t>Graduation Rate</w:t>
      </w:r>
      <w:r w:rsidRPr="004158F4">
        <w:t xml:space="preserve"> Report</w:t>
      </w:r>
      <w:bookmarkEnd w:id="373"/>
      <w:bookmarkEnd w:id="374"/>
    </w:p>
    <w:p w14:paraId="1C7E1187" w14:textId="494B373E" w:rsidR="00E67933" w:rsidRDefault="00D33143" w:rsidP="006D7DE6">
      <w:pPr>
        <w:pStyle w:val="BodyTextFirstIndent"/>
      </w:pPr>
      <w:r w:rsidRPr="00D33143">
        <w:rPr>
          <w:noProof/>
        </w:rPr>
        <w:drawing>
          <wp:inline distT="0" distB="0" distL="0" distR="0" wp14:anchorId="553E31FB" wp14:editId="48228195">
            <wp:extent cx="5943600" cy="2821940"/>
            <wp:effectExtent l="19050" t="19050" r="19050" b="16510"/>
            <wp:docPr id="1147643100" name="Picture 1" descr="Screenshot of web browser data base, with school names on the left of the chart and graduation rat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43100" name="Picture 1" descr="Screenshot of web browser data base, with school names on the left of the chart and graduation rates on the right."/>
                    <pic:cNvPicPr/>
                  </pic:nvPicPr>
                  <pic:blipFill>
                    <a:blip r:embed="rId109"/>
                    <a:stretch>
                      <a:fillRect/>
                    </a:stretch>
                  </pic:blipFill>
                  <pic:spPr>
                    <a:xfrm>
                      <a:off x="0" y="0"/>
                      <a:ext cx="5943600" cy="2821940"/>
                    </a:xfrm>
                    <a:prstGeom prst="rect">
                      <a:avLst/>
                    </a:prstGeom>
                    <a:ln>
                      <a:solidFill>
                        <a:schemeClr val="tx1"/>
                      </a:solidFill>
                    </a:ln>
                  </pic:spPr>
                </pic:pic>
              </a:graphicData>
            </a:graphic>
          </wp:inline>
        </w:drawing>
      </w:r>
    </w:p>
    <w:p w14:paraId="00C9F8BA" w14:textId="1463C18C" w:rsidR="000C6B11" w:rsidRDefault="000C6B11" w:rsidP="005E4219">
      <w:pPr>
        <w:pStyle w:val="Heading4"/>
      </w:pPr>
      <w:r>
        <w:t>Additional Demographic Data</w:t>
      </w:r>
    </w:p>
    <w:p w14:paraId="5AF8F798" w14:textId="0AF11F0A" w:rsidR="00271763" w:rsidRDefault="00201666" w:rsidP="006D7DE6">
      <w:pPr>
        <w:pStyle w:val="BodyTextFirstIndent"/>
      </w:pPr>
      <w:r>
        <w:t>DPH’s</w:t>
      </w:r>
      <w:r w:rsidR="00523D9B">
        <w:t xml:space="preserve"> geographic information system-based</w:t>
      </w:r>
      <w:r>
        <w:t xml:space="preserve"> </w:t>
      </w:r>
      <w:hyperlink r:id="rId110" w:history="1">
        <w:r w:rsidRPr="00201666">
          <w:rPr>
            <w:rStyle w:val="Hyperlink"/>
          </w:rPr>
          <w:t>Massachusetts Health Data Tool</w:t>
        </w:r>
      </w:hyperlink>
      <w:r>
        <w:t xml:space="preserve"> </w:t>
      </w:r>
      <w:r w:rsidR="00305A02">
        <w:t>supplements the school-specific learning environment data in DESE’s School and District Profiles</w:t>
      </w:r>
      <w:r w:rsidR="00F9451A">
        <w:t>. The Tool</w:t>
      </w:r>
      <w:r w:rsidR="00305A02">
        <w:t xml:space="preserve"> </w:t>
      </w:r>
      <w:r>
        <w:t xml:space="preserve">provides </w:t>
      </w:r>
      <w:r w:rsidR="00884153">
        <w:t>school districts a means of visually</w:t>
      </w:r>
      <w:r w:rsidR="008F4272">
        <w:t xml:space="preserve"> evaluating additional </w:t>
      </w:r>
      <w:r w:rsidR="004F6CCA">
        <w:t xml:space="preserve">community-specific </w:t>
      </w:r>
      <w:r w:rsidR="008F4272">
        <w:t>demographic data</w:t>
      </w:r>
      <w:r w:rsidR="00F9451A">
        <w:t xml:space="preserve"> and overlaying</w:t>
      </w:r>
      <w:r w:rsidR="008F4272">
        <w:t xml:space="preserve"> the locations of </w:t>
      </w:r>
      <w:r w:rsidR="000A6BCD">
        <w:t xml:space="preserve">individual </w:t>
      </w:r>
      <w:r w:rsidR="008F4272">
        <w:t>schools</w:t>
      </w:r>
      <w:r w:rsidR="000A6BCD">
        <w:t>.</w:t>
      </w:r>
      <w:r w:rsidR="00884153">
        <w:t xml:space="preserve"> </w:t>
      </w:r>
      <w:r w:rsidR="00E64291">
        <w:t>These additional demographic data will help school districts better understand</w:t>
      </w:r>
      <w:r w:rsidR="00BD2169">
        <w:t xml:space="preserve"> the broader community context</w:t>
      </w:r>
      <w:r w:rsidR="00CC5A5F">
        <w:t xml:space="preserve"> influencing student health and </w:t>
      </w:r>
      <w:r w:rsidR="00537598">
        <w:t>education outcomes</w:t>
      </w:r>
      <w:r w:rsidR="00C01597">
        <w:t xml:space="preserve"> and further</w:t>
      </w:r>
      <w:r w:rsidR="00521309">
        <w:t xml:space="preserve"> prioritize </w:t>
      </w:r>
      <w:r w:rsidR="00C01597">
        <w:t>schools having the greatest needs</w:t>
      </w:r>
      <w:r w:rsidR="001E7785">
        <w:t>.</w:t>
      </w:r>
    </w:p>
    <w:p w14:paraId="29B26ED0" w14:textId="13C473EE" w:rsidR="00271763" w:rsidRDefault="00271763" w:rsidP="006D7DE6">
      <w:pPr>
        <w:pStyle w:val="BodyTextFirstIndent"/>
      </w:pPr>
      <w:r>
        <w:t xml:space="preserve">The Massachusetts Health Data Tool is a suite of reporting and mapping platforms designed to help visitors find community- and state-specific data quickly and easily. With access to more than 100 indicators, the Community and State Reporting tools provide access to up-to-date data on SDOH, as well as health behaviors, health outcomes, and healthcare delivery. </w:t>
      </w:r>
    </w:p>
    <w:p w14:paraId="3D51DF01" w14:textId="5FFE1504" w:rsidR="00271763" w:rsidRDefault="00271763" w:rsidP="006D7DE6">
      <w:pPr>
        <w:pStyle w:val="BodyTextFirstIndent"/>
      </w:pPr>
      <w:r>
        <w:t xml:space="preserve">When viewing data from the Massachusetts Health Data Tool, users may see differences among population groups. The differences are especially noticeable between white people and people of color. These differences exist because of structural racism. These differences are </w:t>
      </w:r>
      <w:r w:rsidRPr="00271763">
        <w:rPr>
          <w:b/>
          <w:bCs/>
        </w:rPr>
        <w:t>not</w:t>
      </w:r>
      <w:r>
        <w:t xml:space="preserve"> because of an individual’s choices, behaviors, or identity. Systems of oppression, such as racism, cause harm to everyone. They also influence </w:t>
      </w:r>
      <w:r w:rsidR="001F405A">
        <w:t xml:space="preserve">the </w:t>
      </w:r>
      <w:r>
        <w:t>SD</w:t>
      </w:r>
      <w:r w:rsidR="00F743D7">
        <w:t>O</w:t>
      </w:r>
      <w:r>
        <w:t>H, which impact health outcomes (</w:t>
      </w:r>
      <w:r w:rsidR="00F743D7">
        <w:t>s</w:t>
      </w:r>
      <w:r>
        <w:t xml:space="preserve">ee </w:t>
      </w:r>
      <w:r w:rsidR="0033289D">
        <w:fldChar w:fldCharType="begin"/>
      </w:r>
      <w:r w:rsidR="0033289D">
        <w:instrText xml:space="preserve"> REF _Ref184896492 \h </w:instrText>
      </w:r>
      <w:r w:rsidR="0033289D">
        <w:fldChar w:fldCharType="separate"/>
      </w:r>
      <w:r w:rsidR="00307850">
        <w:t xml:space="preserve">Figure </w:t>
      </w:r>
      <w:r w:rsidR="00307850">
        <w:rPr>
          <w:noProof/>
        </w:rPr>
        <w:t>21</w:t>
      </w:r>
      <w:r w:rsidR="0033289D">
        <w:fldChar w:fldCharType="end"/>
      </w:r>
      <w:r>
        <w:t>.)</w:t>
      </w:r>
    </w:p>
    <w:p w14:paraId="0D5CDCFD" w14:textId="75ED75AF" w:rsidR="00811009" w:rsidRDefault="00811009" w:rsidP="00B30C96">
      <w:pPr>
        <w:pStyle w:val="Caption"/>
      </w:pPr>
      <w:bookmarkStart w:id="375" w:name="_Ref184896492"/>
      <w:bookmarkStart w:id="376" w:name="_Toc193112308"/>
      <w:bookmarkStart w:id="377" w:name="_Toc193117065"/>
      <w:r>
        <w:lastRenderedPageBreak/>
        <w:t xml:space="preserve">Figure </w:t>
      </w:r>
      <w:fldSimple w:instr=" SEQ Figure \* ARABIC ">
        <w:r w:rsidR="00307850">
          <w:rPr>
            <w:noProof/>
          </w:rPr>
          <w:t>21</w:t>
        </w:r>
      </w:fldSimple>
      <w:bookmarkEnd w:id="375"/>
      <w:r w:rsidR="00D11504">
        <w:t xml:space="preserve">. </w:t>
      </w:r>
      <w:r w:rsidR="00C87310">
        <w:t>Health</w:t>
      </w:r>
      <w:r w:rsidR="0033289D">
        <w:t xml:space="preserve"> Equity Framework</w:t>
      </w:r>
      <w:bookmarkEnd w:id="376"/>
      <w:bookmarkEnd w:id="377"/>
    </w:p>
    <w:p w14:paraId="078A1EAF" w14:textId="14BE09FE" w:rsidR="00787D2D" w:rsidRDefault="00811009" w:rsidP="000547CF">
      <w:pPr>
        <w:pStyle w:val="BodyTextFirstIndent"/>
        <w:jc w:val="center"/>
      </w:pPr>
      <w:r>
        <w:rPr>
          <w:noProof/>
        </w:rPr>
        <w:drawing>
          <wp:inline distT="0" distB="0" distL="0" distR="0" wp14:anchorId="1B1BEEB4" wp14:editId="06F1A859">
            <wp:extent cx="3124200" cy="3007251"/>
            <wp:effectExtent l="0" t="0" r="0" b="3175"/>
            <wp:docPr id="454842116" name="Picture 54" descr="Conceptual figure of three colored rectangles stacked on top of each other, showing oppression feeding into social determinants of health, which produce health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42116" name="Picture 54" descr="Conceptual figure of three colored rectangles stacked on top of each other, showing oppression feeding into social determinants of health, which produce health outcomes."/>
                    <pic:cNvPicPr>
                      <a:picLocks noChangeAspect="1" noChangeArrowheads="1"/>
                    </pic:cNvPicPr>
                  </pic:nvPicPr>
                  <pic:blipFill rotWithShape="1">
                    <a:blip r:embed="rId111">
                      <a:extLst>
                        <a:ext uri="{28A0092B-C50C-407E-A947-70E740481C1C}">
                          <a14:useLocalDpi xmlns:a14="http://schemas.microsoft.com/office/drawing/2010/main" val="0"/>
                        </a:ext>
                      </a:extLst>
                    </a:blip>
                    <a:srcRect b="8245"/>
                    <a:stretch/>
                  </pic:blipFill>
                  <pic:spPr bwMode="auto">
                    <a:xfrm>
                      <a:off x="0" y="0"/>
                      <a:ext cx="3130124" cy="3012953"/>
                    </a:xfrm>
                    <a:prstGeom prst="rect">
                      <a:avLst/>
                    </a:prstGeom>
                    <a:noFill/>
                    <a:ln>
                      <a:noFill/>
                    </a:ln>
                    <a:extLst>
                      <a:ext uri="{53640926-AAD7-44D8-BBD7-CCE9431645EC}">
                        <a14:shadowObscured xmlns:a14="http://schemas.microsoft.com/office/drawing/2010/main"/>
                      </a:ext>
                    </a:extLst>
                  </pic:spPr>
                </pic:pic>
              </a:graphicData>
            </a:graphic>
          </wp:inline>
        </w:drawing>
      </w:r>
    </w:p>
    <w:p w14:paraId="478277EB" w14:textId="6762601D" w:rsidR="00FC4F46" w:rsidRDefault="00FC4F46" w:rsidP="0023018C">
      <w:pPr>
        <w:pStyle w:val="SourceCaption"/>
      </w:pPr>
      <w:r>
        <w:t xml:space="preserve">Source: </w:t>
      </w:r>
      <w:hyperlink r:id="rId112" w:history="1">
        <w:r w:rsidRPr="00FC4F46">
          <w:rPr>
            <w:rStyle w:val="Hyperlink"/>
          </w:rPr>
          <w:t>Massachusetts Health Data Tool</w:t>
        </w:r>
      </w:hyperlink>
    </w:p>
    <w:p w14:paraId="5468372F" w14:textId="70923D1B" w:rsidR="00271763" w:rsidRDefault="00271763" w:rsidP="006D7DE6">
      <w:pPr>
        <w:pStyle w:val="BodyTextFirstIndent"/>
      </w:pPr>
      <w:r>
        <w:t xml:space="preserve">If </w:t>
      </w:r>
      <w:r w:rsidR="00A7119E">
        <w:t>sharing</w:t>
      </w:r>
      <w:r>
        <w:t xml:space="preserve"> these data, </w:t>
      </w:r>
      <w:r w:rsidR="00A7119E">
        <w:t xml:space="preserve">it is important </w:t>
      </w:r>
      <w:r>
        <w:t xml:space="preserve">to use racial equity context and framing. The DPH </w:t>
      </w:r>
      <w:hyperlink r:id="rId113" w:history="1">
        <w:r w:rsidRPr="00777C02">
          <w:rPr>
            <w:rStyle w:val="Hyperlink"/>
          </w:rPr>
          <w:t>Racial Equity Data Road Map</w:t>
        </w:r>
      </w:hyperlink>
      <w:r>
        <w:t xml:space="preserve"> is one resource that can help. </w:t>
      </w:r>
    </w:p>
    <w:p w14:paraId="3D19DFC4" w14:textId="3EC86D1F" w:rsidR="00271763" w:rsidRDefault="00271763" w:rsidP="006D7DE6">
      <w:pPr>
        <w:pStyle w:val="BodyTextFirstIndent"/>
      </w:pPr>
      <w:r>
        <w:t xml:space="preserve">Additionally, the datasets from the Massachusetts Health Data Tool </w:t>
      </w:r>
      <w:r w:rsidR="00777C02">
        <w:t xml:space="preserve">currently </w:t>
      </w:r>
      <w:r>
        <w:t>have limited</w:t>
      </w:r>
      <w:r w:rsidR="004D4547">
        <w:t xml:space="preserve"> (or no)</w:t>
      </w:r>
      <w:r>
        <w:t xml:space="preserve"> data broken down by sexual orientation, gender identity, and intersex status. Many of the indicators in the </w:t>
      </w:r>
      <w:hyperlink r:id="rId114" w:history="1">
        <w:r w:rsidR="004D4547" w:rsidRPr="000918D8">
          <w:rPr>
            <w:rStyle w:val="Hyperlink"/>
          </w:rPr>
          <w:t>State Health Assessment</w:t>
        </w:r>
      </w:hyperlink>
      <w:r>
        <w:t xml:space="preserve"> report data by gender</w:t>
      </w:r>
      <w:r w:rsidR="001F405A">
        <w:t>; however</w:t>
      </w:r>
      <w:r>
        <w:t xml:space="preserve">, the data made available reflects gender as </w:t>
      </w:r>
      <w:r w:rsidR="001F405A">
        <w:t xml:space="preserve">the </w:t>
      </w:r>
      <w:r>
        <w:t xml:space="preserve">sex assigned by birth (male/female). This binary framework of reporting does not capture the full spectrum of gender </w:t>
      </w:r>
      <w:r w:rsidR="001F405A">
        <w:t>identity</w:t>
      </w:r>
      <w:r>
        <w:t xml:space="preserve">. Gender is a multi-dimensional construct that includes identity and expression. By maintaining binary language, data sources can be exclusionary and render transgender and non-binary populations invisible. By gathering information around gender identity, sex assigned at birth, and sexual orientation, DPH can provide opportunities to monitor population health and the impact of policies and other macro-level changes and interventions on population health and health inequities. </w:t>
      </w:r>
    </w:p>
    <w:p w14:paraId="2207BD93" w14:textId="29EDA363" w:rsidR="000C6B11" w:rsidRDefault="00271763" w:rsidP="006D7DE6">
      <w:pPr>
        <w:pStyle w:val="BodyTextFirstIndent"/>
      </w:pPr>
      <w:r>
        <w:t>As described in the beginning of this report, DPH</w:t>
      </w:r>
      <w:r w:rsidR="007C307C">
        <w:t>’s</w:t>
      </w:r>
      <w:r>
        <w:t xml:space="preserve"> Strategic Plan to Advance Racial Equity </w:t>
      </w:r>
      <w:r w:rsidR="007C307C">
        <w:t>acknowledge</w:t>
      </w:r>
      <w:r>
        <w:t xml:space="preserve">s that, to advance health equity, DPH must use an intersectional, equity-centered lens to focus on addressing the persistent racial inequities impacting the health access, treatment, outcomes, and overall well-being of people across the Commonwealth, specifically those who identify as Black, Indigenous, Hispanic/Latino, and/or Asian/Pacific Islander. The COVID-19 pandemic brought into painful, undeniable, public view the clear, present, and ongoing health inequities perpetuated by systemic racial inequities across public health infrastructure, health care delivery systems, and </w:t>
      </w:r>
      <w:r w:rsidR="00713810">
        <w:t>SDOH</w:t>
      </w:r>
      <w:r>
        <w:t xml:space="preserve"> in Massachusetts. Understanding the ways that systems of oppression create and perpetuate structural inequities supports DPH in making systems-level changes to </w:t>
      </w:r>
      <w:r>
        <w:lastRenderedPageBreak/>
        <w:t>advance health equity. DPH seeks to understand the ways that the structures it designs, operates, and builds perpetuate inequities. By embracing an understanding of the ways that state and national public service systems have been built upon racialized policies, practices, and institutions, DPH aims to lead health equity efforts across the agency, the secretariat, and the Commonwealth using a structural analysis of how systemic racism works. In leading racial-equity-centered change, DPH notes the imperative for a shared approach to equity across all public agencies as racial inequities are also replicated in educational systems, housing and built environments, carceral systems, economic systems, climate response, and public workforce systems</w:t>
      </w:r>
      <w:r w:rsidR="001E7785">
        <w:t xml:space="preserve"> </w:t>
      </w:r>
    </w:p>
    <w:p w14:paraId="139C5707" w14:textId="15DC0BC7" w:rsidR="000C6B11" w:rsidRDefault="00A86A30" w:rsidP="006D7DE6">
      <w:pPr>
        <w:pStyle w:val="BodyTextFirstIndent"/>
      </w:pPr>
      <w:r>
        <w:fldChar w:fldCharType="begin"/>
      </w:r>
      <w:r>
        <w:instrText xml:space="preserve"> REF _Ref173996736 \h </w:instrText>
      </w:r>
      <w:r>
        <w:fldChar w:fldCharType="separate"/>
      </w:r>
      <w:r w:rsidR="00307850">
        <w:t xml:space="preserve">Table </w:t>
      </w:r>
      <w:r w:rsidR="00307850">
        <w:rPr>
          <w:noProof/>
        </w:rPr>
        <w:t>40</w:t>
      </w:r>
      <w:r>
        <w:fldChar w:fldCharType="end"/>
      </w:r>
      <w:r>
        <w:t xml:space="preserve"> outlines notable details and recommendations for the evaluation of data in the Massachusetts Health Data Tool to assist school districts in identifying schools of greatest need.</w:t>
      </w:r>
    </w:p>
    <w:p w14:paraId="0F2924DD" w14:textId="5BC5AE53" w:rsidR="004D1818" w:rsidRDefault="004D1818" w:rsidP="00B30C96">
      <w:pPr>
        <w:pStyle w:val="Caption"/>
      </w:pPr>
      <w:bookmarkStart w:id="378" w:name="_Ref173996736"/>
      <w:bookmarkStart w:id="379" w:name="_Toc192711706"/>
      <w:bookmarkStart w:id="380" w:name="_Toc193112588"/>
      <w:bookmarkStart w:id="381" w:name="_Toc193116987"/>
      <w:r>
        <w:t xml:space="preserve">Table </w:t>
      </w:r>
      <w:fldSimple w:instr=" SEQ Table \* ARABIC ">
        <w:r w:rsidR="00307850">
          <w:rPr>
            <w:noProof/>
          </w:rPr>
          <w:t>40</w:t>
        </w:r>
      </w:fldSimple>
      <w:bookmarkEnd w:id="378"/>
      <w:r>
        <w:t xml:space="preserve">. </w:t>
      </w:r>
      <w:r w:rsidRPr="00030833">
        <w:t>Notable Details and Recommendations for the Evaluation of</w:t>
      </w:r>
      <w:r>
        <w:t xml:space="preserve"> Data in the Massachusetts Health Data Tool</w:t>
      </w:r>
      <w:bookmarkEnd w:id="379"/>
      <w:bookmarkEnd w:id="380"/>
      <w:bookmarkEnd w:id="381"/>
    </w:p>
    <w:tbl>
      <w:tblPr>
        <w:tblStyle w:val="TableGrid"/>
        <w:tblW w:w="5000" w:type="pct"/>
        <w:tblLook w:val="04A0" w:firstRow="1" w:lastRow="0" w:firstColumn="1" w:lastColumn="0" w:noHBand="0" w:noVBand="1"/>
        <w:tblDescription w:val="Table providing recommendations on how MSBA should interpret poverty rate and environmental justice index data for schools for prioritizing equitable outcomes."/>
      </w:tblPr>
      <w:tblGrid>
        <w:gridCol w:w="2785"/>
        <w:gridCol w:w="3420"/>
        <w:gridCol w:w="3145"/>
      </w:tblGrid>
      <w:tr w:rsidR="00DD31B6" w14:paraId="56CE0DE5" w14:textId="77777777" w:rsidTr="00BE19B9">
        <w:trPr>
          <w:tblHeader/>
        </w:trPr>
        <w:tc>
          <w:tcPr>
            <w:tcW w:w="1489" w:type="pct"/>
            <w:shd w:val="clear" w:color="auto" w:fill="C6D9F1" w:themeFill="text2" w:themeFillTint="33"/>
          </w:tcPr>
          <w:p w14:paraId="66CD89B0" w14:textId="77777777" w:rsidR="00DD31B6" w:rsidRDefault="00DD31B6" w:rsidP="00BE19B9">
            <w:pPr>
              <w:pStyle w:val="TableColumnHeader"/>
            </w:pPr>
            <w:r>
              <w:t>Data of Interest</w:t>
            </w:r>
          </w:p>
        </w:tc>
        <w:tc>
          <w:tcPr>
            <w:tcW w:w="1829" w:type="pct"/>
            <w:shd w:val="clear" w:color="auto" w:fill="C6D9F1" w:themeFill="text2" w:themeFillTint="33"/>
          </w:tcPr>
          <w:p w14:paraId="762801C5" w14:textId="77777777" w:rsidR="00DD31B6" w:rsidRDefault="00DD31B6" w:rsidP="00BE19B9">
            <w:pPr>
              <w:pStyle w:val="TableColumnHeader"/>
            </w:pPr>
            <w:r>
              <w:t>Notes/Considerations</w:t>
            </w:r>
          </w:p>
        </w:tc>
        <w:tc>
          <w:tcPr>
            <w:tcW w:w="1682" w:type="pct"/>
            <w:shd w:val="clear" w:color="auto" w:fill="C6D9F1" w:themeFill="text2" w:themeFillTint="33"/>
          </w:tcPr>
          <w:p w14:paraId="77D8E4CA" w14:textId="77777777" w:rsidR="00DD31B6" w:rsidRDefault="00DD31B6" w:rsidP="00BE19B9">
            <w:pPr>
              <w:pStyle w:val="TableColumnHeader"/>
            </w:pPr>
            <w:r>
              <w:t>Recommendations</w:t>
            </w:r>
          </w:p>
        </w:tc>
      </w:tr>
      <w:tr w:rsidR="00DD31B6" w14:paraId="23B2FC99" w14:textId="77777777" w:rsidTr="00BE19B9">
        <w:tc>
          <w:tcPr>
            <w:tcW w:w="1489" w:type="pct"/>
          </w:tcPr>
          <w:p w14:paraId="39F7F56A" w14:textId="69B6FC03" w:rsidR="00DD31B6" w:rsidRDefault="00DD31B6" w:rsidP="00DD31B6">
            <w:pPr>
              <w:pStyle w:val="TableText"/>
            </w:pPr>
            <w:r>
              <w:t>Income</w:t>
            </w:r>
            <w:r w:rsidR="005C557E">
              <w:t>:</w:t>
            </w:r>
            <w:r>
              <w:t xml:space="preserve"> poverty rate</w:t>
            </w:r>
          </w:p>
          <w:p w14:paraId="788EBA92" w14:textId="77777777" w:rsidR="00DD31B6" w:rsidRPr="00944899" w:rsidRDefault="00DD31B6" w:rsidP="00167E15">
            <w:pPr>
              <w:pStyle w:val="TableBullet1"/>
              <w:numPr>
                <w:ilvl w:val="0"/>
                <w:numId w:val="0"/>
              </w:numPr>
              <w:ind w:left="288"/>
            </w:pPr>
          </w:p>
        </w:tc>
        <w:tc>
          <w:tcPr>
            <w:tcW w:w="1829" w:type="pct"/>
          </w:tcPr>
          <w:p w14:paraId="71EB9EDF" w14:textId="3239B173" w:rsidR="00DD31B6" w:rsidRDefault="006772C1" w:rsidP="006772C1">
            <w:pPr>
              <w:pStyle w:val="TableText"/>
            </w:pPr>
            <w:r w:rsidRPr="006772C1">
              <w:t xml:space="preserve">Enables users to view data in map output with schools overlaid </w:t>
            </w:r>
          </w:p>
        </w:tc>
        <w:tc>
          <w:tcPr>
            <w:tcW w:w="1682" w:type="pct"/>
          </w:tcPr>
          <w:p w14:paraId="773ABEB4" w14:textId="4ED130B1" w:rsidR="00DD31B6" w:rsidRDefault="00DD31B6" w:rsidP="00BE19B9">
            <w:pPr>
              <w:pStyle w:val="TableText"/>
            </w:pPr>
            <w:r>
              <w:t>P</w:t>
            </w:r>
            <w:r w:rsidRPr="00EB0369">
              <w:t xml:space="preserve">rioritize </w:t>
            </w:r>
            <w:r>
              <w:t xml:space="preserve">funding for project implementation in </w:t>
            </w:r>
            <w:r w:rsidRPr="00EB0369">
              <w:t xml:space="preserve">schools with </w:t>
            </w:r>
            <w:r w:rsidR="005C557E">
              <w:t>greater p</w:t>
            </w:r>
            <w:r w:rsidR="0081665C">
              <w:t>o</w:t>
            </w:r>
            <w:r w:rsidR="005C557E">
              <w:t>verty</w:t>
            </w:r>
            <w:r>
              <w:t xml:space="preserve"> rates</w:t>
            </w:r>
          </w:p>
        </w:tc>
      </w:tr>
      <w:tr w:rsidR="006772C1" w14:paraId="380AE8B3" w14:textId="77777777" w:rsidTr="00BE19B9">
        <w:tc>
          <w:tcPr>
            <w:tcW w:w="1489" w:type="pct"/>
          </w:tcPr>
          <w:p w14:paraId="4ED54211" w14:textId="26FCC4C8" w:rsidR="006772C1" w:rsidRDefault="005C557E" w:rsidP="00DD31B6">
            <w:pPr>
              <w:pStyle w:val="TableText"/>
            </w:pPr>
            <w:r w:rsidRPr="005C557E">
              <w:t xml:space="preserve">Environmental </w:t>
            </w:r>
            <w:r>
              <w:t>c</w:t>
            </w:r>
            <w:r w:rsidRPr="005C557E">
              <w:t>oncerns</w:t>
            </w:r>
            <w:r>
              <w:t>:</w:t>
            </w:r>
            <w:r w:rsidRPr="005C557E">
              <w:t xml:space="preserve"> Environmental Justice Index</w:t>
            </w:r>
            <w:r w:rsidR="001F405A">
              <w:t>—</w:t>
            </w:r>
            <w:r w:rsidRPr="005C557E">
              <w:t>Neighborhood Details</w:t>
            </w:r>
          </w:p>
        </w:tc>
        <w:tc>
          <w:tcPr>
            <w:tcW w:w="1829" w:type="pct"/>
          </w:tcPr>
          <w:p w14:paraId="66545752" w14:textId="1AAD890F" w:rsidR="006772C1" w:rsidRPr="006772C1" w:rsidRDefault="005C557E" w:rsidP="006772C1">
            <w:pPr>
              <w:pStyle w:val="TableText"/>
            </w:pPr>
            <w:r w:rsidRPr="006772C1">
              <w:t>Enables users to view data in map output with schools overlaid</w:t>
            </w:r>
          </w:p>
        </w:tc>
        <w:tc>
          <w:tcPr>
            <w:tcW w:w="1682" w:type="pct"/>
          </w:tcPr>
          <w:p w14:paraId="4CA6DA20" w14:textId="3713D60F" w:rsidR="006772C1" w:rsidRDefault="0081665C" w:rsidP="00BE19B9">
            <w:pPr>
              <w:pStyle w:val="TableText"/>
            </w:pPr>
            <w:r>
              <w:t>P</w:t>
            </w:r>
            <w:r w:rsidRPr="00EB0369">
              <w:t xml:space="preserve">rioritize </w:t>
            </w:r>
            <w:r>
              <w:t xml:space="preserve">funding for project implementation in </w:t>
            </w:r>
            <w:r w:rsidRPr="00EB0369">
              <w:t xml:space="preserve">schools </w:t>
            </w:r>
            <w:r w:rsidR="00D52CA3">
              <w:t>located in census tracts</w:t>
            </w:r>
            <w:r w:rsidR="0056260C">
              <w:t xml:space="preserve"> that are more vulnerable to </w:t>
            </w:r>
            <w:r w:rsidR="008C4C0C">
              <w:t>social and environmental factors</w:t>
            </w:r>
          </w:p>
        </w:tc>
      </w:tr>
    </w:tbl>
    <w:p w14:paraId="7C9FCF04" w14:textId="77777777" w:rsidR="009B62CA" w:rsidRDefault="009B62CA" w:rsidP="00E34A72">
      <w:pPr>
        <w:pStyle w:val="Heading5"/>
      </w:pPr>
    </w:p>
    <w:p w14:paraId="6FC3728B" w14:textId="7B9D589D" w:rsidR="000C6B11" w:rsidRDefault="00D66E49" w:rsidP="00E34A72">
      <w:pPr>
        <w:pStyle w:val="Heading5"/>
      </w:pPr>
      <w:r>
        <w:t>Income</w:t>
      </w:r>
      <w:r w:rsidR="007C6652">
        <w:t xml:space="preserve"> –</w:t>
      </w:r>
      <w:r w:rsidR="009B62CA">
        <w:t xml:space="preserve"> Poverty Rate</w:t>
      </w:r>
    </w:p>
    <w:p w14:paraId="78DDA954" w14:textId="2E6FE14B" w:rsidR="007956F5" w:rsidRDefault="00EA4947" w:rsidP="006D7DE6">
      <w:pPr>
        <w:pStyle w:val="BodyTextFirstIndent"/>
      </w:pPr>
      <w:r>
        <w:t xml:space="preserve">The Massachusetts Health Data Tool is an extremely powerful and dynamic tool that presents </w:t>
      </w:r>
      <w:r w:rsidR="001E1413">
        <w:t xml:space="preserve">users with an extensive collection of data and </w:t>
      </w:r>
      <w:r w:rsidR="00F7029E">
        <w:t>mapping capabilities</w:t>
      </w:r>
      <w:r w:rsidR="009F14DD">
        <w:t>.</w:t>
      </w:r>
      <w:r w:rsidR="00F7029E">
        <w:t xml:space="preserve"> </w:t>
      </w:r>
      <w:r w:rsidR="009F14DD">
        <w:t xml:space="preserve">Following are the suggested steps </w:t>
      </w:r>
      <w:r w:rsidR="00A002B5">
        <w:t>for one particular approach that s</w:t>
      </w:r>
      <w:r>
        <w:t>chool districts</w:t>
      </w:r>
      <w:r w:rsidR="00A002B5">
        <w:t xml:space="preserve"> can take to visualize the intersection of individual schools</w:t>
      </w:r>
      <w:r w:rsidR="00167068">
        <w:t xml:space="preserve"> with varying degrees of </w:t>
      </w:r>
      <w:r w:rsidR="007956F5">
        <w:t>poverty levels in their respective communities.</w:t>
      </w:r>
      <w:r w:rsidR="004B3FA7">
        <w:t xml:space="preserve"> School districts are encouraged to </w:t>
      </w:r>
      <w:r w:rsidR="00E15E81">
        <w:t>explore the diverse capabilities</w:t>
      </w:r>
      <w:r w:rsidR="00534F98">
        <w:t xml:space="preserve"> this Tool offers.</w:t>
      </w:r>
    </w:p>
    <w:p w14:paraId="64928682" w14:textId="32100D44" w:rsidR="009B62CA" w:rsidRDefault="007956F5" w:rsidP="007956F5">
      <w:pPr>
        <w:pStyle w:val="Heading5a"/>
      </w:pPr>
      <w:r>
        <w:lastRenderedPageBreak/>
        <w:t>Step 1: Select the appropriate</w:t>
      </w:r>
      <w:r w:rsidR="00937C7A">
        <w:t xml:space="preserve"> community(ies) from the “Community</w:t>
      </w:r>
      <w:r w:rsidR="002C0398">
        <w:t xml:space="preserve"> List</w:t>
      </w:r>
      <w:r w:rsidR="00937C7A">
        <w:t>”</w:t>
      </w:r>
      <w:r w:rsidR="002C0398">
        <w:t xml:space="preserve"> in the left column</w:t>
      </w:r>
      <w:r w:rsidR="00BB5F1F">
        <w:t xml:space="preserve"> and click the </w:t>
      </w:r>
      <w:r w:rsidR="00071A8C">
        <w:t>“</w:t>
      </w:r>
      <w:r w:rsidR="00BB5F1F">
        <w:t>Data Indicators</w:t>
      </w:r>
      <w:r w:rsidR="00071A8C">
        <w:t>”</w:t>
      </w:r>
      <w:r w:rsidR="00BB5F1F">
        <w:t xml:space="preserve"> button in the bottom right of the screen</w:t>
      </w:r>
      <w:r w:rsidR="002C0398">
        <w:t>.</w:t>
      </w:r>
      <w:r w:rsidR="00937C7A">
        <w:t xml:space="preserve"> </w:t>
      </w:r>
      <w:r w:rsidR="00EA4947">
        <w:t xml:space="preserve"> </w:t>
      </w:r>
    </w:p>
    <w:p w14:paraId="123ADF47" w14:textId="7C84D4FD" w:rsidR="009536BA" w:rsidRDefault="009536BA" w:rsidP="006D7DE6">
      <w:pPr>
        <w:pStyle w:val="BodyTextFirstIndent"/>
      </w:pPr>
      <w:r w:rsidRPr="009536BA">
        <w:rPr>
          <w:noProof/>
        </w:rPr>
        <w:drawing>
          <wp:inline distT="0" distB="0" distL="0" distR="0" wp14:anchorId="0EEBE5A6" wp14:editId="64151334">
            <wp:extent cx="5943600" cy="3293110"/>
            <wp:effectExtent l="19050" t="19050" r="19050" b="21590"/>
            <wp:docPr id="1834887143"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87143" name="Picture 1" descr="Screenshot of Massachusetts Health Data Tool."/>
                    <pic:cNvPicPr/>
                  </pic:nvPicPr>
                  <pic:blipFill>
                    <a:blip r:embed="rId115"/>
                    <a:stretch>
                      <a:fillRect/>
                    </a:stretch>
                  </pic:blipFill>
                  <pic:spPr>
                    <a:xfrm>
                      <a:off x="0" y="0"/>
                      <a:ext cx="5943600" cy="3293110"/>
                    </a:xfrm>
                    <a:prstGeom prst="rect">
                      <a:avLst/>
                    </a:prstGeom>
                    <a:ln>
                      <a:solidFill>
                        <a:schemeClr val="tx1"/>
                      </a:solidFill>
                    </a:ln>
                  </pic:spPr>
                </pic:pic>
              </a:graphicData>
            </a:graphic>
          </wp:inline>
        </w:drawing>
      </w:r>
    </w:p>
    <w:p w14:paraId="70E38F2B" w14:textId="6AFD4365" w:rsidR="00534F98" w:rsidRDefault="00534F98" w:rsidP="00534F98">
      <w:pPr>
        <w:pStyle w:val="Heading5a"/>
      </w:pPr>
      <w:r>
        <w:lastRenderedPageBreak/>
        <w:t xml:space="preserve">Step 2: </w:t>
      </w:r>
      <w:r w:rsidR="00A74B18">
        <w:t>E</w:t>
      </w:r>
      <w:r w:rsidR="005F0AE3">
        <w:t>xpand the “Population Profile”</w:t>
      </w:r>
      <w:r w:rsidR="00A74B18">
        <w:t xml:space="preserve"> section</w:t>
      </w:r>
      <w:r w:rsidR="00071A8C">
        <w:t>,</w:t>
      </w:r>
      <w:r w:rsidR="00A74B18">
        <w:t xml:space="preserve"> select the “Income – Poverty Rate” data</w:t>
      </w:r>
      <w:r w:rsidR="00823A2E">
        <w:t xml:space="preserve"> indicator</w:t>
      </w:r>
      <w:r w:rsidR="00071A8C">
        <w:t>, and click the “Reports” button in the bottom right</w:t>
      </w:r>
      <w:r w:rsidR="00CB54BD">
        <w:t xml:space="preserve"> of the screen</w:t>
      </w:r>
      <w:r w:rsidR="00823A2E">
        <w:t>.</w:t>
      </w:r>
    </w:p>
    <w:p w14:paraId="429422B7" w14:textId="5B4BF0A0" w:rsidR="00FA166D" w:rsidRDefault="00A82581" w:rsidP="006D7DE6">
      <w:pPr>
        <w:pStyle w:val="BodyTextFirstIndent"/>
      </w:pPr>
      <w:r w:rsidRPr="00A82581">
        <w:rPr>
          <w:noProof/>
        </w:rPr>
        <w:drawing>
          <wp:inline distT="0" distB="0" distL="0" distR="0" wp14:anchorId="0B5B1CC5" wp14:editId="639651FC">
            <wp:extent cx="5943600" cy="5085715"/>
            <wp:effectExtent l="19050" t="19050" r="19050" b="19685"/>
            <wp:docPr id="432134213"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213" name="Picture 1" descr="Screenshot of Massachusetts Health Data Tool."/>
                    <pic:cNvPicPr/>
                  </pic:nvPicPr>
                  <pic:blipFill>
                    <a:blip r:embed="rId116"/>
                    <a:stretch>
                      <a:fillRect/>
                    </a:stretch>
                  </pic:blipFill>
                  <pic:spPr>
                    <a:xfrm>
                      <a:off x="0" y="0"/>
                      <a:ext cx="5943600" cy="5085715"/>
                    </a:xfrm>
                    <a:prstGeom prst="rect">
                      <a:avLst/>
                    </a:prstGeom>
                    <a:ln>
                      <a:solidFill>
                        <a:schemeClr val="tx1"/>
                      </a:solidFill>
                    </a:ln>
                  </pic:spPr>
                </pic:pic>
              </a:graphicData>
            </a:graphic>
          </wp:inline>
        </w:drawing>
      </w:r>
    </w:p>
    <w:p w14:paraId="16A4026A" w14:textId="39D05E2D" w:rsidR="00272607" w:rsidRDefault="00274139" w:rsidP="00274139">
      <w:pPr>
        <w:pStyle w:val="Heading5a"/>
      </w:pPr>
      <w:r>
        <w:lastRenderedPageBreak/>
        <w:t xml:space="preserve">Step 3: In the </w:t>
      </w:r>
      <w:r w:rsidR="00BF0470">
        <w:t>“</w:t>
      </w:r>
      <w:r>
        <w:t>Population Profile</w:t>
      </w:r>
      <w:r w:rsidR="00BF0470">
        <w:t>”</w:t>
      </w:r>
      <w:r>
        <w:t xml:space="preserve"> section of the </w:t>
      </w:r>
      <w:r w:rsidR="00BF0470">
        <w:t xml:space="preserve">Community Health Assessment, click the “View larger map” link beneath the </w:t>
      </w:r>
      <w:r w:rsidR="00AB6D79">
        <w:t>thumbnail image of the map</w:t>
      </w:r>
      <w:r w:rsidR="00636D8C">
        <w:t>, which will open a new window in the Tool’s Map Room module.</w:t>
      </w:r>
    </w:p>
    <w:p w14:paraId="1A69A2CE" w14:textId="749EE3C3" w:rsidR="00274139" w:rsidRDefault="00274139" w:rsidP="00F12FB2">
      <w:pPr>
        <w:pStyle w:val="Heading5a"/>
        <w:jc w:val="center"/>
      </w:pPr>
      <w:r w:rsidRPr="00274139">
        <w:rPr>
          <w:noProof/>
        </w:rPr>
        <w:drawing>
          <wp:inline distT="0" distB="0" distL="0" distR="0" wp14:anchorId="0E94AD33" wp14:editId="580B2061">
            <wp:extent cx="5943600" cy="4528820"/>
            <wp:effectExtent l="19050" t="19050" r="19050" b="24130"/>
            <wp:docPr id="490315456"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15456" name="Picture 1" descr="Screenshot of Massachusetts Health Data Tool."/>
                    <pic:cNvPicPr/>
                  </pic:nvPicPr>
                  <pic:blipFill>
                    <a:blip r:embed="rId117"/>
                    <a:stretch>
                      <a:fillRect/>
                    </a:stretch>
                  </pic:blipFill>
                  <pic:spPr>
                    <a:xfrm>
                      <a:off x="0" y="0"/>
                      <a:ext cx="5943600" cy="4528820"/>
                    </a:xfrm>
                    <a:prstGeom prst="rect">
                      <a:avLst/>
                    </a:prstGeom>
                    <a:ln>
                      <a:solidFill>
                        <a:schemeClr val="tx1"/>
                      </a:solidFill>
                    </a:ln>
                  </pic:spPr>
                </pic:pic>
              </a:graphicData>
            </a:graphic>
          </wp:inline>
        </w:drawing>
      </w:r>
    </w:p>
    <w:p w14:paraId="797077B7" w14:textId="77777777" w:rsidR="00FA135D" w:rsidRDefault="00FA135D">
      <w:pPr>
        <w:rPr>
          <w:rFonts w:ascii="Arial" w:hAnsi="Arial" w:cs="Arial"/>
          <w:i/>
          <w:color w:val="1F497D"/>
          <w:sz w:val="24"/>
          <w:szCs w:val="32"/>
        </w:rPr>
      </w:pPr>
      <w:r>
        <w:br w:type="page"/>
      </w:r>
    </w:p>
    <w:p w14:paraId="68B532A3" w14:textId="11CE9C49" w:rsidR="00085A80" w:rsidRDefault="00085A80" w:rsidP="00274139">
      <w:pPr>
        <w:pStyle w:val="Heading5a"/>
      </w:pPr>
      <w:r>
        <w:lastRenderedPageBreak/>
        <w:t>Step</w:t>
      </w:r>
      <w:r w:rsidR="00F92CCD">
        <w:t xml:space="preserve"> 4: Overlay </w:t>
      </w:r>
      <w:r w:rsidR="00D1165E">
        <w:t>school locations by clicking the “Add Data” tab along the left</w:t>
      </w:r>
      <w:r w:rsidR="00FA135D">
        <w:t xml:space="preserve"> banner, expanding the “Mass G</w:t>
      </w:r>
      <w:r w:rsidR="007C6652">
        <w:t>I</w:t>
      </w:r>
      <w:r w:rsidR="00FA135D">
        <w:t>S Layers” section, and selecting the “Schools PK-12, MassGIS” box</w:t>
      </w:r>
      <w:r w:rsidR="00CB719E">
        <w:t xml:space="preserve"> within the “Education” section</w:t>
      </w:r>
      <w:r w:rsidR="00FA135D">
        <w:t>.</w:t>
      </w:r>
    </w:p>
    <w:p w14:paraId="52142DC4" w14:textId="56ACFF3B" w:rsidR="00FA135D" w:rsidRDefault="00365525" w:rsidP="006D7DE6">
      <w:pPr>
        <w:pStyle w:val="BodyTextFirstIndent"/>
      </w:pPr>
      <w:r w:rsidRPr="00365525">
        <w:rPr>
          <w:noProof/>
        </w:rPr>
        <w:drawing>
          <wp:inline distT="0" distB="0" distL="0" distR="0" wp14:anchorId="45C850D3" wp14:editId="49D031A2">
            <wp:extent cx="5943600" cy="3855720"/>
            <wp:effectExtent l="19050" t="19050" r="19050" b="11430"/>
            <wp:docPr id="794728439" name="Picture 1" descr="Screenshot of Massachusetts Health Data Tool, including a map with tinted purpl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28439" name="Picture 1" descr="Screenshot of Massachusetts Health Data Tool, including a map with tinted purple polygons."/>
                    <pic:cNvPicPr/>
                  </pic:nvPicPr>
                  <pic:blipFill>
                    <a:blip r:embed="rId118"/>
                    <a:stretch>
                      <a:fillRect/>
                    </a:stretch>
                  </pic:blipFill>
                  <pic:spPr>
                    <a:xfrm>
                      <a:off x="0" y="0"/>
                      <a:ext cx="5943600" cy="3855720"/>
                    </a:xfrm>
                    <a:prstGeom prst="rect">
                      <a:avLst/>
                    </a:prstGeom>
                    <a:ln>
                      <a:solidFill>
                        <a:schemeClr val="tx1"/>
                      </a:solidFill>
                    </a:ln>
                  </pic:spPr>
                </pic:pic>
              </a:graphicData>
            </a:graphic>
          </wp:inline>
        </w:drawing>
      </w:r>
    </w:p>
    <w:p w14:paraId="151DCD0F" w14:textId="6D5E6A53" w:rsidR="009752D4" w:rsidRDefault="009752D4" w:rsidP="006D7DE6">
      <w:pPr>
        <w:pStyle w:val="BodyTextFirstIndent"/>
      </w:pPr>
      <w:r>
        <w:t>Users can hover over and click on any of the school icons to identify the school’s name, address, and list of grades served.</w:t>
      </w:r>
    </w:p>
    <w:p w14:paraId="008F5B7E" w14:textId="58C632E4" w:rsidR="009B6DF9" w:rsidRDefault="002D231C" w:rsidP="00E34A72">
      <w:pPr>
        <w:pStyle w:val="Heading5"/>
      </w:pPr>
      <w:r>
        <w:t>Environmental Justice Index</w:t>
      </w:r>
      <w:r w:rsidR="009B6DF9">
        <w:t xml:space="preserve"> – </w:t>
      </w:r>
      <w:r w:rsidR="00F01EE4">
        <w:t>Neighborhood Details</w:t>
      </w:r>
    </w:p>
    <w:p w14:paraId="16B58E99" w14:textId="40221925" w:rsidR="009B6DF9" w:rsidRDefault="009B6DF9" w:rsidP="006D7DE6">
      <w:pPr>
        <w:pStyle w:val="BodyTextFirstIndent"/>
      </w:pPr>
      <w:r>
        <w:t xml:space="preserve">Following are the suggested steps for one particular approach that school districts can take to visualize the intersection of individual schools with </w:t>
      </w:r>
      <w:r w:rsidR="005675A5">
        <w:t xml:space="preserve">census tracts displaying </w:t>
      </w:r>
      <w:r>
        <w:t xml:space="preserve">varying degrees of </w:t>
      </w:r>
      <w:r w:rsidR="00DA77B0">
        <w:t xml:space="preserve">vulnerabilities </w:t>
      </w:r>
      <w:r w:rsidR="009059C8">
        <w:t xml:space="preserve">using data from </w:t>
      </w:r>
      <w:r w:rsidR="001252FC">
        <w:t>the</w:t>
      </w:r>
      <w:r w:rsidR="001F5FD1">
        <w:t xml:space="preserve"> MA Health Data Tool</w:t>
      </w:r>
      <w:r>
        <w:t>.</w:t>
      </w:r>
    </w:p>
    <w:p w14:paraId="4E2C424C" w14:textId="77777777" w:rsidR="009B6DF9" w:rsidRDefault="009B6DF9" w:rsidP="009B6DF9">
      <w:pPr>
        <w:pStyle w:val="Heading5a"/>
      </w:pPr>
      <w:r>
        <w:lastRenderedPageBreak/>
        <w:t xml:space="preserve">Step 1: Select the appropriate community(ies) from the “Community List” in the left column and click the “Data Indicators” button in the bottom right of the screen.  </w:t>
      </w:r>
    </w:p>
    <w:p w14:paraId="12F8443A" w14:textId="77777777" w:rsidR="009B6DF9" w:rsidRDefault="009B6DF9" w:rsidP="006D7DE6">
      <w:pPr>
        <w:pStyle w:val="BodyTextFirstIndent"/>
      </w:pPr>
      <w:r w:rsidRPr="009536BA">
        <w:rPr>
          <w:noProof/>
        </w:rPr>
        <w:drawing>
          <wp:inline distT="0" distB="0" distL="0" distR="0" wp14:anchorId="595E225C" wp14:editId="6BFA65F8">
            <wp:extent cx="5943600" cy="3293110"/>
            <wp:effectExtent l="19050" t="19050" r="19050" b="21590"/>
            <wp:docPr id="672860434"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60434" name="Picture 1" descr="Screenshot of Massachusetts Health Data Tool."/>
                    <pic:cNvPicPr/>
                  </pic:nvPicPr>
                  <pic:blipFill>
                    <a:blip r:embed="rId115"/>
                    <a:stretch>
                      <a:fillRect/>
                    </a:stretch>
                  </pic:blipFill>
                  <pic:spPr>
                    <a:xfrm>
                      <a:off x="0" y="0"/>
                      <a:ext cx="5943600" cy="3293110"/>
                    </a:xfrm>
                    <a:prstGeom prst="rect">
                      <a:avLst/>
                    </a:prstGeom>
                    <a:ln>
                      <a:solidFill>
                        <a:schemeClr val="tx1"/>
                      </a:solidFill>
                    </a:ln>
                  </pic:spPr>
                </pic:pic>
              </a:graphicData>
            </a:graphic>
          </wp:inline>
        </w:drawing>
      </w:r>
    </w:p>
    <w:p w14:paraId="67911008" w14:textId="77777777" w:rsidR="00353302" w:rsidRDefault="00353302">
      <w:pPr>
        <w:rPr>
          <w:rFonts w:ascii="Arial" w:hAnsi="Arial" w:cstheme="minorHAnsi"/>
          <w:sz w:val="24"/>
        </w:rPr>
      </w:pPr>
      <w:r>
        <w:br w:type="page"/>
      </w:r>
    </w:p>
    <w:p w14:paraId="63AA6A12" w14:textId="4BE31CC8" w:rsidR="000A1BD9" w:rsidRDefault="0076087C" w:rsidP="00353302">
      <w:pPr>
        <w:pStyle w:val="Heading5a"/>
      </w:pPr>
      <w:r>
        <w:lastRenderedPageBreak/>
        <w:t xml:space="preserve">Step 2: </w:t>
      </w:r>
      <w:r w:rsidR="00353302" w:rsidRPr="00353302">
        <w:t>Expand the “</w:t>
      </w:r>
      <w:r w:rsidR="00353302">
        <w:t>Built Environment</w:t>
      </w:r>
      <w:r w:rsidR="00353302" w:rsidRPr="00353302">
        <w:t>” section, select the “</w:t>
      </w:r>
      <w:r w:rsidR="00353302">
        <w:t>Environmental Concerns</w:t>
      </w:r>
      <w:r w:rsidR="00353302" w:rsidRPr="00353302">
        <w:t xml:space="preserve"> – </w:t>
      </w:r>
      <w:r w:rsidR="002C6BB6">
        <w:t>Environmental Justice Index – Neighborhood Details</w:t>
      </w:r>
      <w:r w:rsidR="00353302" w:rsidRPr="00353302">
        <w:t>” data indicator, and click the “Reports” button in the bottom right of the screen.</w:t>
      </w:r>
    </w:p>
    <w:p w14:paraId="7F51CB00" w14:textId="0FDB6441" w:rsidR="00353302" w:rsidRDefault="00353302" w:rsidP="006D7DE6">
      <w:pPr>
        <w:pStyle w:val="BodyTextFirstIndent"/>
      </w:pPr>
      <w:r w:rsidRPr="00353302">
        <w:rPr>
          <w:noProof/>
        </w:rPr>
        <w:drawing>
          <wp:inline distT="0" distB="0" distL="0" distR="0" wp14:anchorId="6EA1C456" wp14:editId="302B29FF">
            <wp:extent cx="5943600" cy="6713220"/>
            <wp:effectExtent l="19050" t="19050" r="19050" b="11430"/>
            <wp:docPr id="369287848"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87848" name="Picture 1" descr="Screenshot of Massachusetts Health Data Tool."/>
                    <pic:cNvPicPr/>
                  </pic:nvPicPr>
                  <pic:blipFill>
                    <a:blip r:embed="rId119"/>
                    <a:stretch>
                      <a:fillRect/>
                    </a:stretch>
                  </pic:blipFill>
                  <pic:spPr>
                    <a:xfrm>
                      <a:off x="0" y="0"/>
                      <a:ext cx="5943600" cy="6713220"/>
                    </a:xfrm>
                    <a:prstGeom prst="rect">
                      <a:avLst/>
                    </a:prstGeom>
                    <a:ln>
                      <a:solidFill>
                        <a:schemeClr val="tx1"/>
                      </a:solidFill>
                    </a:ln>
                  </pic:spPr>
                </pic:pic>
              </a:graphicData>
            </a:graphic>
          </wp:inline>
        </w:drawing>
      </w:r>
    </w:p>
    <w:p w14:paraId="4164F3C1" w14:textId="298D6284" w:rsidR="002C6BB6" w:rsidRDefault="002C6BB6">
      <w:pPr>
        <w:rPr>
          <w:rFonts w:ascii="Arial" w:hAnsi="Arial" w:cstheme="minorHAnsi"/>
          <w:sz w:val="24"/>
        </w:rPr>
      </w:pPr>
      <w:r>
        <w:br w:type="page"/>
      </w:r>
    </w:p>
    <w:p w14:paraId="300921F1" w14:textId="76867380" w:rsidR="002C6BB6" w:rsidRDefault="002C6BB6" w:rsidP="00E92551">
      <w:pPr>
        <w:pStyle w:val="Heading5a"/>
      </w:pPr>
      <w:r>
        <w:lastRenderedPageBreak/>
        <w:t>Step 3:</w:t>
      </w:r>
      <w:r w:rsidR="00E92551">
        <w:t xml:space="preserve"> </w:t>
      </w:r>
      <w:r w:rsidR="00E92551" w:rsidRPr="00E92551">
        <w:t>In the “</w:t>
      </w:r>
      <w:r w:rsidR="00AF3730">
        <w:t>Built Environment</w:t>
      </w:r>
      <w:r w:rsidR="00E92551" w:rsidRPr="00E92551">
        <w:t>” section of the Community Health Assessment, click the “View larger map” link beneath the thumbnail image of the map, which will open a new window in the Tool’s Map Room module</w:t>
      </w:r>
      <w:r w:rsidR="00E92551">
        <w:t>.</w:t>
      </w:r>
    </w:p>
    <w:p w14:paraId="5D0FA016" w14:textId="30FAD08B" w:rsidR="00E92551" w:rsidRPr="00EE3314" w:rsidRDefault="00E92551" w:rsidP="006D7DE6">
      <w:pPr>
        <w:pStyle w:val="BodyTextFirstIndent"/>
      </w:pPr>
      <w:r w:rsidRPr="00E92551">
        <w:rPr>
          <w:noProof/>
        </w:rPr>
        <w:drawing>
          <wp:inline distT="0" distB="0" distL="0" distR="0" wp14:anchorId="211F2636" wp14:editId="518B8114">
            <wp:extent cx="5943600" cy="5230495"/>
            <wp:effectExtent l="19050" t="19050" r="19050" b="27305"/>
            <wp:docPr id="1642417033" name="Picture 1" descr="Screenshot of Massachusetts Health Data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17033" name="Picture 1" descr="Screenshot of Massachusetts Health Data Tool."/>
                    <pic:cNvPicPr/>
                  </pic:nvPicPr>
                  <pic:blipFill>
                    <a:blip r:embed="rId120"/>
                    <a:stretch>
                      <a:fillRect/>
                    </a:stretch>
                  </pic:blipFill>
                  <pic:spPr>
                    <a:xfrm>
                      <a:off x="0" y="0"/>
                      <a:ext cx="5943600" cy="5230495"/>
                    </a:xfrm>
                    <a:prstGeom prst="rect">
                      <a:avLst/>
                    </a:prstGeom>
                    <a:ln>
                      <a:solidFill>
                        <a:schemeClr val="tx1"/>
                      </a:solidFill>
                    </a:ln>
                  </pic:spPr>
                </pic:pic>
              </a:graphicData>
            </a:graphic>
          </wp:inline>
        </w:drawing>
      </w:r>
    </w:p>
    <w:p w14:paraId="3503098A" w14:textId="0C0178AC" w:rsidR="00AF3730" w:rsidRDefault="00AF3730">
      <w:pPr>
        <w:rPr>
          <w:rFonts w:ascii="Arial" w:hAnsi="Arial" w:cstheme="minorHAnsi"/>
          <w:sz w:val="24"/>
        </w:rPr>
      </w:pPr>
      <w:r>
        <w:br w:type="page"/>
      </w:r>
    </w:p>
    <w:p w14:paraId="7EF24B0F" w14:textId="1491C33E" w:rsidR="00AF3730" w:rsidRDefault="00AF3730" w:rsidP="00AF3730">
      <w:pPr>
        <w:pStyle w:val="Heading5a"/>
      </w:pPr>
      <w:r>
        <w:lastRenderedPageBreak/>
        <w:t>Step 4: Overlay school locations by clicking the “Add Data” tab along the left banner, expanding the “Mass GIS Layers” section, and selecting the “Schools PK-12, MassGIS” box</w:t>
      </w:r>
      <w:r w:rsidR="00F22798">
        <w:t xml:space="preserve"> within the “Education” section</w:t>
      </w:r>
      <w:r>
        <w:t>.</w:t>
      </w:r>
    </w:p>
    <w:p w14:paraId="07774801" w14:textId="3A78B2B4" w:rsidR="00CB719E" w:rsidRDefault="004E2545" w:rsidP="006D7DE6">
      <w:pPr>
        <w:pStyle w:val="BodyTextFirstIndent"/>
      </w:pPr>
      <w:r w:rsidRPr="004E2545">
        <w:rPr>
          <w:noProof/>
        </w:rPr>
        <w:drawing>
          <wp:inline distT="0" distB="0" distL="0" distR="0" wp14:anchorId="436C6481" wp14:editId="305BC829">
            <wp:extent cx="5943600" cy="4030345"/>
            <wp:effectExtent l="19050" t="19050" r="19050" b="27305"/>
            <wp:docPr id="787466730" name="Picture 1" descr="Screenshot of Massachusetts Health Data Tool, including a map with tinted brown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66730" name="Picture 1" descr="Screenshot of Massachusetts Health Data Tool, including a map with tinted brown polygons."/>
                    <pic:cNvPicPr/>
                  </pic:nvPicPr>
                  <pic:blipFill>
                    <a:blip r:embed="rId121"/>
                    <a:stretch>
                      <a:fillRect/>
                    </a:stretch>
                  </pic:blipFill>
                  <pic:spPr>
                    <a:xfrm>
                      <a:off x="0" y="0"/>
                      <a:ext cx="5943600" cy="4030345"/>
                    </a:xfrm>
                    <a:prstGeom prst="rect">
                      <a:avLst/>
                    </a:prstGeom>
                    <a:ln>
                      <a:solidFill>
                        <a:schemeClr val="tx1"/>
                      </a:solidFill>
                    </a:ln>
                  </pic:spPr>
                </pic:pic>
              </a:graphicData>
            </a:graphic>
          </wp:inline>
        </w:drawing>
      </w:r>
    </w:p>
    <w:p w14:paraId="2F7F14F5" w14:textId="274F31E8" w:rsidR="00F848C2" w:rsidRDefault="00431488" w:rsidP="006D7DE6">
      <w:pPr>
        <w:pStyle w:val="BodyTextFirstIndent"/>
      </w:pPr>
      <w:r>
        <w:t>Users can hover over and click on any of the school icons to identify the school’s name, address, and list of grades served.</w:t>
      </w:r>
    </w:p>
    <w:p w14:paraId="1B1E1856" w14:textId="608CCB1B" w:rsidR="0040055E" w:rsidRDefault="0040055E" w:rsidP="006D7DE6">
      <w:pPr>
        <w:pStyle w:val="BodyTextFirstIndent"/>
      </w:pPr>
      <w:r w:rsidRPr="00926BF3">
        <w:rPr>
          <w:noProof/>
        </w:rPr>
        <mc:AlternateContent>
          <mc:Choice Requires="wps">
            <w:drawing>
              <wp:inline distT="0" distB="0" distL="0" distR="0" wp14:anchorId="1458A626" wp14:editId="120ADCA1">
                <wp:extent cx="5943600" cy="1100667"/>
                <wp:effectExtent l="0" t="0" r="19050" b="23495"/>
                <wp:docPr id="895751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00667"/>
                        </a:xfrm>
                        <a:prstGeom prst="rect">
                          <a:avLst/>
                        </a:prstGeom>
                        <a:solidFill>
                          <a:srgbClr val="DCE6F2"/>
                        </a:solidFill>
                        <a:ln w="9525">
                          <a:solidFill>
                            <a:srgbClr val="000000"/>
                          </a:solidFill>
                          <a:miter lim="800000"/>
                          <a:headEnd/>
                          <a:tailEnd/>
                        </a:ln>
                      </wps:spPr>
                      <wps:txbx>
                        <w:txbxContent>
                          <w:p w14:paraId="15A06641" w14:textId="2849056B" w:rsidR="0040055E" w:rsidRDefault="004417E8" w:rsidP="0040055E">
                            <w:pPr>
                              <w:pStyle w:val="TextBoxTitle"/>
                            </w:pPr>
                            <w:r w:rsidRPr="004417E8">
                              <w:t>Cumulative Impact Analysis</w:t>
                            </w:r>
                            <w:r>
                              <w:t xml:space="preserve"> </w:t>
                            </w:r>
                            <w:r w:rsidR="00E24F13">
                              <w:t xml:space="preserve">Mapping </w:t>
                            </w:r>
                            <w:r>
                              <w:t>Tool</w:t>
                            </w:r>
                          </w:p>
                          <w:p w14:paraId="457F81B6" w14:textId="69C0384C" w:rsidR="0040055E" w:rsidRDefault="0040055E" w:rsidP="0040055E">
                            <w:pPr>
                              <w:pStyle w:val="TextBoxText"/>
                            </w:pPr>
                            <w:r w:rsidRPr="00391B48">
                              <w:t xml:space="preserve">To </w:t>
                            </w:r>
                            <w:r w:rsidR="003D0BA4">
                              <w:t xml:space="preserve">supplement the Massachusetts Health Data Tool, school districts can also utilize MassDEP’s </w:t>
                            </w:r>
                            <w:hyperlink r:id="rId122" w:anchor="cia-guidance-and-tools" w:history="1">
                              <w:r w:rsidR="003D0BA4" w:rsidRPr="007070E7">
                                <w:rPr>
                                  <w:rStyle w:val="Hyperlink"/>
                                </w:rPr>
                                <w:t xml:space="preserve">Cumulative Impact Analysis </w:t>
                              </w:r>
                              <w:r w:rsidR="0062637C">
                                <w:rPr>
                                  <w:rStyle w:val="Hyperlink"/>
                                </w:rPr>
                                <w:t xml:space="preserve">Mapping </w:t>
                              </w:r>
                              <w:r w:rsidR="003D0BA4" w:rsidRPr="007070E7">
                                <w:rPr>
                                  <w:rStyle w:val="Hyperlink"/>
                                </w:rPr>
                                <w:t>Tool</w:t>
                              </w:r>
                            </w:hyperlink>
                            <w:r w:rsidR="007070E7">
                              <w:t xml:space="preserve">, </w:t>
                            </w:r>
                            <w:r w:rsidR="003D0BA4">
                              <w:t xml:space="preserve"> </w:t>
                            </w:r>
                            <w:r w:rsidR="0062637C">
                              <w:t xml:space="preserve">which provides data on environmental justice populations, sensitive receptors, and </w:t>
                            </w:r>
                            <w:r w:rsidR="007C203C">
                              <w:t>MassDEP-</w:t>
                            </w:r>
                            <w:r w:rsidR="0062637C">
                              <w:t>regulated facilities</w:t>
                            </w:r>
                            <w:r w:rsidR="00B6236B">
                              <w:t>.</w:t>
                            </w:r>
                          </w:p>
                        </w:txbxContent>
                      </wps:txbx>
                      <wps:bodyPr rot="0" vert="horz" wrap="square" lIns="91440" tIns="45720" rIns="91440" bIns="45720" anchor="t" anchorCtr="0">
                        <a:noAutofit/>
                      </wps:bodyPr>
                    </wps:wsp>
                  </a:graphicData>
                </a:graphic>
              </wp:inline>
            </w:drawing>
          </mc:Choice>
          <mc:Fallback>
            <w:pict>
              <v:shape w14:anchorId="1458A626" id="_x0000_s1047" type="#_x0000_t202" style="width:468pt;height:8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" fillcolor="#dce6f2">
                <v:textbox>
                  <w:txbxContent>
                    <w:p w14:paraId="15A06641" w14:textId="2849056B" w:rsidR="0040055E" w:rsidRDefault="004417E8" w:rsidP="0040055E">
                      <w:pPr>
                        <w:pStyle w:val="TextBoxTitle"/>
                      </w:pPr>
                      <w:r w:rsidRPr="004417E8">
                        <w:t>Cumulative Impact Analysis</w:t>
                      </w:r>
                      <w:r>
                        <w:t xml:space="preserve"> </w:t>
                      </w:r>
                      <w:r w:rsidR="00E24F13">
                        <w:t xml:space="preserve">Mapping </w:t>
                      </w:r>
                      <w:r>
                        <w:t>Tool</w:t>
                      </w:r>
                    </w:p>
                    <w:p w14:paraId="457F81B6" w14:textId="69C0384C" w:rsidR="0040055E" w:rsidRDefault="0040055E" w:rsidP="0040055E">
                      <w:pPr>
                        <w:pStyle w:val="TextBoxText"/>
                      </w:pPr>
                      <w:r w:rsidRPr="00391B48">
                        <w:t xml:space="preserve">To </w:t>
                      </w:r>
                      <w:r w:rsidR="003D0BA4">
                        <w:t xml:space="preserve">supplement the Massachusetts Health Data Tool, school districts can also utilize MassDEP’s </w:t>
                      </w:r>
                      <w:hyperlink r:id="rId123" w:anchor="cia-guidance-and-tools" w:history="1">
                        <w:r w:rsidR="003D0BA4" w:rsidRPr="007070E7">
                          <w:rPr>
                            <w:rStyle w:val="Hyperlink"/>
                          </w:rPr>
                          <w:t xml:space="preserve">Cumulative Impact Analysis </w:t>
                        </w:r>
                        <w:r w:rsidR="0062637C">
                          <w:rPr>
                            <w:rStyle w:val="Hyperlink"/>
                          </w:rPr>
                          <w:t xml:space="preserve">Mapping </w:t>
                        </w:r>
                        <w:r w:rsidR="003D0BA4" w:rsidRPr="007070E7">
                          <w:rPr>
                            <w:rStyle w:val="Hyperlink"/>
                          </w:rPr>
                          <w:t>Tool</w:t>
                        </w:r>
                      </w:hyperlink>
                      <w:r w:rsidR="007070E7">
                        <w:t xml:space="preserve">, </w:t>
                      </w:r>
                      <w:r w:rsidR="003D0BA4">
                        <w:t xml:space="preserve"> </w:t>
                      </w:r>
                      <w:r w:rsidR="0062637C">
                        <w:t xml:space="preserve">which provides data on environmental justice populations, sensitive receptors, and </w:t>
                      </w:r>
                      <w:r w:rsidR="007C203C">
                        <w:t>MassDEP-</w:t>
                      </w:r>
                      <w:r w:rsidR="0062637C">
                        <w:t>regulated facilities</w:t>
                      </w:r>
                      <w:r w:rsidR="00B6236B">
                        <w:t>.</w:t>
                      </w:r>
                    </w:p>
                  </w:txbxContent>
                </v:textbox>
                <w10:anchorlock/>
              </v:shape>
            </w:pict>
          </mc:Fallback>
        </mc:AlternateContent>
      </w:r>
    </w:p>
    <w:p w14:paraId="360D1B1D" w14:textId="77777777" w:rsidR="004A237C" w:rsidRDefault="004A237C">
      <w:pPr>
        <w:rPr>
          <w:rFonts w:ascii="Arial" w:hAnsi="Arial"/>
          <w:b/>
          <w:bCs/>
          <w:color w:val="FFFFFF" w:themeColor="background1"/>
          <w:sz w:val="28"/>
        </w:rPr>
      </w:pPr>
      <w:r>
        <w:br w:type="page"/>
      </w:r>
    </w:p>
    <w:p w14:paraId="461C15BE" w14:textId="0F4DC862" w:rsidR="00ED5FCF" w:rsidRDefault="00ED5FCF" w:rsidP="00E06AD8">
      <w:pPr>
        <w:pStyle w:val="Heading1NoTOC"/>
      </w:pPr>
      <w:r>
        <w:lastRenderedPageBreak/>
        <w:t>Tier 2 Data Sets</w:t>
      </w:r>
    </w:p>
    <w:p w14:paraId="1E247C5B" w14:textId="77777777" w:rsidR="008A4DA0" w:rsidRDefault="008A4DA0" w:rsidP="008A4DA0">
      <w:pPr>
        <w:pStyle w:val="Heading4"/>
      </w:pPr>
      <w:r>
        <w:t>Environmental Health</w:t>
      </w:r>
    </w:p>
    <w:p w14:paraId="56A42BDD" w14:textId="7979DDA4" w:rsidR="00CD0395" w:rsidRDefault="0E6D9A4F" w:rsidP="006D7DE6">
      <w:pPr>
        <w:pStyle w:val="BodyTextFirstIndent"/>
      </w:pPr>
      <w:r>
        <w:t xml:space="preserve">To supplement the Tier 1 environmental health data, schools with available time and resources should </w:t>
      </w:r>
      <w:r w:rsidR="3BEA19F3">
        <w:t xml:space="preserve">also </w:t>
      </w:r>
      <w:r w:rsidR="5890ABC1">
        <w:t xml:space="preserve">consider evaluating </w:t>
      </w:r>
      <w:r w:rsidR="007C203C">
        <w:t xml:space="preserve">the </w:t>
      </w:r>
      <w:r w:rsidR="2EB678D9">
        <w:t>E</w:t>
      </w:r>
      <w:r w:rsidR="47A3127C">
        <w:t xml:space="preserve">PHT’s </w:t>
      </w:r>
      <w:hyperlink r:id="rId124">
        <w:r w:rsidR="7845A238" w:rsidRPr="62E2E3B4">
          <w:rPr>
            <w:rStyle w:val="Hyperlink"/>
          </w:rPr>
          <w:t xml:space="preserve">blood </w:t>
        </w:r>
        <w:r w:rsidR="47A3127C" w:rsidRPr="62E2E3B4">
          <w:rPr>
            <w:rStyle w:val="Hyperlink"/>
          </w:rPr>
          <w:t xml:space="preserve">lead </w:t>
        </w:r>
        <w:r w:rsidR="7845A238" w:rsidRPr="62E2E3B4">
          <w:rPr>
            <w:rStyle w:val="Hyperlink"/>
          </w:rPr>
          <w:t>level</w:t>
        </w:r>
        <w:r w:rsidR="47A3127C" w:rsidRPr="62E2E3B4">
          <w:rPr>
            <w:rStyle w:val="Hyperlink"/>
          </w:rPr>
          <w:t xml:space="preserve"> data</w:t>
        </w:r>
      </w:hyperlink>
      <w:r w:rsidR="7C81E827">
        <w:t xml:space="preserve">. These additional </w:t>
      </w:r>
      <w:r w:rsidR="16CC1FB9">
        <w:t>environmental health data</w:t>
      </w:r>
      <w:r w:rsidR="7C81E827">
        <w:t xml:space="preserve"> will help school districts better understand the broader community context influencing student health and further prioritize schools having the greatest needs. </w:t>
      </w:r>
    </w:p>
    <w:p w14:paraId="7333982C" w14:textId="5B8107A0" w:rsidR="00CD0395" w:rsidRDefault="006C1497" w:rsidP="006D7DE6">
      <w:pPr>
        <w:pStyle w:val="BodyTextFirstIndent"/>
      </w:pPr>
      <w:r>
        <w:fldChar w:fldCharType="begin"/>
      </w:r>
      <w:r>
        <w:instrText xml:space="preserve"> REF _Ref174003130 \h </w:instrText>
      </w:r>
      <w:r>
        <w:fldChar w:fldCharType="separate"/>
      </w:r>
      <w:r w:rsidR="00307850">
        <w:t xml:space="preserve">Table </w:t>
      </w:r>
      <w:r w:rsidR="00307850">
        <w:rPr>
          <w:noProof/>
        </w:rPr>
        <w:t>41</w:t>
      </w:r>
      <w:r>
        <w:fldChar w:fldCharType="end"/>
      </w:r>
      <w:r w:rsidR="19D4D752">
        <w:t xml:space="preserve"> </w:t>
      </w:r>
      <w:r w:rsidR="7C81E827">
        <w:t xml:space="preserve">outlines notable details and recommendations for the evaluation of </w:t>
      </w:r>
      <w:r w:rsidR="19D4D752">
        <w:t xml:space="preserve">blood lead level </w:t>
      </w:r>
      <w:r w:rsidR="7C81E827">
        <w:t xml:space="preserve">data in </w:t>
      </w:r>
      <w:r w:rsidR="007C203C">
        <w:t xml:space="preserve">the </w:t>
      </w:r>
      <w:r w:rsidR="4B50B78C">
        <w:t>E</w:t>
      </w:r>
      <w:r w:rsidR="19D4D752">
        <w:t xml:space="preserve">PHT </w:t>
      </w:r>
      <w:r w:rsidR="7C81E827">
        <w:t>to assist school districts in identifying schools of greatest need.</w:t>
      </w:r>
    </w:p>
    <w:p w14:paraId="17972976" w14:textId="4B770E08" w:rsidR="008F4BE1" w:rsidRDefault="00CD0395" w:rsidP="00B30C96">
      <w:pPr>
        <w:pStyle w:val="Caption"/>
      </w:pPr>
      <w:bookmarkStart w:id="382" w:name="_Ref174003130"/>
      <w:bookmarkStart w:id="383" w:name="_Toc192711707"/>
      <w:bookmarkStart w:id="384" w:name="_Toc193112589"/>
      <w:bookmarkStart w:id="385" w:name="_Toc193116988"/>
      <w:r>
        <w:t xml:space="preserve">Table </w:t>
      </w:r>
      <w:fldSimple w:instr=" SEQ Table \* ARABIC ">
        <w:r w:rsidR="00307850">
          <w:rPr>
            <w:noProof/>
          </w:rPr>
          <w:t>41</w:t>
        </w:r>
      </w:fldSimple>
      <w:bookmarkEnd w:id="382"/>
      <w:r>
        <w:t xml:space="preserve">. </w:t>
      </w:r>
      <w:r w:rsidR="00C1527B" w:rsidRPr="00030833">
        <w:t>Notable Details</w:t>
      </w:r>
      <w:r w:rsidR="00C1527B">
        <w:t xml:space="preserve"> Supporting the</w:t>
      </w:r>
      <w:r w:rsidR="00C1527B" w:rsidRPr="00030833">
        <w:t xml:space="preserve"> Evaluation of </w:t>
      </w:r>
      <w:r w:rsidR="007C203C">
        <w:t xml:space="preserve">the </w:t>
      </w:r>
      <w:r w:rsidR="00C1527B">
        <w:t>EPHT’s Blood</w:t>
      </w:r>
      <w:r w:rsidR="007C203C">
        <w:t xml:space="preserve"> </w:t>
      </w:r>
      <w:r w:rsidR="00C1527B">
        <w:t>Lead Level Data</w:t>
      </w:r>
      <w:bookmarkEnd w:id="383"/>
      <w:bookmarkEnd w:id="384"/>
      <w:bookmarkEnd w:id="385"/>
    </w:p>
    <w:tbl>
      <w:tblPr>
        <w:tblStyle w:val="TableGrid"/>
        <w:tblW w:w="5000" w:type="pct"/>
        <w:tblLook w:val="04A0" w:firstRow="1" w:lastRow="0" w:firstColumn="1" w:lastColumn="0" w:noHBand="0" w:noVBand="1"/>
        <w:tblDescription w:val="Table providing recommendations on how MSBA should interpret blood lead level data for schools for prioritizing equitable outcomes."/>
      </w:tblPr>
      <w:tblGrid>
        <w:gridCol w:w="2785"/>
        <w:gridCol w:w="4140"/>
        <w:gridCol w:w="2425"/>
      </w:tblGrid>
      <w:tr w:rsidR="0011661D" w14:paraId="2FDFE5F5" w14:textId="77777777" w:rsidTr="00B24A0D">
        <w:trPr>
          <w:tblHeader/>
        </w:trPr>
        <w:tc>
          <w:tcPr>
            <w:tcW w:w="1489" w:type="pct"/>
            <w:shd w:val="clear" w:color="auto" w:fill="C6D9F1" w:themeFill="text2" w:themeFillTint="33"/>
          </w:tcPr>
          <w:p w14:paraId="7590FFAC" w14:textId="77777777" w:rsidR="0011661D" w:rsidRDefault="0011661D" w:rsidP="00BE19B9">
            <w:pPr>
              <w:pStyle w:val="TableColumnHeader"/>
            </w:pPr>
            <w:r>
              <w:t>Data of Interest</w:t>
            </w:r>
          </w:p>
        </w:tc>
        <w:tc>
          <w:tcPr>
            <w:tcW w:w="2214" w:type="pct"/>
            <w:shd w:val="clear" w:color="auto" w:fill="C6D9F1" w:themeFill="text2" w:themeFillTint="33"/>
          </w:tcPr>
          <w:p w14:paraId="56AD57DA" w14:textId="77777777" w:rsidR="0011661D" w:rsidRDefault="0011661D" w:rsidP="00BE19B9">
            <w:pPr>
              <w:pStyle w:val="TableColumnHeader"/>
            </w:pPr>
            <w:r>
              <w:t>Notes/Considerations</w:t>
            </w:r>
          </w:p>
        </w:tc>
        <w:tc>
          <w:tcPr>
            <w:tcW w:w="1297" w:type="pct"/>
            <w:shd w:val="clear" w:color="auto" w:fill="C6D9F1" w:themeFill="text2" w:themeFillTint="33"/>
          </w:tcPr>
          <w:p w14:paraId="53103577" w14:textId="77777777" w:rsidR="0011661D" w:rsidRDefault="0011661D" w:rsidP="00BE19B9">
            <w:pPr>
              <w:pStyle w:val="TableColumnHeader"/>
            </w:pPr>
            <w:r>
              <w:t>Options for Viewing Output</w:t>
            </w:r>
          </w:p>
        </w:tc>
      </w:tr>
      <w:tr w:rsidR="0011661D" w14:paraId="7C614927" w14:textId="77777777" w:rsidTr="00B24A0D">
        <w:tc>
          <w:tcPr>
            <w:tcW w:w="1489" w:type="pct"/>
          </w:tcPr>
          <w:p w14:paraId="3B85A5AC" w14:textId="28A286A4" w:rsidR="0011661D" w:rsidRPr="00944899" w:rsidRDefault="0011661D" w:rsidP="00BE19B9">
            <w:pPr>
              <w:rPr>
                <w:rFonts w:ascii="Arial" w:hAnsi="Arial" w:cs="Calibri"/>
                <w:color w:val="000000"/>
                <w:sz w:val="24"/>
                <w:szCs w:val="20"/>
              </w:rPr>
            </w:pPr>
            <w:r w:rsidRPr="00944899">
              <w:rPr>
                <w:rFonts w:ascii="Arial" w:hAnsi="Arial" w:cs="Calibri"/>
                <w:color w:val="000000"/>
                <w:sz w:val="24"/>
                <w:szCs w:val="20"/>
              </w:rPr>
              <w:t>Blood Lead Levels</w:t>
            </w:r>
            <w:r w:rsidR="007C203C">
              <w:rPr>
                <w:rFonts w:ascii="Arial" w:hAnsi="Arial" w:cs="Calibri"/>
                <w:color w:val="000000"/>
                <w:sz w:val="24"/>
                <w:szCs w:val="20"/>
              </w:rPr>
              <w:t>—</w:t>
            </w:r>
            <w:r w:rsidRPr="00944899">
              <w:rPr>
                <w:rFonts w:ascii="Arial" w:hAnsi="Arial" w:cs="Calibri"/>
                <w:color w:val="000000"/>
                <w:sz w:val="24"/>
                <w:szCs w:val="20"/>
              </w:rPr>
              <w:t xml:space="preserve"> Estimated Confirmed ≥5µg/dL (Elevated)</w:t>
            </w:r>
          </w:p>
        </w:tc>
        <w:tc>
          <w:tcPr>
            <w:tcW w:w="2214" w:type="pct"/>
          </w:tcPr>
          <w:p w14:paraId="4E4A2977" w14:textId="77777777" w:rsidR="003571DA" w:rsidRDefault="003571DA" w:rsidP="00167E15">
            <w:pPr>
              <w:pStyle w:val="TableBullet1"/>
            </w:pPr>
            <w:r>
              <w:t xml:space="preserve">Data not available at school-level (only available by census tract); requires users to associate school locations with census tracts </w:t>
            </w:r>
          </w:p>
          <w:p w14:paraId="0E2597BF" w14:textId="472A6AA2" w:rsidR="003571DA" w:rsidRDefault="003571DA" w:rsidP="00167E15">
            <w:pPr>
              <w:pStyle w:val="TableBullet1"/>
            </w:pPr>
            <w:r>
              <w:t>10 years of data currently available</w:t>
            </w:r>
          </w:p>
          <w:p w14:paraId="0C2CF895" w14:textId="533B21E0" w:rsidR="0011661D" w:rsidRDefault="003571DA" w:rsidP="00167E15">
            <w:pPr>
              <w:pStyle w:val="TableBullet1"/>
            </w:pPr>
            <w:r>
              <w:t>Numerous means of viewing output</w:t>
            </w:r>
          </w:p>
        </w:tc>
        <w:tc>
          <w:tcPr>
            <w:tcW w:w="1297" w:type="pct"/>
          </w:tcPr>
          <w:p w14:paraId="3449254D" w14:textId="77777777" w:rsidR="0011661D" w:rsidRDefault="0011661D" w:rsidP="00167E15">
            <w:pPr>
              <w:pStyle w:val="TableBullet1"/>
            </w:pPr>
            <w:r>
              <w:t>Map view</w:t>
            </w:r>
          </w:p>
          <w:p w14:paraId="7528C526" w14:textId="77777777" w:rsidR="0011661D" w:rsidRDefault="0011661D" w:rsidP="00167E15">
            <w:pPr>
              <w:pStyle w:val="TableBullet1"/>
            </w:pPr>
            <w:r>
              <w:t>Table view</w:t>
            </w:r>
          </w:p>
          <w:p w14:paraId="47B4C11D" w14:textId="77777777" w:rsidR="0011661D" w:rsidRDefault="0011661D" w:rsidP="00167E15">
            <w:pPr>
              <w:pStyle w:val="TableBullet1"/>
            </w:pPr>
            <w:r>
              <w:t>Raw data export</w:t>
            </w:r>
          </w:p>
        </w:tc>
      </w:tr>
      <w:tr w:rsidR="0011661D" w14:paraId="76C65983" w14:textId="77777777" w:rsidTr="00B24A0D">
        <w:tc>
          <w:tcPr>
            <w:tcW w:w="1489" w:type="pct"/>
          </w:tcPr>
          <w:p w14:paraId="793A9895" w14:textId="1FDBF071" w:rsidR="0011661D" w:rsidRDefault="0011661D" w:rsidP="00BE19B9">
            <w:pPr>
              <w:rPr>
                <w:rFonts w:ascii="Arial" w:hAnsi="Arial" w:cs="Calibri"/>
                <w:color w:val="000000"/>
                <w:sz w:val="24"/>
                <w:szCs w:val="20"/>
              </w:rPr>
            </w:pPr>
            <w:r w:rsidRPr="0011661D">
              <w:rPr>
                <w:rFonts w:ascii="Arial" w:hAnsi="Arial" w:cs="Calibri"/>
                <w:color w:val="000000"/>
                <w:sz w:val="24"/>
                <w:szCs w:val="20"/>
              </w:rPr>
              <w:t>Blood Lead Levels</w:t>
            </w:r>
            <w:r w:rsidR="007C203C">
              <w:rPr>
                <w:rFonts w:ascii="Arial" w:hAnsi="Arial" w:cs="Calibri"/>
                <w:color w:val="000000"/>
                <w:sz w:val="24"/>
                <w:szCs w:val="20"/>
              </w:rPr>
              <w:t>—</w:t>
            </w:r>
            <w:r w:rsidRPr="0011661D">
              <w:rPr>
                <w:rFonts w:ascii="Arial" w:hAnsi="Arial" w:cs="Calibri"/>
                <w:color w:val="000000"/>
                <w:sz w:val="24"/>
                <w:szCs w:val="20"/>
              </w:rPr>
              <w:t xml:space="preserve"> Confirmed ≥10µg/dL (Poisoned)</w:t>
            </w:r>
          </w:p>
        </w:tc>
        <w:tc>
          <w:tcPr>
            <w:tcW w:w="2214" w:type="pct"/>
          </w:tcPr>
          <w:p w14:paraId="2D0286A5" w14:textId="77777777" w:rsidR="003571DA" w:rsidRPr="001304DB" w:rsidRDefault="003571DA" w:rsidP="00167E15">
            <w:pPr>
              <w:pStyle w:val="TableBullet1"/>
            </w:pPr>
            <w:r w:rsidRPr="001304DB">
              <w:t xml:space="preserve">Data not available at school-level (only available by census tract); requires users to associate school locations with census tracts </w:t>
            </w:r>
          </w:p>
          <w:p w14:paraId="54F43F62" w14:textId="69DEE622" w:rsidR="003571DA" w:rsidRDefault="003571DA" w:rsidP="00167E15">
            <w:pPr>
              <w:pStyle w:val="TableBullet1"/>
            </w:pPr>
            <w:r>
              <w:t>20 years of data currently available</w:t>
            </w:r>
          </w:p>
          <w:p w14:paraId="39306B78" w14:textId="77777777" w:rsidR="003571DA" w:rsidRDefault="003571DA" w:rsidP="00167E15">
            <w:pPr>
              <w:pStyle w:val="TableBullet1"/>
            </w:pPr>
            <w:r>
              <w:t>Numerous means of viewing output</w:t>
            </w:r>
          </w:p>
          <w:p w14:paraId="57FC76FA" w14:textId="11979E68" w:rsidR="0011661D" w:rsidRDefault="003571DA" w:rsidP="00167E15">
            <w:pPr>
              <w:pStyle w:val="TableBullet1"/>
            </w:pPr>
            <w:r>
              <w:t>Enables users to identify and further differentiate census tracts with evidence of more significant health issues related to lead poisoning (beyond elevated blood lead levels)</w:t>
            </w:r>
          </w:p>
        </w:tc>
        <w:tc>
          <w:tcPr>
            <w:tcW w:w="1297" w:type="pct"/>
          </w:tcPr>
          <w:p w14:paraId="57C5F04D" w14:textId="77777777" w:rsidR="00B24A0D" w:rsidRDefault="00B24A0D" w:rsidP="00167E15">
            <w:pPr>
              <w:pStyle w:val="TableBullet1"/>
            </w:pPr>
            <w:r>
              <w:t>Map view</w:t>
            </w:r>
          </w:p>
          <w:p w14:paraId="5FA0A8F1" w14:textId="77777777" w:rsidR="00B24A0D" w:rsidRDefault="00B24A0D" w:rsidP="00167E15">
            <w:pPr>
              <w:pStyle w:val="TableBullet1"/>
            </w:pPr>
            <w:r>
              <w:t>Table view</w:t>
            </w:r>
          </w:p>
          <w:p w14:paraId="0B6D2F90" w14:textId="317DFFC4" w:rsidR="0011661D" w:rsidRDefault="00B24A0D" w:rsidP="00167E15">
            <w:pPr>
              <w:pStyle w:val="TableBullet1"/>
            </w:pPr>
            <w:r>
              <w:t>Raw data export</w:t>
            </w:r>
          </w:p>
        </w:tc>
      </w:tr>
    </w:tbl>
    <w:p w14:paraId="6670A954" w14:textId="0F5E2B1E" w:rsidR="00B37F49" w:rsidRDefault="009834EE" w:rsidP="006D7DE6">
      <w:pPr>
        <w:pStyle w:val="BodyTextFirstIndent"/>
      </w:pPr>
      <w:r>
        <w:fldChar w:fldCharType="begin"/>
      </w:r>
      <w:r>
        <w:instrText xml:space="preserve"> REF _Ref174004020 \h </w:instrText>
      </w:r>
      <w:r>
        <w:fldChar w:fldCharType="separate"/>
      </w:r>
      <w:r w:rsidR="00307850">
        <w:t xml:space="preserve">Figure </w:t>
      </w:r>
      <w:r w:rsidR="00307850">
        <w:rPr>
          <w:noProof/>
        </w:rPr>
        <w:t>22</w:t>
      </w:r>
      <w:r>
        <w:fldChar w:fldCharType="end"/>
      </w:r>
      <w:r>
        <w:t xml:space="preserve"> </w:t>
      </w:r>
      <w:r w:rsidR="00B37F49">
        <w:t xml:space="preserve">presents a screenshot of the EPHT module in which users input their query parameters to view </w:t>
      </w:r>
      <w:r>
        <w:t>blood lead level</w:t>
      </w:r>
      <w:r w:rsidR="00B37F49">
        <w:t xml:space="preserve"> data. DPH suggests school districts structure the query to capture </w:t>
      </w:r>
      <w:r w:rsidR="00275D00">
        <w:t>multiple</w:t>
      </w:r>
      <w:r w:rsidR="00B37F49">
        <w:t xml:space="preserve"> years of data.</w:t>
      </w:r>
    </w:p>
    <w:p w14:paraId="0B1CEBD6" w14:textId="03EBA658" w:rsidR="00B37F49" w:rsidRDefault="00B37F49" w:rsidP="00B30C96">
      <w:pPr>
        <w:pStyle w:val="Caption"/>
      </w:pPr>
      <w:bookmarkStart w:id="386" w:name="_Ref174004020"/>
      <w:bookmarkStart w:id="387" w:name="_Toc193112309"/>
      <w:bookmarkStart w:id="388" w:name="_Toc193117066"/>
      <w:r>
        <w:lastRenderedPageBreak/>
        <w:t xml:space="preserve">Figure </w:t>
      </w:r>
      <w:fldSimple w:instr=" SEQ Figure \* ARABIC ">
        <w:r w:rsidR="00307850">
          <w:rPr>
            <w:noProof/>
          </w:rPr>
          <w:t>22</w:t>
        </w:r>
      </w:fldSimple>
      <w:bookmarkEnd w:id="386"/>
      <w:r>
        <w:t xml:space="preserve">. EPHT Query Parameters for </w:t>
      </w:r>
      <w:r w:rsidR="000770F0">
        <w:t>Blood Lead Level Data</w:t>
      </w:r>
      <w:bookmarkEnd w:id="387"/>
      <w:bookmarkEnd w:id="388"/>
      <w:r>
        <w:t xml:space="preserve"> </w:t>
      </w:r>
    </w:p>
    <w:p w14:paraId="6F902EEE" w14:textId="5036C032" w:rsidR="00B37F49" w:rsidRDefault="003B3961" w:rsidP="006D7DE6">
      <w:pPr>
        <w:pStyle w:val="BodyTextFirstIndent"/>
      </w:pPr>
      <w:r w:rsidRPr="003B3961">
        <w:rPr>
          <w:noProof/>
        </w:rPr>
        <w:drawing>
          <wp:inline distT="0" distB="0" distL="0" distR="0" wp14:anchorId="5F781860" wp14:editId="421523FE">
            <wp:extent cx="5943600" cy="4014470"/>
            <wp:effectExtent l="19050" t="19050" r="19050" b="24130"/>
            <wp:docPr id="1434504958" name="Picture 1" descr="Screenshot of web browser data base with a pre-populated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04958" name="Picture 1" descr="Screenshot of web browser data base with a pre-populated query."/>
                    <pic:cNvPicPr/>
                  </pic:nvPicPr>
                  <pic:blipFill>
                    <a:blip r:embed="rId125"/>
                    <a:stretch>
                      <a:fillRect/>
                    </a:stretch>
                  </pic:blipFill>
                  <pic:spPr>
                    <a:xfrm>
                      <a:off x="0" y="0"/>
                      <a:ext cx="5943600" cy="4014470"/>
                    </a:xfrm>
                    <a:prstGeom prst="rect">
                      <a:avLst/>
                    </a:prstGeom>
                    <a:ln>
                      <a:solidFill>
                        <a:schemeClr val="tx1"/>
                      </a:solidFill>
                    </a:ln>
                  </pic:spPr>
                </pic:pic>
              </a:graphicData>
            </a:graphic>
          </wp:inline>
        </w:drawing>
      </w:r>
    </w:p>
    <w:p w14:paraId="09655787" w14:textId="077CADCB" w:rsidR="00B37F49" w:rsidRDefault="00AE7BD3" w:rsidP="006D7DE6">
      <w:pPr>
        <w:pStyle w:val="BodyTextFirstIndent"/>
      </w:pPr>
      <w:r>
        <w:fldChar w:fldCharType="begin"/>
      </w:r>
      <w:r>
        <w:instrText xml:space="preserve"> REF _Ref174004225 \h </w:instrText>
      </w:r>
      <w:r>
        <w:fldChar w:fldCharType="separate"/>
      </w:r>
      <w:r w:rsidR="00307850">
        <w:t xml:space="preserve">Figure </w:t>
      </w:r>
      <w:r w:rsidR="00307850">
        <w:rPr>
          <w:noProof/>
        </w:rPr>
        <w:t>23</w:t>
      </w:r>
      <w:r>
        <w:fldChar w:fldCharType="end"/>
      </w:r>
      <w:r>
        <w:t xml:space="preserve"> </w:t>
      </w:r>
      <w:r w:rsidR="00B37F49" w:rsidRPr="006C7614">
        <w:t xml:space="preserve">illustrates a sample screenshot of </w:t>
      </w:r>
      <w:r w:rsidR="007C203C">
        <w:t xml:space="preserve">the </w:t>
      </w:r>
      <w:r w:rsidR="00B37F49" w:rsidRPr="006C7614">
        <w:t xml:space="preserve">EPHT’s </w:t>
      </w:r>
      <w:r w:rsidR="00B37F49">
        <w:t>map</w:t>
      </w:r>
      <w:r w:rsidR="00B37F49" w:rsidRPr="006C7614">
        <w:t xml:space="preserve"> view output of </w:t>
      </w:r>
      <w:r w:rsidR="002249F1">
        <w:t>blood lead level</w:t>
      </w:r>
      <w:r w:rsidR="00B37F49" w:rsidRPr="006C7614">
        <w:t xml:space="preserve"> data.</w:t>
      </w:r>
      <w:r w:rsidR="00B37F49">
        <w:t xml:space="preserve"> This view presents </w:t>
      </w:r>
      <w:r w:rsidR="0090258C">
        <w:t xml:space="preserve">the prevalence of blood lead levels </w:t>
      </w:r>
      <w:r w:rsidR="001D61B4">
        <w:t>at the</w:t>
      </w:r>
      <w:r w:rsidR="0090258C">
        <w:t xml:space="preserve"> selected </w:t>
      </w:r>
      <w:r w:rsidR="001D61B4">
        <w:t>threshold</w:t>
      </w:r>
      <w:r w:rsidR="0090258C">
        <w:t xml:space="preserve"> by census tract</w:t>
      </w:r>
      <w:r w:rsidR="00823513">
        <w:t>. Census tracts with a red arrowhead point</w:t>
      </w:r>
      <w:r w:rsidR="00A41AE8">
        <w:t>ing</w:t>
      </w:r>
      <w:r w:rsidR="00823513">
        <w:t xml:space="preserve"> upwar</w:t>
      </w:r>
      <w:r w:rsidR="00205A88">
        <w:t>d</w:t>
      </w:r>
      <w:r w:rsidR="00823513">
        <w:t xml:space="preserve"> </w:t>
      </w:r>
      <w:r w:rsidR="00434C4B">
        <w:t>indicate</w:t>
      </w:r>
      <w:r w:rsidR="00A41AE8">
        <w:t xml:space="preserve"> observed blood lead levels that are statistically significantly higher than the </w:t>
      </w:r>
      <w:r w:rsidR="00BD48A4">
        <w:t xml:space="preserve">aggregated </w:t>
      </w:r>
      <w:r w:rsidR="00A41AE8">
        <w:t>state</w:t>
      </w:r>
      <w:r w:rsidR="00BD48A4">
        <w:t>wide</w:t>
      </w:r>
      <w:r w:rsidR="00A41AE8">
        <w:t xml:space="preserve"> </w:t>
      </w:r>
      <w:r w:rsidR="00BD48A4">
        <w:t>prevalence</w:t>
      </w:r>
      <w:r w:rsidR="00A41AE8">
        <w:t xml:space="preserve">. </w:t>
      </w:r>
      <w:r w:rsidR="00205A88">
        <w:t>This map</w:t>
      </w:r>
      <w:r w:rsidR="00B37F49" w:rsidRPr="00E70002">
        <w:t xml:space="preserve"> enables users to quickly </w:t>
      </w:r>
      <w:r w:rsidR="00205A88">
        <w:t>identify portions of a community wit</w:t>
      </w:r>
      <w:r w:rsidR="00B37F49" w:rsidRPr="00E70002">
        <w:t xml:space="preserve">h higher </w:t>
      </w:r>
      <w:r w:rsidR="00E945E0">
        <w:t xml:space="preserve">prevalence of elevated or poisoned </w:t>
      </w:r>
      <w:r w:rsidR="00205A88">
        <w:t>blood lead level</w:t>
      </w:r>
      <w:r w:rsidR="00E945E0">
        <w:t>s</w:t>
      </w:r>
      <w:r w:rsidR="00B37F49">
        <w:t xml:space="preserve">. </w:t>
      </w:r>
    </w:p>
    <w:p w14:paraId="0FDB7B49" w14:textId="3E4F72A1" w:rsidR="00B37F49" w:rsidRDefault="00B37F49" w:rsidP="00B30C96">
      <w:pPr>
        <w:pStyle w:val="Caption"/>
      </w:pPr>
      <w:bookmarkStart w:id="389" w:name="_Ref174004225"/>
      <w:bookmarkStart w:id="390" w:name="_Toc193112310"/>
      <w:bookmarkStart w:id="391" w:name="_Toc193117067"/>
      <w:r>
        <w:lastRenderedPageBreak/>
        <w:t xml:space="preserve">Figure </w:t>
      </w:r>
      <w:fldSimple w:instr=" SEQ Figure \* ARABIC ">
        <w:r w:rsidR="00307850">
          <w:rPr>
            <w:noProof/>
          </w:rPr>
          <w:t>23</w:t>
        </w:r>
      </w:fldSimple>
      <w:bookmarkEnd w:id="389"/>
      <w:r>
        <w:t xml:space="preserve">. EPHT’s Map View Output of </w:t>
      </w:r>
      <w:r w:rsidR="00AE7BD3">
        <w:t>Blood Lead Level</w:t>
      </w:r>
      <w:r>
        <w:t xml:space="preserve"> Data</w:t>
      </w:r>
      <w:bookmarkEnd w:id="390"/>
      <w:bookmarkEnd w:id="391"/>
    </w:p>
    <w:p w14:paraId="72155D8F" w14:textId="36E467C3" w:rsidR="00B37F49" w:rsidRDefault="00F52267" w:rsidP="006D7DE6">
      <w:pPr>
        <w:pStyle w:val="BodyTextFirstIndent"/>
      </w:pPr>
      <w:r w:rsidRPr="00F52267">
        <w:rPr>
          <w:noProof/>
        </w:rPr>
        <w:drawing>
          <wp:inline distT="0" distB="0" distL="0" distR="0" wp14:anchorId="736D7CB4" wp14:editId="5B3BF6B5">
            <wp:extent cx="5943600" cy="3422650"/>
            <wp:effectExtent l="19050" t="19050" r="19050" b="25400"/>
            <wp:docPr id="1279381938" name="Picture 1" descr="Screenshot of map showcasing the distribution of blood lead level, with dark blue representing higher levels, and white representing lower levels. Regions with statistically significantly elevated levels of blood lead are marked with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81938" name="Picture 1" descr="Screenshot of map showcasing the distribution of blood lead level, with dark blue representing higher levels, and white representing lower levels. Regions with statistically significantly elevated levels of blood lead are marked with a red arrow."/>
                    <pic:cNvPicPr/>
                  </pic:nvPicPr>
                  <pic:blipFill>
                    <a:blip r:embed="rId126"/>
                    <a:stretch>
                      <a:fillRect/>
                    </a:stretch>
                  </pic:blipFill>
                  <pic:spPr>
                    <a:xfrm>
                      <a:off x="0" y="0"/>
                      <a:ext cx="5943600" cy="3422650"/>
                    </a:xfrm>
                    <a:prstGeom prst="rect">
                      <a:avLst/>
                    </a:prstGeom>
                    <a:ln>
                      <a:solidFill>
                        <a:schemeClr val="tx1"/>
                      </a:solidFill>
                    </a:ln>
                  </pic:spPr>
                </pic:pic>
              </a:graphicData>
            </a:graphic>
          </wp:inline>
        </w:drawing>
      </w:r>
    </w:p>
    <w:p w14:paraId="38B32013" w14:textId="0C7D1380" w:rsidR="00B37F49" w:rsidRDefault="00CF153D" w:rsidP="006D7DE6">
      <w:pPr>
        <w:pStyle w:val="BodyTextFirstIndent"/>
      </w:pPr>
      <w:r>
        <w:fldChar w:fldCharType="begin"/>
      </w:r>
      <w:r>
        <w:instrText xml:space="preserve"> REF _Ref174004631 \h </w:instrText>
      </w:r>
      <w:r>
        <w:fldChar w:fldCharType="separate"/>
      </w:r>
      <w:r w:rsidR="00307850">
        <w:t xml:space="preserve">Figure </w:t>
      </w:r>
      <w:r w:rsidR="00307850">
        <w:rPr>
          <w:noProof/>
        </w:rPr>
        <w:t>24</w:t>
      </w:r>
      <w:r>
        <w:fldChar w:fldCharType="end"/>
      </w:r>
      <w:r>
        <w:t xml:space="preserve"> </w:t>
      </w:r>
      <w:r w:rsidR="00B37F49">
        <w:t xml:space="preserve">illustrates a sample screenshot of </w:t>
      </w:r>
      <w:r w:rsidR="007C203C">
        <w:t xml:space="preserve">the </w:t>
      </w:r>
      <w:r w:rsidR="00B37F49">
        <w:t xml:space="preserve">EPHT’s table view output of </w:t>
      </w:r>
      <w:r>
        <w:t>blood lead level</w:t>
      </w:r>
      <w:r w:rsidR="00B37F49">
        <w:t xml:space="preserve"> data. This output presents annual data for each </w:t>
      </w:r>
      <w:r w:rsidR="00B277D1">
        <w:t>census tract</w:t>
      </w:r>
      <w:r w:rsidR="00B37F49">
        <w:t xml:space="preserve"> in the selected community, as well as aggregated </w:t>
      </w:r>
      <w:r w:rsidR="00723316">
        <w:t>statewide</w:t>
      </w:r>
      <w:r w:rsidR="00B37F49">
        <w:t xml:space="preserve"> data at the very bottom of the screen.</w:t>
      </w:r>
    </w:p>
    <w:p w14:paraId="4AE24CBF" w14:textId="311EC78C" w:rsidR="00B37F49" w:rsidRDefault="00B37F49" w:rsidP="00B30C96">
      <w:pPr>
        <w:pStyle w:val="Caption"/>
      </w:pPr>
      <w:bookmarkStart w:id="392" w:name="_Ref174004631"/>
      <w:bookmarkStart w:id="393" w:name="_Toc193112311"/>
      <w:bookmarkStart w:id="394" w:name="_Toc193117068"/>
      <w:r>
        <w:lastRenderedPageBreak/>
        <w:t xml:space="preserve">Figure </w:t>
      </w:r>
      <w:fldSimple w:instr=" SEQ Figure \* ARABIC ">
        <w:r w:rsidR="00307850">
          <w:rPr>
            <w:noProof/>
          </w:rPr>
          <w:t>24</w:t>
        </w:r>
      </w:fldSimple>
      <w:bookmarkEnd w:id="392"/>
      <w:r>
        <w:t xml:space="preserve">. EPHT’s Table View Output of </w:t>
      </w:r>
      <w:r w:rsidR="0081631F">
        <w:t>Blood Lead Level</w:t>
      </w:r>
      <w:r>
        <w:t xml:space="preserve"> Data</w:t>
      </w:r>
      <w:bookmarkEnd w:id="393"/>
      <w:bookmarkEnd w:id="394"/>
    </w:p>
    <w:p w14:paraId="66A71F0A" w14:textId="574E18A1" w:rsidR="00B37F49" w:rsidRDefault="004A348B" w:rsidP="006D7DE6">
      <w:pPr>
        <w:pStyle w:val="BodyTextFirstIndent"/>
      </w:pPr>
      <w:r>
        <w:rPr>
          <w:noProof/>
        </w:rPr>
        <w:drawing>
          <wp:inline distT="0" distB="0" distL="0" distR="0" wp14:anchorId="6A13B5EC" wp14:editId="45C65B99">
            <wp:extent cx="5658928" cy="6426679"/>
            <wp:effectExtent l="19050" t="19050" r="18415" b="12700"/>
            <wp:docPr id="1138917823" name="Picture 30" descr="Screenshot of the Massachusetts Environmental Public Health Tracking website with a series of tables and a large yellow arrow indicating that the state-wide data are at the very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17823" name="Picture 30" descr="Screenshot of the Massachusetts Environmental Public Health Tracking website with a series of tables and a large yellow arrow indicating that the state-wide data are at the very bottom."/>
                    <pic:cNvPicPr/>
                  </pic:nvPicPr>
                  <pic:blipFill rotWithShape="1">
                    <a:blip r:embed="rId127">
                      <a:extLst>
                        <a:ext uri="{28A0092B-C50C-407E-A947-70E740481C1C}">
                          <a14:useLocalDpi xmlns:a14="http://schemas.microsoft.com/office/drawing/2010/main" val="0"/>
                        </a:ext>
                      </a:extLst>
                    </a:blip>
                    <a:srcRect l="3339" t="2355" r="1435" b="14078"/>
                    <a:stretch/>
                  </pic:blipFill>
                  <pic:spPr bwMode="auto">
                    <a:xfrm>
                      <a:off x="0" y="0"/>
                      <a:ext cx="5659884" cy="64277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D52E63" w14:textId="11F42180" w:rsidR="00B37F49" w:rsidRDefault="00716C6D" w:rsidP="006D7DE6">
      <w:pPr>
        <w:pStyle w:val="BodyTextFirstIndent"/>
      </w:pPr>
      <w:r>
        <w:fldChar w:fldCharType="begin"/>
      </w:r>
      <w:r>
        <w:instrText xml:space="preserve"> REF _Ref174005453 \h </w:instrText>
      </w:r>
      <w:r>
        <w:fldChar w:fldCharType="separate"/>
      </w:r>
      <w:r w:rsidR="00307850">
        <w:t xml:space="preserve">Figure </w:t>
      </w:r>
      <w:r w:rsidR="00307850">
        <w:rPr>
          <w:noProof/>
        </w:rPr>
        <w:t>25</w:t>
      </w:r>
      <w:r>
        <w:fldChar w:fldCharType="end"/>
      </w:r>
      <w:r>
        <w:t xml:space="preserve"> </w:t>
      </w:r>
      <w:r w:rsidR="00B37F49">
        <w:t xml:space="preserve">presents a screenshot of a sample of </w:t>
      </w:r>
      <w:r w:rsidR="00E94DE7">
        <w:t xml:space="preserve">exported </w:t>
      </w:r>
      <w:r>
        <w:t>blood lead level</w:t>
      </w:r>
      <w:r w:rsidR="00B37F49">
        <w:t xml:space="preserve"> data </w:t>
      </w:r>
      <w:r w:rsidR="00E94DE7">
        <w:t xml:space="preserve">imported </w:t>
      </w:r>
      <w:r w:rsidR="00B37F49">
        <w:t>into a CSV file, enabling users to perform additional custom analysis.</w:t>
      </w:r>
    </w:p>
    <w:p w14:paraId="4D617071" w14:textId="1A7F718E" w:rsidR="00B37F49" w:rsidRDefault="00B37F49" w:rsidP="00B30C96">
      <w:pPr>
        <w:pStyle w:val="Caption"/>
      </w:pPr>
      <w:bookmarkStart w:id="395" w:name="_Ref174005453"/>
      <w:bookmarkStart w:id="396" w:name="_Toc193112312"/>
      <w:bookmarkStart w:id="397" w:name="_Toc193117069"/>
      <w:r>
        <w:lastRenderedPageBreak/>
        <w:t xml:space="preserve">Figure </w:t>
      </w:r>
      <w:fldSimple w:instr=" SEQ Figure \* ARABIC ">
        <w:r w:rsidR="00307850">
          <w:rPr>
            <w:noProof/>
          </w:rPr>
          <w:t>25</w:t>
        </w:r>
      </w:fldSimple>
      <w:bookmarkEnd w:id="395"/>
      <w:r>
        <w:t xml:space="preserve">. Screenshot of Sample Export of </w:t>
      </w:r>
      <w:r w:rsidR="00AF691B">
        <w:t>Blood Lead Level</w:t>
      </w:r>
      <w:r>
        <w:t xml:space="preserve"> Data from EPHT</w:t>
      </w:r>
      <w:bookmarkEnd w:id="396"/>
      <w:bookmarkEnd w:id="397"/>
    </w:p>
    <w:p w14:paraId="2E238F25" w14:textId="1158A5A7" w:rsidR="00B37F49" w:rsidRDefault="00AF691B" w:rsidP="006D7DE6">
      <w:pPr>
        <w:pStyle w:val="BodyTextFirstIndent"/>
      </w:pPr>
      <w:r w:rsidRPr="00AF691B">
        <w:rPr>
          <w:noProof/>
        </w:rPr>
        <w:drawing>
          <wp:inline distT="0" distB="0" distL="0" distR="0" wp14:anchorId="10D7C1ED" wp14:editId="061A4614">
            <wp:extent cx="5943600" cy="1679575"/>
            <wp:effectExtent l="19050" t="19050" r="19050" b="15875"/>
            <wp:docPr id="325366331" name="Picture 1" descr="Screenshot of basic black-and-white data export of blood lead leve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66331" name="Picture 1" descr="Screenshot of basic black-and-white data export of blood lead level data."/>
                    <pic:cNvPicPr/>
                  </pic:nvPicPr>
                  <pic:blipFill>
                    <a:blip r:embed="rId128"/>
                    <a:stretch>
                      <a:fillRect/>
                    </a:stretch>
                  </pic:blipFill>
                  <pic:spPr>
                    <a:xfrm>
                      <a:off x="0" y="0"/>
                      <a:ext cx="5943600" cy="1679575"/>
                    </a:xfrm>
                    <a:prstGeom prst="rect">
                      <a:avLst/>
                    </a:prstGeom>
                    <a:ln>
                      <a:solidFill>
                        <a:schemeClr val="tx1"/>
                      </a:solidFill>
                    </a:ln>
                  </pic:spPr>
                </pic:pic>
              </a:graphicData>
            </a:graphic>
          </wp:inline>
        </w:drawing>
      </w:r>
    </w:p>
    <w:p w14:paraId="51D94834" w14:textId="5ADC0342" w:rsidR="000D71E7" w:rsidRDefault="003672BF" w:rsidP="003672BF">
      <w:pPr>
        <w:pStyle w:val="Heading4"/>
      </w:pPr>
      <w:r>
        <w:t>Learning Environment and Outcomes</w:t>
      </w:r>
    </w:p>
    <w:p w14:paraId="36548328" w14:textId="23FB6DC2" w:rsidR="00431ED9" w:rsidRDefault="006D6B35" w:rsidP="006D7DE6">
      <w:pPr>
        <w:pStyle w:val="BodyTextFirstIndent"/>
      </w:pPr>
      <w:r>
        <w:t xml:space="preserve">To supplement the Tier 1 learning environment and outcomes data, schools with available time and resources should also </w:t>
      </w:r>
      <w:r w:rsidRPr="00A52349">
        <w:t xml:space="preserve">consider evaluating </w:t>
      </w:r>
      <w:r w:rsidR="00EA2FB1">
        <w:t>the following two DESE School and District Profile</w:t>
      </w:r>
      <w:r w:rsidR="00DC097B">
        <w:t xml:space="preserve"> Reports</w:t>
      </w:r>
      <w:r w:rsidR="00431ED9" w:rsidRPr="00431ED9">
        <w:t xml:space="preserve"> </w:t>
      </w:r>
      <w:r w:rsidR="00431ED9" w:rsidRPr="00211503">
        <w:t xml:space="preserve">to evaluate </w:t>
      </w:r>
      <w:r w:rsidR="00431ED9">
        <w:t>relevant learning environment and outcome indicators that will help increase awareness of and identify schools having the greatest needs:</w:t>
      </w:r>
    </w:p>
    <w:p w14:paraId="633859CA" w14:textId="20941C73" w:rsidR="00431ED9" w:rsidRPr="00A12EAC" w:rsidRDefault="00765878" w:rsidP="008131EB">
      <w:pPr>
        <w:pStyle w:val="ListBullet"/>
      </w:pPr>
      <w:r>
        <w:t>Dropout R</w:t>
      </w:r>
      <w:r w:rsidR="0069597F">
        <w:t>eport</w:t>
      </w:r>
    </w:p>
    <w:p w14:paraId="03D9866F" w14:textId="18E30737" w:rsidR="00431ED9" w:rsidRDefault="00765878" w:rsidP="008131EB">
      <w:pPr>
        <w:pStyle w:val="ListBullet"/>
      </w:pPr>
      <w:r>
        <w:t>Graduates Attending Institutes of Higher Education</w:t>
      </w:r>
      <w:r w:rsidR="003944CC">
        <w:t xml:space="preserve"> Report</w:t>
      </w:r>
    </w:p>
    <w:p w14:paraId="78EB4DCA" w14:textId="41067565" w:rsidR="00935674" w:rsidRDefault="00DC097B" w:rsidP="00E34A72">
      <w:pPr>
        <w:pStyle w:val="Heading5"/>
      </w:pPr>
      <w:r>
        <w:t xml:space="preserve">Dropout </w:t>
      </w:r>
      <w:r w:rsidR="00935674" w:rsidRPr="0077383B">
        <w:t>Repor</w:t>
      </w:r>
      <w:r w:rsidR="00935674">
        <w:t>t</w:t>
      </w:r>
    </w:p>
    <w:p w14:paraId="761424F5" w14:textId="1C4D2013" w:rsidR="00935674" w:rsidRDefault="00DC097B" w:rsidP="006D7DE6">
      <w:pPr>
        <w:pStyle w:val="BodyTextFirstIndent"/>
      </w:pPr>
      <w:r>
        <w:fldChar w:fldCharType="begin"/>
      </w:r>
      <w:r>
        <w:instrText xml:space="preserve"> REF _Ref174005867 \h </w:instrText>
      </w:r>
      <w:r>
        <w:fldChar w:fldCharType="separate"/>
      </w:r>
      <w:r w:rsidR="00307850">
        <w:t xml:space="preserve">Table </w:t>
      </w:r>
      <w:r w:rsidR="00307850">
        <w:rPr>
          <w:noProof/>
        </w:rPr>
        <w:t>42</w:t>
      </w:r>
      <w:r>
        <w:fldChar w:fldCharType="end"/>
      </w:r>
      <w:r>
        <w:t xml:space="preserve"> </w:t>
      </w:r>
      <w:r w:rsidR="00935674" w:rsidRPr="006D0C4D">
        <w:t xml:space="preserve">outlines notable details supporting the evaluation of </w:t>
      </w:r>
      <w:r w:rsidR="00935674" w:rsidRPr="002560DE">
        <w:t xml:space="preserve">DESE’s </w:t>
      </w:r>
      <w:hyperlink r:id="rId129" w:history="1">
        <w:r w:rsidR="003944CC" w:rsidRPr="00B24251">
          <w:rPr>
            <w:rStyle w:val="Hyperlink"/>
          </w:rPr>
          <w:t>Dropout</w:t>
        </w:r>
        <w:r w:rsidR="00935674" w:rsidRPr="00B24251">
          <w:rPr>
            <w:rStyle w:val="Hyperlink"/>
          </w:rPr>
          <w:t xml:space="preserve"> Report</w:t>
        </w:r>
      </w:hyperlink>
      <w:r w:rsidR="00935674" w:rsidRPr="006D0C4D">
        <w:t xml:space="preserve"> to assist school districts in identifying schools of greatest need.</w:t>
      </w:r>
    </w:p>
    <w:p w14:paraId="7DDABE77" w14:textId="039C8561" w:rsidR="00935674" w:rsidRDefault="00935674" w:rsidP="00B30C96">
      <w:pPr>
        <w:pStyle w:val="Caption"/>
      </w:pPr>
      <w:bookmarkStart w:id="398" w:name="_Ref174005867"/>
      <w:bookmarkStart w:id="399" w:name="_Toc192711708"/>
      <w:bookmarkStart w:id="400" w:name="_Toc193112590"/>
      <w:bookmarkStart w:id="401" w:name="_Toc193116989"/>
      <w:r>
        <w:t xml:space="preserve">Table </w:t>
      </w:r>
      <w:fldSimple w:instr=" SEQ Table \* ARABIC ">
        <w:r w:rsidR="00307850">
          <w:rPr>
            <w:noProof/>
          </w:rPr>
          <w:t>42</w:t>
        </w:r>
      </w:fldSimple>
      <w:bookmarkEnd w:id="398"/>
      <w:r>
        <w:t xml:space="preserve">. </w:t>
      </w:r>
      <w:r w:rsidRPr="00030833">
        <w:t>Notable Details</w:t>
      </w:r>
      <w:r>
        <w:t xml:space="preserve"> Supporting </w:t>
      </w:r>
      <w:r w:rsidRPr="00030833">
        <w:t xml:space="preserve">Evaluation of </w:t>
      </w:r>
      <w:r>
        <w:t xml:space="preserve">DESE’s </w:t>
      </w:r>
      <w:r w:rsidR="00B24251">
        <w:t>Dropout</w:t>
      </w:r>
      <w:r>
        <w:t xml:space="preserve"> Report</w:t>
      </w:r>
      <w:bookmarkEnd w:id="399"/>
      <w:bookmarkEnd w:id="400"/>
      <w:bookmarkEnd w:id="401"/>
    </w:p>
    <w:tbl>
      <w:tblPr>
        <w:tblStyle w:val="TableGrid"/>
        <w:tblW w:w="5000" w:type="pct"/>
        <w:tblLook w:val="04A0" w:firstRow="1" w:lastRow="0" w:firstColumn="1" w:lastColumn="0" w:noHBand="0" w:noVBand="1"/>
        <w:tblDescription w:val="Table providing recommendations on how MSBA should interpret dropout data for schools for prioritizing equitable outcomes."/>
      </w:tblPr>
      <w:tblGrid>
        <w:gridCol w:w="2785"/>
        <w:gridCol w:w="3420"/>
        <w:gridCol w:w="3145"/>
      </w:tblGrid>
      <w:tr w:rsidR="00935674" w14:paraId="6B9A3D54" w14:textId="77777777" w:rsidTr="00BE19B9">
        <w:trPr>
          <w:tblHeader/>
        </w:trPr>
        <w:tc>
          <w:tcPr>
            <w:tcW w:w="1489" w:type="pct"/>
            <w:shd w:val="clear" w:color="auto" w:fill="C6D9F1" w:themeFill="text2" w:themeFillTint="33"/>
          </w:tcPr>
          <w:p w14:paraId="4BC9D7FC" w14:textId="77777777" w:rsidR="00935674" w:rsidRDefault="00935674" w:rsidP="00BE19B9">
            <w:pPr>
              <w:pStyle w:val="TableColumnHeader"/>
            </w:pPr>
            <w:r>
              <w:t>Data of Interest</w:t>
            </w:r>
          </w:p>
        </w:tc>
        <w:tc>
          <w:tcPr>
            <w:tcW w:w="1829" w:type="pct"/>
            <w:shd w:val="clear" w:color="auto" w:fill="C6D9F1" w:themeFill="text2" w:themeFillTint="33"/>
          </w:tcPr>
          <w:p w14:paraId="196FC906" w14:textId="77777777" w:rsidR="00935674" w:rsidRDefault="00935674" w:rsidP="00BE19B9">
            <w:pPr>
              <w:pStyle w:val="TableColumnHeader"/>
            </w:pPr>
            <w:r>
              <w:t>Notes/Considerations</w:t>
            </w:r>
          </w:p>
        </w:tc>
        <w:tc>
          <w:tcPr>
            <w:tcW w:w="1682" w:type="pct"/>
            <w:shd w:val="clear" w:color="auto" w:fill="C6D9F1" w:themeFill="text2" w:themeFillTint="33"/>
          </w:tcPr>
          <w:p w14:paraId="707FA2EC" w14:textId="77777777" w:rsidR="00935674" w:rsidRDefault="00935674" w:rsidP="00BE19B9">
            <w:pPr>
              <w:pStyle w:val="TableColumnHeader"/>
            </w:pPr>
            <w:r>
              <w:t>Recommendations</w:t>
            </w:r>
          </w:p>
        </w:tc>
      </w:tr>
      <w:tr w:rsidR="00935674" w14:paraId="49ACBD5D" w14:textId="77777777" w:rsidTr="00BE19B9">
        <w:tc>
          <w:tcPr>
            <w:tcW w:w="1489" w:type="pct"/>
          </w:tcPr>
          <w:p w14:paraId="5BEF80E2" w14:textId="52E3BCA0" w:rsidR="00935674" w:rsidRPr="00944899" w:rsidRDefault="002B40A3" w:rsidP="00B24251">
            <w:pPr>
              <w:pStyle w:val="TableText"/>
            </w:pPr>
            <w:r>
              <w:t>Percent</w:t>
            </w:r>
            <w:r w:rsidR="00B24251">
              <w:t xml:space="preserve"> </w:t>
            </w:r>
            <w:r>
              <w:t>d</w:t>
            </w:r>
            <w:r w:rsidR="00B24251">
              <w:t>ropout all grades</w:t>
            </w:r>
          </w:p>
        </w:tc>
        <w:tc>
          <w:tcPr>
            <w:tcW w:w="1829" w:type="pct"/>
          </w:tcPr>
          <w:p w14:paraId="0E3039D1" w14:textId="5D1E1EC2" w:rsidR="00935674" w:rsidRDefault="004805AC" w:rsidP="004805AC">
            <w:pPr>
              <w:pStyle w:val="TableText"/>
            </w:pPr>
            <w:r>
              <w:t>Represents a</w:t>
            </w:r>
            <w:r w:rsidRPr="004805AC">
              <w:t>n additional possible indicator of student performance and/or need for improved learning/social environment</w:t>
            </w:r>
          </w:p>
        </w:tc>
        <w:tc>
          <w:tcPr>
            <w:tcW w:w="1682" w:type="pct"/>
          </w:tcPr>
          <w:p w14:paraId="6B26C6FD" w14:textId="21AE5A61" w:rsidR="00935674" w:rsidRDefault="00935674" w:rsidP="00BE19B9">
            <w:pPr>
              <w:pStyle w:val="TableText"/>
            </w:pPr>
            <w:r>
              <w:t>P</w:t>
            </w:r>
            <w:r w:rsidRPr="00EB0369">
              <w:t xml:space="preserve">rioritize </w:t>
            </w:r>
            <w:r>
              <w:t xml:space="preserve">funding for project implementation in </w:t>
            </w:r>
            <w:r w:rsidRPr="00EB0369">
              <w:t xml:space="preserve">schools with higher </w:t>
            </w:r>
            <w:r w:rsidR="00FE34C5">
              <w:t xml:space="preserve">dropout </w:t>
            </w:r>
            <w:r w:rsidRPr="00EB0369">
              <w:t>rates</w:t>
            </w:r>
          </w:p>
        </w:tc>
      </w:tr>
    </w:tbl>
    <w:p w14:paraId="02E97088" w14:textId="220E662C" w:rsidR="00935674" w:rsidRDefault="00FE34C5" w:rsidP="006D7DE6">
      <w:pPr>
        <w:pStyle w:val="BodyTextFirstIndent"/>
      </w:pPr>
      <w:r>
        <w:fldChar w:fldCharType="begin"/>
      </w:r>
      <w:r>
        <w:instrText xml:space="preserve"> REF _Ref174006098 \h </w:instrText>
      </w:r>
      <w:r>
        <w:fldChar w:fldCharType="separate"/>
      </w:r>
      <w:r w:rsidR="00307850">
        <w:t xml:space="preserve">Figure </w:t>
      </w:r>
      <w:r w:rsidR="00307850">
        <w:rPr>
          <w:noProof/>
        </w:rPr>
        <w:t>26</w:t>
      </w:r>
      <w:r>
        <w:fldChar w:fldCharType="end"/>
      </w:r>
      <w:r>
        <w:t xml:space="preserve"> </w:t>
      </w:r>
      <w:r w:rsidR="00935674">
        <w:t xml:space="preserve">presents a screenshot of DESE’s </w:t>
      </w:r>
      <w:r>
        <w:t>Dropout</w:t>
      </w:r>
      <w:r w:rsidR="00935674">
        <w:t xml:space="preserve"> Report. Note that school districts are encouraged to select “School” in the “Report Type” field to differentiate </w:t>
      </w:r>
      <w:r w:rsidR="00AE5E4F">
        <w:t>dropout rate</w:t>
      </w:r>
      <w:r w:rsidR="00935674">
        <w:t xml:space="preserve"> data at the individual school-level.</w:t>
      </w:r>
    </w:p>
    <w:p w14:paraId="508EB96B" w14:textId="541B1200" w:rsidR="00935674" w:rsidRDefault="00935674" w:rsidP="00B30C96">
      <w:pPr>
        <w:pStyle w:val="Caption"/>
      </w:pPr>
      <w:bookmarkStart w:id="402" w:name="_Ref174006098"/>
      <w:bookmarkStart w:id="403" w:name="_Toc193112313"/>
      <w:bookmarkStart w:id="404" w:name="_Toc193117070"/>
      <w:r>
        <w:lastRenderedPageBreak/>
        <w:t xml:space="preserve">Figure </w:t>
      </w:r>
      <w:fldSimple w:instr=" SEQ Figure \* ARABIC ">
        <w:r w:rsidR="00307850">
          <w:rPr>
            <w:noProof/>
          </w:rPr>
          <w:t>26</w:t>
        </w:r>
      </w:fldSimple>
      <w:bookmarkEnd w:id="402"/>
      <w:r>
        <w:t xml:space="preserve">. Screenshot of DESE’s </w:t>
      </w:r>
      <w:r w:rsidR="002744AC">
        <w:t>Dropout</w:t>
      </w:r>
      <w:r w:rsidRPr="002C4AEE">
        <w:t xml:space="preserve"> Report</w:t>
      </w:r>
      <w:bookmarkEnd w:id="403"/>
      <w:bookmarkEnd w:id="404"/>
    </w:p>
    <w:p w14:paraId="0E6C1791" w14:textId="00458C99" w:rsidR="00935674" w:rsidRPr="003036A4" w:rsidRDefault="00AE5E4F" w:rsidP="006D7DE6">
      <w:pPr>
        <w:pStyle w:val="BodyTextFirstIndent"/>
      </w:pPr>
      <w:r w:rsidRPr="00AE5E4F">
        <w:rPr>
          <w:noProof/>
        </w:rPr>
        <w:drawing>
          <wp:inline distT="0" distB="0" distL="0" distR="0" wp14:anchorId="072F7A37" wp14:editId="66FD68F0">
            <wp:extent cx="5943600" cy="2831465"/>
            <wp:effectExtent l="19050" t="19050" r="19050" b="26035"/>
            <wp:docPr id="1154253373" name="Picture 1" descr="Screenshot of web browser data base with school names on the left and dropout rates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53373" name="Picture 1" descr="Screenshot of web browser data base with school names on the left and dropout rates on the right. "/>
                    <pic:cNvPicPr/>
                  </pic:nvPicPr>
                  <pic:blipFill>
                    <a:blip r:embed="rId130"/>
                    <a:stretch>
                      <a:fillRect/>
                    </a:stretch>
                  </pic:blipFill>
                  <pic:spPr>
                    <a:xfrm>
                      <a:off x="0" y="0"/>
                      <a:ext cx="5943600" cy="2831465"/>
                    </a:xfrm>
                    <a:prstGeom prst="rect">
                      <a:avLst/>
                    </a:prstGeom>
                    <a:ln>
                      <a:solidFill>
                        <a:schemeClr val="tx1"/>
                      </a:solidFill>
                    </a:ln>
                  </pic:spPr>
                </pic:pic>
              </a:graphicData>
            </a:graphic>
          </wp:inline>
        </w:drawing>
      </w:r>
    </w:p>
    <w:p w14:paraId="63D0CA0C" w14:textId="4D417450" w:rsidR="00935674" w:rsidRDefault="00C34390" w:rsidP="00E34A72">
      <w:pPr>
        <w:pStyle w:val="Heading5"/>
      </w:pPr>
      <w:r w:rsidRPr="00C34390">
        <w:t>Graduates Attending Institutions of Higher Educatio</w:t>
      </w:r>
      <w:r>
        <w:t xml:space="preserve">n </w:t>
      </w:r>
      <w:r w:rsidR="00935674" w:rsidRPr="0077383B">
        <w:t>Report</w:t>
      </w:r>
    </w:p>
    <w:p w14:paraId="5BE42D49" w14:textId="6AE16B5D" w:rsidR="00935674" w:rsidRDefault="00C34390" w:rsidP="006D7DE6">
      <w:pPr>
        <w:pStyle w:val="BodyTextFirstIndent"/>
      </w:pPr>
      <w:r>
        <w:fldChar w:fldCharType="begin"/>
      </w:r>
      <w:r>
        <w:instrText xml:space="preserve"> REF _Ref174006289 \h </w:instrText>
      </w:r>
      <w:r>
        <w:fldChar w:fldCharType="separate"/>
      </w:r>
      <w:r w:rsidR="00307850">
        <w:t xml:space="preserve">Table </w:t>
      </w:r>
      <w:r w:rsidR="00307850">
        <w:rPr>
          <w:noProof/>
        </w:rPr>
        <w:t>43</w:t>
      </w:r>
      <w:r>
        <w:fldChar w:fldCharType="end"/>
      </w:r>
      <w:r>
        <w:t xml:space="preserve"> </w:t>
      </w:r>
      <w:r w:rsidR="00935674" w:rsidRPr="006D0C4D">
        <w:t xml:space="preserve">outlines notable details supporting the evaluation of </w:t>
      </w:r>
      <w:r w:rsidR="00935674" w:rsidRPr="002560DE">
        <w:t xml:space="preserve">DESE’s </w:t>
      </w:r>
      <w:hyperlink r:id="rId131" w:history="1">
        <w:r w:rsidR="009B5A9F" w:rsidRPr="009B5A9F">
          <w:rPr>
            <w:rStyle w:val="Hyperlink"/>
          </w:rPr>
          <w:t>Graduates Attending Institutions of Higher Education Report</w:t>
        </w:r>
      </w:hyperlink>
      <w:r w:rsidR="009B5A9F" w:rsidRPr="009B5A9F">
        <w:t xml:space="preserve"> </w:t>
      </w:r>
      <w:r w:rsidR="00935674" w:rsidRPr="006D0C4D">
        <w:t>to assist school districts in identifying schools of greatest need.</w:t>
      </w:r>
    </w:p>
    <w:p w14:paraId="5BAA3E2E" w14:textId="2BB9E9D7" w:rsidR="00935674" w:rsidRDefault="00935674" w:rsidP="00B30C96">
      <w:pPr>
        <w:pStyle w:val="Caption"/>
      </w:pPr>
      <w:bookmarkStart w:id="405" w:name="_Ref174006289"/>
      <w:bookmarkStart w:id="406" w:name="_Toc192711709"/>
      <w:bookmarkStart w:id="407" w:name="_Toc193112591"/>
      <w:bookmarkStart w:id="408" w:name="_Toc193116990"/>
      <w:r>
        <w:t xml:space="preserve">Table </w:t>
      </w:r>
      <w:fldSimple w:instr=" SEQ Table \* ARABIC ">
        <w:r w:rsidR="00307850">
          <w:rPr>
            <w:noProof/>
          </w:rPr>
          <w:t>43</w:t>
        </w:r>
      </w:fldSimple>
      <w:bookmarkEnd w:id="405"/>
      <w:r>
        <w:t xml:space="preserve">. </w:t>
      </w:r>
      <w:r w:rsidRPr="00030833">
        <w:t>Notable Details</w:t>
      </w:r>
      <w:r>
        <w:t xml:space="preserve"> Supporting the</w:t>
      </w:r>
      <w:r w:rsidRPr="00030833">
        <w:t xml:space="preserve"> Evaluation of </w:t>
      </w:r>
      <w:r>
        <w:t xml:space="preserve">DESE’s </w:t>
      </w:r>
      <w:r w:rsidR="009B5A9F">
        <w:t>Graduates Attending Institutes of Higher Education Report</w:t>
      </w:r>
      <w:bookmarkEnd w:id="406"/>
      <w:bookmarkEnd w:id="407"/>
      <w:bookmarkEnd w:id="408"/>
    </w:p>
    <w:tbl>
      <w:tblPr>
        <w:tblStyle w:val="TableGrid"/>
        <w:tblW w:w="5000" w:type="pct"/>
        <w:tblLook w:val="04A0" w:firstRow="1" w:lastRow="0" w:firstColumn="1" w:lastColumn="0" w:noHBand="0" w:noVBand="1"/>
        <w:tblDescription w:val="Table providing recommendations on how MSBA should interpret college attendance data for schools for prioritizing equitable outcomes."/>
      </w:tblPr>
      <w:tblGrid>
        <w:gridCol w:w="2785"/>
        <w:gridCol w:w="3420"/>
        <w:gridCol w:w="3145"/>
      </w:tblGrid>
      <w:tr w:rsidR="00BB21B0" w14:paraId="3DB5382B" w14:textId="77777777" w:rsidTr="00BE19B9">
        <w:trPr>
          <w:tblHeader/>
        </w:trPr>
        <w:tc>
          <w:tcPr>
            <w:tcW w:w="1489" w:type="pct"/>
            <w:shd w:val="clear" w:color="auto" w:fill="C6D9F1" w:themeFill="text2" w:themeFillTint="33"/>
          </w:tcPr>
          <w:p w14:paraId="4C8D7E72" w14:textId="77777777" w:rsidR="00BB21B0" w:rsidRDefault="00BB21B0" w:rsidP="00BE19B9">
            <w:pPr>
              <w:pStyle w:val="TableColumnHeader"/>
            </w:pPr>
            <w:r>
              <w:t>Data of Interest</w:t>
            </w:r>
          </w:p>
        </w:tc>
        <w:tc>
          <w:tcPr>
            <w:tcW w:w="1829" w:type="pct"/>
            <w:shd w:val="clear" w:color="auto" w:fill="C6D9F1" w:themeFill="text2" w:themeFillTint="33"/>
          </w:tcPr>
          <w:p w14:paraId="6B38CB0E" w14:textId="77777777" w:rsidR="00BB21B0" w:rsidRDefault="00BB21B0" w:rsidP="00BE19B9">
            <w:pPr>
              <w:pStyle w:val="TableColumnHeader"/>
            </w:pPr>
            <w:r>
              <w:t>Notes/Considerations</w:t>
            </w:r>
          </w:p>
        </w:tc>
        <w:tc>
          <w:tcPr>
            <w:tcW w:w="1682" w:type="pct"/>
            <w:shd w:val="clear" w:color="auto" w:fill="C6D9F1" w:themeFill="text2" w:themeFillTint="33"/>
          </w:tcPr>
          <w:p w14:paraId="7CD2CAA6" w14:textId="77777777" w:rsidR="00BB21B0" w:rsidRDefault="00BB21B0" w:rsidP="00BE19B9">
            <w:pPr>
              <w:pStyle w:val="TableColumnHeader"/>
            </w:pPr>
            <w:r>
              <w:t>Recommendations</w:t>
            </w:r>
          </w:p>
        </w:tc>
      </w:tr>
      <w:tr w:rsidR="00BB21B0" w14:paraId="20EA201D" w14:textId="77777777" w:rsidTr="00BE19B9">
        <w:tc>
          <w:tcPr>
            <w:tcW w:w="1489" w:type="pct"/>
          </w:tcPr>
          <w:p w14:paraId="6C3898D1" w14:textId="545944CE" w:rsidR="00BB21B0" w:rsidRPr="00944899" w:rsidRDefault="00873F08" w:rsidP="00BE19B9">
            <w:pPr>
              <w:pStyle w:val="TableText"/>
            </w:pPr>
            <w:r w:rsidRPr="00873F08">
              <w:t>Attending Coll./Univ.</w:t>
            </w:r>
            <w:r>
              <w:t xml:space="preserve"> (</w:t>
            </w:r>
            <w:r w:rsidR="002B40A3">
              <w:t>percent</w:t>
            </w:r>
            <w:r>
              <w:t>)</w:t>
            </w:r>
          </w:p>
        </w:tc>
        <w:tc>
          <w:tcPr>
            <w:tcW w:w="1829" w:type="pct"/>
          </w:tcPr>
          <w:p w14:paraId="524B89E7" w14:textId="20391F28" w:rsidR="00BB21B0" w:rsidRDefault="00BB21B0" w:rsidP="00BE19B9">
            <w:pPr>
              <w:pStyle w:val="TableText"/>
            </w:pPr>
            <w:r>
              <w:t xml:space="preserve">Represents </w:t>
            </w:r>
            <w:r w:rsidR="006B17BD">
              <w:t>an i</w:t>
            </w:r>
            <w:r w:rsidR="006B17BD" w:rsidRPr="006B17BD">
              <w:t>ndicator of future success</w:t>
            </w:r>
          </w:p>
        </w:tc>
        <w:tc>
          <w:tcPr>
            <w:tcW w:w="1682" w:type="pct"/>
          </w:tcPr>
          <w:p w14:paraId="36F6460D" w14:textId="35BFA947" w:rsidR="00BB21B0" w:rsidRDefault="00BB21B0" w:rsidP="00BE19B9">
            <w:pPr>
              <w:pStyle w:val="TableText"/>
            </w:pPr>
            <w:r>
              <w:t>P</w:t>
            </w:r>
            <w:r w:rsidRPr="00EB0369">
              <w:t xml:space="preserve">rioritize </w:t>
            </w:r>
            <w:r>
              <w:t xml:space="preserve">funding for project implementation in </w:t>
            </w:r>
            <w:r w:rsidRPr="00EB0369">
              <w:t xml:space="preserve">schools with </w:t>
            </w:r>
            <w:r w:rsidR="00E922F3" w:rsidRPr="00E922F3">
              <w:t>lower percentage of students attending college/universities</w:t>
            </w:r>
          </w:p>
        </w:tc>
      </w:tr>
    </w:tbl>
    <w:p w14:paraId="25EF45C3" w14:textId="548AAB54" w:rsidR="00935674" w:rsidRDefault="00E922F3" w:rsidP="006D7DE6">
      <w:pPr>
        <w:pStyle w:val="BodyTextFirstIndent"/>
      </w:pPr>
      <w:r>
        <w:fldChar w:fldCharType="begin"/>
      </w:r>
      <w:r>
        <w:instrText xml:space="preserve"> REF _Ref174006462 \h </w:instrText>
      </w:r>
      <w:r>
        <w:fldChar w:fldCharType="separate"/>
      </w:r>
      <w:r w:rsidR="00307850">
        <w:t xml:space="preserve">Figure </w:t>
      </w:r>
      <w:r w:rsidR="00307850">
        <w:rPr>
          <w:noProof/>
        </w:rPr>
        <w:t>27</w:t>
      </w:r>
      <w:r>
        <w:fldChar w:fldCharType="end"/>
      </w:r>
      <w:r>
        <w:t xml:space="preserve"> </w:t>
      </w:r>
      <w:r w:rsidR="00935674" w:rsidRPr="006A0717">
        <w:t xml:space="preserve">presents a screenshot of DESE’s </w:t>
      </w:r>
      <w:r w:rsidRPr="00E922F3">
        <w:t>Graduates Attending Institutes of Higher Education Report</w:t>
      </w:r>
      <w:r w:rsidR="00935674" w:rsidRPr="006A0717">
        <w:t xml:space="preserve">. </w:t>
      </w:r>
      <w:r>
        <w:t>Note that school districts are encouraged to select “School” in the “Report Type” field to differentiate data at the individual school-level.</w:t>
      </w:r>
    </w:p>
    <w:p w14:paraId="675408DA" w14:textId="4359CECC" w:rsidR="00935674" w:rsidRDefault="00935674" w:rsidP="00B30C96">
      <w:pPr>
        <w:pStyle w:val="Caption"/>
      </w:pPr>
      <w:bookmarkStart w:id="409" w:name="_Ref174006462"/>
      <w:bookmarkStart w:id="410" w:name="_Toc193112314"/>
      <w:bookmarkStart w:id="411" w:name="_Toc193117071"/>
      <w:r>
        <w:lastRenderedPageBreak/>
        <w:t xml:space="preserve">Figure </w:t>
      </w:r>
      <w:fldSimple w:instr=" SEQ Figure \* ARABIC ">
        <w:r w:rsidR="00307850">
          <w:rPr>
            <w:noProof/>
          </w:rPr>
          <w:t>27</w:t>
        </w:r>
      </w:fldSimple>
      <w:bookmarkEnd w:id="409"/>
      <w:r>
        <w:t xml:space="preserve">. </w:t>
      </w:r>
      <w:r w:rsidRPr="004158F4">
        <w:t xml:space="preserve">Screenshot of DESE’s </w:t>
      </w:r>
      <w:r w:rsidR="00E922F3" w:rsidRPr="00E922F3">
        <w:t>Graduates Attending Institutes of Higher Education Report</w:t>
      </w:r>
      <w:bookmarkEnd w:id="410"/>
      <w:bookmarkEnd w:id="411"/>
    </w:p>
    <w:p w14:paraId="1DE48A2F" w14:textId="1008DD22" w:rsidR="00935674" w:rsidRPr="004158F4" w:rsidRDefault="00D82011" w:rsidP="006D7DE6">
      <w:pPr>
        <w:pStyle w:val="BodyTextFirstIndent"/>
      </w:pPr>
      <w:r w:rsidRPr="00D82011">
        <w:rPr>
          <w:noProof/>
        </w:rPr>
        <w:drawing>
          <wp:inline distT="0" distB="0" distL="0" distR="0" wp14:anchorId="3F182E27" wp14:editId="4C486B0F">
            <wp:extent cx="5943600" cy="2831465"/>
            <wp:effectExtent l="19050" t="19050" r="19050" b="26035"/>
            <wp:docPr id="1201548322" name="Picture 1" descr="Screenshot of web browser data base with school names on the left and college attendance rates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48322" name="Picture 1" descr="Screenshot of web browser data base with school names on the left and college attendance rates on the right. "/>
                    <pic:cNvPicPr/>
                  </pic:nvPicPr>
                  <pic:blipFill>
                    <a:blip r:embed="rId132"/>
                    <a:stretch>
                      <a:fillRect/>
                    </a:stretch>
                  </pic:blipFill>
                  <pic:spPr>
                    <a:xfrm>
                      <a:off x="0" y="0"/>
                      <a:ext cx="5943600" cy="2831465"/>
                    </a:xfrm>
                    <a:prstGeom prst="rect">
                      <a:avLst/>
                    </a:prstGeom>
                    <a:ln>
                      <a:solidFill>
                        <a:schemeClr val="tx1"/>
                      </a:solidFill>
                    </a:ln>
                  </pic:spPr>
                </pic:pic>
              </a:graphicData>
            </a:graphic>
          </wp:inline>
        </w:drawing>
      </w:r>
    </w:p>
    <w:p w14:paraId="2714CA0E" w14:textId="77777777" w:rsidR="003672BF" w:rsidRPr="003672BF" w:rsidRDefault="003672BF" w:rsidP="006D7DE6">
      <w:pPr>
        <w:pStyle w:val="BodyTextFirstIndent"/>
      </w:pPr>
    </w:p>
    <w:p w14:paraId="7DBE958D" w14:textId="77777777" w:rsidR="003672BF" w:rsidRDefault="003672BF" w:rsidP="006D7DE6">
      <w:pPr>
        <w:pStyle w:val="BodyTextFirstIndent"/>
      </w:pPr>
    </w:p>
    <w:p w14:paraId="23D8ACF0" w14:textId="77777777" w:rsidR="008A4DA0" w:rsidRPr="008A4DA0" w:rsidRDefault="008A4DA0" w:rsidP="006D7DE6">
      <w:pPr>
        <w:pStyle w:val="BodyTextFirstIndent"/>
      </w:pPr>
    </w:p>
    <w:p w14:paraId="193B8A43" w14:textId="77777777" w:rsidR="000C6B11" w:rsidRPr="0016648F" w:rsidRDefault="000C6B11" w:rsidP="008131EB">
      <w:pPr>
        <w:pStyle w:val="ListBullet"/>
        <w:numPr>
          <w:ilvl w:val="0"/>
          <w:numId w:val="0"/>
        </w:numPr>
      </w:pPr>
    </w:p>
    <w:p w14:paraId="576414F3" w14:textId="77777777" w:rsidR="00341ACA" w:rsidRPr="008B3ECA" w:rsidRDefault="00341ACA" w:rsidP="006D7DE6">
      <w:pPr>
        <w:pStyle w:val="BodyTextFirstIndent"/>
      </w:pPr>
    </w:p>
    <w:p w14:paraId="538EEAA6" w14:textId="77777777" w:rsidR="00195E0E" w:rsidRDefault="00195E0E" w:rsidP="006D7DE6">
      <w:pPr>
        <w:pStyle w:val="BodyTextFirstIndent"/>
      </w:pPr>
    </w:p>
    <w:p w14:paraId="07E7421C" w14:textId="5048A451" w:rsidR="00FB67CA" w:rsidRDefault="00FB67CA" w:rsidP="006D7DE6">
      <w:pPr>
        <w:pStyle w:val="BodyTextFirstIndent"/>
        <w:sectPr w:rsidR="00FB67CA" w:rsidSect="00B20DE2">
          <w:pgSz w:w="12240" w:h="15840"/>
          <w:pgMar w:top="1440" w:right="1440" w:bottom="1440" w:left="1440" w:header="720" w:footer="720" w:gutter="0"/>
          <w:cols w:space="720"/>
          <w:docGrid w:linePitch="360"/>
        </w:sectPr>
      </w:pPr>
    </w:p>
    <w:p w14:paraId="013F6731" w14:textId="7A4ECBC4" w:rsidR="002B707F" w:rsidRDefault="008C7139" w:rsidP="00A90558">
      <w:pPr>
        <w:pStyle w:val="Heading1"/>
      </w:pPr>
      <w:bookmarkStart w:id="412" w:name="FundingStrategies"/>
      <w:bookmarkStart w:id="413" w:name="_Toc171518383"/>
      <w:bookmarkStart w:id="414" w:name="_Toc171519336"/>
      <w:bookmarkStart w:id="415" w:name="_Toc193116915"/>
      <w:bookmarkEnd w:id="412"/>
      <w:r>
        <w:lastRenderedPageBreak/>
        <w:t>V</w:t>
      </w:r>
      <w:r w:rsidR="002B707F">
        <w:t>. Funding Strategies</w:t>
      </w:r>
      <w:bookmarkEnd w:id="413"/>
      <w:bookmarkEnd w:id="414"/>
      <w:bookmarkEnd w:id="415"/>
    </w:p>
    <w:p w14:paraId="2F6B8DEB" w14:textId="1FE029D8" w:rsidR="00FC2423" w:rsidRDefault="00AD7971" w:rsidP="006D7DE6">
      <w:pPr>
        <w:pStyle w:val="BodyTextFirstIndent"/>
      </w:pPr>
      <w:r>
        <w:rPr>
          <w:noProof/>
        </w:rPr>
        <w:drawing>
          <wp:inline distT="0" distB="0" distL="0" distR="0" wp14:anchorId="75B212F7" wp14:editId="613A6025">
            <wp:extent cx="5942107" cy="3961765"/>
            <wp:effectExtent l="0" t="0" r="1905" b="635"/>
            <wp:docPr id="329615200" name="Picture 40" descr="Picture of a yellow sticky note with the words &quot;Municipal Bonds&quot; written on it with a sharpie that is laying below the sticky note on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15200" name="Picture 40" descr="Picture of a yellow sticky note with the words &quot;Municipal Bonds&quot; written on it with a sharpie that is laying below the sticky note on a desk."/>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2107" cy="3961765"/>
                    </a:xfrm>
                    <a:prstGeom prst="rect">
                      <a:avLst/>
                    </a:prstGeom>
                  </pic:spPr>
                </pic:pic>
              </a:graphicData>
            </a:graphic>
          </wp:inline>
        </w:drawing>
      </w:r>
    </w:p>
    <w:p w14:paraId="4C304FFB" w14:textId="6511DE68" w:rsidR="00FC2423" w:rsidRDefault="00FC2423" w:rsidP="006D7DE6">
      <w:pPr>
        <w:pStyle w:val="BodyTextFirstIndent"/>
        <w:rPr>
          <w:rStyle w:val="normaltextrun"/>
        </w:rPr>
      </w:pPr>
      <w:r w:rsidRPr="00440D44">
        <w:t>Among other things, the Massachusetts Education Reform Act of 1993</w:t>
      </w:r>
      <w:r w:rsidR="00415417">
        <w:t xml:space="preserve"> </w:t>
      </w:r>
      <w:r w:rsidRPr="00440D44">
        <w:t>increased the Commonwealth’s role in funding public education.</w:t>
      </w:r>
      <w:r w:rsidRPr="00440D44">
        <w:fldChar w:fldCharType="begin"/>
      </w:r>
      <w:r w:rsidR="000408D9">
        <w:instrText xml:space="preserve"> ADDIN ZOTERO_ITEM CSL_CITATION {"citationID":"a1b1pcbkvkg","properties":{"formattedCitation":"\\super 157\\nosupersub{}","plainCitation":"157","noteIndex":0},"citationItems":[{"id":1035,"uris":["http://zotero.org/groups/5563646/items/NTYE8XB8"],"itemData":{"id":1035,"type":"article-magazine","container-title":"Education Connection","title":"Education REFORM: Ten Years after the Massachusetts Education Reform Act of 1993","URL":"https://www.mass.gov/doc/public-infrastructure-in-western-massachusetts-a-critical-need-for-regional-investment-and-revitalization/download","author":[{"family":"University Of Massachusetts Amherst, School of Education","given":""}],"issued":{"date-parts":[["2003"]]}}}],"schema":"https://github.com/citation-style-language/schema/raw/master/csl-citation.json"} </w:instrText>
      </w:r>
      <w:r w:rsidRPr="00440D44">
        <w:fldChar w:fldCharType="separate"/>
      </w:r>
      <w:r w:rsidR="000408D9" w:rsidRPr="000408D9">
        <w:rPr>
          <w:rFonts w:cs="Arial"/>
          <w:vertAlign w:val="superscript"/>
        </w:rPr>
        <w:t>157</w:t>
      </w:r>
      <w:r w:rsidRPr="00440D44">
        <w:fldChar w:fldCharType="end"/>
      </w:r>
      <w:r w:rsidRPr="00440D44">
        <w:t xml:space="preserve"> Most notably, </w:t>
      </w:r>
      <w:r w:rsidR="00415417">
        <w:t>it</w:t>
      </w:r>
      <w:r w:rsidR="00415417" w:rsidRPr="00440D44">
        <w:t xml:space="preserve"> </w:t>
      </w:r>
      <w:r w:rsidRPr="00440D44">
        <w:t>introduced the concept of an annual “foundation budget”</w:t>
      </w:r>
      <w:r w:rsidR="00431D00" w:rsidRPr="00440D44">
        <w:t xml:space="preserve"> —</w:t>
      </w:r>
      <w:r w:rsidRPr="00440D44">
        <w:t xml:space="preserve"> a unique minimum budget for each school district in the Commonwealth required to provide constitutionally adequate education. Each school district’s foundation budget is calculated annually based on a collection of factors, including enrollment size and demographic data.</w:t>
      </w:r>
      <w:r w:rsidRPr="00440D44">
        <w:fldChar w:fldCharType="begin"/>
      </w:r>
      <w:r w:rsidR="009F4566">
        <w:instrText xml:space="preserve"> ADDIN ZOTERO_ITEM CSL_CITATION {"citationID":"a1q1c5nipdv","properties":{"formattedCitation":"\\super 158\\nosupersub{}","plainCitation":"158","noteIndex":0},"citationItems":[{"id":442,"uris":["http://zotero.org/groups/5563646/items/42BQGPQ7"],"itemData":{"id":442,"type":"document","title":"Local Contribution Study","URL":"https://www.doe.mass.edu/research/reports/2020/12local-contribution-study.docx","author":[{"literal":"Massachusetts DESE"}],"issued":{"date-parts":[["2020",12]]}}}],"schema":"https://github.com/citation-style-language/schema/raw/master/csl-citation.json"} </w:instrText>
      </w:r>
      <w:r w:rsidRPr="00440D44">
        <w:fldChar w:fldCharType="separate"/>
      </w:r>
      <w:r w:rsidR="009F4566" w:rsidRPr="009F4566">
        <w:rPr>
          <w:rFonts w:cs="Arial"/>
          <w:vertAlign w:val="superscript"/>
        </w:rPr>
        <w:t>158</w:t>
      </w:r>
      <w:r w:rsidRPr="00440D44">
        <w:fldChar w:fldCharType="end"/>
      </w:r>
      <w:r w:rsidRPr="00440D44">
        <w:t xml:space="preserve"> School districts fund their annual foundation budgets using a combination of state education aid (commonly referred to as “Chapter 70” aid) and local dollars.</w:t>
      </w:r>
      <w:r w:rsidRPr="00440D44">
        <w:fldChar w:fldCharType="begin"/>
      </w:r>
      <w:r w:rsidR="007A1B6C">
        <w:instrText xml:space="preserve"> ADDIN ZOTERO_ITEM CSL_CITATION {"citationID":"xm6Qk13R","properties":{"formattedCitation":"\\super 158\\nosupersub{}","plainCitation":"158","noteIndex":0},"citationItems":[{"id":442,"uris":["http://zotero.org/groups/5563646/items/42BQGPQ7"],"itemData":{"id":442,"type":"document","title":"Local Contribution Study","URL":"https://www.doe.mass.edu/research/reports/2020/12local-contribution-study.docx","author":[{"literal":"Massachusetts DESE"}],"issued":{"date-parts":[["2020",12]]}}}],"schema":"https://github.com/citation-style-language/schema/raw/master/csl-citation.json"} </w:instrText>
      </w:r>
      <w:r w:rsidRPr="00440D44">
        <w:fldChar w:fldCharType="separate"/>
      </w:r>
      <w:r w:rsidR="007A1B6C" w:rsidRPr="007A1B6C">
        <w:rPr>
          <w:rFonts w:cs="Arial"/>
          <w:vertAlign w:val="superscript"/>
        </w:rPr>
        <w:t>158</w:t>
      </w:r>
      <w:r w:rsidRPr="00440D44">
        <w:fldChar w:fldCharType="end"/>
      </w:r>
      <w:r w:rsidRPr="00440D44">
        <w:t xml:space="preserve"> State funding for local aid and K-12 education represents the second largest category of investment in the Commonwealth’s budget.</w:t>
      </w:r>
      <w:r w:rsidRPr="00072EE1">
        <w:rPr>
          <w:rStyle w:val="normaltextrun"/>
        </w:rPr>
        <w:fldChar w:fldCharType="begin"/>
      </w:r>
      <w:r w:rsidR="00CE1CD5">
        <w:rPr>
          <w:rStyle w:val="normaltextrun"/>
        </w:rPr>
        <w:instrText xml:space="preserve"> ADDIN ZOTERO_ITEM CSL_CITATION {"citationID":"Ez69Yohi","properties":{"formattedCitation":"\\super 159\\nosupersub{}","plainCitation":"159","noteIndex":0},"citationItems":[{"id":443,"uris":["http://zotero.org/groups/5563646/items/SG7MZNJG"],"itemData":{"id":443,"type":"webpage","title":"Local Aid &amp; K-12 Education","URL":"https://www.masstaxpayers.org/sites/default/files/publications/2024-03/MTF%20Closer%20Look%20-%20Local%20Aid%20%26%20K-12%20Education.pdf","author":[{"literal":"MFT"}],"accessed":{"date-parts":[["2024",7,2]]}}}],"schema":"https://github.com/citation-style-language/schema/raw/master/csl-citation.json"} </w:instrText>
      </w:r>
      <w:r w:rsidRPr="00072EE1">
        <w:rPr>
          <w:rStyle w:val="normaltextrun"/>
        </w:rPr>
        <w:fldChar w:fldCharType="separate"/>
      </w:r>
      <w:r w:rsidR="00CE1CD5" w:rsidRPr="00CE1CD5">
        <w:rPr>
          <w:rFonts w:cs="Arial"/>
          <w:vertAlign w:val="superscript"/>
        </w:rPr>
        <w:t>159</w:t>
      </w:r>
      <w:r w:rsidRPr="00072EE1">
        <w:rPr>
          <w:rStyle w:val="normaltextrun"/>
        </w:rPr>
        <w:fldChar w:fldCharType="end"/>
      </w:r>
      <w:r w:rsidRPr="00072EE1">
        <w:rPr>
          <w:rStyle w:val="normaltextrun"/>
        </w:rPr>
        <w:t xml:space="preserve"> </w:t>
      </w:r>
    </w:p>
    <w:p w14:paraId="74792154" w14:textId="77777777" w:rsidR="00FC2423" w:rsidRDefault="00FC2423" w:rsidP="006D7DE6">
      <w:pPr>
        <w:pStyle w:val="BodyTextFirstIndent"/>
        <w:rPr>
          <w:rStyle w:val="normaltextrun"/>
        </w:rPr>
      </w:pPr>
      <w:r w:rsidRPr="00440D44">
        <w:t>School districts often plan, track, and account for annual budgets and expenditures across two separate categories</w:t>
      </w:r>
      <w:r>
        <w:rPr>
          <w:rStyle w:val="normaltextrun"/>
        </w:rPr>
        <w:t xml:space="preserve">: </w:t>
      </w:r>
    </w:p>
    <w:p w14:paraId="660088DA" w14:textId="77777777" w:rsidR="00FC2423" w:rsidRPr="00440D44" w:rsidRDefault="00FC2423" w:rsidP="008131EB">
      <w:pPr>
        <w:pStyle w:val="ListBullet"/>
        <w:rPr>
          <w:rStyle w:val="normaltextrun"/>
          <w:rFonts w:eastAsiaTheme="majorEastAsia"/>
        </w:rPr>
      </w:pPr>
      <w:r w:rsidRPr="00440D44">
        <w:rPr>
          <w:rFonts w:eastAsiaTheme="majorEastAsia"/>
          <w:b/>
          <w:bCs/>
        </w:rPr>
        <w:t>Operating budgets/expenses</w:t>
      </w:r>
      <w:r w:rsidRPr="00440D44">
        <w:rPr>
          <w:rFonts w:eastAsiaTheme="majorEastAsia"/>
        </w:rPr>
        <w:t xml:space="preserve"> include the expenses required for day-to-day school operations, including salaries, utilities, administrative costs, and maintenance expenses</w:t>
      </w:r>
      <w:r w:rsidRPr="00440D44">
        <w:rPr>
          <w:rStyle w:val="normaltextrun"/>
          <w:rFonts w:eastAsiaTheme="majorEastAsia"/>
        </w:rPr>
        <w:t xml:space="preserve">.  </w:t>
      </w:r>
    </w:p>
    <w:p w14:paraId="3D8EFE6B" w14:textId="77777777" w:rsidR="00FC2423" w:rsidRPr="00440D44" w:rsidRDefault="00FC2423" w:rsidP="008131EB">
      <w:pPr>
        <w:pStyle w:val="ListBullet"/>
        <w:rPr>
          <w:rStyle w:val="normaltextrun"/>
          <w:rFonts w:eastAsiaTheme="majorEastAsia"/>
        </w:rPr>
      </w:pPr>
      <w:r w:rsidRPr="00440D44">
        <w:rPr>
          <w:rFonts w:eastAsiaTheme="majorEastAsia"/>
          <w:b/>
          <w:bCs/>
        </w:rPr>
        <w:t>Capital budgets/expenditures</w:t>
      </w:r>
      <w:r w:rsidRPr="00440D44">
        <w:rPr>
          <w:rFonts w:eastAsiaTheme="majorEastAsia"/>
        </w:rPr>
        <w:t xml:space="preserve"> cover longer-term investments in the infrastructure, facilities, and equipment for a district’s schools</w:t>
      </w:r>
      <w:r w:rsidRPr="00440D44">
        <w:rPr>
          <w:rStyle w:val="normaltextrun"/>
          <w:rFonts w:eastAsiaTheme="majorEastAsia"/>
        </w:rPr>
        <w:t xml:space="preserve">. </w:t>
      </w:r>
    </w:p>
    <w:p w14:paraId="31C325F0" w14:textId="77777777" w:rsidR="00FC2423" w:rsidRDefault="00FC2423" w:rsidP="006D7DE6">
      <w:pPr>
        <w:pStyle w:val="BodyTextFirstIndent"/>
        <w:rPr>
          <w:rStyle w:val="normaltextrun"/>
        </w:rPr>
      </w:pPr>
      <w:r w:rsidRPr="00440D44">
        <w:lastRenderedPageBreak/>
        <w:t>Both operating and capital funding are necessary to implement the collection of strategies included in this report</w:t>
      </w:r>
      <w:r w:rsidRPr="00072EE1">
        <w:rPr>
          <w:rStyle w:val="normaltextrun"/>
        </w:rPr>
        <w:t>.</w:t>
      </w:r>
    </w:p>
    <w:p w14:paraId="26934493" w14:textId="65848A57" w:rsidR="00FC2423" w:rsidRPr="00072EE1" w:rsidRDefault="00F4361A" w:rsidP="006D7DE6">
      <w:pPr>
        <w:pStyle w:val="BodyTextFirstIndent"/>
        <w:rPr>
          <w:rStyle w:val="normaltextrun"/>
        </w:rPr>
      </w:pPr>
      <w:r w:rsidRPr="00440D44">
        <w:rPr>
          <w:noProof/>
        </w:rPr>
        <mc:AlternateContent>
          <mc:Choice Requires="wps">
            <w:drawing>
              <wp:anchor distT="0" distB="0" distL="114300" distR="114300" simplePos="0" relativeHeight="251634176" behindDoc="0" locked="0" layoutInCell="1" allowOverlap="1" wp14:anchorId="4FE30789" wp14:editId="28FF9BB5">
                <wp:simplePos x="0" y="0"/>
                <wp:positionH relativeFrom="margin">
                  <wp:posOffset>0</wp:posOffset>
                </wp:positionH>
                <wp:positionV relativeFrom="paragraph">
                  <wp:posOffset>52412</wp:posOffset>
                </wp:positionV>
                <wp:extent cx="1776730" cy="956945"/>
                <wp:effectExtent l="0" t="0" r="13970" b="8255"/>
                <wp:wrapSquare wrapText="bothSides"/>
                <wp:docPr id="1279882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56945"/>
                        </a:xfrm>
                        <a:prstGeom prst="rect">
                          <a:avLst/>
                        </a:prstGeom>
                        <a:solidFill>
                          <a:srgbClr val="DCE6F2"/>
                        </a:solidFill>
                        <a:ln w="9525">
                          <a:solidFill>
                            <a:srgbClr val="000000"/>
                          </a:solidFill>
                          <a:miter lim="800000"/>
                          <a:headEnd/>
                          <a:tailEnd/>
                        </a:ln>
                      </wps:spPr>
                      <wps:txbx>
                        <w:txbxContent>
                          <w:p w14:paraId="4FABD559" w14:textId="77777777" w:rsidR="00FC2423" w:rsidRPr="002B6375" w:rsidRDefault="00FC2423" w:rsidP="00FC2423">
                            <w:pPr>
                              <w:pStyle w:val="TextBoxItal"/>
                            </w:pPr>
                            <w:r w:rsidRPr="002B6375">
                              <w:t>Schools across the Commonwealth have an estimated capital expenditure gap of $1.39 billion.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E30789" id="_x0000_s1048" type="#_x0000_t202" style="position:absolute;margin-left:0;margin-top:4.15pt;width:139.9pt;height:75.3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" fillcolor="#dce6f2">
                <v:textbox>
                  <w:txbxContent>
                    <w:p w14:paraId="4FABD559" w14:textId="77777777" w:rsidR="00FC2423" w:rsidRPr="002B6375" w:rsidRDefault="00FC2423" w:rsidP="00FC2423">
                      <w:pPr>
                        <w:pStyle w:val="TextBoxItal"/>
                      </w:pPr>
                      <w:r w:rsidRPr="002B6375">
                        <w:t>Schools across the Commonwealth have an estimated capital expenditure gap of $1.39 billion.</w:t>
                      </w:r>
                    </w:p>
                  </w:txbxContent>
                </v:textbox>
                <w10:wrap type="square" anchorx="margin"/>
              </v:shape>
            </w:pict>
          </mc:Fallback>
        </mc:AlternateContent>
      </w:r>
      <w:r w:rsidR="00FC2423" w:rsidRPr="00440D44">
        <w:t>Schools often operate in funding constrained environments and compete against other schools for grant funding and other limited resources. Among other impacts, this limitation of financial resources can result in significant deferred maintenance of school buildings. A 2021 report by the Office of the State Auditor noted that schools across the Commonwealth have an estimated capital expenditure gap of $1.39 billion.</w:t>
      </w:r>
      <w:r w:rsidR="00FC2423" w:rsidRPr="00440D44">
        <w:fldChar w:fldCharType="begin"/>
      </w:r>
      <w:r w:rsidR="00466CB5">
        <w:instrText xml:space="preserve"> ADDIN ZOTERO_ITEM CSL_CITATION {"citationID":"a2p9uf1qkrm","properties":{"formattedCitation":"\\super 160\\nosupersub{}","plainCitation":"160","noteIndex":0},"citationItems":[{"id":1036,"uris":["http://zotero.org/groups/5563646/items/HWRBVNVI"],"itemData":{"id":1036,"type":"report","title":"Public Infrastructure in Western Massachusetts:  A Critical Need for Regional Investment  and Revitalization","URL":"https://www.mass.gov/doc/public-infrastructure-in-western-massachusetts-a-critical-need-for-regional-investment-and-revitalization/download","author":[{"family":"Commonwealth of Massachusetts, Office of State Auditor","given":""}],"issued":{"date-parts":[["2021",10,5]]}}}],"schema":"https://github.com/citation-style-language/schema/raw/master/csl-citation.json"} </w:instrText>
      </w:r>
      <w:r w:rsidR="00FC2423" w:rsidRPr="00440D44">
        <w:fldChar w:fldCharType="separate"/>
      </w:r>
      <w:r w:rsidR="00466CB5" w:rsidRPr="00466CB5">
        <w:rPr>
          <w:rFonts w:cs="Arial"/>
          <w:vertAlign w:val="superscript"/>
        </w:rPr>
        <w:t>160</w:t>
      </w:r>
      <w:r w:rsidR="00FC2423" w:rsidRPr="00440D44">
        <w:fldChar w:fldCharType="end"/>
      </w:r>
      <w:r w:rsidR="00FC2423" w:rsidRPr="00440D44">
        <w:t xml:space="preserve"> Organizations often use lifecycle cost analyses to understand the relationship between upfront capital costs and expected operational savings over the life of a project. While many schools strive to implement lifecycle cost-effective projects to meet their fiduciary duty, limited capital funding at the time of project implementation often results in projects that do not realize the full benefit of ongoing operational savings</w:t>
      </w:r>
      <w:r w:rsidR="00FC2423" w:rsidRPr="00072EE1">
        <w:rPr>
          <w:rStyle w:val="normaltextrun"/>
        </w:rPr>
        <w:t>.</w:t>
      </w:r>
    </w:p>
    <w:p w14:paraId="7ABA93D1" w14:textId="77777777" w:rsidR="00FC2423" w:rsidRDefault="00FC2423" w:rsidP="006D7DE6">
      <w:pPr>
        <w:pStyle w:val="BodyTextFirstIndent"/>
        <w:rPr>
          <w:rStyle w:val="normaltextrun"/>
        </w:rPr>
      </w:pPr>
      <w:r w:rsidRPr="00440D44">
        <w:t>This section provides an overview of the following categories of funding sources and strategies that help Massachusetts school districts achieve green and healthy schools</w:t>
      </w:r>
      <w:r>
        <w:rPr>
          <w:rStyle w:val="normaltextrun"/>
        </w:rPr>
        <w:t>:</w:t>
      </w:r>
    </w:p>
    <w:p w14:paraId="1DBD91AF" w14:textId="119FAF1C" w:rsidR="00E11FDC" w:rsidRPr="00440D44" w:rsidRDefault="00E11FDC" w:rsidP="008131EB">
      <w:pPr>
        <w:pStyle w:val="ListBullet"/>
        <w:rPr>
          <w:rFonts w:eastAsiaTheme="majorEastAsia"/>
        </w:rPr>
      </w:pPr>
      <w:r w:rsidRPr="00440D44">
        <w:rPr>
          <w:rFonts w:eastAsiaTheme="majorEastAsia"/>
        </w:rPr>
        <w:t xml:space="preserve">Local contribution to </w:t>
      </w:r>
      <w:r w:rsidR="00782416" w:rsidRPr="00440D44">
        <w:rPr>
          <w:rFonts w:eastAsiaTheme="majorEastAsia"/>
        </w:rPr>
        <w:t>municipality’s foundation budget</w:t>
      </w:r>
    </w:p>
    <w:p w14:paraId="428E6AFE" w14:textId="7A9F4A0C" w:rsidR="00782416" w:rsidRPr="00440D44" w:rsidRDefault="00782416" w:rsidP="008131EB">
      <w:pPr>
        <w:pStyle w:val="ListBullet"/>
        <w:rPr>
          <w:rFonts w:eastAsiaTheme="majorEastAsia"/>
        </w:rPr>
      </w:pPr>
      <w:r w:rsidRPr="00440D44">
        <w:rPr>
          <w:rFonts w:eastAsiaTheme="majorEastAsia"/>
        </w:rPr>
        <w:t>Chapter 70 state aid</w:t>
      </w:r>
    </w:p>
    <w:p w14:paraId="15FBADA8" w14:textId="360F2EDE" w:rsidR="00782416" w:rsidRPr="00440D44" w:rsidRDefault="00782416" w:rsidP="008131EB">
      <w:pPr>
        <w:pStyle w:val="ListBullet"/>
        <w:rPr>
          <w:rFonts w:eastAsiaTheme="majorEastAsia"/>
        </w:rPr>
      </w:pPr>
      <w:r w:rsidRPr="00440D44">
        <w:rPr>
          <w:rFonts w:eastAsiaTheme="majorEastAsia"/>
        </w:rPr>
        <w:t xml:space="preserve">Rural </w:t>
      </w:r>
      <w:r w:rsidR="005B5CEE" w:rsidRPr="00440D44">
        <w:rPr>
          <w:rFonts w:eastAsiaTheme="majorEastAsia"/>
        </w:rPr>
        <w:t xml:space="preserve">school </w:t>
      </w:r>
      <w:r w:rsidRPr="00440D44">
        <w:rPr>
          <w:rFonts w:eastAsiaTheme="majorEastAsia"/>
        </w:rPr>
        <w:t>aid</w:t>
      </w:r>
    </w:p>
    <w:p w14:paraId="7B038B7C" w14:textId="183B7F7F" w:rsidR="00782416" w:rsidRPr="00440D44" w:rsidRDefault="00782416" w:rsidP="008131EB">
      <w:pPr>
        <w:pStyle w:val="ListBullet"/>
        <w:rPr>
          <w:rFonts w:eastAsiaTheme="majorEastAsia"/>
        </w:rPr>
      </w:pPr>
      <w:r w:rsidRPr="00440D44">
        <w:rPr>
          <w:rFonts w:eastAsiaTheme="majorEastAsia"/>
        </w:rPr>
        <w:t>Municipal debt</w:t>
      </w:r>
    </w:p>
    <w:p w14:paraId="2ECC1D7C" w14:textId="77777777" w:rsidR="00782416" w:rsidRPr="00440D44" w:rsidRDefault="00782416" w:rsidP="008131EB">
      <w:pPr>
        <w:pStyle w:val="ListBullet"/>
        <w:rPr>
          <w:rFonts w:eastAsiaTheme="majorEastAsia"/>
        </w:rPr>
      </w:pPr>
      <w:r w:rsidRPr="00440D44">
        <w:rPr>
          <w:rFonts w:eastAsiaTheme="majorEastAsia"/>
        </w:rPr>
        <w:t>Grants</w:t>
      </w:r>
    </w:p>
    <w:p w14:paraId="796C1A7F" w14:textId="4341686E" w:rsidR="00F45F73" w:rsidRPr="00440D44" w:rsidRDefault="00F45F73" w:rsidP="008131EB">
      <w:pPr>
        <w:pStyle w:val="ListBullet"/>
        <w:rPr>
          <w:rFonts w:eastAsiaTheme="majorEastAsia"/>
        </w:rPr>
      </w:pPr>
      <w:r w:rsidRPr="00440D44">
        <w:rPr>
          <w:rFonts w:eastAsiaTheme="majorEastAsia"/>
        </w:rPr>
        <w:t>No-cost technical support</w:t>
      </w:r>
    </w:p>
    <w:p w14:paraId="3362C816" w14:textId="0AB7D657" w:rsidR="00782416" w:rsidRPr="00440D44" w:rsidRDefault="00CA21C2" w:rsidP="008131EB">
      <w:pPr>
        <w:pStyle w:val="ListBullet"/>
        <w:rPr>
          <w:rFonts w:eastAsiaTheme="majorEastAsia"/>
        </w:rPr>
      </w:pPr>
      <w:r w:rsidRPr="00440D44">
        <w:rPr>
          <w:rFonts w:eastAsiaTheme="majorEastAsia"/>
        </w:rPr>
        <w:t>Incentives/rebates/t</w:t>
      </w:r>
      <w:r w:rsidR="00782416" w:rsidRPr="00440D44">
        <w:rPr>
          <w:rFonts w:eastAsiaTheme="majorEastAsia"/>
        </w:rPr>
        <w:t>ax credits</w:t>
      </w:r>
    </w:p>
    <w:p w14:paraId="1CA65715" w14:textId="6FA2B973" w:rsidR="00782416" w:rsidRDefault="00782416" w:rsidP="008131EB">
      <w:pPr>
        <w:pStyle w:val="ListBullet"/>
        <w:rPr>
          <w:rStyle w:val="normaltextrun"/>
          <w:rFonts w:eastAsiaTheme="majorEastAsia"/>
        </w:rPr>
      </w:pPr>
      <w:r w:rsidRPr="00440D44">
        <w:rPr>
          <w:rFonts w:eastAsiaTheme="majorEastAsia"/>
        </w:rPr>
        <w:t>Third-party financing</w:t>
      </w:r>
    </w:p>
    <w:p w14:paraId="62C59FA7" w14:textId="77777777" w:rsidR="00FC2423" w:rsidRPr="00D31079" w:rsidRDefault="00FC2423" w:rsidP="001C7888">
      <w:pPr>
        <w:pStyle w:val="Heading2"/>
        <w:rPr>
          <w:rFonts w:eastAsiaTheme="majorEastAsia"/>
        </w:rPr>
      </w:pPr>
      <w:bookmarkStart w:id="416" w:name="_Toc193116916"/>
      <w:r w:rsidRPr="00D31079">
        <w:rPr>
          <w:rFonts w:eastAsiaTheme="majorEastAsia"/>
        </w:rPr>
        <w:t>Local Contribution to Municipality’s Foundation Budget</w:t>
      </w:r>
      <w:bookmarkEnd w:id="416"/>
    </w:p>
    <w:p w14:paraId="528AA4B4" w14:textId="0B206319" w:rsidR="00FC2423" w:rsidRDefault="00FC2423" w:rsidP="006D7DE6">
      <w:pPr>
        <w:pStyle w:val="BodyTextFirstIndent"/>
        <w:rPr>
          <w:rStyle w:val="normaltextrun"/>
        </w:rPr>
      </w:pPr>
      <w:r>
        <w:rPr>
          <w:rStyle w:val="normaltextrun"/>
        </w:rPr>
        <w:t>As previously noted, each Massachusetts school district has its foundation budget calculated annually. This annual foundation budget is then funded by a combination of local contributions by the municipality and Chapter 70 aid from the Commonwealth. Each community’s local contribution is unique and based on the community’s respective property values and resident incomes.</w:t>
      </w:r>
      <w:r>
        <w:rPr>
          <w:rStyle w:val="normaltextrun"/>
        </w:rPr>
        <w:fldChar w:fldCharType="begin"/>
      </w:r>
      <w:r w:rsidR="00AA52F8">
        <w:rPr>
          <w:rStyle w:val="normaltextrun"/>
        </w:rPr>
        <w:instrText xml:space="preserve"> ADDIN ZOTERO_ITEM CSL_CITATION {"citationID":"a263jtjrh6s","properties":{"formattedCitation":"\\super 161\\nosupersub{}","plainCitation":"161","noteIndex":0},"citationItems":[{"id":1039,"uris":["http://zotero.org/groups/5563646/items/IHDLH5MG"],"itemData":{"id":1039,"type":"speech","title":"Overview of Chapter 70 Funding for Education","URL":"https://www.mma.org/wp-content/uploads/2024/03/MMA-webinar-Ch70-Foundation-Budget-Presentation-3.20.24.pdf","author":[{"family":"Allen","given":"Brian"}]}}],"schema":"https://github.com/citation-style-language/schema/raw/master/csl-citation.json"} </w:instrText>
      </w:r>
      <w:r>
        <w:rPr>
          <w:rStyle w:val="normaltextrun"/>
        </w:rPr>
        <w:fldChar w:fldCharType="separate"/>
      </w:r>
      <w:r w:rsidR="00AA52F8" w:rsidRPr="00AA52F8">
        <w:rPr>
          <w:rFonts w:cs="Arial"/>
          <w:vertAlign w:val="superscript"/>
        </w:rPr>
        <w:t>161</w:t>
      </w:r>
      <w:r>
        <w:rPr>
          <w:rStyle w:val="normaltextrun"/>
        </w:rPr>
        <w:fldChar w:fldCharType="end"/>
      </w:r>
      <w:r>
        <w:rPr>
          <w:rStyle w:val="normaltextrun"/>
        </w:rPr>
        <w:t xml:space="preserve"> Annual local contributions are calculated using a progressive formula </w:t>
      </w:r>
      <w:r w:rsidRPr="00D7356C">
        <w:rPr>
          <w:rStyle w:val="normaltextrun"/>
        </w:rPr>
        <w:t xml:space="preserve">whereby municipalities </w:t>
      </w:r>
      <w:r>
        <w:rPr>
          <w:rStyle w:val="normaltextrun"/>
        </w:rPr>
        <w:t>having</w:t>
      </w:r>
      <w:r w:rsidRPr="00D7356C">
        <w:rPr>
          <w:rStyle w:val="normaltextrun"/>
        </w:rPr>
        <w:t xml:space="preserve"> greater fiscal resources </w:t>
      </w:r>
      <w:r>
        <w:rPr>
          <w:rStyle w:val="normaltextrun"/>
        </w:rPr>
        <w:t>contribute</w:t>
      </w:r>
      <w:r w:rsidRPr="00D7356C">
        <w:rPr>
          <w:rStyle w:val="normaltextrun"/>
        </w:rPr>
        <w:t xml:space="preserve"> a larger share of their foundation budgets, while municipalities </w:t>
      </w:r>
      <w:r>
        <w:rPr>
          <w:rStyle w:val="normaltextrun"/>
        </w:rPr>
        <w:t>having</w:t>
      </w:r>
      <w:r w:rsidRPr="00D7356C">
        <w:rPr>
          <w:rStyle w:val="normaltextrun"/>
        </w:rPr>
        <w:t xml:space="preserve"> fewer fiscal resources </w:t>
      </w:r>
      <w:r>
        <w:rPr>
          <w:rStyle w:val="normaltextrun"/>
        </w:rPr>
        <w:t>contribute</w:t>
      </w:r>
      <w:r w:rsidRPr="00D7356C">
        <w:rPr>
          <w:rStyle w:val="normaltextrun"/>
        </w:rPr>
        <w:t xml:space="preserve"> a smaller share</w:t>
      </w:r>
      <w:r>
        <w:rPr>
          <w:rStyle w:val="normaltextrun"/>
        </w:rPr>
        <w:t xml:space="preserve">. </w:t>
      </w:r>
      <w:r w:rsidRPr="00C94076">
        <w:rPr>
          <w:rStyle w:val="normaltextrun"/>
        </w:rPr>
        <w:t xml:space="preserve">The maximum local contribution is set at 82.5 percent of </w:t>
      </w:r>
      <w:r w:rsidR="00B23567" w:rsidRPr="00C94076">
        <w:rPr>
          <w:rStyle w:val="normaltextrun"/>
        </w:rPr>
        <w:t>the foundation</w:t>
      </w:r>
      <w:r w:rsidRPr="00C94076">
        <w:rPr>
          <w:rStyle w:val="normaltextrun"/>
        </w:rPr>
        <w:t xml:space="preserve"> budget</w:t>
      </w:r>
      <w:r>
        <w:rPr>
          <w:rStyle w:val="normaltextrun"/>
        </w:rPr>
        <w:t xml:space="preserve">. </w:t>
      </w:r>
    </w:p>
    <w:p w14:paraId="2BDD81D5" w14:textId="77777777" w:rsidR="00FC2423" w:rsidRPr="00A01F8B" w:rsidRDefault="00FC2423" w:rsidP="001C7888">
      <w:pPr>
        <w:pStyle w:val="Heading2"/>
        <w:rPr>
          <w:rStyle w:val="normaltextrun"/>
          <w:rFonts w:eastAsiaTheme="majorEastAsia"/>
        </w:rPr>
      </w:pPr>
      <w:bookmarkStart w:id="417" w:name="_Toc193116917"/>
      <w:r w:rsidRPr="00A01F8B">
        <w:rPr>
          <w:rStyle w:val="normaltextrun"/>
          <w:rFonts w:eastAsiaTheme="majorEastAsia"/>
        </w:rPr>
        <w:lastRenderedPageBreak/>
        <w:t>Chapter 70</w:t>
      </w:r>
      <w:r>
        <w:rPr>
          <w:rStyle w:val="normaltextrun"/>
          <w:rFonts w:eastAsiaTheme="majorEastAsia"/>
        </w:rPr>
        <w:t xml:space="preserve"> State Aid</w:t>
      </w:r>
      <w:bookmarkEnd w:id="417"/>
    </w:p>
    <w:p w14:paraId="716DDB4E" w14:textId="69C248D8" w:rsidR="00782416" w:rsidRPr="00440D44" w:rsidRDefault="001D25D6" w:rsidP="006D7DE6">
      <w:pPr>
        <w:pStyle w:val="BodyTextFirstIndent"/>
        <w:rPr>
          <w:rStyle w:val="normaltextrun"/>
        </w:rPr>
      </w:pPr>
      <w:r w:rsidRPr="00440D44">
        <w:rPr>
          <w:rStyle w:val="normaltextrun"/>
        </w:rPr>
        <w:t>Chapter 70 state aid</w:t>
      </w:r>
      <w:r w:rsidR="00982538" w:rsidRPr="00440D44">
        <w:rPr>
          <w:rStyle w:val="normaltextrun"/>
        </w:rPr>
        <w:t xml:space="preserve"> represents the quantity of </w:t>
      </w:r>
      <w:r w:rsidR="00463BF2" w:rsidRPr="00440D44">
        <w:rPr>
          <w:rStyle w:val="normaltextrun"/>
        </w:rPr>
        <w:t xml:space="preserve">annual </w:t>
      </w:r>
      <w:r w:rsidR="00982538" w:rsidRPr="00440D44">
        <w:rPr>
          <w:rStyle w:val="normaltextrun"/>
        </w:rPr>
        <w:t xml:space="preserve">funding that the Commonwealth provides </w:t>
      </w:r>
      <w:r w:rsidR="00463BF2" w:rsidRPr="00440D44">
        <w:rPr>
          <w:rStyle w:val="normaltextrun"/>
        </w:rPr>
        <w:t>to each school district to make up the difference between each district’s annual foundation bud</w:t>
      </w:r>
      <w:r w:rsidR="00885237" w:rsidRPr="00440D44">
        <w:rPr>
          <w:rStyle w:val="normaltextrun"/>
        </w:rPr>
        <w:t>g</w:t>
      </w:r>
      <w:r w:rsidR="00463BF2" w:rsidRPr="00440D44">
        <w:rPr>
          <w:rStyle w:val="normaltextrun"/>
        </w:rPr>
        <w:t>et</w:t>
      </w:r>
      <w:r w:rsidR="00885237" w:rsidRPr="00440D44">
        <w:rPr>
          <w:rStyle w:val="normaltextrun"/>
        </w:rPr>
        <w:t xml:space="preserve"> and the local contribution </w:t>
      </w:r>
      <w:r w:rsidR="002C3013" w:rsidRPr="00440D44">
        <w:rPr>
          <w:rStyle w:val="normaltextrun"/>
        </w:rPr>
        <w:t xml:space="preserve">provided from </w:t>
      </w:r>
      <w:r w:rsidR="0091754B" w:rsidRPr="00440D44">
        <w:rPr>
          <w:rStyle w:val="normaltextrun"/>
        </w:rPr>
        <w:t>the community.</w:t>
      </w:r>
      <w:r w:rsidRPr="00440D44">
        <w:rPr>
          <w:rStyle w:val="normaltextrun"/>
        </w:rPr>
        <w:t xml:space="preserve"> </w:t>
      </w:r>
    </w:p>
    <w:p w14:paraId="6BCA8631" w14:textId="0CF101E5" w:rsidR="00FC2423" w:rsidRDefault="00FC2423" w:rsidP="001C7888">
      <w:pPr>
        <w:pStyle w:val="Heading2"/>
        <w:rPr>
          <w:rStyle w:val="normaltextrun"/>
          <w:rFonts w:eastAsiaTheme="majorEastAsia"/>
        </w:rPr>
      </w:pPr>
      <w:bookmarkStart w:id="418" w:name="_Toc193116918"/>
      <w:r>
        <w:rPr>
          <w:rStyle w:val="normaltextrun"/>
          <w:rFonts w:eastAsiaTheme="majorEastAsia"/>
        </w:rPr>
        <w:t xml:space="preserve">Rural </w:t>
      </w:r>
      <w:r w:rsidR="005B5CEE">
        <w:rPr>
          <w:rStyle w:val="normaltextrun"/>
          <w:rFonts w:eastAsiaTheme="majorEastAsia"/>
        </w:rPr>
        <w:t xml:space="preserve">School </w:t>
      </w:r>
      <w:r w:rsidR="00485282">
        <w:rPr>
          <w:rStyle w:val="normaltextrun"/>
          <w:rFonts w:eastAsiaTheme="majorEastAsia"/>
        </w:rPr>
        <w:t>A</w:t>
      </w:r>
      <w:r>
        <w:rPr>
          <w:rStyle w:val="normaltextrun"/>
          <w:rFonts w:eastAsiaTheme="majorEastAsia"/>
        </w:rPr>
        <w:t>id</w:t>
      </w:r>
      <w:bookmarkEnd w:id="418"/>
    </w:p>
    <w:p w14:paraId="170A23EC" w14:textId="3D52F677" w:rsidR="007373B4" w:rsidRPr="0067125E" w:rsidRDefault="005B5CEE" w:rsidP="006D7DE6">
      <w:pPr>
        <w:pStyle w:val="BodyTextFirstIndent"/>
      </w:pPr>
      <w:r>
        <w:t xml:space="preserve">The state legislature has appropriated </w:t>
      </w:r>
      <w:r w:rsidR="00651C36">
        <w:t>r</w:t>
      </w:r>
      <w:r>
        <w:t xml:space="preserve">ural </w:t>
      </w:r>
      <w:r w:rsidR="00651C36">
        <w:t>s</w:t>
      </w:r>
      <w:r>
        <w:t xml:space="preserve">chool </w:t>
      </w:r>
      <w:r w:rsidR="00651C36">
        <w:t>a</w:t>
      </w:r>
      <w:r>
        <w:t>id since fiscal year 2020.</w:t>
      </w:r>
      <w:r>
        <w:fldChar w:fldCharType="begin"/>
      </w:r>
      <w:r w:rsidR="00A5288B">
        <w:instrText xml:space="preserve"> ADDIN ZOTERO_ITEM CSL_CITATION {"citationID":"a28m6nsk24m","properties":{"formattedCitation":"\\super 162\\nosupersub{}","plainCitation":"162","noteIndex":0},"citationItems":[{"id":1046,"uris":["http://zotero.org/groups/5563646/items/9XCPQ3K6"],"itemData":{"id":1046,"type":"report","title":"A Sustainable Future for Rural Schools","URL":"https://drive.google.com/file/d/1i8MgkvJNG_mJDOoFL9yPIX1fz2NgiLT7/view?usp=sharing&amp;usp=embed_facebook","author":[{"family":"Commission on the Fiscal Health of Rural School Districts","given":""}],"accessed":{"date-parts":[["2024",8,8]]},"issued":{"date-parts":[["2022",7]]}}}],"schema":"https://github.com/citation-style-language/schema/raw/master/csl-citation.json"} </w:instrText>
      </w:r>
      <w:r>
        <w:fldChar w:fldCharType="separate"/>
      </w:r>
      <w:r w:rsidR="00A5288B" w:rsidRPr="00A5288B">
        <w:rPr>
          <w:rFonts w:cs="Arial"/>
          <w:vertAlign w:val="superscript"/>
        </w:rPr>
        <w:t>162</w:t>
      </w:r>
      <w:r>
        <w:fldChar w:fldCharType="end"/>
      </w:r>
      <w:r>
        <w:t xml:space="preserve"> </w:t>
      </w:r>
      <w:r w:rsidR="007373B4" w:rsidRPr="0067125E">
        <w:t xml:space="preserve">DESE </w:t>
      </w:r>
      <w:r w:rsidR="00C63BB8">
        <w:t xml:space="preserve">determines </w:t>
      </w:r>
      <w:r w:rsidR="007373B4" w:rsidRPr="0067125E">
        <w:t xml:space="preserve">funding to eligible </w:t>
      </w:r>
      <w:r w:rsidR="00C63BB8">
        <w:t xml:space="preserve">school </w:t>
      </w:r>
      <w:r w:rsidR="007373B4" w:rsidRPr="0067125E">
        <w:t xml:space="preserve">districts based on </w:t>
      </w:r>
      <w:r w:rsidR="008369AB">
        <w:t xml:space="preserve">each district’s </w:t>
      </w:r>
      <w:r w:rsidR="007373B4" w:rsidRPr="0067125E">
        <w:t>student density</w:t>
      </w:r>
      <w:r w:rsidR="008369AB">
        <w:t xml:space="preserve"> and per capita income</w:t>
      </w:r>
      <w:r w:rsidR="007373B4" w:rsidRPr="0067125E">
        <w:t xml:space="preserve">. </w:t>
      </w:r>
      <w:r w:rsidR="00651C36">
        <w:t>School districts are permitted to use r</w:t>
      </w:r>
      <w:r w:rsidR="007373B4" w:rsidRPr="0067125E">
        <w:t>ural school aid for a variety of purposes to support district operations,</w:t>
      </w:r>
      <w:r w:rsidR="0072193C">
        <w:t xml:space="preserve"> including </w:t>
      </w:r>
      <w:r w:rsidR="007373B4" w:rsidRPr="0067125E">
        <w:t>increas</w:t>
      </w:r>
      <w:r w:rsidR="0072193C">
        <w:t>ing</w:t>
      </w:r>
      <w:r w:rsidR="007373B4" w:rsidRPr="0067125E">
        <w:t xml:space="preserve"> regional collaboration, consolidation, </w:t>
      </w:r>
      <w:r w:rsidR="006A2CF2">
        <w:t>and</w:t>
      </w:r>
      <w:r w:rsidR="007373B4" w:rsidRPr="0067125E">
        <w:t xml:space="preserve"> improv</w:t>
      </w:r>
      <w:r w:rsidR="006A2CF2">
        <w:t>ing</w:t>
      </w:r>
      <w:r w:rsidR="007373B4" w:rsidRPr="0067125E">
        <w:t xml:space="preserve"> long-term operational efficiency and effectiveness.</w:t>
      </w:r>
      <w:r w:rsidR="007373B4" w:rsidRPr="0067125E">
        <w:fldChar w:fldCharType="begin"/>
      </w:r>
      <w:r w:rsidR="009D1E40">
        <w:instrText xml:space="preserve"> ADDIN ZOTERO_ITEM CSL_CITATION {"citationID":"vfCM8ITz","properties":{"formattedCitation":"\\super 163\\nosupersub{}","plainCitation":"163","noteIndex":0},"citationItems":[{"id":497,"uris":["http://zotero.org/groups/5563646/items/HUA5DSAD"],"itemData":{"id":497,"type":"webpage","title":"FY2024 Rural School Aid - Chapter 70 Program - School Finance","URL":"https://www.doe.mass.edu/finance/chapter70/foundation/fy2024-rural-school-aid.html","accessed":{"date-parts":[["2024",7,15]]}}}],"schema":"https://github.com/citation-style-language/schema/raw/master/csl-citation.json"} </w:instrText>
      </w:r>
      <w:r w:rsidR="007373B4" w:rsidRPr="0067125E">
        <w:fldChar w:fldCharType="separate"/>
      </w:r>
      <w:r w:rsidR="009D1E40" w:rsidRPr="009D1E40">
        <w:rPr>
          <w:rFonts w:cs="Arial"/>
          <w:vertAlign w:val="superscript"/>
        </w:rPr>
        <w:t>163</w:t>
      </w:r>
      <w:r w:rsidR="007373B4" w:rsidRPr="0067125E">
        <w:fldChar w:fldCharType="end"/>
      </w:r>
    </w:p>
    <w:p w14:paraId="39B19833" w14:textId="1A98D54E" w:rsidR="00485282" w:rsidRDefault="006D5EB5" w:rsidP="001C7888">
      <w:pPr>
        <w:pStyle w:val="Heading2"/>
        <w:rPr>
          <w:rStyle w:val="normaltextrun"/>
          <w:rFonts w:eastAsiaTheme="majorEastAsia"/>
        </w:rPr>
      </w:pPr>
      <w:bookmarkStart w:id="419" w:name="_Toc193116919"/>
      <w:r w:rsidRPr="00926BF3">
        <w:rPr>
          <w:noProof/>
        </w:rPr>
        <mc:AlternateContent>
          <mc:Choice Requires="wps">
            <w:drawing>
              <wp:anchor distT="0" distB="0" distL="114300" distR="114300" simplePos="0" relativeHeight="251638272" behindDoc="0" locked="0" layoutInCell="1" allowOverlap="1" wp14:anchorId="39EFCAE0" wp14:editId="773F1D85">
                <wp:simplePos x="0" y="0"/>
                <wp:positionH relativeFrom="margin">
                  <wp:align>right</wp:align>
                </wp:positionH>
                <wp:positionV relativeFrom="paragraph">
                  <wp:posOffset>144780</wp:posOffset>
                </wp:positionV>
                <wp:extent cx="3889375" cy="2397760"/>
                <wp:effectExtent l="0" t="0" r="15875" b="21590"/>
                <wp:wrapSquare wrapText="bothSides"/>
                <wp:docPr id="1393155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2397760"/>
                        </a:xfrm>
                        <a:prstGeom prst="rect">
                          <a:avLst/>
                        </a:prstGeom>
                        <a:solidFill>
                          <a:srgbClr val="DCE6F2"/>
                        </a:solidFill>
                        <a:ln w="9525">
                          <a:solidFill>
                            <a:srgbClr val="000000"/>
                          </a:solidFill>
                          <a:miter lim="800000"/>
                          <a:headEnd/>
                          <a:tailEnd/>
                        </a:ln>
                      </wps:spPr>
                      <wps:txbx>
                        <w:txbxContent>
                          <w:p w14:paraId="446CACD0" w14:textId="0C041CEC" w:rsidR="004802AA" w:rsidRDefault="004802AA" w:rsidP="004802AA">
                            <w:pPr>
                              <w:pStyle w:val="TextBoxTitle"/>
                              <w:rPr>
                                <w:rStyle w:val="eop"/>
                                <w:rFonts w:eastAsiaTheme="majorEastAsia"/>
                              </w:rPr>
                            </w:pPr>
                            <w:r>
                              <w:rPr>
                                <w:rStyle w:val="eop"/>
                                <w:rFonts w:eastAsiaTheme="majorEastAsia"/>
                              </w:rPr>
                              <w:t>Municipal Debt Guidance and Best Practices</w:t>
                            </w:r>
                          </w:p>
                          <w:p w14:paraId="717F42CF" w14:textId="50EA37D4" w:rsidR="002009BB" w:rsidRDefault="002009BB" w:rsidP="002009BB">
                            <w:pPr>
                              <w:pStyle w:val="TextBoxText"/>
                              <w:rPr>
                                <w:rStyle w:val="eop"/>
                                <w:rFonts w:eastAsiaTheme="majorEastAsia"/>
                              </w:rPr>
                            </w:pPr>
                            <w:r w:rsidRPr="00072EE1">
                              <w:rPr>
                                <w:rStyle w:val="eop"/>
                                <w:rFonts w:eastAsiaTheme="majorEastAsia"/>
                              </w:rPr>
                              <w:t>The Massachusetts Department of Revenue</w:t>
                            </w:r>
                            <w:r>
                              <w:rPr>
                                <w:rStyle w:val="eop"/>
                                <w:rFonts w:eastAsiaTheme="majorEastAsia"/>
                              </w:rPr>
                              <w:t>’s</w:t>
                            </w:r>
                            <w:r w:rsidRPr="00072EE1">
                              <w:rPr>
                                <w:rStyle w:val="eop"/>
                                <w:rFonts w:eastAsiaTheme="majorEastAsia"/>
                              </w:rPr>
                              <w:t xml:space="preserve"> Division of Local Services</w:t>
                            </w:r>
                            <w:r w:rsidR="00DE1A55">
                              <w:rPr>
                                <w:rStyle w:val="eop"/>
                                <w:rFonts w:eastAsiaTheme="majorEastAsia"/>
                              </w:rPr>
                              <w:t xml:space="preserve"> (DOR</w:t>
                            </w:r>
                            <w:r w:rsidR="001E79C0">
                              <w:rPr>
                                <w:rStyle w:val="eop"/>
                                <w:rFonts w:eastAsiaTheme="majorEastAsia"/>
                              </w:rPr>
                              <w:t xml:space="preserve"> DLS)</w:t>
                            </w:r>
                            <w:r w:rsidRPr="00072EE1">
                              <w:rPr>
                                <w:rStyle w:val="eop"/>
                                <w:rFonts w:eastAsiaTheme="majorEastAsia"/>
                              </w:rPr>
                              <w:t xml:space="preserve"> offers a </w:t>
                            </w:r>
                            <w:hyperlink r:id="rId134" w:history="1">
                              <w:r w:rsidRPr="00E31E35">
                                <w:rPr>
                                  <w:rStyle w:val="Hyperlink"/>
                                  <w:rFonts w:eastAsiaTheme="majorEastAsia"/>
                                </w:rPr>
                                <w:t>Capital Improvement Planning Guide</w:t>
                              </w:r>
                            </w:hyperlink>
                            <w:r w:rsidRPr="00072EE1">
                              <w:rPr>
                                <w:rStyle w:val="eop"/>
                                <w:rFonts w:eastAsiaTheme="majorEastAsia"/>
                              </w:rPr>
                              <w:t xml:space="preserve"> for municipalities that outlines funding options, including municipal debt, local funding strategies, state sources, and federal funding sources.</w:t>
                            </w:r>
                          </w:p>
                          <w:p w14:paraId="11DFF209" w14:textId="77777777" w:rsidR="004802AA" w:rsidRDefault="004802AA" w:rsidP="002009BB">
                            <w:pPr>
                              <w:pStyle w:val="TextBoxText"/>
                            </w:pPr>
                          </w:p>
                          <w:p w14:paraId="57EAE7AB" w14:textId="388DAFD9" w:rsidR="004802AA" w:rsidRPr="002B6375" w:rsidRDefault="004802AA" w:rsidP="002009BB">
                            <w:pPr>
                              <w:pStyle w:val="TextBoxText"/>
                            </w:pPr>
                            <w:r w:rsidRPr="004802AA">
                              <w:t>DOR DLS</w:t>
                            </w:r>
                            <w:r w:rsidR="006D5EB5">
                              <w:t xml:space="preserve">’s </w:t>
                            </w:r>
                            <w:hyperlink r:id="rId135" w:history="1">
                              <w:r w:rsidR="006D5EB5" w:rsidRPr="00B72069">
                                <w:rPr>
                                  <w:rStyle w:val="Hyperlink"/>
                                </w:rPr>
                                <w:t>Understanding Municipal Debt</w:t>
                              </w:r>
                            </w:hyperlink>
                            <w:r w:rsidR="006D5EB5">
                              <w:t xml:space="preserve"> white paper</w:t>
                            </w:r>
                            <w:r w:rsidRPr="004802AA">
                              <w:t xml:space="preserve"> provides guidance to municipalities on the debt issuance process, </w:t>
                            </w:r>
                            <w:r w:rsidR="006D5EB5">
                              <w:t>and</w:t>
                            </w:r>
                            <w:r w:rsidRPr="004802AA">
                              <w:t xml:space="preserve"> also recommends using the services of a Massachusetts-based financial advisor</w:t>
                            </w:r>
                            <w:r w:rsidR="00B72069">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9EFCAE0" id="_x0000_s1049" type="#_x0000_t202" style="position:absolute;margin-left:255.05pt;margin-top:11.4pt;width:306.25pt;height:188.8pt;z-index:25163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" fillcolor="#dce6f2">
                <v:textbox>
                  <w:txbxContent>
                    <w:p w14:paraId="446CACD0" w14:textId="0C041CEC" w:rsidR="004802AA" w:rsidRDefault="004802AA" w:rsidP="004802AA">
                      <w:pPr>
                        <w:pStyle w:val="TextBoxTitle"/>
                        <w:rPr>
                          <w:rStyle w:val="eop"/>
                          <w:rFonts w:eastAsiaTheme="majorEastAsia"/>
                        </w:rPr>
                      </w:pPr>
                      <w:r>
                        <w:rPr>
                          <w:rStyle w:val="eop"/>
                          <w:rFonts w:eastAsiaTheme="majorEastAsia"/>
                        </w:rPr>
                        <w:t>Municipal Debt Guidance and Best Practices</w:t>
                      </w:r>
                    </w:p>
                    <w:p w14:paraId="717F42CF" w14:textId="50EA37D4" w:rsidR="002009BB" w:rsidRDefault="002009BB" w:rsidP="002009BB">
                      <w:pPr>
                        <w:pStyle w:val="TextBoxText"/>
                        <w:rPr>
                          <w:rStyle w:val="eop"/>
                          <w:rFonts w:eastAsiaTheme="majorEastAsia"/>
                        </w:rPr>
                      </w:pPr>
                      <w:r w:rsidRPr="00072EE1">
                        <w:rPr>
                          <w:rStyle w:val="eop"/>
                          <w:rFonts w:eastAsiaTheme="majorEastAsia"/>
                        </w:rPr>
                        <w:t>The Massachusetts Department of Revenue</w:t>
                      </w:r>
                      <w:r>
                        <w:rPr>
                          <w:rStyle w:val="eop"/>
                          <w:rFonts w:eastAsiaTheme="majorEastAsia"/>
                        </w:rPr>
                        <w:t>’s</w:t>
                      </w:r>
                      <w:r w:rsidRPr="00072EE1">
                        <w:rPr>
                          <w:rStyle w:val="eop"/>
                          <w:rFonts w:eastAsiaTheme="majorEastAsia"/>
                        </w:rPr>
                        <w:t xml:space="preserve"> Division of Local Services</w:t>
                      </w:r>
                      <w:r w:rsidR="00DE1A55">
                        <w:rPr>
                          <w:rStyle w:val="eop"/>
                          <w:rFonts w:eastAsiaTheme="majorEastAsia"/>
                        </w:rPr>
                        <w:t xml:space="preserve"> (DOR</w:t>
                      </w:r>
                      <w:r w:rsidR="001E79C0">
                        <w:rPr>
                          <w:rStyle w:val="eop"/>
                          <w:rFonts w:eastAsiaTheme="majorEastAsia"/>
                        </w:rPr>
                        <w:t xml:space="preserve"> DLS)</w:t>
                      </w:r>
                      <w:r w:rsidRPr="00072EE1">
                        <w:rPr>
                          <w:rStyle w:val="eop"/>
                          <w:rFonts w:eastAsiaTheme="majorEastAsia"/>
                        </w:rPr>
                        <w:t xml:space="preserve"> offers a </w:t>
                      </w:r>
                      <w:hyperlink r:id="rId136" w:history="1">
                        <w:r w:rsidRPr="00E31E35">
                          <w:rPr>
                            <w:rStyle w:val="Hyperlink"/>
                            <w:rFonts w:eastAsiaTheme="majorEastAsia"/>
                          </w:rPr>
                          <w:t>Capital Improvement Planning Guide</w:t>
                        </w:r>
                      </w:hyperlink>
                      <w:r w:rsidRPr="00072EE1">
                        <w:rPr>
                          <w:rStyle w:val="eop"/>
                          <w:rFonts w:eastAsiaTheme="majorEastAsia"/>
                        </w:rPr>
                        <w:t xml:space="preserve"> for municipalities that outlines funding options, including municipal debt, local funding strategies, state sources, and federal funding sources.</w:t>
                      </w:r>
                    </w:p>
                    <w:p w14:paraId="11DFF209" w14:textId="77777777" w:rsidR="004802AA" w:rsidRDefault="004802AA" w:rsidP="002009BB">
                      <w:pPr>
                        <w:pStyle w:val="TextBoxText"/>
                      </w:pPr>
                    </w:p>
                    <w:p w14:paraId="57EAE7AB" w14:textId="388DAFD9" w:rsidR="004802AA" w:rsidRPr="002B6375" w:rsidRDefault="004802AA" w:rsidP="002009BB">
                      <w:pPr>
                        <w:pStyle w:val="TextBoxText"/>
                      </w:pPr>
                      <w:r w:rsidRPr="004802AA">
                        <w:t>DOR DLS</w:t>
                      </w:r>
                      <w:r w:rsidR="006D5EB5">
                        <w:t xml:space="preserve">’s </w:t>
                      </w:r>
                      <w:hyperlink r:id="rId137" w:history="1">
                        <w:r w:rsidR="006D5EB5" w:rsidRPr="00B72069">
                          <w:rPr>
                            <w:rStyle w:val="Hyperlink"/>
                          </w:rPr>
                          <w:t>Understanding Municipal Debt</w:t>
                        </w:r>
                      </w:hyperlink>
                      <w:r w:rsidR="006D5EB5">
                        <w:t xml:space="preserve"> white paper</w:t>
                      </w:r>
                      <w:r w:rsidRPr="004802AA">
                        <w:t xml:space="preserve"> provides guidance to municipalities on the debt issuance process, </w:t>
                      </w:r>
                      <w:r w:rsidR="006D5EB5">
                        <w:t>and</w:t>
                      </w:r>
                      <w:r w:rsidRPr="004802AA">
                        <w:t xml:space="preserve"> also recommends using the services of a Massachusetts-based financial advisor</w:t>
                      </w:r>
                      <w:r w:rsidR="00B72069">
                        <w:t>.</w:t>
                      </w:r>
                    </w:p>
                  </w:txbxContent>
                </v:textbox>
                <w10:wrap type="square" anchorx="margin"/>
              </v:shape>
            </w:pict>
          </mc:Fallback>
        </mc:AlternateContent>
      </w:r>
      <w:r w:rsidR="00FC2423">
        <w:rPr>
          <w:rStyle w:val="normaltextrun"/>
          <w:rFonts w:eastAsiaTheme="majorEastAsia"/>
        </w:rPr>
        <w:t xml:space="preserve">Municipal </w:t>
      </w:r>
      <w:r w:rsidR="00485282">
        <w:rPr>
          <w:rStyle w:val="normaltextrun"/>
          <w:rFonts w:eastAsiaTheme="majorEastAsia"/>
        </w:rPr>
        <w:t>D</w:t>
      </w:r>
      <w:r w:rsidR="00FC2423">
        <w:rPr>
          <w:rStyle w:val="normaltextrun"/>
          <w:rFonts w:eastAsiaTheme="majorEastAsia"/>
        </w:rPr>
        <w:t>ebt</w:t>
      </w:r>
      <w:bookmarkEnd w:id="419"/>
      <w:r w:rsidR="00FC2423">
        <w:rPr>
          <w:rStyle w:val="normaltextrun"/>
          <w:rFonts w:eastAsiaTheme="majorEastAsia"/>
        </w:rPr>
        <w:t xml:space="preserve"> </w:t>
      </w:r>
    </w:p>
    <w:p w14:paraId="151CA5F7" w14:textId="325B0796" w:rsidR="0038679E" w:rsidRDefault="0038679E" w:rsidP="006D7DE6">
      <w:pPr>
        <w:pStyle w:val="BodyTextFirstIndent"/>
        <w:rPr>
          <w:rStyle w:val="eop"/>
        </w:rPr>
      </w:pPr>
      <w:r w:rsidRPr="00DB79A7">
        <w:rPr>
          <w:rStyle w:val="normaltextrun"/>
        </w:rPr>
        <w:t xml:space="preserve">Municipal general obligation bonds are the traditional funding source for many capital projects and allow municipalities to issue long-term debt. </w:t>
      </w:r>
      <w:r w:rsidRPr="00DB79A7">
        <w:rPr>
          <w:rStyle w:val="eop"/>
        </w:rPr>
        <w:t xml:space="preserve">There are additional options for municipalities with marginal credit ratings (State Qualified Bonds) or for smaller communities (State House Notes Program). </w:t>
      </w:r>
    </w:p>
    <w:p w14:paraId="60D9E2A3" w14:textId="77777777" w:rsidR="00F45F73" w:rsidRDefault="00F45F73" w:rsidP="001C7888">
      <w:pPr>
        <w:pStyle w:val="Heading2"/>
        <w:rPr>
          <w:rStyle w:val="normaltextrun"/>
          <w:rFonts w:eastAsiaTheme="majorEastAsia"/>
        </w:rPr>
      </w:pPr>
      <w:bookmarkStart w:id="420" w:name="_Toc193116920"/>
      <w:r w:rsidRPr="00A01F8B">
        <w:rPr>
          <w:rStyle w:val="normaltextrun"/>
          <w:rFonts w:eastAsiaTheme="majorEastAsia"/>
        </w:rPr>
        <w:t>Grants</w:t>
      </w:r>
      <w:bookmarkEnd w:id="420"/>
    </w:p>
    <w:p w14:paraId="21D879B5" w14:textId="522528C7" w:rsidR="00F45F73" w:rsidRDefault="00F45F73" w:rsidP="006D7DE6">
      <w:pPr>
        <w:pStyle w:val="BodyTextFirstIndent"/>
        <w:rPr>
          <w:rStyle w:val="normaltextrun"/>
        </w:rPr>
      </w:pPr>
      <w:r>
        <w:rPr>
          <w:rStyle w:val="normaltextrun"/>
        </w:rPr>
        <w:t xml:space="preserve">There are numerous state and federal competitive grant programs that can help Massachusetts school districts across a range of initiatives, including new construction, renovations and repairs, energy audits, building decarbonization planning, climate hazard identification and resilience planning, and </w:t>
      </w:r>
      <w:r w:rsidRPr="00133914">
        <w:rPr>
          <w:rStyle w:val="normaltextrun"/>
        </w:rPr>
        <w:t>lead mitigation in drinking water</w:t>
      </w:r>
      <w:r>
        <w:rPr>
          <w:rStyle w:val="normaltextrun"/>
        </w:rPr>
        <w:t>. Below are some high-level details for a sampling of current grant programs.</w:t>
      </w:r>
    </w:p>
    <w:p w14:paraId="08C1DD37" w14:textId="75500371" w:rsidR="00F45F73" w:rsidRDefault="00F45F73" w:rsidP="008131EB">
      <w:pPr>
        <w:pStyle w:val="ListBullet"/>
        <w:rPr>
          <w:rStyle w:val="eop"/>
          <w:rFonts w:ascii="Calibri" w:eastAsiaTheme="majorEastAsia" w:hAnsi="Calibri" w:cs="Calibri"/>
          <w:sz w:val="22"/>
        </w:rPr>
      </w:pPr>
      <w:r w:rsidRPr="00DB79A7">
        <w:rPr>
          <w:rStyle w:val="normaltextrun"/>
          <w:rFonts w:eastAsiaTheme="majorEastAsia"/>
        </w:rPr>
        <w:t xml:space="preserve">The </w:t>
      </w:r>
      <w:hyperlink r:id="rId138" w:history="1">
        <w:r w:rsidRPr="00F670FC">
          <w:rPr>
            <w:rStyle w:val="Hyperlink"/>
            <w:rFonts w:eastAsiaTheme="majorEastAsia"/>
          </w:rPr>
          <w:t>MSBA Core Program</w:t>
        </w:r>
      </w:hyperlink>
      <w:r w:rsidRPr="00DB79A7">
        <w:rPr>
          <w:rStyle w:val="normaltextrun"/>
          <w:rFonts w:eastAsiaTheme="majorEastAsia"/>
        </w:rPr>
        <w:t xml:space="preserve"> offers grant funding for new construction</w:t>
      </w:r>
      <w:r w:rsidR="00CE0F40">
        <w:rPr>
          <w:rStyle w:val="normaltextrun"/>
          <w:rFonts w:eastAsiaTheme="majorEastAsia"/>
        </w:rPr>
        <w:t>, additions</w:t>
      </w:r>
      <w:r w:rsidR="00C562A0">
        <w:rPr>
          <w:rStyle w:val="normaltextrun"/>
          <w:rFonts w:eastAsiaTheme="majorEastAsia"/>
        </w:rPr>
        <w:t xml:space="preserve">, and </w:t>
      </w:r>
      <w:r w:rsidR="00566869">
        <w:rPr>
          <w:rStyle w:val="normaltextrun"/>
          <w:rFonts w:eastAsiaTheme="majorEastAsia"/>
        </w:rPr>
        <w:t>major renovation</w:t>
      </w:r>
      <w:r w:rsidR="00781C39">
        <w:rPr>
          <w:rStyle w:val="normaltextrun"/>
          <w:rFonts w:eastAsiaTheme="majorEastAsia"/>
        </w:rPr>
        <w:t xml:space="preserve"> </w:t>
      </w:r>
      <w:r w:rsidR="00C562A0">
        <w:rPr>
          <w:rStyle w:val="normaltextrun"/>
          <w:rFonts w:eastAsiaTheme="majorEastAsia"/>
        </w:rPr>
        <w:t>projects</w:t>
      </w:r>
      <w:r w:rsidRPr="00DB79A7">
        <w:rPr>
          <w:rStyle w:val="normaltextrun"/>
          <w:rFonts w:eastAsiaTheme="majorEastAsia"/>
        </w:rPr>
        <w:t xml:space="preserve">. Funding levels are based on a reimbursement rate calculation that considers community income, property wealth, poverty, along with </w:t>
      </w:r>
      <w:r w:rsidR="00E94DE7" w:rsidRPr="00DB79A7">
        <w:rPr>
          <w:rStyle w:val="normaltextrun"/>
          <w:rFonts w:eastAsiaTheme="majorEastAsia"/>
        </w:rPr>
        <w:t>project</w:t>
      </w:r>
      <w:r w:rsidR="00E94DE7">
        <w:rPr>
          <w:rStyle w:val="normaltextrun"/>
          <w:rFonts w:eastAsiaTheme="majorEastAsia"/>
        </w:rPr>
        <w:t>-</w:t>
      </w:r>
      <w:r w:rsidRPr="00DB79A7">
        <w:rPr>
          <w:rStyle w:val="normaltextrun"/>
          <w:rFonts w:eastAsiaTheme="majorEastAsia"/>
        </w:rPr>
        <w:t xml:space="preserve">specific incentive points. </w:t>
      </w:r>
      <w:r>
        <w:rPr>
          <w:rStyle w:val="normaltextrun"/>
          <w:rFonts w:eastAsiaTheme="majorEastAsia"/>
        </w:rPr>
        <w:t xml:space="preserve">See the </w:t>
      </w:r>
      <w:hyperlink w:anchor="Introduction" w:history="1">
        <w:r w:rsidRPr="00A026AC">
          <w:rPr>
            <w:rStyle w:val="Hyperlink"/>
            <w:rFonts w:eastAsiaTheme="majorEastAsia"/>
          </w:rPr>
          <w:t>Introduction</w:t>
        </w:r>
      </w:hyperlink>
      <w:r>
        <w:rPr>
          <w:rStyle w:val="normaltextrun"/>
          <w:rFonts w:eastAsiaTheme="majorEastAsia"/>
        </w:rPr>
        <w:t xml:space="preserve"> for additional details about the MSBA grant award process and determination of funding levels. </w:t>
      </w:r>
    </w:p>
    <w:p w14:paraId="10502CE6" w14:textId="5ECC1A03" w:rsidR="00F45F73" w:rsidRPr="0067125E" w:rsidRDefault="00F45F73" w:rsidP="008131EB">
      <w:pPr>
        <w:pStyle w:val="ListBullet"/>
        <w:rPr>
          <w:rFonts w:eastAsiaTheme="majorEastAsia"/>
        </w:rPr>
      </w:pPr>
      <w:r w:rsidRPr="0067125E">
        <w:rPr>
          <w:rStyle w:val="normaltextrun"/>
          <w:rFonts w:eastAsiaTheme="majorEastAsia"/>
        </w:rPr>
        <w:t xml:space="preserve">The </w:t>
      </w:r>
      <w:hyperlink r:id="rId139" w:history="1">
        <w:r w:rsidRPr="00A9508F">
          <w:rPr>
            <w:rStyle w:val="Hyperlink"/>
            <w:rFonts w:eastAsiaTheme="majorEastAsia"/>
          </w:rPr>
          <w:t>MSBA Repair Program</w:t>
        </w:r>
      </w:hyperlink>
      <w:r w:rsidRPr="0067125E">
        <w:rPr>
          <w:rStyle w:val="normaltextrun"/>
          <w:rFonts w:eastAsiaTheme="majorEastAsia"/>
        </w:rPr>
        <w:t xml:space="preserve"> funds retrofits of building systems. Projects are categorized as either major repairs, which cover a broad scope and follow a similar process to the </w:t>
      </w:r>
      <w:r>
        <w:rPr>
          <w:rStyle w:val="normaltextrun"/>
          <w:rFonts w:eastAsiaTheme="majorEastAsia"/>
        </w:rPr>
        <w:t>C</w:t>
      </w:r>
      <w:r w:rsidRPr="0067125E">
        <w:rPr>
          <w:rStyle w:val="normaltextrun"/>
          <w:rFonts w:eastAsiaTheme="majorEastAsia"/>
        </w:rPr>
        <w:t xml:space="preserve">ore </w:t>
      </w:r>
      <w:r>
        <w:rPr>
          <w:rStyle w:val="normaltextrun"/>
          <w:rFonts w:eastAsiaTheme="majorEastAsia"/>
        </w:rPr>
        <w:t>P</w:t>
      </w:r>
      <w:r w:rsidRPr="0067125E">
        <w:rPr>
          <w:rStyle w:val="normaltextrun"/>
          <w:rFonts w:eastAsiaTheme="majorEastAsia"/>
        </w:rPr>
        <w:t xml:space="preserve">rogram, or accelerated repairs, which cover </w:t>
      </w:r>
      <w:r w:rsidR="003D5F5C" w:rsidRPr="003D5F5C">
        <w:rPr>
          <w:rStyle w:val="normaltextrun"/>
          <w:rFonts w:eastAsiaTheme="majorEastAsia"/>
        </w:rPr>
        <w:t xml:space="preserve">buildings in need of roof and/or window/door replacements, but that are </w:t>
      </w:r>
      <w:r w:rsidR="003D5F5C" w:rsidRPr="003D5F5C">
        <w:rPr>
          <w:rStyle w:val="normaltextrun"/>
          <w:rFonts w:eastAsiaTheme="majorEastAsia"/>
        </w:rPr>
        <w:lastRenderedPageBreak/>
        <w:t xml:space="preserve">otherwise structurally sound. Boiler replacements were last included for invitation in 2022. The MSBA is completing a study with a consultant in anticipation of adding heat pump conversions to the Accelerated Repair Program beginning in 2025. </w:t>
      </w:r>
      <w:r w:rsidRPr="0067125E">
        <w:rPr>
          <w:rFonts w:eastAsiaTheme="majorEastAsia"/>
        </w:rPr>
        <w:t xml:space="preserve"> </w:t>
      </w:r>
    </w:p>
    <w:p w14:paraId="6ED72395" w14:textId="6C71BA1D" w:rsidR="00F45F73" w:rsidRDefault="00F45F73" w:rsidP="008131EB">
      <w:pPr>
        <w:pStyle w:val="ListBullet"/>
      </w:pPr>
      <w:r w:rsidRPr="00AB7C68">
        <w:t xml:space="preserve">The </w:t>
      </w:r>
      <w:hyperlink r:id="rId140" w:history="1">
        <w:r w:rsidRPr="003669A9">
          <w:rPr>
            <w:rStyle w:val="Hyperlink"/>
          </w:rPr>
          <w:t>EEA Municipal Vulnerability Preparedness (MVP) Program</w:t>
        </w:r>
      </w:hyperlink>
      <w:r w:rsidRPr="003F75DD">
        <w:rPr>
          <w:b/>
          <w:bCs/>
        </w:rPr>
        <w:t xml:space="preserve"> </w:t>
      </w:r>
      <w:r>
        <w:t xml:space="preserve">provides grant support to define climate-related hazards, identify existing and future vulnerabilities, and develop and prioritize community-level actions to reduce risk and build resilience. </w:t>
      </w:r>
    </w:p>
    <w:p w14:paraId="4E7CF587" w14:textId="614652E5" w:rsidR="00F45F73" w:rsidRPr="0067125E" w:rsidRDefault="00F45F73" w:rsidP="008131EB">
      <w:pPr>
        <w:pStyle w:val="ListBullet"/>
      </w:pPr>
      <w:r w:rsidRPr="0067125E">
        <w:rPr>
          <w:rStyle w:val="normaltextrun"/>
        </w:rPr>
        <w:t xml:space="preserve">The DOER </w:t>
      </w:r>
      <w:hyperlink r:id="rId141" w:anchor=":~:text=The%20Green%20Communities%20Designation%20and,projects%20at%20the%20local%20level." w:history="1">
        <w:r w:rsidRPr="00BB4190">
          <w:rPr>
            <w:rStyle w:val="Hyperlink"/>
          </w:rPr>
          <w:t>Green Communities Grant Program</w:t>
        </w:r>
      </w:hyperlink>
      <w:r w:rsidRPr="0067125E">
        <w:rPr>
          <w:rStyle w:val="normaltextrun"/>
        </w:rPr>
        <w:t xml:space="preserve"> </w:t>
      </w:r>
      <w:r w:rsidRPr="0067125E">
        <w:t>funds energy efficiency measures, clean energy projects, and other decarbonization strategies in qualifying communities.</w:t>
      </w:r>
      <w:r w:rsidRPr="0067125E">
        <w:rPr>
          <w:rStyle w:val="normaltextrun"/>
        </w:rPr>
        <w:t xml:space="preserve"> </w:t>
      </w:r>
    </w:p>
    <w:p w14:paraId="2AE41330" w14:textId="4C85911F" w:rsidR="00F45F73" w:rsidRDefault="006D3CDD" w:rsidP="008131EB">
      <w:pPr>
        <w:pStyle w:val="ListBullet"/>
      </w:pPr>
      <w:r>
        <w:t>The</w:t>
      </w:r>
      <w:r w:rsidR="00861118">
        <w:t xml:space="preserve"> MA Clean Energy Center’s (</w:t>
      </w:r>
      <w:hyperlink r:id="rId142" w:history="1">
        <w:r w:rsidR="00F45F73" w:rsidRPr="00176D2A">
          <w:rPr>
            <w:rStyle w:val="Hyperlink"/>
          </w:rPr>
          <w:t>MassCEC</w:t>
        </w:r>
        <w:r w:rsidR="00861118">
          <w:rPr>
            <w:rStyle w:val="Hyperlink"/>
          </w:rPr>
          <w:t>’s)</w:t>
        </w:r>
        <w:r w:rsidR="00F45F73" w:rsidRPr="00176D2A">
          <w:rPr>
            <w:rStyle w:val="Hyperlink"/>
          </w:rPr>
          <w:t xml:space="preserve"> Green School Works</w:t>
        </w:r>
      </w:hyperlink>
      <w:r w:rsidR="00F45F73" w:rsidRPr="0067125E">
        <w:t xml:space="preserve"> provides wraparound services including bridge loans, grant funding, and strategic technical assistance to schools for decarbonization projects, make-ready projects, portfolio decarbonization planning, and project planning.</w:t>
      </w:r>
      <w:r w:rsidR="00F45F73" w:rsidRPr="0067125E">
        <w:fldChar w:fldCharType="begin"/>
      </w:r>
      <w:r w:rsidR="002150C6">
        <w:instrText xml:space="preserve"> ADDIN ZOTERO_ITEM CSL_CITATION {"citationID":"zJJW80Ka","properties":{"formattedCitation":"\\super 164\\nosupersub{}","plainCitation":"164","noteIndex":0},"citationItems":[{"id":604,"uris":["http://zotero.org/groups/5563646/items/LV926ND5"],"itemData":{"id":604,"type":"document","title":"Green School Works_Draft Program Concept_FINAL_updated 240712.pdf","URL":"https://www.masscec.com/sites/default/files/documents/Green%20School%20Works_Draft%20Program%20Concept_FINAL_updated%20240712.pdf","author":[{"literal":"MassCEC"}],"issued":{"date-parts":[["2024",7,12]]}}}],"schema":"https://github.com/citation-style-language/schema/raw/master/csl-citation.json"} </w:instrText>
      </w:r>
      <w:r w:rsidR="00F45F73" w:rsidRPr="0067125E">
        <w:fldChar w:fldCharType="separate"/>
      </w:r>
      <w:r w:rsidR="002150C6" w:rsidRPr="002150C6">
        <w:rPr>
          <w:rFonts w:cs="Arial"/>
          <w:vertAlign w:val="superscript"/>
        </w:rPr>
        <w:t>164</w:t>
      </w:r>
      <w:r w:rsidR="00F45F73" w:rsidRPr="0067125E">
        <w:fldChar w:fldCharType="end"/>
      </w:r>
      <w:r w:rsidR="00F45F73" w:rsidRPr="0067125E">
        <w:t xml:space="preserve"> Preference is given to schools serving low-income and environmental justice populations. </w:t>
      </w:r>
    </w:p>
    <w:p w14:paraId="0AC0D56F" w14:textId="31A99E3F" w:rsidR="00F45F73" w:rsidRDefault="00052687" w:rsidP="008131EB">
      <w:pPr>
        <w:pStyle w:val="ListBullet"/>
      </w:pPr>
      <w:hyperlink r:id="rId143" w:history="1">
        <w:r w:rsidRPr="00CE4DE9">
          <w:rPr>
            <w:rStyle w:val="Hyperlink"/>
          </w:rPr>
          <w:t xml:space="preserve">The </w:t>
        </w:r>
        <w:r w:rsidR="00F45F73" w:rsidRPr="00CE4DE9">
          <w:rPr>
            <w:rStyle w:val="Hyperlink"/>
          </w:rPr>
          <w:t>MassDEP School Water Improvement Grants (SWIG)</w:t>
        </w:r>
        <w:r w:rsidRPr="00CE4DE9">
          <w:rPr>
            <w:rStyle w:val="Hyperlink"/>
          </w:rPr>
          <w:t xml:space="preserve"> Program</w:t>
        </w:r>
      </w:hyperlink>
      <w:r w:rsidR="00F45F73" w:rsidRPr="0067125E">
        <w:t xml:space="preserve"> provide</w:t>
      </w:r>
      <w:r>
        <w:t>s</w:t>
      </w:r>
      <w:r w:rsidR="00F45F73" w:rsidRPr="0067125E">
        <w:t xml:space="preserve"> funding to schools for lead mitigation in drinking water by installing filtered water bottle filling stations. SWIG builds on the Lead in School Drinking Water assistance program that pays for schools to test their drinking water.</w:t>
      </w:r>
      <w:r w:rsidR="00F45F73" w:rsidRPr="0067125E">
        <w:fldChar w:fldCharType="begin"/>
      </w:r>
      <w:r w:rsidR="00A86895">
        <w:instrText xml:space="preserve"> ADDIN ZOTERO_ITEM CSL_CITATION {"citationID":"c00NFpPU","properties":{"formattedCitation":"\\super 165\\nosupersub{}","plainCitation":"165","noteIndex":0},"citationItems":[{"id":496,"uris":["http://zotero.org/groups/5563646/items/VDI36QQX"],"itemData":{"id":496,"type":"webpage","abstract":"The School Water Improvement Grants (SWIG) program provides grants to replace water fountains that tested positive for lead with filtered water bottle filling stations.","language":"en","title":"School Water Improvement Grants | Mass.gov","URL":"https://www.mass.gov/school-water-improvement-grants","accessed":{"date-parts":[["2024",7,15]]}}}],"schema":"https://github.com/citation-style-language/schema/raw/master/csl-citation.json"} </w:instrText>
      </w:r>
      <w:r w:rsidR="00F45F73" w:rsidRPr="0067125E">
        <w:fldChar w:fldCharType="separate"/>
      </w:r>
      <w:r w:rsidR="00A86895" w:rsidRPr="00A86895">
        <w:rPr>
          <w:rFonts w:cs="Arial"/>
          <w:vertAlign w:val="superscript"/>
        </w:rPr>
        <w:t>165</w:t>
      </w:r>
      <w:r w:rsidR="00F45F73" w:rsidRPr="0067125E">
        <w:fldChar w:fldCharType="end"/>
      </w:r>
      <w:r w:rsidR="00F45F73" w:rsidRPr="0067125E">
        <w:t xml:space="preserve"> </w:t>
      </w:r>
    </w:p>
    <w:p w14:paraId="2358D819" w14:textId="00B92485" w:rsidR="007B75BA" w:rsidRDefault="004210ED" w:rsidP="008131EB">
      <w:pPr>
        <w:pStyle w:val="ListBullet"/>
        <w:rPr>
          <w:rFonts w:eastAsiaTheme="majorEastAsia"/>
        </w:rPr>
      </w:pPr>
      <w:r>
        <w:rPr>
          <w:rFonts w:eastAsiaTheme="majorEastAsia"/>
        </w:rPr>
        <w:t xml:space="preserve">The Massachusetts </w:t>
      </w:r>
      <w:hyperlink r:id="rId144" w:history="1">
        <w:r w:rsidRPr="00222A7E">
          <w:rPr>
            <w:rStyle w:val="Hyperlink"/>
            <w:rFonts w:eastAsiaTheme="majorEastAsia"/>
          </w:rPr>
          <w:t>Federals Funds &amp; Infrastructure Office</w:t>
        </w:r>
      </w:hyperlink>
      <w:r w:rsidR="001F1060">
        <w:rPr>
          <w:rFonts w:eastAsiaTheme="majorEastAsia"/>
        </w:rPr>
        <w:t xml:space="preserve"> tracks federal opportunities and support</w:t>
      </w:r>
      <w:r w:rsidR="00D86B21">
        <w:rPr>
          <w:rFonts w:eastAsiaTheme="majorEastAsia"/>
        </w:rPr>
        <w:t>s successful applications for Massachusetts project</w:t>
      </w:r>
      <w:r w:rsidR="00C72B85">
        <w:rPr>
          <w:rFonts w:eastAsiaTheme="majorEastAsia"/>
        </w:rPr>
        <w:t>s.</w:t>
      </w:r>
      <w:r>
        <w:rPr>
          <w:rFonts w:eastAsiaTheme="majorEastAsia"/>
        </w:rPr>
        <w:t xml:space="preserve"> </w:t>
      </w:r>
    </w:p>
    <w:p w14:paraId="22C8B142" w14:textId="64BBC75C" w:rsidR="00F45F73" w:rsidRDefault="00F45F73" w:rsidP="008131EB">
      <w:pPr>
        <w:pStyle w:val="ListBullet"/>
        <w:rPr>
          <w:rFonts w:eastAsiaTheme="majorEastAsia"/>
        </w:rPr>
      </w:pPr>
      <w:r w:rsidRPr="0067125E">
        <w:rPr>
          <w:rFonts w:eastAsiaTheme="majorEastAsia"/>
        </w:rPr>
        <w:t>DOE</w:t>
      </w:r>
      <w:r w:rsidR="00B3044F">
        <w:rPr>
          <w:rFonts w:eastAsiaTheme="majorEastAsia"/>
        </w:rPr>
        <w:t>’s</w:t>
      </w:r>
      <w:r w:rsidRPr="0067125E">
        <w:rPr>
          <w:rFonts w:eastAsiaTheme="majorEastAsia"/>
        </w:rPr>
        <w:t xml:space="preserve"> </w:t>
      </w:r>
      <w:hyperlink r:id="rId145" w:history="1">
        <w:r w:rsidRPr="00B3044F">
          <w:rPr>
            <w:rStyle w:val="Hyperlink"/>
            <w:rFonts w:eastAsiaTheme="majorEastAsia"/>
          </w:rPr>
          <w:t>Renew America’s Schools</w:t>
        </w:r>
        <w:r w:rsidRPr="00B3044F">
          <w:rPr>
            <w:rStyle w:val="Hyperlink"/>
          </w:rPr>
          <w:t xml:space="preserve"> </w:t>
        </w:r>
        <w:r w:rsidR="00B3044F" w:rsidRPr="00B3044F">
          <w:rPr>
            <w:rStyle w:val="Hyperlink"/>
          </w:rPr>
          <w:t>Program</w:t>
        </w:r>
      </w:hyperlink>
      <w:r w:rsidR="00B3044F">
        <w:t xml:space="preserve"> </w:t>
      </w:r>
      <w:r w:rsidRPr="0067125E">
        <w:t xml:space="preserve">is a </w:t>
      </w:r>
      <w:r w:rsidRPr="0067125E">
        <w:rPr>
          <w:rFonts w:eastAsiaTheme="majorEastAsia"/>
        </w:rPr>
        <w:t>highly competitive grant program to promote clean energy improvements in schools. Districts can apply for funding and technical assistance for strategic planning, energy audits, and project implementation.</w:t>
      </w:r>
    </w:p>
    <w:p w14:paraId="50491141" w14:textId="7ECB2C42" w:rsidR="0082440A" w:rsidRPr="0067125E" w:rsidRDefault="0082440A" w:rsidP="008131EB">
      <w:pPr>
        <w:pStyle w:val="ListBullet"/>
        <w:rPr>
          <w:rFonts w:eastAsiaTheme="majorEastAsia"/>
        </w:rPr>
      </w:pPr>
      <w:r>
        <w:rPr>
          <w:rFonts w:eastAsiaTheme="majorEastAsia"/>
        </w:rPr>
        <w:t xml:space="preserve">EPA’s </w:t>
      </w:r>
      <w:hyperlink r:id="rId146" w:history="1">
        <w:r w:rsidRPr="002801DC">
          <w:rPr>
            <w:rStyle w:val="Hyperlink"/>
            <w:rFonts w:eastAsiaTheme="majorEastAsia"/>
          </w:rPr>
          <w:t>Clean School Bus</w:t>
        </w:r>
        <w:r w:rsidR="0027482E" w:rsidRPr="002801DC">
          <w:rPr>
            <w:rStyle w:val="Hyperlink"/>
            <w:rFonts w:eastAsiaTheme="majorEastAsia"/>
          </w:rPr>
          <w:t xml:space="preserve"> Program</w:t>
        </w:r>
      </w:hyperlink>
      <w:r w:rsidR="0027482E">
        <w:rPr>
          <w:rFonts w:eastAsiaTheme="majorEastAsia"/>
        </w:rPr>
        <w:t xml:space="preserve"> provides grant</w:t>
      </w:r>
      <w:r w:rsidR="009A33F5">
        <w:rPr>
          <w:rFonts w:eastAsiaTheme="majorEastAsia"/>
        </w:rPr>
        <w:t xml:space="preserve"> </w:t>
      </w:r>
      <w:r w:rsidR="0027482E">
        <w:rPr>
          <w:rFonts w:eastAsiaTheme="majorEastAsia"/>
        </w:rPr>
        <w:t>funding to replace existing school buses with zero emission and clean school buses</w:t>
      </w:r>
    </w:p>
    <w:p w14:paraId="4288FADC" w14:textId="4F36EE09" w:rsidR="00FC2423" w:rsidRDefault="00FC2423" w:rsidP="001C7888">
      <w:pPr>
        <w:pStyle w:val="Heading2"/>
        <w:rPr>
          <w:rStyle w:val="normaltextrun"/>
          <w:rFonts w:eastAsiaTheme="majorEastAsia"/>
        </w:rPr>
      </w:pPr>
      <w:bookmarkStart w:id="421" w:name="_Toc193116921"/>
      <w:r w:rsidRPr="00A01F8B">
        <w:rPr>
          <w:rStyle w:val="normaltextrun"/>
          <w:rFonts w:eastAsiaTheme="majorEastAsia"/>
        </w:rPr>
        <w:t xml:space="preserve">No-cost </w:t>
      </w:r>
      <w:r w:rsidR="00485282">
        <w:rPr>
          <w:rStyle w:val="normaltextrun"/>
          <w:rFonts w:eastAsiaTheme="majorEastAsia"/>
        </w:rPr>
        <w:t>T</w:t>
      </w:r>
      <w:r w:rsidRPr="00A01F8B">
        <w:rPr>
          <w:rStyle w:val="normaltextrun"/>
          <w:rFonts w:eastAsiaTheme="majorEastAsia"/>
        </w:rPr>
        <w:t xml:space="preserve">echnical </w:t>
      </w:r>
      <w:r w:rsidR="00485282">
        <w:rPr>
          <w:rStyle w:val="normaltextrun"/>
          <w:rFonts w:eastAsiaTheme="majorEastAsia"/>
        </w:rPr>
        <w:t>S</w:t>
      </w:r>
      <w:r w:rsidRPr="00A01F8B">
        <w:rPr>
          <w:rStyle w:val="normaltextrun"/>
          <w:rFonts w:eastAsiaTheme="majorEastAsia"/>
        </w:rPr>
        <w:t>upport</w:t>
      </w:r>
      <w:bookmarkEnd w:id="421"/>
    </w:p>
    <w:p w14:paraId="7641EF78" w14:textId="4F1F70E7" w:rsidR="00F45F73" w:rsidRPr="00F45F73" w:rsidRDefault="003D271F" w:rsidP="006D7DE6">
      <w:pPr>
        <w:pStyle w:val="BodyTextFirstIndent"/>
      </w:pPr>
      <w:r>
        <w:t>In addition to grant funding</w:t>
      </w:r>
      <w:r w:rsidR="003B019A">
        <w:t xml:space="preserve">, there are also state programs that provide no-cost technical support to </w:t>
      </w:r>
      <w:r w:rsidR="00CE50CB">
        <w:t xml:space="preserve">school districts, including the following examples: </w:t>
      </w:r>
    </w:p>
    <w:p w14:paraId="349BD123" w14:textId="198258D0" w:rsidR="00CF78DF" w:rsidRDefault="00CF78DF" w:rsidP="008131EB">
      <w:pPr>
        <w:pStyle w:val="ListBullet"/>
        <w:rPr>
          <w:rFonts w:ascii="Calibri" w:hAnsi="Calibri"/>
          <w:color w:val="141414"/>
        </w:rPr>
      </w:pPr>
      <w:hyperlink r:id="rId147" w:history="1">
        <w:r w:rsidRPr="00AC5B87">
          <w:rPr>
            <w:rStyle w:val="Hyperlink"/>
          </w:rPr>
          <w:t>DOER</w:t>
        </w:r>
        <w:r>
          <w:rPr>
            <w:rStyle w:val="Hyperlink"/>
          </w:rPr>
          <w:t>’s</w:t>
        </w:r>
        <w:r w:rsidRPr="00AC5B87">
          <w:rPr>
            <w:rStyle w:val="Hyperlink"/>
          </w:rPr>
          <w:t xml:space="preserve"> Green Communities Division</w:t>
        </w:r>
      </w:hyperlink>
      <w:r w:rsidRPr="00AC5B87">
        <w:t xml:space="preserve"> </w:t>
      </w:r>
      <w:r>
        <w:t xml:space="preserve">awards </w:t>
      </w:r>
      <w:r w:rsidRPr="00AC5B87">
        <w:rPr>
          <w:b/>
          <w:bCs/>
        </w:rPr>
        <w:t>Municipal Energy Technical Assistance grants</w:t>
      </w:r>
      <w:r>
        <w:t xml:space="preserve"> </w:t>
      </w:r>
      <w:r w:rsidRPr="003F75DD">
        <w:t xml:space="preserve">to school districts </w:t>
      </w:r>
      <w:r>
        <w:t>to</w:t>
      </w:r>
      <w:r w:rsidRPr="003F75DD">
        <w:t xml:space="preserve"> support </w:t>
      </w:r>
      <w:r>
        <w:t>decarbonization and energy resilience of</w:t>
      </w:r>
      <w:r w:rsidRPr="003F75DD">
        <w:t xml:space="preserve"> public facilities. Projects</w:t>
      </w:r>
      <w:r>
        <w:t xml:space="preserve"> can</w:t>
      </w:r>
      <w:r w:rsidRPr="003F75DD">
        <w:t xml:space="preserve"> include feasibility studies</w:t>
      </w:r>
      <w:r>
        <w:t>,</w:t>
      </w:r>
      <w:r w:rsidRPr="003F75DD">
        <w:t xml:space="preserve"> auditing, </w:t>
      </w:r>
      <w:r>
        <w:t xml:space="preserve">and </w:t>
      </w:r>
      <w:r w:rsidRPr="003F75DD">
        <w:t>assistance with solar development.</w:t>
      </w:r>
      <w:r w:rsidRPr="00533577">
        <w:rPr>
          <w:rFonts w:ascii="Calibri" w:hAnsi="Calibri"/>
          <w:color w:val="141414"/>
        </w:rPr>
        <w:t xml:space="preserve"> </w:t>
      </w:r>
    </w:p>
    <w:p w14:paraId="3B81C455" w14:textId="4EBD45A3" w:rsidR="00AF15DA" w:rsidRPr="00AF15DA" w:rsidRDefault="00E94DE7" w:rsidP="008131EB">
      <w:pPr>
        <w:pStyle w:val="ListBullet"/>
      </w:pPr>
      <w:r>
        <w:t xml:space="preserve">The </w:t>
      </w:r>
      <w:hyperlink r:id="rId148" w:history="1">
        <w:r w:rsidR="007D4F66">
          <w:rPr>
            <w:rStyle w:val="Hyperlink"/>
          </w:rPr>
          <w:t>MassDEP Water-Smart Program</w:t>
        </w:r>
      </w:hyperlink>
      <w:r w:rsidR="007D4F66">
        <w:t xml:space="preserve"> </w:t>
      </w:r>
      <w:r w:rsidR="00A1577E">
        <w:t xml:space="preserve">offers schools </w:t>
      </w:r>
      <w:r w:rsidR="002551F8">
        <w:t xml:space="preserve">no-cost </w:t>
      </w:r>
      <w:r w:rsidR="001A7556">
        <w:t xml:space="preserve">drinking water lead </w:t>
      </w:r>
      <w:r w:rsidR="005527C8">
        <w:t>sampling</w:t>
      </w:r>
      <w:r w:rsidR="006A3BF3">
        <w:t>, post-sampling analysis,</w:t>
      </w:r>
      <w:r w:rsidR="009046EB">
        <w:t xml:space="preserve"> and </w:t>
      </w:r>
      <w:r w:rsidR="006A3BF3">
        <w:t>development of outreach materials</w:t>
      </w:r>
      <w:r w:rsidR="009046EB">
        <w:t>.</w:t>
      </w:r>
    </w:p>
    <w:p w14:paraId="3EA28A22" w14:textId="337D5C3A" w:rsidR="0072269D" w:rsidRDefault="0072269D" w:rsidP="008131EB">
      <w:pPr>
        <w:pStyle w:val="ListBullet"/>
        <w:rPr>
          <w:b/>
          <w:bCs/>
        </w:rPr>
      </w:pPr>
      <w:hyperlink r:id="rId149" w:history="1">
        <w:r w:rsidRPr="004B23A5">
          <w:rPr>
            <w:rStyle w:val="Hyperlink"/>
          </w:rPr>
          <w:t xml:space="preserve">MassSave </w:t>
        </w:r>
        <w:r w:rsidR="00C313F9" w:rsidRPr="004B23A5">
          <w:rPr>
            <w:rStyle w:val="Hyperlink"/>
          </w:rPr>
          <w:t>B</w:t>
        </w:r>
        <w:r w:rsidRPr="004B23A5">
          <w:rPr>
            <w:rStyle w:val="Hyperlink"/>
          </w:rPr>
          <w:t xml:space="preserve">uilding </w:t>
        </w:r>
        <w:r w:rsidR="00C313F9" w:rsidRPr="004B23A5">
          <w:rPr>
            <w:rStyle w:val="Hyperlink"/>
          </w:rPr>
          <w:t>E</w:t>
        </w:r>
        <w:r w:rsidRPr="004B23A5">
          <w:rPr>
            <w:rStyle w:val="Hyperlink"/>
          </w:rPr>
          <w:t xml:space="preserve">nergy </w:t>
        </w:r>
        <w:r w:rsidR="00C313F9" w:rsidRPr="004B23A5">
          <w:rPr>
            <w:rStyle w:val="Hyperlink"/>
          </w:rPr>
          <w:t>A</w:t>
        </w:r>
        <w:r w:rsidRPr="004B23A5">
          <w:rPr>
            <w:rStyle w:val="Hyperlink"/>
          </w:rPr>
          <w:t>ssessments</w:t>
        </w:r>
      </w:hyperlink>
      <w:r w:rsidRPr="003F75DD">
        <w:rPr>
          <w:b/>
          <w:bCs/>
        </w:rPr>
        <w:t xml:space="preserve"> </w:t>
      </w:r>
      <w:r>
        <w:t>offer</w:t>
      </w:r>
      <w:r w:rsidR="00E94DE7">
        <w:t>s</w:t>
      </w:r>
      <w:r>
        <w:t xml:space="preserve"> </w:t>
      </w:r>
      <w:r w:rsidRPr="00635C0D">
        <w:t>no-cost in-person</w:t>
      </w:r>
      <w:r>
        <w:t xml:space="preserve"> or</w:t>
      </w:r>
      <w:r w:rsidRPr="00635C0D">
        <w:t xml:space="preserve"> virtual assessments for </w:t>
      </w:r>
      <w:r>
        <w:t>schools, where energy consultants will perform assessments and provide a customized energy savings report.</w:t>
      </w:r>
      <w:r w:rsidR="004B23A5" w:rsidRPr="003F75DD">
        <w:rPr>
          <w:b/>
          <w:bCs/>
        </w:rPr>
        <w:t xml:space="preserve"> </w:t>
      </w:r>
    </w:p>
    <w:p w14:paraId="38C580D6" w14:textId="1D49EBDE" w:rsidR="00CA21C2" w:rsidRPr="002F207F" w:rsidRDefault="00A90ED0" w:rsidP="001C7888">
      <w:pPr>
        <w:pStyle w:val="Heading2"/>
        <w:rPr>
          <w:rFonts w:eastAsiaTheme="majorEastAsia"/>
        </w:rPr>
      </w:pPr>
      <w:bookmarkStart w:id="422" w:name="_Toc193116922"/>
      <w:r w:rsidRPr="002F207F">
        <w:rPr>
          <w:rFonts w:eastAsiaTheme="majorEastAsia"/>
        </w:rPr>
        <w:t>Incentives</w:t>
      </w:r>
      <w:r w:rsidR="00CA21C2" w:rsidRPr="002F207F">
        <w:rPr>
          <w:rFonts w:eastAsiaTheme="majorEastAsia"/>
        </w:rPr>
        <w:t>/Rebates/Tax Credits</w:t>
      </w:r>
      <w:bookmarkEnd w:id="422"/>
    </w:p>
    <w:p w14:paraId="6F699C94" w14:textId="0C171FA4" w:rsidR="002F207F" w:rsidRPr="002F207F" w:rsidRDefault="004902E2" w:rsidP="006D7DE6">
      <w:pPr>
        <w:pStyle w:val="BodyTextFirstIndent"/>
        <w:rPr>
          <w:rStyle w:val="normaltextrun"/>
        </w:rPr>
      </w:pPr>
      <w:r>
        <w:rPr>
          <w:rStyle w:val="normaltextrun"/>
        </w:rPr>
        <w:t>There are numerous incentives, rebates, and tax credits that are also available to Massachusetts school districts</w:t>
      </w:r>
      <w:r w:rsidR="001D5F15">
        <w:rPr>
          <w:rStyle w:val="normaltextrun"/>
        </w:rPr>
        <w:t xml:space="preserve"> that can greatly improve the cost-effectiveness of the </w:t>
      </w:r>
      <w:r w:rsidR="00152800">
        <w:rPr>
          <w:rStyle w:val="normaltextrun"/>
        </w:rPr>
        <w:t xml:space="preserve">many of the </w:t>
      </w:r>
      <w:r w:rsidR="001D5F15">
        <w:rPr>
          <w:rStyle w:val="normaltextrun"/>
        </w:rPr>
        <w:t xml:space="preserve">best practices outlined in this report. </w:t>
      </w:r>
      <w:r w:rsidR="00152800">
        <w:rPr>
          <w:rStyle w:val="normaltextrun"/>
        </w:rPr>
        <w:t xml:space="preserve">Below is a brief summary of </w:t>
      </w:r>
      <w:r w:rsidR="008030D2">
        <w:rPr>
          <w:rStyle w:val="normaltextrun"/>
        </w:rPr>
        <w:t>options in this category of funding</w:t>
      </w:r>
      <w:r w:rsidR="003A41B7">
        <w:rPr>
          <w:rStyle w:val="normaltextrun"/>
        </w:rPr>
        <w:t xml:space="preserve"> sources.</w:t>
      </w:r>
    </w:p>
    <w:p w14:paraId="7C2118BF" w14:textId="58A2D08C" w:rsidR="00CA21C2" w:rsidRPr="002F207F" w:rsidRDefault="00CA21C2" w:rsidP="008131EB">
      <w:pPr>
        <w:pStyle w:val="ListBullet"/>
        <w:rPr>
          <w:rFonts w:eastAsiaTheme="majorEastAsia"/>
        </w:rPr>
      </w:pPr>
      <w:r w:rsidRPr="002F207F">
        <w:rPr>
          <w:rStyle w:val="normaltextrun"/>
          <w:rFonts w:eastAsiaTheme="majorEastAsia"/>
        </w:rPr>
        <w:t>MassSave</w:t>
      </w:r>
      <w:r w:rsidRPr="002F207F">
        <w:rPr>
          <w:rStyle w:val="eop"/>
          <w:rFonts w:eastAsiaTheme="majorEastAsia"/>
        </w:rPr>
        <w:t xml:space="preserve"> offers a </w:t>
      </w:r>
      <w:hyperlink r:id="rId150" w:history="1">
        <w:r w:rsidRPr="00D91FC9">
          <w:rPr>
            <w:rStyle w:val="Hyperlink"/>
            <w:rFonts w:eastAsiaTheme="majorEastAsia"/>
          </w:rPr>
          <w:t>variety of incentives to schools</w:t>
        </w:r>
      </w:hyperlink>
      <w:r w:rsidRPr="002F207F">
        <w:rPr>
          <w:rStyle w:val="eop"/>
          <w:rFonts w:eastAsiaTheme="majorEastAsia"/>
        </w:rPr>
        <w:t xml:space="preserve">, including decarbonization roadmap services and project implementation for component retrofits up to new construction and modernizations. Retrofit incentives include building insulation and weatherization, abatement of hazardous materials (asbestos, vermiculite, knob and tube wiring), HVAC, lighting and controls, </w:t>
      </w:r>
      <w:r w:rsidR="00E94DE7">
        <w:rPr>
          <w:rStyle w:val="eop"/>
          <w:rFonts w:eastAsiaTheme="majorEastAsia"/>
        </w:rPr>
        <w:t>building automation system</w:t>
      </w:r>
      <w:r w:rsidR="00155CC9">
        <w:rPr>
          <w:rStyle w:val="eop"/>
          <w:rFonts w:eastAsiaTheme="majorEastAsia"/>
        </w:rPr>
        <w:t>s</w:t>
      </w:r>
      <w:r w:rsidR="00E94DE7">
        <w:rPr>
          <w:rStyle w:val="eop"/>
          <w:rFonts w:eastAsiaTheme="majorEastAsia"/>
        </w:rPr>
        <w:t xml:space="preserve"> (</w:t>
      </w:r>
      <w:r w:rsidRPr="002F207F">
        <w:rPr>
          <w:rStyle w:val="eop"/>
          <w:rFonts w:eastAsiaTheme="majorEastAsia"/>
        </w:rPr>
        <w:t>BAS</w:t>
      </w:r>
      <w:r w:rsidR="00E94DE7">
        <w:rPr>
          <w:rStyle w:val="eop"/>
          <w:rFonts w:eastAsiaTheme="majorEastAsia"/>
        </w:rPr>
        <w:t>)</w:t>
      </w:r>
      <w:r w:rsidRPr="002F207F">
        <w:rPr>
          <w:rStyle w:val="eop"/>
          <w:rFonts w:eastAsiaTheme="majorEastAsia"/>
        </w:rPr>
        <w:t xml:space="preserve">, specialty equipment, </w:t>
      </w:r>
      <w:r w:rsidRPr="002F207F">
        <w:rPr>
          <w:rFonts w:eastAsiaTheme="majorEastAsia"/>
        </w:rPr>
        <w:t>water heating</w:t>
      </w:r>
      <w:r w:rsidR="00017DD8">
        <w:rPr>
          <w:rFonts w:eastAsiaTheme="majorEastAsia"/>
        </w:rPr>
        <w:t>,</w:t>
      </w:r>
      <w:r w:rsidRPr="002F207F">
        <w:rPr>
          <w:rFonts w:eastAsiaTheme="majorEastAsia"/>
        </w:rPr>
        <w:t xml:space="preserve"> and pipe insulation. New construction and modernization incentives offer multiple pathways based on establishing aggressive </w:t>
      </w:r>
      <w:r w:rsidR="00861118">
        <w:rPr>
          <w:rFonts w:eastAsiaTheme="majorEastAsia"/>
        </w:rPr>
        <w:t>energy use intensity (</w:t>
      </w:r>
      <w:r w:rsidRPr="002F207F">
        <w:rPr>
          <w:rFonts w:eastAsiaTheme="majorEastAsia"/>
        </w:rPr>
        <w:t>EUI</w:t>
      </w:r>
      <w:r w:rsidR="00861118">
        <w:rPr>
          <w:rFonts w:eastAsiaTheme="majorEastAsia"/>
        </w:rPr>
        <w:t>)</w:t>
      </w:r>
      <w:r w:rsidR="00155CC9">
        <w:rPr>
          <w:rFonts w:eastAsiaTheme="majorEastAsia"/>
        </w:rPr>
        <w:t xml:space="preserve"> </w:t>
      </w:r>
      <w:r w:rsidRPr="002F207F">
        <w:rPr>
          <w:rFonts w:eastAsiaTheme="majorEastAsia"/>
        </w:rPr>
        <w:t>targets.</w:t>
      </w:r>
    </w:p>
    <w:p w14:paraId="01C84C3B" w14:textId="65FDEAE4" w:rsidR="00CA21C2" w:rsidRPr="002F207F" w:rsidRDefault="00CA21C2" w:rsidP="008131EB">
      <w:pPr>
        <w:pStyle w:val="ListBullet"/>
        <w:rPr>
          <w:rFonts w:eastAsiaTheme="majorEastAsia"/>
        </w:rPr>
      </w:pPr>
      <w:r w:rsidRPr="002F207F">
        <w:t>MassSave</w:t>
      </w:r>
      <w:r w:rsidR="0090527E">
        <w:t>’s</w:t>
      </w:r>
      <w:r w:rsidRPr="002F207F">
        <w:t xml:space="preserve"> </w:t>
      </w:r>
      <w:hyperlink r:id="rId151" w:history="1">
        <w:r w:rsidRPr="0090527E">
          <w:rPr>
            <w:rStyle w:val="Hyperlink"/>
          </w:rPr>
          <w:t>ConnectedSolutions Active Demand Reduction</w:t>
        </w:r>
        <w:r w:rsidR="0090527E" w:rsidRPr="0090527E">
          <w:rPr>
            <w:rStyle w:val="Hyperlink"/>
          </w:rPr>
          <w:t xml:space="preserve"> Initiative</w:t>
        </w:r>
      </w:hyperlink>
      <w:r w:rsidRPr="002F207F">
        <w:t xml:space="preserve"> can further improve project economics by allowing for compensation from demand response activities. </w:t>
      </w:r>
      <w:r w:rsidR="0090527E">
        <w:t>School d</w:t>
      </w:r>
      <w:r w:rsidRPr="002F207F">
        <w:t>istrict</w:t>
      </w:r>
      <w:r w:rsidR="0090527E">
        <w:t>s</w:t>
      </w:r>
      <w:r w:rsidRPr="002F207F">
        <w:t xml:space="preserve"> can contact a curtailment service provider to determine school- or district-level potential for reducing electricity demand at peak times. This provides additional grid resilience benefits to the surrounding community.</w:t>
      </w:r>
    </w:p>
    <w:p w14:paraId="5D934E0B" w14:textId="444612F4" w:rsidR="00337C30" w:rsidRPr="0067125E" w:rsidRDefault="0090527E" w:rsidP="008131EB">
      <w:pPr>
        <w:pStyle w:val="ListBullet"/>
      </w:pPr>
      <w:r>
        <w:rPr>
          <w:rFonts w:eastAsiaTheme="majorEastAsia"/>
        </w:rPr>
        <w:t xml:space="preserve">The </w:t>
      </w:r>
      <w:r w:rsidR="00337C30" w:rsidRPr="002F207F">
        <w:rPr>
          <w:rFonts w:eastAsiaTheme="majorEastAsia"/>
        </w:rPr>
        <w:t xml:space="preserve">Inflation Reduction Act (IRA) Investment Tax Credit (ITC) </w:t>
      </w:r>
      <w:r>
        <w:t xml:space="preserve">provides </w:t>
      </w:r>
      <w:r w:rsidR="00ED43D9">
        <w:t xml:space="preserve">taxable </w:t>
      </w:r>
      <w:r>
        <w:t>entities</w:t>
      </w:r>
      <w:r w:rsidR="00337C30" w:rsidRPr="002F207F">
        <w:t xml:space="preserve"> non-competitive cash reimbursements with no funding limit</w:t>
      </w:r>
      <w:r w:rsidR="00ED43D9">
        <w:t>. The IRA ITC is</w:t>
      </w:r>
      <w:r w:rsidR="00337C30" w:rsidRPr="002F207F">
        <w:t xml:space="preserve"> established by law and extend</w:t>
      </w:r>
      <w:r w:rsidR="0080138A">
        <w:t>s</w:t>
      </w:r>
      <w:r w:rsidR="00337C30" w:rsidRPr="002F207F">
        <w:t xml:space="preserve"> through 2032-2035. The IRA added a direct pay (also referred to as elective pay) option, which allows non-taxable entities (e.g., school districts) to receive the ITC as cash payments. The ITC provides </w:t>
      </w:r>
      <w:r w:rsidR="0080138A">
        <w:t>school d</w:t>
      </w:r>
      <w:r w:rsidR="00337C30" w:rsidRPr="002F207F">
        <w:t xml:space="preserve">istricts with the ability to plan over a long-time horizon to install eligible clean energy </w:t>
      </w:r>
      <w:r w:rsidR="0080138A">
        <w:t>technologies—</w:t>
      </w:r>
      <w:r w:rsidR="00337C30" w:rsidRPr="002F207F">
        <w:t xml:space="preserve">often at lower costs than the conventional alternative. Eligible technologies include </w:t>
      </w:r>
      <w:r w:rsidR="00861118">
        <w:t>ground-source heat pumps (</w:t>
      </w:r>
      <w:r w:rsidR="00337C30" w:rsidRPr="002F207F">
        <w:t>GSHP</w:t>
      </w:r>
      <w:r w:rsidR="00861118">
        <w:t>)</w:t>
      </w:r>
      <w:r w:rsidR="00337C30" w:rsidRPr="002F207F">
        <w:t xml:space="preserve">, </w:t>
      </w:r>
      <w:r w:rsidR="001159E4">
        <w:t>wastewater energy</w:t>
      </w:r>
      <w:r w:rsidR="007D0C3F">
        <w:t xml:space="preserve"> recovery</w:t>
      </w:r>
      <w:r w:rsidR="00337C30" w:rsidRPr="002F207F">
        <w:t xml:space="preserve">, solar, </w:t>
      </w:r>
      <w:r w:rsidR="0032518A">
        <w:t>battery energy storage systems</w:t>
      </w:r>
      <w:r w:rsidR="00337C30" w:rsidRPr="002F207F">
        <w:t xml:space="preserve">, </w:t>
      </w:r>
      <w:r w:rsidR="0032518A">
        <w:t>ESBs</w:t>
      </w:r>
      <w:r w:rsidR="00337C30" w:rsidRPr="002F207F">
        <w:t xml:space="preserve">, light duty </w:t>
      </w:r>
      <w:r w:rsidR="0032518A">
        <w:t>battery electric vehicles</w:t>
      </w:r>
      <w:r w:rsidR="00337C30" w:rsidRPr="002F207F">
        <w:t xml:space="preserve">, and EVSE. </w:t>
      </w:r>
      <w:r w:rsidR="00337C30" w:rsidRPr="002F207F">
        <w:rPr>
          <w:rFonts w:eastAsiaTheme="majorEastAsia"/>
        </w:rPr>
        <w:t>MassCEC Green School Works bridge loans can cover the initial project costs, or municipalities may be able to issue Federal and State Aid Anticipation Notes.</w:t>
      </w:r>
      <w:r w:rsidR="00337C30" w:rsidRPr="0067125E">
        <w:rPr>
          <w:rFonts w:eastAsiaTheme="majorEastAsia"/>
        </w:rPr>
        <w:fldChar w:fldCharType="begin"/>
      </w:r>
      <w:r w:rsidR="00067080">
        <w:rPr>
          <w:rFonts w:eastAsiaTheme="majorEastAsia"/>
        </w:rPr>
        <w:instrText xml:space="preserve"> ADDIN ZOTERO_ITEM CSL_CITATION {"citationID":"Chgujgyb","properties":{"formattedCitation":"\\super 166\\nosupersub{}","plainCitation":"166","noteIndex":0},"citationItems":[{"id":386,"uris":["http://zotero.org/groups/5563646/items/NCYT47QP"],"itemData":{"id":386,"type":"document","title":"Understanding Municipal Debt","URL":"https://www.mass.gov/doc/understanding-municipal-debt/download","author":[{"literal":"MA Department of Revenue, Division of Local Services"}],"issued":{"date-parts":[["2020",1]]}}}],"schema":"https://github.com/citation-style-language/schema/raw/master/csl-citation.json"} </w:instrText>
      </w:r>
      <w:r w:rsidR="00337C30" w:rsidRPr="0067125E">
        <w:rPr>
          <w:rFonts w:eastAsiaTheme="majorEastAsia"/>
        </w:rPr>
        <w:fldChar w:fldCharType="separate"/>
      </w:r>
      <w:r w:rsidR="00067080" w:rsidRPr="00067080">
        <w:rPr>
          <w:rFonts w:cs="Arial"/>
          <w:vertAlign w:val="superscript"/>
        </w:rPr>
        <w:t>166</w:t>
      </w:r>
      <w:r w:rsidR="00337C30" w:rsidRPr="0067125E">
        <w:rPr>
          <w:rFonts w:eastAsiaTheme="majorEastAsia"/>
        </w:rPr>
        <w:fldChar w:fldCharType="end"/>
      </w:r>
      <w:r w:rsidR="00BB37B1">
        <w:rPr>
          <w:rFonts w:eastAsiaTheme="majorEastAsia"/>
        </w:rPr>
        <w:t xml:space="preserve"> Below are some additional points regarding</w:t>
      </w:r>
      <w:r w:rsidR="003B5AB9">
        <w:rPr>
          <w:rFonts w:eastAsiaTheme="majorEastAsia"/>
        </w:rPr>
        <w:t xml:space="preserve"> the IRA ITC:</w:t>
      </w:r>
    </w:p>
    <w:p w14:paraId="7725DD53" w14:textId="7F657D91" w:rsidR="00337C30" w:rsidRPr="0067125E" w:rsidRDefault="00337C30" w:rsidP="00F309A2">
      <w:pPr>
        <w:pStyle w:val="ListBullet2"/>
      </w:pPr>
      <w:r w:rsidRPr="0067125E">
        <w:t>ITC funds are intended to be stacked with other funding sources discussed in this section</w:t>
      </w:r>
      <w:r w:rsidR="00861118">
        <w:t>;</w:t>
      </w:r>
      <w:r w:rsidR="00861118" w:rsidRPr="0067125E">
        <w:t xml:space="preserve"> </w:t>
      </w:r>
      <w:r w:rsidR="00861118">
        <w:t>h</w:t>
      </w:r>
      <w:r w:rsidR="00861118" w:rsidRPr="0067125E">
        <w:t>owever</w:t>
      </w:r>
      <w:r w:rsidRPr="0067125E">
        <w:t xml:space="preserve">, the use of tax-exempt bonds (e.g., </w:t>
      </w:r>
      <w:r w:rsidR="003B5AB9">
        <w:t>general obligation</w:t>
      </w:r>
      <w:r w:rsidRPr="0067125E">
        <w:t xml:space="preserve"> bonds) to finance an energy project reduces the ITC by 15 percent. Districts can consider using cash on hand to finance discrete energy projects while using tax-exempt bonds to finance the balance of the project.</w:t>
      </w:r>
    </w:p>
    <w:p w14:paraId="02A8B77C" w14:textId="518034D2" w:rsidR="00337C30" w:rsidRPr="00F657FB" w:rsidRDefault="00337C30" w:rsidP="00F309A2">
      <w:pPr>
        <w:pStyle w:val="ListBullet2"/>
      </w:pPr>
      <w:r w:rsidRPr="0067125E">
        <w:t xml:space="preserve">Taking advantage of the full value </w:t>
      </w:r>
      <w:r w:rsidR="00CA5D9D">
        <w:t>of</w:t>
      </w:r>
      <w:r w:rsidRPr="0067125E">
        <w:t xml:space="preserve"> the ITC requires upfront coordination with a variety of project stakeholders, including general council, </w:t>
      </w:r>
      <w:r w:rsidR="00CA5D9D">
        <w:t xml:space="preserve">a </w:t>
      </w:r>
      <w:r w:rsidRPr="0067125E">
        <w:t xml:space="preserve">municipal tax advisor, capital construction project managers, contracts and </w:t>
      </w:r>
      <w:r w:rsidRPr="0067125E">
        <w:lastRenderedPageBreak/>
        <w:t xml:space="preserve">procurement, and </w:t>
      </w:r>
      <w:r w:rsidR="009C3607">
        <w:t>an energy services company (</w:t>
      </w:r>
      <w:r w:rsidRPr="0067125E">
        <w:t>ESCO</w:t>
      </w:r>
      <w:r w:rsidR="009C3607">
        <w:t>),</w:t>
      </w:r>
      <w:r w:rsidR="009C3607" w:rsidRPr="0067125E">
        <w:t xml:space="preserve"> </w:t>
      </w:r>
      <w:r w:rsidRPr="0067125E">
        <w:t xml:space="preserve">if applicable. The project team should review and incorporate all applicable ITC requirements into the project requirements, including domestic content, prevailing wage, and apprenticeship requirements. While stakeholders may offer input or support, the </w:t>
      </w:r>
      <w:r w:rsidR="004B0865">
        <w:t>school d</w:t>
      </w:r>
      <w:r w:rsidRPr="0067125E">
        <w:t>istrict is the tax filing entity and has ultimate responsibility to comply with ITC requirements.</w:t>
      </w:r>
    </w:p>
    <w:p w14:paraId="14F02BC0" w14:textId="77777777" w:rsidR="00FC2423" w:rsidRPr="0067125E" w:rsidRDefault="00FC2423" w:rsidP="001C7888">
      <w:pPr>
        <w:pStyle w:val="Heading2"/>
      </w:pPr>
      <w:bookmarkStart w:id="423" w:name="_Toc173100922"/>
      <w:bookmarkStart w:id="424" w:name="_Toc193116923"/>
      <w:r w:rsidRPr="0067125E">
        <w:t>Third-Party Financing</w:t>
      </w:r>
      <w:bookmarkEnd w:id="423"/>
      <w:bookmarkEnd w:id="424"/>
    </w:p>
    <w:p w14:paraId="5CCB1C1F" w14:textId="4A950E5E" w:rsidR="00FC2423" w:rsidRPr="0067125E" w:rsidRDefault="00FC2423" w:rsidP="006D7DE6">
      <w:pPr>
        <w:pStyle w:val="BodyTextFirstIndent"/>
      </w:pPr>
      <w:r w:rsidRPr="0067125E">
        <w:t xml:space="preserve">Energy management services (EMS), also referred to as energy savings performance contracts (ESPC), allow for third-party investment by an energy services company (ESCO) in school buildings with no upfront cost to the </w:t>
      </w:r>
      <w:r w:rsidR="00D30F79">
        <w:t>school d</w:t>
      </w:r>
      <w:r w:rsidRPr="0067125E">
        <w:t xml:space="preserve">istrict. The ESCO will bring in energy professionals to conduct an </w:t>
      </w:r>
      <w:r w:rsidR="00861118" w:rsidRPr="0067125E">
        <w:t>investment</w:t>
      </w:r>
      <w:r w:rsidR="00861118">
        <w:t>-</w:t>
      </w:r>
      <w:r w:rsidRPr="0067125E">
        <w:t xml:space="preserve">grade assessment of the facility and propose </w:t>
      </w:r>
      <w:r w:rsidR="00861118" w:rsidRPr="0067125E">
        <w:t>cost</w:t>
      </w:r>
      <w:r w:rsidR="00861118">
        <w:t>-</w:t>
      </w:r>
      <w:r w:rsidRPr="0067125E">
        <w:t xml:space="preserve">effective retrofit measures that meet the </w:t>
      </w:r>
      <w:r w:rsidR="00D30F79">
        <w:t>school d</w:t>
      </w:r>
      <w:r w:rsidRPr="0067125E">
        <w:t>istrict’s stated goals. Once the retrofit measures are agreed upon, the ESCO will install and commission the systems. The ESCO performs measurement and verification throughout the life of the contract to ensure that the systems operate as intended and that utility savings are maintained. The ESCO’s upfront investment is paid back over the life of the contract (up to 20</w:t>
      </w:r>
      <w:r w:rsidR="00861118">
        <w:t xml:space="preserve"> </w:t>
      </w:r>
      <w:r w:rsidRPr="0067125E">
        <w:t xml:space="preserve">years) through a portion of the savings that the school realizes on its utility bills, making the project budget-neutral. Given that EMS are based on utility cost savings as opposed to emission reductions, the initial statement of objectives should specify the </w:t>
      </w:r>
      <w:r w:rsidR="00906D83">
        <w:t>school d</w:t>
      </w:r>
      <w:r w:rsidRPr="0067125E">
        <w:t>istrict’s decarbonization goals, environmental health goals, and school program needs.  </w:t>
      </w:r>
    </w:p>
    <w:p w14:paraId="7702B404" w14:textId="469B62A2" w:rsidR="00FC2423" w:rsidRPr="0067125E" w:rsidRDefault="00FC2423" w:rsidP="006D7DE6">
      <w:pPr>
        <w:pStyle w:val="BodyTextFirstIndent"/>
      </w:pPr>
      <w:r w:rsidRPr="0067125E">
        <w:t xml:space="preserve">EMS projects can include a variety of </w:t>
      </w:r>
      <w:r w:rsidR="00906D83">
        <w:t>energy and water conservation measures</w:t>
      </w:r>
      <w:r w:rsidRPr="0067125E">
        <w:t xml:space="preserve"> and often seek to bundle measures that have short and long paybacks to allow for a larger overall investment</w:t>
      </w:r>
      <w:r w:rsidR="005135F4">
        <w:t>. For example,</w:t>
      </w:r>
      <w:r w:rsidRPr="0067125E">
        <w:t xml:space="preserve"> </w:t>
      </w:r>
      <w:r w:rsidR="00385A1B">
        <w:t>light</w:t>
      </w:r>
      <w:r w:rsidR="007755D4">
        <w:t>-</w:t>
      </w:r>
      <w:r w:rsidR="00385A1B">
        <w:t>emitting diode (</w:t>
      </w:r>
      <w:r w:rsidRPr="0067125E">
        <w:t>LED</w:t>
      </w:r>
      <w:r w:rsidR="00385A1B">
        <w:t>)</w:t>
      </w:r>
      <w:r w:rsidRPr="0067125E">
        <w:t xml:space="preserve"> retrofits</w:t>
      </w:r>
      <w:r w:rsidR="005135F4">
        <w:t xml:space="preserve"> with quick </w:t>
      </w:r>
      <w:r w:rsidR="004D1B91">
        <w:t>payback periods</w:t>
      </w:r>
      <w:r w:rsidRPr="0067125E">
        <w:t xml:space="preserve"> will help offset </w:t>
      </w:r>
      <w:r w:rsidR="00861118">
        <w:t xml:space="preserve">the </w:t>
      </w:r>
      <w:r w:rsidRPr="0067125E">
        <w:t>costs of larger capital equipment</w:t>
      </w:r>
      <w:r w:rsidR="004D1B91">
        <w:t>, such as</w:t>
      </w:r>
      <w:r w:rsidRPr="0067125E">
        <w:t xml:space="preserve"> a new HVAC system. Bundling multiple buildings in a single EMS contract can improve the overall project economics and allow for deeper emission reductions. </w:t>
      </w:r>
      <w:r w:rsidR="004D1B91">
        <w:t>School d</w:t>
      </w:r>
      <w:r w:rsidRPr="0067125E">
        <w:t xml:space="preserve">istricts can identify candidate buildings for an EMS through the </w:t>
      </w:r>
      <w:r w:rsidR="00C41235">
        <w:t>emissions reduction plan (</w:t>
      </w:r>
      <w:r w:rsidRPr="0067125E">
        <w:t>ERP</w:t>
      </w:r>
      <w:r w:rsidR="00C41235">
        <w:t>)</w:t>
      </w:r>
      <w:r w:rsidRPr="0067125E">
        <w:t xml:space="preserve"> and </w:t>
      </w:r>
      <w:r w:rsidR="00C41235">
        <w:t>facility condition assessment</w:t>
      </w:r>
      <w:r w:rsidR="00861118">
        <w:t xml:space="preserve"> (</w:t>
      </w:r>
      <w:r w:rsidRPr="0067125E">
        <w:t>FCA</w:t>
      </w:r>
      <w:r w:rsidR="00861118">
        <w:t>)</w:t>
      </w:r>
      <w:r w:rsidRPr="0067125E">
        <w:t xml:space="preserve"> processes</w:t>
      </w:r>
      <w:r w:rsidR="004D1B91">
        <w:t xml:space="preserve"> (see </w:t>
      </w:r>
      <w:hyperlink w:anchor="Objective_1a" w:history="1">
        <w:r w:rsidR="004D1B91" w:rsidRPr="00A95475">
          <w:rPr>
            <w:rStyle w:val="Hyperlink"/>
          </w:rPr>
          <w:t xml:space="preserve">Objective 1a. </w:t>
        </w:r>
        <w:r w:rsidR="00A95475" w:rsidRPr="00A95475">
          <w:rPr>
            <w:rStyle w:val="Hyperlink"/>
          </w:rPr>
          <w:t>Decarbonize B</w:t>
        </w:r>
        <w:r w:rsidR="004D1B91" w:rsidRPr="00A95475">
          <w:rPr>
            <w:rStyle w:val="Hyperlink"/>
          </w:rPr>
          <w:t>uilding</w:t>
        </w:r>
        <w:r w:rsidR="00A95475" w:rsidRPr="00A95475">
          <w:rPr>
            <w:rStyle w:val="Hyperlink"/>
          </w:rPr>
          <w:t>s</w:t>
        </w:r>
      </w:hyperlink>
      <w:r w:rsidR="004D1B91">
        <w:t xml:space="preserve"> for more details)</w:t>
      </w:r>
      <w:r w:rsidRPr="0067125E">
        <w:t xml:space="preserve">. Good candidates are often buildings that are in good condition (e.g., envelope, finishes) with modern electrical, HVAC, and plumbing distribution systems but </w:t>
      </w:r>
      <w:r w:rsidR="00F14DA1">
        <w:t xml:space="preserve">with </w:t>
      </w:r>
      <w:r w:rsidR="00D44EA6">
        <w:t xml:space="preserve">mechanical </w:t>
      </w:r>
      <w:r w:rsidR="00F14DA1">
        <w:t>equipment that is nearing</w:t>
      </w:r>
      <w:r w:rsidR="00D44EA6">
        <w:t xml:space="preserve"> the </w:t>
      </w:r>
      <w:r w:rsidRPr="0067125E">
        <w:t xml:space="preserve">end of </w:t>
      </w:r>
      <w:r w:rsidR="00D44EA6">
        <w:t>useful life</w:t>
      </w:r>
      <w:r w:rsidRPr="0067125E">
        <w:t xml:space="preserve">. EMS contracts can also </w:t>
      </w:r>
      <w:r w:rsidR="005E440A">
        <w:t xml:space="preserve">incorporate </w:t>
      </w:r>
      <w:r w:rsidRPr="0067125E">
        <w:t>third-party O&amp;M services for newly installed systems, which can be helpful when existing staff and resources are at capacity or do</w:t>
      </w:r>
      <w:r w:rsidR="005E440A">
        <w:t xml:space="preserve"> </w:t>
      </w:r>
      <w:r w:rsidRPr="0067125E">
        <w:t>n</w:t>
      </w:r>
      <w:r w:rsidR="005E440A">
        <w:t>o</w:t>
      </w:r>
      <w:r w:rsidRPr="0067125E">
        <w:t>t have expertise on the new systems. </w:t>
      </w:r>
    </w:p>
    <w:p w14:paraId="4ED42303" w14:textId="6156A889" w:rsidR="00946BCD" w:rsidRDefault="00861118" w:rsidP="006D7DE6">
      <w:pPr>
        <w:pStyle w:val="BodyTextFirstIndent"/>
        <w:sectPr w:rsidR="00946BCD" w:rsidSect="00B20DE2">
          <w:headerReference w:type="even" r:id="rId152"/>
          <w:headerReference w:type="default" r:id="rId153"/>
          <w:headerReference w:type="first" r:id="rId154"/>
          <w:pgSz w:w="12240" w:h="15840"/>
          <w:pgMar w:top="1440" w:right="1440" w:bottom="1440" w:left="1440" w:header="720" w:footer="720" w:gutter="0"/>
          <w:cols w:space="720"/>
          <w:docGrid w:linePitch="360"/>
        </w:sectPr>
      </w:pPr>
      <w:r>
        <w:t xml:space="preserve">The </w:t>
      </w:r>
      <w:r w:rsidR="00FC2423" w:rsidRPr="0067125E">
        <w:t xml:space="preserve">Massachusetts DOER Green Communities Division provides information and assistance to local jurisdictions on the use of EMS, including draft </w:t>
      </w:r>
      <w:r w:rsidR="00302C61">
        <w:t>request for proposal</w:t>
      </w:r>
      <w:r w:rsidR="009C0DDA">
        <w:t>s</w:t>
      </w:r>
      <w:r w:rsidR="00302C61">
        <w:t xml:space="preserve"> (</w:t>
      </w:r>
      <w:r w:rsidR="00FC2423" w:rsidRPr="0067125E">
        <w:t>RFPs</w:t>
      </w:r>
      <w:r w:rsidR="00302C61">
        <w:t>)</w:t>
      </w:r>
      <w:r w:rsidR="00FC2423" w:rsidRPr="0067125E">
        <w:t xml:space="preserve"> and </w:t>
      </w:r>
      <w:r w:rsidR="00302C61">
        <w:t>request for quotes</w:t>
      </w:r>
      <w:r w:rsidR="00FC2423" w:rsidRPr="0067125E">
        <w:t xml:space="preserve"> with language that includes guarantees of savings, maximum cost, and </w:t>
      </w:r>
      <w:r w:rsidR="003428D7">
        <w:t xml:space="preserve">energy </w:t>
      </w:r>
      <w:r w:rsidR="00FC2423" w:rsidRPr="0067125E">
        <w:t xml:space="preserve">generation (where applicable for onsite clean energy). </w:t>
      </w:r>
      <w:r w:rsidR="00E821CF">
        <w:t xml:space="preserve">The </w:t>
      </w:r>
      <w:r w:rsidR="00FC2423" w:rsidRPr="0067125E">
        <w:t>MSBA has issued guidance to clarify that EMS costs are separate from any reimbursable MSBA project costs. An EMS project will not result in the school be</w:t>
      </w:r>
      <w:r w:rsidR="001A59FA">
        <w:t>ing</w:t>
      </w:r>
      <w:r w:rsidR="00FC2423" w:rsidRPr="0067125E">
        <w:t xml:space="preserve"> eliminated from consideration for an MSBA grant award, and schools can still submit a</w:t>
      </w:r>
      <w:r w:rsidR="001A59FA">
        <w:t>n</w:t>
      </w:r>
      <w:r w:rsidR="00FC2423" w:rsidRPr="0067125E">
        <w:t xml:space="preserve"> </w:t>
      </w:r>
      <w:r w:rsidR="001A59FA">
        <w:t>SOI for</w:t>
      </w:r>
      <w:r w:rsidR="00FC2423" w:rsidRPr="0067125E">
        <w:t xml:space="preserve"> buildings undergoing an EMS for any projects that are not covered by the EMS. </w:t>
      </w:r>
    </w:p>
    <w:p w14:paraId="194AAE0F" w14:textId="647B0762" w:rsidR="008E1883" w:rsidRDefault="00B6362A" w:rsidP="00B6362A">
      <w:pPr>
        <w:pStyle w:val="ModuleHeader"/>
      </w:pPr>
      <w:bookmarkStart w:id="425" w:name="_Toc193116924"/>
      <w:r w:rsidRPr="00B6362A">
        <w:lastRenderedPageBreak/>
        <w:t>Module 2: In-Depth Discussion of Methods, Best Practices, Statutes, Regulations, Standards, and Relevant Resources</w:t>
      </w:r>
      <w:bookmarkEnd w:id="425"/>
    </w:p>
    <w:p w14:paraId="4308E797" w14:textId="77777777" w:rsidR="008C7545" w:rsidRDefault="008C7545" w:rsidP="006D7DE6">
      <w:pPr>
        <w:pStyle w:val="BodyTextFirstIndent"/>
      </w:pPr>
    </w:p>
    <w:p w14:paraId="1036DCA6" w14:textId="77777777" w:rsidR="00946BCD" w:rsidRDefault="00946BCD" w:rsidP="006D7DE6">
      <w:pPr>
        <w:pStyle w:val="BodyTextFirstIndent"/>
        <w:sectPr w:rsidR="00946BCD" w:rsidSect="00B6362A">
          <w:footerReference w:type="default" r:id="rId155"/>
          <w:pgSz w:w="12240" w:h="15840"/>
          <w:pgMar w:top="1440" w:right="1440" w:bottom="1440" w:left="1440" w:header="720" w:footer="720" w:gutter="0"/>
          <w:cols w:space="720"/>
          <w:vAlign w:val="center"/>
          <w:docGrid w:linePitch="360"/>
        </w:sectPr>
      </w:pPr>
    </w:p>
    <w:p w14:paraId="3BC18F60" w14:textId="396CE662" w:rsidR="008C7545" w:rsidRDefault="00563962" w:rsidP="00A90558">
      <w:pPr>
        <w:pStyle w:val="Heading1"/>
      </w:pPr>
      <w:bookmarkStart w:id="426" w:name="Appendix_A"/>
      <w:bookmarkStart w:id="427" w:name="Section_VI"/>
      <w:bookmarkStart w:id="428" w:name="_Toc171518385"/>
      <w:bookmarkStart w:id="429" w:name="_Toc171519338"/>
      <w:bookmarkStart w:id="430" w:name="_Toc193116925"/>
      <w:bookmarkEnd w:id="426"/>
      <w:bookmarkEnd w:id="427"/>
      <w:r>
        <w:lastRenderedPageBreak/>
        <w:t>VI.</w:t>
      </w:r>
      <w:bookmarkEnd w:id="428"/>
      <w:bookmarkEnd w:id="429"/>
      <w:r>
        <w:t xml:space="preserve"> </w:t>
      </w:r>
      <w:r w:rsidR="00177552">
        <w:t>Additional Details Related to Goal 1: Achieve Green Schools</w:t>
      </w:r>
      <w:bookmarkEnd w:id="430"/>
    </w:p>
    <w:p w14:paraId="7114CF48" w14:textId="2F8CD262" w:rsidR="0069388F" w:rsidRDefault="00953E4A" w:rsidP="006D7DE6">
      <w:pPr>
        <w:pStyle w:val="BodyTextFirstIndent"/>
      </w:pPr>
      <w:r>
        <w:t xml:space="preserve">This </w:t>
      </w:r>
      <w:r w:rsidR="00563962">
        <w:t>section</w:t>
      </w:r>
      <w:r>
        <w:t xml:space="preserve"> presents </w:t>
      </w:r>
      <w:r w:rsidR="0069388F">
        <w:t>the following content:</w:t>
      </w:r>
    </w:p>
    <w:p w14:paraId="69968402" w14:textId="66F47ABC" w:rsidR="0069388F" w:rsidRDefault="0069388F" w:rsidP="008131EB">
      <w:pPr>
        <w:pStyle w:val="ListBullet"/>
      </w:pPr>
      <w:r>
        <w:t>A</w:t>
      </w:r>
      <w:r w:rsidR="0014144B">
        <w:t xml:space="preserve"> more detailed narrative description of </w:t>
      </w:r>
      <w:r w:rsidR="00953E4A">
        <w:t>the methods and best practices</w:t>
      </w:r>
      <w:r w:rsidR="004F299C">
        <w:t xml:space="preserve"> presented in </w:t>
      </w:r>
      <w:r w:rsidR="004F3E10">
        <w:t>Goal 1: Achieve Green Schools (</w:t>
      </w:r>
      <w:r w:rsidR="004F299C">
        <w:t>Section II</w:t>
      </w:r>
      <w:r w:rsidR="004F3E10">
        <w:t xml:space="preserve">) </w:t>
      </w:r>
    </w:p>
    <w:p w14:paraId="14E24125" w14:textId="535C74D6" w:rsidR="00A14E01" w:rsidRDefault="0069388F" w:rsidP="008131EB">
      <w:pPr>
        <w:pStyle w:val="ListBullet"/>
      </w:pPr>
      <w:r>
        <w:t xml:space="preserve">A </w:t>
      </w:r>
      <w:r w:rsidR="004F299C">
        <w:t xml:space="preserve">narrative </w:t>
      </w:r>
      <w:r w:rsidR="00B70D4F">
        <w:t xml:space="preserve">and tabular summary of the relevant </w:t>
      </w:r>
      <w:r w:rsidR="00953E4A">
        <w:t>statutory/regulatory framework and notable standards</w:t>
      </w:r>
    </w:p>
    <w:p w14:paraId="7207B0B1" w14:textId="77777777" w:rsidR="006067C6" w:rsidRDefault="00A14E01" w:rsidP="008131EB">
      <w:pPr>
        <w:pStyle w:val="ListBullet"/>
      </w:pPr>
      <w:r>
        <w:t xml:space="preserve">A tabular summary of relevant resources that </w:t>
      </w:r>
      <w:r w:rsidR="00953E4A">
        <w:t xml:space="preserve">can help school districts across the Commonwealth achieve green schools </w:t>
      </w:r>
    </w:p>
    <w:p w14:paraId="47535878" w14:textId="03A5284C" w:rsidR="00953E4A" w:rsidRDefault="00953E4A" w:rsidP="006D7DE6">
      <w:pPr>
        <w:pStyle w:val="BodyTextFirstIndent"/>
      </w:pPr>
      <w:r>
        <w:t xml:space="preserve">Content is provided across the following six objectives: </w:t>
      </w:r>
    </w:p>
    <w:p w14:paraId="6375DCB7" w14:textId="77777777" w:rsidR="00953E4A" w:rsidRPr="00CE319F" w:rsidRDefault="00953E4A" w:rsidP="0073680D">
      <w:pPr>
        <w:pStyle w:val="ListLetter"/>
        <w:numPr>
          <w:ilvl w:val="0"/>
          <w:numId w:val="30"/>
        </w:numPr>
      </w:pPr>
      <w:r>
        <w:t>Decarbonize buildings</w:t>
      </w:r>
    </w:p>
    <w:p w14:paraId="3BA1529D" w14:textId="77777777" w:rsidR="00953E4A" w:rsidRPr="00CE319F" w:rsidRDefault="00953E4A" w:rsidP="0073680D">
      <w:pPr>
        <w:pStyle w:val="ListLetter"/>
      </w:pPr>
      <w:r w:rsidRPr="00CE319F">
        <w:t>Optimize water efficiency</w:t>
      </w:r>
    </w:p>
    <w:p w14:paraId="36EB2DB9" w14:textId="77777777" w:rsidR="00953E4A" w:rsidRPr="00CE319F" w:rsidRDefault="00953E4A" w:rsidP="0073680D">
      <w:pPr>
        <w:pStyle w:val="ListLetter"/>
      </w:pPr>
      <w:r w:rsidRPr="00CE319F">
        <w:t>Optimize solid waste reduction and diversion</w:t>
      </w:r>
    </w:p>
    <w:p w14:paraId="7745E021" w14:textId="77777777" w:rsidR="00953E4A" w:rsidRPr="00CE319F" w:rsidRDefault="00953E4A" w:rsidP="0073680D">
      <w:pPr>
        <w:pStyle w:val="ListLetter"/>
      </w:pPr>
      <w:r w:rsidRPr="00CE319F">
        <w:t>Electrify school bus fleets</w:t>
      </w:r>
    </w:p>
    <w:p w14:paraId="4EB44E98" w14:textId="77777777" w:rsidR="00953E4A" w:rsidRPr="00CE319F" w:rsidRDefault="00953E4A" w:rsidP="0073680D">
      <w:pPr>
        <w:pStyle w:val="ListLetter"/>
      </w:pPr>
      <w:r w:rsidRPr="00CE319F">
        <w:t>Provide electric vehicle charging stations for school staff and public use</w:t>
      </w:r>
    </w:p>
    <w:p w14:paraId="7637F9C1" w14:textId="77777777" w:rsidR="00953E4A" w:rsidRDefault="00953E4A" w:rsidP="0073680D">
      <w:pPr>
        <w:pStyle w:val="ListLetter"/>
      </w:pPr>
      <w:r w:rsidRPr="00CE319F">
        <w:t>Enhance climate resil</w:t>
      </w:r>
      <w:r>
        <w:t>i</w:t>
      </w:r>
      <w:r w:rsidRPr="00CE319F">
        <w:t>ence</w:t>
      </w:r>
    </w:p>
    <w:p w14:paraId="0BA62740" w14:textId="2AC4792D" w:rsidR="005E36DF" w:rsidRDefault="005E36DF" w:rsidP="006D7DE6">
      <w:pPr>
        <w:pStyle w:val="BodyTextFirstIndent"/>
      </w:pPr>
      <w:r>
        <w:br w:type="page"/>
      </w:r>
    </w:p>
    <w:p w14:paraId="4E697955" w14:textId="12D07577" w:rsidR="008C7545" w:rsidRDefault="002C71A2" w:rsidP="001C7888">
      <w:pPr>
        <w:pStyle w:val="Heading2"/>
      </w:pPr>
      <w:bookmarkStart w:id="431" w:name="SectVI_1a"/>
      <w:bookmarkStart w:id="432" w:name="_Toc193116926"/>
      <w:r>
        <w:lastRenderedPageBreak/>
        <w:t>Objective 1a. Decarbonize Buildings</w:t>
      </w:r>
      <w:bookmarkEnd w:id="431"/>
      <w:bookmarkEnd w:id="432"/>
    </w:p>
    <w:p w14:paraId="209274AC" w14:textId="005A8CCC" w:rsidR="002C71A2" w:rsidRDefault="00356BFF" w:rsidP="00183CC0">
      <w:pPr>
        <w:pStyle w:val="Heading3"/>
      </w:pPr>
      <w:r>
        <w:t>Methods and Best Practices</w:t>
      </w:r>
    </w:p>
    <w:p w14:paraId="098C45B9" w14:textId="25FAD7B9" w:rsidR="00183CC0" w:rsidRDefault="00183CC0" w:rsidP="006D7DE6">
      <w:pPr>
        <w:pStyle w:val="BodyTextFirstIndent"/>
      </w:pPr>
      <w:r w:rsidRPr="004257F2">
        <w:t>There are a number of methods and best practices that have been implemented to successfully decarbonize schools across Massachusetts. These are organized in the following sections in order of implementation</w:t>
      </w:r>
      <w:r w:rsidR="00861118">
        <w:t>,</w:t>
      </w:r>
      <w:r w:rsidR="00861118" w:rsidRPr="004257F2">
        <w:t xml:space="preserve"> </w:t>
      </w:r>
      <w:r w:rsidRPr="004257F2">
        <w:t>starting with analysis and planning activities and followed by implementation strategies, operational best practices, and procurement strategies for decarbonized electricity.</w:t>
      </w:r>
    </w:p>
    <w:p w14:paraId="655B7032" w14:textId="77777777" w:rsidR="00183CC0" w:rsidRDefault="00183CC0" w:rsidP="00183CC0">
      <w:pPr>
        <w:pStyle w:val="Heading4"/>
      </w:pPr>
      <w:r>
        <w:t>Conduct Analysis and Planning</w:t>
      </w:r>
    </w:p>
    <w:p w14:paraId="7FEC0B85" w14:textId="77777777" w:rsidR="00183CC0" w:rsidRPr="00645F0D" w:rsidRDefault="00183CC0" w:rsidP="006D7DE6">
      <w:pPr>
        <w:pStyle w:val="BodyTextFirstIndent"/>
      </w:pPr>
      <w:r>
        <w:t>Analysis and planning provide the foundation for successfully decarbonizing schools by gathering data to understand the current conditions, establishing goals, developing interim milestones, and prioritizing strategies at both the school district portfolio level and for individual schools. This is especially important given the variability in school conditions and the high capital cost of many decarbonization strategies. Some strategies can be completed via low-cost desktop analysis, while others require more time-intensive on-site analysis. To conduct analysis and planning, schools should compile and analyze facility energy data, p</w:t>
      </w:r>
      <w:r w:rsidRPr="00B412FA">
        <w:t>erform</w:t>
      </w:r>
      <w:r>
        <w:t xml:space="preserve"> f</w:t>
      </w:r>
      <w:r w:rsidRPr="00B412FA">
        <w:t xml:space="preserve">acility </w:t>
      </w:r>
      <w:r>
        <w:t>c</w:t>
      </w:r>
      <w:r w:rsidRPr="00B412FA">
        <w:t xml:space="preserve">ondition </w:t>
      </w:r>
      <w:r>
        <w:t>a</w:t>
      </w:r>
      <w:r w:rsidRPr="00B412FA">
        <w:t xml:space="preserve">ssessments and </w:t>
      </w:r>
      <w:r>
        <w:t>e</w:t>
      </w:r>
      <w:r w:rsidRPr="00B412FA">
        <w:t>nergy/</w:t>
      </w:r>
      <w:r>
        <w:t>e</w:t>
      </w:r>
      <w:r w:rsidRPr="00B412FA">
        <w:t xml:space="preserve">missions </w:t>
      </w:r>
      <w:r>
        <w:t>a</w:t>
      </w:r>
      <w:r w:rsidRPr="00B412FA">
        <w:t>udit</w:t>
      </w:r>
      <w:r>
        <w:t>s, and p</w:t>
      </w:r>
      <w:r w:rsidRPr="00607331">
        <w:t>repar</w:t>
      </w:r>
      <w:r>
        <w:t>e</w:t>
      </w:r>
      <w:r w:rsidRPr="00607331">
        <w:t xml:space="preserve"> and </w:t>
      </w:r>
      <w:r>
        <w:t>r</w:t>
      </w:r>
      <w:r w:rsidRPr="00607331">
        <w:t xml:space="preserve">outinely </w:t>
      </w:r>
      <w:r>
        <w:t>u</w:t>
      </w:r>
      <w:r w:rsidRPr="00607331">
        <w:t>pdat</w:t>
      </w:r>
      <w:r>
        <w:t>e</w:t>
      </w:r>
      <w:r w:rsidRPr="00607331">
        <w:t xml:space="preserve"> an Emissions Reduction Plan</w:t>
      </w:r>
      <w:r>
        <w:t>.</w:t>
      </w:r>
    </w:p>
    <w:p w14:paraId="1D82F9F6" w14:textId="77777777" w:rsidR="00183CC0" w:rsidRDefault="00183CC0" w:rsidP="00183CC0">
      <w:pPr>
        <w:pStyle w:val="Heading5"/>
      </w:pPr>
      <w:r>
        <w:t>(1) Compile and analyze facility energy data</w:t>
      </w:r>
    </w:p>
    <w:p w14:paraId="44BC0398" w14:textId="712FCA19" w:rsidR="00183CC0" w:rsidRDefault="00183CC0" w:rsidP="006D7DE6">
      <w:pPr>
        <w:pStyle w:val="BodyTextFirstIndent"/>
      </w:pPr>
      <w:r>
        <w:t>The ability to quickly capture energy data and reliably generate actionable insights to manage building energy use is key to building decarbonization. There are many different types of systems and commercial off-the-shelf software options that vary in utility and value based on the size and complexity of a school district’s portfolio. The U.S. Department of Energy (DOE) broadly refers to this suite of technologies as energy management information systems (EMIS).</w:t>
      </w:r>
      <w:r>
        <w:fldChar w:fldCharType="begin"/>
      </w:r>
      <w:r w:rsidR="00DB0220">
        <w:instrText xml:space="preserve"> ADDIN ZOTERO_ITEM CSL_CITATION {"citationID":"nyxnov7I","properties":{"formattedCitation":"\\super 167\\nosupersub{}","plainCitation":"167","noteIndex":0},"citationItems":[{"id":121,"uris":["http://zotero.org/groups/5563646/items/4N7M6KNN"],"itemData":{"id":121,"type":"report","language":"en","note":"DOI: 10.2172/1755532","number":"DOE/EE--2195, 1755532, 8496","page":"DOE/EE--2195, 1755532, 8496","source":"DOI.org (Crossref)","title":"A Primer on Organizational Use of Energy Management and Information Systems (EMIS)","URL":"https://www.osti.gov/servlets/purl/1755532/","author":[{"family":"None","given":"None"}],"accessed":{"date-parts":[["2024",6,13]]},"issued":{"date-parts":[["2021",8]]}}}],"schema":"https://github.com/citation-style-language/schema/raw/master/csl-citation.json"} </w:instrText>
      </w:r>
      <w:r>
        <w:fldChar w:fldCharType="separate"/>
      </w:r>
      <w:r w:rsidR="00DB0220" w:rsidRPr="00DB0220">
        <w:rPr>
          <w:rFonts w:cs="Arial"/>
          <w:vertAlign w:val="superscript"/>
        </w:rPr>
        <w:t>167</w:t>
      </w:r>
      <w:r>
        <w:fldChar w:fldCharType="end"/>
      </w:r>
    </w:p>
    <w:p w14:paraId="7BE2C504" w14:textId="0316FB2B" w:rsidR="00183CC0" w:rsidRDefault="00183CC0" w:rsidP="006D7DE6">
      <w:pPr>
        <w:pStyle w:val="BodyTextFirstIndent"/>
      </w:pPr>
      <w:r>
        <w:t xml:space="preserve">Utility bill management systems are some of the most common types of EMIS and allow users to view, validate, and track various metrics related to energy consumption and corresponding utility payments. Increasingly, municipal and state energy disclosure ordinances require building owners to compile, document, and report energy data annually. Among other end goals, the resulting comprehensive data set allows an organization to compare or “benchmark” the energy performance of its buildings to other buildings of similar type (see text box below for more details about </w:t>
      </w:r>
      <w:r w:rsidR="00723316">
        <w:t>statewide</w:t>
      </w:r>
      <w:r>
        <w:t xml:space="preserve"> building energy disclosure requirements in Massachusetts). </w:t>
      </w:r>
    </w:p>
    <w:p w14:paraId="45AD32BF" w14:textId="77777777" w:rsidR="00183CC0" w:rsidRDefault="00183CC0" w:rsidP="006D7DE6">
      <w:pPr>
        <w:pStyle w:val="BodyTextFirstIndent"/>
      </w:pPr>
      <w:r>
        <w:rPr>
          <w:noProof/>
        </w:rPr>
        <w:lastRenderedPageBreak/>
        <mc:AlternateContent>
          <mc:Choice Requires="wps">
            <w:drawing>
              <wp:inline distT="0" distB="0" distL="0" distR="0" wp14:anchorId="7FF0F79D" wp14:editId="5A583A4B">
                <wp:extent cx="6002448" cy="1774479"/>
                <wp:effectExtent l="0" t="0" r="17780" b="16510"/>
                <wp:docPr id="57675225" name="Text Box 1"/>
                <wp:cNvGraphicFramePr/>
                <a:graphic xmlns:a="http://schemas.openxmlformats.org/drawingml/2006/main">
                  <a:graphicData uri="http://schemas.microsoft.com/office/word/2010/wordprocessingShape">
                    <wps:wsp>
                      <wps:cNvSpPr txBox="1"/>
                      <wps:spPr bwMode="auto">
                        <a:xfrm>
                          <a:off x="0" y="0"/>
                          <a:ext cx="6002448" cy="1774479"/>
                        </a:xfrm>
                        <a:prstGeom prst="rect">
                          <a:avLst/>
                        </a:prstGeom>
                        <a:solidFill>
                          <a:schemeClr val="accent1">
                            <a:lumMod val="20000"/>
                            <a:lumOff val="80000"/>
                          </a:schemeClr>
                        </a:solidFill>
                        <a:ln w="9525">
                          <a:solidFill>
                            <a:schemeClr val="tx1"/>
                          </a:solidFill>
                          <a:miter lim="800000"/>
                          <a:headEnd/>
                          <a:tailEnd/>
                        </a:ln>
                      </wps:spPr>
                      <wps:txbx>
                        <w:txbxContent>
                          <w:p w14:paraId="270FBFF0" w14:textId="4962341F" w:rsidR="00183CC0" w:rsidRDefault="00723316" w:rsidP="00183CC0">
                            <w:pPr>
                              <w:pStyle w:val="TextBoxTitle"/>
                            </w:pPr>
                            <w:r>
                              <w:t>Statewide</w:t>
                            </w:r>
                            <w:r w:rsidR="00183CC0">
                              <w:t xml:space="preserve"> Building Energy Disclosure Requirements </w:t>
                            </w:r>
                          </w:p>
                          <w:p w14:paraId="22431E60" w14:textId="29255778" w:rsidR="00183CC0" w:rsidRPr="0066462E" w:rsidRDefault="00183CC0" w:rsidP="00183CC0">
                            <w:pPr>
                              <w:pStyle w:val="TextBoxText"/>
                            </w:pPr>
                            <w:r>
                              <w:t xml:space="preserve">Chapter 179 of the Acts of 2022 requires the annual reporting of energy use data for all buildings in the Commonwealth of Massachusetts larger than 20,000 square feet. Electric, natural gas, and steam utility providers are required to report this information to DOER; individual building owners must report annual usage data for all delivered fuels (e.g., fuel oil, propane). DOER </w:t>
                            </w:r>
                            <w:r w:rsidRPr="0011188A">
                              <w:t xml:space="preserve">is developing draft regulations </w:t>
                            </w:r>
                            <w:r>
                              <w:t xml:space="preserve">and intends to finalize </w:t>
                            </w:r>
                            <w:r w:rsidR="00861118">
                              <w:t xml:space="preserve">them </w:t>
                            </w:r>
                            <w:r w:rsidRPr="0011188A">
                              <w:t>in preparation for the first disclosure period in 2025.</w:t>
                            </w:r>
                            <w:r>
                              <w:t xml:space="preserve"> Similar ordinances have already been implemented by some municipalities, including Boston and Cambridge.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F0F79D" id="_x0000_s1050" type="#_x0000_t202" style="width:472.6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" fillcolor="#dbe5f1 [660]" strokecolor="black [3213]">
                <v:textbox>
                  <w:txbxContent>
                    <w:p w14:paraId="270FBFF0" w14:textId="4962341F" w:rsidR="00183CC0" w:rsidRDefault="00723316" w:rsidP="00183CC0">
                      <w:pPr>
                        <w:pStyle w:val="TextBoxTitle"/>
                      </w:pPr>
                      <w:r>
                        <w:t>Statewide</w:t>
                      </w:r>
                      <w:r w:rsidR="00183CC0">
                        <w:t xml:space="preserve"> Building Energy Disclosure Requirements </w:t>
                      </w:r>
                    </w:p>
                    <w:p w14:paraId="22431E60" w14:textId="29255778" w:rsidR="00183CC0" w:rsidRPr="0066462E" w:rsidRDefault="00183CC0" w:rsidP="00183CC0">
                      <w:pPr>
                        <w:pStyle w:val="TextBoxText"/>
                      </w:pPr>
                      <w:r>
                        <w:t xml:space="preserve">Chapter 179 of the Acts of 2022 requires the annual reporting of energy use data for all buildings in the Commonwealth of Massachusetts larger than 20,000 square feet. Electric, natural gas, and steam utility providers are required to report this information to DOER; individual building owners must report annual usage data for all delivered fuels (e.g., fuel oil, propane). DOER </w:t>
                      </w:r>
                      <w:r w:rsidRPr="0011188A">
                        <w:t xml:space="preserve">is developing draft regulations </w:t>
                      </w:r>
                      <w:r>
                        <w:t xml:space="preserve">and intends to finalize </w:t>
                      </w:r>
                      <w:r w:rsidR="00861118">
                        <w:t xml:space="preserve">them </w:t>
                      </w:r>
                      <w:r w:rsidRPr="0011188A">
                        <w:t>in preparation for the first disclosure period in 2025.</w:t>
                      </w:r>
                      <w:r>
                        <w:t xml:space="preserve"> Similar ordinances have already been implemented by some municipalities, including Boston and Cambridge.</w:t>
                      </w:r>
                    </w:p>
                  </w:txbxContent>
                </v:textbox>
                <w10:anchorlock/>
              </v:shape>
            </w:pict>
          </mc:Fallback>
        </mc:AlternateContent>
      </w:r>
    </w:p>
    <w:p w14:paraId="2080B2D0" w14:textId="6133A458" w:rsidR="00183CC0" w:rsidRDefault="00183CC0" w:rsidP="0023018C">
      <w:pPr>
        <w:pStyle w:val="SourceCaption"/>
      </w:pPr>
      <w:r>
        <w:t>Source: DOER</w:t>
      </w:r>
      <w:r>
        <w:fldChar w:fldCharType="begin"/>
      </w:r>
      <w:r w:rsidR="002F0055">
        <w:instrText xml:space="preserve"> ADDIN ZOTERO_ITEM CSL_CITATION {"citationID":"an8hk195a8","properties":{"formattedCitation":"\\super 168\\nosupersub{}","plainCitation":"168","noteIndex":0},"citationItems":[{"id":973,"uris":["http://zotero.org/groups/5563646/items/4M7YC7N5"],"itemData":{"id":973,"type":"webpage","abstract":"The Commonwealth's policy requiring disclosure of energy information for large buildings","language":"en","title":"Large Building Energy Disclosure | Mass.gov","URL":"https://www.mass.gov/large-building-energy-disclosure","author":[{"family":"Massachusetts Department of Energy Resources","given":""}],"accessed":{"date-parts":[["2024",7,26]]}}}],"schema":"https://github.com/citation-style-language/schema/raw/master/csl-citation.json"} </w:instrText>
      </w:r>
      <w:r>
        <w:fldChar w:fldCharType="separate"/>
      </w:r>
      <w:r w:rsidR="002F0055" w:rsidRPr="002F0055">
        <w:rPr>
          <w:rFonts w:cs="Arial"/>
          <w:sz w:val="24"/>
          <w:vertAlign w:val="superscript"/>
        </w:rPr>
        <w:t>168</w:t>
      </w:r>
      <w:r>
        <w:fldChar w:fldCharType="end"/>
      </w:r>
    </w:p>
    <w:p w14:paraId="04589ED9" w14:textId="7DA3008C" w:rsidR="00183CC0" w:rsidRDefault="00183CC0" w:rsidP="006D7DE6">
      <w:pPr>
        <w:pStyle w:val="BodyTextFirstIndent"/>
      </w:pPr>
      <w:r>
        <w:t>Benchmarking is commonly done via free</w:t>
      </w:r>
      <w:r w:rsidR="00861118">
        <w:t>,</w:t>
      </w:r>
      <w:r>
        <w:t xml:space="preserve"> government-provided platforms such as EPA’s </w:t>
      </w:r>
      <w:hyperlink r:id="rId156" w:history="1">
        <w:r w:rsidRPr="00A06E14">
          <w:rPr>
            <w:rStyle w:val="Hyperlink"/>
          </w:rPr>
          <w:t>ENERGY STAR Portfolio Manager</w:t>
        </w:r>
      </w:hyperlink>
      <w:r>
        <w:rPr>
          <w:rStyle w:val="Hyperlink"/>
        </w:rPr>
        <w:t xml:space="preserve"> (ESPM)</w:t>
      </w:r>
      <w:r>
        <w:t xml:space="preserve">. In Massachusetts, Green Communities share data with DOER via the </w:t>
      </w:r>
      <w:hyperlink r:id="rId157" w:history="1">
        <w:r w:rsidRPr="00756AD4">
          <w:rPr>
            <w:rStyle w:val="Hyperlink"/>
          </w:rPr>
          <w:t>MassEnergyInsight</w:t>
        </w:r>
      </w:hyperlink>
      <w:r>
        <w:t xml:space="preserve"> Platform (MEI). Many of these systems enable automatic data transfers to allow seamless and efficient reporting by an energy manager, sustainability manager, utility billing specialist, or other school district staff charged with tracking and analyzing building energy use and cost data.</w:t>
      </w:r>
    </w:p>
    <w:p w14:paraId="56D290AB" w14:textId="6036EA85" w:rsidR="00183CC0" w:rsidRDefault="00183CC0" w:rsidP="006D7DE6">
      <w:pPr>
        <w:pStyle w:val="BodyTextFirstIndent"/>
      </w:pPr>
      <w:r>
        <w:t>In addition to meeting benchmarking requirements, ESPM and MEI offer other powerful tools, including:</w:t>
      </w:r>
    </w:p>
    <w:p w14:paraId="6704E5E8" w14:textId="66ABA5F4" w:rsidR="00183CC0" w:rsidRPr="00C935C5" w:rsidRDefault="00183CC0" w:rsidP="008131EB">
      <w:pPr>
        <w:pStyle w:val="ListBullet"/>
      </w:pPr>
      <w:r w:rsidRPr="00C935C5">
        <w:rPr>
          <w:b/>
          <w:bCs/>
        </w:rPr>
        <w:t>ENERGY STAR Score for K</w:t>
      </w:r>
      <w:r>
        <w:rPr>
          <w:b/>
          <w:bCs/>
        </w:rPr>
        <w:t>–</w:t>
      </w:r>
      <w:r w:rsidRPr="00C935C5">
        <w:rPr>
          <w:b/>
          <w:bCs/>
        </w:rPr>
        <w:t>12 Schools</w:t>
      </w:r>
      <w:r w:rsidRPr="0084736F">
        <w:t xml:space="preserve"> provides</w:t>
      </w:r>
      <w:r w:rsidRPr="00C935C5">
        <w:t xml:space="preserve"> </w:t>
      </w:r>
      <w:r>
        <w:t>a</w:t>
      </w:r>
      <w:r w:rsidRPr="00C935C5">
        <w:t xml:space="preserve"> </w:t>
      </w:r>
      <w:r>
        <w:t>1</w:t>
      </w:r>
      <w:r w:rsidRPr="00C935C5">
        <w:t xml:space="preserve"> to 100 score that accounts </w:t>
      </w:r>
      <w:r w:rsidR="00743502">
        <w:t xml:space="preserve">for </w:t>
      </w:r>
      <w:r>
        <w:t xml:space="preserve">and normalizes numerous factors such as </w:t>
      </w:r>
      <w:r w:rsidRPr="00C935C5">
        <w:t xml:space="preserve">weather, number of </w:t>
      </w:r>
      <w:r>
        <w:t>building staff</w:t>
      </w:r>
      <w:r w:rsidRPr="00C935C5">
        <w:t>,</w:t>
      </w:r>
      <w:r>
        <w:t xml:space="preserve"> standard operating hours</w:t>
      </w:r>
      <w:r w:rsidRPr="00C935C5">
        <w:t xml:space="preserve">, </w:t>
      </w:r>
      <w:r>
        <w:t xml:space="preserve">the presence of </w:t>
      </w:r>
      <w:r w:rsidRPr="00C935C5">
        <w:t xml:space="preserve">cooking facilities, </w:t>
      </w:r>
      <w:r>
        <w:t>school type</w:t>
      </w:r>
      <w:r w:rsidRPr="00C935C5">
        <w:t>,</w:t>
      </w:r>
      <w:r>
        <w:t xml:space="preserve"> and the percent of floor area that is h</w:t>
      </w:r>
      <w:r w:rsidRPr="00C935C5">
        <w:t>eat</w:t>
      </w:r>
      <w:r>
        <w:t>ed and cooled</w:t>
      </w:r>
      <w:r w:rsidRPr="00C935C5">
        <w:t>.</w:t>
      </w:r>
      <w:r>
        <w:t xml:space="preserve"> A higher score indicates better energy performance.</w:t>
      </w:r>
      <w:r w:rsidRPr="00C935C5">
        <w:fldChar w:fldCharType="begin"/>
      </w:r>
      <w:r w:rsidR="00D0297C">
        <w:instrText xml:space="preserve"> ADDIN ZOTERO_ITEM CSL_CITATION {"citationID":"gyjcAp5q","properties":{"formattedCitation":"\\super 169\\nosupersub{}","plainCitation":"169","noteIndex":0},"citationItems":[{"id":102,"uris":["http://zotero.org/groups/5563646/items/49FZD968"],"itemData":{"id":102,"type":"webpage","abstract":"The ENERGY STAR Score for K-12 Schools applies to buildings or campuses used as a school for kindergarten through 12th grade students. The objective of the ENERGY STAR score is to provide a fair assessment of the energy performance of a property relative to its peers, taking into account the climate, weather, and business activities at the property. To identify the aspects of building activity that are significant drivers of energy use and then normalize for those factors, a statistical analysis of the peer building population is performed.","language":"en","title":"ENERGY STAR Score for K-12 Schools | ENERGY STAR","URL":"https://www.energystar.gov/buildings/tools-and-resources/energy-star-score-k-12-schools","accessed":{"date-parts":[["2024",6,17]]}}}],"schema":"https://github.com/citation-style-language/schema/raw/master/csl-citation.json"} </w:instrText>
      </w:r>
      <w:r w:rsidRPr="00C935C5">
        <w:fldChar w:fldCharType="separate"/>
      </w:r>
      <w:r w:rsidR="00D0297C" w:rsidRPr="00D0297C">
        <w:rPr>
          <w:rFonts w:cs="Arial"/>
          <w:vertAlign w:val="superscript"/>
        </w:rPr>
        <w:t>169</w:t>
      </w:r>
      <w:r w:rsidRPr="00C935C5">
        <w:fldChar w:fldCharType="end"/>
      </w:r>
    </w:p>
    <w:p w14:paraId="41F4E3CD" w14:textId="158251BE" w:rsidR="00183CC0" w:rsidRPr="00C935C5" w:rsidRDefault="00183CC0" w:rsidP="008131EB">
      <w:pPr>
        <w:pStyle w:val="ListBullet"/>
      </w:pPr>
      <w:r w:rsidRPr="008F6590">
        <w:rPr>
          <w:b/>
          <w:bCs/>
        </w:rPr>
        <w:t>MEI Buildings to Target Report</w:t>
      </w:r>
      <w:r w:rsidRPr="00C935C5">
        <w:t xml:space="preserve"> </w:t>
      </w:r>
      <w:r>
        <w:t>a</w:t>
      </w:r>
      <w:r w:rsidRPr="00C935C5">
        <w:t xml:space="preserve">llows users to compare </w:t>
      </w:r>
      <w:r w:rsidR="00C80FE1">
        <w:t>energy use intensity</w:t>
      </w:r>
      <w:r w:rsidR="004C7F9C">
        <w:t xml:space="preserve"> (</w:t>
      </w:r>
      <w:r w:rsidRPr="00C935C5">
        <w:t>EUI</w:t>
      </w:r>
      <w:r w:rsidR="004C7F9C">
        <w:t>)</w:t>
      </w:r>
      <w:r w:rsidRPr="00C935C5">
        <w:t>, total energy consumption, cost, and total emissions by fuel type for all of their schools</w:t>
      </w:r>
      <w:r>
        <w:t xml:space="preserve"> </w:t>
      </w:r>
      <w:r w:rsidRPr="00C935C5">
        <w:t>(see</w:t>
      </w:r>
      <w:r>
        <w:t xml:space="preserve"> </w:t>
      </w:r>
      <w:r>
        <w:fldChar w:fldCharType="begin"/>
      </w:r>
      <w:r>
        <w:instrText xml:space="preserve"> REF _Ref173574117 \h </w:instrText>
      </w:r>
      <w:r>
        <w:fldChar w:fldCharType="separate"/>
      </w:r>
      <w:r w:rsidR="00307850">
        <w:t xml:space="preserve">Figure </w:t>
      </w:r>
      <w:r w:rsidR="00307850">
        <w:rPr>
          <w:noProof/>
        </w:rPr>
        <w:t>28</w:t>
      </w:r>
      <w:r>
        <w:fldChar w:fldCharType="end"/>
      </w:r>
      <w:r w:rsidRPr="00C935C5">
        <w:t xml:space="preserve">). </w:t>
      </w:r>
    </w:p>
    <w:p w14:paraId="6AD4063D" w14:textId="716FEE8C" w:rsidR="00183CC0" w:rsidRPr="00B52843" w:rsidRDefault="00183CC0" w:rsidP="00B30C96">
      <w:pPr>
        <w:pStyle w:val="FigureTitle"/>
      </w:pPr>
      <w:bookmarkStart w:id="433" w:name="_Ref173574117"/>
      <w:bookmarkStart w:id="434" w:name="_Toc193112315"/>
      <w:bookmarkStart w:id="435" w:name="_Toc193117072"/>
      <w:r>
        <w:t xml:space="preserve">Figure </w:t>
      </w:r>
      <w:fldSimple w:instr=" SEQ Figure \* ARABIC ">
        <w:r w:rsidR="00307850">
          <w:rPr>
            <w:noProof/>
          </w:rPr>
          <w:t>28</w:t>
        </w:r>
      </w:fldSimple>
      <w:bookmarkEnd w:id="433"/>
      <w:r>
        <w:t xml:space="preserve">. User Interface in </w:t>
      </w:r>
      <w:r w:rsidRPr="00B52843">
        <w:t xml:space="preserve">MEI </w:t>
      </w:r>
      <w:r>
        <w:t xml:space="preserve">to Help Users Identify Appropriate </w:t>
      </w:r>
      <w:r w:rsidRPr="00B52843">
        <w:t>Buildings</w:t>
      </w:r>
      <w:r w:rsidR="002B6241">
        <w:t xml:space="preserve"> </w:t>
      </w:r>
      <w:r w:rsidRPr="00B52843">
        <w:t>to Target</w:t>
      </w:r>
      <w:bookmarkEnd w:id="434"/>
      <w:bookmarkEnd w:id="435"/>
    </w:p>
    <w:p w14:paraId="63003909" w14:textId="77777777" w:rsidR="00183CC0" w:rsidRDefault="00183CC0" w:rsidP="002B6241">
      <w:pPr>
        <w:pStyle w:val="BodyTextFirstIndent"/>
        <w:jc w:val="center"/>
      </w:pPr>
      <w:r>
        <w:rPr>
          <w:noProof/>
        </w:rPr>
        <w:drawing>
          <wp:inline distT="0" distB="0" distL="0" distR="0" wp14:anchorId="05C13D9F" wp14:editId="509351E7">
            <wp:extent cx="4587240" cy="1815582"/>
            <wp:effectExtent l="0" t="0" r="3810" b="0"/>
            <wp:docPr id="1712283725" name="Picture 14" descr="Colored bar chart of example energy use and portfolio for elementary school, middle school, and high school, with middle school having the highest energy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83725" name="Picture 14" descr="Colored bar chart of example energy use and portfolio for elementary school, middle school, and high school, with middle school having the highest energy consumption."/>
                    <pic:cNvPicPr/>
                  </pic:nvPicPr>
                  <pic:blipFill rotWithShape="1">
                    <a:blip r:embed="rId158">
                      <a:extLst>
                        <a:ext uri="{28A0092B-C50C-407E-A947-70E740481C1C}">
                          <a14:useLocalDpi xmlns:a14="http://schemas.microsoft.com/office/drawing/2010/main" val="0"/>
                        </a:ext>
                      </a:extLst>
                    </a:blip>
                    <a:srcRect l="8836" t="11645" r="11500" b="32301"/>
                    <a:stretch/>
                  </pic:blipFill>
                  <pic:spPr bwMode="auto">
                    <a:xfrm>
                      <a:off x="0" y="0"/>
                      <a:ext cx="4601804" cy="1821346"/>
                    </a:xfrm>
                    <a:prstGeom prst="rect">
                      <a:avLst/>
                    </a:prstGeom>
                    <a:ln>
                      <a:noFill/>
                    </a:ln>
                    <a:extLst>
                      <a:ext uri="{53640926-AAD7-44D8-BBD7-CCE9431645EC}">
                        <a14:shadowObscured xmlns:a14="http://schemas.microsoft.com/office/drawing/2010/main"/>
                      </a:ext>
                    </a:extLst>
                  </pic:spPr>
                </pic:pic>
              </a:graphicData>
            </a:graphic>
          </wp:inline>
        </w:drawing>
      </w:r>
    </w:p>
    <w:p w14:paraId="1A98F73F" w14:textId="77777777" w:rsidR="00183CC0" w:rsidRPr="00811457" w:rsidRDefault="00183CC0" w:rsidP="0023018C">
      <w:pPr>
        <w:pStyle w:val="SourceCaption"/>
      </w:pPr>
      <w:r w:rsidRPr="00811457">
        <w:t>Source: DOER’s MassEnergyInsight</w:t>
      </w:r>
    </w:p>
    <w:p w14:paraId="7951F1B7" w14:textId="30B3673F" w:rsidR="00183CC0" w:rsidRDefault="00183CC0" w:rsidP="006D7DE6">
      <w:pPr>
        <w:pStyle w:val="BodyTextFirstIndent"/>
      </w:pPr>
      <w:r>
        <w:lastRenderedPageBreak/>
        <w:t>Additional EMIS functionality can include interval metering, weather data, BAS, and other connected devices. Some more advanced functions are discussed in greater detail in the O&amp;M section below (methods and best practices 10</w:t>
      </w:r>
      <w:r>
        <w:rPr>
          <w:rFonts w:cs="Arial"/>
        </w:rPr>
        <w:t>–</w:t>
      </w:r>
      <w:r>
        <w:t>12).</w:t>
      </w:r>
    </w:p>
    <w:p w14:paraId="57B304C5" w14:textId="241EA8AF" w:rsidR="00183CC0" w:rsidRPr="00D756B1" w:rsidRDefault="00183CC0" w:rsidP="006D7DE6">
      <w:pPr>
        <w:pStyle w:val="BodyTextFirstIndent"/>
      </w:pPr>
      <w:r>
        <w:t>The availability of building energy use and other data in an EMIS can greatly benefit project implementation (methods and best practices 4–9) by allowing A/E firms to use real-world operational data (e.g., utility billing, equipment run time/load, occupancy, equipment submetering) to inform project concepts and designs.</w:t>
      </w:r>
    </w:p>
    <w:p w14:paraId="09CAED2F" w14:textId="0FB60A06" w:rsidR="00183CC0" w:rsidRDefault="00183CC0" w:rsidP="00183CC0">
      <w:pPr>
        <w:pStyle w:val="Heading5"/>
      </w:pPr>
      <w:r>
        <w:t xml:space="preserve">(2) Perform </w:t>
      </w:r>
      <w:r w:rsidR="00D048EF">
        <w:t>facility condition assessments (</w:t>
      </w:r>
      <w:r w:rsidR="00743502">
        <w:t>FCAs</w:t>
      </w:r>
      <w:r w:rsidR="00D048EF">
        <w:t>)</w:t>
      </w:r>
      <w:r>
        <w:t xml:space="preserve"> and energy/emissions audits</w:t>
      </w:r>
    </w:p>
    <w:p w14:paraId="48F9E1F7" w14:textId="22492CF8" w:rsidR="00183CC0" w:rsidRDefault="00183CC0" w:rsidP="006D7DE6">
      <w:pPr>
        <w:pStyle w:val="BodyTextFirstIndent"/>
      </w:pPr>
      <w:r>
        <w:t>FCA</w:t>
      </w:r>
      <w:r w:rsidR="003948A3">
        <w:t>s</w:t>
      </w:r>
      <w:r>
        <w:t xml:space="preserve"> are commonly used across industries and building types to better understand the attributes and condition of an organization’s assets for planning and budgeting for O&amp;M and capital expenditures. The MSBA shall conduct a periodic needs survey of schools across the Commonwealth and may ascertain the capital construction, reconstruction, maintenance, and other capital needs. The MSBA School Survey can be generally understood as an FCA with the supplemental inclusion of school-specific programs, security, and information technology infrastructure data. </w:t>
      </w:r>
    </w:p>
    <w:p w14:paraId="355E9BEB" w14:textId="103907B5" w:rsidR="00183CC0" w:rsidRDefault="00183CC0" w:rsidP="006D7DE6">
      <w:pPr>
        <w:pStyle w:val="BodyTextFirstIndent"/>
      </w:pPr>
      <w:r>
        <w:t>ASTM International (</w:t>
      </w:r>
      <w:r w:rsidRPr="00D314B9">
        <w:t>formerly known as American Society for Testing and Materials</w:t>
      </w:r>
      <w:r>
        <w:t xml:space="preserve">) Standard E2018-15 provides a </w:t>
      </w:r>
      <w:hyperlink r:id="rId159">
        <w:r w:rsidRPr="00061AD3">
          <w:rPr>
            <w:rStyle w:val="Hyperlink"/>
            <w:i/>
            <w:iCs/>
          </w:rPr>
          <w:t>Standard Guide for Property Condition Assessments: Baseline Property Condition Assessment Process</w:t>
        </w:r>
      </w:hyperlink>
      <w:r>
        <w:t xml:space="preserve"> for commercial real estate, which includes schools. Organizations often expand the scope of FCAs beyond base building systems to include additional audits and assessments. This approach takes advantage of having an assessment professional onsite. Examples of additional assessments include energy audits, building floor plan mapping, analytical measurements (e.g., indoor air quality, blower door testing, functional testing), environmental compliance audits, and health and safety audits. The American Society of Heating, Refrigeration and Air-Conditioning Engineers (ASHRAE) Standard 211 establishes the scope of a level two energy audit.</w:t>
      </w:r>
    </w:p>
    <w:p w14:paraId="09906263" w14:textId="39897E08" w:rsidR="00183CC0" w:rsidRDefault="00183CC0" w:rsidP="006D7DE6">
      <w:pPr>
        <w:pStyle w:val="BodyTextFirstIndent"/>
      </w:pPr>
      <w:r>
        <w:t xml:space="preserve">To maximize the benefit of FCAs and facility energy audits, schools and school districts should engage staff to understand their objectives and goals for using the outputs from these activities. Boston Public Schools publishes an </w:t>
      </w:r>
      <w:hyperlink r:id="rId160">
        <w:r w:rsidRPr="653D8BA2">
          <w:rPr>
            <w:rStyle w:val="Hyperlink"/>
          </w:rPr>
          <w:t xml:space="preserve">FCA </w:t>
        </w:r>
        <w:r>
          <w:rPr>
            <w:rStyle w:val="Hyperlink"/>
          </w:rPr>
          <w:t>D</w:t>
        </w:r>
        <w:r w:rsidRPr="653D8BA2">
          <w:rPr>
            <w:rStyle w:val="Hyperlink"/>
          </w:rPr>
          <w:t>ashboard</w:t>
        </w:r>
      </w:hyperlink>
      <w:r>
        <w:t xml:space="preserve"> to transparently display data resulting from completed FCAs</w:t>
      </w:r>
      <w:r w:rsidR="008F00A6">
        <w:t xml:space="preserve">, which </w:t>
      </w:r>
      <w:r>
        <w:t>will inform decision</w:t>
      </w:r>
      <w:r w:rsidR="00732E58">
        <w:t xml:space="preserve"> </w:t>
      </w:r>
      <w:r>
        <w:t xml:space="preserve">making for repairs, replacements, and renovations. DOER’s MEI Blueprint module offers FCA database functionality in a tool that many Massachusetts communities already use regularly. </w:t>
      </w:r>
    </w:p>
    <w:p w14:paraId="031B258B" w14:textId="041ADB9F" w:rsidR="00183CC0" w:rsidRDefault="00183CC0" w:rsidP="006D7DE6">
      <w:pPr>
        <w:pStyle w:val="BodyTextFirstIndent"/>
      </w:pPr>
      <w:r>
        <w:t>School district staff may already perform informal auditing as part of their daily duties.</w:t>
      </w:r>
      <w:r w:rsidRPr="00A87512">
        <w:t xml:space="preserve"> </w:t>
      </w:r>
      <w:r w:rsidR="008F00A6">
        <w:t>A</w:t>
      </w:r>
      <w:r>
        <w:t xml:space="preserve">necdotal information that district staff </w:t>
      </w:r>
      <w:r w:rsidR="008F00A6">
        <w:t xml:space="preserve">members </w:t>
      </w:r>
      <w:r>
        <w:t>routinely observe and document can help identify buildings to prioritize for a more focused audit. Common examples of anecdotal information that staff might notice include:</w:t>
      </w:r>
      <w:r w:rsidRPr="00B82431">
        <w:rPr>
          <w:noProof/>
        </w:rPr>
        <w:t xml:space="preserve"> </w:t>
      </w:r>
    </w:p>
    <w:p w14:paraId="437BF41A" w14:textId="77777777" w:rsidR="00183CC0" w:rsidRPr="00A87512" w:rsidRDefault="00183CC0" w:rsidP="008131EB">
      <w:pPr>
        <w:pStyle w:val="ListBullet"/>
        <w:rPr>
          <w:rFonts w:ascii="Times New Roman" w:hAnsi="Times New Roman"/>
        </w:rPr>
      </w:pPr>
      <w:r>
        <w:rPr>
          <w:noProof/>
        </w:rPr>
        <w:lastRenderedPageBreak/>
        <mc:AlternateContent>
          <mc:Choice Requires="wps">
            <w:drawing>
              <wp:anchor distT="0" distB="0" distL="114300" distR="114300" simplePos="0" relativeHeight="251661824" behindDoc="0" locked="0" layoutInCell="1" allowOverlap="1" wp14:anchorId="129A6331" wp14:editId="47DC1096">
                <wp:simplePos x="0" y="0"/>
                <wp:positionH relativeFrom="margin">
                  <wp:posOffset>3552824</wp:posOffset>
                </wp:positionH>
                <wp:positionV relativeFrom="margin">
                  <wp:align>top</wp:align>
                </wp:positionV>
                <wp:extent cx="2369185" cy="1495425"/>
                <wp:effectExtent l="0" t="0" r="12065" b="28575"/>
                <wp:wrapSquare wrapText="bothSides"/>
                <wp:docPr id="1589335608" name="Text Box 1"/>
                <wp:cNvGraphicFramePr/>
                <a:graphic xmlns:a="http://schemas.openxmlformats.org/drawingml/2006/main">
                  <a:graphicData uri="http://schemas.microsoft.com/office/word/2010/wordprocessingShape">
                    <wps:wsp>
                      <wps:cNvSpPr txBox="1"/>
                      <wps:spPr bwMode="auto">
                        <a:xfrm>
                          <a:off x="0" y="0"/>
                          <a:ext cx="2369185" cy="1495425"/>
                        </a:xfrm>
                        <a:prstGeom prst="rect">
                          <a:avLst/>
                        </a:prstGeom>
                        <a:solidFill>
                          <a:schemeClr val="accent1">
                            <a:lumMod val="20000"/>
                            <a:lumOff val="80000"/>
                          </a:schemeClr>
                        </a:solidFill>
                        <a:ln w="9525">
                          <a:solidFill>
                            <a:schemeClr val="tx1"/>
                          </a:solidFill>
                          <a:miter lim="800000"/>
                          <a:headEnd/>
                          <a:tailEnd/>
                        </a:ln>
                      </wps:spPr>
                      <wps:txbx>
                        <w:txbxContent>
                          <w:p w14:paraId="03F10798" w14:textId="77777777" w:rsidR="00183CC0" w:rsidRDefault="00183CC0" w:rsidP="00183CC0">
                            <w:pPr>
                              <w:pStyle w:val="TextBoxTitle"/>
                            </w:pPr>
                            <w:r>
                              <w:t>Finding and Selecting an Energy Auditor</w:t>
                            </w:r>
                          </w:p>
                          <w:p w14:paraId="50BD06F8" w14:textId="77777777" w:rsidR="00183CC0" w:rsidRPr="0066462E" w:rsidRDefault="00183CC0" w:rsidP="00183CC0">
                            <w:pPr>
                              <w:pStyle w:val="TextBoxText"/>
                            </w:pPr>
                            <w:r>
                              <w:t>Districts</w:t>
                            </w:r>
                            <w:r w:rsidRPr="007F3750">
                              <w:t xml:space="preserve"> may use the </w:t>
                            </w:r>
                            <w:hyperlink r:id="rId161" w:history="1">
                              <w:r w:rsidRPr="008B47C9">
                                <w:rPr>
                                  <w:rStyle w:val="Hyperlink"/>
                                </w:rPr>
                                <w:t>statewide contract PRF74</w:t>
                              </w:r>
                            </w:hyperlink>
                            <w:r w:rsidRPr="007F3750">
                              <w:t> to select an energy auditor qualified through the state’s competitive procurement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9A6331" id="_x0000_s1051" type="#_x0000_t202" style="position:absolute;left:0;text-align:left;margin-left:279.75pt;margin-top:0;width:186.55pt;height:117.75pt;z-index:25166182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" fillcolor="#dbe5f1 [660]" strokecolor="black [3213]">
                <v:textbox>
                  <w:txbxContent>
                    <w:p w14:paraId="03F10798" w14:textId="77777777" w:rsidR="00183CC0" w:rsidRDefault="00183CC0" w:rsidP="00183CC0">
                      <w:pPr>
                        <w:pStyle w:val="TextBoxTitle"/>
                      </w:pPr>
                      <w:r>
                        <w:t>Finding and Selecting an Energy Auditor</w:t>
                      </w:r>
                    </w:p>
                    <w:p w14:paraId="50BD06F8" w14:textId="77777777" w:rsidR="00183CC0" w:rsidRPr="0066462E" w:rsidRDefault="00183CC0" w:rsidP="00183CC0">
                      <w:pPr>
                        <w:pStyle w:val="TextBoxText"/>
                      </w:pPr>
                      <w:r>
                        <w:t>Districts</w:t>
                      </w:r>
                      <w:r w:rsidRPr="007F3750">
                        <w:t xml:space="preserve"> may use the </w:t>
                      </w:r>
                      <w:hyperlink r:id="rId162" w:history="1">
                        <w:r w:rsidRPr="008B47C9">
                          <w:rPr>
                            <w:rStyle w:val="Hyperlink"/>
                          </w:rPr>
                          <w:t>statewide contract PRF74</w:t>
                        </w:r>
                      </w:hyperlink>
                      <w:r w:rsidRPr="007F3750">
                        <w:t> to select an energy auditor qualified through the state’s competitive procurement process.</w:t>
                      </w:r>
                    </w:p>
                  </w:txbxContent>
                </v:textbox>
                <w10:wrap type="square" anchorx="margin" anchory="margin"/>
              </v:shape>
            </w:pict>
          </mc:Fallback>
        </mc:AlternateContent>
      </w:r>
      <w:r w:rsidRPr="00B83518">
        <w:rPr>
          <w:b/>
        </w:rPr>
        <w:t xml:space="preserve">Open windows during </w:t>
      </w:r>
      <w:r>
        <w:rPr>
          <w:b/>
        </w:rPr>
        <w:t xml:space="preserve">the </w:t>
      </w:r>
      <w:r w:rsidRPr="00B83518">
        <w:rPr>
          <w:b/>
        </w:rPr>
        <w:t xml:space="preserve">heating </w:t>
      </w:r>
      <w:r>
        <w:rPr>
          <w:b/>
        </w:rPr>
        <w:t>or</w:t>
      </w:r>
      <w:r w:rsidRPr="00B83518">
        <w:rPr>
          <w:b/>
        </w:rPr>
        <w:t xml:space="preserve"> cooling season</w:t>
      </w:r>
      <w:r>
        <w:t>. While school districts may encourage the opening of windows (where feasible) during the more temperate “shoulder” seasons (spring and fall), this practice is a sign of poor temperature control during the winter (heating) and summer (cooling) seasons.</w:t>
      </w:r>
    </w:p>
    <w:p w14:paraId="0550628B" w14:textId="77777777" w:rsidR="00183CC0" w:rsidRPr="00B83518" w:rsidRDefault="00183CC0" w:rsidP="008131EB">
      <w:pPr>
        <w:pStyle w:val="ListBullet"/>
        <w:rPr>
          <w:rFonts w:ascii="Times New Roman" w:hAnsi="Times New Roman"/>
        </w:rPr>
      </w:pPr>
      <w:r w:rsidRPr="00B83518">
        <w:rPr>
          <w:b/>
        </w:rPr>
        <w:t xml:space="preserve">Steam exhaust during </w:t>
      </w:r>
      <w:r>
        <w:rPr>
          <w:b/>
        </w:rPr>
        <w:t xml:space="preserve">the </w:t>
      </w:r>
      <w:r w:rsidRPr="00B83518">
        <w:rPr>
          <w:b/>
        </w:rPr>
        <w:t>cooling season</w:t>
      </w:r>
      <w:r>
        <w:rPr>
          <w:b/>
        </w:rPr>
        <w:t xml:space="preserve">. </w:t>
      </w:r>
      <w:r>
        <w:rPr>
          <w:bCs/>
        </w:rPr>
        <w:t xml:space="preserve">The observation of steam exhaust in warmer spring/summer months </w:t>
      </w:r>
      <w:r>
        <w:t>may indicate inefficient simultaneous heating and cooling loads that can be corrected.</w:t>
      </w:r>
    </w:p>
    <w:p w14:paraId="77E1117C" w14:textId="77777777" w:rsidR="00183CC0" w:rsidRPr="00170C0F" w:rsidRDefault="00183CC0" w:rsidP="008131EB">
      <w:pPr>
        <w:pStyle w:val="ListBullet"/>
        <w:rPr>
          <w:rFonts w:ascii="Times New Roman" w:hAnsi="Times New Roman"/>
        </w:rPr>
      </w:pPr>
      <w:r>
        <w:rPr>
          <w:b/>
        </w:rPr>
        <w:t>Abnormal w</w:t>
      </w:r>
      <w:r w:rsidRPr="0087184E">
        <w:rPr>
          <w:b/>
        </w:rPr>
        <w:t>indow air conditioning unit</w:t>
      </w:r>
      <w:r>
        <w:rPr>
          <w:b/>
        </w:rPr>
        <w:t xml:space="preserve"> operation</w:t>
      </w:r>
      <w:r w:rsidRPr="0087184E">
        <w:rPr>
          <w:b/>
        </w:rPr>
        <w:t>s</w:t>
      </w:r>
      <w:r>
        <w:rPr>
          <w:b/>
        </w:rPr>
        <w:t>.</w:t>
      </w:r>
      <w:r>
        <w:t xml:space="preserve"> Window air conditioning units that operate loudly and/or during the heating season are likely an indication of performance degradation and/or inefficient simultaneous heating and cooling loads that can be corrected. </w:t>
      </w:r>
    </w:p>
    <w:p w14:paraId="1068BB95" w14:textId="0B8E7C1D" w:rsidR="00183CC0" w:rsidRDefault="00183CC0" w:rsidP="00183CC0">
      <w:pPr>
        <w:pStyle w:val="Heading5"/>
      </w:pPr>
      <w:r>
        <w:t xml:space="preserve">(3) Prepare and routinely update an </w:t>
      </w:r>
      <w:r w:rsidR="00322A51">
        <w:t>emissions reduction plan (</w:t>
      </w:r>
      <w:r>
        <w:t>ERP</w:t>
      </w:r>
      <w:r w:rsidR="00322A51">
        <w:t>)</w:t>
      </w:r>
    </w:p>
    <w:p w14:paraId="1CF10E96" w14:textId="0389D990" w:rsidR="00183CC0" w:rsidRDefault="008F00A6" w:rsidP="006D7DE6">
      <w:pPr>
        <w:pStyle w:val="BodyTextFirstIndent"/>
      </w:pPr>
      <w:r>
        <w:rPr>
          <w:noProof/>
        </w:rPr>
        <mc:AlternateContent>
          <mc:Choice Requires="wps">
            <w:drawing>
              <wp:anchor distT="0" distB="0" distL="114300" distR="114300" simplePos="0" relativeHeight="251663872" behindDoc="0" locked="0" layoutInCell="1" allowOverlap="1" wp14:anchorId="607536C3" wp14:editId="25DC2DAE">
                <wp:simplePos x="0" y="0"/>
                <wp:positionH relativeFrom="margin">
                  <wp:posOffset>3171825</wp:posOffset>
                </wp:positionH>
                <wp:positionV relativeFrom="paragraph">
                  <wp:posOffset>991577</wp:posOffset>
                </wp:positionV>
                <wp:extent cx="2802890" cy="2675255"/>
                <wp:effectExtent l="0" t="0" r="16510" b="17145"/>
                <wp:wrapSquare wrapText="bothSides"/>
                <wp:docPr id="1858668884" name="Text Box 1"/>
                <wp:cNvGraphicFramePr/>
                <a:graphic xmlns:a="http://schemas.openxmlformats.org/drawingml/2006/main">
                  <a:graphicData uri="http://schemas.microsoft.com/office/word/2010/wordprocessingShape">
                    <wps:wsp>
                      <wps:cNvSpPr txBox="1"/>
                      <wps:spPr bwMode="auto">
                        <a:xfrm>
                          <a:off x="0" y="0"/>
                          <a:ext cx="2802890" cy="2675255"/>
                        </a:xfrm>
                        <a:prstGeom prst="rect">
                          <a:avLst/>
                        </a:prstGeom>
                        <a:solidFill>
                          <a:schemeClr val="accent1">
                            <a:lumMod val="20000"/>
                            <a:lumOff val="80000"/>
                          </a:schemeClr>
                        </a:solidFill>
                        <a:ln w="9525">
                          <a:solidFill>
                            <a:schemeClr val="tx1"/>
                          </a:solidFill>
                          <a:miter lim="800000"/>
                          <a:headEnd/>
                          <a:tailEnd/>
                        </a:ln>
                      </wps:spPr>
                      <wps:txbx>
                        <w:txbxContent>
                          <w:p w14:paraId="7EC12D22" w14:textId="77777777" w:rsidR="00183CC0" w:rsidRDefault="00183CC0" w:rsidP="00183CC0">
                            <w:pPr>
                              <w:pStyle w:val="TextBoxTitle"/>
                            </w:pPr>
                            <w:r>
                              <w:t>Driving GHG Emission Reductions Through Building Performance Standards</w:t>
                            </w:r>
                          </w:p>
                          <w:p w14:paraId="53ED77C6" w14:textId="77777777" w:rsidR="00183CC0" w:rsidRPr="0066462E" w:rsidRDefault="00183CC0" w:rsidP="00183CC0">
                            <w:pPr>
                              <w:pStyle w:val="TextBoxText"/>
                            </w:pPr>
                            <w:r>
                              <w:t>To support</w:t>
                            </w:r>
                            <w:r w:rsidRPr="00B47714">
                              <w:t xml:space="preserve"> </w:t>
                            </w:r>
                            <w:r>
                              <w:t xml:space="preserve">aggressive </w:t>
                            </w:r>
                            <w:r w:rsidRPr="00B47714">
                              <w:t>GHG emissions</w:t>
                            </w:r>
                            <w:r>
                              <w:t xml:space="preserve"> reduction targets,</w:t>
                            </w:r>
                            <w:r w:rsidRPr="00B47714">
                              <w:t xml:space="preserve"> </w:t>
                            </w:r>
                            <w:r>
                              <w:t>numerous states and municipalities</w:t>
                            </w:r>
                            <w:r w:rsidRPr="00B47714">
                              <w:t xml:space="preserve"> </w:t>
                            </w:r>
                            <w:r>
                              <w:t xml:space="preserve">are leveraging existing energy disclosure requirements and adopting </w:t>
                            </w:r>
                            <w:r w:rsidRPr="00B47714">
                              <w:t>building performance standards (BPS)</w:t>
                            </w:r>
                            <w:r>
                              <w:t>, which</w:t>
                            </w:r>
                            <w:r w:rsidRPr="00B47714">
                              <w:t xml:space="preserve"> driv</w:t>
                            </w:r>
                            <w:r>
                              <w:t>e</w:t>
                            </w:r>
                            <w:r w:rsidRPr="00B47714">
                              <w:t xml:space="preserve"> </w:t>
                            </w:r>
                            <w:r>
                              <w:t xml:space="preserve">GHG </w:t>
                            </w:r>
                            <w:r w:rsidRPr="00B47714">
                              <w:t xml:space="preserve">emission </w:t>
                            </w:r>
                            <w:r>
                              <w:t>reductions</w:t>
                            </w:r>
                            <w:r w:rsidRPr="00B47714">
                              <w:t xml:space="preserve"> at the building and portfolio level. </w:t>
                            </w:r>
                            <w:r>
                              <w:t xml:space="preserve">Numerous municipalities in Massachusetts have adopted BPS, including </w:t>
                            </w:r>
                            <w:hyperlink r:id="rId163" w:history="1">
                              <w:r w:rsidRPr="00211C00">
                                <w:rPr>
                                  <w:rStyle w:val="Hyperlink"/>
                                </w:rPr>
                                <w:t>Boston</w:t>
                              </w:r>
                            </w:hyperlink>
                            <w:r>
                              <w:t xml:space="preserve"> and </w:t>
                            </w:r>
                            <w:hyperlink r:id="rId164" w:history="1">
                              <w:r w:rsidRPr="009616F9">
                                <w:rPr>
                                  <w:rStyle w:val="Hyperlink"/>
                                </w:rPr>
                                <w:t>Cambridge</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7536C3" id="_x0000_s1052" type="#_x0000_t202" style="position:absolute;margin-left:249.75pt;margin-top:78.1pt;width:220.7pt;height:210.6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" fillcolor="#dbe5f1 [660]" strokecolor="black [3213]">
                <v:textbox>
                  <w:txbxContent>
                    <w:p w14:paraId="7EC12D22" w14:textId="77777777" w:rsidR="00183CC0" w:rsidRDefault="00183CC0" w:rsidP="00183CC0">
                      <w:pPr>
                        <w:pStyle w:val="TextBoxTitle"/>
                      </w:pPr>
                      <w:r>
                        <w:t>Driving GHG Emission Reductions Through Building Performance Standards</w:t>
                      </w:r>
                    </w:p>
                    <w:p w14:paraId="53ED77C6" w14:textId="77777777" w:rsidR="00183CC0" w:rsidRPr="0066462E" w:rsidRDefault="00183CC0" w:rsidP="00183CC0">
                      <w:pPr>
                        <w:pStyle w:val="TextBoxText"/>
                      </w:pPr>
                      <w:r>
                        <w:t>To support</w:t>
                      </w:r>
                      <w:r w:rsidRPr="00B47714">
                        <w:t xml:space="preserve"> </w:t>
                      </w:r>
                      <w:r>
                        <w:t xml:space="preserve">aggressive </w:t>
                      </w:r>
                      <w:r w:rsidRPr="00B47714">
                        <w:t>GHG emissions</w:t>
                      </w:r>
                      <w:r>
                        <w:t xml:space="preserve"> reduction targets,</w:t>
                      </w:r>
                      <w:r w:rsidRPr="00B47714">
                        <w:t xml:space="preserve"> </w:t>
                      </w:r>
                      <w:r>
                        <w:t>numerous states and municipalities</w:t>
                      </w:r>
                      <w:r w:rsidRPr="00B47714">
                        <w:t xml:space="preserve"> </w:t>
                      </w:r>
                      <w:r>
                        <w:t xml:space="preserve">are leveraging existing energy disclosure requirements and adopting </w:t>
                      </w:r>
                      <w:r w:rsidRPr="00B47714">
                        <w:t>building performance standards (BPS)</w:t>
                      </w:r>
                      <w:r>
                        <w:t>, which</w:t>
                      </w:r>
                      <w:r w:rsidRPr="00B47714">
                        <w:t xml:space="preserve"> driv</w:t>
                      </w:r>
                      <w:r>
                        <w:t>e</w:t>
                      </w:r>
                      <w:r w:rsidRPr="00B47714">
                        <w:t xml:space="preserve"> </w:t>
                      </w:r>
                      <w:r>
                        <w:t xml:space="preserve">GHG </w:t>
                      </w:r>
                      <w:r w:rsidRPr="00B47714">
                        <w:t xml:space="preserve">emission </w:t>
                      </w:r>
                      <w:r>
                        <w:t>reductions</w:t>
                      </w:r>
                      <w:r w:rsidRPr="00B47714">
                        <w:t xml:space="preserve"> at the building and portfolio level. </w:t>
                      </w:r>
                      <w:r>
                        <w:t xml:space="preserve">Numerous municipalities in Massachusetts have adopted BPS, including </w:t>
                      </w:r>
                      <w:hyperlink r:id="rId165" w:history="1">
                        <w:r w:rsidRPr="00211C00">
                          <w:rPr>
                            <w:rStyle w:val="Hyperlink"/>
                          </w:rPr>
                          <w:t>Boston</w:t>
                        </w:r>
                      </w:hyperlink>
                      <w:r>
                        <w:t xml:space="preserve"> and </w:t>
                      </w:r>
                      <w:hyperlink r:id="rId166" w:history="1">
                        <w:r w:rsidRPr="009616F9">
                          <w:rPr>
                            <w:rStyle w:val="Hyperlink"/>
                          </w:rPr>
                          <w:t>Cambridge</w:t>
                        </w:r>
                      </w:hyperlink>
                      <w:r>
                        <w:t xml:space="preserve">. </w:t>
                      </w:r>
                    </w:p>
                  </w:txbxContent>
                </v:textbox>
                <w10:wrap type="square" anchorx="margin"/>
              </v:shape>
            </w:pict>
          </mc:Fallback>
        </mc:AlternateContent>
      </w:r>
      <w:r w:rsidR="00183CC0">
        <w:t>An ERP helps organizations establish an actionable and phased roadmap to identify, prioritize, plan, and implement emissions reduction measures (ERMs)—discrete or bundled projects resulting in GHG emissions reductions.</w:t>
      </w:r>
      <w:r w:rsidR="00183CC0">
        <w:fldChar w:fldCharType="begin"/>
      </w:r>
      <w:r w:rsidR="00B64611">
        <w:instrText xml:space="preserve"> ADDIN ZOTERO_ITEM CSL_CITATION {"citationID":"JgtDU2u7","properties":{"formattedCitation":"\\super 170\\nosupersub{}","plainCitation":"170","noteIndex":0},"citationItems":[{"id":113,"uris":["http://zotero.org/groups/5563646/items/NIDVL2MA"],"itemData":{"id":113,"type":"report","language":"en","note":"DOI: 10.2172/1971619","number":"DOE/EE--2688, 1971619, 8954","page":"DOE/EE--2688, 1971619, 8954","source":"DOI.org (Crossref)","title":"Framework for Greenhouse Gas Emissions Reduction Planning: Building Portfolios","title-short":"Framework for Greenhouse Gas Emissions Reduction Planning","URL":"https://www.osti.gov/servlets/purl/1971619/","author":[{"family":"Kramer","given":"Hannah"},{"family":"Abram","given":"Tom"},{"family":"Hart","given":"Nora"},{"family":"Granderson","given":"Jessica"}],"accessed":{"date-parts":[["2024",6,17]]},"issued":{"date-parts":[["2023",2,1]]}}}],"schema":"https://github.com/citation-style-language/schema/raw/master/csl-citation.json"} </w:instrText>
      </w:r>
      <w:r w:rsidR="00183CC0">
        <w:fldChar w:fldCharType="separate"/>
      </w:r>
      <w:r w:rsidR="00B64611" w:rsidRPr="00B64611">
        <w:rPr>
          <w:rFonts w:cs="Arial"/>
          <w:vertAlign w:val="superscript"/>
        </w:rPr>
        <w:t>170</w:t>
      </w:r>
      <w:r w:rsidR="00183CC0">
        <w:fldChar w:fldCharType="end"/>
      </w:r>
      <w:r w:rsidR="00183CC0">
        <w:t xml:space="preserve"> School districts, municipalities, and other regional entities can make use of the ERP framework to:</w:t>
      </w:r>
    </w:p>
    <w:p w14:paraId="66C94098" w14:textId="2A176170" w:rsidR="00183CC0" w:rsidRDefault="00183CC0" w:rsidP="0073680D">
      <w:pPr>
        <w:pStyle w:val="ListNumber"/>
        <w:numPr>
          <w:ilvl w:val="0"/>
          <w:numId w:val="18"/>
        </w:numPr>
      </w:pPr>
      <w:r w:rsidRPr="007E04ED">
        <w:t>Establish a GHG emissions inventory and emission</w:t>
      </w:r>
      <w:r>
        <w:t>s</w:t>
      </w:r>
      <w:r w:rsidRPr="007E04ED">
        <w:t xml:space="preserve"> reduction targets.</w:t>
      </w:r>
      <w:r>
        <w:t xml:space="preserve"> At a minimum, school districts should strive to prepare a GHG emissions inventory that calculates and documents GHG emissions associated with energy consumption (including both onsite combustion of fuels for heating and emergency backup power generation</w:t>
      </w:r>
      <w:r w:rsidR="008F00A6">
        <w:t>,</w:t>
      </w:r>
      <w:r>
        <w:t xml:space="preserve"> purchased grid electricity</w:t>
      </w:r>
      <w:r w:rsidR="008F00A6">
        <w:t>,</w:t>
      </w:r>
      <w:r>
        <w:t xml:space="preserve"> and all other purchased utilities) across the district’s facility portfolio. </w:t>
      </w:r>
    </w:p>
    <w:p w14:paraId="51BFF896" w14:textId="3C61110B" w:rsidR="00183CC0" w:rsidRDefault="00183CC0" w:rsidP="0073680D">
      <w:pPr>
        <w:pStyle w:val="ListNumber"/>
      </w:pPr>
      <w:r w:rsidRPr="007E04ED">
        <w:t xml:space="preserve">Categorize </w:t>
      </w:r>
      <w:r>
        <w:t xml:space="preserve">and prioritize </w:t>
      </w:r>
      <w:r w:rsidRPr="007E04ED">
        <w:t>the building portfolio</w:t>
      </w:r>
      <w:r>
        <w:t xml:space="preserve"> (e.g., by school type, HVAC type, year of last major investment, etc.). </w:t>
      </w:r>
      <w:r>
        <w:fldChar w:fldCharType="begin"/>
      </w:r>
      <w:r>
        <w:instrText xml:space="preserve"> REF _Ref170137255 \h  \* MERGEFORMAT </w:instrText>
      </w:r>
      <w:r>
        <w:fldChar w:fldCharType="separate"/>
      </w:r>
      <w:r w:rsidR="00307850">
        <w:t xml:space="preserve">Figure </w:t>
      </w:r>
      <w:r w:rsidR="00307850">
        <w:rPr>
          <w:noProof/>
        </w:rPr>
        <w:t>29</w:t>
      </w:r>
      <w:r>
        <w:fldChar w:fldCharType="end"/>
      </w:r>
      <w:r>
        <w:t xml:space="preserve"> offers an example of categorizing an organization’s buildings by HVAC system type and GHG intensity (a means of normalizing GHG emissions on a per-square-foot basis). In viewing this example, a school district may decide to prioritize a single high-impact project to retrofit a district system or establish a program to address the distributed emissions via less disruptive retrofits to individual packaged units.</w:t>
      </w:r>
    </w:p>
    <w:p w14:paraId="4CB06583" w14:textId="507BF80B" w:rsidR="00183CC0" w:rsidRPr="00993AD7" w:rsidRDefault="00183CC0" w:rsidP="00B30C96">
      <w:pPr>
        <w:pStyle w:val="FigureTitle"/>
      </w:pPr>
      <w:bookmarkStart w:id="436" w:name="_Ref170137255"/>
      <w:bookmarkStart w:id="437" w:name="_Toc193112316"/>
      <w:bookmarkStart w:id="438" w:name="_Toc193117073"/>
      <w:r>
        <w:lastRenderedPageBreak/>
        <w:t xml:space="preserve">Figure </w:t>
      </w:r>
      <w:fldSimple w:instr=" SEQ Figure \* ARABIC ">
        <w:r w:rsidR="00307850">
          <w:rPr>
            <w:noProof/>
          </w:rPr>
          <w:t>29</w:t>
        </w:r>
      </w:fldSimple>
      <w:bookmarkEnd w:id="436"/>
      <w:r>
        <w:t>. Example Method for Categorizing Buildings</w:t>
      </w:r>
      <w:bookmarkEnd w:id="437"/>
      <w:bookmarkEnd w:id="438"/>
    </w:p>
    <w:p w14:paraId="26333652" w14:textId="77777777" w:rsidR="00183CC0" w:rsidRDefault="00183CC0" w:rsidP="00183CC0">
      <w:pPr>
        <w:jc w:val="center"/>
      </w:pPr>
      <w:r w:rsidRPr="00862311">
        <w:rPr>
          <w:noProof/>
        </w:rPr>
        <w:drawing>
          <wp:inline distT="0" distB="0" distL="0" distR="0" wp14:anchorId="49B595B7" wp14:editId="7137FDDC">
            <wp:extent cx="2710843" cy="4873984"/>
            <wp:effectExtent l="19050" t="19050" r="13335" b="22225"/>
            <wp:docPr id="1046270211" name="Picture 1" descr="Stacked figure of boxes colored green to red depending on greenhouse gas emission intensity, with each box accounting for the respective unit (e.g. whole district system, individual build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70211" name="Picture 1" descr="Stacked figure of boxes colored green to red depending on greenhouse gas emission intensity, with each box accounting for the respective unit (e.g. whole district system, individual buildings). "/>
                    <pic:cNvPicPr/>
                  </pic:nvPicPr>
                  <pic:blipFill rotWithShape="1">
                    <a:blip r:embed="rId167">
                      <a:extLst>
                        <a:ext uri="{28A0092B-C50C-407E-A947-70E740481C1C}">
                          <a14:useLocalDpi xmlns:a14="http://schemas.microsoft.com/office/drawing/2010/main" val="0"/>
                        </a:ext>
                      </a:extLst>
                    </a:blip>
                    <a:srcRect l="11548" t="7943" r="10132"/>
                    <a:stretch/>
                  </pic:blipFill>
                  <pic:spPr bwMode="auto">
                    <a:xfrm>
                      <a:off x="0" y="0"/>
                      <a:ext cx="2710843" cy="48739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5B7B891" w14:textId="21F15865" w:rsidR="00183CC0" w:rsidRDefault="00183CC0" w:rsidP="0023018C">
      <w:pPr>
        <w:pStyle w:val="SourceCaption"/>
      </w:pPr>
      <w:r w:rsidRPr="009F0A2F">
        <w:t>Source: U.S. Department of Energy</w:t>
      </w:r>
      <w:r>
        <w:fldChar w:fldCharType="begin"/>
      </w:r>
      <w:r w:rsidR="00F418C8">
        <w:instrText xml:space="preserve"> ADDIN ZOTERO_ITEM CSL_CITATION {"citationID":"7psOG8rB","properties":{"formattedCitation":"\\super 170\\nosupersub{}","plainCitation":"170","noteIndex":0},"citationItems":[{"id":113,"uris":["http://zotero.org/groups/5563646/items/NIDVL2MA"],"itemData":{"id":113,"type":"report","language":"en","note":"DOI: 10.2172/1971619","number":"DOE/EE--2688, 1971619, 8954","page":"DOE/EE--2688, 1971619, 8954","source":"DOI.org (Crossref)","title":"Framework for Greenhouse Gas Emissions Reduction Planning: Building Portfolios","title-short":"Framework for Greenhouse Gas Emissions Reduction Planning","URL":"https://www.osti.gov/servlets/purl/1971619/","author":[{"family":"Kramer","given":"Hannah"},{"family":"Abram","given":"Tom"},{"family":"Hart","given":"Nora"},{"family":"Granderson","given":"Jessica"}],"accessed":{"date-parts":[["2024",6,17]]},"issued":{"date-parts":[["2023",2,1]]}}}],"schema":"https://github.com/citation-style-language/schema/raw/master/csl-citation.json"} </w:instrText>
      </w:r>
      <w:r>
        <w:fldChar w:fldCharType="separate"/>
      </w:r>
      <w:r w:rsidR="00F418C8" w:rsidRPr="00F418C8">
        <w:rPr>
          <w:rFonts w:ascii="Calibri" w:hAnsi="Calibri" w:cs="Calibri"/>
          <w:vertAlign w:val="superscript"/>
        </w:rPr>
        <w:t>170</w:t>
      </w:r>
      <w:r>
        <w:fldChar w:fldCharType="end"/>
      </w:r>
    </w:p>
    <w:p w14:paraId="44303ECF" w14:textId="375AE90E" w:rsidR="00183CC0" w:rsidRDefault="00183CC0" w:rsidP="0073680D">
      <w:pPr>
        <w:pStyle w:val="ListNumber"/>
      </w:pPr>
      <w:r w:rsidRPr="001D7EB5">
        <w:t xml:space="preserve">Complete audits </w:t>
      </w:r>
      <w:r>
        <w:t xml:space="preserve">(method and best practice </w:t>
      </w:r>
      <w:r w:rsidRPr="001D7EB5">
        <w:t>2</w:t>
      </w:r>
      <w:r w:rsidR="003948A3">
        <w:t>, Figure 29</w:t>
      </w:r>
      <w:r>
        <w:t>)</w:t>
      </w:r>
      <w:r w:rsidRPr="001D7EB5">
        <w:t xml:space="preserve"> and select ERMs.</w:t>
      </w:r>
      <w:r>
        <w:t xml:space="preserve"> Schools can combine multiple ERMs into a more comprehensive project to more aggressively reduce GHG emissions. Numerous examples of ERMs are provided in the following sections.</w:t>
      </w:r>
    </w:p>
    <w:p w14:paraId="09E66484" w14:textId="77777777" w:rsidR="00183CC0" w:rsidRPr="00D756B1" w:rsidRDefault="00183CC0" w:rsidP="0073680D">
      <w:pPr>
        <w:pStyle w:val="ListNumber"/>
      </w:pPr>
      <w:r w:rsidRPr="00D756B1">
        <w:t>Develop emission</w:t>
      </w:r>
      <w:r>
        <w:t>s</w:t>
      </w:r>
      <w:r w:rsidRPr="00D756B1">
        <w:t xml:space="preserve"> reduction scenarios</w:t>
      </w:r>
      <w:r>
        <w:t xml:space="preserve"> demonstrating how ERMs can be combined and phased across the organization’s portfolio. Scenarios illustrate the potential emissions reductions relative to the targets that an organization has established.</w:t>
      </w:r>
    </w:p>
    <w:p w14:paraId="66AAE335" w14:textId="77777777" w:rsidR="00183CC0" w:rsidRDefault="00183CC0" w:rsidP="0073680D">
      <w:pPr>
        <w:pStyle w:val="ListNumber"/>
      </w:pPr>
      <w:r w:rsidRPr="00D756B1">
        <w:t xml:space="preserve">Summarize </w:t>
      </w:r>
      <w:r>
        <w:t>the results of the above four steps,</w:t>
      </w:r>
      <w:r w:rsidRPr="00D756B1">
        <w:t xml:space="preserve"> outline </w:t>
      </w:r>
      <w:r>
        <w:t>an implementation plan, and identify possible funding sources</w:t>
      </w:r>
      <w:r w:rsidRPr="00D756B1">
        <w:t xml:space="preserve"> in </w:t>
      </w:r>
      <w:r>
        <w:t>a comprehensive</w:t>
      </w:r>
      <w:r w:rsidRPr="00D756B1">
        <w:t xml:space="preserve"> ERP</w:t>
      </w:r>
      <w:r>
        <w:t xml:space="preserve"> document</w:t>
      </w:r>
      <w:r w:rsidRPr="00D756B1">
        <w:t>.</w:t>
      </w:r>
      <w:r>
        <w:t xml:space="preserve"> As resources permit, school districts should update ERPs periodically to reflect implementation progress, changes to the building portfolio, and external trends (e.g., new legislative and/or regulatory requirements that might influence the scope and/or prioritization of ERMs).</w:t>
      </w:r>
    </w:p>
    <w:p w14:paraId="44DB5E7E" w14:textId="724A69C2" w:rsidR="00183CC0" w:rsidRDefault="00183CC0" w:rsidP="00183CC0">
      <w:pPr>
        <w:pStyle w:val="Heading4"/>
      </w:pPr>
      <w:r>
        <w:lastRenderedPageBreak/>
        <w:t>Implement</w:t>
      </w:r>
      <w:r w:rsidR="00D71248">
        <w:t xml:space="preserve"> Strategies to Achieve Energy Efficiency and Building Decarbonization</w:t>
      </w:r>
    </w:p>
    <w:p w14:paraId="2EC4D361" w14:textId="1C64CFC4" w:rsidR="00183CC0" w:rsidRPr="00605836" w:rsidRDefault="00183CC0" w:rsidP="006D7DE6">
      <w:pPr>
        <w:pStyle w:val="BodyTextFirstIndent"/>
      </w:pPr>
      <w:r>
        <w:t xml:space="preserve">Once districts complete </w:t>
      </w:r>
      <w:r w:rsidR="008F00A6">
        <w:t xml:space="preserve">the </w:t>
      </w:r>
      <w:r>
        <w:t>initial analysis and planning, they can turn towards implementation using the strategies covered in this section. While new construction and major modernization projects have demonstrated a clear path to deliver NZE schools, many district buildings that exist today will still be in operation in 2050.</w:t>
      </w:r>
      <w:r>
        <w:fldChar w:fldCharType="begin"/>
      </w:r>
      <w:r w:rsidR="00FA1AE6">
        <w:instrText xml:space="preserve"> ADDIN ZOTERO_ITEM CSL_CITATION {"citationID":"a1i4lkk39mi","properties":{"formattedCitation":"\\super 171\\nosupersub{}","plainCitation":"171","noteIndex":0},"citationItems":[{"id":903,"uris":["http://zotero.org/groups/5563646/items/9I7ZIUDJ"],"itemData":{"id":903,"type":"webpage","abstract":"In urban areas, buildings contribute 60% of overall carbon emissions. We must begin retrofitting our old buildings for net zero cities and reduced global temperatures.","container-title":"World Economic Forum","language":"en","title":"For net-zero cities, we need to retrofit our older buildings. Here's what's needed","URL":"https://www.weforum.org/agenda/2022/11/net-zero-cities-retrofit-older-buildings-cop27/","accessed":{"date-parts":[["2024",7,25]]},"issued":{"date-parts":[["2022",11,8]]}}}],"schema":"https://github.com/citation-style-language/schema/raw/master/csl-citation.json"} </w:instrText>
      </w:r>
      <w:r>
        <w:fldChar w:fldCharType="separate"/>
      </w:r>
      <w:r w:rsidR="00FA1AE6" w:rsidRPr="00FA1AE6">
        <w:rPr>
          <w:rFonts w:cs="Arial"/>
          <w:vertAlign w:val="superscript"/>
        </w:rPr>
        <w:t>171</w:t>
      </w:r>
      <w:r>
        <w:fldChar w:fldCharType="end"/>
      </w:r>
      <w:r>
        <w:t xml:space="preserve"> As a general best practice for all project types, districts should consider projects that optimize energy efficiency first and then seek to electrify the remaining building loads. As with any program, the results of implemented projects should be tied back to ongoing planning efforts and inform future projects. For example, energy efficiency projects may include make-ready infrastructure or design drawings for future electrification projects to show a clear path forward for building decarbonization. </w:t>
      </w:r>
    </w:p>
    <w:p w14:paraId="4FEDEE47" w14:textId="77777777" w:rsidR="00183CC0" w:rsidRDefault="00183CC0" w:rsidP="00183CC0">
      <w:pPr>
        <w:pStyle w:val="Heading5"/>
      </w:pPr>
      <w:bookmarkStart w:id="439" w:name="_Toc44305322"/>
      <w:r>
        <w:t xml:space="preserve">(4) Implement </w:t>
      </w:r>
      <w:bookmarkEnd w:id="439"/>
      <w:r>
        <w:t>NZE new construction and major modernizations</w:t>
      </w:r>
    </w:p>
    <w:p w14:paraId="75DB02EA" w14:textId="35A2DF33" w:rsidR="00183CC0" w:rsidRDefault="00183CC0" w:rsidP="006D7DE6">
      <w:pPr>
        <w:pStyle w:val="BodyTextFirstIndent"/>
      </w:pPr>
      <w:r>
        <w:t>The process of building a new school or modernizing an existing one is a major undertaking for a community that often spans multiple years. The MSBA provides modules that outline the process for districts seeking grant funding and the collaborative process following an invitation to the MSBA’s capital pipeline. The Northeast Energy Efficiency Partnership (NEEP) Zero Energy Schools Toolkit outlines a general process for building a new school or modernizing an existing one:</w:t>
      </w:r>
      <w:r w:rsidR="00FD3B82">
        <w:fldChar w:fldCharType="begin"/>
      </w:r>
      <w:r w:rsidR="00645347">
        <w:instrText xml:space="preserve"> ADDIN ZOTERO_ITEM CSL_CITATION {"citationID":"a29su4ibi8r","properties":{"formattedCitation":"\\super 172\\nosupersub{}","plainCitation":"172","noteIndex":0},"citationItems":[{"id":119,"uris":["http://zotero.org/groups/5563646/items/2MQY9K8D"],"itemData":{"id":119,"type":"document","title":"Zero Energy Schools Toolkit","URL":"https://neep.org/sites/default/files/resources/Zero%20Energy%20Schools%20Toolkit%20FINAL.pdf","author":[{"literal":"NEEP"}],"issued":{"date-parts":[["2020",5,1]]}}}],"schema":"https://github.com/citation-style-language/schema/raw/master/csl-citation.json"} </w:instrText>
      </w:r>
      <w:r w:rsidR="00FD3B82">
        <w:fldChar w:fldCharType="separate"/>
      </w:r>
      <w:r w:rsidR="00645347" w:rsidRPr="00645347">
        <w:rPr>
          <w:rFonts w:cs="Arial"/>
          <w:vertAlign w:val="superscript"/>
        </w:rPr>
        <w:t>172</w:t>
      </w:r>
      <w:r w:rsidR="00FD3B82">
        <w:fldChar w:fldCharType="end"/>
      </w:r>
      <w:r w:rsidR="00FD3B82">
        <w:t xml:space="preserve"> </w:t>
      </w:r>
    </w:p>
    <w:p w14:paraId="6E0BC523" w14:textId="77777777" w:rsidR="00183CC0" w:rsidRDefault="00183CC0" w:rsidP="006D7DE6">
      <w:pPr>
        <w:pStyle w:val="BodyTextFirstIndent"/>
        <w:numPr>
          <w:ilvl w:val="0"/>
          <w:numId w:val="11"/>
        </w:numPr>
      </w:pPr>
      <w:r w:rsidRPr="002C24C3">
        <w:rPr>
          <w:b/>
        </w:rPr>
        <w:t>Pre-Design</w:t>
      </w:r>
      <w:r>
        <w:t>: Establish educational specifications and conduct community engagement.</w:t>
      </w:r>
    </w:p>
    <w:p w14:paraId="5496D2EA" w14:textId="77777777" w:rsidR="00183CC0" w:rsidRDefault="00183CC0" w:rsidP="006D7DE6">
      <w:pPr>
        <w:pStyle w:val="BodyTextFirstIndent"/>
        <w:numPr>
          <w:ilvl w:val="0"/>
          <w:numId w:val="11"/>
        </w:numPr>
      </w:pPr>
      <w:r w:rsidRPr="002C24C3">
        <w:rPr>
          <w:b/>
        </w:rPr>
        <w:t>Design</w:t>
      </w:r>
      <w:r>
        <w:t>: Select an architect, complete the schematic design, and select a general contractor to lead construction.</w:t>
      </w:r>
    </w:p>
    <w:p w14:paraId="392636F2" w14:textId="77777777" w:rsidR="00183CC0" w:rsidRDefault="00183CC0" w:rsidP="006D7DE6">
      <w:pPr>
        <w:pStyle w:val="BodyTextFirstIndent"/>
        <w:numPr>
          <w:ilvl w:val="0"/>
          <w:numId w:val="11"/>
        </w:numPr>
      </w:pPr>
      <w:r w:rsidRPr="002C24C3">
        <w:rPr>
          <w:b/>
        </w:rPr>
        <w:t>Construction</w:t>
      </w:r>
      <w:r>
        <w:t>: Complete site work, building construction, and landscaping.</w:t>
      </w:r>
    </w:p>
    <w:p w14:paraId="0A16B6E3" w14:textId="77777777" w:rsidR="00183CC0" w:rsidRDefault="00183CC0" w:rsidP="006D7DE6">
      <w:pPr>
        <w:pStyle w:val="BodyTextFirstIndent"/>
        <w:numPr>
          <w:ilvl w:val="0"/>
          <w:numId w:val="11"/>
        </w:numPr>
      </w:pPr>
      <w:r w:rsidRPr="002C24C3">
        <w:rPr>
          <w:b/>
        </w:rPr>
        <w:t>Occupancy</w:t>
      </w:r>
      <w:r>
        <w:t>: Conduct occupant engagement and training before the school’s opening and on an ongoing basis.</w:t>
      </w:r>
    </w:p>
    <w:p w14:paraId="64699184" w14:textId="3408B02C" w:rsidR="00183CC0" w:rsidRPr="00B4731E" w:rsidRDefault="00183CC0" w:rsidP="006D7DE6">
      <w:pPr>
        <w:pStyle w:val="BodyTextFirstIndent"/>
        <w:rPr>
          <w:b/>
          <w:color w:val="1F497D" w:themeColor="text2"/>
        </w:rPr>
      </w:pPr>
      <w:r>
        <w:t>The comprehensive nature of new construction and modernizations allows districts to establish decarbonization goals at the pre-design project phase. Most commonly, these goals are communicated to project teams by establishing site EUI (energy consumption measured at the meter) and source EUI (includes the fuel required to generate and deliver the energy) targets. The targets in</w:t>
      </w:r>
      <w:r>
        <w:fldChar w:fldCharType="begin"/>
      </w:r>
      <w:r>
        <w:instrText xml:space="preserve"> REF _Ref170137772 \h </w:instrText>
      </w:r>
      <w:r>
        <w:fldChar w:fldCharType="separate"/>
      </w:r>
      <w:r w:rsidR="00B4731E">
        <w:rPr>
          <w:b/>
          <w:color w:val="1F497D" w:themeColor="text2"/>
        </w:rPr>
        <w:t xml:space="preserve"> </w:t>
      </w:r>
      <w:r w:rsidR="00C40980">
        <w:t xml:space="preserve">Table </w:t>
      </w:r>
      <w:r w:rsidR="00C40980">
        <w:rPr>
          <w:noProof/>
        </w:rPr>
        <w:t>44</w:t>
      </w:r>
      <w:r>
        <w:fldChar w:fldCharType="end"/>
      </w:r>
      <w:r>
        <w:t xml:space="preserve"> are included as a 2019 reference based on MA’s location in climate zone 5A.</w:t>
      </w:r>
      <w:r>
        <w:fldChar w:fldCharType="begin"/>
      </w:r>
      <w:r w:rsidR="00174454">
        <w:instrText xml:space="preserve"> ADDIN ZOTERO_ITEM CSL_CITATION {"citationID":"KZaQEyft","properties":{"formattedCitation":"\\super 173\\nosupersub{}","plainCitation":"173","noteIndex":0},"citationItems":[{"id":115,"uris":["http://zotero.org/groups/5563646/items/2H2EXN2I"],"itemData":{"id":115,"type":"report","language":"en","note":"DOI: 10.2172/1557416","number":"NREL/TP--5500-72847, 1557416","page":"NREL/TP--5500-72847, 1557416","source":"DOI.org (Crossref)","title":"A Guide to Zero Energy and Zero Energy Ready K-12 Schools","URL":"http://www.osti.gov/servlets/purl/1557416/","author":[{"family":"Torcellini","given":"Paul A."},{"family":"Trenbath","given":"Thien-Kim L."},{"family":"Allen","given":"Nathaniel"},{"family":"McIntyre","given":"Maureen"}],"accessed":{"date-parts":[["2024",6,14]]},"issued":{"date-parts":[["2019",8,8]]}}}],"schema":"https://github.com/citation-style-language/schema/raw/master/csl-citation.json"} </w:instrText>
      </w:r>
      <w:r>
        <w:fldChar w:fldCharType="separate"/>
      </w:r>
      <w:r w:rsidR="00174454" w:rsidRPr="00174454">
        <w:rPr>
          <w:rFonts w:cs="Arial"/>
          <w:vertAlign w:val="superscript"/>
        </w:rPr>
        <w:t>173</w:t>
      </w:r>
      <w:r>
        <w:fldChar w:fldCharType="end"/>
      </w:r>
      <w:r>
        <w:t xml:space="preserve"> It is important to understand the current market landscape as targets are being set, given that efficiencies improve over time. These EUI targets are more aggressive than others defined for K–12 schools in Massachusetts.</w:t>
      </w:r>
      <w:r>
        <w:fldChar w:fldCharType="begin"/>
      </w:r>
      <w:r w:rsidR="00E12B29">
        <w:instrText xml:space="preserve"> ADDIN ZOTERO_ITEM CSL_CITATION {"citationID":"k8uTUZUl","properties":{"formattedCitation":"\\super 174\\nosupersub{}","plainCitation":"174","noteIndex":0},"citationItems":[{"id":114,"uris":["http://zotero.org/groups/5563646/items/SYXVVULK"],"itemData":{"id":114,"type":"document","title":"MassSave New Construction or Major Renovation Path 1","URL":"https://www.masssave.com/-/media/Files/PDFs/Business/2022-MS-NC-Summary-Path-1-1222-Final.pdf","issued":{"date-parts":[["2022"]]}}}],"schema":"https://github.com/citation-style-language/schema/raw/master/csl-citation.json"} </w:instrText>
      </w:r>
      <w:r>
        <w:fldChar w:fldCharType="separate"/>
      </w:r>
      <w:r w:rsidR="00E12B29" w:rsidRPr="00E12B29">
        <w:rPr>
          <w:rFonts w:cs="Arial"/>
          <w:vertAlign w:val="superscript"/>
        </w:rPr>
        <w:t>174</w:t>
      </w:r>
      <w:r>
        <w:fldChar w:fldCharType="end"/>
      </w:r>
      <w:r>
        <w:t xml:space="preserve"> Other new construction and modernization goals should consider the environmental health, sustainability, and equity programs discussed in more detail in other sections.</w:t>
      </w:r>
      <w:bookmarkStart w:id="440" w:name="_Ref170137772"/>
      <w:bookmarkStart w:id="441" w:name="_Toc170345786"/>
    </w:p>
    <w:p w14:paraId="4BF441C2" w14:textId="77777777" w:rsidR="008F00A6" w:rsidRDefault="008F00A6" w:rsidP="006D7DE6">
      <w:pPr>
        <w:pStyle w:val="BodyTextFirstIndent"/>
      </w:pPr>
    </w:p>
    <w:p w14:paraId="41005131" w14:textId="742D1B03" w:rsidR="00183CC0" w:rsidRPr="000E1882" w:rsidRDefault="00183CC0" w:rsidP="00B30C96">
      <w:pPr>
        <w:pStyle w:val="TableTitle"/>
      </w:pPr>
      <w:bookmarkStart w:id="442" w:name="_Toc192711710"/>
      <w:bookmarkStart w:id="443" w:name="_Toc193112592"/>
      <w:bookmarkStart w:id="444" w:name="_Toc193116991"/>
      <w:r>
        <w:lastRenderedPageBreak/>
        <w:t xml:space="preserve">Table </w:t>
      </w:r>
      <w:fldSimple w:instr=" SEQ Table \* ARABIC ">
        <w:r w:rsidR="00307850">
          <w:rPr>
            <w:noProof/>
          </w:rPr>
          <w:t>44</w:t>
        </w:r>
      </w:fldSimple>
      <w:bookmarkEnd w:id="440"/>
      <w:r>
        <w:t xml:space="preserve">. </w:t>
      </w:r>
      <w:r w:rsidRPr="000E1882">
        <w:t>EUI Targets for Massachusetts Schools</w:t>
      </w:r>
      <w:bookmarkEnd w:id="441"/>
      <w:bookmarkEnd w:id="442"/>
      <w:bookmarkEnd w:id="443"/>
      <w:bookmarkEnd w:id="444"/>
    </w:p>
    <w:tbl>
      <w:tblPr>
        <w:tblStyle w:val="TableGrid"/>
        <w:tblW w:w="0" w:type="auto"/>
        <w:jc w:val="center"/>
        <w:tblLook w:val="04A0" w:firstRow="1" w:lastRow="0" w:firstColumn="1" w:lastColumn="0" w:noHBand="0" w:noVBand="1"/>
        <w:tblDescription w:val="Table with one row listing energy use intensity targets for MA primary and secondary schools, split by site and source."/>
      </w:tblPr>
      <w:tblGrid>
        <w:gridCol w:w="1854"/>
        <w:gridCol w:w="1854"/>
        <w:gridCol w:w="1854"/>
        <w:gridCol w:w="1854"/>
      </w:tblGrid>
      <w:tr w:rsidR="00183CC0" w14:paraId="3798640E" w14:textId="77777777">
        <w:trPr>
          <w:jc w:val="center"/>
        </w:trPr>
        <w:tc>
          <w:tcPr>
            <w:tcW w:w="3708" w:type="dxa"/>
            <w:gridSpan w:val="2"/>
            <w:shd w:val="clear" w:color="auto" w:fill="C6D9F1" w:themeFill="text2" w:themeFillTint="33"/>
          </w:tcPr>
          <w:p w14:paraId="44378F48" w14:textId="5AE7C5C5" w:rsidR="00183CC0" w:rsidRPr="002C24C3" w:rsidRDefault="00183CC0">
            <w:pPr>
              <w:pStyle w:val="TableColumnHeader"/>
            </w:pPr>
            <w:r w:rsidRPr="002C24C3">
              <w:t>Site EUI</w:t>
            </w:r>
            <w:r w:rsidRPr="002C24C3">
              <w:fldChar w:fldCharType="begin"/>
            </w:r>
            <w:r w:rsidR="009F0C81">
              <w:instrText xml:space="preserve"> ADDIN ZOTERO_ITEM CSL_CITATION {"citationID":"lwrPPLqU","properties":{"formattedCitation":"\\super 173\\nosupersub{}","plainCitation":"173","noteIndex":0},"citationItems":[{"id":115,"uris":["http://zotero.org/groups/5563646/items/2H2EXN2I"],"itemData":{"id":115,"type":"report","language":"en","note":"DOI: 10.2172/1557416","number":"NREL/TP--5500-72847, 1557416","page":"NREL/TP--5500-72847, 1557416","source":"DOI.org (Crossref)","title":"A Guide to Zero Energy and Zero Energy Ready K-12 Schools","URL":"http://www.osti.gov/servlets/purl/1557416/","author":[{"family":"Torcellini","given":"Paul A."},{"family":"Trenbath","given":"Thien-Kim L."},{"family":"Allen","given":"Nathaniel"},{"family":"McIntyre","given":"Maureen"}],"accessed":{"date-parts":[["2024",6,14]]},"issued":{"date-parts":[["2019",8,8]]}}}],"schema":"https://github.com/citation-style-language/schema/raw/master/csl-citation.json"} </w:instrText>
            </w:r>
            <w:r w:rsidRPr="002C24C3">
              <w:fldChar w:fldCharType="separate"/>
            </w:r>
            <w:r w:rsidR="009F0C81" w:rsidRPr="009F0C81">
              <w:rPr>
                <w:rFonts w:ascii="Calibri" w:hAnsi="Calibri"/>
                <w:vertAlign w:val="superscript"/>
              </w:rPr>
              <w:t>173</w:t>
            </w:r>
            <w:r w:rsidRPr="002C24C3">
              <w:fldChar w:fldCharType="end"/>
            </w:r>
          </w:p>
        </w:tc>
        <w:tc>
          <w:tcPr>
            <w:tcW w:w="3708" w:type="dxa"/>
            <w:gridSpan w:val="2"/>
            <w:shd w:val="clear" w:color="auto" w:fill="C6D9F1" w:themeFill="text2" w:themeFillTint="33"/>
          </w:tcPr>
          <w:p w14:paraId="228085C4" w14:textId="77777777" w:rsidR="00183CC0" w:rsidRPr="002C24C3" w:rsidRDefault="00183CC0">
            <w:pPr>
              <w:pStyle w:val="TableColumnHeader"/>
            </w:pPr>
            <w:r w:rsidRPr="002C24C3">
              <w:t>Source EUI</w:t>
            </w:r>
          </w:p>
        </w:tc>
      </w:tr>
      <w:tr w:rsidR="00183CC0" w14:paraId="73742767" w14:textId="77777777">
        <w:trPr>
          <w:jc w:val="center"/>
        </w:trPr>
        <w:tc>
          <w:tcPr>
            <w:tcW w:w="1854" w:type="dxa"/>
            <w:shd w:val="clear" w:color="auto" w:fill="C6D9F1" w:themeFill="text2" w:themeFillTint="33"/>
            <w:vAlign w:val="center"/>
          </w:tcPr>
          <w:p w14:paraId="6C433B3C" w14:textId="77777777" w:rsidR="00183CC0" w:rsidRPr="002C24C3" w:rsidRDefault="00183CC0">
            <w:pPr>
              <w:pStyle w:val="TableColumnHeader"/>
            </w:pPr>
            <w:r w:rsidRPr="002C24C3">
              <w:t>Primary School</w:t>
            </w:r>
          </w:p>
        </w:tc>
        <w:tc>
          <w:tcPr>
            <w:tcW w:w="1854" w:type="dxa"/>
            <w:shd w:val="clear" w:color="auto" w:fill="C6D9F1" w:themeFill="text2" w:themeFillTint="33"/>
            <w:vAlign w:val="center"/>
          </w:tcPr>
          <w:p w14:paraId="6A4457F1" w14:textId="77777777" w:rsidR="00183CC0" w:rsidRPr="002C24C3" w:rsidRDefault="00183CC0">
            <w:pPr>
              <w:pStyle w:val="TableColumnHeader"/>
            </w:pPr>
            <w:r w:rsidRPr="002C24C3">
              <w:t>Secondary School</w:t>
            </w:r>
          </w:p>
        </w:tc>
        <w:tc>
          <w:tcPr>
            <w:tcW w:w="1854" w:type="dxa"/>
            <w:shd w:val="clear" w:color="auto" w:fill="C6D9F1" w:themeFill="text2" w:themeFillTint="33"/>
            <w:vAlign w:val="center"/>
          </w:tcPr>
          <w:p w14:paraId="5AEEAF29" w14:textId="77777777" w:rsidR="00183CC0" w:rsidRPr="002C24C3" w:rsidRDefault="00183CC0">
            <w:pPr>
              <w:pStyle w:val="TableColumnHeader"/>
            </w:pPr>
            <w:r w:rsidRPr="002C24C3">
              <w:t>Primary School</w:t>
            </w:r>
          </w:p>
        </w:tc>
        <w:tc>
          <w:tcPr>
            <w:tcW w:w="1854" w:type="dxa"/>
            <w:shd w:val="clear" w:color="auto" w:fill="C6D9F1" w:themeFill="text2" w:themeFillTint="33"/>
            <w:vAlign w:val="center"/>
          </w:tcPr>
          <w:p w14:paraId="11C2A658" w14:textId="77777777" w:rsidR="00183CC0" w:rsidRPr="002C24C3" w:rsidRDefault="00183CC0">
            <w:pPr>
              <w:pStyle w:val="TableColumnHeader"/>
            </w:pPr>
            <w:r w:rsidRPr="002C24C3">
              <w:t>Secondary School</w:t>
            </w:r>
          </w:p>
        </w:tc>
      </w:tr>
      <w:tr w:rsidR="00183CC0" w14:paraId="3C326E15" w14:textId="77777777">
        <w:trPr>
          <w:jc w:val="center"/>
        </w:trPr>
        <w:tc>
          <w:tcPr>
            <w:tcW w:w="1854" w:type="dxa"/>
            <w:vAlign w:val="center"/>
          </w:tcPr>
          <w:p w14:paraId="4A18856A" w14:textId="77777777" w:rsidR="00183CC0" w:rsidRDefault="00183CC0">
            <w:pPr>
              <w:pStyle w:val="TableText"/>
              <w:jc w:val="right"/>
            </w:pPr>
            <w:r>
              <w:t>19.2</w:t>
            </w:r>
          </w:p>
        </w:tc>
        <w:tc>
          <w:tcPr>
            <w:tcW w:w="1854" w:type="dxa"/>
            <w:vAlign w:val="center"/>
          </w:tcPr>
          <w:p w14:paraId="29C31C09" w14:textId="77777777" w:rsidR="00183CC0" w:rsidRDefault="00183CC0">
            <w:pPr>
              <w:pStyle w:val="TableText"/>
              <w:jc w:val="right"/>
            </w:pPr>
            <w:r>
              <w:t>19.1</w:t>
            </w:r>
          </w:p>
        </w:tc>
        <w:tc>
          <w:tcPr>
            <w:tcW w:w="1854" w:type="dxa"/>
            <w:vAlign w:val="center"/>
          </w:tcPr>
          <w:p w14:paraId="3D1747A8" w14:textId="77777777" w:rsidR="00183CC0" w:rsidRDefault="00183CC0">
            <w:pPr>
              <w:pStyle w:val="TableText"/>
              <w:jc w:val="right"/>
            </w:pPr>
            <w:r>
              <w:t>57.1</w:t>
            </w:r>
          </w:p>
        </w:tc>
        <w:tc>
          <w:tcPr>
            <w:tcW w:w="1854" w:type="dxa"/>
            <w:vAlign w:val="center"/>
          </w:tcPr>
          <w:p w14:paraId="4124CF53" w14:textId="77777777" w:rsidR="00183CC0" w:rsidRDefault="00183CC0">
            <w:pPr>
              <w:pStyle w:val="TableText"/>
              <w:jc w:val="right"/>
            </w:pPr>
            <w:r>
              <w:t>56.9</w:t>
            </w:r>
          </w:p>
        </w:tc>
      </w:tr>
    </w:tbl>
    <w:p w14:paraId="75B5E7AE" w14:textId="3E410919" w:rsidR="00183CC0" w:rsidRPr="00D7782F" w:rsidRDefault="00183CC0" w:rsidP="006D7DE6">
      <w:pPr>
        <w:pStyle w:val="BodyTextFirstIndent"/>
        <w:rPr>
          <w:vertAlign w:val="superscript"/>
        </w:rPr>
      </w:pPr>
      <w:r>
        <w:t>For new construction and modernization projects, a DOE study found that net zero schools have comparable capital costs to traditional school projects, and there is no correlation between project capital costs and EUI. Instead, a fixed budget and target EUI were found to be key determinants for a successful, cost-effective project by providing firm boundaries that allow project teams to find creative solutions.</w:t>
      </w:r>
      <w:r>
        <w:fldChar w:fldCharType="begin"/>
      </w:r>
      <w:r w:rsidR="00456A23">
        <w:instrText xml:space="preserve"> ADDIN ZOTERO_ITEM CSL_CITATION {"citationID":"K7ChMKQs","properties":{"formattedCitation":"\\super 43\\nosupersub{}","plainCitation":"43","noteIndex":0},"citationItems":[{"id":131,"uris":["http://zotero.org/groups/5563646/items/ZHJSI26R"],"itemData":{"id":131,"type":"report","language":"en","note":"DOI: 10.2172/1837979","number":"NREL/TP-5500-80766, 1837979, MainId:77550","page":"NREL/TP-5500-80766, 1837979, MainId:77550","source":"DOI.org (Crossref)","title":"Affordable Zero Energy K-12 Schools: The Cost Barrier Illusion","title-short":"Affordable Zero Energy K-12 Schools","URL":"https://www.osti.gov/servlets/purl/1837979/","author":[{"family":"Torcellini","given":"Paul"},{"family":"Zaleski","given":"Sarah"},{"family":"McIntyre","given":"Maureen"}],"accessed":{"date-parts":[["2024",6,13]]},"issued":{"date-parts":[["2021",12,22]]}}}],"schema":"https://github.com/citation-style-language/schema/raw/master/csl-citation.json"} </w:instrText>
      </w:r>
      <w:r>
        <w:fldChar w:fldCharType="separate"/>
      </w:r>
      <w:r w:rsidR="00456A23" w:rsidRPr="00456A23">
        <w:rPr>
          <w:rFonts w:cs="Arial"/>
          <w:vertAlign w:val="superscript"/>
        </w:rPr>
        <w:t>43</w:t>
      </w:r>
      <w:r>
        <w:fldChar w:fldCharType="end"/>
      </w:r>
    </w:p>
    <w:p w14:paraId="5E85E60F" w14:textId="77777777" w:rsidR="00183CC0" w:rsidRDefault="00183CC0" w:rsidP="006D7DE6">
      <w:pPr>
        <w:pStyle w:val="BodyTextFirstIndent"/>
      </w:pPr>
      <w:r>
        <w:rPr>
          <w:noProof/>
        </w:rPr>
        <mc:AlternateContent>
          <mc:Choice Requires="wps">
            <w:drawing>
              <wp:anchor distT="0" distB="0" distL="114300" distR="114300" simplePos="0" relativeHeight="251665920" behindDoc="0" locked="0" layoutInCell="1" allowOverlap="1" wp14:anchorId="0D441FDE" wp14:editId="09874EAF">
                <wp:simplePos x="0" y="0"/>
                <wp:positionH relativeFrom="margin">
                  <wp:posOffset>3200400</wp:posOffset>
                </wp:positionH>
                <wp:positionV relativeFrom="margin">
                  <wp:posOffset>4676775</wp:posOffset>
                </wp:positionV>
                <wp:extent cx="2588260" cy="3357245"/>
                <wp:effectExtent l="0" t="0" r="21590" b="14605"/>
                <wp:wrapSquare wrapText="bothSides"/>
                <wp:docPr id="979522637" name="Text Box 1"/>
                <wp:cNvGraphicFramePr/>
                <a:graphic xmlns:a="http://schemas.openxmlformats.org/drawingml/2006/main">
                  <a:graphicData uri="http://schemas.microsoft.com/office/word/2010/wordprocessingShape">
                    <wps:wsp>
                      <wps:cNvSpPr txBox="1"/>
                      <wps:spPr bwMode="auto">
                        <a:xfrm>
                          <a:off x="0" y="0"/>
                          <a:ext cx="2588260" cy="3357245"/>
                        </a:xfrm>
                        <a:prstGeom prst="rect">
                          <a:avLst/>
                        </a:prstGeom>
                        <a:solidFill>
                          <a:schemeClr val="accent1">
                            <a:lumMod val="20000"/>
                            <a:lumOff val="80000"/>
                          </a:schemeClr>
                        </a:solidFill>
                        <a:ln w="9525">
                          <a:solidFill>
                            <a:schemeClr val="tx1"/>
                          </a:solidFill>
                          <a:miter lim="800000"/>
                          <a:headEnd/>
                          <a:tailEnd/>
                        </a:ln>
                      </wps:spPr>
                      <wps:txbx>
                        <w:txbxContent>
                          <w:p w14:paraId="5818BBAC" w14:textId="77777777" w:rsidR="00183CC0" w:rsidRDefault="00183CC0" w:rsidP="00183CC0">
                            <w:pPr>
                              <w:pStyle w:val="TextBoxTitle"/>
                            </w:pPr>
                            <w:r>
                              <w:t>Deep Energy Retrofits: A Key Strategy for Building Decarbonization</w:t>
                            </w:r>
                          </w:p>
                          <w:p w14:paraId="47E4A008" w14:textId="77777777" w:rsidR="00183CC0" w:rsidRPr="0066462E" w:rsidRDefault="00183CC0" w:rsidP="00183CC0">
                            <w:pPr>
                              <w:pStyle w:val="TextBoxText"/>
                            </w:pPr>
                            <w:r>
                              <w:t>The significant inventory of e</w:t>
                            </w:r>
                            <w:r w:rsidRPr="00932398">
                              <w:t xml:space="preserve">xisting </w:t>
                            </w:r>
                            <w:r>
                              <w:t xml:space="preserve">Massachusetts school </w:t>
                            </w:r>
                            <w:r w:rsidRPr="00932398">
                              <w:t>buildings present</w:t>
                            </w:r>
                            <w:r>
                              <w:t>s</w:t>
                            </w:r>
                            <w:r w:rsidRPr="00932398">
                              <w:t xml:space="preserve"> a much larger near-term </w:t>
                            </w:r>
                            <w:r>
                              <w:t xml:space="preserve">GHG </w:t>
                            </w:r>
                            <w:r w:rsidRPr="00932398">
                              <w:t xml:space="preserve">emissions reduction opportunity </w:t>
                            </w:r>
                            <w:r>
                              <w:t>than</w:t>
                            </w:r>
                            <w:r w:rsidRPr="00932398">
                              <w:t xml:space="preserve"> the relatively slow</w:t>
                            </w:r>
                            <w:r>
                              <w:t>er</w:t>
                            </w:r>
                            <w:r w:rsidRPr="00932398">
                              <w:t xml:space="preserve"> rate of new construction and modernization in most districts.</w:t>
                            </w:r>
                            <w:r>
                              <w:t xml:space="preserve"> </w:t>
                            </w:r>
                            <w:r w:rsidRPr="00932398">
                              <w:t xml:space="preserve">The comprehensive design process </w:t>
                            </w:r>
                            <w:r>
                              <w:t xml:space="preserve">associated with deep energy retrofits </w:t>
                            </w:r>
                            <w:r w:rsidRPr="00932398">
                              <w:t xml:space="preserve">allows districts to take a phased approach </w:t>
                            </w:r>
                            <w:r>
                              <w:t>to replacing and modernizing</w:t>
                            </w:r>
                            <w:r w:rsidRPr="00932398">
                              <w:t xml:space="preserve"> building systems over time</w:t>
                            </w:r>
                            <w:r>
                              <w:t xml:space="preserve"> to realize cumulative EUI reductions of </w:t>
                            </w:r>
                            <w:r w:rsidRPr="00932398">
                              <w:t>at least 40 percent</w:t>
                            </w:r>
                            <w:r>
                              <w:t>.</w:t>
                            </w:r>
                            <w:r w:rsidRPr="0093239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441FDE" id="_x0000_s1053" type="#_x0000_t202" style="position:absolute;margin-left:252pt;margin-top:368.25pt;width:203.8pt;height:264.3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" fillcolor="#dbe5f1 [660]" strokecolor="black [3213]">
                <v:textbox>
                  <w:txbxContent>
                    <w:p w14:paraId="5818BBAC" w14:textId="77777777" w:rsidR="00183CC0" w:rsidRDefault="00183CC0" w:rsidP="00183CC0">
                      <w:pPr>
                        <w:pStyle w:val="TextBoxTitle"/>
                      </w:pPr>
                      <w:r>
                        <w:t>Deep Energy Retrofits: A Key Strategy for Building Decarbonization</w:t>
                      </w:r>
                    </w:p>
                    <w:p w14:paraId="47E4A008" w14:textId="77777777" w:rsidR="00183CC0" w:rsidRPr="0066462E" w:rsidRDefault="00183CC0" w:rsidP="00183CC0">
                      <w:pPr>
                        <w:pStyle w:val="TextBoxText"/>
                      </w:pPr>
                      <w:r>
                        <w:t>The significant inventory of e</w:t>
                      </w:r>
                      <w:r w:rsidRPr="00932398">
                        <w:t xml:space="preserve">xisting </w:t>
                      </w:r>
                      <w:r>
                        <w:t xml:space="preserve">Massachusetts school </w:t>
                      </w:r>
                      <w:r w:rsidRPr="00932398">
                        <w:t>buildings present</w:t>
                      </w:r>
                      <w:r>
                        <w:t>s</w:t>
                      </w:r>
                      <w:r w:rsidRPr="00932398">
                        <w:t xml:space="preserve"> a much larger near-term </w:t>
                      </w:r>
                      <w:r>
                        <w:t xml:space="preserve">GHG </w:t>
                      </w:r>
                      <w:r w:rsidRPr="00932398">
                        <w:t xml:space="preserve">emissions reduction opportunity </w:t>
                      </w:r>
                      <w:r>
                        <w:t>than</w:t>
                      </w:r>
                      <w:r w:rsidRPr="00932398">
                        <w:t xml:space="preserve"> the relatively slow</w:t>
                      </w:r>
                      <w:r>
                        <w:t>er</w:t>
                      </w:r>
                      <w:r w:rsidRPr="00932398">
                        <w:t xml:space="preserve"> rate of new construction and modernization in most districts.</w:t>
                      </w:r>
                      <w:r>
                        <w:t xml:space="preserve"> </w:t>
                      </w:r>
                      <w:r w:rsidRPr="00932398">
                        <w:t xml:space="preserve">The comprehensive design process </w:t>
                      </w:r>
                      <w:r>
                        <w:t xml:space="preserve">associated with deep energy retrofits </w:t>
                      </w:r>
                      <w:r w:rsidRPr="00932398">
                        <w:t xml:space="preserve">allows districts to take a phased approach </w:t>
                      </w:r>
                      <w:r>
                        <w:t>to replacing and modernizing</w:t>
                      </w:r>
                      <w:r w:rsidRPr="00932398">
                        <w:t xml:space="preserve"> building systems over time</w:t>
                      </w:r>
                      <w:r>
                        <w:t xml:space="preserve"> to realize cumulative EUI reductions of </w:t>
                      </w:r>
                      <w:r w:rsidRPr="00932398">
                        <w:t>at least 40 percent</w:t>
                      </w:r>
                      <w:r>
                        <w:t>.</w:t>
                      </w:r>
                      <w:r w:rsidRPr="00932398">
                        <w:t xml:space="preserve"> </w:t>
                      </w:r>
                    </w:p>
                  </w:txbxContent>
                </v:textbox>
                <w10:wrap type="square" anchorx="margin" anchory="margin"/>
              </v:shape>
            </w:pict>
          </mc:Fallback>
        </mc:AlternateContent>
      </w:r>
      <w:r>
        <w:t>While both new construction and modernization projects decrease operational emissions, they differ in their relative embodied carbon intensities, which impacts a building’s overall carbon footprint. In this context, embodied carbon refers to the emissions generated during the resource extraction, manufacturing, transportation, replacement, and disposal of building materials. Construction projects result in a significant generation of emissions from embodied carbon, separate from the operational emissions that result from using a school over the building’s useful life. Reducing a project’s embodied carbon results in immediate climate mitigation benefits in the present. Modernization projects generally have lower embodied carbon intensities because they reuse structural components that include the majority of the high carbon intensity materials, like concrete and steel. Modernization projects also retain school resources in the existing community and require less land disturbance. The MSBA incentivizes building reuse with up to five points towards a selected project’s calculated reimbursement rate (see the Introduction section for additional details on this reimbursement rate formula). Modernization projects can, however, be challenging to execute because of the need to mitigate the exposure of occupied spaces to airborne pollutants generated by construction activities or to identify swing space to house school operations during the project that meets program, community, and environmental health requirements. New construction projects can use design strategies to mitigate their embodied carbon, including reducing the amount of concrete and steel used or procuring concrete and steel with lower embodied carbon intensities.</w:t>
      </w:r>
    </w:p>
    <w:p w14:paraId="51D7C45C" w14:textId="77777777" w:rsidR="00183CC0" w:rsidRDefault="00183CC0" w:rsidP="00183CC0">
      <w:pPr>
        <w:pStyle w:val="Heading5"/>
      </w:pPr>
      <w:r>
        <w:t>(5) Implement deep energy retrofits</w:t>
      </w:r>
    </w:p>
    <w:p w14:paraId="5D94E160" w14:textId="77777777" w:rsidR="00183CC0" w:rsidRDefault="00183CC0" w:rsidP="006D7DE6">
      <w:pPr>
        <w:pStyle w:val="BodyTextFirstIndent"/>
      </w:pPr>
      <w:r>
        <w:t xml:space="preserve">Deep energy retrofits achieve 40 percent or greater reductions in an existing building’s </w:t>
      </w:r>
      <w:r>
        <w:lastRenderedPageBreak/>
        <w:t xml:space="preserve">site EUI through a comprehensive design process that considers improvements to all building systems. </w:t>
      </w:r>
    </w:p>
    <w:p w14:paraId="3397058E" w14:textId="77777777" w:rsidR="00183CC0" w:rsidRDefault="00183CC0" w:rsidP="006D7DE6">
      <w:pPr>
        <w:pStyle w:val="BodyTextFirstIndent"/>
      </w:pPr>
      <w:r>
        <w:t>Deep energy retrofits can be achieved as part of a larger modernization project that also includes updates to finishes, school programming, site work, and other non-energy areas. Later sections address individual building systems and retrofit strategies in more detail.</w:t>
      </w:r>
    </w:p>
    <w:p w14:paraId="43BCDEB8" w14:textId="77777777" w:rsidR="00183CC0" w:rsidRDefault="00183CC0" w:rsidP="006D7DE6">
      <w:pPr>
        <w:pStyle w:val="BodyTextFirstIndent"/>
      </w:pPr>
      <w:r>
        <w:t>In addition to optimizing a building’s energy efficiency, deep energy retrofits also help enable the electrification of building heating systems. A critical step to efficient electrification is understanding a building’s heating requirements and identifying opportunities to reduce heating loads to more effectively maintain occupant comfort while right-sizing new, all-electric equipment. For example, designing a system based on the total capacity of all existing fan coil units (FCUs) in a building may result in a heating system size that is challenging to electrify cost-effectively. By looking at trend data for the actual heating load of all FCUs over a range of conditions, designers may find that all but the FCUs serving the coldest zones operate at 35 percent capacity. Thus, the central system capacity can be reduced while still providing supplemental heat to the coldest zones when needed.</w:t>
      </w:r>
    </w:p>
    <w:p w14:paraId="3FB91348" w14:textId="304F6966" w:rsidR="00183CC0" w:rsidRDefault="00183CC0" w:rsidP="006D7DE6">
      <w:pPr>
        <w:pStyle w:val="BodyTextFirstIndent"/>
      </w:pPr>
      <w:r>
        <w:rPr>
          <w:noProof/>
        </w:rPr>
        <w:t>Critically, gaining a better understanding of and reducing heating loads can lower supply hot water temperatures and expand the options of available, efficient, all-electric systems.</w:t>
      </w:r>
      <w:r>
        <w:rPr>
          <w:noProof/>
        </w:rPr>
        <w:fldChar w:fldCharType="begin"/>
      </w:r>
      <w:r w:rsidR="0038470D">
        <w:rPr>
          <w:noProof/>
        </w:rPr>
        <w:instrText xml:space="preserve"> ADDIN ZOTERO_ITEM CSL_CITATION {"citationID":"C1V1hSka","properties":{"formattedCitation":"\\super 175\\nosupersub{}","plainCitation":"175","noteIndex":0},"citationItems":[{"id":116,"uris":["http://zotero.org/groups/5563646/items/M32DIFVD"],"itemData":{"id":116,"type":"report","language":"en","note":"DOI: 10.2172/1832100","number":"DOE/EE-2525, 1832100, 8805","page":"DOE/EE-2525, 1832100, 8805","source":"DOI.org (Crossref)","title":"Decarbonizing HVAC and Water Heating in Commercial Buildings","URL":"https://www.osti.gov/servlets/purl/1832100/","author":[{"family":"None","given":"None"}],"accessed":{"date-parts":[["2024",6,14]]},"issued":{"date-parts":[["2021",11,11]]}}}],"schema":"https://github.com/citation-style-language/schema/raw/master/csl-citation.json"} </w:instrText>
      </w:r>
      <w:r>
        <w:rPr>
          <w:noProof/>
        </w:rPr>
        <w:fldChar w:fldCharType="separate"/>
      </w:r>
      <w:r w:rsidR="0038470D" w:rsidRPr="0038470D">
        <w:rPr>
          <w:rFonts w:cs="Arial"/>
          <w:vertAlign w:val="superscript"/>
        </w:rPr>
        <w:t>175</w:t>
      </w:r>
      <w:r>
        <w:rPr>
          <w:noProof/>
        </w:rPr>
        <w:fldChar w:fldCharType="end"/>
      </w:r>
    </w:p>
    <w:p w14:paraId="3A259436" w14:textId="77777777" w:rsidR="00183CC0" w:rsidRDefault="00183CC0" w:rsidP="00183CC0">
      <w:pPr>
        <w:pStyle w:val="Heading5"/>
      </w:pPr>
      <w:r>
        <w:t>(6) Improve building envelopes</w:t>
      </w:r>
    </w:p>
    <w:p w14:paraId="4EB3BA67" w14:textId="1668512E" w:rsidR="00183CC0" w:rsidRPr="009751CB" w:rsidRDefault="00183CC0" w:rsidP="006D7DE6">
      <w:pPr>
        <w:pStyle w:val="BodyTextFirstIndent"/>
        <w:rPr>
          <w:b/>
          <w:bCs/>
        </w:rPr>
      </w:pPr>
      <w:r>
        <w:t>The building envelope refers to the windows, walls, and roofs that provide a barrier between indoor and outdoor spaces and accounts for approximately 30 percent of the primary energy consumed in typical commercial buildings.</w:t>
      </w:r>
      <w:r>
        <w:fldChar w:fldCharType="begin"/>
      </w:r>
      <w:r w:rsidR="001A29C5">
        <w:instrText xml:space="preserve"> ADDIN ZOTERO_ITEM CSL_CITATION {"citationID":"NNSj6VNh","properties":{"formattedCitation":"\\super 176\\nosupersub{}","plainCitation":"176","noteIndex":0},"citationItems":[{"id":117,"uris":["http://zotero.org/groups/5563646/items/TQWNWSDK"],"itemData":{"id":117,"type":"webpage","title":"Building Envelope Campaign | Better Buildings Initiative","URL":"https://betterbuildingssolutioncenter.energy.gov/alliance/technology-campaigns/building-envelope-campaign","accessed":{"date-parts":[["2024",6,14]]}}}],"schema":"https://github.com/citation-style-language/schema/raw/master/csl-citation.json"} </w:instrText>
      </w:r>
      <w:r>
        <w:fldChar w:fldCharType="separate"/>
      </w:r>
      <w:r w:rsidR="001A29C5" w:rsidRPr="001A29C5">
        <w:rPr>
          <w:rFonts w:cs="Arial"/>
          <w:vertAlign w:val="superscript"/>
        </w:rPr>
        <w:t>176</w:t>
      </w:r>
      <w:r>
        <w:fldChar w:fldCharType="end"/>
      </w:r>
      <w:r>
        <w:t xml:space="preserve"> Improving the building envelope can reduce the building’s overall heating and cooling loads, reducing the necessary size and cost of the HVAC system. For example, a Virginia elementary school invested an additional $200,000 in the school’s envelope, resulting in savings of about $500,000 in HVAC first costs.</w:t>
      </w:r>
      <w:r>
        <w:fldChar w:fldCharType="begin"/>
      </w:r>
      <w:r w:rsidR="005173D6">
        <w:instrText xml:space="preserve"> ADDIN ZOTERO_ITEM CSL_CITATION {"citationID":"Pb898ESV","properties":{"formattedCitation":"\\super 43\\nosupersub{}","plainCitation":"43","noteIndex":0},"citationItems":[{"id":131,"uris":["http://zotero.org/groups/5563646/items/ZHJSI26R"],"itemData":{"id":131,"type":"report","language":"en","note":"DOI: 10.2172/1837979","number":"NREL/TP-5500-80766, 1837979, MainId:77550","page":"NREL/TP-5500-80766, 1837979, MainId:77550","source":"DOI.org (Crossref)","title":"Affordable Zero Energy K-12 Schools: The Cost Barrier Illusion","title-short":"Affordable Zero Energy K-12 Schools","URL":"https://www.osti.gov/servlets/purl/1837979/","author":[{"family":"Torcellini","given":"Paul"},{"family":"Zaleski","given":"Sarah"},{"family":"McIntyre","given":"Maureen"}],"accessed":{"date-parts":[["2024",6,13]]},"issued":{"date-parts":[["2021",12,22]]}}}],"schema":"https://github.com/citation-style-language/schema/raw/master/csl-citation.json"} </w:instrText>
      </w:r>
      <w:r>
        <w:fldChar w:fldCharType="separate"/>
      </w:r>
      <w:r w:rsidR="005173D6" w:rsidRPr="005173D6">
        <w:rPr>
          <w:rFonts w:cs="Arial"/>
          <w:vertAlign w:val="superscript"/>
        </w:rPr>
        <w:t>43</w:t>
      </w:r>
      <w:r>
        <w:fldChar w:fldCharType="end"/>
      </w:r>
      <w:r>
        <w:t xml:space="preserve"> Building envelopes serve the following purposes:</w:t>
      </w:r>
    </w:p>
    <w:p w14:paraId="6002D2A3" w14:textId="2406D111" w:rsidR="00183CC0" w:rsidRDefault="00183CC0" w:rsidP="008131EB">
      <w:pPr>
        <w:pStyle w:val="ListBullet"/>
      </w:pPr>
      <w:r w:rsidRPr="00F768DB">
        <w:rPr>
          <w:b/>
          <w:bCs/>
        </w:rPr>
        <w:t>Maintain thermal comfort</w:t>
      </w:r>
      <w:r>
        <w:rPr>
          <w:b/>
          <w:bCs/>
        </w:rPr>
        <w:t xml:space="preserve"> </w:t>
      </w:r>
      <w:r w:rsidRPr="00F768DB">
        <w:t>by</w:t>
      </w:r>
      <w:r>
        <w:t xml:space="preserve"> reducing radiant heat and drafts. In the case of a power outage, a well-designed envelope can help a building maintain indoor temperatures over a more extended period; this is referred to as “passive survivability.” With lower heating and cooling loads, it is increasingly important to </w:t>
      </w:r>
      <w:r w:rsidR="00AC5CFD">
        <w:t>confirm</w:t>
      </w:r>
      <w:r>
        <w:t xml:space="preserve"> that sufficient ventilation is provided to all spaces. See Goal 2: Achieve Healthy Schools, Objective 2c. Maintain Thermal Comfort for additional details.</w:t>
      </w:r>
    </w:p>
    <w:p w14:paraId="6757B385" w14:textId="3AA59384" w:rsidR="00183CC0" w:rsidRDefault="00183CC0" w:rsidP="008131EB">
      <w:pPr>
        <w:pStyle w:val="ListBullet"/>
      </w:pPr>
      <w:r>
        <w:rPr>
          <w:b/>
          <w:bCs/>
        </w:rPr>
        <w:t>A</w:t>
      </w:r>
      <w:r w:rsidRPr="00D67B4D">
        <w:rPr>
          <w:b/>
          <w:bCs/>
        </w:rPr>
        <w:t>ir and vapor barrier</w:t>
      </w:r>
      <w:r>
        <w:rPr>
          <w:b/>
          <w:bCs/>
        </w:rPr>
        <w:t>s</w:t>
      </w:r>
      <w:r>
        <w:t xml:space="preserve"> maintain indoor air quality (IAQ) and appropriate humidity levels and prevent moisture damage to building materials. Tighter envelopes allow the HVAC system to </w:t>
      </w:r>
      <w:r w:rsidR="00FB75FC">
        <w:t>supply</w:t>
      </w:r>
      <w:r>
        <w:t xml:space="preserve"> only filtered and conditioned outdoor air, addressing the concern of outdoor air pollutants resulting in degraded IAQ (see the </w:t>
      </w:r>
      <w:hyperlink w:anchor="RedExp_OutdoorAirPol" w:history="1">
        <w:r w:rsidRPr="009D09A1">
          <w:rPr>
            <w:rStyle w:val="Hyperlink"/>
          </w:rPr>
          <w:t>Reduced Exposure to Outdoor Air Pollutants</w:t>
        </w:r>
      </w:hyperlink>
      <w:r>
        <w:t xml:space="preserve"> section for more details), as well as minimizing excess moisture, which can lead to mold growth, a known allergen and asthma trigger. </w:t>
      </w:r>
    </w:p>
    <w:p w14:paraId="2A8EDC45" w14:textId="77777777" w:rsidR="00183CC0" w:rsidRPr="00171F5C" w:rsidRDefault="00183CC0" w:rsidP="008131EB">
      <w:pPr>
        <w:pStyle w:val="ListBullet"/>
        <w:rPr>
          <w:b/>
          <w:bCs/>
        </w:rPr>
      </w:pPr>
      <w:r>
        <w:rPr>
          <w:noProof/>
        </w:rPr>
        <w:lastRenderedPageBreak/>
        <mc:AlternateContent>
          <mc:Choice Requires="wps">
            <w:drawing>
              <wp:anchor distT="0" distB="0" distL="114300" distR="114300" simplePos="0" relativeHeight="251672064" behindDoc="0" locked="0" layoutInCell="1" allowOverlap="1" wp14:anchorId="26E24A8B" wp14:editId="52528E76">
                <wp:simplePos x="0" y="0"/>
                <wp:positionH relativeFrom="margin">
                  <wp:align>right</wp:align>
                </wp:positionH>
                <wp:positionV relativeFrom="paragraph">
                  <wp:posOffset>9525</wp:posOffset>
                </wp:positionV>
                <wp:extent cx="3086100" cy="30670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067050"/>
                        </a:xfrm>
                        <a:prstGeom prst="rect">
                          <a:avLst/>
                        </a:prstGeom>
                        <a:solidFill>
                          <a:srgbClr val="DCE6F2"/>
                        </a:solidFill>
                        <a:ln w="9525">
                          <a:solidFill>
                            <a:srgbClr val="000000"/>
                          </a:solidFill>
                          <a:miter lim="800000"/>
                          <a:headEnd/>
                          <a:tailEnd/>
                        </a:ln>
                      </wps:spPr>
                      <wps:txbx>
                        <w:txbxContent>
                          <w:p w14:paraId="28DC37FC" w14:textId="77777777" w:rsidR="00183CC0" w:rsidRDefault="00183CC0" w:rsidP="00183CC0">
                            <w:pPr>
                              <w:pStyle w:val="TextBoxTitle"/>
                            </w:pPr>
                            <w:r>
                              <w:t>Improving Building Envelopes Through Weatherization</w:t>
                            </w:r>
                          </w:p>
                          <w:p w14:paraId="235C99A9" w14:textId="4C0CDBC5" w:rsidR="00183CC0" w:rsidRPr="00D316F6" w:rsidRDefault="00183CC0" w:rsidP="00183CC0">
                            <w:pPr>
                              <w:pStyle w:val="TextBoxText"/>
                            </w:pPr>
                            <w:r w:rsidRPr="00D316F6">
                              <w:t>Weatherization is the process of improving the building envelope and systems</w:t>
                            </w:r>
                            <w:r w:rsidR="008131EB">
                              <w:t>; it</w:t>
                            </w:r>
                            <w:r w:rsidRPr="00D316F6">
                              <w:t xml:space="preserve"> includes </w:t>
                            </w:r>
                            <w:r>
                              <w:t>numerous</w:t>
                            </w:r>
                            <w:r w:rsidRPr="00D316F6">
                              <w:t xml:space="preserve"> strategies for existing buildings to improve air sealing, add insulation, and control moisture. Strategies vary in cost and level of disruption based on the types of envelope assemblies present at a given school. Some building types, such as mass masonry buildings that are common in </w:t>
                            </w:r>
                            <w:r>
                              <w:t>older</w:t>
                            </w:r>
                            <w:r w:rsidRPr="00D316F6">
                              <w:t xml:space="preserve"> buildings, may require more comprehensive envelope retrofits to achieve modern performance. A common envelope retrofit is adding insulation as part of reroofing projects.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6E24A8B" id="_x0000_s1054" type="#_x0000_t202" style="position:absolute;left:0;text-align:left;margin-left:191.8pt;margin-top:.75pt;width:243pt;height:241.5pt;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" fillcolor="#dce6f2">
                <v:textbox>
                  <w:txbxContent>
                    <w:p w14:paraId="28DC37FC" w14:textId="77777777" w:rsidR="00183CC0" w:rsidRDefault="00183CC0" w:rsidP="00183CC0">
                      <w:pPr>
                        <w:pStyle w:val="TextBoxTitle"/>
                      </w:pPr>
                      <w:r>
                        <w:t>Improving Building Envelopes Through Weatherization</w:t>
                      </w:r>
                    </w:p>
                    <w:p w14:paraId="235C99A9" w14:textId="4C0CDBC5" w:rsidR="00183CC0" w:rsidRPr="00D316F6" w:rsidRDefault="00183CC0" w:rsidP="00183CC0">
                      <w:pPr>
                        <w:pStyle w:val="TextBoxText"/>
                      </w:pPr>
                      <w:r w:rsidRPr="00D316F6">
                        <w:t>Weatherization is the process of improving the building envelope and systems</w:t>
                      </w:r>
                      <w:r w:rsidR="008131EB">
                        <w:t>; it</w:t>
                      </w:r>
                      <w:r w:rsidRPr="00D316F6">
                        <w:t xml:space="preserve"> includes </w:t>
                      </w:r>
                      <w:r>
                        <w:t>numerous</w:t>
                      </w:r>
                      <w:r w:rsidRPr="00D316F6">
                        <w:t xml:space="preserve"> strategies for existing buildings to improve air sealing, add insulation, and control moisture. Strategies vary in cost and level of disruption based on the types of envelope assemblies present at a given school. Some building types, such as mass masonry buildings that are common in </w:t>
                      </w:r>
                      <w:r>
                        <w:t>older</w:t>
                      </w:r>
                      <w:r w:rsidRPr="00D316F6">
                        <w:t xml:space="preserve"> buildings, may require more comprehensive envelope retrofits to achieve modern performance. A common envelope retrofit is adding insulation as part of reroofing projects. </w:t>
                      </w:r>
                    </w:p>
                  </w:txbxContent>
                </v:textbox>
                <w10:wrap type="square" anchorx="margin"/>
              </v:shape>
            </w:pict>
          </mc:Fallback>
        </mc:AlternateContent>
      </w:r>
      <w:r w:rsidRPr="00171F5C">
        <w:rPr>
          <w:b/>
          <w:bCs/>
        </w:rPr>
        <w:t>Insulati</w:t>
      </w:r>
      <w:r>
        <w:rPr>
          <w:b/>
          <w:bCs/>
        </w:rPr>
        <w:t>on and removal of thermal bridges</w:t>
      </w:r>
      <w:r>
        <w:t xml:space="preserve"> separate interior conditions from exterior conditions for both temperature and sound attenuation.</w:t>
      </w:r>
    </w:p>
    <w:p w14:paraId="45A50C92" w14:textId="77777777" w:rsidR="00183CC0" w:rsidRDefault="00183CC0" w:rsidP="008131EB">
      <w:pPr>
        <w:pStyle w:val="ListBullet"/>
      </w:pPr>
      <w:r>
        <w:rPr>
          <w:b/>
          <w:bCs/>
        </w:rPr>
        <w:t>The w</w:t>
      </w:r>
      <w:r w:rsidRPr="00EC51AC">
        <w:rPr>
          <w:b/>
          <w:bCs/>
        </w:rPr>
        <w:t>indow</w:t>
      </w:r>
      <w:r>
        <w:rPr>
          <w:b/>
          <w:bCs/>
        </w:rPr>
        <w:t>-</w:t>
      </w:r>
      <w:r w:rsidRPr="00EC51AC">
        <w:rPr>
          <w:b/>
          <w:bCs/>
        </w:rPr>
        <w:t>to</w:t>
      </w:r>
      <w:r>
        <w:rPr>
          <w:b/>
          <w:bCs/>
        </w:rPr>
        <w:t>-</w:t>
      </w:r>
      <w:r w:rsidRPr="00EC51AC">
        <w:rPr>
          <w:b/>
          <w:bCs/>
        </w:rPr>
        <w:t>wall ratio</w:t>
      </w:r>
      <w:r>
        <w:t xml:space="preserve"> is a measure of the relative prevalence of windows in the envelope and is used to balance the benefits of daylighting with the low insulating value of windows as compared to walls. Operable windows can offer natural ventilation.</w:t>
      </w:r>
    </w:p>
    <w:p w14:paraId="67E01E25" w14:textId="77777777" w:rsidR="00183CC0" w:rsidRDefault="00183CC0" w:rsidP="008131EB">
      <w:pPr>
        <w:pStyle w:val="ListBullet"/>
      </w:pPr>
      <w:r>
        <w:t xml:space="preserve">The envelope is the </w:t>
      </w:r>
      <w:r w:rsidRPr="00786222">
        <w:rPr>
          <w:b/>
          <w:bCs/>
        </w:rPr>
        <w:t>primary visual interest</w:t>
      </w:r>
      <w:r>
        <w:t xml:space="preserve"> that the school community and general public interact with. </w:t>
      </w:r>
    </w:p>
    <w:p w14:paraId="1BF15ADE" w14:textId="77777777" w:rsidR="00183CC0" w:rsidRDefault="00183CC0" w:rsidP="00183CC0">
      <w:pPr>
        <w:pStyle w:val="Heading5"/>
      </w:pPr>
      <w:r>
        <w:t>(7) Optimize and electrify component retrofits</w:t>
      </w:r>
    </w:p>
    <w:p w14:paraId="1537BFEE" w14:textId="33784083" w:rsidR="00183CC0" w:rsidRDefault="00183CC0" w:rsidP="006D7DE6">
      <w:pPr>
        <w:pStyle w:val="BodyTextFirstIndent"/>
      </w:pPr>
      <w:r>
        <w:t xml:space="preserve">Component retrofits refer to the replacement of individual pieces of equipment, some of which may be part of a larger system, or equipment that operates independently of a central plant. In all retrofits, schools should strive to improve upon energy efficiency and electrify any existing components that currently combust fossil fuel. DOE’s </w:t>
      </w:r>
      <w:hyperlink r:id="rId168" w:history="1">
        <w:r w:rsidRPr="00A431E1">
          <w:rPr>
            <w:rStyle w:val="Hyperlink"/>
            <w:i/>
            <w:iCs/>
          </w:rPr>
          <w:t>Decarbonizing HVAC and Water Heating in Commercial Buildings</w:t>
        </w:r>
      </w:hyperlink>
      <w:r>
        <w:t xml:space="preserve"> provides building owners and facilities engineers with a valuable resource when conducting the technical, economic, and feasibility assessment for converting to all-electric solutions.</w:t>
      </w:r>
      <w:r>
        <w:fldChar w:fldCharType="begin"/>
      </w:r>
      <w:r w:rsidR="00EE78A8">
        <w:instrText xml:space="preserve"> ADDIN ZOTERO_ITEM CSL_CITATION {"citationID":"lCz94E8k","properties":{"formattedCitation":"\\super 175\\nosupersub{}","plainCitation":"175","noteIndex":0},"citationItems":[{"id":116,"uris":["http://zotero.org/groups/5563646/items/M32DIFVD"],"itemData":{"id":116,"type":"report","language":"en","note":"DOI: 10.2172/1832100","number":"DOE/EE-2525, 1832100, 8805","page":"DOE/EE-2525, 1832100, 8805","source":"DOI.org (Crossref)","title":"Decarbonizing HVAC and Water Heating in Commercial Buildings","URL":"https://www.osti.gov/servlets/purl/1832100/","author":[{"family":"None","given":"None"}],"accessed":{"date-parts":[["2024",6,14]]},"issued":{"date-parts":[["2021",11,11]]}}}],"schema":"https://github.com/citation-style-language/schema/raw/master/csl-citation.json"} </w:instrText>
      </w:r>
      <w:r>
        <w:fldChar w:fldCharType="separate"/>
      </w:r>
      <w:r w:rsidR="00EE78A8" w:rsidRPr="00EE78A8">
        <w:rPr>
          <w:rFonts w:cs="Arial"/>
          <w:vertAlign w:val="superscript"/>
        </w:rPr>
        <w:t>175</w:t>
      </w:r>
      <w:r>
        <w:fldChar w:fldCharType="end"/>
      </w:r>
      <w:r>
        <w:t xml:space="preserve"> The DOE report demonstrates how building owners can retrofit a variety of existing system types to alternative systems that rely on electric heat pump (HP) technology. These systems are often classified by their heat source (e.g., air-, water-, and ground-source) and thermal distribution method in the building (e.g., air for packaged rooftop units, water for hydronic heat pumps, and refrigerant for variable refrigerant flow solutions). Examples of component retrofits are outlined below.</w:t>
      </w:r>
    </w:p>
    <w:p w14:paraId="16CAD9AA" w14:textId="35E632A3" w:rsidR="00183CC0" w:rsidRDefault="00183CC0" w:rsidP="008131EB">
      <w:pPr>
        <w:pStyle w:val="ListBullet"/>
      </w:pPr>
      <w:r w:rsidRPr="653D8BA2">
        <w:rPr>
          <w:b/>
          <w:bCs/>
        </w:rPr>
        <w:t>Rooftop units (RTU</w:t>
      </w:r>
      <w:r>
        <w:rPr>
          <w:b/>
          <w:bCs/>
        </w:rPr>
        <w:t>s</w:t>
      </w:r>
      <w:r w:rsidRPr="653D8BA2">
        <w:rPr>
          <w:b/>
          <w:bCs/>
        </w:rPr>
        <w:t xml:space="preserve">) </w:t>
      </w:r>
      <w:r>
        <w:t xml:space="preserve">are individual pieces of equipment that are often used to provide heating and cooling to large open spaces, including a school’s gymnasium, cafeteria, auditorium, and library. Conventional RTUs that combust fossil fuel (typically natural gas) to provide space heating can often be replaced in-kind by a HP RTU that uses the existing electrical service to provide both heating and cooling. Furthermore, if there is an existing supply line for natural gas, a school can </w:t>
      </w:r>
      <w:r w:rsidR="00834DE4">
        <w:t>use</w:t>
      </w:r>
      <w:r>
        <w:t xml:space="preserve"> this natural gas service to provide second-stage heating to supplement heating from the HP RTU on the coldest days. This can result in greater than 80 percent electrification of heating for the given zone. The retrofit project requires a crane to move equipment to and from the roof and can be completed during school breaks. </w:t>
      </w:r>
    </w:p>
    <w:p w14:paraId="7F0D1E2E" w14:textId="77777777" w:rsidR="00183CC0" w:rsidRDefault="00183CC0" w:rsidP="008131EB">
      <w:pPr>
        <w:pStyle w:val="ListBullet"/>
      </w:pPr>
      <w:r>
        <w:rPr>
          <w:b/>
          <w:bCs/>
        </w:rPr>
        <w:lastRenderedPageBreak/>
        <w:t>Water heaters</w:t>
      </w:r>
      <w:r>
        <w:t xml:space="preserve"> provide domestic hot water for small applications such as bathrooms and locker rooms. Heat pump water heaters (HPWHs) are available in sizes ranging from 40 to 120 gallons and some available models can operate using a standard 110V wall outlet, reducing the need for electrical work ahead of the installation. HPWHs extract heat from the air in the room in which they are located, which has the added benefit of dehumidifying the room.</w:t>
      </w:r>
    </w:p>
    <w:p w14:paraId="354BB93B" w14:textId="03439766" w:rsidR="00183CC0" w:rsidRPr="00257319" w:rsidRDefault="00183CC0" w:rsidP="008131EB">
      <w:pPr>
        <w:pStyle w:val="ListBullet"/>
        <w:rPr>
          <w:b/>
          <w:bCs/>
        </w:rPr>
      </w:pPr>
      <w:r w:rsidRPr="653D8BA2">
        <w:rPr>
          <w:b/>
          <w:bCs/>
        </w:rPr>
        <w:t xml:space="preserve">Lighting retrofits </w:t>
      </w:r>
      <w:r>
        <w:t xml:space="preserve">frequently install </w:t>
      </w:r>
      <w:r w:rsidR="00385A1B">
        <w:t>LED</w:t>
      </w:r>
      <w:r>
        <w:t xml:space="preserve"> fixtures in existing fluorescent lighting troffers and in space types where the existing lighting fixture may need to be replaced (gymnasiums, outdoor site lighting). Schools should consider keeping lighting controls simple so that untrained users can quickly and easily use them.</w:t>
      </w:r>
      <w:r>
        <w:fldChar w:fldCharType="begin"/>
      </w:r>
      <w:r w:rsidR="00E37435">
        <w:instrText xml:space="preserve"> ADDIN ZOTERO_ITEM CSL_CITATION {"citationID":"h0A4kdOD","properties":{"formattedCitation":"\\super 177\\nosupersub{}","plainCitation":"177","noteIndex":0},"citationItems":[{"id":231,"uris":["http://zotero.org/groups/5563646/items/RRJ5HQZI"],"itemData":{"id":231,"type":"webpage","title":"K-12 Lighting Toolkit | Better Buildings Initiative","URL":"https://betterbuildingssolutioncenter.energy.gov/k-12-lighting-toolkit","accessed":{"date-parts":[["2024",6,19]]}}}],"schema":"https://github.com/citation-style-language/schema/raw/master/csl-citation.json"} </w:instrText>
      </w:r>
      <w:r>
        <w:fldChar w:fldCharType="separate"/>
      </w:r>
      <w:r w:rsidR="00E37435" w:rsidRPr="00E37435">
        <w:rPr>
          <w:rFonts w:ascii="Calibri" w:hAnsi="Calibri" w:cs="Calibri"/>
          <w:vertAlign w:val="superscript"/>
        </w:rPr>
        <w:t>177</w:t>
      </w:r>
      <w:r>
        <w:fldChar w:fldCharType="end"/>
      </w:r>
      <w:r>
        <w:t xml:space="preserve"> Lighting retrofits often provide quick financial paybacks, making them a good candidate to bundle with other ERMs to improve overall project economics. Existing </w:t>
      </w:r>
      <w:r w:rsidR="008131EB">
        <w:t>FLBs</w:t>
      </w:r>
      <w:r>
        <w:t xml:space="preserve"> that contain PCBs should be properly handled and disposed of as part of a retrofit. See Goal 2: Achieve Healthy Schools, Objective 2a. Improve Indoor Air Quality for additional details about reducing exposure to PCBs.</w:t>
      </w:r>
    </w:p>
    <w:p w14:paraId="350DE347" w14:textId="77777777" w:rsidR="00183CC0" w:rsidRPr="00257319" w:rsidRDefault="00183CC0" w:rsidP="006D7DE6">
      <w:pPr>
        <w:pStyle w:val="BodyTextFirstIndent"/>
      </w:pPr>
      <w:r>
        <w:rPr>
          <w:noProof/>
        </w:rPr>
        <mc:AlternateContent>
          <mc:Choice Requires="wps">
            <w:drawing>
              <wp:inline distT="0" distB="0" distL="0" distR="0" wp14:anchorId="44302826" wp14:editId="5FB09FEA">
                <wp:extent cx="5867400" cy="3347500"/>
                <wp:effectExtent l="0" t="0" r="19050" b="24765"/>
                <wp:docPr id="1660318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347500"/>
                        </a:xfrm>
                        <a:prstGeom prst="rect">
                          <a:avLst/>
                        </a:prstGeom>
                        <a:solidFill>
                          <a:srgbClr val="DCE6F2"/>
                        </a:solidFill>
                        <a:ln w="9525">
                          <a:solidFill>
                            <a:srgbClr val="000000"/>
                          </a:solidFill>
                          <a:miter lim="800000"/>
                          <a:headEnd/>
                          <a:tailEnd/>
                        </a:ln>
                      </wps:spPr>
                      <wps:txbx>
                        <w:txbxContent>
                          <w:p w14:paraId="327FBD70" w14:textId="77777777" w:rsidR="00183CC0" w:rsidRDefault="00183CC0" w:rsidP="00183CC0">
                            <w:pPr>
                              <w:pStyle w:val="TextBoxTitle"/>
                            </w:pPr>
                            <w:r>
                              <w:t>Realizing Indoor Air Quality Co-benefits</w:t>
                            </w:r>
                          </w:p>
                          <w:p w14:paraId="699351BE" w14:textId="77777777" w:rsidR="00183CC0" w:rsidRPr="00B86AA7" w:rsidRDefault="00183CC0" w:rsidP="00183CC0">
                            <w:pPr>
                              <w:pStyle w:val="TextBoxText"/>
                            </w:pPr>
                            <w:r w:rsidRPr="00B86AA7">
                              <w:t>Updated HVAC equipment</w:t>
                            </w:r>
                            <w:r>
                              <w:t xml:space="preserve"> (e.g., RTUs)</w:t>
                            </w:r>
                            <w:r w:rsidRPr="00B86AA7">
                              <w:t xml:space="preserve"> can provide </w:t>
                            </w:r>
                            <w:r>
                              <w:t>numerous</w:t>
                            </w:r>
                            <w:r w:rsidRPr="00B86AA7">
                              <w:t xml:space="preserve"> </w:t>
                            </w:r>
                            <w:r>
                              <w:t xml:space="preserve">IAQ </w:t>
                            </w:r>
                            <w:r w:rsidRPr="00B86AA7">
                              <w:t>co-benefits, including:</w:t>
                            </w:r>
                          </w:p>
                          <w:p w14:paraId="53B3E0FB" w14:textId="77777777" w:rsidR="00183CC0" w:rsidRDefault="00183CC0" w:rsidP="00183CC0">
                            <w:pPr>
                              <w:pStyle w:val="TextBoxText"/>
                            </w:pPr>
                          </w:p>
                          <w:p w14:paraId="36CAD9CC" w14:textId="21852BFB" w:rsidR="00183CC0" w:rsidRDefault="00183CC0" w:rsidP="00183CC0">
                            <w:pPr>
                              <w:pStyle w:val="TextBoxText"/>
                              <w:numPr>
                                <w:ilvl w:val="0"/>
                                <w:numId w:val="19"/>
                              </w:numPr>
                            </w:pPr>
                            <w:r>
                              <w:t>The installation of a</w:t>
                            </w:r>
                            <w:r w:rsidRPr="00F36555">
                              <w:t xml:space="preserve">ir filters that have a minimum efficiency reporting value (MERV) </w:t>
                            </w:r>
                            <w:r w:rsidR="008131EB">
                              <w:t xml:space="preserve">of </w:t>
                            </w:r>
                            <w:r w:rsidRPr="00F36555">
                              <w:t>13 or higher.</w:t>
                            </w:r>
                          </w:p>
                          <w:p w14:paraId="1F122E12" w14:textId="77777777" w:rsidR="00183CC0" w:rsidRDefault="00183CC0" w:rsidP="00183CC0">
                            <w:pPr>
                              <w:pStyle w:val="TextBoxText"/>
                              <w:numPr>
                                <w:ilvl w:val="0"/>
                                <w:numId w:val="19"/>
                              </w:numPr>
                            </w:pPr>
                            <w:r>
                              <w:t>The use of d</w:t>
                            </w:r>
                            <w:r w:rsidRPr="00F36555">
                              <w:t xml:space="preserve">emand control ventilation increases ventilation rates when a setpoint (e.g., 800 parts per million </w:t>
                            </w:r>
                            <w:r>
                              <w:t>[</w:t>
                            </w:r>
                            <w:r w:rsidRPr="00F36555">
                              <w:t>ppm</w:t>
                            </w:r>
                            <w:r>
                              <w:t>]</w:t>
                            </w:r>
                            <w:r w:rsidRPr="00F36555">
                              <w:t xml:space="preserve"> carbon dioxide) is reached. This ensures that both a crowded gymnasium with high school </w:t>
                            </w:r>
                            <w:r>
                              <w:t>physical education</w:t>
                            </w:r>
                            <w:r w:rsidRPr="00F36555">
                              <w:t xml:space="preserve"> classes and an elementary school library are appropriately ventilated based on occupancy levels and activity types.</w:t>
                            </w:r>
                          </w:p>
                          <w:p w14:paraId="177E1C8B" w14:textId="60823124" w:rsidR="00183CC0" w:rsidRPr="00F36555" w:rsidRDefault="00183CC0" w:rsidP="00183CC0">
                            <w:pPr>
                              <w:pStyle w:val="TextBoxText"/>
                              <w:numPr>
                                <w:ilvl w:val="0"/>
                                <w:numId w:val="19"/>
                              </w:numPr>
                            </w:pPr>
                            <w:r>
                              <w:t xml:space="preserve">The installation and use of </w:t>
                            </w:r>
                            <w:r w:rsidRPr="00F36555">
                              <w:t xml:space="preserve">carbon dioxide, carbon monoxide, and </w:t>
                            </w:r>
                            <w:r>
                              <w:t>PM</w:t>
                            </w:r>
                            <w:r w:rsidRPr="00F36555">
                              <w:t xml:space="preserve"> sensors </w:t>
                            </w:r>
                            <w:r>
                              <w:t>that can help building engineers monitor and quickly resolve any identified air quality issues</w:t>
                            </w:r>
                            <w:r w:rsidRPr="00F36555">
                              <w:t>.</w:t>
                            </w:r>
                            <w:r>
                              <w:t xml:space="preserve"> See the </w:t>
                            </w:r>
                            <w:hyperlink w:anchor="ReduceExposure_Mold" w:history="1">
                              <w:r w:rsidRPr="006E7DEA">
                                <w:rPr>
                                  <w:rStyle w:val="Hyperlink"/>
                                </w:rPr>
                                <w:t>Reduce Exposure to Mold and Moisture</w:t>
                              </w:r>
                            </w:hyperlink>
                            <w:r>
                              <w:t xml:space="preserve"> section for additional details about the use of sensor technology to monitor IAQ parameters.</w:t>
                            </w:r>
                          </w:p>
                          <w:p w14:paraId="5C19B638" w14:textId="77777777" w:rsidR="00183CC0" w:rsidRPr="00B86AA7" w:rsidRDefault="00183CC0" w:rsidP="00183CC0">
                            <w:pPr>
                              <w:rPr>
                                <w:rFonts w:ascii="Arial" w:hAnsi="Arial" w:cs="Arial"/>
                                <w:szCs w:val="22"/>
                              </w:rPr>
                            </w:pPr>
                          </w:p>
                        </w:txbxContent>
                      </wps:txbx>
                      <wps:bodyPr rot="0" vert="horz" wrap="square" lIns="91440" tIns="45720" rIns="91440" bIns="45720" anchor="t" anchorCtr="0">
                        <a:noAutofit/>
                      </wps:bodyPr>
                    </wps:wsp>
                  </a:graphicData>
                </a:graphic>
              </wp:inline>
            </w:drawing>
          </mc:Choice>
          <mc:Fallback>
            <w:pict>
              <v:shape w14:anchorId="44302826" id="_x0000_s1055" type="#_x0000_t202" style="width:462pt;height:2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" fillcolor="#dce6f2">
                <v:textbox>
                  <w:txbxContent>
                    <w:p w14:paraId="327FBD70" w14:textId="77777777" w:rsidR="00183CC0" w:rsidRDefault="00183CC0" w:rsidP="00183CC0">
                      <w:pPr>
                        <w:pStyle w:val="TextBoxTitle"/>
                      </w:pPr>
                      <w:r>
                        <w:t>Realizing Indoor Air Quality Co-benefits</w:t>
                      </w:r>
                    </w:p>
                    <w:p w14:paraId="699351BE" w14:textId="77777777" w:rsidR="00183CC0" w:rsidRPr="00B86AA7" w:rsidRDefault="00183CC0" w:rsidP="00183CC0">
                      <w:pPr>
                        <w:pStyle w:val="TextBoxText"/>
                      </w:pPr>
                      <w:r w:rsidRPr="00B86AA7">
                        <w:t>Updated HVAC equipment</w:t>
                      </w:r>
                      <w:r>
                        <w:t xml:space="preserve"> (e.g., RTUs)</w:t>
                      </w:r>
                      <w:r w:rsidRPr="00B86AA7">
                        <w:t xml:space="preserve"> can provide </w:t>
                      </w:r>
                      <w:r>
                        <w:t>numerous</w:t>
                      </w:r>
                      <w:r w:rsidRPr="00B86AA7">
                        <w:t xml:space="preserve"> </w:t>
                      </w:r>
                      <w:r>
                        <w:t xml:space="preserve">IAQ </w:t>
                      </w:r>
                      <w:r w:rsidRPr="00B86AA7">
                        <w:t>co-benefits, including:</w:t>
                      </w:r>
                    </w:p>
                    <w:p w14:paraId="53B3E0FB" w14:textId="77777777" w:rsidR="00183CC0" w:rsidRDefault="00183CC0" w:rsidP="00183CC0">
                      <w:pPr>
                        <w:pStyle w:val="TextBoxText"/>
                      </w:pPr>
                    </w:p>
                    <w:p w14:paraId="36CAD9CC" w14:textId="21852BFB" w:rsidR="00183CC0" w:rsidRDefault="00183CC0" w:rsidP="00183CC0">
                      <w:pPr>
                        <w:pStyle w:val="TextBoxText"/>
                        <w:numPr>
                          <w:ilvl w:val="0"/>
                          <w:numId w:val="19"/>
                        </w:numPr>
                      </w:pPr>
                      <w:r>
                        <w:t>The installation of a</w:t>
                      </w:r>
                      <w:r w:rsidRPr="00F36555">
                        <w:t xml:space="preserve">ir filters that have a minimum efficiency reporting value (MERV) </w:t>
                      </w:r>
                      <w:r w:rsidR="008131EB">
                        <w:t xml:space="preserve">of </w:t>
                      </w:r>
                      <w:r w:rsidRPr="00F36555">
                        <w:t>13 or higher.</w:t>
                      </w:r>
                    </w:p>
                    <w:p w14:paraId="1F122E12" w14:textId="77777777" w:rsidR="00183CC0" w:rsidRDefault="00183CC0" w:rsidP="00183CC0">
                      <w:pPr>
                        <w:pStyle w:val="TextBoxText"/>
                        <w:numPr>
                          <w:ilvl w:val="0"/>
                          <w:numId w:val="19"/>
                        </w:numPr>
                      </w:pPr>
                      <w:r>
                        <w:t>The use of d</w:t>
                      </w:r>
                      <w:r w:rsidRPr="00F36555">
                        <w:t xml:space="preserve">emand control ventilation increases ventilation rates when a setpoint (e.g., 800 parts per million </w:t>
                      </w:r>
                      <w:r>
                        <w:t>[</w:t>
                      </w:r>
                      <w:r w:rsidRPr="00F36555">
                        <w:t>ppm</w:t>
                      </w:r>
                      <w:r>
                        <w:t>]</w:t>
                      </w:r>
                      <w:r w:rsidRPr="00F36555">
                        <w:t xml:space="preserve"> carbon dioxide) is reached. This ensures that both a crowded gymnasium with high school </w:t>
                      </w:r>
                      <w:r>
                        <w:t>physical education</w:t>
                      </w:r>
                      <w:r w:rsidRPr="00F36555">
                        <w:t xml:space="preserve"> classes and an elementary school library are appropriately ventilated based on occupancy levels and activity types.</w:t>
                      </w:r>
                    </w:p>
                    <w:p w14:paraId="177E1C8B" w14:textId="60823124" w:rsidR="00183CC0" w:rsidRPr="00F36555" w:rsidRDefault="00183CC0" w:rsidP="00183CC0">
                      <w:pPr>
                        <w:pStyle w:val="TextBoxText"/>
                        <w:numPr>
                          <w:ilvl w:val="0"/>
                          <w:numId w:val="19"/>
                        </w:numPr>
                      </w:pPr>
                      <w:r>
                        <w:t xml:space="preserve">The installation and use of </w:t>
                      </w:r>
                      <w:r w:rsidRPr="00F36555">
                        <w:t xml:space="preserve">carbon dioxide, carbon monoxide, and </w:t>
                      </w:r>
                      <w:r>
                        <w:t>PM</w:t>
                      </w:r>
                      <w:r w:rsidRPr="00F36555">
                        <w:t xml:space="preserve"> sensors </w:t>
                      </w:r>
                      <w:r>
                        <w:t>that can help building engineers monitor and quickly resolve any identified air quality issues</w:t>
                      </w:r>
                      <w:r w:rsidRPr="00F36555">
                        <w:t>.</w:t>
                      </w:r>
                      <w:r>
                        <w:t xml:space="preserve"> See the </w:t>
                      </w:r>
                      <w:hyperlink w:anchor="ReduceExposure_Mold" w:history="1">
                        <w:r w:rsidRPr="006E7DEA">
                          <w:rPr>
                            <w:rStyle w:val="Hyperlink"/>
                          </w:rPr>
                          <w:t>Reduce Exposure to Mold and Moisture</w:t>
                        </w:r>
                      </w:hyperlink>
                      <w:r>
                        <w:t xml:space="preserve"> section for additional details about the use of sensor technology to monitor IAQ parameters.</w:t>
                      </w:r>
                    </w:p>
                    <w:p w14:paraId="5C19B638" w14:textId="77777777" w:rsidR="00183CC0" w:rsidRPr="00B86AA7" w:rsidRDefault="00183CC0" w:rsidP="00183CC0">
                      <w:pPr>
                        <w:rPr>
                          <w:rFonts w:ascii="Arial" w:hAnsi="Arial" w:cs="Arial"/>
                          <w:szCs w:val="22"/>
                        </w:rPr>
                      </w:pPr>
                    </w:p>
                  </w:txbxContent>
                </v:textbox>
                <w10:anchorlock/>
              </v:shape>
            </w:pict>
          </mc:Fallback>
        </mc:AlternateContent>
      </w:r>
    </w:p>
    <w:p w14:paraId="70D4E246" w14:textId="77777777" w:rsidR="00183CC0" w:rsidRDefault="00183CC0" w:rsidP="00183CC0">
      <w:pPr>
        <w:pStyle w:val="Heading5"/>
      </w:pPr>
      <w:r>
        <w:t>(8) Electrify whole system retrofits</w:t>
      </w:r>
    </w:p>
    <w:p w14:paraId="31F97C36" w14:textId="77777777" w:rsidR="00183CC0" w:rsidRDefault="00183CC0" w:rsidP="006D7DE6">
      <w:pPr>
        <w:pStyle w:val="BodyTextFirstIndent"/>
      </w:pPr>
      <w:r>
        <w:t>Whole system retrofits most often refer to HVAC retrofits that include the central plant equipment, the terminal equipment serving individual classrooms and zones, and in some cases, the distribution system connecting the two. A key use case in Massachusetts, as climate change is expected to increase the number of high-heat days, is to add air conditioning to buildings that currently only provide heating or use window air conditioning units. The more comprehensive nature of these projects allows engineers to consider a wider range of available technologies, including:</w:t>
      </w:r>
    </w:p>
    <w:p w14:paraId="4B1EE2EE" w14:textId="1018F258" w:rsidR="00183CC0" w:rsidRPr="00EF5954" w:rsidRDefault="00183CC0" w:rsidP="008131EB">
      <w:pPr>
        <w:pStyle w:val="ListBullet"/>
      </w:pPr>
      <w:r w:rsidRPr="003A791F">
        <w:rPr>
          <w:b/>
          <w:bCs/>
        </w:rPr>
        <w:lastRenderedPageBreak/>
        <w:t>Variable refrigerant flow (VRF) systems</w:t>
      </w:r>
      <w:r>
        <w:t xml:space="preserve"> use heat pumps in each zone to provide heating and cooling by modulating the amount of refrigerant sent to each unit and moving heat between rooms. VRF systems are a common retrofit option in buildings that use window air conditioning units or provide only heat. These projects require significant redesign since the refrigerant-distribution system is fundamentally different compared to an existing hydronic or steam boiler.</w:t>
      </w:r>
      <w:r>
        <w:fldChar w:fldCharType="begin"/>
      </w:r>
      <w:r w:rsidR="009A1504">
        <w:instrText xml:space="preserve"> ADDIN ZOTERO_ITEM CSL_CITATION {"citationID":"TjnoYNQb","properties":{"formattedCitation":"\\super 175\\nosupersub{}","plainCitation":"175","noteIndex":0},"citationItems":[{"id":116,"uris":["http://zotero.org/groups/5563646/items/M32DIFVD"],"itemData":{"id":116,"type":"report","language":"en","note":"DOI: 10.2172/1832100","number":"DOE/EE-2525, 1832100, 8805","page":"DOE/EE-2525, 1832100, 8805","source":"DOI.org (Crossref)","title":"Decarbonizing HVAC and Water Heating in Commercial Buildings","URL":"https://www.osti.gov/servlets/purl/1832100/","author":[{"family":"None","given":"None"}],"accessed":{"date-parts":[["2024",6,14]]},"issued":{"date-parts":[["2021",11,11]]}}}],"schema":"https://github.com/citation-style-language/schema/raw/master/csl-citation.json"} </w:instrText>
      </w:r>
      <w:r>
        <w:fldChar w:fldCharType="separate"/>
      </w:r>
      <w:r w:rsidR="009A1504" w:rsidRPr="009A1504">
        <w:rPr>
          <w:rFonts w:ascii="Calibri" w:hAnsi="Calibri" w:cs="Calibri"/>
          <w:vertAlign w:val="superscript"/>
        </w:rPr>
        <w:t>175</w:t>
      </w:r>
      <w:r>
        <w:fldChar w:fldCharType="end"/>
      </w:r>
      <w:r>
        <w:t xml:space="preserve"> Additionally, these systems generally do not provide ventilation by introducing outdoor air and, therefore, may need to include a separate dedicated outdoor air system to meet ventilation requirements.</w:t>
      </w:r>
    </w:p>
    <w:p w14:paraId="7AF4B0F4" w14:textId="552C10BD" w:rsidR="00183CC0" w:rsidRDefault="00183CC0" w:rsidP="008131EB">
      <w:pPr>
        <w:pStyle w:val="ListBullet"/>
      </w:pPr>
      <w:r>
        <w:rPr>
          <w:noProof/>
        </w:rPr>
        <mc:AlternateContent>
          <mc:Choice Requires="wps">
            <w:drawing>
              <wp:anchor distT="0" distB="0" distL="114300" distR="114300" simplePos="0" relativeHeight="251667968" behindDoc="0" locked="0" layoutInCell="1" allowOverlap="1" wp14:anchorId="1EFB6837" wp14:editId="2DD9B6AF">
                <wp:simplePos x="0" y="0"/>
                <wp:positionH relativeFrom="margin">
                  <wp:posOffset>3609975</wp:posOffset>
                </wp:positionH>
                <wp:positionV relativeFrom="margin">
                  <wp:posOffset>1514475</wp:posOffset>
                </wp:positionV>
                <wp:extent cx="2150110" cy="2371725"/>
                <wp:effectExtent l="0" t="0" r="21590" b="28575"/>
                <wp:wrapSquare wrapText="bothSides"/>
                <wp:docPr id="259530764" name="Text Box 1"/>
                <wp:cNvGraphicFramePr/>
                <a:graphic xmlns:a="http://schemas.openxmlformats.org/drawingml/2006/main">
                  <a:graphicData uri="http://schemas.microsoft.com/office/word/2010/wordprocessingShape">
                    <wps:wsp>
                      <wps:cNvSpPr txBox="1"/>
                      <wps:spPr bwMode="auto">
                        <a:xfrm>
                          <a:off x="0" y="0"/>
                          <a:ext cx="2150110" cy="2371725"/>
                        </a:xfrm>
                        <a:prstGeom prst="rect">
                          <a:avLst/>
                        </a:prstGeom>
                        <a:solidFill>
                          <a:schemeClr val="accent1">
                            <a:lumMod val="20000"/>
                            <a:lumOff val="80000"/>
                          </a:schemeClr>
                        </a:solidFill>
                        <a:ln w="9525">
                          <a:solidFill>
                            <a:schemeClr val="tx1"/>
                          </a:solidFill>
                          <a:miter lim="800000"/>
                          <a:headEnd/>
                          <a:tailEnd/>
                        </a:ln>
                      </wps:spPr>
                      <wps:txbx>
                        <w:txbxContent>
                          <w:p w14:paraId="6170653F" w14:textId="77777777" w:rsidR="00183CC0" w:rsidRDefault="00183CC0" w:rsidP="00183CC0">
                            <w:pPr>
                              <w:pStyle w:val="TextBoxTitle"/>
                            </w:pPr>
                            <w:r>
                              <w:t>Networked Geothermal in Massachusetts</w:t>
                            </w:r>
                          </w:p>
                          <w:p w14:paraId="2FE91919" w14:textId="77777777" w:rsidR="00183CC0" w:rsidRPr="0066462E" w:rsidRDefault="00183CC0" w:rsidP="00183CC0">
                            <w:pPr>
                              <w:pStyle w:val="TextBoxText"/>
                            </w:pPr>
                            <w:r w:rsidRPr="00376A48">
                              <w:t xml:space="preserve">As of 2024, </w:t>
                            </w:r>
                            <w:hyperlink r:id="rId169" w:history="1">
                              <w:r w:rsidRPr="00A15255">
                                <w:rPr>
                                  <w:rStyle w:val="Hyperlink"/>
                                </w:rPr>
                                <w:t>National Grid</w:t>
                              </w:r>
                            </w:hyperlink>
                            <w:r w:rsidRPr="00376A48">
                              <w:t xml:space="preserve"> and </w:t>
                            </w:r>
                            <w:hyperlink r:id="rId170" w:history="1">
                              <w:r w:rsidRPr="0036488F">
                                <w:rPr>
                                  <w:rStyle w:val="Hyperlink"/>
                                </w:rPr>
                                <w:t>Eversource</w:t>
                              </w:r>
                            </w:hyperlink>
                            <w:r w:rsidRPr="00376A48">
                              <w:t xml:space="preserve">, two Massachusetts </w:t>
                            </w:r>
                            <w:r>
                              <w:t>natural</w:t>
                            </w:r>
                            <w:r w:rsidRPr="00376A48">
                              <w:t xml:space="preserve"> gas utilities, are piloting community energy networks where multiple buildings are connected to a GSHP loop, demonstrating how natural gas utilities can offer their customers clean heat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FB6837" id="_x0000_s1056" type="#_x0000_t202" style="position:absolute;left:0;text-align:left;margin-left:284.25pt;margin-top:119.25pt;width:169.3pt;height:186.7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" fillcolor="#dbe5f1 [660]" strokecolor="black [3213]">
                <v:textbox>
                  <w:txbxContent>
                    <w:p w14:paraId="6170653F" w14:textId="77777777" w:rsidR="00183CC0" w:rsidRDefault="00183CC0" w:rsidP="00183CC0">
                      <w:pPr>
                        <w:pStyle w:val="TextBoxTitle"/>
                      </w:pPr>
                      <w:r>
                        <w:t>Networked Geothermal in Massachusetts</w:t>
                      </w:r>
                    </w:p>
                    <w:p w14:paraId="2FE91919" w14:textId="77777777" w:rsidR="00183CC0" w:rsidRPr="0066462E" w:rsidRDefault="00183CC0" w:rsidP="00183CC0">
                      <w:pPr>
                        <w:pStyle w:val="TextBoxText"/>
                      </w:pPr>
                      <w:r w:rsidRPr="00376A48">
                        <w:t xml:space="preserve">As of 2024, </w:t>
                      </w:r>
                      <w:hyperlink r:id="rId171" w:history="1">
                        <w:r w:rsidRPr="00A15255">
                          <w:rPr>
                            <w:rStyle w:val="Hyperlink"/>
                          </w:rPr>
                          <w:t>National Grid</w:t>
                        </w:r>
                      </w:hyperlink>
                      <w:r w:rsidRPr="00376A48">
                        <w:t xml:space="preserve"> and </w:t>
                      </w:r>
                      <w:hyperlink r:id="rId172" w:history="1">
                        <w:r w:rsidRPr="0036488F">
                          <w:rPr>
                            <w:rStyle w:val="Hyperlink"/>
                          </w:rPr>
                          <w:t>Eversource</w:t>
                        </w:r>
                      </w:hyperlink>
                      <w:r w:rsidRPr="00376A48">
                        <w:t xml:space="preserve">, two Massachusetts </w:t>
                      </w:r>
                      <w:r>
                        <w:t>natural</w:t>
                      </w:r>
                      <w:r w:rsidRPr="00376A48">
                        <w:t xml:space="preserve"> gas utilities, are piloting community energy networks where multiple buildings are connected to a GSHP loop, demonstrating how natural gas utilities can offer their customers clean heat</w:t>
                      </w:r>
                      <w:r>
                        <w:t>.</w:t>
                      </w:r>
                    </w:p>
                  </w:txbxContent>
                </v:textbox>
                <w10:wrap type="square" anchorx="margin" anchory="margin"/>
              </v:shape>
            </w:pict>
          </mc:Fallback>
        </mc:AlternateContent>
      </w:r>
      <w:r w:rsidR="00472965">
        <w:rPr>
          <w:b/>
          <w:bCs/>
        </w:rPr>
        <w:t>Ground</w:t>
      </w:r>
      <w:r w:rsidR="00C34128">
        <w:rPr>
          <w:b/>
          <w:bCs/>
        </w:rPr>
        <w:t>-source heat pumps (</w:t>
      </w:r>
      <w:r>
        <w:rPr>
          <w:b/>
          <w:bCs/>
        </w:rPr>
        <w:t>GSHPs</w:t>
      </w:r>
      <w:r w:rsidR="00C34128">
        <w:rPr>
          <w:b/>
          <w:bCs/>
        </w:rPr>
        <w:t>),</w:t>
      </w:r>
      <w:r>
        <w:rPr>
          <w:b/>
          <w:bCs/>
        </w:rPr>
        <w:t xml:space="preserve"> </w:t>
      </w:r>
      <w:r>
        <w:t xml:space="preserve">also referred to as </w:t>
      </w:r>
      <w:r w:rsidRPr="00324527">
        <w:t>geothermal</w:t>
      </w:r>
      <w:r>
        <w:t xml:space="preserve"> or </w:t>
      </w:r>
      <w:r w:rsidRPr="00324527">
        <w:t>geo-exchange</w:t>
      </w:r>
      <w:r>
        <w:t xml:space="preserve"> heat pumps</w:t>
      </w:r>
      <w:r w:rsidR="00C34128">
        <w:t>,</w:t>
      </w:r>
      <w:r>
        <w:t xml:space="preserve"> represent a whole system retrofit option and are a common approach in school </w:t>
      </w:r>
      <w:hyperlink r:id="rId173">
        <w:r w:rsidRPr="653D8BA2">
          <w:rPr>
            <w:rStyle w:val="Hyperlink"/>
          </w:rPr>
          <w:t>new construction projects</w:t>
        </w:r>
      </w:hyperlink>
      <w:r>
        <w:t>. GSHPs have a successful track record in Massachusetts schools by taking advantage of the stable year-round ground temperature to provide heating and cooling at 3 to 6 times the efficiencies of legacy fossil fuel systems, even in cold climates.</w:t>
      </w:r>
      <w:r>
        <w:fldChar w:fldCharType="begin"/>
      </w:r>
      <w:r w:rsidR="0093042E">
        <w:instrText xml:space="preserve"> ADDIN ZOTERO_ITEM CSL_CITATION {"citationID":"dx2VPz8l","properties":{"formattedCitation":"\\super 178\\nosupersub{}","plainCitation":"178","noteIndex":0},"citationItems":[{"id":84,"uris":["http://zotero.org/groups/5563646/items/286REVU2"],"itemData":{"id":84,"type":"article-journal","language":"en","source":"Zotero","title":"HVAC Choices for Student Health and Learning","author":[{"family":"Hines","given":"Emma"},{"family":"Ross","given":"Sara"},{"family":"Klein","given":"Jonathan"},{"family":"Lu","given":"Alice"},{"family":"Seals","given":"Brady Anne"},{"family":"Taylor","given":"Edie"},{"family":"Unger","given":"Russell"}],"issued":{"date-parts":[["2023",1]]}}}],"schema":"https://github.com/citation-style-language/schema/raw/master/csl-citation.json"} </w:instrText>
      </w:r>
      <w:r>
        <w:fldChar w:fldCharType="separate"/>
      </w:r>
      <w:r w:rsidR="0093042E" w:rsidRPr="0093042E">
        <w:rPr>
          <w:rFonts w:ascii="Calibri" w:hAnsi="Calibri" w:cs="Calibri"/>
          <w:vertAlign w:val="superscript"/>
        </w:rPr>
        <w:t>178</w:t>
      </w:r>
      <w:r>
        <w:fldChar w:fldCharType="end"/>
      </w:r>
      <w:r>
        <w:t xml:space="preserve"> GSHP systems require an appropriately sized wellfield that houses the vertical bores, which circulate a fluid before returning to the building. Wellfields can be installed under parking lots, athletic fields, or other adjoining open spaces. GSHPs are a well-established technology that have compelling lifecycle costs. A study conducted by the Town of Arlington, MA, across six schools found that GSHP systems have lower first cost and lifecycle costs when accounting for federal and state incentives.</w:t>
      </w:r>
      <w:r>
        <w:fldChar w:fldCharType="begin"/>
      </w:r>
      <w:r w:rsidR="00AC1917">
        <w:instrText xml:space="preserve"> ADDIN ZOTERO_ITEM CSL_CITATION {"citationID":"wsqBE4dT","properties":{"formattedCitation":"\\super 179\\nosupersub{}","plainCitation":"179","noteIndex":0},"citationItems":[{"id":213,"uris":["http://zotero.org/groups/5563646/items/NCTW59B3"],"itemData":{"id":213,"type":"document","title":"Town of Arlington Electrification &amp; Air Quality Master Plan","URL":"https://www.arlingtonma.gov/home/showpublisheddocument/65935/638233929669870000","issued":{"date-parts":[["2023",1]]}}}],"schema":"https://github.com/citation-style-language/schema/raw/master/csl-citation.json"} </w:instrText>
      </w:r>
      <w:r>
        <w:fldChar w:fldCharType="separate"/>
      </w:r>
      <w:r w:rsidR="00AC1917" w:rsidRPr="00AC1917">
        <w:rPr>
          <w:rFonts w:ascii="Calibri" w:hAnsi="Calibri" w:cs="Calibri"/>
          <w:vertAlign w:val="superscript"/>
        </w:rPr>
        <w:t>179</w:t>
      </w:r>
      <w:r>
        <w:fldChar w:fldCharType="end"/>
      </w:r>
    </w:p>
    <w:p w14:paraId="18358172" w14:textId="77777777" w:rsidR="00183CC0" w:rsidRDefault="00183CC0" w:rsidP="008131EB">
      <w:pPr>
        <w:pStyle w:val="ListBullet"/>
      </w:pPr>
      <w:r w:rsidRPr="00DC6043">
        <w:rPr>
          <w:b/>
          <w:bCs/>
        </w:rPr>
        <w:t>Wastewater energy</w:t>
      </w:r>
      <w:r>
        <w:rPr>
          <w:b/>
          <w:bCs/>
        </w:rPr>
        <w:t xml:space="preserve"> recovery</w:t>
      </w:r>
      <w:r>
        <w:t>, another established technology, uses sanitary sewer infrastructure as a heat source/sink. Wastewater is diverted to a heat exchanger, which transfers energy to a heat pump system that serves the building. This technology can support electrification in space-constrained urban environments that may not be able to support a GSHP wellfield.</w:t>
      </w:r>
    </w:p>
    <w:p w14:paraId="57B3AF2E" w14:textId="042438A2" w:rsidR="00183CC0" w:rsidRDefault="00183CC0" w:rsidP="006D7DE6">
      <w:pPr>
        <w:pStyle w:val="BodyTextFirstIndent"/>
      </w:pPr>
      <w:r>
        <w:t xml:space="preserve">The co-benefits described in the component retrofit section </w:t>
      </w:r>
      <w:r w:rsidR="00B30C96">
        <w:t xml:space="preserve">also </w:t>
      </w:r>
      <w:r>
        <w:t>apply to the above technologies but across a larger portion of the school.</w:t>
      </w:r>
    </w:p>
    <w:p w14:paraId="23545D77" w14:textId="77777777" w:rsidR="00183CC0" w:rsidRDefault="00183CC0" w:rsidP="00183CC0">
      <w:pPr>
        <w:pStyle w:val="Heading5"/>
      </w:pPr>
      <w:r>
        <w:t>(9) Electrify cafeteria kitchens</w:t>
      </w:r>
    </w:p>
    <w:p w14:paraId="76926B54" w14:textId="77777777" w:rsidR="00183CC0" w:rsidRDefault="00183CC0" w:rsidP="006D7DE6">
      <w:pPr>
        <w:pStyle w:val="BodyTextFirstIndent"/>
      </w:pPr>
      <w:r>
        <w:t>After space and water heating, cafeteria kitchens are often the next largest consumer of fossil fuels in schools. In addition to the kitchen equipment that combusts fossil fuels (e.g., ovens, cooktops, fryers), the combustion activity releases toxic chemicals into the air and requires significant ventilation, which contributes to electricity consumption through exhaust fan power and conditioning the outdoor makeup air. Traditional kitchens are loud (ventilation) and hot (open combustion inefficiently transferring heat) environments that can provide significant workplace improvements by electrifying equipment. Another co-benefit of all-electric kitchens is the reduction of asthma triggers.</w:t>
      </w:r>
    </w:p>
    <w:p w14:paraId="6A2C7232" w14:textId="6A15B590" w:rsidR="00183CC0" w:rsidRDefault="00183CC0" w:rsidP="006D7DE6">
      <w:pPr>
        <w:pStyle w:val="BodyTextFirstIndent"/>
      </w:pPr>
      <w:r>
        <w:lastRenderedPageBreak/>
        <w:t>Like space heating systems, a variety of options are available to efficiently electrify kitchen operations. The type of kitchen operations occurring at a given school (full-service kitchen, commissary serving multiple schools, reheat kitchen) and the food program (food served, single use vs. reusable service ware, lunch seatings and throughput) will determine the requirements for an all-electric alternative design. It is important to engage with the district’s food and nutrition group to understand and document kitchen requirements.</w:t>
      </w:r>
    </w:p>
    <w:p w14:paraId="4625CB98" w14:textId="2B6200D2" w:rsidR="00183CC0" w:rsidRDefault="00183CC0" w:rsidP="006D7DE6">
      <w:pPr>
        <w:pStyle w:val="BodyTextFirstIndent"/>
      </w:pPr>
      <w:r>
        <w:t>All-electric kitchens have been demonstrated to meet or exceed the throughput of traditional kitchen lines and can often do so using a smaller footprint. Where there are concerns about equipment performance or power availability, installing an induction cooktop is a good entry point to demonstrate proof of concept. Schools can install additional electric kitchen equipment as they replace existing fossil fuel-fired equipment.</w:t>
      </w:r>
      <w:r>
        <w:fldChar w:fldCharType="begin"/>
      </w:r>
      <w:r w:rsidR="007038AC">
        <w:instrText xml:space="preserve"> ADDIN ZOTERO_ITEM CSL_CITATION {"citationID":"cmkm3uQo","properties":{"formattedCitation":"\\super 180\\nosupersub{}","plainCitation":"180","noteIndex":0},"citationItems":[{"id":90,"uris":["http://zotero.org/groups/5563646/items/FTYY9DSG"],"itemData":{"id":90,"type":"webpage","title":"Calculators - California Energy Wise","URL":"https://caenergywise.com/calculators/","accessed":{"date-parts":[["2024",6,17]]}}}],"schema":"https://github.com/citation-style-language/schema/raw/master/csl-citation.json"} </w:instrText>
      </w:r>
      <w:r>
        <w:fldChar w:fldCharType="separate"/>
      </w:r>
      <w:r w:rsidR="007038AC" w:rsidRPr="007038AC">
        <w:rPr>
          <w:rFonts w:cs="Arial"/>
          <w:vertAlign w:val="superscript"/>
        </w:rPr>
        <w:t>180</w:t>
      </w:r>
      <w:r>
        <w:fldChar w:fldCharType="end"/>
      </w:r>
      <w:r>
        <w:t xml:space="preserve"> </w:t>
      </w:r>
    </w:p>
    <w:p w14:paraId="3300617C" w14:textId="3A772E0E" w:rsidR="00183CC0" w:rsidRPr="00D35B3F" w:rsidRDefault="00EE28B6" w:rsidP="00183CC0">
      <w:pPr>
        <w:pStyle w:val="Heading4"/>
      </w:pPr>
      <w:r>
        <w:t>Operate and Maintain Schools</w:t>
      </w:r>
    </w:p>
    <w:p w14:paraId="30A88EAA" w14:textId="2FD328C4" w:rsidR="00183CC0" w:rsidRPr="009A6741" w:rsidRDefault="00183CC0" w:rsidP="006D7DE6">
      <w:pPr>
        <w:pStyle w:val="BodyTextFirstIndent"/>
      </w:pPr>
      <w:r>
        <w:t xml:space="preserve">O&amp;M refers to all the daily and ongoing tasks performed by school staff and contractors </w:t>
      </w:r>
      <w:r w:rsidR="00B84D6D">
        <w:t xml:space="preserve">to </w:t>
      </w:r>
      <w:r w:rsidR="002C2C04">
        <w:t xml:space="preserve">prioritize </w:t>
      </w:r>
      <w:r>
        <w:t xml:space="preserve"> that schools continue to operate as they are intended to. Staff </w:t>
      </w:r>
      <w:r w:rsidR="008131EB">
        <w:t xml:space="preserve">members </w:t>
      </w:r>
      <w:r>
        <w:t>with a deep understanding of the school facility are critical to schools achieving the goals of any of the implementation methods and best practices described above, from project inception through the end of life of the school. When conducting O&amp;M, schools should take care to operate and maintain NZE schools, utilize building automation systems, and establish and train an NZE workforce.</w:t>
      </w:r>
    </w:p>
    <w:p w14:paraId="4D75E793" w14:textId="77777777" w:rsidR="00183CC0" w:rsidRDefault="00183CC0" w:rsidP="00183CC0">
      <w:pPr>
        <w:pStyle w:val="Heading5"/>
      </w:pPr>
      <w:r>
        <w:t>(10) Operate and maintain NZE schools</w:t>
      </w:r>
    </w:p>
    <w:p w14:paraId="3F41C7BF" w14:textId="77777777" w:rsidR="00183CC0" w:rsidRDefault="00183CC0" w:rsidP="006D7DE6">
      <w:pPr>
        <w:pStyle w:val="BodyTextFirstIndent"/>
      </w:pPr>
      <w:r>
        <w:rPr>
          <w:noProof/>
        </w:rPr>
        <mc:AlternateContent>
          <mc:Choice Requires="wps">
            <w:drawing>
              <wp:anchor distT="0" distB="0" distL="114300" distR="114300" simplePos="0" relativeHeight="251670016" behindDoc="0" locked="0" layoutInCell="1" allowOverlap="1" wp14:anchorId="144233F7" wp14:editId="2B295441">
                <wp:simplePos x="0" y="0"/>
                <wp:positionH relativeFrom="margin">
                  <wp:posOffset>0</wp:posOffset>
                </wp:positionH>
                <wp:positionV relativeFrom="margin">
                  <wp:posOffset>4720932</wp:posOffset>
                </wp:positionV>
                <wp:extent cx="3143250" cy="3295650"/>
                <wp:effectExtent l="0" t="0" r="19050" b="19050"/>
                <wp:wrapSquare wrapText="bothSides"/>
                <wp:docPr id="688229664" name="Text Box 1"/>
                <wp:cNvGraphicFramePr/>
                <a:graphic xmlns:a="http://schemas.openxmlformats.org/drawingml/2006/main">
                  <a:graphicData uri="http://schemas.microsoft.com/office/word/2010/wordprocessingShape">
                    <wps:wsp>
                      <wps:cNvSpPr txBox="1"/>
                      <wps:spPr bwMode="auto">
                        <a:xfrm>
                          <a:off x="0" y="0"/>
                          <a:ext cx="3143250" cy="3295650"/>
                        </a:xfrm>
                        <a:prstGeom prst="rect">
                          <a:avLst/>
                        </a:prstGeom>
                        <a:solidFill>
                          <a:schemeClr val="accent1">
                            <a:lumMod val="20000"/>
                            <a:lumOff val="80000"/>
                          </a:schemeClr>
                        </a:solidFill>
                        <a:ln w="9525">
                          <a:solidFill>
                            <a:schemeClr val="tx1"/>
                          </a:solidFill>
                          <a:miter lim="800000"/>
                          <a:headEnd/>
                          <a:tailEnd/>
                        </a:ln>
                      </wps:spPr>
                      <wps:txbx>
                        <w:txbxContent>
                          <w:p w14:paraId="1C74AD8D" w14:textId="77777777" w:rsidR="00183CC0" w:rsidRDefault="00183CC0" w:rsidP="00183CC0">
                            <w:pPr>
                              <w:pStyle w:val="TextBoxTitle"/>
                            </w:pPr>
                            <w:r>
                              <w:t>Changing Air Filters</w:t>
                            </w:r>
                          </w:p>
                          <w:p w14:paraId="4332A90E" w14:textId="77777777" w:rsidR="00183CC0" w:rsidRPr="0066462E" w:rsidRDefault="00183CC0" w:rsidP="00183CC0">
                            <w:pPr>
                              <w:pStyle w:val="TextBoxText"/>
                            </w:pPr>
                            <w:r w:rsidRPr="001F30A0">
                              <w:t>A</w:t>
                            </w:r>
                            <w:r>
                              <w:t>s part of maintaining</w:t>
                            </w:r>
                            <w:r w:rsidRPr="001F30A0">
                              <w:t xml:space="preserve"> </w:t>
                            </w:r>
                            <w:r>
                              <w:t>a school’s HVAC system, facilities staff</w:t>
                            </w:r>
                            <w:r w:rsidRPr="001F30A0">
                              <w:t xml:space="preserve"> </w:t>
                            </w:r>
                            <w:r>
                              <w:t xml:space="preserve">perform </w:t>
                            </w:r>
                            <w:r w:rsidRPr="001F30A0">
                              <w:t>regular filter changes</w:t>
                            </w:r>
                            <w:r>
                              <w:t>.</w:t>
                            </w:r>
                            <w:r w:rsidRPr="001F30A0">
                              <w:t xml:space="preserve"> </w:t>
                            </w:r>
                            <w:r>
                              <w:t>Where available from a BAS, schools can utilize real-time data showing</w:t>
                            </w:r>
                            <w:r w:rsidRPr="001F30A0">
                              <w:t xml:space="preserve"> the pressure drop across the filter </w:t>
                            </w:r>
                            <w:r>
                              <w:t>(</w:t>
                            </w:r>
                            <w:r w:rsidRPr="001F30A0">
                              <w:t>indicating that air flow is being restricted)</w:t>
                            </w:r>
                            <w:r>
                              <w:t xml:space="preserve"> to determine the appropriate time for filter replacement. Alternatively, schools can rely on</w:t>
                            </w:r>
                            <w:r w:rsidRPr="001F30A0">
                              <w:t xml:space="preserve"> the </w:t>
                            </w:r>
                            <w:r>
                              <w:t xml:space="preserve">air filter </w:t>
                            </w:r>
                            <w:r w:rsidRPr="001F30A0">
                              <w:t>manufacturer</w:t>
                            </w:r>
                            <w:r>
                              <w:t>’</w:t>
                            </w:r>
                            <w:r w:rsidRPr="001F30A0">
                              <w:t>s specification (</w:t>
                            </w:r>
                            <w:r>
                              <w:t>typically 2</w:t>
                            </w:r>
                            <w:r w:rsidRPr="001F30A0">
                              <w:t xml:space="preserve"> to </w:t>
                            </w:r>
                            <w:r>
                              <w:t>4</w:t>
                            </w:r>
                            <w:r w:rsidRPr="001F30A0">
                              <w:t xml:space="preserve"> times per year). Equipment should be cleaned during filter changes to prevent air flow from bypassing the filter. This process is critical to maintaining good IAQ</w:t>
                            </w:r>
                            <w:r>
                              <w:t xml:space="preserve">. See </w:t>
                            </w:r>
                            <w:r w:rsidRPr="00977355">
                              <w:t>Goal 2: Achieve Healthy Schools, Objective 2a. Improve Indoor Air Quality</w:t>
                            </w:r>
                            <w:r>
                              <w:t xml:space="preserve"> for additional details about improving IAQ.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233F7" id="_x0000_s1057" type="#_x0000_t202" style="position:absolute;margin-left:0;margin-top:371.75pt;width:247.5pt;height:259.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" fillcolor="#dbe5f1 [660]" strokecolor="black [3213]">
                <v:textbox>
                  <w:txbxContent>
                    <w:p w14:paraId="1C74AD8D" w14:textId="77777777" w:rsidR="00183CC0" w:rsidRDefault="00183CC0" w:rsidP="00183CC0">
                      <w:pPr>
                        <w:pStyle w:val="TextBoxTitle"/>
                      </w:pPr>
                      <w:r>
                        <w:t>Changing Air Filters</w:t>
                      </w:r>
                    </w:p>
                    <w:p w14:paraId="4332A90E" w14:textId="77777777" w:rsidR="00183CC0" w:rsidRPr="0066462E" w:rsidRDefault="00183CC0" w:rsidP="00183CC0">
                      <w:pPr>
                        <w:pStyle w:val="TextBoxText"/>
                      </w:pPr>
                      <w:r w:rsidRPr="001F30A0">
                        <w:t>A</w:t>
                      </w:r>
                      <w:r>
                        <w:t>s part of maintaining</w:t>
                      </w:r>
                      <w:r w:rsidRPr="001F30A0">
                        <w:t xml:space="preserve"> </w:t>
                      </w:r>
                      <w:r>
                        <w:t>a school’s HVAC system, facilities staff</w:t>
                      </w:r>
                      <w:r w:rsidRPr="001F30A0">
                        <w:t xml:space="preserve"> </w:t>
                      </w:r>
                      <w:r>
                        <w:t xml:space="preserve">perform </w:t>
                      </w:r>
                      <w:r w:rsidRPr="001F30A0">
                        <w:t>regular filter changes</w:t>
                      </w:r>
                      <w:r>
                        <w:t>.</w:t>
                      </w:r>
                      <w:r w:rsidRPr="001F30A0">
                        <w:t xml:space="preserve"> </w:t>
                      </w:r>
                      <w:r>
                        <w:t>Where available from a BAS, schools can utilize real-time data showing</w:t>
                      </w:r>
                      <w:r w:rsidRPr="001F30A0">
                        <w:t xml:space="preserve"> the pressure drop across the filter </w:t>
                      </w:r>
                      <w:r>
                        <w:t>(</w:t>
                      </w:r>
                      <w:r w:rsidRPr="001F30A0">
                        <w:t>indicating that air flow is being restricted)</w:t>
                      </w:r>
                      <w:r>
                        <w:t xml:space="preserve"> to determine the appropriate time for filter replacement. Alternatively, schools can rely on</w:t>
                      </w:r>
                      <w:r w:rsidRPr="001F30A0">
                        <w:t xml:space="preserve"> the </w:t>
                      </w:r>
                      <w:r>
                        <w:t xml:space="preserve">air filter </w:t>
                      </w:r>
                      <w:r w:rsidRPr="001F30A0">
                        <w:t>manufacturer</w:t>
                      </w:r>
                      <w:r>
                        <w:t>’</w:t>
                      </w:r>
                      <w:r w:rsidRPr="001F30A0">
                        <w:t>s specification (</w:t>
                      </w:r>
                      <w:r>
                        <w:t>typically 2</w:t>
                      </w:r>
                      <w:r w:rsidRPr="001F30A0">
                        <w:t xml:space="preserve"> to </w:t>
                      </w:r>
                      <w:r>
                        <w:t>4</w:t>
                      </w:r>
                      <w:r w:rsidRPr="001F30A0">
                        <w:t xml:space="preserve"> times per year). Equipment should be cleaned during filter changes to prevent air flow from bypassing the filter. This process is critical to maintaining good IAQ</w:t>
                      </w:r>
                      <w:r>
                        <w:t xml:space="preserve">. See </w:t>
                      </w:r>
                      <w:r w:rsidRPr="00977355">
                        <w:t>Goal 2: Achieve Healthy Schools, Objective 2a. Improve Indoor Air Quality</w:t>
                      </w:r>
                      <w:r>
                        <w:t xml:space="preserve"> for additional details about improving IAQ.</w:t>
                      </w:r>
                    </w:p>
                  </w:txbxContent>
                </v:textbox>
                <w10:wrap type="square" anchorx="margin" anchory="margin"/>
              </v:shape>
            </w:pict>
          </mc:Fallback>
        </mc:AlternateContent>
      </w:r>
      <w:r>
        <w:t>All-electric buildings often have increasingly decentralized systems and advanced controls. This can present an asset management challenge but also allows designs that are more similar in scale and technology to residential systems. As buildings transition to all-electric systems, existing O&amp;M best practices become increasingly important, including:</w:t>
      </w:r>
    </w:p>
    <w:p w14:paraId="5998BFF4" w14:textId="224F7C5F" w:rsidR="00183CC0" w:rsidRDefault="00183CC0" w:rsidP="008131EB">
      <w:pPr>
        <w:pStyle w:val="ListBullet"/>
      </w:pPr>
      <w:r w:rsidRPr="00687F12">
        <w:rPr>
          <w:b/>
        </w:rPr>
        <w:t>Preventive maintenance</w:t>
      </w:r>
      <w:r w:rsidR="008131EB">
        <w:t xml:space="preserve">, which </w:t>
      </w:r>
      <w:r>
        <w:t xml:space="preserve">helps </w:t>
      </w:r>
      <w:r w:rsidR="00680A0C">
        <w:t xml:space="preserve">support </w:t>
      </w:r>
      <w:r>
        <w:t xml:space="preserve">reliable operation of equipment. A preventive maintenance plan outlines the frequency of maintenance tasks for all pieces of equipment. A lack of preventive maintenance can lead to an increase in emergency replacements, which often necessitate in-kind replacements with </w:t>
      </w:r>
      <w:r>
        <w:lastRenderedPageBreak/>
        <w:t xml:space="preserve">equipment available from existing inventory. This often results in a project missing a critical opportunity to thoughtfully electrify systems. </w:t>
      </w:r>
    </w:p>
    <w:p w14:paraId="5408DE1D" w14:textId="7765F829" w:rsidR="00183CC0" w:rsidRDefault="00183CC0" w:rsidP="001417BF">
      <w:pPr>
        <w:pStyle w:val="BodyTextFirstIndent"/>
        <w:ind w:left="360"/>
      </w:pPr>
      <w:r>
        <w:rPr>
          <w:b/>
        </w:rPr>
        <w:t>Re-commissioning/r</w:t>
      </w:r>
      <w:r w:rsidRPr="00AC606B">
        <w:rPr>
          <w:b/>
        </w:rPr>
        <w:t>etro</w:t>
      </w:r>
      <w:r>
        <w:rPr>
          <w:b/>
        </w:rPr>
        <w:t>-</w:t>
      </w:r>
      <w:r w:rsidRPr="00AC606B">
        <w:rPr>
          <w:b/>
        </w:rPr>
        <w:t>commission</w:t>
      </w:r>
      <w:r>
        <w:rPr>
          <w:b/>
        </w:rPr>
        <w:t>ing</w:t>
      </w:r>
      <w:r w:rsidRPr="00AC606B">
        <w:rPr>
          <w:b/>
        </w:rPr>
        <w:t xml:space="preserve"> (RCx)</w:t>
      </w:r>
      <w:r w:rsidR="008131EB">
        <w:t xml:space="preserve">, which </w:t>
      </w:r>
      <w:r>
        <w:t xml:space="preserve">involves a process of examining and recalibrating an existing building’s equipment and systems to better meet the building’s operational needs. The term “re-commission” is used for buildings that were properly commissioned following original construction; the term “retro-commission” is used for existing buildings that were never properly commissioned following original construction. Schools should conduct RCx every five years or when there are significant changes in operations (e.g., a change of occupancy greater than 20 percent). This practice </w:t>
      </w:r>
      <w:r w:rsidR="008C19F2">
        <w:t>confirms</w:t>
      </w:r>
      <w:r>
        <w:t xml:space="preserve"> that equipment is performing according to the original design intent and can include the recalibration or replacement of sensors and other minor repairs to control systems.</w:t>
      </w:r>
    </w:p>
    <w:p w14:paraId="733DDCA4" w14:textId="3F1BF0B6" w:rsidR="00183CC0" w:rsidRDefault="00183CC0" w:rsidP="001417BF">
      <w:pPr>
        <w:pStyle w:val="BodyTextFirstIndent"/>
        <w:ind w:left="360"/>
      </w:pPr>
      <w:r w:rsidRPr="00AC606B">
        <w:rPr>
          <w:b/>
        </w:rPr>
        <w:t xml:space="preserve">Computerized maintenance management </w:t>
      </w:r>
      <w:r>
        <w:rPr>
          <w:b/>
        </w:rPr>
        <w:t>s</w:t>
      </w:r>
      <w:r w:rsidRPr="00AC606B">
        <w:rPr>
          <w:b/>
        </w:rPr>
        <w:t>ystems</w:t>
      </w:r>
      <w:r w:rsidR="008131EB" w:rsidRPr="001417BF">
        <w:rPr>
          <w:bCs/>
        </w:rPr>
        <w:t>,</w:t>
      </w:r>
      <w:r w:rsidR="008131EB">
        <w:rPr>
          <w:b/>
        </w:rPr>
        <w:t xml:space="preserve"> </w:t>
      </w:r>
      <w:r w:rsidR="008131EB" w:rsidRPr="001417BF">
        <w:rPr>
          <w:bCs/>
        </w:rPr>
        <w:t>which</w:t>
      </w:r>
      <w:r w:rsidR="008131EB">
        <w:rPr>
          <w:b/>
        </w:rPr>
        <w:t xml:space="preserve"> </w:t>
      </w:r>
      <w:r>
        <w:t>help manage all maintenance activities across a portfolio of buildings. Larger school districts responsible for maintaining a greater number of buildings should consider using these systems to more efficiently manage and coordinate maintenance activities across facilities staff and contractors.</w:t>
      </w:r>
    </w:p>
    <w:p w14:paraId="2746852D" w14:textId="190D41C0" w:rsidR="00183CC0" w:rsidRDefault="00183CC0" w:rsidP="001417BF">
      <w:pPr>
        <w:pStyle w:val="BodyTextFirstIndent"/>
        <w:ind w:left="360"/>
      </w:pPr>
      <w:r>
        <w:rPr>
          <w:b/>
        </w:rPr>
        <w:t>Engaging O&amp;M staff in capital projects</w:t>
      </w:r>
      <w:r w:rsidR="008131EB">
        <w:rPr>
          <w:b/>
        </w:rPr>
        <w:t xml:space="preserve">, </w:t>
      </w:r>
      <w:r w:rsidR="008131EB" w:rsidRPr="001417BF">
        <w:rPr>
          <w:bCs/>
        </w:rPr>
        <w:t>which</w:t>
      </w:r>
      <w:r>
        <w:t xml:space="preserve"> </w:t>
      </w:r>
      <w:r w:rsidR="00DA314A">
        <w:t>prioritizes</w:t>
      </w:r>
      <w:r>
        <w:t xml:space="preserve"> their expertise in operating building systems and addressing existing pain points </w:t>
      </w:r>
      <w:r w:rsidR="008131EB">
        <w:t xml:space="preserve">so they are </w:t>
      </w:r>
      <w:r>
        <w:t>appropriately accounted for in the design phase. O&amp;M staff often provide a unique perspective regarding the feasibility of proposed design options, including an awareness of zones that have trouble maintaining setpoints and knowledge of system access points that enable preventative maintenance without disrupting classrooms.</w:t>
      </w:r>
    </w:p>
    <w:p w14:paraId="576FE417" w14:textId="20DA090B" w:rsidR="00183CC0" w:rsidRDefault="00183CC0" w:rsidP="00183CC0">
      <w:pPr>
        <w:pStyle w:val="Heading5"/>
      </w:pPr>
      <w:r>
        <w:t xml:space="preserve">(11) Utilize </w:t>
      </w:r>
      <w:r w:rsidR="008131EB">
        <w:t>BAS</w:t>
      </w:r>
      <w:r>
        <w:t xml:space="preserve"> to optimize building performance and energy efficiency</w:t>
      </w:r>
    </w:p>
    <w:p w14:paraId="7A8E30E6" w14:textId="014FA6A8" w:rsidR="00183CC0" w:rsidRDefault="008131EB" w:rsidP="006D7DE6">
      <w:pPr>
        <w:pStyle w:val="BodyTextFirstIndent"/>
      </w:pPr>
      <w:r>
        <w:t xml:space="preserve">A </w:t>
      </w:r>
      <w:r w:rsidR="00183CC0">
        <w:t>BAS provide</w:t>
      </w:r>
      <w:r>
        <w:t>s</w:t>
      </w:r>
      <w:r w:rsidR="00183CC0">
        <w:t xml:space="preserve"> automatic controls, visualizations, and trend data for the operation of various building systems. BAS support reliable building operations while also reducing energy and water consumption. ASHRAE </w:t>
      </w:r>
      <w:hyperlink r:id="rId174" w:history="1">
        <w:r w:rsidR="00183CC0" w:rsidRPr="002F350F">
          <w:rPr>
            <w:rStyle w:val="Hyperlink"/>
            <w:i/>
            <w:iCs/>
          </w:rPr>
          <w:t>Guideline 36-2021</w:t>
        </w:r>
      </w:hyperlink>
      <w:r w:rsidR="00183CC0">
        <w:t xml:space="preserve"> outlines best-in-class HVAC control sequences and should be used to establish requirements for new BAS or to conduct RCx for existing systems. Examples of BAS best practices </w:t>
      </w:r>
      <w:r>
        <w:t>follow.</w:t>
      </w:r>
    </w:p>
    <w:p w14:paraId="3BF6F2FF" w14:textId="61C94A4E" w:rsidR="00183CC0" w:rsidRDefault="00183CC0" w:rsidP="000E102E">
      <w:pPr>
        <w:pStyle w:val="BodyTextFirstIndent"/>
        <w:numPr>
          <w:ilvl w:val="0"/>
          <w:numId w:val="10"/>
        </w:numPr>
      </w:pPr>
      <w:r w:rsidRPr="00B62CD0">
        <w:rPr>
          <w:b/>
        </w:rPr>
        <w:t>Setpoints and schedules</w:t>
      </w:r>
      <w:r>
        <w:t xml:space="preserve"> </w:t>
      </w:r>
      <w:r w:rsidR="00B84D6D">
        <w:t xml:space="preserve">helps to </w:t>
      </w:r>
      <w:r w:rsidR="0098128C">
        <w:t>balances</w:t>
      </w:r>
      <w:r>
        <w:t xml:space="preserve"> the thermal comfort of building occupants (see Goal 2: Achieve Healthy Schools, Objective 2c. Maintain Thermal Comfort for additional details) and energy-efficient operations by reducing system runtime during unoccupied periods. Both should be established by district policy and allow for room-level adjustments by occupants (rooms with southern exposure may feel warmer) and special events (after-school uses of specific spaces). </w:t>
      </w:r>
    </w:p>
    <w:p w14:paraId="0BD4FBD4" w14:textId="77777777" w:rsidR="00183CC0" w:rsidRDefault="00183CC0" w:rsidP="000E102E">
      <w:pPr>
        <w:pStyle w:val="BodyTextFirstIndent"/>
        <w:numPr>
          <w:ilvl w:val="0"/>
          <w:numId w:val="10"/>
        </w:numPr>
      </w:pPr>
      <w:r w:rsidRPr="00B74B11">
        <w:rPr>
          <w:b/>
        </w:rPr>
        <w:t>Demand Controlled ventilation</w:t>
      </w:r>
      <w:r>
        <w:t xml:space="preserve"> is a best practice for ensuring sufficient ventilation is provided in an energy-efficient manner.</w:t>
      </w:r>
    </w:p>
    <w:p w14:paraId="04CDA9AB" w14:textId="77777777" w:rsidR="00183CC0" w:rsidRPr="00A41118" w:rsidRDefault="00183CC0" w:rsidP="000E102E">
      <w:pPr>
        <w:pStyle w:val="BodyTextFirstIndent"/>
        <w:numPr>
          <w:ilvl w:val="0"/>
          <w:numId w:val="10"/>
        </w:numPr>
        <w:rPr>
          <w:b/>
        </w:rPr>
      </w:pPr>
      <w:r w:rsidRPr="00A41118">
        <w:rPr>
          <w:b/>
        </w:rPr>
        <w:lastRenderedPageBreak/>
        <w:t>Optimal start and stop</w:t>
      </w:r>
      <w:r>
        <w:t xml:space="preserve"> refers to the use of trend data to understand how long the building takes to warm up or cool down based on weather conditions and schedules the HVAC system to turn on at a specific time based on current conditions. The alternative is using a static startup time that is often overly conservative (resulting in excessive equipment run time and energy waste) and may not be updated to account for sporadic, extreme conditions.</w:t>
      </w:r>
    </w:p>
    <w:p w14:paraId="60F2BAB1" w14:textId="0B3284BF" w:rsidR="00183CC0" w:rsidRPr="00B62CD0" w:rsidRDefault="00183CC0" w:rsidP="000E102E">
      <w:pPr>
        <w:pStyle w:val="BodyTextFirstIndent"/>
        <w:numPr>
          <w:ilvl w:val="0"/>
          <w:numId w:val="10"/>
        </w:numPr>
        <w:rPr>
          <w:rStyle w:val="Hyperlink"/>
          <w:color w:val="auto"/>
          <w:u w:val="none"/>
        </w:rPr>
      </w:pPr>
      <w:r w:rsidRPr="00AC7E14">
        <w:rPr>
          <w:b/>
        </w:rPr>
        <w:t>Central monitoring and control</w:t>
      </w:r>
      <w:r w:rsidRPr="002B4DDB">
        <w:rPr>
          <w:rStyle w:val="Hyperlink"/>
          <w:color w:val="auto"/>
          <w:u w:val="none"/>
        </w:rPr>
        <w:t xml:space="preserve"> </w:t>
      </w:r>
      <w:r>
        <w:rPr>
          <w:rStyle w:val="Hyperlink"/>
          <w:color w:val="auto"/>
          <w:u w:val="none"/>
        </w:rPr>
        <w:t xml:space="preserve">of BAS can be a beneficial strategy </w:t>
      </w:r>
      <w:r w:rsidRPr="002B4DDB">
        <w:rPr>
          <w:rStyle w:val="Hyperlink"/>
          <w:color w:val="auto"/>
          <w:u w:val="none"/>
        </w:rPr>
        <w:t>for larger districts</w:t>
      </w:r>
      <w:r>
        <w:rPr>
          <w:rStyle w:val="Hyperlink"/>
          <w:color w:val="auto"/>
          <w:u w:val="none"/>
        </w:rPr>
        <w:t>. Trained operators can remotely monitor building conditions across multiple schools, perform fault detection and diagnostics, and find energy savings (e.g., utility load curtailment or demand response programs).</w:t>
      </w:r>
      <w:r>
        <w:rPr>
          <w:rStyle w:val="Hyperlink"/>
          <w:color w:val="auto"/>
          <w:u w:val="none"/>
        </w:rPr>
        <w:fldChar w:fldCharType="begin"/>
      </w:r>
      <w:r w:rsidR="006B6AB2">
        <w:rPr>
          <w:rStyle w:val="Hyperlink"/>
          <w:color w:val="auto"/>
          <w:u w:val="none"/>
        </w:rPr>
        <w:instrText xml:space="preserve"> ADDIN ZOTERO_ITEM CSL_CITATION {"citationID":"DeFjGSQT","properties":{"formattedCitation":"\\super 181\\nosupersub{}","plainCitation":"181","noteIndex":0},"citationItems":[{"id":215,"uris":["http://zotero.org/groups/5563646/items/MYMQJ2NS"],"itemData":{"id":215,"type":"webpage","title":"Anne Arundel County Public Schools: Optimizing Energy Use through Central Monitoring and Control | Better Buildings Initiative","URL":"https://betterbuildingssolutioncenter.energy.gov/solutions-at-a-glance/anne-arundel-county-public-schools-optimizing-energy-use-through-central","accessed":{"date-parts":[["2024",6,20]]}}}],"schema":"https://github.com/citation-style-language/schema/raw/master/csl-citation.json"} </w:instrText>
      </w:r>
      <w:r>
        <w:rPr>
          <w:rStyle w:val="Hyperlink"/>
          <w:color w:val="auto"/>
          <w:u w:val="none"/>
        </w:rPr>
        <w:fldChar w:fldCharType="separate"/>
      </w:r>
      <w:r w:rsidR="006B6AB2" w:rsidRPr="006B6AB2">
        <w:rPr>
          <w:rFonts w:ascii="Calibri" w:hAnsi="Calibri" w:cs="Calibri"/>
          <w:vertAlign w:val="superscript"/>
        </w:rPr>
        <w:t>181</w:t>
      </w:r>
      <w:r>
        <w:rPr>
          <w:rStyle w:val="Hyperlink"/>
          <w:color w:val="auto"/>
          <w:u w:val="none"/>
        </w:rPr>
        <w:fldChar w:fldCharType="end"/>
      </w:r>
    </w:p>
    <w:p w14:paraId="5AF113A2" w14:textId="02347638" w:rsidR="00183CC0" w:rsidRDefault="00183CC0" w:rsidP="000E102E">
      <w:pPr>
        <w:pStyle w:val="BodyTextFirstIndent"/>
        <w:numPr>
          <w:ilvl w:val="0"/>
          <w:numId w:val="10"/>
        </w:numPr>
      </w:pPr>
      <w:r w:rsidRPr="00B62CD0">
        <w:rPr>
          <w:b/>
        </w:rPr>
        <w:t>Preventive maintenance</w:t>
      </w:r>
      <w:r>
        <w:t xml:space="preserve"> such as front-end software updates (what the user interacts with), controller firmware updates, and sensor calibration all help </w:t>
      </w:r>
      <w:r w:rsidR="0098128C">
        <w:t>support</w:t>
      </w:r>
      <w:r>
        <w:t xml:space="preserve"> the proper operation of and interpretation of the data from the BAS.</w:t>
      </w:r>
    </w:p>
    <w:p w14:paraId="6D8B06F0" w14:textId="6A91C79A" w:rsidR="00183CC0" w:rsidRDefault="00183CC0" w:rsidP="006D7DE6">
      <w:pPr>
        <w:pStyle w:val="BodyTextFirstIndent"/>
      </w:pPr>
      <w:r>
        <w:t xml:space="preserve">Co-benefits of improved building performance via BAS optimizations include controlling humidity and excess moisture in schools, which in turn can decrease mold growth, reducing allergens and asthma triggers. See the </w:t>
      </w:r>
      <w:hyperlink w:anchor="_Background" w:history="1">
        <w:r w:rsidRPr="009B2878">
          <w:rPr>
            <w:rStyle w:val="Hyperlink"/>
          </w:rPr>
          <w:t>Reduce Exposure to Mold and Moisture</w:t>
        </w:r>
      </w:hyperlink>
      <w:r>
        <w:t xml:space="preserve"> section for additional information.</w:t>
      </w:r>
    </w:p>
    <w:p w14:paraId="09962445" w14:textId="77777777" w:rsidR="00183CC0" w:rsidRDefault="00183CC0" w:rsidP="00183CC0">
      <w:pPr>
        <w:pStyle w:val="Heading5"/>
      </w:pPr>
      <w:r>
        <w:t>(12) Establish and train an NZE workforce</w:t>
      </w:r>
    </w:p>
    <w:p w14:paraId="5FFA20F0" w14:textId="4BDD5EE9" w:rsidR="00183CC0" w:rsidRDefault="00183CC0" w:rsidP="006D7DE6">
      <w:pPr>
        <w:pStyle w:val="BodyTextFirstIndent"/>
      </w:pPr>
      <w:r>
        <w:t>Massachusetts has identified expanding the clean energy sector workforce as a key strategy to achieving the Commonwealth’s climate goals. This includes trades relevant to school O&amp;M staff, including HVAC and smart building technicians, as well as other trade partners with whom schools are likely to contract.</w:t>
      </w:r>
      <w:r>
        <w:fldChar w:fldCharType="begin"/>
      </w:r>
      <w:r w:rsidR="00C221D5">
        <w:instrText xml:space="preserve"> ADDIN ZOTERO_ITEM CSL_CITATION {"citationID":"HJS9f3eH","properties":{"formattedCitation":"\\super 182\\nosupersub{}","plainCitation":"182","noteIndex":0},"citationItems":[{"id":214,"uris":["http://zotero.org/groups/5563646/items/DUDN9FKS"],"itemData":{"id":214,"type":"article-journal","language":"en","source":"Zotero","title":"Clean Energy and Climate Plan for 2050"}}],"schema":"https://github.com/citation-style-language/schema/raw/master/csl-citation.json"} </w:instrText>
      </w:r>
      <w:r>
        <w:fldChar w:fldCharType="separate"/>
      </w:r>
      <w:r w:rsidR="00C221D5" w:rsidRPr="00C221D5">
        <w:rPr>
          <w:rFonts w:cs="Arial"/>
          <w:vertAlign w:val="superscript"/>
        </w:rPr>
        <w:t>182</w:t>
      </w:r>
      <w:r>
        <w:fldChar w:fldCharType="end"/>
      </w:r>
      <w:r>
        <w:t xml:space="preserve"> While Massachusetts continues to build out equitable pathways to bring more people into the clean energy trades, districts can consider the following for existing staff and new hires:</w:t>
      </w:r>
    </w:p>
    <w:p w14:paraId="19CE8808" w14:textId="0E9D3E2E" w:rsidR="00183CC0" w:rsidRDefault="00183CC0" w:rsidP="008131EB">
      <w:pPr>
        <w:pStyle w:val="ListBullet"/>
      </w:pPr>
      <w:r>
        <w:t xml:space="preserve">The </w:t>
      </w:r>
      <w:r w:rsidRPr="00F40EA8">
        <w:rPr>
          <w:b/>
        </w:rPr>
        <w:t>existing workforce</w:t>
      </w:r>
      <w:r>
        <w:t xml:space="preserve"> benefits from continued investment in job training such as those offered by </w:t>
      </w:r>
      <w:r w:rsidRPr="00F67D73">
        <w:t>MassCEC</w:t>
      </w:r>
      <w:r w:rsidR="00EC40C7">
        <w:t xml:space="preserve"> </w:t>
      </w:r>
      <w:r>
        <w:t xml:space="preserve">through the </w:t>
      </w:r>
      <w:hyperlink r:id="rId175" w:history="1">
        <w:r w:rsidRPr="00B8496F">
          <w:rPr>
            <w:rStyle w:val="Hyperlink"/>
          </w:rPr>
          <w:t>Clean Energy Careers Training and Education Directory</w:t>
        </w:r>
      </w:hyperlink>
      <w:r>
        <w:t xml:space="preserve">, Massachusetts’ 15 community colleges, and </w:t>
      </w:r>
      <w:hyperlink r:id="rId176" w:history="1">
        <w:r w:rsidRPr="004F00B5">
          <w:rPr>
            <w:rStyle w:val="Hyperlink"/>
          </w:rPr>
          <w:t>Building Operator Certification</w:t>
        </w:r>
      </w:hyperlink>
      <w:r>
        <w:t xml:space="preserve"> (discounted rates available to registrants served by Eversource Massachusetts or National Grid).</w:t>
      </w:r>
      <w:r>
        <w:fldChar w:fldCharType="begin"/>
      </w:r>
      <w:r w:rsidR="00232A2A">
        <w:instrText xml:space="preserve"> ADDIN ZOTERO_ITEM CSL_CITATION {"citationID":"2sKn6RIM","properties":{"formattedCitation":"\\super 182\\nosupersub{}","plainCitation":"182","noteIndex":0},"citationItems":[{"id":214,"uris":["http://zotero.org/groups/5563646/items/DUDN9FKS"],"itemData":{"id":214,"type":"article-journal","language":"en","source":"Zotero","title":"Clean Energy and Climate Plan for 2050"}}],"schema":"https://github.com/citation-style-language/schema/raw/master/csl-citation.json"} </w:instrText>
      </w:r>
      <w:r>
        <w:fldChar w:fldCharType="separate"/>
      </w:r>
      <w:r w:rsidR="00232A2A" w:rsidRPr="00232A2A">
        <w:rPr>
          <w:rFonts w:cs="Arial"/>
          <w:vertAlign w:val="superscript"/>
        </w:rPr>
        <w:t>182</w:t>
      </w:r>
      <w:r>
        <w:fldChar w:fldCharType="end"/>
      </w:r>
    </w:p>
    <w:p w14:paraId="23456384" w14:textId="3BBDA4EA" w:rsidR="00183CC0" w:rsidRDefault="00183CC0" w:rsidP="008131EB">
      <w:pPr>
        <w:pStyle w:val="ListBullet"/>
      </w:pPr>
      <w:r>
        <w:t xml:space="preserve">Evaluate the </w:t>
      </w:r>
      <w:r w:rsidRPr="00F40EA8">
        <w:rPr>
          <w:b/>
        </w:rPr>
        <w:t>job descriptions and required licensing/certifications</w:t>
      </w:r>
      <w:r>
        <w:t xml:space="preserve"> of new hires. For example, as districts electrify schools, roles that traditionally required boiler plant operator licenses will require an HVAC technician skillset to understand the vapor compression refrigerant cycle used by heat pumps. There is also an increasing need for computer skills </w:t>
      </w:r>
      <w:r w:rsidR="0094395F">
        <w:t>so</w:t>
      </w:r>
      <w:r>
        <w:t xml:space="preserve"> </w:t>
      </w:r>
      <w:r w:rsidR="008131EB">
        <w:t xml:space="preserve">that </w:t>
      </w:r>
      <w:r>
        <w:t>BAS-connected systems run automatically based on the original design intent and are only overridden for manual operation briefly and when necessary.</w:t>
      </w:r>
    </w:p>
    <w:p w14:paraId="380772CE" w14:textId="21CAD748" w:rsidR="00183CC0" w:rsidRDefault="00EE28B6" w:rsidP="00183CC0">
      <w:pPr>
        <w:pStyle w:val="Heading4"/>
      </w:pPr>
      <w:r>
        <w:t xml:space="preserve">Procure </w:t>
      </w:r>
      <w:r w:rsidR="00183CC0">
        <w:t>Decarbonized Electricity</w:t>
      </w:r>
    </w:p>
    <w:p w14:paraId="10CC16FD" w14:textId="77777777" w:rsidR="00183CC0" w:rsidRDefault="00183CC0" w:rsidP="006D7DE6">
      <w:pPr>
        <w:pStyle w:val="BodyTextFirstIndent"/>
      </w:pPr>
      <w:r>
        <w:t>The procurement and use of decarbonized electricity is the final pillar of decarbonization following efficiency improvements and electrification projects. Using</w:t>
      </w:r>
      <w:r w:rsidRPr="00CE7A61">
        <w:t xml:space="preserve"> </w:t>
      </w:r>
      <w:r>
        <w:t>decarbonized</w:t>
      </w:r>
      <w:r w:rsidRPr="00CE7A61">
        <w:t xml:space="preserve"> </w:t>
      </w:r>
      <w:r w:rsidRPr="00CE7A61">
        <w:lastRenderedPageBreak/>
        <w:t xml:space="preserve">electricity is a key step to decarbonization, especially as more building systems are electrified and building electricity consumption increases. </w:t>
      </w:r>
      <w:r>
        <w:t>By nature, decarbonized electricity also keeps district money in the regional community as a school’s utility budget transitions from being spent on fuels that are most often brought in from outside of the community to electricity that is generated within the region. To pursue decarbonized electricity, schools should consider both the installation and use of onsite renewable energy systems and the procurement of bundled renewable electricity from the grid.</w:t>
      </w:r>
    </w:p>
    <w:p w14:paraId="009AACB3" w14:textId="77777777" w:rsidR="00183CC0" w:rsidRDefault="00183CC0" w:rsidP="00183CC0">
      <w:pPr>
        <w:pStyle w:val="Heading5"/>
      </w:pPr>
      <w:bookmarkStart w:id="445" w:name="_(13)_Install_and"/>
      <w:bookmarkEnd w:id="445"/>
      <w:r>
        <w:t>(13) Install and use onsite renewable energy systems</w:t>
      </w:r>
    </w:p>
    <w:p w14:paraId="48DFF8C3" w14:textId="0F12E814" w:rsidR="00183CC0" w:rsidRDefault="00183CC0" w:rsidP="006D7DE6">
      <w:pPr>
        <w:pStyle w:val="BodyTextFirstIndent"/>
      </w:pPr>
      <w:r w:rsidRPr="00E01774">
        <w:t xml:space="preserve">Onsite </w:t>
      </w:r>
      <w:r>
        <w:t>renewable</w:t>
      </w:r>
      <w:r w:rsidRPr="00E01774">
        <w:t xml:space="preserve"> energy systems allow schools to generate and consume their own electricity, while still being connected to the broader electrical grid to </w:t>
      </w:r>
      <w:r w:rsidR="009A689C">
        <w:t>support</w:t>
      </w:r>
      <w:r w:rsidRPr="00E01774">
        <w:t xml:space="preserve"> reliable operations and to export power when it is not needed. Solar photovoltaic (PV) </w:t>
      </w:r>
      <w:r>
        <w:t xml:space="preserve">arrays </w:t>
      </w:r>
      <w:r w:rsidRPr="00E01774">
        <w:t xml:space="preserve">are the most common onsite </w:t>
      </w:r>
      <w:r>
        <w:t xml:space="preserve">renewable energy </w:t>
      </w:r>
      <w:r w:rsidRPr="00E01774">
        <w:t xml:space="preserve">systems and can take advantage of the large flat roofs </w:t>
      </w:r>
      <w:r>
        <w:t>installed on</w:t>
      </w:r>
      <w:r w:rsidRPr="00E01774">
        <w:t xml:space="preserve"> many schools.</w:t>
      </w:r>
      <w:r>
        <w:t xml:space="preserve"> Districts can use DOER’s </w:t>
      </w:r>
      <w:hyperlink r:id="rId177" w:history="1">
        <w:r w:rsidRPr="000F2AA5">
          <w:rPr>
            <w:rStyle w:val="Hyperlink"/>
          </w:rPr>
          <w:t>Technical Solar Potential Map</w:t>
        </w:r>
      </w:hyperlink>
      <w:r>
        <w:t xml:space="preserve"> to help prioritize schools with the </w:t>
      </w:r>
      <w:r w:rsidR="008A573D">
        <w:t>greatest</w:t>
      </w:r>
      <w:r>
        <w:t xml:space="preserve"> solar potential.</w:t>
      </w:r>
      <w:r w:rsidRPr="00E01774">
        <w:t xml:space="preserve"> </w:t>
      </w:r>
      <w:r>
        <w:t>To the maximum extent possible, schools should coordinate the installation of o</w:t>
      </w:r>
      <w:r w:rsidRPr="00E01774">
        <w:t xml:space="preserve">nsite </w:t>
      </w:r>
      <w:r>
        <w:t xml:space="preserve">solar </w:t>
      </w:r>
      <w:r w:rsidRPr="00E01774">
        <w:t xml:space="preserve">PV </w:t>
      </w:r>
      <w:r>
        <w:t xml:space="preserve">arrays to coincide with </w:t>
      </w:r>
      <w:r w:rsidRPr="00E01774">
        <w:t xml:space="preserve">roof replacements to help </w:t>
      </w:r>
      <w:r w:rsidR="009F2327">
        <w:t>make certain</w:t>
      </w:r>
      <w:r w:rsidRPr="00E01774">
        <w:t xml:space="preserve"> 20 to 25 years of uninterrupted generation</w:t>
      </w:r>
      <w:r>
        <w:t xml:space="preserve"> from the array</w:t>
      </w:r>
      <w:r w:rsidRPr="00E01774">
        <w:t>. Other project types (such as roof replacements) can include PV make-ready infrastructure (home</w:t>
      </w:r>
      <w:r>
        <w:t xml:space="preserve"> </w:t>
      </w:r>
      <w:r w:rsidRPr="00E01774">
        <w:t>run conduit from the roof to the electrical room) to lower the cost of future installation. Systems that require dedicated structures (carports) are more costly</w:t>
      </w:r>
      <w:r>
        <w:t xml:space="preserve"> to install</w:t>
      </w:r>
      <w:r w:rsidRPr="00E01774">
        <w:t xml:space="preserve"> but can offer additional benefits such as shading and supporting electric vehicle charging.</w:t>
      </w:r>
      <w:r>
        <w:t xml:space="preserve"> </w:t>
      </w:r>
      <w:r w:rsidRPr="00546DB9">
        <w:t xml:space="preserve">See </w:t>
      </w:r>
      <w:hyperlink w:anchor="Objective_1e" w:history="1">
        <w:r w:rsidRPr="00546DB9">
          <w:rPr>
            <w:rStyle w:val="Hyperlink"/>
          </w:rPr>
          <w:t>Objective 1e. Provide Electric Vehicle Charging Stations for School Staff and Public Use</w:t>
        </w:r>
      </w:hyperlink>
      <w:r w:rsidRPr="00546DB9">
        <w:t xml:space="preserve"> for additional information about electric vehicle charging infrastructure and </w:t>
      </w:r>
      <w:hyperlink w:anchor="Objective_1f" w:history="1">
        <w:r w:rsidRPr="00546DB9">
          <w:rPr>
            <w:rStyle w:val="Hyperlink"/>
          </w:rPr>
          <w:t>Objective 1f. Enhance Climate Resilience</w:t>
        </w:r>
      </w:hyperlink>
      <w:r>
        <w:t xml:space="preserve"> for additional information for how solar PV arrays can incorporate battery energy storage systems (BESS) to optimize a school’s resilience to climate change.</w:t>
      </w:r>
    </w:p>
    <w:p w14:paraId="53573159" w14:textId="036E22B2" w:rsidR="00183CC0" w:rsidRPr="00BE0180" w:rsidRDefault="00183CC0" w:rsidP="006D7DE6">
      <w:pPr>
        <w:pStyle w:val="BodyTextFirstIndent"/>
      </w:pPr>
      <w:r w:rsidRPr="00CE7A61">
        <w:t>NE</w:t>
      </w:r>
      <w:r>
        <w:t>-</w:t>
      </w:r>
      <w:r w:rsidRPr="00CE7A61">
        <w:t>CHPS defines zero</w:t>
      </w:r>
      <w:r>
        <w:t xml:space="preserve"> </w:t>
      </w:r>
      <w:r w:rsidRPr="00CE7A61">
        <w:t>energy</w:t>
      </w:r>
      <w:r>
        <w:t xml:space="preserve"> </w:t>
      </w:r>
      <w:r w:rsidRPr="00CE7A61">
        <w:t xml:space="preserve">capable design as having PV generation equal to or greater than 100 percent of annual electricity consumption, covering a minimum of 65 percent of </w:t>
      </w:r>
      <w:r>
        <w:t xml:space="preserve">the </w:t>
      </w:r>
      <w:r w:rsidRPr="00CE7A61">
        <w:t xml:space="preserve">roof area. This highlights </w:t>
      </w:r>
      <w:r>
        <w:t xml:space="preserve">the benefit of project </w:t>
      </w:r>
      <w:r w:rsidRPr="00CE7A61">
        <w:t>design</w:t>
      </w:r>
      <w:r>
        <w:t>s that</w:t>
      </w:r>
      <w:r w:rsidRPr="00CE7A61">
        <w:t xml:space="preserve"> minimize rooftop equipment to maximize PV capacity.</w:t>
      </w:r>
      <w:r>
        <w:rPr>
          <w:vertAlign w:val="superscript"/>
        </w:rPr>
        <w:fldChar w:fldCharType="begin"/>
      </w:r>
      <w:r w:rsidR="00A9108F">
        <w:rPr>
          <w:vertAlign w:val="superscript"/>
        </w:rPr>
        <w:instrText xml:space="preserve"> ADDIN ZOTERO_ITEM CSL_CITATION {"citationID":"a13if959708","properties":{"formattedCitation":"\\super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rPr>
          <w:vertAlign w:val="superscript"/>
        </w:rPr>
        <w:fldChar w:fldCharType="separate"/>
      </w:r>
      <w:r w:rsidR="00A9108F" w:rsidRPr="00A9108F">
        <w:rPr>
          <w:rFonts w:cs="Arial"/>
          <w:vertAlign w:val="superscript"/>
        </w:rPr>
        <w:t>183</w:t>
      </w:r>
      <w:r>
        <w:rPr>
          <w:vertAlign w:val="superscript"/>
        </w:rPr>
        <w:fldChar w:fldCharType="end"/>
      </w:r>
    </w:p>
    <w:p w14:paraId="530D06D6" w14:textId="77777777" w:rsidR="00183CC0" w:rsidRDefault="00183CC0" w:rsidP="00183CC0">
      <w:pPr>
        <w:pStyle w:val="Heading5"/>
      </w:pPr>
      <w:r>
        <w:t>(14) Procure bundled renewable electricity from the grid</w:t>
      </w:r>
    </w:p>
    <w:p w14:paraId="35CC21F9" w14:textId="38EA6279" w:rsidR="00183CC0" w:rsidRPr="002E1CBC" w:rsidRDefault="00183CC0" w:rsidP="006D7DE6">
      <w:pPr>
        <w:pStyle w:val="BodyTextFirstIndent"/>
      </w:pPr>
      <w:r w:rsidRPr="002E1CBC">
        <w:t>Massachusetts is a retail choice electricity market served by ISO New England</w:t>
      </w:r>
      <w:r w:rsidR="00DF61CC">
        <w:t xml:space="preserve">—the independent </w:t>
      </w:r>
      <w:r w:rsidR="00665A3C">
        <w:t xml:space="preserve">regional </w:t>
      </w:r>
      <w:r w:rsidR="00DF61CC">
        <w:t xml:space="preserve">transmission </w:t>
      </w:r>
      <w:r w:rsidR="00665A3C">
        <w:t>organization that oversees the operation of the gr</w:t>
      </w:r>
      <w:r w:rsidR="00302C61">
        <w:t>i</w:t>
      </w:r>
      <w:r w:rsidR="00665A3C">
        <w:t>d in New England</w:t>
      </w:r>
      <w:r w:rsidRPr="002E1CBC">
        <w:t xml:space="preserve">. In a retail choice market, organizations can participate in competitive procurements and select their own electricity supply, which is delivered to facilities by the serving distribution utility (the company that owns the wires to the building, owns the meter, and bills the customer). Massachusetts’ Renewable Energy Portfolio Standard (RPS) ensures that the amount of grid-supplied clean electricity that a facility receives by default increases over time. </w:t>
      </w:r>
    </w:p>
    <w:p w14:paraId="4E59C1CC" w14:textId="323BB55F" w:rsidR="00183CC0" w:rsidRDefault="00183CC0" w:rsidP="006D7DE6">
      <w:pPr>
        <w:pStyle w:val="BodyTextFirstIndent"/>
      </w:pPr>
      <w:r w:rsidRPr="002E1CBC">
        <w:lastRenderedPageBreak/>
        <w:t xml:space="preserve">Bundled </w:t>
      </w:r>
      <w:r>
        <w:t>renewable</w:t>
      </w:r>
      <w:r w:rsidRPr="002E1CBC">
        <w:t xml:space="preserve"> electricity </w:t>
      </w:r>
      <w:r>
        <w:t xml:space="preserve">(also known as “delivered green power”) refers to a customer’s purchase of physical electricity flowing from the grid to the customer’s site paired with the underlying environmental attributes associated with the electricity generated from a renewable source, for which the customer pays a premium. </w:t>
      </w:r>
      <w:r w:rsidRPr="002E1CBC">
        <w:t xml:space="preserve">These attributes are commonly referred to as renewable energy credits or energy attribute certificates. </w:t>
      </w:r>
      <w:hyperlink r:id="rId178" w:history="1">
        <w:r w:rsidRPr="00231F06">
          <w:rPr>
            <w:rStyle w:val="Hyperlink"/>
          </w:rPr>
          <w:t>PowerOptions</w:t>
        </w:r>
      </w:hyperlink>
      <w:r w:rsidRPr="002E1CBC">
        <w:t xml:space="preserve"> is an organization that manages competitive utility procurements for non-profit and public sector entities</w:t>
      </w:r>
      <w:r>
        <w:t xml:space="preserve"> in Massachusetts, Connecticut, and Rhode Island</w:t>
      </w:r>
      <w:r w:rsidRPr="002E1CBC">
        <w:t xml:space="preserve">, helping schools </w:t>
      </w:r>
      <w:r>
        <w:t xml:space="preserve">in these states </w:t>
      </w:r>
      <w:r w:rsidRPr="002E1CBC">
        <w:t>meet their goals and reduce utility price volatility by locking in stable long-term electricity rates.</w:t>
      </w:r>
    </w:p>
    <w:p w14:paraId="36025BE9" w14:textId="77777777" w:rsidR="00065464" w:rsidRDefault="00065464" w:rsidP="00065464">
      <w:pPr>
        <w:pStyle w:val="Heading3"/>
      </w:pPr>
      <w:r>
        <w:t>Statutes, Regulations, and Standards</w:t>
      </w:r>
    </w:p>
    <w:p w14:paraId="138CDC54" w14:textId="77777777" w:rsidR="00065464" w:rsidRPr="00DD6DCA" w:rsidRDefault="00065464" w:rsidP="006D7DE6">
      <w:pPr>
        <w:pStyle w:val="BodyTextFirstIndent"/>
      </w:pPr>
      <w:r>
        <w:t>Massachusetts has been a national leader in policy for the decarbonization of buildings and energy systems. Statutes, regulations, and standards that apply to schools follow.</w:t>
      </w:r>
    </w:p>
    <w:p w14:paraId="1DED3E76" w14:textId="77777777" w:rsidR="00065464" w:rsidRDefault="00065464" w:rsidP="00065464">
      <w:pPr>
        <w:pStyle w:val="Heading4"/>
      </w:pPr>
      <w:r>
        <w:t xml:space="preserve">Summary of </w:t>
      </w:r>
      <w:r w:rsidRPr="002B4973">
        <w:t>Relevant Statutes</w:t>
      </w:r>
    </w:p>
    <w:p w14:paraId="3181F455" w14:textId="6C2A461D" w:rsidR="00065464" w:rsidRDefault="00065464" w:rsidP="006D7DE6">
      <w:pPr>
        <w:pStyle w:val="BodyTextFirstIndent"/>
      </w:pPr>
      <w:r w:rsidRPr="653D8BA2">
        <w:rPr>
          <w:b/>
        </w:rPr>
        <w:t>Act</w:t>
      </w:r>
      <w:r>
        <w:rPr>
          <w:b/>
        </w:rPr>
        <w:t>s</w:t>
      </w:r>
      <w:r w:rsidRPr="653D8BA2">
        <w:rPr>
          <w:b/>
        </w:rPr>
        <w:t xml:space="preserve"> of 2016</w:t>
      </w:r>
      <w:r>
        <w:rPr>
          <w:b/>
        </w:rPr>
        <w:t>,</w:t>
      </w:r>
      <w:r w:rsidRPr="653D8BA2">
        <w:rPr>
          <w:b/>
        </w:rPr>
        <w:t xml:space="preserve"> Chapter 75: Solar Massachusetts Renewable Target Program</w:t>
      </w:r>
      <w:r>
        <w:t xml:space="preserve"> directs DOER to establish a long-term sustainable solar incentive program to promote cost-effective solar in the Commonwealth.</w:t>
      </w:r>
      <w:r>
        <w:fldChar w:fldCharType="begin"/>
      </w:r>
      <w:r w:rsidR="00BC7D3C">
        <w:instrText xml:space="preserve"> ADDIN ZOTERO_ITEM CSL_CITATION {"citationID":"1auFzogJ","properties":{"formattedCitation":"\\super 184\\nosupersub{}","plainCitation":"184","noteIndex":0},"citationItems":[{"id":125,"uris":["http://zotero.org/groups/5563646/items/WNVFU233"],"itemData":{"id":125,"type":"document","title":"Solar Massachusetts Renewable Target Program Guideline","URL":"https://www.mass.gov/doc/ess-guideline-october-2020/download","issued":{"date-parts":[["2018",9,13]]}}}],"schema":"https://github.com/citation-style-language/schema/raw/master/csl-citation.json"} </w:instrText>
      </w:r>
      <w:r>
        <w:fldChar w:fldCharType="separate"/>
      </w:r>
      <w:r w:rsidR="00BC7D3C" w:rsidRPr="00BC7D3C">
        <w:rPr>
          <w:rFonts w:cs="Arial"/>
          <w:vertAlign w:val="superscript"/>
        </w:rPr>
        <w:t>184</w:t>
      </w:r>
      <w:r>
        <w:fldChar w:fldCharType="end"/>
      </w:r>
    </w:p>
    <w:p w14:paraId="618734F2" w14:textId="42A8E6EB" w:rsidR="00065464" w:rsidRDefault="00065464" w:rsidP="006D7DE6">
      <w:pPr>
        <w:pStyle w:val="BodyTextFirstIndent"/>
      </w:pPr>
      <w:r w:rsidRPr="0067749D">
        <w:rPr>
          <w:b/>
        </w:rPr>
        <w:t>Act</w:t>
      </w:r>
      <w:r>
        <w:rPr>
          <w:b/>
        </w:rPr>
        <w:t>s</w:t>
      </w:r>
      <w:r w:rsidRPr="0067749D">
        <w:rPr>
          <w:b/>
        </w:rPr>
        <w:t xml:space="preserve"> of 2021</w:t>
      </w:r>
      <w:r>
        <w:rPr>
          <w:b/>
        </w:rPr>
        <w:t>,</w:t>
      </w:r>
      <w:r w:rsidRPr="0067749D">
        <w:rPr>
          <w:b/>
        </w:rPr>
        <w:t xml:space="preserve"> Chapter 8: An Ac</w:t>
      </w:r>
      <w:r>
        <w:rPr>
          <w:b/>
        </w:rPr>
        <w:t>t</w:t>
      </w:r>
      <w:r w:rsidRPr="0067749D">
        <w:rPr>
          <w:b/>
        </w:rPr>
        <w:t xml:space="preserve"> Creating a Next-Generation Roadmap for Massachusetts Climate Policy</w:t>
      </w:r>
      <w:r w:rsidRPr="19A2F161">
        <w:t xml:space="preserve"> establishes comprehensive policies to address climate change</w:t>
      </w:r>
      <w:r>
        <w:t>;</w:t>
      </w:r>
      <w:r w:rsidRPr="19A2F161">
        <w:t xml:space="preserve"> </w:t>
      </w:r>
      <w:r>
        <w:t xml:space="preserve">the statute </w:t>
      </w:r>
      <w:r w:rsidRPr="19A2F161">
        <w:t xml:space="preserve">required the </w:t>
      </w:r>
      <w:r w:rsidR="000303BB">
        <w:t xml:space="preserve">EEA </w:t>
      </w:r>
      <w:r w:rsidRPr="19A2F161">
        <w:t>Secretary to adopt a statewide GHG emissions limit and sector-specific sub</w:t>
      </w:r>
      <w:r>
        <w:t>-</w:t>
      </w:r>
      <w:r w:rsidRPr="19A2F161">
        <w:t>limits for 2050.</w:t>
      </w:r>
      <w:r w:rsidR="00C60A3D">
        <w:fldChar w:fldCharType="begin"/>
      </w:r>
      <w:r w:rsidR="000E2866">
        <w:instrText xml:space="preserve"> ADDIN ZOTERO_ITEM CSL_CITATION {"citationID":"a1qq66iidvh","properties":{"formattedCitation":"\\super 185\\nosupersub{}","plainCitation":"185","noteIndex":0},"citationItems":[{"id":124,"uris":["http://zotero.org/groups/5563646/items/3L93DXA7"],"itemData":{"id":124,"type":"webpage","title":"Session Law - Acts of 2021 Chapter 8","URL":"https://malegislature.gov/Laws/SessionLaws/Acts/2021/Chapter8","accessed":{"date-parts":[["2024",6,13]]}}}],"schema":"https://github.com/citation-style-language/schema/raw/master/csl-citation.json"} </w:instrText>
      </w:r>
      <w:r w:rsidR="00C60A3D">
        <w:fldChar w:fldCharType="separate"/>
      </w:r>
      <w:r w:rsidR="000E2866" w:rsidRPr="000E2866">
        <w:rPr>
          <w:rFonts w:cs="Arial"/>
          <w:vertAlign w:val="superscript"/>
        </w:rPr>
        <w:t>185</w:t>
      </w:r>
      <w:r w:rsidR="00C60A3D">
        <w:fldChar w:fldCharType="end"/>
      </w:r>
    </w:p>
    <w:p w14:paraId="1B07207A" w14:textId="6DE72ED3" w:rsidR="00065464" w:rsidRPr="00E77A50" w:rsidRDefault="00065464" w:rsidP="006D7DE6">
      <w:pPr>
        <w:pStyle w:val="BodyTextFirstIndent"/>
      </w:pPr>
      <w:r w:rsidRPr="00DA436D">
        <w:rPr>
          <w:b/>
          <w:bCs/>
        </w:rPr>
        <w:t>Act</w:t>
      </w:r>
      <w:r>
        <w:rPr>
          <w:b/>
          <w:bCs/>
        </w:rPr>
        <w:t>s</w:t>
      </w:r>
      <w:r w:rsidRPr="00DA436D">
        <w:rPr>
          <w:b/>
          <w:bCs/>
        </w:rPr>
        <w:t xml:space="preserve"> of 2022</w:t>
      </w:r>
      <w:r>
        <w:rPr>
          <w:b/>
          <w:bCs/>
        </w:rPr>
        <w:t>,</w:t>
      </w:r>
      <w:r w:rsidRPr="00DA436D">
        <w:rPr>
          <w:b/>
          <w:bCs/>
        </w:rPr>
        <w:t xml:space="preserve"> Chapter 179: An Act Driving Clean Energy and Offshore Wind</w:t>
      </w:r>
      <w:r>
        <w:rPr>
          <w:b/>
          <w:bCs/>
        </w:rPr>
        <w:t>, Section 20</w:t>
      </w:r>
      <w:r>
        <w:t xml:space="preserve"> requires owners of buildings greater than 20,000 square feet to report annual energy usage to DOER.</w:t>
      </w:r>
      <w:r w:rsidR="00A75F68">
        <w:fldChar w:fldCharType="begin"/>
      </w:r>
      <w:r w:rsidR="00A22166">
        <w:instrText xml:space="preserve"> ADDIN ZOTERO_ITEM CSL_CITATION {"citationID":"a1chemguube","properties":{"formattedCitation":"\\super 32\\nosupersub{}","plainCitation":"32","noteIndex":0},"citationItems":[{"id":404,"uris":["http://zotero.org/groups/5563646/items/FXQDAQRW"],"itemData":{"id":404,"type":"webpage","title":"Session Law - Acts of 2022 Chapter 179","URL":"https://malegislature.gov/Laws/SessionLaws/Acts/2022/Chapter179","author":[{"family":"The General Court of the Commonwealth of Massachusetts","given":""}],"accessed":{"date-parts":[["2024",6,26]]},"issued":{"date-parts":[["2022",8,11]]}}}],"schema":"https://github.com/citation-style-language/schema/raw/master/csl-citation.json"} </w:instrText>
      </w:r>
      <w:r w:rsidR="00A75F68">
        <w:fldChar w:fldCharType="separate"/>
      </w:r>
      <w:r w:rsidR="00A22166" w:rsidRPr="00A22166">
        <w:rPr>
          <w:rFonts w:cs="Arial"/>
          <w:vertAlign w:val="superscript"/>
        </w:rPr>
        <w:t>32</w:t>
      </w:r>
      <w:r w:rsidR="00A75F68">
        <w:fldChar w:fldCharType="end"/>
      </w:r>
    </w:p>
    <w:p w14:paraId="7B75A5C2" w14:textId="0B636EB7" w:rsidR="00065464" w:rsidRDefault="00065464" w:rsidP="006D7DE6">
      <w:pPr>
        <w:pStyle w:val="BodyTextFirstIndent"/>
      </w:pPr>
      <w:r w:rsidRPr="007A7B62">
        <w:rPr>
          <w:b/>
        </w:rPr>
        <w:t>M.G.L c, 25A § 11F: Renewable Energy Portfolio Standard</w:t>
      </w:r>
      <w:r>
        <w:t xml:space="preserve"> directs DOER to establish an RPS for all retail electricity suppliers selling electricity to end-use customers in the Commonwealth.</w:t>
      </w:r>
      <w:r>
        <w:fldChar w:fldCharType="begin"/>
      </w:r>
      <w:r w:rsidR="00E16C83">
        <w:instrText xml:space="preserve"> ADDIN ZOTERO_ITEM CSL_CITATION {"citationID":"WbKbnzSZ","properties":{"formattedCitation":"\\super 186\\nosupersub{}","plainCitation":"186","noteIndex":0},"citationItems":[{"id":127,"uris":["http://zotero.org/groups/5563646/items/2FFXL6JH"],"itemData":{"id":127,"type":"webpage","title":"General Law - Part I, Title II, Chapter 25A, Section 11F","URL":"https://malegislature.gov/Laws/GeneralLaws/PartI/TitleII/Chapter25A/Section11F","accessed":{"date-parts":[["2024",6,13]]}}}],"schema":"https://github.com/citation-style-language/schema/raw/master/csl-citation.json"} </w:instrText>
      </w:r>
      <w:r>
        <w:fldChar w:fldCharType="separate"/>
      </w:r>
      <w:r w:rsidR="00E16C83" w:rsidRPr="00E16C83">
        <w:rPr>
          <w:rFonts w:cs="Arial"/>
          <w:vertAlign w:val="superscript"/>
        </w:rPr>
        <w:t>186</w:t>
      </w:r>
      <w:r>
        <w:fldChar w:fldCharType="end"/>
      </w:r>
    </w:p>
    <w:p w14:paraId="6B650194" w14:textId="637C0312" w:rsidR="00065464" w:rsidRDefault="00065464" w:rsidP="006D7DE6">
      <w:pPr>
        <w:pStyle w:val="BodyTextFirstIndent"/>
      </w:pPr>
      <w:r w:rsidRPr="00C00EFB">
        <w:rPr>
          <w:b/>
        </w:rPr>
        <w:t>M.G.L c, 70B: School Building Assistance Program</w:t>
      </w:r>
      <w:r>
        <w:t xml:space="preserve"> established the MSBA; the statute provides the MSBA’s purview and operating authority.</w:t>
      </w:r>
      <w:r w:rsidR="003C2148">
        <w:fldChar w:fldCharType="begin"/>
      </w:r>
      <w:r w:rsidR="0088581A">
        <w:instrText xml:space="preserve"> ADDIN ZOTERO_ITEM CSL_CITATION {"citationID":"abg576nq9d","properties":{"formattedCitation":"\\super 30\\nosupersub{}","plainCitation":"30","noteIndex":0},"citationItems":[{"id":112,"uris":["http://zotero.org/groups/5563646/items/E9PDDYF5"],"itemData":{"id":112,"type":"webpage","title":"Chapter 70B: School Building Assistance Program","URL":"https://malegislature.gov/Laws/GeneralLaws/PartI/TitleXII/Chapter70B","accessed":{"date-parts":[["2024",6,17]]}}}],"schema":"https://github.com/citation-style-language/schema/raw/master/csl-citation.json"} </w:instrText>
      </w:r>
      <w:r w:rsidR="003C2148">
        <w:fldChar w:fldCharType="separate"/>
      </w:r>
      <w:r w:rsidR="0088581A" w:rsidRPr="0088581A">
        <w:rPr>
          <w:rFonts w:cs="Arial"/>
          <w:vertAlign w:val="superscript"/>
        </w:rPr>
        <w:t>30</w:t>
      </w:r>
      <w:r w:rsidR="003C2148">
        <w:fldChar w:fldCharType="end"/>
      </w:r>
    </w:p>
    <w:p w14:paraId="1CFA7F95" w14:textId="77777777" w:rsidR="00065464" w:rsidRDefault="00065464" w:rsidP="00065464">
      <w:pPr>
        <w:pStyle w:val="Heading4"/>
      </w:pPr>
      <w:r>
        <w:t>Summary of Relevant Regulations</w:t>
      </w:r>
    </w:p>
    <w:p w14:paraId="50FD317F" w14:textId="532DAACC" w:rsidR="00065464" w:rsidRPr="00ED42A7" w:rsidRDefault="00065464" w:rsidP="006D7DE6">
      <w:pPr>
        <w:pStyle w:val="BodyTextFirstIndent"/>
      </w:pPr>
      <w:r w:rsidRPr="00745F74">
        <w:rPr>
          <w:b/>
        </w:rPr>
        <w:t xml:space="preserve">225 </w:t>
      </w:r>
      <w:r w:rsidRPr="005643C4">
        <w:rPr>
          <w:b/>
        </w:rPr>
        <w:t xml:space="preserve">Code of Massachusetts Regulations </w:t>
      </w:r>
      <w:r>
        <w:rPr>
          <w:b/>
        </w:rPr>
        <w:t>(</w:t>
      </w:r>
      <w:r w:rsidRPr="00745F74">
        <w:rPr>
          <w:b/>
        </w:rPr>
        <w:t>CMR</w:t>
      </w:r>
      <w:r>
        <w:rPr>
          <w:b/>
        </w:rPr>
        <w:t>)</w:t>
      </w:r>
      <w:r w:rsidRPr="00745F74">
        <w:rPr>
          <w:b/>
        </w:rPr>
        <w:t xml:space="preserve"> 10.00: Energy Management Services (EMS) Contracts RFP Process</w:t>
      </w:r>
      <w:r>
        <w:t xml:space="preserve"> </w:t>
      </w:r>
      <w:r w:rsidRPr="005C4979">
        <w:t>sets forth the guidelines and procedures that public entities in Massachusetts must follow when seeking to procure energy management services through the RFP</w:t>
      </w:r>
      <w:r w:rsidR="008131EB">
        <w:t xml:space="preserve"> </w:t>
      </w:r>
      <w:r w:rsidRPr="005C4979">
        <w:t>process, ensuring that these contracts contribute to the state’s energy efficiency and sustainability goals.</w:t>
      </w:r>
      <w:r w:rsidR="00F855BF">
        <w:fldChar w:fldCharType="begin"/>
      </w:r>
      <w:r w:rsidR="00867C3A">
        <w:instrText xml:space="preserve"> ADDIN ZOTERO_ITEM CSL_CITATION {"citationID":"a2hd08u63n1","properties":{"formattedCitation":"\\super 187\\nosupersub{}","plainCitation":"187","noteIndex":0},"citationItems":[{"id":230,"uris":["http://zotero.org/groups/5563646/items/PCFBKVDW"],"itemData":{"id":230,"type":"document","title":"Energy Management Services (EMS) Contracts RFP Process","URL":"https://www.mass.gov/media/5806/download","author":[{"literal":"MA DOER"}]}}],"schema":"https://github.com/citation-style-language/schema/raw/master/csl-citation.json"} </w:instrText>
      </w:r>
      <w:r w:rsidR="00F855BF">
        <w:fldChar w:fldCharType="separate"/>
      </w:r>
      <w:r w:rsidR="00867C3A" w:rsidRPr="00867C3A">
        <w:rPr>
          <w:rFonts w:cs="Arial"/>
          <w:vertAlign w:val="superscript"/>
        </w:rPr>
        <w:t>187</w:t>
      </w:r>
      <w:r w:rsidR="00F855BF">
        <w:fldChar w:fldCharType="end"/>
      </w:r>
    </w:p>
    <w:p w14:paraId="1C60C216" w14:textId="7DC1F536" w:rsidR="00065464" w:rsidRPr="00ED42A7" w:rsidRDefault="00065464" w:rsidP="006D7DE6">
      <w:pPr>
        <w:pStyle w:val="BodyTextFirstIndent"/>
      </w:pPr>
      <w:r w:rsidRPr="653D8BA2">
        <w:rPr>
          <w:b/>
        </w:rPr>
        <w:t>225 CMR 19.00: Energy Management Services (EMS) Contracts Requests for Qualifications Process</w:t>
      </w:r>
      <w:r>
        <w:t xml:space="preserve"> provides the framework for conducting the request for qualification process for EMS contracts in Massachusetts, guiding how public entities </w:t>
      </w:r>
      <w:r>
        <w:lastRenderedPageBreak/>
        <w:t>can pre-qualify vendors based on their qualifications before proceeding to the detailed proposal stage.</w:t>
      </w:r>
      <w:r w:rsidR="007720F3">
        <w:fldChar w:fldCharType="begin"/>
      </w:r>
      <w:r w:rsidR="0087194F">
        <w:instrText xml:space="preserve"> ADDIN ZOTERO_ITEM CSL_CITATION {"citationID":"a20v9geuocr","properties":{"formattedCitation":"\\super 188\\nosupersub{}","plainCitation":"188","noteIndex":0},"citationItems":[{"id":1155,"uris":["http://zotero.org/groups/5563646/items/PTU5JU4F"],"itemData":{"id":1155,"type":"legislation","container-title":"225 CMR 19.00","title":"Energy Management Services (EMS) Contracts Requests for Qualifications Process","URL":"https://www.mass.gov/regulations/225-CMR-1900-energy-management-services-ems-contracts-requests-for-qualification-process","author":[{"family":"MA DOER","given":""}]}}],"schema":"https://github.com/citation-style-language/schema/raw/master/csl-citation.json"} </w:instrText>
      </w:r>
      <w:r w:rsidR="007720F3">
        <w:fldChar w:fldCharType="separate"/>
      </w:r>
      <w:r w:rsidR="0087194F" w:rsidRPr="0087194F">
        <w:rPr>
          <w:rFonts w:cs="Arial"/>
          <w:vertAlign w:val="superscript"/>
        </w:rPr>
        <w:t>188</w:t>
      </w:r>
      <w:r w:rsidR="007720F3">
        <w:fldChar w:fldCharType="end"/>
      </w:r>
      <w:r>
        <w:t xml:space="preserve"> This helps in selecting vendors who are best suited to meet the energy management needs of the state’s public sector entities.</w:t>
      </w:r>
    </w:p>
    <w:p w14:paraId="47027D84" w14:textId="0057E809" w:rsidR="00065464" w:rsidRPr="00ED42A7" w:rsidRDefault="00065464" w:rsidP="006D7DE6">
      <w:pPr>
        <w:pStyle w:val="BodyTextFirstIndent"/>
      </w:pPr>
      <w:r w:rsidRPr="00745F74">
        <w:rPr>
          <w:b/>
        </w:rPr>
        <w:t>225 CMR 23: Commercial (and all other) Construction Stretch Energy Code</w:t>
      </w:r>
      <w:r>
        <w:t xml:space="preserve"> </w:t>
      </w:r>
      <w:r w:rsidRPr="00283D06">
        <w:t>establishes enhanced energy efficiency standards for non-residential buildings beyond the requirements of the base energy code.</w:t>
      </w:r>
      <w:r w:rsidR="00C571C1">
        <w:fldChar w:fldCharType="begin"/>
      </w:r>
      <w:r w:rsidR="00DE61C3">
        <w:instrText xml:space="preserve"> ADDIN ZOTERO_ITEM CSL_CITATION {"citationID":"adj992stie","properties":{"formattedCitation":"\\super 189\\nosupersub{}","plainCitation":"189","noteIndex":0},"citationItems":[{"id":1154,"uris":["http://zotero.org/groups/5563646/items/8AI5ZB63"],"itemData":{"id":1154,"type":"legislation","container-title":"225 CMR 23","title":"Commercial (and all other) Construction Stretch Energy Code","URL":"https://www.mass.gov/doc/commercial-and-other-stretch-energy-code-and-specialized-opt-in-code-language/download"}}],"schema":"https://github.com/citation-style-language/schema/raw/master/csl-citation.json"} </w:instrText>
      </w:r>
      <w:r w:rsidR="00C571C1">
        <w:fldChar w:fldCharType="separate"/>
      </w:r>
      <w:r w:rsidR="00DE61C3" w:rsidRPr="00DE61C3">
        <w:rPr>
          <w:rFonts w:cs="Arial"/>
          <w:vertAlign w:val="superscript"/>
        </w:rPr>
        <w:t>189</w:t>
      </w:r>
      <w:r w:rsidR="00C571C1">
        <w:fldChar w:fldCharType="end"/>
      </w:r>
    </w:p>
    <w:p w14:paraId="4595FB48" w14:textId="4E4107D5" w:rsidR="00065464" w:rsidRPr="00ED42A7" w:rsidRDefault="00065464" w:rsidP="006D7DE6">
      <w:pPr>
        <w:pStyle w:val="BodyTextFirstIndent"/>
      </w:pPr>
      <w:r w:rsidRPr="00745F74">
        <w:rPr>
          <w:b/>
        </w:rPr>
        <w:t>225 CMR 23 Appendix CC: Commercial (and all other) Construction Specialized Energy Code</w:t>
      </w:r>
      <w:r>
        <w:t xml:space="preserve"> </w:t>
      </w:r>
      <w:r w:rsidRPr="00830C49">
        <w:t xml:space="preserve">outlines specialized energy code provisions for commercial and other non-residential construction projects in Massachusetts, complementing the broader Stretch Energy Code to </w:t>
      </w:r>
      <w:r w:rsidR="006E7D80">
        <w:t xml:space="preserve">prioritize </w:t>
      </w:r>
      <w:r w:rsidRPr="00830C49">
        <w:t>that a wide range of building types and systems meet energy efficiency standards.</w:t>
      </w:r>
      <w:r w:rsidR="00C571C1">
        <w:fldChar w:fldCharType="begin"/>
      </w:r>
      <w:r w:rsidR="00FE5F82">
        <w:instrText xml:space="preserve"> ADDIN ZOTERO_ITEM CSL_CITATION {"citationID":"aa8pjmpus1","properties":{"formattedCitation":"\\super 189\\nosupersub{}","plainCitation":"189","noteIndex":0},"citationItems":[{"id":1154,"uris":["http://zotero.org/groups/5563646/items/8AI5ZB63"],"itemData":{"id":1154,"type":"legislation","container-title":"225 CMR 23","title":"Commercial (and all other) Construction Stretch Energy Code","URL":"https://www.mass.gov/doc/commercial-and-other-stretch-energy-code-and-specialized-opt-in-code-language/download"}}],"schema":"https://github.com/citation-style-language/schema/raw/master/csl-citation.json"} </w:instrText>
      </w:r>
      <w:r w:rsidR="00C571C1">
        <w:fldChar w:fldCharType="separate"/>
      </w:r>
      <w:r w:rsidR="00FE5F82" w:rsidRPr="00FE5F82">
        <w:rPr>
          <w:rFonts w:cs="Arial"/>
          <w:vertAlign w:val="superscript"/>
        </w:rPr>
        <w:t>189</w:t>
      </w:r>
      <w:r w:rsidR="00C571C1">
        <w:fldChar w:fldCharType="end"/>
      </w:r>
    </w:p>
    <w:p w14:paraId="25D5DA31" w14:textId="753DC898" w:rsidR="00065464" w:rsidRPr="00ED42A7" w:rsidRDefault="00065464" w:rsidP="006D7DE6">
      <w:pPr>
        <w:pStyle w:val="BodyTextFirstIndent"/>
      </w:pPr>
      <w:r w:rsidRPr="00745F74">
        <w:rPr>
          <w:b/>
        </w:rPr>
        <w:t>310 CMR 7.75: Clean Energy Standard</w:t>
      </w:r>
      <w:r>
        <w:t xml:space="preserve"> </w:t>
      </w:r>
      <w:r w:rsidRPr="009768AE">
        <w:t xml:space="preserve">establishes targets and requirements aimed at reducing </w:t>
      </w:r>
      <w:r>
        <w:t>GHG</w:t>
      </w:r>
      <w:r w:rsidRPr="009768AE">
        <w:t xml:space="preserve"> emissions from the power sector and advancing </w:t>
      </w:r>
      <w:r>
        <w:t>Massachusetts’</w:t>
      </w:r>
      <w:r w:rsidRPr="009768AE">
        <w:t xml:space="preserve"> goals for clean energy and climate action.</w:t>
      </w:r>
      <w:r w:rsidR="000D291D">
        <w:fldChar w:fldCharType="begin"/>
      </w:r>
      <w:r w:rsidR="00BE4348">
        <w:instrText xml:space="preserve"> ADDIN ZOTERO_ITEM CSL_CITATION {"citationID":"a2p0qq9615p","properties":{"formattedCitation":"\\super 190\\nosupersub{}","plainCitation":"190","noteIndex":0},"citationItems":[{"id":1153,"uris":["http://zotero.org/groups/5563646/items/GLAJXLFX"],"itemData":{"id":1153,"type":"legislation","container-title":"310 CMR 7.75","title":"Clean Energy Standard","URL":"https://www.mass.gov/guides/clean-energy-standard-310-cmr-775"}}],"schema":"https://github.com/citation-style-language/schema/raw/master/csl-citation.json"} </w:instrText>
      </w:r>
      <w:r w:rsidR="000D291D">
        <w:fldChar w:fldCharType="separate"/>
      </w:r>
      <w:r w:rsidR="00BE4348" w:rsidRPr="00BE4348">
        <w:rPr>
          <w:rFonts w:cs="Arial"/>
          <w:vertAlign w:val="superscript"/>
        </w:rPr>
        <w:t>190</w:t>
      </w:r>
      <w:r w:rsidR="000D291D">
        <w:fldChar w:fldCharType="end"/>
      </w:r>
    </w:p>
    <w:p w14:paraId="182045E5" w14:textId="0F1F5F9A" w:rsidR="00065464" w:rsidRDefault="00065464" w:rsidP="006D7DE6">
      <w:pPr>
        <w:pStyle w:val="BodyTextFirstIndent"/>
      </w:pPr>
      <w:r>
        <w:rPr>
          <w:b/>
        </w:rPr>
        <w:t>780 CMR: Massachusetts State Building Code</w:t>
      </w:r>
      <w:r>
        <w:t xml:space="preserve"> </w:t>
      </w:r>
      <w:r w:rsidRPr="00977527">
        <w:t>governs the construction and renovation of buildings throughout the state, ensuring they meet minimum standards for safety, health, accessibility, and energy efficiency.</w:t>
      </w:r>
      <w:r w:rsidR="003D3252">
        <w:fldChar w:fldCharType="begin"/>
      </w:r>
      <w:r w:rsidR="00165293">
        <w:instrText xml:space="preserve"> ADDIN ZOTERO_ITEM CSL_CITATION {"citationID":"a1vbbcqpia8","properties":{"formattedCitation":"\\super 191\\nosupersub{}","plainCitation":"191","noteIndex":0},"citationItems":[{"id":969,"uris":["http://zotero.org/groups/5563646/items/K39F9NH8"],"itemData":{"id":969,"type":"webpage","abstract":"An unofficial copy of all versions of the Mass. State Building Code","container-title":"Mass.gov","language":"en","title":"Massachusetts State Building Code - 780 CMR","URL":"https://www.mass.gov/massachusetts-state-building-code-780-cmr","accessed":{"date-parts":[["2024",7,26]]}}}],"schema":"https://github.com/citation-style-language/schema/raw/master/csl-citation.json"} </w:instrText>
      </w:r>
      <w:r w:rsidR="003D3252">
        <w:fldChar w:fldCharType="separate"/>
      </w:r>
      <w:r w:rsidR="00165293" w:rsidRPr="00165293">
        <w:rPr>
          <w:rFonts w:cs="Arial"/>
          <w:vertAlign w:val="superscript"/>
        </w:rPr>
        <w:t>191</w:t>
      </w:r>
      <w:r w:rsidR="003D3252">
        <w:fldChar w:fldCharType="end"/>
      </w:r>
    </w:p>
    <w:p w14:paraId="29262F98" w14:textId="5541EC65" w:rsidR="00065464" w:rsidRPr="00ED42A7" w:rsidRDefault="00065464" w:rsidP="006D7DE6">
      <w:pPr>
        <w:pStyle w:val="BodyTextFirstIndent"/>
      </w:pPr>
      <w:r w:rsidRPr="00745F74">
        <w:rPr>
          <w:b/>
        </w:rPr>
        <w:t>963 CMR 2.0</w:t>
      </w:r>
      <w:r>
        <w:rPr>
          <w:b/>
        </w:rPr>
        <w:t>0</w:t>
      </w:r>
      <w:r w:rsidRPr="00745F74">
        <w:rPr>
          <w:b/>
        </w:rPr>
        <w:t>: School Building Grant Program</w:t>
      </w:r>
      <w:r>
        <w:t xml:space="preserve"> was </w:t>
      </w:r>
      <w:r w:rsidRPr="00B87DA0">
        <w:t>promulgated by the MSBA pursuant to rulemaking authority conferred by M.G.L. c. 70B and St. 2004, c. 208 for the implementation of that statute and the school building grant program it establishes</w:t>
      </w:r>
      <w:r w:rsidRPr="0091201B">
        <w:t>.</w:t>
      </w:r>
      <w:r w:rsidR="008770F5">
        <w:fldChar w:fldCharType="begin"/>
      </w:r>
      <w:r w:rsidR="00E912DD">
        <w:instrText xml:space="preserve"> ADDIN ZOTERO_ITEM CSL_CITATION {"citationID":"a2maepqc5eq","properties":{"formattedCitation":"\\super 192\\nosupersub{}","plainCitation":"192","noteIndex":0},"citationItems":[{"id":1151,"uris":["http://zotero.org/groups/5563646/items/6UEK43SF"],"itemData":{"id":1151,"type":"legislation","container-title":"963 CMR 2.00","title":"School Building Grant Program","URL":"https://www.mass.gov/regulations/963-CMR-200-school-building-grant-program"}}],"schema":"https://github.com/citation-style-language/schema/raw/master/csl-citation.json"} </w:instrText>
      </w:r>
      <w:r w:rsidR="008770F5">
        <w:fldChar w:fldCharType="separate"/>
      </w:r>
      <w:r w:rsidR="00E912DD" w:rsidRPr="00E912DD">
        <w:rPr>
          <w:rFonts w:cs="Arial"/>
          <w:vertAlign w:val="superscript"/>
        </w:rPr>
        <w:t>192</w:t>
      </w:r>
      <w:r w:rsidR="008770F5">
        <w:fldChar w:fldCharType="end"/>
      </w:r>
      <w:r w:rsidRPr="0091201B">
        <w:t xml:space="preserve"> </w:t>
      </w:r>
    </w:p>
    <w:p w14:paraId="38FCA60C" w14:textId="77777777" w:rsidR="00065464" w:rsidRDefault="00065464" w:rsidP="00065464">
      <w:pPr>
        <w:pStyle w:val="Heading4"/>
      </w:pPr>
      <w:r>
        <w:t>Summary of Relevant Standards</w:t>
      </w:r>
    </w:p>
    <w:p w14:paraId="4F7AED4E" w14:textId="7110F030" w:rsidR="00065464" w:rsidRDefault="00065464" w:rsidP="006D7DE6">
      <w:pPr>
        <w:pStyle w:val="BodyTextFirstIndent"/>
        <w:rPr>
          <w:b/>
        </w:rPr>
      </w:pPr>
      <w:r>
        <w:rPr>
          <w:b/>
          <w:bCs/>
        </w:rPr>
        <w:t xml:space="preserve">Massachusetts </w:t>
      </w:r>
      <w:r w:rsidRPr="00533A02">
        <w:rPr>
          <w:b/>
          <w:bCs/>
        </w:rPr>
        <w:t>Appliance Energy and Water Efficiency Standards</w:t>
      </w:r>
      <w:r>
        <w:t xml:space="preserve"> sets water efficiency standards for plumbing fittings, plumbing fixtures, commercial ovens, commercial dishwashers, commercial steam cookers, and spray sprinkler bodies.</w:t>
      </w:r>
      <w:r w:rsidR="00192E90">
        <w:fldChar w:fldCharType="begin"/>
      </w:r>
      <w:r w:rsidR="00E51118">
        <w:instrText xml:space="preserve"> ADDIN ZOTERO_ITEM CSL_CITATION {"citationID":"a1blhvsb65f","properties":{"formattedCitation":"\\super 193\\nosupersub{}","plainCitation":"193","noteIndex":0},"citationItems":[{"id":1157,"uris":["http://zotero.org/groups/5563646/items/RKK89TN7"],"itemData":{"id":1157,"type":"legislation","title":"Massachusetts Appliance Energy and Water Efficiency Standards","URL":"https://www.mass.gov/info-details/appliance-energy-and-water-efficiency-standards"}}],"schema":"https://github.com/citation-style-language/schema/raw/master/csl-citation.json"} </w:instrText>
      </w:r>
      <w:r w:rsidR="00192E90">
        <w:fldChar w:fldCharType="separate"/>
      </w:r>
      <w:r w:rsidR="00E51118" w:rsidRPr="00E51118">
        <w:rPr>
          <w:rFonts w:cs="Arial"/>
          <w:vertAlign w:val="superscript"/>
        </w:rPr>
        <w:t>193</w:t>
      </w:r>
      <w:r w:rsidR="00192E90">
        <w:fldChar w:fldCharType="end"/>
      </w:r>
    </w:p>
    <w:p w14:paraId="39EEA619" w14:textId="3CBA3EB7" w:rsidR="00065464" w:rsidRPr="008500F0" w:rsidRDefault="00065464" w:rsidP="006D7DE6">
      <w:pPr>
        <w:pStyle w:val="BodyTextFirstIndent"/>
      </w:pPr>
      <w:r w:rsidRPr="005B598C">
        <w:rPr>
          <w:b/>
        </w:rPr>
        <w:t>NE</w:t>
      </w:r>
      <w:r>
        <w:rPr>
          <w:b/>
        </w:rPr>
        <w:t>-</w:t>
      </w:r>
      <w:r w:rsidRPr="005B598C">
        <w:rPr>
          <w:b/>
        </w:rPr>
        <w:t>CHPS</w:t>
      </w:r>
      <w:r>
        <w:t xml:space="preserve"> is a regional adaptation of the CHPS criteria specifically tailored for schools in the Northeastern United States. Its primary goal is to promote the design, construction, and operation of K</w:t>
      </w:r>
      <w:r w:rsidR="008131EB">
        <w:t>–</w:t>
      </w:r>
      <w:r>
        <w:t>12 schools that are healthy, comfortable, environmentally sustainable, and energy efficient.</w:t>
      </w:r>
      <w:r w:rsidR="005D667E">
        <w:fldChar w:fldCharType="begin"/>
      </w:r>
      <w:r w:rsidR="00205B82">
        <w:instrText xml:space="preserve"> ADDIN ZOTERO_ITEM CSL_CITATION {"citationID":"a28tk73dcej","properties":{"formattedCitation":"\\super 194\\nosupersub{}","plainCitation":"194","noteIndex":0},"citationItems":[{"id":1150,"uris":["http://zotero.org/groups/5563646/items/7C9Z4KMC"],"itemData":{"id":1150,"type":"webpage","title":"Northeast Collaborative for High Performance Schools Criteria (NE-CHPS) Version 3.2 | Northeast Energy Efficiency Partnerships","URL":"https://neep.org/northeast-collaborative-high-performance-schools-criteria","accessed":{"date-parts":[["2024",12,4]]}}}],"schema":"https://github.com/citation-style-language/schema/raw/master/csl-citation.json"} </w:instrText>
      </w:r>
      <w:r w:rsidR="005D667E">
        <w:fldChar w:fldCharType="separate"/>
      </w:r>
      <w:r w:rsidR="00205B82" w:rsidRPr="00205B82">
        <w:rPr>
          <w:rFonts w:cs="Arial"/>
          <w:vertAlign w:val="superscript"/>
        </w:rPr>
        <w:t>194</w:t>
      </w:r>
      <w:r w:rsidR="005D667E">
        <w:fldChar w:fldCharType="end"/>
      </w:r>
    </w:p>
    <w:p w14:paraId="1366E1FB" w14:textId="138C3905" w:rsidR="00065464" w:rsidRDefault="00065464" w:rsidP="006D7DE6">
      <w:pPr>
        <w:pStyle w:val="BodyTextFirstIndent"/>
      </w:pPr>
      <w:r w:rsidRPr="653D8BA2">
        <w:rPr>
          <w:b/>
        </w:rPr>
        <w:t xml:space="preserve">Appliance </w:t>
      </w:r>
      <w:r>
        <w:rPr>
          <w:b/>
        </w:rPr>
        <w:t>and</w:t>
      </w:r>
      <w:r w:rsidRPr="653D8BA2">
        <w:rPr>
          <w:b/>
        </w:rPr>
        <w:t xml:space="preserve"> </w:t>
      </w:r>
      <w:r>
        <w:rPr>
          <w:b/>
        </w:rPr>
        <w:t xml:space="preserve">Equipment </w:t>
      </w:r>
      <w:r w:rsidRPr="653D8BA2">
        <w:rPr>
          <w:b/>
        </w:rPr>
        <w:t>Standard</w:t>
      </w:r>
      <w:r>
        <w:rPr>
          <w:b/>
        </w:rPr>
        <w:t xml:space="preserve">s Program </w:t>
      </w:r>
      <w:r w:rsidRPr="006742FB">
        <w:rPr>
          <w:bCs/>
        </w:rPr>
        <w:t xml:space="preserve">is </w:t>
      </w:r>
      <w:r>
        <w:t>operated by DOE and, among other things, establishes national minimum energy efficiency standards.</w:t>
      </w:r>
      <w:r w:rsidR="00003DD5">
        <w:fldChar w:fldCharType="begin"/>
      </w:r>
      <w:r w:rsidR="00B11FC3">
        <w:instrText xml:space="preserve"> ADDIN ZOTERO_ITEM CSL_CITATION {"citationID":"ap4ti84uop","properties":{"formattedCitation":"\\super 195\\nosupersub{}","plainCitation":"195","noteIndex":0},"citationItems":[{"id":1149,"uris":["http://zotero.org/groups/5563646/items/QEK53DWC"],"itemData":{"id":1149,"type":"webpage","abstract":"The home page of the Appliance and Equipment Standards subprogram of the Building Technologies Office (BTO).","container-title":"Energy.gov","language":"en","title":"Appliance and Equipment Standards Program","URL":"https://www.energy.gov/eere/buildings/appliance-and-equipment-standards-program","author":[{"family":"DOE","given":""}],"accessed":{"date-parts":[["2024",12,4]]}}}],"schema":"https://github.com/citation-style-language/schema/raw/master/csl-citation.json"} </w:instrText>
      </w:r>
      <w:r w:rsidR="00003DD5">
        <w:fldChar w:fldCharType="separate"/>
      </w:r>
      <w:r w:rsidR="00B11FC3" w:rsidRPr="00B11FC3">
        <w:rPr>
          <w:rFonts w:cs="Arial"/>
          <w:vertAlign w:val="superscript"/>
        </w:rPr>
        <w:t>195</w:t>
      </w:r>
      <w:r w:rsidR="00003DD5">
        <w:fldChar w:fldCharType="end"/>
      </w:r>
      <w:r>
        <w:t xml:space="preserve"> The standards currently cover more than 60 types of appliances and equipment that collectively represent 60 percent of commercial building energy use.</w:t>
      </w:r>
    </w:p>
    <w:p w14:paraId="6CF805F0" w14:textId="7884B3B0" w:rsidR="00065464" w:rsidRDefault="00065464" w:rsidP="006D7DE6">
      <w:pPr>
        <w:pStyle w:val="BodyTextFirstIndent"/>
      </w:pPr>
      <w:r w:rsidRPr="00607202">
        <w:rPr>
          <w:b/>
          <w:bCs/>
        </w:rPr>
        <w:t>ASHRAE Standard 211 – Standard for Commercial Building Energy Audits</w:t>
      </w:r>
      <w:r>
        <w:t xml:space="preserve"> defines the procedures and practices for conducting energy audits for commercial buildings, including the distinction between Level 1, 2, and 3 audits.</w:t>
      </w:r>
      <w:r w:rsidR="00A74B11">
        <w:fldChar w:fldCharType="begin"/>
      </w:r>
      <w:r w:rsidR="0055065C">
        <w:instrText xml:space="preserve"> ADDIN ZOTERO_ITEM CSL_CITATION {"citationID":"a124ohl4grq","properties":{"formattedCitation":"\\super 196\\nosupersub{}","plainCitation":"196","noteIndex":0},"citationItems":[{"id":1148,"uris":["http://zotero.org/groups/5563646/items/S9E2ZDQ6"],"itemData":{"id":1148,"type":"article-journal","language":"en","source":"Zotero","title":"Standard for Commercial Building Energy Audits 211-2018","URL":"https://www.ashrae.org/File%20Library/Technical%20Resources/Bookstore/previews_2016437_pre.pdf","author":[{"family":"ANSI/ASHRAE/ACCA","given":""}]}}],"schema":"https://github.com/citation-style-language/schema/raw/master/csl-citation.json"} </w:instrText>
      </w:r>
      <w:r w:rsidR="00A74B11">
        <w:fldChar w:fldCharType="separate"/>
      </w:r>
      <w:r w:rsidR="0055065C" w:rsidRPr="0055065C">
        <w:rPr>
          <w:rFonts w:cs="Arial"/>
          <w:vertAlign w:val="superscript"/>
        </w:rPr>
        <w:t>196</w:t>
      </w:r>
      <w:r w:rsidR="00A74B11">
        <w:fldChar w:fldCharType="end"/>
      </w:r>
      <w:r>
        <w:t xml:space="preserve"> </w:t>
      </w:r>
    </w:p>
    <w:p w14:paraId="0208CB64" w14:textId="7D950CCD" w:rsidR="00065464" w:rsidRDefault="00065464" w:rsidP="006D7DE6">
      <w:pPr>
        <w:pStyle w:val="BodyTextFirstIndent"/>
      </w:pPr>
      <w:r w:rsidRPr="00D43966">
        <w:rPr>
          <w:b/>
          <w:bCs/>
        </w:rPr>
        <w:t>ASTM E2018-15</w:t>
      </w:r>
      <w:r>
        <w:t xml:space="preserve"> is the industry standard for baseline property condition assessments of commercial buildings.</w:t>
      </w:r>
      <w:r w:rsidR="00607CD4">
        <w:fldChar w:fldCharType="begin"/>
      </w:r>
      <w:r w:rsidR="006B341F">
        <w:instrText xml:space="preserve"> ADDIN ZOTERO_ITEM CSL_CITATION {"citationID":"a1em2sd6ags","properties":{"formattedCitation":"\\super 197\\nosupersub{}","plainCitation":"197","noteIndex":0},"citationItems":[{"id":1147,"uris":["http://zotero.org/groups/5563646/items/S6CMAEKF"],"itemData":{"id":1147,"type":"webpage","abstract":"Significance and Use 3.1 Use—This guide is intended for use on a voluntary basis by parties who desire to obtain a baseline PCA of commercial real estate. This guide also recognizes that there are varying levels of property condition assessment and due di","language":"en","title":"Standard Guide for Property Condition Assessments: Baseline Property Condition Assessment Process","title-short":"Standard Guide for Property Condition Assessments","URL":"https://www.astm.org/e2018-15.html","author":[{"family":"ASTM","given":""}],"accessed":{"date-parts":[["2024",12,4]]}}}],"schema":"https://github.com/citation-style-language/schema/raw/master/csl-citation.json"} </w:instrText>
      </w:r>
      <w:r w:rsidR="00607CD4">
        <w:fldChar w:fldCharType="separate"/>
      </w:r>
      <w:r w:rsidR="006B341F" w:rsidRPr="006B341F">
        <w:rPr>
          <w:rFonts w:cs="Arial"/>
          <w:vertAlign w:val="superscript"/>
        </w:rPr>
        <w:t>197</w:t>
      </w:r>
      <w:r w:rsidR="00607CD4">
        <w:fldChar w:fldCharType="end"/>
      </w:r>
    </w:p>
    <w:p w14:paraId="266F70E7" w14:textId="0CDE2DAE" w:rsidR="00065464" w:rsidRPr="00842707" w:rsidRDefault="00065464" w:rsidP="006D7DE6">
      <w:pPr>
        <w:pStyle w:val="BodyTextFirstIndent"/>
      </w:pPr>
      <w:r w:rsidRPr="00C97122">
        <w:rPr>
          <w:b/>
        </w:rPr>
        <w:lastRenderedPageBreak/>
        <w:t xml:space="preserve">USGBC’s </w:t>
      </w:r>
      <w:r w:rsidRPr="00C312A8">
        <w:rPr>
          <w:b/>
        </w:rPr>
        <w:t>LEED v4.1 Building Design + Construction</w:t>
      </w:r>
      <w:r>
        <w:t xml:space="preserve"> </w:t>
      </w:r>
      <w:r w:rsidRPr="00DB6A50">
        <w:t>is designed to guide and recognize the design and construction of high-performance, environmentally sustainable buildings.</w:t>
      </w:r>
      <w:r w:rsidR="0005060E">
        <w:fldChar w:fldCharType="begin"/>
      </w:r>
      <w:r w:rsidR="001F72A3">
        <w:instrText xml:space="preserve"> ADDIN ZOTERO_ITEM CSL_CITATION {"citationID":"a2qpb7274o0","properties":{"formattedCitation":"\\super 198\\nosupersub{}","plainCitation":"198","noteIndex":0},"citationItems":[{"id":1145,"uris":["http://zotero.org/groups/5563646/items/P3LJWIS2"],"itemData":{"id":1145,"type":"document","title":"LEED v4.1 Building Design + Construction","URL":"https://build.usgbc.org/bd+c_guide","author":[{"family":"USGBC","given":""}],"issued":{"date-parts":[["2024"]]}}}],"schema":"https://github.com/citation-style-language/schema/raw/master/csl-citation.json"} </w:instrText>
      </w:r>
      <w:r w:rsidR="0005060E">
        <w:fldChar w:fldCharType="separate"/>
      </w:r>
      <w:r w:rsidR="001F72A3" w:rsidRPr="001F72A3">
        <w:rPr>
          <w:rFonts w:cs="Arial"/>
          <w:vertAlign w:val="superscript"/>
        </w:rPr>
        <w:t>198</w:t>
      </w:r>
      <w:r w:rsidR="0005060E">
        <w:fldChar w:fldCharType="end"/>
      </w:r>
      <w:r w:rsidRPr="00DB6A50">
        <w:t xml:space="preserve"> It emphasizes strategies that improve energy efficiency, reduce water consumption, promote indoor environmental quality, and incorporate sustainable materials and practices.</w:t>
      </w:r>
    </w:p>
    <w:p w14:paraId="1C4B22E4" w14:textId="184E526D" w:rsidR="00065464" w:rsidRDefault="00065464" w:rsidP="006D7DE6">
      <w:pPr>
        <w:pStyle w:val="BodyTextFirstIndent"/>
      </w:pPr>
      <w:r>
        <w:fldChar w:fldCharType="begin"/>
      </w:r>
      <w:r>
        <w:instrText xml:space="preserve"> REF _Ref170247468 \h </w:instrText>
      </w:r>
      <w:r>
        <w:fldChar w:fldCharType="separate"/>
      </w:r>
      <w:r w:rsidR="00307850">
        <w:t xml:space="preserve">Table </w:t>
      </w:r>
      <w:r w:rsidR="00307850">
        <w:rPr>
          <w:noProof/>
        </w:rPr>
        <w:t>45</w:t>
      </w:r>
      <w:r>
        <w:fldChar w:fldCharType="end"/>
      </w:r>
      <w:r>
        <w:t xml:space="preserve"> summarizes the statutes, regulations, and standards related to decarbonizing schools. </w:t>
      </w:r>
    </w:p>
    <w:p w14:paraId="09864E90" w14:textId="6ECB671A" w:rsidR="00065464" w:rsidRDefault="00065464" w:rsidP="00B30C96">
      <w:pPr>
        <w:pStyle w:val="TableTitle"/>
      </w:pPr>
      <w:bookmarkStart w:id="446" w:name="_Ref170247468"/>
      <w:bookmarkStart w:id="447" w:name="_Toc170345784"/>
      <w:bookmarkStart w:id="448" w:name="_Toc192711711"/>
      <w:bookmarkStart w:id="449" w:name="_Toc193112593"/>
      <w:bookmarkStart w:id="450" w:name="_Toc193116992"/>
      <w:r>
        <w:lastRenderedPageBreak/>
        <w:t xml:space="preserve">Table </w:t>
      </w:r>
      <w:fldSimple w:instr=" SEQ Table \* ARABIC ">
        <w:r w:rsidR="00307850">
          <w:rPr>
            <w:noProof/>
          </w:rPr>
          <w:t>45</w:t>
        </w:r>
      </w:fldSimple>
      <w:bookmarkEnd w:id="446"/>
      <w:r>
        <w:t>. Statutory/Regulatory Framework and Notable Standards for Decarbonizing Buildings</w:t>
      </w:r>
      <w:bookmarkEnd w:id="447"/>
      <w:bookmarkEnd w:id="448"/>
      <w:bookmarkEnd w:id="449"/>
      <w:bookmarkEnd w:id="450"/>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decarbonizing buildings. "/>
      </w:tblPr>
      <w:tblGrid>
        <w:gridCol w:w="6654"/>
        <w:gridCol w:w="898"/>
        <w:gridCol w:w="899"/>
        <w:gridCol w:w="899"/>
      </w:tblGrid>
      <w:tr w:rsidR="00065464" w:rsidRPr="00E11392" w14:paraId="5356C8A4" w14:textId="77777777">
        <w:trPr>
          <w:cantSplit/>
          <w:trHeight w:val="2060"/>
          <w:tblHeader/>
          <w:jc w:val="center"/>
        </w:trPr>
        <w:tc>
          <w:tcPr>
            <w:tcW w:w="3558"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0080939A" w14:textId="77777777" w:rsidR="00065464" w:rsidRPr="00E11392" w:rsidRDefault="00065464">
            <w:pPr>
              <w:pStyle w:val="TableColumnHeader"/>
            </w:pPr>
            <w:r w:rsidRPr="00E11392">
              <w:t>Statute/Regulation/Standard</w:t>
            </w:r>
          </w:p>
        </w:tc>
        <w:tc>
          <w:tcPr>
            <w:tcW w:w="480"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5FAB31A4" w14:textId="77777777" w:rsidR="00065464" w:rsidRPr="00E11392" w:rsidRDefault="00065464">
            <w:pPr>
              <w:pStyle w:val="TableColumnHeader"/>
              <w:jc w:val="left"/>
            </w:pPr>
            <w:r>
              <w:t>State</w:t>
            </w:r>
            <w:r w:rsidRPr="00E11392">
              <w:t xml:space="preserve"> Statute/ Regulation</w:t>
            </w:r>
          </w:p>
        </w:tc>
        <w:tc>
          <w:tcPr>
            <w:tcW w:w="48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59C5159" w14:textId="77777777" w:rsidR="00065464" w:rsidRPr="00E11392" w:rsidRDefault="00065464">
            <w:pPr>
              <w:pStyle w:val="TableColumnHeader"/>
              <w:jc w:val="left"/>
            </w:pPr>
            <w:r>
              <w:t>Other</w:t>
            </w:r>
            <w:r w:rsidRPr="00E11392">
              <w:t xml:space="preserve"> Statute/ Regulation</w:t>
            </w:r>
          </w:p>
        </w:tc>
        <w:tc>
          <w:tcPr>
            <w:tcW w:w="48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8E99070" w14:textId="77777777" w:rsidR="00065464" w:rsidRPr="00E11392" w:rsidRDefault="00065464">
            <w:pPr>
              <w:pStyle w:val="TableColumnHeader"/>
              <w:jc w:val="left"/>
            </w:pPr>
            <w:r w:rsidRPr="00E11392">
              <w:t>Standard</w:t>
            </w:r>
          </w:p>
        </w:tc>
      </w:tr>
      <w:tr w:rsidR="00065464" w:rsidRPr="00E11392" w14:paraId="401E6AFD"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435C1F02" w14:textId="77777777" w:rsidR="00065464" w:rsidRPr="00E11392" w:rsidRDefault="00065464">
            <w:pPr>
              <w:pStyle w:val="TableRowHeader"/>
            </w:pPr>
            <w:r w:rsidRPr="00E11392">
              <w:t>Statutes</w:t>
            </w:r>
          </w:p>
        </w:tc>
      </w:tr>
      <w:tr w:rsidR="00065464" w:rsidRPr="00E11392" w14:paraId="002F2378"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69FB4EE3" w14:textId="77777777" w:rsidR="00065464" w:rsidRPr="00E11392" w:rsidRDefault="00065464">
            <w:pPr>
              <w:pStyle w:val="TableText"/>
            </w:pPr>
            <w:r w:rsidRPr="00E11392">
              <w:t>Act of 2016 Chapter 75: Solar Massachusetts Renewable Target Program</w:t>
            </w:r>
          </w:p>
        </w:tc>
        <w:tc>
          <w:tcPr>
            <w:tcW w:w="480" w:type="pct"/>
            <w:tcBorders>
              <w:top w:val="nil"/>
              <w:left w:val="single" w:sz="4" w:space="0" w:color="auto"/>
              <w:bottom w:val="single" w:sz="4" w:space="0" w:color="auto"/>
              <w:right w:val="single" w:sz="4" w:space="0" w:color="auto"/>
            </w:tcBorders>
            <w:shd w:val="clear" w:color="auto" w:fill="auto"/>
            <w:vAlign w:val="center"/>
          </w:tcPr>
          <w:p w14:paraId="690E58A4"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666B8748"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4631D116" w14:textId="77777777" w:rsidR="00065464" w:rsidRPr="00E11392" w:rsidRDefault="00065464">
            <w:pPr>
              <w:jc w:val="center"/>
              <w:rPr>
                <w:rFonts w:ascii="Arial" w:hAnsi="Arial" w:cs="Arial"/>
                <w:b/>
                <w:bCs/>
                <w:sz w:val="24"/>
              </w:rPr>
            </w:pPr>
          </w:p>
        </w:tc>
      </w:tr>
      <w:tr w:rsidR="00065464" w:rsidRPr="00E11392" w14:paraId="7A084081"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2B706A58" w14:textId="77777777" w:rsidR="00065464" w:rsidRPr="00E11392" w:rsidRDefault="00065464">
            <w:pPr>
              <w:pStyle w:val="TableText"/>
            </w:pPr>
            <w:r w:rsidRPr="00E11392">
              <w:t>Act of 2021 Chapter 8: An Act Creating a Next-Generation Roadmap for Massachusetts Climate Policy</w:t>
            </w:r>
          </w:p>
        </w:tc>
        <w:tc>
          <w:tcPr>
            <w:tcW w:w="480" w:type="pct"/>
            <w:tcBorders>
              <w:top w:val="nil"/>
              <w:left w:val="single" w:sz="4" w:space="0" w:color="auto"/>
              <w:bottom w:val="single" w:sz="4" w:space="0" w:color="auto"/>
              <w:right w:val="single" w:sz="4" w:space="0" w:color="auto"/>
            </w:tcBorders>
            <w:shd w:val="clear" w:color="auto" w:fill="auto"/>
            <w:vAlign w:val="center"/>
          </w:tcPr>
          <w:p w14:paraId="12AC6AD8"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7B8B9D28"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36190CAE" w14:textId="77777777" w:rsidR="00065464" w:rsidRPr="00E11392" w:rsidRDefault="00065464">
            <w:pPr>
              <w:jc w:val="center"/>
              <w:rPr>
                <w:rFonts w:ascii="Arial" w:hAnsi="Arial" w:cs="Arial"/>
                <w:b/>
                <w:bCs/>
                <w:sz w:val="24"/>
              </w:rPr>
            </w:pPr>
          </w:p>
        </w:tc>
      </w:tr>
      <w:tr w:rsidR="00065464" w:rsidRPr="00E11392" w14:paraId="22F956B5"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299F9824" w14:textId="77777777" w:rsidR="00065464" w:rsidRPr="00E11392" w:rsidRDefault="00065464">
            <w:pPr>
              <w:pStyle w:val="TableText"/>
            </w:pPr>
            <w:r>
              <w:t>Act of 2022 Chapter 179: An Act Driving Clean Energy and Offshore Wind</w:t>
            </w:r>
          </w:p>
        </w:tc>
        <w:tc>
          <w:tcPr>
            <w:tcW w:w="480" w:type="pct"/>
            <w:tcBorders>
              <w:top w:val="nil"/>
              <w:left w:val="single" w:sz="4" w:space="0" w:color="auto"/>
              <w:bottom w:val="single" w:sz="4" w:space="0" w:color="auto"/>
              <w:right w:val="single" w:sz="4" w:space="0" w:color="auto"/>
            </w:tcBorders>
            <w:shd w:val="clear" w:color="auto" w:fill="auto"/>
            <w:vAlign w:val="center"/>
          </w:tcPr>
          <w:p w14:paraId="6A9C598B"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0B2419BE"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02FC4540" w14:textId="77777777" w:rsidR="00065464" w:rsidRPr="00E11392" w:rsidRDefault="00065464">
            <w:pPr>
              <w:jc w:val="center"/>
              <w:rPr>
                <w:rFonts w:ascii="Arial" w:hAnsi="Arial" w:cs="Arial"/>
                <w:b/>
                <w:bCs/>
                <w:sz w:val="24"/>
              </w:rPr>
            </w:pPr>
          </w:p>
        </w:tc>
      </w:tr>
      <w:tr w:rsidR="00065464" w:rsidRPr="00E11392" w14:paraId="71BF23B7"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528028E9" w14:textId="77777777" w:rsidR="00065464" w:rsidRPr="00E11392" w:rsidRDefault="00065464">
            <w:pPr>
              <w:pStyle w:val="TableText"/>
            </w:pPr>
            <w:r w:rsidRPr="00E11392">
              <w:t>M.G.L c, 25A § 11F: Renewable Energy Portfolio Standard</w:t>
            </w:r>
          </w:p>
        </w:tc>
        <w:tc>
          <w:tcPr>
            <w:tcW w:w="480" w:type="pct"/>
            <w:tcBorders>
              <w:top w:val="nil"/>
              <w:left w:val="single" w:sz="4" w:space="0" w:color="auto"/>
              <w:bottom w:val="single" w:sz="4" w:space="0" w:color="auto"/>
              <w:right w:val="single" w:sz="4" w:space="0" w:color="auto"/>
            </w:tcBorders>
            <w:shd w:val="clear" w:color="auto" w:fill="auto"/>
            <w:vAlign w:val="center"/>
          </w:tcPr>
          <w:p w14:paraId="19AE443E"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4D7CD0F2"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4868A643" w14:textId="77777777" w:rsidR="00065464" w:rsidRPr="00E11392" w:rsidRDefault="00065464">
            <w:pPr>
              <w:jc w:val="center"/>
              <w:rPr>
                <w:rFonts w:ascii="Arial" w:hAnsi="Arial" w:cs="Arial"/>
                <w:b/>
                <w:bCs/>
                <w:sz w:val="24"/>
              </w:rPr>
            </w:pPr>
          </w:p>
        </w:tc>
      </w:tr>
      <w:tr w:rsidR="00065464" w:rsidRPr="00E11392" w14:paraId="4BAF1F50"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4CCA1958" w14:textId="77777777" w:rsidR="00065464" w:rsidRPr="00E11392" w:rsidRDefault="00065464">
            <w:pPr>
              <w:pStyle w:val="TableText"/>
            </w:pPr>
            <w:r w:rsidRPr="00E11392">
              <w:t>M.G.L c, 70B: School Building Assistance Program</w:t>
            </w:r>
          </w:p>
        </w:tc>
        <w:tc>
          <w:tcPr>
            <w:tcW w:w="480" w:type="pct"/>
            <w:tcBorders>
              <w:top w:val="nil"/>
              <w:left w:val="single" w:sz="4" w:space="0" w:color="auto"/>
              <w:bottom w:val="single" w:sz="4" w:space="0" w:color="auto"/>
              <w:right w:val="single" w:sz="4" w:space="0" w:color="auto"/>
            </w:tcBorders>
            <w:shd w:val="clear" w:color="auto" w:fill="auto"/>
            <w:vAlign w:val="center"/>
          </w:tcPr>
          <w:p w14:paraId="003B142C"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75818F3B"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0660D3EF" w14:textId="77777777" w:rsidR="00065464" w:rsidRPr="00E11392" w:rsidRDefault="00065464">
            <w:pPr>
              <w:jc w:val="center"/>
              <w:rPr>
                <w:rFonts w:ascii="Arial" w:hAnsi="Arial" w:cs="Arial"/>
                <w:b/>
                <w:bCs/>
                <w:sz w:val="24"/>
              </w:rPr>
            </w:pPr>
          </w:p>
        </w:tc>
      </w:tr>
      <w:tr w:rsidR="00065464" w:rsidRPr="00E11392" w14:paraId="78C636D2"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8510F57" w14:textId="77777777" w:rsidR="00065464" w:rsidRPr="00E11392" w:rsidRDefault="00065464">
            <w:pPr>
              <w:pStyle w:val="TableRowHeader"/>
            </w:pPr>
            <w:r w:rsidRPr="00E11392">
              <w:t>Regulations</w:t>
            </w:r>
          </w:p>
        </w:tc>
      </w:tr>
      <w:tr w:rsidR="00065464" w:rsidRPr="00E11392" w14:paraId="2F5F6A07"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67321BA9" w14:textId="77777777" w:rsidR="00065464" w:rsidRPr="00E11392" w:rsidRDefault="00065464">
            <w:pPr>
              <w:pStyle w:val="TableText"/>
            </w:pPr>
            <w:r w:rsidRPr="00E11392">
              <w:t>225 CMR 10.00: Energy Management Services (EMS) Contracts RFP Process</w:t>
            </w:r>
          </w:p>
        </w:tc>
        <w:tc>
          <w:tcPr>
            <w:tcW w:w="480" w:type="pct"/>
            <w:tcBorders>
              <w:top w:val="nil"/>
              <w:left w:val="single" w:sz="4" w:space="0" w:color="auto"/>
              <w:bottom w:val="single" w:sz="4" w:space="0" w:color="auto"/>
              <w:right w:val="single" w:sz="4" w:space="0" w:color="auto"/>
            </w:tcBorders>
            <w:shd w:val="clear" w:color="auto" w:fill="auto"/>
            <w:vAlign w:val="center"/>
          </w:tcPr>
          <w:p w14:paraId="085C0887"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4DBFC642"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5125BA0D" w14:textId="77777777" w:rsidR="00065464" w:rsidRPr="00E11392" w:rsidRDefault="00065464">
            <w:pPr>
              <w:jc w:val="center"/>
              <w:rPr>
                <w:rFonts w:ascii="Arial" w:hAnsi="Arial" w:cs="Arial"/>
                <w:b/>
                <w:bCs/>
                <w:sz w:val="24"/>
              </w:rPr>
            </w:pPr>
          </w:p>
        </w:tc>
      </w:tr>
      <w:tr w:rsidR="00065464" w:rsidRPr="00E11392" w14:paraId="39A310EF"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7A735832" w14:textId="77777777" w:rsidR="00065464" w:rsidRPr="00E11392" w:rsidRDefault="00065464">
            <w:pPr>
              <w:pStyle w:val="TableText"/>
            </w:pPr>
            <w:r w:rsidRPr="00E11392">
              <w:t>225 CMR 19.00: Energy Management Services (EMS) Contracts Requests for Qualifications Process</w:t>
            </w:r>
          </w:p>
        </w:tc>
        <w:tc>
          <w:tcPr>
            <w:tcW w:w="480" w:type="pct"/>
            <w:tcBorders>
              <w:top w:val="nil"/>
              <w:left w:val="single" w:sz="4" w:space="0" w:color="auto"/>
              <w:bottom w:val="single" w:sz="4" w:space="0" w:color="auto"/>
              <w:right w:val="single" w:sz="4" w:space="0" w:color="auto"/>
            </w:tcBorders>
            <w:shd w:val="clear" w:color="auto" w:fill="auto"/>
            <w:vAlign w:val="center"/>
          </w:tcPr>
          <w:p w14:paraId="360B6535" w14:textId="77777777" w:rsidR="00065464" w:rsidRPr="00E11392" w:rsidRDefault="00065464">
            <w:pPr>
              <w:jc w:val="center"/>
              <w:rPr>
                <w:rFonts w:ascii="Arial" w:hAnsi="Arial" w:cs="Arial"/>
                <w:b/>
                <w:bCs/>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6E368395"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3C62E975" w14:textId="77777777" w:rsidR="00065464" w:rsidRPr="00E11392" w:rsidRDefault="00065464">
            <w:pPr>
              <w:jc w:val="center"/>
              <w:rPr>
                <w:rFonts w:ascii="Arial" w:hAnsi="Arial" w:cs="Arial"/>
                <w:b/>
                <w:bCs/>
                <w:sz w:val="24"/>
              </w:rPr>
            </w:pPr>
          </w:p>
        </w:tc>
      </w:tr>
      <w:tr w:rsidR="00065464" w:rsidRPr="00E11392" w14:paraId="7B9FD57F"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3FCD7C16" w14:textId="77777777" w:rsidR="00065464" w:rsidRPr="00E11392" w:rsidRDefault="00065464">
            <w:pPr>
              <w:pStyle w:val="TableText"/>
            </w:pPr>
            <w:r w:rsidRPr="00E11392">
              <w:t>225 CMR 23: Commercial (and all other) Construction Stretch Energy Code</w:t>
            </w:r>
          </w:p>
        </w:tc>
        <w:tc>
          <w:tcPr>
            <w:tcW w:w="480" w:type="pct"/>
            <w:tcBorders>
              <w:top w:val="nil"/>
              <w:left w:val="single" w:sz="4" w:space="0" w:color="auto"/>
              <w:bottom w:val="single" w:sz="4" w:space="0" w:color="auto"/>
              <w:right w:val="single" w:sz="4" w:space="0" w:color="auto"/>
            </w:tcBorders>
            <w:shd w:val="clear" w:color="auto" w:fill="auto"/>
            <w:vAlign w:val="center"/>
          </w:tcPr>
          <w:p w14:paraId="491E3AF9"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27C93A46"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6DCD64C5" w14:textId="77777777" w:rsidR="00065464" w:rsidRPr="00E11392" w:rsidRDefault="00065464">
            <w:pPr>
              <w:jc w:val="center"/>
              <w:rPr>
                <w:rFonts w:ascii="Arial" w:hAnsi="Arial" w:cs="Arial"/>
                <w:b/>
                <w:bCs/>
                <w:sz w:val="24"/>
              </w:rPr>
            </w:pPr>
          </w:p>
        </w:tc>
      </w:tr>
      <w:tr w:rsidR="00065464" w:rsidRPr="00E11392" w14:paraId="2EF455BC"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3DCE53C3" w14:textId="77777777" w:rsidR="00065464" w:rsidRPr="00E11392" w:rsidRDefault="00065464">
            <w:pPr>
              <w:pStyle w:val="TableText"/>
            </w:pPr>
            <w:r w:rsidRPr="00E11392">
              <w:t>225 CMR 23 Appendix CC: Commercial (and all other) Construction Specialized Energy Code</w:t>
            </w:r>
          </w:p>
        </w:tc>
        <w:tc>
          <w:tcPr>
            <w:tcW w:w="480" w:type="pct"/>
            <w:tcBorders>
              <w:top w:val="nil"/>
              <w:left w:val="single" w:sz="4" w:space="0" w:color="auto"/>
              <w:bottom w:val="single" w:sz="4" w:space="0" w:color="auto"/>
              <w:right w:val="single" w:sz="4" w:space="0" w:color="auto"/>
            </w:tcBorders>
            <w:shd w:val="clear" w:color="auto" w:fill="auto"/>
            <w:vAlign w:val="center"/>
          </w:tcPr>
          <w:p w14:paraId="2F702599"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7C5F3C8A"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6CA271CA" w14:textId="77777777" w:rsidR="00065464" w:rsidRPr="00E11392" w:rsidRDefault="00065464">
            <w:pPr>
              <w:jc w:val="center"/>
              <w:rPr>
                <w:rFonts w:ascii="Arial" w:hAnsi="Arial" w:cs="Arial"/>
                <w:b/>
                <w:bCs/>
                <w:sz w:val="24"/>
              </w:rPr>
            </w:pPr>
          </w:p>
        </w:tc>
      </w:tr>
      <w:tr w:rsidR="00065464" w:rsidRPr="00E11392" w14:paraId="618E634F"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6E89D0CE" w14:textId="77777777" w:rsidR="00065464" w:rsidRPr="00E11392" w:rsidRDefault="00065464">
            <w:pPr>
              <w:pStyle w:val="TableText"/>
            </w:pPr>
            <w:r w:rsidRPr="00E11392">
              <w:t>310 CMR 7.75: Clean Energy Standard</w:t>
            </w:r>
          </w:p>
        </w:tc>
        <w:tc>
          <w:tcPr>
            <w:tcW w:w="480" w:type="pct"/>
            <w:tcBorders>
              <w:top w:val="nil"/>
              <w:left w:val="single" w:sz="4" w:space="0" w:color="auto"/>
              <w:bottom w:val="single" w:sz="4" w:space="0" w:color="auto"/>
              <w:right w:val="single" w:sz="4" w:space="0" w:color="auto"/>
            </w:tcBorders>
            <w:shd w:val="clear" w:color="auto" w:fill="auto"/>
            <w:vAlign w:val="center"/>
          </w:tcPr>
          <w:p w14:paraId="381C61ED"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33E59AF0"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0A75BADD" w14:textId="77777777" w:rsidR="00065464" w:rsidRPr="00E11392" w:rsidRDefault="00065464">
            <w:pPr>
              <w:jc w:val="center"/>
              <w:rPr>
                <w:rFonts w:ascii="Arial" w:hAnsi="Arial" w:cs="Arial"/>
                <w:b/>
                <w:bCs/>
                <w:sz w:val="24"/>
              </w:rPr>
            </w:pPr>
          </w:p>
        </w:tc>
      </w:tr>
      <w:tr w:rsidR="00065464" w:rsidRPr="00E11392" w14:paraId="5E95F317"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2E84C24A" w14:textId="77777777" w:rsidR="00065464" w:rsidRPr="00E11392" w:rsidRDefault="00065464">
            <w:pPr>
              <w:pStyle w:val="TableText"/>
            </w:pPr>
            <w:r w:rsidRPr="00E11392">
              <w:t>780 CMR: Massachusetts State Building Code</w:t>
            </w:r>
          </w:p>
        </w:tc>
        <w:tc>
          <w:tcPr>
            <w:tcW w:w="480" w:type="pct"/>
            <w:tcBorders>
              <w:top w:val="nil"/>
              <w:left w:val="single" w:sz="4" w:space="0" w:color="auto"/>
              <w:bottom w:val="single" w:sz="4" w:space="0" w:color="auto"/>
              <w:right w:val="single" w:sz="4" w:space="0" w:color="auto"/>
            </w:tcBorders>
            <w:shd w:val="clear" w:color="auto" w:fill="auto"/>
            <w:vAlign w:val="center"/>
          </w:tcPr>
          <w:p w14:paraId="361E5CA3"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45D4A531"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09D229B0" w14:textId="77777777" w:rsidR="00065464" w:rsidRPr="00E11392" w:rsidRDefault="00065464">
            <w:pPr>
              <w:jc w:val="center"/>
              <w:rPr>
                <w:rFonts w:ascii="Arial" w:hAnsi="Arial" w:cs="Arial"/>
                <w:b/>
                <w:bCs/>
                <w:sz w:val="24"/>
              </w:rPr>
            </w:pPr>
          </w:p>
        </w:tc>
      </w:tr>
      <w:tr w:rsidR="00065464" w:rsidRPr="00E11392" w14:paraId="3E5038C8"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399BB55D" w14:textId="77777777" w:rsidR="00065464" w:rsidRPr="00E11392" w:rsidRDefault="00065464">
            <w:pPr>
              <w:pStyle w:val="TableText"/>
            </w:pPr>
            <w:r w:rsidRPr="00E11392">
              <w:t>963 CMR 2.0: School Building Grant Program</w:t>
            </w:r>
          </w:p>
        </w:tc>
        <w:tc>
          <w:tcPr>
            <w:tcW w:w="480" w:type="pct"/>
            <w:tcBorders>
              <w:top w:val="nil"/>
              <w:left w:val="single" w:sz="4" w:space="0" w:color="auto"/>
              <w:bottom w:val="single" w:sz="4" w:space="0" w:color="auto"/>
              <w:right w:val="single" w:sz="4" w:space="0" w:color="auto"/>
            </w:tcBorders>
            <w:shd w:val="clear" w:color="auto" w:fill="auto"/>
            <w:vAlign w:val="center"/>
          </w:tcPr>
          <w:p w14:paraId="25897BDE"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c>
          <w:tcPr>
            <w:tcW w:w="481" w:type="pct"/>
            <w:tcBorders>
              <w:top w:val="nil"/>
              <w:left w:val="single" w:sz="4" w:space="0" w:color="auto"/>
              <w:bottom w:val="single" w:sz="4" w:space="0" w:color="auto"/>
              <w:right w:val="single" w:sz="4" w:space="0" w:color="auto"/>
            </w:tcBorders>
            <w:shd w:val="clear" w:color="auto" w:fill="auto"/>
            <w:vAlign w:val="center"/>
          </w:tcPr>
          <w:p w14:paraId="2661A747" w14:textId="77777777" w:rsidR="00065464" w:rsidRPr="00E11392" w:rsidRDefault="00065464">
            <w:pPr>
              <w:jc w:val="center"/>
              <w:rPr>
                <w:rFonts w:ascii="Arial" w:hAnsi="Arial" w:cs="Arial"/>
                <w:b/>
                <w:bCs/>
                <w:color w:val="00B050"/>
                <w:sz w:val="24"/>
              </w:rPr>
            </w:pPr>
          </w:p>
        </w:tc>
        <w:tc>
          <w:tcPr>
            <w:tcW w:w="481" w:type="pct"/>
            <w:tcBorders>
              <w:top w:val="nil"/>
              <w:left w:val="single" w:sz="4" w:space="0" w:color="auto"/>
              <w:bottom w:val="single" w:sz="4" w:space="0" w:color="auto"/>
              <w:right w:val="single" w:sz="4" w:space="0" w:color="auto"/>
            </w:tcBorders>
            <w:shd w:val="clear" w:color="auto" w:fill="auto"/>
            <w:vAlign w:val="center"/>
          </w:tcPr>
          <w:p w14:paraId="0B5B080B" w14:textId="77777777" w:rsidR="00065464" w:rsidRPr="00E11392" w:rsidRDefault="00065464">
            <w:pPr>
              <w:jc w:val="center"/>
              <w:rPr>
                <w:rFonts w:ascii="Arial" w:hAnsi="Arial" w:cs="Arial"/>
                <w:b/>
                <w:bCs/>
                <w:sz w:val="24"/>
              </w:rPr>
            </w:pPr>
          </w:p>
        </w:tc>
      </w:tr>
      <w:tr w:rsidR="00065464" w:rsidRPr="00E11392" w14:paraId="418D4E90"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69F1FA2" w14:textId="77777777" w:rsidR="00065464" w:rsidRPr="00E11392" w:rsidRDefault="00065464">
            <w:pPr>
              <w:pStyle w:val="TableRowHeader"/>
            </w:pPr>
            <w:r w:rsidRPr="00E11392">
              <w:t>Standards</w:t>
            </w:r>
          </w:p>
        </w:tc>
      </w:tr>
      <w:tr w:rsidR="00065464" w:rsidRPr="00E11392" w14:paraId="551F8840"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650BB371" w14:textId="77777777" w:rsidR="00065464" w:rsidRPr="00E11392" w:rsidRDefault="00065464">
            <w:pPr>
              <w:pStyle w:val="TableText"/>
            </w:pPr>
            <w:r>
              <w:t xml:space="preserve">Massachusetts </w:t>
            </w:r>
            <w:r w:rsidRPr="00A602A5">
              <w:t>Appliance Energy and Water Efficiency Standards</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CEFDAAF"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68A51CE0"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2151AB26"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r w:rsidR="00065464" w:rsidRPr="00E11392" w14:paraId="7ECA25B3"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35BAE8FA" w14:textId="77777777" w:rsidR="00065464" w:rsidRPr="001166C8" w:rsidRDefault="00065464">
            <w:pPr>
              <w:pStyle w:val="TableText"/>
            </w:pPr>
            <w:r w:rsidRPr="00E11392">
              <w:t>NE</w:t>
            </w:r>
            <w:r>
              <w:t>-</w:t>
            </w:r>
            <w:r w:rsidRPr="00E11392">
              <w:t>CHPS</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E887D9C"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3547ABC1"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994DC0A"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r w:rsidR="00065464" w:rsidRPr="00E11392" w14:paraId="581AF219"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2C153B77" w14:textId="77777777" w:rsidR="00065464" w:rsidRPr="00E11392" w:rsidRDefault="00065464">
            <w:pPr>
              <w:pStyle w:val="TableText"/>
            </w:pPr>
            <w:r w:rsidRPr="001166C8">
              <w:t>Appliance and Equipment Standards Program</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5970C63"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EC308BB"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2B32D4D0"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r w:rsidR="00065464" w:rsidRPr="00E11392" w14:paraId="60120575"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1CC68E50" w14:textId="343FBA64" w:rsidR="00065464" w:rsidRPr="00E11392" w:rsidRDefault="00065464">
            <w:pPr>
              <w:pStyle w:val="TableText"/>
            </w:pPr>
            <w:r w:rsidRPr="001166C8">
              <w:t>ASHRAE Standard 211–Standard for Commercial Building Energy Audits</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84E55C1"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03C738D"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6A29C907"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r w:rsidR="00065464" w:rsidRPr="00E11392" w14:paraId="406DCA2C" w14:textId="77777777">
        <w:trPr>
          <w:cantSplit/>
          <w:trHeight w:val="255"/>
          <w:tblHeader/>
          <w:jc w:val="center"/>
        </w:trPr>
        <w:tc>
          <w:tcPr>
            <w:tcW w:w="3558" w:type="pct"/>
            <w:tcBorders>
              <w:top w:val="nil"/>
              <w:left w:val="single" w:sz="4" w:space="0" w:color="auto"/>
              <w:bottom w:val="single" w:sz="4" w:space="0" w:color="auto"/>
              <w:right w:val="single" w:sz="4" w:space="0" w:color="auto"/>
            </w:tcBorders>
            <w:shd w:val="clear" w:color="auto" w:fill="auto"/>
          </w:tcPr>
          <w:p w14:paraId="2E683345" w14:textId="77777777" w:rsidR="00065464" w:rsidRPr="00E11392" w:rsidRDefault="00065464">
            <w:pPr>
              <w:pStyle w:val="TableText"/>
            </w:pPr>
            <w:r w:rsidRPr="001166C8">
              <w:t>ASTM E2018-15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E83A8C4"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BEE6B14"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48EAC1E"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r w:rsidR="00065464" w:rsidRPr="00E11392" w14:paraId="6067DA2B" w14:textId="77777777">
        <w:trPr>
          <w:cantSplit/>
          <w:trHeight w:val="255"/>
          <w:tblHeader/>
          <w:jc w:val="center"/>
        </w:trPr>
        <w:tc>
          <w:tcPr>
            <w:tcW w:w="3558" w:type="pct"/>
            <w:tcBorders>
              <w:top w:val="single" w:sz="4" w:space="0" w:color="auto"/>
              <w:left w:val="single" w:sz="4" w:space="0" w:color="auto"/>
              <w:bottom w:val="single" w:sz="4" w:space="0" w:color="auto"/>
              <w:right w:val="single" w:sz="4" w:space="0" w:color="auto"/>
            </w:tcBorders>
            <w:shd w:val="clear" w:color="auto" w:fill="auto"/>
          </w:tcPr>
          <w:p w14:paraId="4EF1DA91" w14:textId="77777777" w:rsidR="00065464" w:rsidRPr="00E11392" w:rsidRDefault="00065464">
            <w:pPr>
              <w:pStyle w:val="TableText"/>
            </w:pPr>
            <w:r w:rsidRPr="00E11392">
              <w:t>USGBC’s LEED v4.1 Building Design + Construction</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F5ACBB0"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944DEB4" w14:textId="77777777" w:rsidR="00065464" w:rsidRPr="00E11392" w:rsidRDefault="00065464">
            <w:pPr>
              <w:jc w:val="center"/>
              <w:rPr>
                <w:rFonts w:ascii="Arial" w:hAnsi="Arial" w:cs="Arial"/>
                <w:b/>
                <w:bCs/>
                <w:sz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722068F8" w14:textId="77777777" w:rsidR="00065464" w:rsidRPr="00E11392" w:rsidRDefault="00065464">
            <w:pPr>
              <w:jc w:val="center"/>
              <w:rPr>
                <w:rFonts w:ascii="Arial" w:hAnsi="Arial" w:cs="Arial"/>
                <w:b/>
                <w:bCs/>
                <w:color w:val="00B050"/>
                <w:sz w:val="24"/>
              </w:rPr>
            </w:pPr>
            <w:r w:rsidRPr="00E11392">
              <w:rPr>
                <w:rFonts w:ascii="Arial" w:hAnsi="Arial" w:cs="Arial"/>
                <w:b/>
                <w:bCs/>
                <w:color w:val="00B050"/>
                <w:sz w:val="24"/>
              </w:rPr>
              <w:t>X</w:t>
            </w:r>
          </w:p>
        </w:tc>
      </w:tr>
    </w:tbl>
    <w:p w14:paraId="4A9A8B6C" w14:textId="77777777" w:rsidR="00A8047A" w:rsidRDefault="00A8047A" w:rsidP="00A8047A">
      <w:pPr>
        <w:pStyle w:val="Heading3"/>
      </w:pPr>
      <w:r>
        <w:t>Relevant Resources</w:t>
      </w:r>
    </w:p>
    <w:p w14:paraId="25E37A4A" w14:textId="73B5C004" w:rsidR="00A8047A" w:rsidRDefault="00A8047A" w:rsidP="006D7DE6">
      <w:pPr>
        <w:pStyle w:val="BodyTextFirstIndent"/>
      </w:pPr>
      <w:r>
        <w:fldChar w:fldCharType="begin"/>
      </w:r>
      <w:r>
        <w:instrText xml:space="preserve"> REF _Ref169131616 \h </w:instrText>
      </w:r>
      <w:r>
        <w:fldChar w:fldCharType="separate"/>
      </w:r>
      <w:r w:rsidR="00307850">
        <w:t xml:space="preserve">Table </w:t>
      </w:r>
      <w:r w:rsidR="00307850">
        <w:rPr>
          <w:noProof/>
        </w:rPr>
        <w:t>46</w:t>
      </w:r>
      <w:r>
        <w:fldChar w:fldCharType="end"/>
      </w:r>
      <w:r>
        <w:t xml:space="preserve"> provides a summary of key resources related to decarbonizing school buildings.</w:t>
      </w:r>
    </w:p>
    <w:p w14:paraId="22D72A5F" w14:textId="4CF0370B" w:rsidR="00A8047A" w:rsidRDefault="00A8047A" w:rsidP="00B30C96">
      <w:pPr>
        <w:pStyle w:val="TableTitle"/>
      </w:pPr>
      <w:bookmarkStart w:id="451" w:name="_Ref169131616"/>
      <w:bookmarkStart w:id="452" w:name="_Toc170345787"/>
      <w:bookmarkStart w:id="453" w:name="_Toc192711712"/>
      <w:bookmarkStart w:id="454" w:name="_Toc193112594"/>
      <w:bookmarkStart w:id="455" w:name="_Toc193116993"/>
      <w:r>
        <w:lastRenderedPageBreak/>
        <w:t xml:space="preserve">Table </w:t>
      </w:r>
      <w:fldSimple w:instr=" SEQ Table \* ARABIC ">
        <w:r w:rsidR="00307850">
          <w:rPr>
            <w:noProof/>
          </w:rPr>
          <w:t>46</w:t>
        </w:r>
      </w:fldSimple>
      <w:bookmarkEnd w:id="451"/>
      <w:r>
        <w:t>. Resources for Decarbonizing School Buildings</w:t>
      </w:r>
      <w:bookmarkEnd w:id="452"/>
      <w:bookmarkEnd w:id="453"/>
      <w:bookmarkEnd w:id="454"/>
      <w:bookmarkEnd w:id="455"/>
    </w:p>
    <w:tbl>
      <w:tblPr>
        <w:tblStyle w:val="TableGrid"/>
        <w:tblW w:w="0" w:type="auto"/>
        <w:tblLayout w:type="fixed"/>
        <w:tblLook w:val="04A0" w:firstRow="1" w:lastRow="0" w:firstColumn="1" w:lastColumn="0" w:noHBand="0" w:noVBand="1"/>
        <w:tblDescription w:val="Table listing resources with active URLs for decarbonizing school buildings."/>
      </w:tblPr>
      <w:tblGrid>
        <w:gridCol w:w="2605"/>
        <w:gridCol w:w="1530"/>
        <w:gridCol w:w="5215"/>
      </w:tblGrid>
      <w:tr w:rsidR="00A8047A" w:rsidRPr="00276B41" w14:paraId="4F58CBD0" w14:textId="77777777">
        <w:tc>
          <w:tcPr>
            <w:tcW w:w="2605" w:type="dxa"/>
            <w:shd w:val="clear" w:color="auto" w:fill="C6D9F1" w:themeFill="text2" w:themeFillTint="33"/>
          </w:tcPr>
          <w:p w14:paraId="33814EE9" w14:textId="77777777" w:rsidR="00A8047A" w:rsidRPr="004C3A1C" w:rsidRDefault="00A8047A">
            <w:pPr>
              <w:pStyle w:val="TableColumnHeader"/>
            </w:pPr>
            <w:r w:rsidRPr="004C3A1C">
              <w:t>Resource</w:t>
            </w:r>
          </w:p>
        </w:tc>
        <w:tc>
          <w:tcPr>
            <w:tcW w:w="1530" w:type="dxa"/>
            <w:shd w:val="clear" w:color="auto" w:fill="C6D9F1" w:themeFill="text2" w:themeFillTint="33"/>
          </w:tcPr>
          <w:p w14:paraId="02BD16AB" w14:textId="77777777" w:rsidR="00A8047A" w:rsidRPr="004C3A1C" w:rsidRDefault="00A8047A">
            <w:pPr>
              <w:pStyle w:val="TableColumnHeader"/>
            </w:pPr>
            <w:r w:rsidRPr="004C3A1C">
              <w:t>Author</w:t>
            </w:r>
          </w:p>
        </w:tc>
        <w:tc>
          <w:tcPr>
            <w:tcW w:w="5215" w:type="dxa"/>
            <w:shd w:val="clear" w:color="auto" w:fill="C6D9F1" w:themeFill="text2" w:themeFillTint="33"/>
          </w:tcPr>
          <w:p w14:paraId="2B1B3F51" w14:textId="77777777" w:rsidR="00A8047A" w:rsidRPr="004C3A1C" w:rsidRDefault="00A8047A">
            <w:pPr>
              <w:pStyle w:val="TableColumnHeader"/>
            </w:pPr>
            <w:r w:rsidRPr="004C3A1C">
              <w:t>URL</w:t>
            </w:r>
          </w:p>
        </w:tc>
      </w:tr>
      <w:tr w:rsidR="00A8047A" w:rsidRPr="00276B41" w14:paraId="179D44BB" w14:textId="77777777">
        <w:tc>
          <w:tcPr>
            <w:tcW w:w="2605" w:type="dxa"/>
          </w:tcPr>
          <w:p w14:paraId="1C8FBCB0" w14:textId="538C49F5" w:rsidR="00A8047A" w:rsidRPr="00194C7F" w:rsidRDefault="00A8047A">
            <w:pPr>
              <w:pStyle w:val="TableText"/>
            </w:pPr>
            <w:r w:rsidRPr="00194C7F">
              <w:t>Affordable Zero Energy K</w:t>
            </w:r>
            <w:r w:rsidR="008131EB">
              <w:t>–</w:t>
            </w:r>
            <w:r w:rsidRPr="00194C7F">
              <w:t>12 Schools: The Cost Barrier Illusion</w:t>
            </w:r>
          </w:p>
        </w:tc>
        <w:tc>
          <w:tcPr>
            <w:tcW w:w="1530" w:type="dxa"/>
          </w:tcPr>
          <w:p w14:paraId="51466269" w14:textId="77777777" w:rsidR="00A8047A" w:rsidRPr="00194C7F" w:rsidRDefault="00A8047A">
            <w:pPr>
              <w:pStyle w:val="TableText"/>
            </w:pPr>
            <w:r>
              <w:t>National Renewable Energy Laboratory (</w:t>
            </w:r>
            <w:r w:rsidRPr="00194C7F">
              <w:t>NREL</w:t>
            </w:r>
            <w:r>
              <w:t>)</w:t>
            </w:r>
          </w:p>
        </w:tc>
        <w:tc>
          <w:tcPr>
            <w:tcW w:w="5215" w:type="dxa"/>
          </w:tcPr>
          <w:p w14:paraId="143A3202" w14:textId="79F75D48" w:rsidR="00A8047A" w:rsidRPr="00276B41" w:rsidRDefault="00A8047A">
            <w:hyperlink r:id="rId179" w:history="1">
              <w:r w:rsidRPr="00784CC2">
                <w:rPr>
                  <w:rStyle w:val="Hyperlink"/>
                </w:rPr>
                <w:t>https://betterbuildingssolutioncenter.energy.gov/sites/default/files/attachments/80766.pdf</w:t>
              </w:r>
            </w:hyperlink>
            <w:r>
              <w:t xml:space="preserve"> </w:t>
            </w:r>
          </w:p>
        </w:tc>
      </w:tr>
      <w:tr w:rsidR="00A8047A" w:rsidRPr="00276B41" w14:paraId="0E887FC7" w14:textId="77777777">
        <w:tc>
          <w:tcPr>
            <w:tcW w:w="2605" w:type="dxa"/>
          </w:tcPr>
          <w:p w14:paraId="076270C9" w14:textId="022D220F" w:rsidR="00A8047A" w:rsidRPr="00194C7F" w:rsidRDefault="00A8047A">
            <w:pPr>
              <w:pStyle w:val="TableText"/>
            </w:pPr>
            <w:r w:rsidRPr="00194C7F">
              <w:t>A Guide to Zero Energy and Zero Energy Ready K</w:t>
            </w:r>
            <w:r w:rsidR="008131EB">
              <w:t>–</w:t>
            </w:r>
            <w:r w:rsidRPr="00194C7F">
              <w:t>12 Schools</w:t>
            </w:r>
          </w:p>
        </w:tc>
        <w:tc>
          <w:tcPr>
            <w:tcW w:w="1530" w:type="dxa"/>
          </w:tcPr>
          <w:p w14:paraId="668D80FF" w14:textId="77777777" w:rsidR="00A8047A" w:rsidRPr="00194C7F" w:rsidRDefault="00A8047A">
            <w:pPr>
              <w:pStyle w:val="TableText"/>
            </w:pPr>
            <w:r w:rsidRPr="00194C7F">
              <w:t>NREL</w:t>
            </w:r>
          </w:p>
        </w:tc>
        <w:tc>
          <w:tcPr>
            <w:tcW w:w="5215" w:type="dxa"/>
          </w:tcPr>
          <w:p w14:paraId="5D9A9665" w14:textId="3CD62D9F" w:rsidR="00A8047A" w:rsidRPr="00824F41" w:rsidRDefault="00A8047A">
            <w:hyperlink r:id="rId180" w:history="1">
              <w:r w:rsidRPr="00784CC2">
                <w:rPr>
                  <w:rStyle w:val="Hyperlink"/>
                </w:rPr>
                <w:t>https://betterbuildingssolutioncenter.energy.gov/sites/default/files/attachments/NREL_ZE_K12_Study.pdf</w:t>
              </w:r>
            </w:hyperlink>
            <w:r>
              <w:t xml:space="preserve"> </w:t>
            </w:r>
          </w:p>
        </w:tc>
      </w:tr>
      <w:tr w:rsidR="00A8047A" w:rsidRPr="00276B41" w14:paraId="0C07F390" w14:textId="77777777">
        <w:tc>
          <w:tcPr>
            <w:tcW w:w="2605" w:type="dxa"/>
          </w:tcPr>
          <w:p w14:paraId="259ABC07" w14:textId="5F8E68B7" w:rsidR="00A8047A" w:rsidRPr="00194C7F" w:rsidRDefault="00A8047A">
            <w:pPr>
              <w:pStyle w:val="TableText"/>
            </w:pPr>
            <w:r w:rsidRPr="00194C7F">
              <w:t>Decarbonization Roadmap Guide: For School Building Decision Makers</w:t>
            </w:r>
          </w:p>
        </w:tc>
        <w:tc>
          <w:tcPr>
            <w:tcW w:w="1530" w:type="dxa"/>
          </w:tcPr>
          <w:p w14:paraId="3C2C1E01" w14:textId="77777777" w:rsidR="00A8047A" w:rsidRPr="00194C7F" w:rsidRDefault="00A8047A">
            <w:pPr>
              <w:pStyle w:val="TableText"/>
            </w:pPr>
            <w:r>
              <w:t>New Buildings Institute</w:t>
            </w:r>
          </w:p>
        </w:tc>
        <w:tc>
          <w:tcPr>
            <w:tcW w:w="5215" w:type="dxa"/>
          </w:tcPr>
          <w:p w14:paraId="0387CE74" w14:textId="610B2228" w:rsidR="00A8047A" w:rsidRDefault="00A8047A">
            <w:hyperlink r:id="rId181" w:history="1">
              <w:r w:rsidRPr="00784CC2">
                <w:rPr>
                  <w:rStyle w:val="Hyperlink"/>
                </w:rPr>
                <w:t>https://newbuildings.org/resource/decarbonization-roadmap-guide-for-school-building-decision-makers/</w:t>
              </w:r>
            </w:hyperlink>
            <w:r>
              <w:t xml:space="preserve"> </w:t>
            </w:r>
          </w:p>
        </w:tc>
      </w:tr>
      <w:tr w:rsidR="00A8047A" w:rsidRPr="00276B41" w14:paraId="73F169CD" w14:textId="77777777">
        <w:tc>
          <w:tcPr>
            <w:tcW w:w="2605" w:type="dxa"/>
          </w:tcPr>
          <w:p w14:paraId="2817905D" w14:textId="77777777" w:rsidR="00A8047A" w:rsidRPr="00194C7F" w:rsidRDefault="00A8047A">
            <w:pPr>
              <w:pStyle w:val="TableText"/>
            </w:pPr>
            <w:r w:rsidRPr="00194C7F">
              <w:t>Emission Reduction Planning Framework</w:t>
            </w:r>
          </w:p>
        </w:tc>
        <w:tc>
          <w:tcPr>
            <w:tcW w:w="1530" w:type="dxa"/>
          </w:tcPr>
          <w:p w14:paraId="2B0A0A57" w14:textId="77777777" w:rsidR="00A8047A" w:rsidRPr="00194C7F" w:rsidRDefault="00A8047A">
            <w:pPr>
              <w:pStyle w:val="TableText"/>
            </w:pPr>
            <w:r w:rsidRPr="00194C7F">
              <w:t>DOE</w:t>
            </w:r>
          </w:p>
        </w:tc>
        <w:tc>
          <w:tcPr>
            <w:tcW w:w="5215" w:type="dxa"/>
          </w:tcPr>
          <w:p w14:paraId="3B3B7B2E" w14:textId="07A9D7DB" w:rsidR="00A8047A" w:rsidRDefault="00A8047A">
            <w:hyperlink r:id="rId182" w:history="1">
              <w:r w:rsidRPr="00784CC2">
                <w:rPr>
                  <w:rStyle w:val="Hyperlink"/>
                </w:rPr>
                <w:t>https://betterbuildingssolutioncenter.energy.gov/sites/default/files/attachments/ERP_Framework_Building_Portfolios.pdf</w:t>
              </w:r>
            </w:hyperlink>
            <w:r>
              <w:t xml:space="preserve"> </w:t>
            </w:r>
          </w:p>
        </w:tc>
      </w:tr>
      <w:tr w:rsidR="00A8047A" w:rsidRPr="00276B41" w14:paraId="5038695C" w14:textId="77777777">
        <w:tc>
          <w:tcPr>
            <w:tcW w:w="2605" w:type="dxa"/>
          </w:tcPr>
          <w:p w14:paraId="0F74D25D" w14:textId="77777777" w:rsidR="00A8047A" w:rsidRPr="00194C7F" w:rsidRDefault="00A8047A">
            <w:pPr>
              <w:pStyle w:val="TableText"/>
            </w:pPr>
            <w:r w:rsidRPr="00194C7F">
              <w:t>HVAC Choices for Student Health and Learning</w:t>
            </w:r>
          </w:p>
        </w:tc>
        <w:tc>
          <w:tcPr>
            <w:tcW w:w="1530" w:type="dxa"/>
          </w:tcPr>
          <w:p w14:paraId="0FB6FB0D" w14:textId="1F94EC68" w:rsidR="00A8047A" w:rsidRPr="00194C7F" w:rsidRDefault="00A8047A">
            <w:pPr>
              <w:pStyle w:val="TableText"/>
            </w:pPr>
            <w:r w:rsidRPr="00194C7F">
              <w:t>RMI, UndauntedK</w:t>
            </w:r>
            <w:r w:rsidR="008131EB">
              <w:t>–</w:t>
            </w:r>
            <w:r w:rsidRPr="00194C7F">
              <w:t>12</w:t>
            </w:r>
          </w:p>
        </w:tc>
        <w:tc>
          <w:tcPr>
            <w:tcW w:w="5215" w:type="dxa"/>
          </w:tcPr>
          <w:p w14:paraId="79C9DD36" w14:textId="0E2DD925" w:rsidR="00A8047A" w:rsidRPr="00770749" w:rsidRDefault="00A8047A">
            <w:hyperlink r:id="rId183" w:history="1">
              <w:r w:rsidRPr="00784CC2">
                <w:rPr>
                  <w:rStyle w:val="Hyperlink"/>
                </w:rPr>
                <w:t>https://rmi.org/insight/hvac-choices-for-student-health-and-learning/</w:t>
              </w:r>
            </w:hyperlink>
            <w:r>
              <w:t xml:space="preserve"> </w:t>
            </w:r>
          </w:p>
        </w:tc>
      </w:tr>
      <w:tr w:rsidR="00A8047A" w:rsidRPr="00276B41" w14:paraId="777C1069" w14:textId="77777777">
        <w:tc>
          <w:tcPr>
            <w:tcW w:w="2605" w:type="dxa"/>
          </w:tcPr>
          <w:p w14:paraId="1F2EDB4C" w14:textId="77777777" w:rsidR="00A8047A" w:rsidRPr="00194C7F" w:rsidRDefault="00A8047A">
            <w:pPr>
              <w:pStyle w:val="TableText"/>
            </w:pPr>
            <w:r>
              <w:t>Technical Solar Potential Map</w:t>
            </w:r>
          </w:p>
        </w:tc>
        <w:tc>
          <w:tcPr>
            <w:tcW w:w="1530" w:type="dxa"/>
          </w:tcPr>
          <w:p w14:paraId="639FA329" w14:textId="77777777" w:rsidR="00A8047A" w:rsidRPr="00194C7F" w:rsidRDefault="00A8047A">
            <w:pPr>
              <w:pStyle w:val="TableText"/>
            </w:pPr>
            <w:r>
              <w:t>DOER</w:t>
            </w:r>
          </w:p>
        </w:tc>
        <w:tc>
          <w:tcPr>
            <w:tcW w:w="5215" w:type="dxa"/>
          </w:tcPr>
          <w:p w14:paraId="7E4350B4" w14:textId="08823CC0" w:rsidR="00A8047A" w:rsidRDefault="00A8047A">
            <w:hyperlink r:id="rId184" w:history="1">
              <w:r w:rsidRPr="00316C53">
                <w:rPr>
                  <w:rStyle w:val="Hyperlink"/>
                  <w:rFonts w:cs="Arial"/>
                </w:rPr>
                <w:t>https://www.mass.gov/info-details/technical-potential-of-solar-study</w:t>
              </w:r>
            </w:hyperlink>
            <w:r>
              <w:rPr>
                <w:rFonts w:ascii="Arial" w:hAnsi="Arial" w:cs="Arial"/>
                <w:sz w:val="24"/>
              </w:rPr>
              <w:t xml:space="preserve"> </w:t>
            </w:r>
          </w:p>
        </w:tc>
      </w:tr>
      <w:tr w:rsidR="00A8047A" w:rsidRPr="00276B41" w14:paraId="2382C48A" w14:textId="77777777">
        <w:tc>
          <w:tcPr>
            <w:tcW w:w="2605" w:type="dxa"/>
          </w:tcPr>
          <w:p w14:paraId="6D8E7245" w14:textId="77777777" w:rsidR="00A8047A" w:rsidRPr="00194C7F" w:rsidRDefault="00A8047A">
            <w:pPr>
              <w:pStyle w:val="TableText"/>
            </w:pPr>
            <w:r>
              <w:t>Wastewater Energy Recovery</w:t>
            </w:r>
          </w:p>
        </w:tc>
        <w:tc>
          <w:tcPr>
            <w:tcW w:w="1530" w:type="dxa"/>
          </w:tcPr>
          <w:p w14:paraId="0CC2B116" w14:textId="77777777" w:rsidR="00A8047A" w:rsidRPr="00194C7F" w:rsidRDefault="00A8047A">
            <w:pPr>
              <w:pStyle w:val="TableText"/>
            </w:pPr>
            <w:r>
              <w:t>MassDEP</w:t>
            </w:r>
          </w:p>
        </w:tc>
        <w:tc>
          <w:tcPr>
            <w:tcW w:w="5215" w:type="dxa"/>
          </w:tcPr>
          <w:p w14:paraId="241061C0" w14:textId="3838345C" w:rsidR="00A8047A" w:rsidRDefault="00A8047A">
            <w:hyperlink r:id="rId185" w:history="1">
              <w:r w:rsidRPr="009F47E6">
                <w:rPr>
                  <w:rStyle w:val="Hyperlink"/>
                  <w:rFonts w:cs="Arial"/>
                </w:rPr>
                <w:t>https://www.mass.gov/info-details/wastewater-energy-recovery</w:t>
              </w:r>
            </w:hyperlink>
            <w:r w:rsidRPr="009F47E6">
              <w:rPr>
                <w:rFonts w:ascii="Arial" w:hAnsi="Arial" w:cs="Arial"/>
                <w:sz w:val="24"/>
              </w:rPr>
              <w:t xml:space="preserve"> </w:t>
            </w:r>
          </w:p>
        </w:tc>
      </w:tr>
      <w:tr w:rsidR="00A8047A" w:rsidRPr="00276B41" w14:paraId="7B9D1986" w14:textId="77777777">
        <w:tc>
          <w:tcPr>
            <w:tcW w:w="2605" w:type="dxa"/>
          </w:tcPr>
          <w:p w14:paraId="6ABAA80A" w14:textId="77777777" w:rsidR="00A8047A" w:rsidRPr="00194C7F" w:rsidRDefault="00A8047A">
            <w:pPr>
              <w:pStyle w:val="TableText"/>
            </w:pPr>
            <w:r w:rsidRPr="00194C7F">
              <w:t>Working With Us</w:t>
            </w:r>
          </w:p>
        </w:tc>
        <w:tc>
          <w:tcPr>
            <w:tcW w:w="1530" w:type="dxa"/>
          </w:tcPr>
          <w:p w14:paraId="15CD7388" w14:textId="77777777" w:rsidR="00A8047A" w:rsidRPr="00194C7F" w:rsidRDefault="00A8047A">
            <w:pPr>
              <w:pStyle w:val="TableText"/>
            </w:pPr>
            <w:r w:rsidRPr="00194C7F">
              <w:t>MSBA</w:t>
            </w:r>
          </w:p>
        </w:tc>
        <w:tc>
          <w:tcPr>
            <w:tcW w:w="5215" w:type="dxa"/>
          </w:tcPr>
          <w:p w14:paraId="05D5F177" w14:textId="5828A3B7" w:rsidR="00A8047A" w:rsidRPr="00276B41" w:rsidRDefault="00A8047A">
            <w:hyperlink r:id="rId186" w:history="1">
              <w:r w:rsidRPr="00784CC2">
                <w:rPr>
                  <w:rStyle w:val="Hyperlink"/>
                </w:rPr>
                <w:t>https://www.massschoolbuildings.org/Working_With_Us/districts</w:t>
              </w:r>
            </w:hyperlink>
            <w:r>
              <w:t xml:space="preserve"> </w:t>
            </w:r>
          </w:p>
        </w:tc>
      </w:tr>
      <w:tr w:rsidR="00A8047A" w:rsidRPr="00276B41" w14:paraId="08C02C2E" w14:textId="77777777">
        <w:tc>
          <w:tcPr>
            <w:tcW w:w="2605" w:type="dxa"/>
          </w:tcPr>
          <w:p w14:paraId="54E92BD4" w14:textId="77777777" w:rsidR="00A8047A" w:rsidRPr="00194C7F" w:rsidRDefault="00A8047A">
            <w:pPr>
              <w:pStyle w:val="TableText"/>
            </w:pPr>
            <w:r w:rsidRPr="00194C7F">
              <w:t>Zero Energy Schools Toolkit</w:t>
            </w:r>
          </w:p>
        </w:tc>
        <w:tc>
          <w:tcPr>
            <w:tcW w:w="1530" w:type="dxa"/>
          </w:tcPr>
          <w:p w14:paraId="1043517D" w14:textId="77777777" w:rsidR="00A8047A" w:rsidRPr="00194C7F" w:rsidRDefault="00A8047A">
            <w:pPr>
              <w:pStyle w:val="TableText"/>
            </w:pPr>
            <w:r w:rsidRPr="00194C7F">
              <w:t>NEEP</w:t>
            </w:r>
          </w:p>
        </w:tc>
        <w:tc>
          <w:tcPr>
            <w:tcW w:w="5215" w:type="dxa"/>
          </w:tcPr>
          <w:p w14:paraId="0199EA5A" w14:textId="487A432B" w:rsidR="00A8047A" w:rsidRPr="00276B41" w:rsidRDefault="00A8047A">
            <w:hyperlink r:id="rId187" w:history="1">
              <w:r w:rsidRPr="00784CC2">
                <w:rPr>
                  <w:rStyle w:val="Hyperlink"/>
                </w:rPr>
                <w:t>https://neep.org/ma-zero-energy-schools-toolkit</w:t>
              </w:r>
            </w:hyperlink>
            <w:r>
              <w:t xml:space="preserve"> </w:t>
            </w:r>
          </w:p>
        </w:tc>
      </w:tr>
    </w:tbl>
    <w:p w14:paraId="6E830654" w14:textId="0118EFEE" w:rsidR="002C71A2" w:rsidRDefault="002C71A2" w:rsidP="001C7888">
      <w:pPr>
        <w:pStyle w:val="Heading2"/>
      </w:pPr>
      <w:bookmarkStart w:id="456" w:name="SectVI_1b"/>
      <w:bookmarkStart w:id="457" w:name="_Toc193116927"/>
      <w:bookmarkEnd w:id="456"/>
      <w:r>
        <w:t>Objective 1</w:t>
      </w:r>
      <w:r w:rsidR="00B03F4A">
        <w:t>b</w:t>
      </w:r>
      <w:r>
        <w:t xml:space="preserve">. </w:t>
      </w:r>
      <w:r w:rsidR="00B03F4A">
        <w:t>Optimize Water Efficiency</w:t>
      </w:r>
      <w:bookmarkEnd w:id="457"/>
    </w:p>
    <w:p w14:paraId="46E3BB72" w14:textId="28D3651D" w:rsidR="002C71A2" w:rsidRDefault="00F87345" w:rsidP="007A7C1D">
      <w:pPr>
        <w:pStyle w:val="Heading3"/>
      </w:pPr>
      <w:r>
        <w:t>Methods and Best Practices</w:t>
      </w:r>
    </w:p>
    <w:p w14:paraId="5A27796C" w14:textId="77777777" w:rsidR="002707EE" w:rsidRDefault="002707EE" w:rsidP="006D7DE6">
      <w:pPr>
        <w:pStyle w:val="BodyTextFirstIndent"/>
      </w:pPr>
      <w:r w:rsidRPr="00926BF3">
        <w:t xml:space="preserve">There are many methods and best practices for optimizing water efficiency in schools, including monitoring and managing water use, optimizing water efficiency of end uses and systems, and using alternative water sources. Each of these methods and best practices are described in more detail below. </w:t>
      </w:r>
    </w:p>
    <w:p w14:paraId="376A07E4" w14:textId="77777777" w:rsidR="002707EE" w:rsidRPr="00926BF3" w:rsidRDefault="002707EE" w:rsidP="006D7DE6">
      <w:pPr>
        <w:pStyle w:val="BodyTextFirstIndent"/>
      </w:pPr>
      <w:r w:rsidRPr="00926BF3">
        <w:rPr>
          <w:noProof/>
        </w:rPr>
        <mc:AlternateContent>
          <mc:Choice Requires="wps">
            <w:drawing>
              <wp:inline distT="0" distB="0" distL="0" distR="0" wp14:anchorId="063112D0" wp14:editId="23AB68F7">
                <wp:extent cx="5866646" cy="941560"/>
                <wp:effectExtent l="0" t="0" r="20320" b="17780"/>
                <wp:docPr id="116497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646" cy="941560"/>
                        </a:xfrm>
                        <a:prstGeom prst="rect">
                          <a:avLst/>
                        </a:prstGeom>
                        <a:solidFill>
                          <a:srgbClr val="DCE6F2"/>
                        </a:solidFill>
                        <a:ln w="9525">
                          <a:solidFill>
                            <a:srgbClr val="000000"/>
                          </a:solidFill>
                          <a:miter lim="800000"/>
                          <a:headEnd/>
                          <a:tailEnd/>
                        </a:ln>
                      </wps:spPr>
                      <wps:txbx>
                        <w:txbxContent>
                          <w:p w14:paraId="7C08BB49" w14:textId="77777777" w:rsidR="002707EE" w:rsidRDefault="002707EE" w:rsidP="002707EE">
                            <w:pPr>
                              <w:pStyle w:val="TextBoxTitle"/>
                            </w:pPr>
                            <w:r>
                              <w:t>Resources to Jump Start Water Efficiency in Schools</w:t>
                            </w:r>
                          </w:p>
                          <w:p w14:paraId="7605E3EA" w14:textId="77777777" w:rsidR="002707EE" w:rsidRDefault="002707EE" w:rsidP="002707EE">
                            <w:pPr>
                              <w:pStyle w:val="TextBoxText"/>
                            </w:pPr>
                            <w:r>
                              <w:t xml:space="preserve">Schools can begin optimizing water efficiency by reviewing </w:t>
                            </w:r>
                            <w:hyperlink r:id="rId188" w:history="1">
                              <w:r w:rsidRPr="006440DE">
                                <w:rPr>
                                  <w:rStyle w:val="Hyperlink"/>
                                </w:rPr>
                                <w:t>WaterSense’s Best Management Practices</w:t>
                              </w:r>
                            </w:hyperlink>
                            <w:r>
                              <w:t xml:space="preserve">, the </w:t>
                            </w:r>
                            <w:hyperlink r:id="rId189" w:history="1">
                              <w:r w:rsidRPr="00BE5C89">
                                <w:rPr>
                                  <w:rStyle w:val="Hyperlink"/>
                                </w:rPr>
                                <w:t>Massachusetts Water Conservation Standards</w:t>
                              </w:r>
                            </w:hyperlink>
                            <w:r>
                              <w:t xml:space="preserve">, and the </w:t>
                            </w:r>
                            <w:hyperlink r:id="rId190" w:history="1">
                              <w:r w:rsidRPr="006C7FE8">
                                <w:rPr>
                                  <w:rStyle w:val="Hyperlink"/>
                                </w:rPr>
                                <w:t>Schools, Recreation and Facilities Managers web page</w:t>
                              </w:r>
                            </w:hyperlink>
                            <w:r>
                              <w:t xml:space="preserve"> offered by the Commonwealth’s Water Resources Commission.  </w:t>
                            </w:r>
                          </w:p>
                        </w:txbxContent>
                      </wps:txbx>
                      <wps:bodyPr rot="0" vert="horz" wrap="square" lIns="91440" tIns="45720" rIns="91440" bIns="45720" anchor="t" anchorCtr="0">
                        <a:spAutoFit/>
                      </wps:bodyPr>
                    </wps:wsp>
                  </a:graphicData>
                </a:graphic>
              </wp:inline>
            </w:drawing>
          </mc:Choice>
          <mc:Fallback>
            <w:pict>
              <v:shape w14:anchorId="063112D0" id="_x0000_s1058" type="#_x0000_t202" style="width:461.95pt;height:7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" fillcolor="#dce6f2">
                <v:textbox style="mso-fit-shape-to-text:t">
                  <w:txbxContent>
                    <w:p w14:paraId="7C08BB49" w14:textId="77777777" w:rsidR="002707EE" w:rsidRDefault="002707EE" w:rsidP="002707EE">
                      <w:pPr>
                        <w:pStyle w:val="TextBoxTitle"/>
                      </w:pPr>
                      <w:r>
                        <w:t>Resources to Jump Start Water Efficiency in Schools</w:t>
                      </w:r>
                    </w:p>
                    <w:p w14:paraId="7605E3EA" w14:textId="77777777" w:rsidR="002707EE" w:rsidRDefault="002707EE" w:rsidP="002707EE">
                      <w:pPr>
                        <w:pStyle w:val="TextBoxText"/>
                      </w:pPr>
                      <w:r>
                        <w:t xml:space="preserve">Schools can begin optimizing water efficiency by reviewing </w:t>
                      </w:r>
                      <w:hyperlink r:id="rId191" w:history="1">
                        <w:r w:rsidRPr="006440DE">
                          <w:rPr>
                            <w:rStyle w:val="Hyperlink"/>
                          </w:rPr>
                          <w:t>WaterSense’s Best Management Practices</w:t>
                        </w:r>
                      </w:hyperlink>
                      <w:r>
                        <w:t xml:space="preserve">, the </w:t>
                      </w:r>
                      <w:hyperlink r:id="rId192" w:history="1">
                        <w:r w:rsidRPr="00BE5C89">
                          <w:rPr>
                            <w:rStyle w:val="Hyperlink"/>
                          </w:rPr>
                          <w:t>Massachusetts Water Conservation Standards</w:t>
                        </w:r>
                      </w:hyperlink>
                      <w:r>
                        <w:t xml:space="preserve">, and the </w:t>
                      </w:r>
                      <w:hyperlink r:id="rId193" w:history="1">
                        <w:r w:rsidRPr="006C7FE8">
                          <w:rPr>
                            <w:rStyle w:val="Hyperlink"/>
                          </w:rPr>
                          <w:t>Schools, Recreation and Facilities Managers web page</w:t>
                        </w:r>
                      </w:hyperlink>
                      <w:r>
                        <w:t xml:space="preserve"> offered by the Commonwealth’s Water Resources Commission.  </w:t>
                      </w:r>
                    </w:p>
                  </w:txbxContent>
                </v:textbox>
                <w10:anchorlock/>
              </v:shape>
            </w:pict>
          </mc:Fallback>
        </mc:AlternateContent>
      </w:r>
    </w:p>
    <w:p w14:paraId="79BD7FA1" w14:textId="7FD5F47A" w:rsidR="002707EE" w:rsidRPr="00EC2627" w:rsidRDefault="002707EE" w:rsidP="006D7DE6">
      <w:pPr>
        <w:pStyle w:val="BodyTextFirstIndent"/>
      </w:pPr>
      <w:r w:rsidRPr="00EC2627">
        <w:lastRenderedPageBreak/>
        <w:t>In general, schools should consider reviewing the EPA WaterSense</w:t>
      </w:r>
      <w:r w:rsidRPr="006E204F">
        <w:rPr>
          <w:rFonts w:cs="Calibri (Body)"/>
          <w:vertAlign w:val="superscript"/>
        </w:rPr>
        <w:t>®</w:t>
      </w:r>
      <w:r w:rsidRPr="00EC2627">
        <w:t xml:space="preserve"> program’s best management practices, collectively known as </w:t>
      </w:r>
      <w:r w:rsidRPr="002F7EE8">
        <w:rPr>
          <w:i/>
        </w:rPr>
        <w:t>WaterSense at Work</w:t>
      </w:r>
      <w:r w:rsidRPr="00EC2627">
        <w:t>.</w:t>
      </w:r>
      <w:r w:rsidRPr="00EC2627">
        <w:fldChar w:fldCharType="begin"/>
      </w:r>
      <w:r w:rsidR="00207D07">
        <w:instrText xml:space="preserve"> ADDIN ZOTERO_ITEM CSL_CITATION {"citationID":"tB73J7SK","properties":{"formattedCitation":"\\super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rsidRPr="00EC2627">
        <w:fldChar w:fldCharType="separate"/>
      </w:r>
      <w:r w:rsidR="00207D07" w:rsidRPr="00207D07">
        <w:rPr>
          <w:rFonts w:cs="Arial"/>
          <w:vertAlign w:val="superscript"/>
        </w:rPr>
        <w:t>199</w:t>
      </w:r>
      <w:r w:rsidRPr="00EC2627">
        <w:fldChar w:fldCharType="end"/>
      </w:r>
      <w:r w:rsidRPr="00EC2627">
        <w:t xml:space="preserve"> </w:t>
      </w:r>
      <w:r w:rsidRPr="002F7EE8">
        <w:rPr>
          <w:i/>
        </w:rPr>
        <w:t>WaterSense at Work</w:t>
      </w:r>
      <w:r w:rsidRPr="00EC2627">
        <w:t xml:space="preserve"> is a comprehensive guide developed to help commercial and institutional facility owners and managers understand and better manage their water use. It is designed to provide guidance to help establish an effective facility water management program and identify projects and practices that can reduce facility water use and associated operating costs. It includes best practices and </w:t>
      </w:r>
      <w:r>
        <w:t>O&amp;M</w:t>
      </w:r>
      <w:r w:rsidRPr="00EC2627">
        <w:t>, retrofit, and replacement recommendations for most if not all water end uses that may be found in Massachusetts schools</w:t>
      </w:r>
      <w:r>
        <w:t>,</w:t>
      </w:r>
      <w:r w:rsidRPr="00EC2627">
        <w:t xml:space="preserve"> and provides a compilation of additional resources on each topic.</w:t>
      </w:r>
    </w:p>
    <w:p w14:paraId="75D64077" w14:textId="29093D28" w:rsidR="002707EE" w:rsidRDefault="002707EE" w:rsidP="006D7DE6">
      <w:pPr>
        <w:pStyle w:val="BodyTextFirstIndent"/>
        <w:rPr>
          <w:rStyle w:val="CommentReference"/>
          <w:rFonts w:cs="Times New Roman"/>
          <w:b/>
        </w:rPr>
      </w:pPr>
      <w:r w:rsidRPr="00EC2627">
        <w:t xml:space="preserve">In addition, </w:t>
      </w:r>
      <w:r w:rsidRPr="002F7EE8">
        <w:rPr>
          <w:i/>
        </w:rPr>
        <w:t>Massachusetts Water Conservation Standards</w:t>
      </w:r>
      <w:r w:rsidRPr="00EC2627">
        <w:t xml:space="preserve"> provides best practices and recommendations for optimizing water efficiency for water suppliers and water users, including schools.</w:t>
      </w:r>
      <w:r w:rsidRPr="00EC2627">
        <w:fldChar w:fldCharType="begin"/>
      </w:r>
      <w:r w:rsidR="00290774">
        <w:instrText xml:space="preserve"> ADDIN ZOTERO_ITEM CSL_CITATION {"citationID":"WkElDRfH","properties":{"formattedCitation":"\\super 200\\nosupersub{}","plainCitation":"200","noteIndex":0},"citationItems":[{"id":297,"uris":["http://zotero.org/groups/5563646/items/IIANGHIR"],"itemData":{"id":297,"type":"report","title":"Massachusetts Water Conservation Standards","URL":"https://www.mass.gov/doc/massachusetts-water-conservation-standards-2/download","author":[{"family":"The Commonwealth of Massachusetts Executive Office of Energy and Environmental Affairs and Water Resources Commission","given":""}],"issued":{"date-parts":[["2018",7]]}}}],"schema":"https://github.com/citation-style-language/schema/raw/master/csl-citation.json"} </w:instrText>
      </w:r>
      <w:r w:rsidRPr="00EC2627">
        <w:fldChar w:fldCharType="separate"/>
      </w:r>
      <w:r w:rsidR="00290774" w:rsidRPr="00290774">
        <w:rPr>
          <w:rFonts w:cs="Arial"/>
          <w:vertAlign w:val="superscript"/>
        </w:rPr>
        <w:t>200</w:t>
      </w:r>
      <w:r w:rsidRPr="00EC2627">
        <w:fldChar w:fldCharType="end"/>
      </w:r>
      <w:r w:rsidRPr="00EC2627">
        <w:t xml:space="preserve"> Specifically, schools should consider reviewing Section 7.0, which provides recommendations for schools, and Section 9.0, which provides recommendations on outdoor water use. Recommendations for schools are also summarized on the School, Recreation</w:t>
      </w:r>
      <w:r>
        <w:t>,</w:t>
      </w:r>
      <w:r w:rsidRPr="00EC2627">
        <w:t xml:space="preserve"> and Facilities Managers web page offered by the Water Resources Commission.</w:t>
      </w:r>
      <w:r>
        <w:fldChar w:fldCharType="begin"/>
      </w:r>
      <w:r w:rsidR="00137B21">
        <w:instrText xml:space="preserve"> ADDIN ZOTERO_ITEM CSL_CITATION {"citationID":"usQRe21z","properties":{"formattedCitation":"\\super 201\\nosupersub{}","plainCitation":"201","noteIndex":0},"citationItems":[{"id":506,"uris":["http://zotero.org/groups/5563646/items/A822YV7N"],"itemData":{"id":506,"type":"webpage","language":"en","title":"School, Recreation and Facilities Managers","URL":"https://www.mass.gov/guides/school-recreation-and-facilities-managers","author":[{"literal":"Massachusetts Water Resources Commission"}],"accessed":{"date-parts":[["2024",7,15]]},"issued":{"date-parts":[["2024"]]}}}],"schema":"https://github.com/citation-style-language/schema/raw/master/csl-citation.json"} </w:instrText>
      </w:r>
      <w:r>
        <w:fldChar w:fldCharType="separate"/>
      </w:r>
      <w:r w:rsidR="00137B21" w:rsidRPr="00137B21">
        <w:rPr>
          <w:rFonts w:ascii="Calibri" w:hAnsi="Calibri" w:cs="Calibri"/>
          <w:vertAlign w:val="superscript"/>
        </w:rPr>
        <w:t>201</w:t>
      </w:r>
      <w:r>
        <w:fldChar w:fldCharType="end"/>
      </w:r>
      <w:r w:rsidRPr="00926BF3">
        <w:rPr>
          <w:rStyle w:val="CommentReference"/>
          <w:rFonts w:cs="Times New Roman"/>
          <w:b/>
          <w:bCs/>
        </w:rPr>
        <w:t xml:space="preserve"> </w:t>
      </w:r>
    </w:p>
    <w:p w14:paraId="37741489" w14:textId="77777777" w:rsidR="002707EE" w:rsidRPr="00A53683" w:rsidRDefault="002707EE" w:rsidP="002707EE">
      <w:pPr>
        <w:pStyle w:val="Heading4"/>
      </w:pPr>
      <w:r w:rsidRPr="00A53683">
        <w:t>Monitor and Manage Water Use</w:t>
      </w:r>
    </w:p>
    <w:p w14:paraId="7B44969F" w14:textId="77777777" w:rsidR="002707EE" w:rsidRDefault="002707EE" w:rsidP="006D7DE6">
      <w:pPr>
        <w:pStyle w:val="BodyTextFirstIndent"/>
      </w:pPr>
      <w:r>
        <w:t xml:space="preserve">When monitoring and managing water use, schools should consider metering and tracking water use, benchmarking water use against other schools, and conducting individual facility water assessments. </w:t>
      </w:r>
    </w:p>
    <w:p w14:paraId="11533D36" w14:textId="77777777" w:rsidR="002707EE" w:rsidRDefault="002707EE" w:rsidP="002707EE">
      <w:pPr>
        <w:pStyle w:val="Heading5"/>
      </w:pPr>
      <w:r>
        <w:t>(1) Meter and track water use</w:t>
      </w:r>
    </w:p>
    <w:p w14:paraId="41600660" w14:textId="77777777" w:rsidR="002707EE" w:rsidRDefault="002707EE" w:rsidP="006D7DE6">
      <w:pPr>
        <w:pStyle w:val="BodyTextFirstIndent"/>
      </w:pPr>
      <w:r>
        <w:t xml:space="preserve">Metering and tracking water use can help schools identify leaks and other abnormalities in water use, identify areas for targeted reductions, help measure progress from implementing water efficiency best practices, and allow for benchmarking. </w:t>
      </w:r>
    </w:p>
    <w:p w14:paraId="1BE16ED6" w14:textId="73816AB6" w:rsidR="002707EE" w:rsidRDefault="002707EE" w:rsidP="006D7DE6">
      <w:pPr>
        <w:pStyle w:val="BodyTextFirstIndent"/>
      </w:pPr>
      <w:r>
        <w:t xml:space="preserve">At a minimum, schools should consider regularly tracking their building- or campus-level metered water consumption using bills provided by their water utility. Schools should </w:t>
      </w:r>
      <w:r w:rsidR="006812EA">
        <w:t xml:space="preserve">strive to </w:t>
      </w:r>
      <w:r w:rsidR="008C7D7E">
        <w:t xml:space="preserve">meter </w:t>
      </w:r>
      <w:r>
        <w:t xml:space="preserve"> all water uses</w:t>
      </w:r>
      <w:r w:rsidR="00FA35D9">
        <w:t>,</w:t>
      </w:r>
      <w:r>
        <w:t xml:space="preserve"> including all indoor and outdoor water use, as well as both utility-supplied sources and onsite alternative water sources (e.g., rainwater, graywater).</w:t>
      </w:r>
      <w:r>
        <w:fldChar w:fldCharType="begin"/>
      </w:r>
      <w:r w:rsidR="004728FC">
        <w:instrText xml:space="preserve"> ADDIN ZOTERO_ITEM CSL_CITATION {"citationID":"hMJ0VwI7","properties":{"formattedCitation":"\\super 200\\nosupersub{}","plainCitation":"200","noteIndex":0},"citationItems":[{"id":297,"uris":["http://zotero.org/groups/5563646/items/IIANGHIR"],"itemData":{"id":297,"type":"report","title":"Massachusetts Water Conservation Standards","URL":"https://www.mass.gov/doc/massachusetts-water-conservation-standards-2/download","author":[{"family":"The Commonwealth of Massachusetts Executive Office of Energy and Environmental Affairs and Water Resources Commission","given":""}],"issued":{"date-parts":[["2018",7]]}}}],"schema":"https://github.com/citation-style-language/schema/raw/master/csl-citation.json"} </w:instrText>
      </w:r>
      <w:r>
        <w:fldChar w:fldCharType="separate"/>
      </w:r>
      <w:r w:rsidR="004728FC" w:rsidRPr="004728FC">
        <w:rPr>
          <w:rFonts w:cs="Arial"/>
          <w:vertAlign w:val="superscript"/>
        </w:rPr>
        <w:t>200</w:t>
      </w:r>
      <w:r>
        <w:fldChar w:fldCharType="end"/>
      </w:r>
      <w:r>
        <w:t xml:space="preserve"> Schools should consider entering data into ESPM or another similar utility management program.</w:t>
      </w:r>
      <w:r>
        <w:fldChar w:fldCharType="begin"/>
      </w:r>
      <w:r w:rsidR="0076400C">
        <w:instrText xml:space="preserve"> ADDIN ZOTERO_ITEM CSL_CITATION {"citationID":"qV4Tv428","properties":{"formattedCitation":"\\super 202\\nosupersub{}","plainCitation":"202","noteIndex":0},"citationItems":[{"id":515,"uris":["http://zotero.org/groups/5563646/items/3TQYY9QV"],"itemData":{"id":515,"type":"webpage","title":"ENERGY STAR Portfolio Manager","URL":"https://portfoliomanager.energystar.gov/pm/login","author":[{"literal":"US EPA"}],"accessed":{"date-parts":[["2024",7,14]]}}}],"schema":"https://github.com/citation-style-language/schema/raw/master/csl-citation.json"} </w:instrText>
      </w:r>
      <w:r>
        <w:fldChar w:fldCharType="separate"/>
      </w:r>
      <w:r w:rsidR="0076400C" w:rsidRPr="0076400C">
        <w:rPr>
          <w:rFonts w:cs="Arial"/>
          <w:vertAlign w:val="superscript"/>
        </w:rPr>
        <w:t>202</w:t>
      </w:r>
      <w:r>
        <w:fldChar w:fldCharType="end"/>
      </w:r>
      <w:r>
        <w:t xml:space="preserve"> ESPM is a free, interactive tool for managing energy, water, waste, and GHG emissions of any building type. ESPM has tools to help understand metrics, monitor trends, and generate reports of metered data. Schools should use graphs of water use data to help identify potential leaks or other water use abnormalities and fix them immediately.</w:t>
      </w:r>
      <w:r>
        <w:fldChar w:fldCharType="begin"/>
      </w:r>
      <w:r w:rsidR="00DB1D4C">
        <w:instrText xml:space="preserve"> ADDIN ZOTERO_ITEM CSL_CITATION {"citationID":"pVhtCN3l","properties":{"formattedCitation":"\\super 203\\nosupersub{}","plainCitation":"203","noteIndex":0},"citationItems":[{"id":514,"uris":["http://zotero.org/groups/5563646/items/2YC5Z4QE"],"itemData":{"id":514,"type":"report","title":"WaterSense at Work Section 2.2: Leak Detection and Repair","URL":"https://www.epa.gov/system/files/documents/2023-11/ws-commercial-bmp-watersenseatwork_section2.2_leakdetectionandrepair.pdf","author":[{"literal":"US EPA"}],"issued":{"date-parts":[["2023",11]]}}}],"schema":"https://github.com/citation-style-language/schema/raw/master/csl-citation.json"} </w:instrText>
      </w:r>
      <w:r>
        <w:fldChar w:fldCharType="separate"/>
      </w:r>
      <w:r w:rsidR="00DB1D4C" w:rsidRPr="00DB1D4C">
        <w:rPr>
          <w:rFonts w:cs="Arial"/>
          <w:vertAlign w:val="superscript"/>
        </w:rPr>
        <w:t>203</w:t>
      </w:r>
      <w:r>
        <w:fldChar w:fldCharType="end"/>
      </w:r>
      <w:r>
        <w:t xml:space="preserve"> </w:t>
      </w:r>
    </w:p>
    <w:p w14:paraId="3265D90A" w14:textId="7394ECB2" w:rsidR="002707EE" w:rsidRDefault="002707EE" w:rsidP="006D7DE6">
      <w:pPr>
        <w:pStyle w:val="BodyTextFirstIndent"/>
      </w:pPr>
      <w:r>
        <w:t xml:space="preserve">Some schools may be able to access advanced metering infrastructure (AMI) data from their water utility, if their utility uses advanced meters. Advanced water meters record water meter data at least hourly and automatically transmit data regularly to a central collection point. School facility managers can learn more about how to use AMI data by reviewing WaterSense’s </w:t>
      </w:r>
      <w:r w:rsidRPr="00217D6B">
        <w:rPr>
          <w:i/>
          <w:iCs/>
        </w:rPr>
        <w:t>Improving Water Management Using Advanced Metering Infrastructure Data: A Guide for Facility Managers</w:t>
      </w:r>
      <w:r>
        <w:t>.</w:t>
      </w:r>
      <w:r>
        <w:fldChar w:fldCharType="begin"/>
      </w:r>
      <w:r w:rsidR="00FF62D2">
        <w:instrText xml:space="preserve"> ADDIN ZOTERO_ITEM CSL_CITATION {"citationID":"aQoWGfmJ","properties":{"formattedCitation":"\\super 204\\nosupersub{}","plainCitation":"204","noteIndex":0},"citationItems":[{"id":512,"uris":["http://zotero.org/groups/5563646/items/YH283JTX"],"itemData":{"id":512,"type":"report","language":"en","source":"Zotero","title":"Improving Water Management Using Advanced Metering Infrastructure Data: A Guide for Facility Managers","URL":"https://www.epa.gov/system/files/documents/2022-09/ws-commercial-ami-guide-facility-managers.pdf","author":[{"literal":"US EPA"}],"issued":{"date-parts":[["2022",9]]}}}],"schema":"https://github.com/citation-style-language/schema/raw/master/csl-citation.json"} </w:instrText>
      </w:r>
      <w:r>
        <w:fldChar w:fldCharType="separate"/>
      </w:r>
      <w:r w:rsidR="00FF62D2" w:rsidRPr="00FF62D2">
        <w:rPr>
          <w:rFonts w:cs="Arial"/>
          <w:vertAlign w:val="superscript"/>
        </w:rPr>
        <w:t>204</w:t>
      </w:r>
      <w:r>
        <w:fldChar w:fldCharType="end"/>
      </w:r>
    </w:p>
    <w:p w14:paraId="0844318C" w14:textId="3051F560" w:rsidR="002707EE" w:rsidRDefault="002707EE" w:rsidP="006D7DE6">
      <w:pPr>
        <w:pStyle w:val="BodyTextFirstIndent"/>
      </w:pPr>
      <w:r>
        <w:lastRenderedPageBreak/>
        <w:t>In addition to metering and tracking building- or campus-level water use data, schools should consider submetering high water end uses, including cooling towers, steam boilers, single-pass cooling systems, irrigation systems, pools, and any product, system, or process predicted use 1,000 gallons of water or more per day or 100,000 gallons of water or more per year.</w:t>
      </w:r>
      <w:r>
        <w:fldChar w:fldCharType="begin"/>
      </w:r>
      <w:r w:rsidR="00FC529A">
        <w:instrText xml:space="preserve"> ADDIN ZOTERO_ITEM CSL_CITATION {"citationID":"IvijVC9A","properties":{"formattedCitation":"\\super 205\\nosupersub{}","plainCitation":"205","noteIndex":0},"citationItems":[{"id":513,"uris":["http://zotero.org/groups/5563646/items/4PLHKFCF"],"itemData":{"id":513,"type":"report","title":"WaterSense at Work Section 2.1: Metering and Submetering","URL":"https://www.epa.gov/system/files/documents/2023-11/ws-commercial-bmp-watersenseatwork_section2.1_meteringandsubmetering.pdf","author":[{"literal":"US EPA"}],"issued":{"date-parts":[["2023",11]]}}}],"schema":"https://github.com/citation-style-language/schema/raw/master/csl-citation.json"} </w:instrText>
      </w:r>
      <w:r>
        <w:fldChar w:fldCharType="separate"/>
      </w:r>
      <w:r w:rsidR="00FC529A" w:rsidRPr="00FC529A">
        <w:rPr>
          <w:rFonts w:cs="Arial"/>
          <w:vertAlign w:val="superscript"/>
        </w:rPr>
        <w:t>205</w:t>
      </w:r>
      <w:r>
        <w:fldChar w:fldCharType="end"/>
      </w:r>
    </w:p>
    <w:p w14:paraId="3B2D8454" w14:textId="4F03E2DB" w:rsidR="002707EE" w:rsidRDefault="002707EE" w:rsidP="006D7DE6">
      <w:pPr>
        <w:pStyle w:val="BodyTextFirstIndent"/>
      </w:pPr>
      <w:r>
        <w:t xml:space="preserve">For more information about how to optimize water efficiency by metering and tracking water use, schools should review </w:t>
      </w:r>
      <w:r w:rsidRPr="00FF2F6B">
        <w:rPr>
          <w:i/>
          <w:iCs/>
        </w:rPr>
        <w:t>WaterSense at Work Section 2.1: Metering and Submetering</w:t>
      </w:r>
      <w:r>
        <w:t>.</w:t>
      </w:r>
      <w:r>
        <w:fldChar w:fldCharType="begin"/>
      </w:r>
      <w:r w:rsidR="001F01C9">
        <w:instrText xml:space="preserve"> ADDIN ZOTERO_ITEM CSL_CITATION {"citationID":"GSU2xUFz","properties":{"formattedCitation":"\\super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1F01C9" w:rsidRPr="001F01C9">
        <w:rPr>
          <w:rFonts w:cs="Arial"/>
          <w:vertAlign w:val="superscript"/>
        </w:rPr>
        <w:t>199</w:t>
      </w:r>
      <w:r>
        <w:fldChar w:fldCharType="end"/>
      </w:r>
      <w:r>
        <w:t xml:space="preserve"> </w:t>
      </w:r>
    </w:p>
    <w:p w14:paraId="5C3A5465" w14:textId="77777777" w:rsidR="002707EE" w:rsidRDefault="002707EE" w:rsidP="002707EE">
      <w:pPr>
        <w:pStyle w:val="Heading5"/>
      </w:pPr>
      <w:r>
        <w:t>(2) Benchmark water use</w:t>
      </w:r>
    </w:p>
    <w:p w14:paraId="44C48447" w14:textId="2AC7BD2F" w:rsidR="002707EE" w:rsidRDefault="002707EE" w:rsidP="006D7DE6">
      <w:pPr>
        <w:pStyle w:val="BodyTextFirstIndent"/>
      </w:pPr>
      <w:r>
        <w:t>To further optimize water efficiency, Massachusetts schools should consider benchmarking school water use. Benchmarking is the process of measuring a building’s water use and comparing it to its own historical usage, the water use of similar facilities, or a reference performance level. Similar to metering and tracking water use, benchmarking can be as simple as measuring and comparing one school’s water consumption over time (e.g., gallons per year). However, benchmarking can be more powerful when water use data is normalized so that it can be compared across similar facilities of the same type.</w:t>
      </w:r>
      <w:r>
        <w:fldChar w:fldCharType="begin"/>
      </w:r>
      <w:r w:rsidR="00C06E67">
        <w:instrText xml:space="preserve"> ADDIN ZOTERO_ITEM CSL_CITATION {"citationID":"Pvq8PKTb","properties":{"formattedCitation":"\\super 206\\nosupersub{}","plainCitation":"206","noteIndex":0},"citationItems":[{"id":511,"uris":["http://zotero.org/groups/5563646/items/ALDPTW3U"],"itemData":{"id":511,"type":"report","title":"WaterSense at Work Section 2.3: Benchmarking","URL":"https://www.epa.gov/system/files/documents/2024-03/ws-commercial-bmp-watersenseatwork_section2.3_benchmarking.pdf","author":[{"literal":"US EPA"}],"issued":{"date-parts":[["2024",3]]}}}],"schema":"https://github.com/citation-style-language/schema/raw/master/csl-citation.json"} </w:instrText>
      </w:r>
      <w:r>
        <w:fldChar w:fldCharType="separate"/>
      </w:r>
      <w:r w:rsidR="00C06E67" w:rsidRPr="00C06E67">
        <w:rPr>
          <w:rFonts w:cs="Arial"/>
          <w:vertAlign w:val="superscript"/>
        </w:rPr>
        <w:t>206</w:t>
      </w:r>
      <w:r>
        <w:fldChar w:fldCharType="end"/>
      </w:r>
      <w:r>
        <w:t xml:space="preserve"> </w:t>
      </w:r>
    </w:p>
    <w:p w14:paraId="42136C9D" w14:textId="77777777" w:rsidR="002707EE" w:rsidRDefault="002707EE" w:rsidP="006D7DE6">
      <w:pPr>
        <w:pStyle w:val="BodyTextFirstIndent"/>
      </w:pPr>
      <w:r w:rsidRPr="00926BF3">
        <w:rPr>
          <w:noProof/>
        </w:rPr>
        <mc:AlternateContent>
          <mc:Choice Requires="wps">
            <w:drawing>
              <wp:inline distT="0" distB="0" distL="0" distR="0" wp14:anchorId="01E69670" wp14:editId="0625FDD7">
                <wp:extent cx="6029608" cy="1294646"/>
                <wp:effectExtent l="0" t="0" r="28575" b="20320"/>
                <wp:docPr id="1758038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608" cy="1294646"/>
                        </a:xfrm>
                        <a:prstGeom prst="rect">
                          <a:avLst/>
                        </a:prstGeom>
                        <a:solidFill>
                          <a:srgbClr val="DCE6F2"/>
                        </a:solidFill>
                        <a:ln w="9525">
                          <a:solidFill>
                            <a:srgbClr val="000000"/>
                          </a:solidFill>
                          <a:miter lim="800000"/>
                          <a:headEnd/>
                          <a:tailEnd/>
                        </a:ln>
                      </wps:spPr>
                      <wps:txbx>
                        <w:txbxContent>
                          <w:p w14:paraId="5B0586B6" w14:textId="77777777" w:rsidR="002707EE" w:rsidRDefault="002707EE" w:rsidP="002707EE">
                            <w:pPr>
                              <w:pStyle w:val="TextBoxTitle"/>
                            </w:pPr>
                            <w:r>
                              <w:t>Normalizing Water Consumption Data</w:t>
                            </w:r>
                          </w:p>
                          <w:p w14:paraId="7E0DD3F2" w14:textId="66D5D8AE" w:rsidR="002707EE" w:rsidRDefault="002707EE" w:rsidP="002707EE">
                            <w:pPr>
                              <w:pStyle w:val="TextBoxText"/>
                            </w:pPr>
                            <w:r w:rsidRPr="00391B48">
                              <w:t>To compare schools of all sizes and populations to one another, water use data should be normalized. To normalize water</w:t>
                            </w:r>
                            <w:r w:rsidR="0090471C">
                              <w:t xml:space="preserve"> </w:t>
                            </w:r>
                            <w:r w:rsidRPr="00391B48">
                              <w:t xml:space="preserve">use data, schools </w:t>
                            </w:r>
                            <w:r>
                              <w:t>can</w:t>
                            </w:r>
                            <w:r w:rsidRPr="00391B48">
                              <w:t xml:space="preserve"> select a metric to help best compare water use data among schools, such as by facility size (e.g., gallons per square foot per year) or by population served (e.g., gallons per student per year).</w:t>
                            </w:r>
                          </w:p>
                        </w:txbxContent>
                      </wps:txbx>
                      <wps:bodyPr rot="0" vert="horz" wrap="square" lIns="91440" tIns="45720" rIns="91440" bIns="45720" anchor="t" anchorCtr="0">
                        <a:noAutofit/>
                      </wps:bodyPr>
                    </wps:wsp>
                  </a:graphicData>
                </a:graphic>
              </wp:inline>
            </w:drawing>
          </mc:Choice>
          <mc:Fallback>
            <w:pict>
              <v:shape w14:anchorId="01E69670" id="_x0000_s1059" type="#_x0000_t202" style="width:474.75pt;height:10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" fillcolor="#dce6f2">
                <v:textbox>
                  <w:txbxContent>
                    <w:p w14:paraId="5B0586B6" w14:textId="77777777" w:rsidR="002707EE" w:rsidRDefault="002707EE" w:rsidP="002707EE">
                      <w:pPr>
                        <w:pStyle w:val="TextBoxTitle"/>
                      </w:pPr>
                      <w:r>
                        <w:t>Normalizing Water Consumption Data</w:t>
                      </w:r>
                    </w:p>
                    <w:p w14:paraId="7E0DD3F2" w14:textId="66D5D8AE" w:rsidR="002707EE" w:rsidRDefault="002707EE" w:rsidP="002707EE">
                      <w:pPr>
                        <w:pStyle w:val="TextBoxText"/>
                      </w:pPr>
                      <w:r w:rsidRPr="00391B48">
                        <w:t>To compare schools of all sizes and populations to one another, water use data should be normalized. To normalize water</w:t>
                      </w:r>
                      <w:r w:rsidR="0090471C">
                        <w:t xml:space="preserve"> </w:t>
                      </w:r>
                      <w:r w:rsidRPr="00391B48">
                        <w:t xml:space="preserve">use data, schools </w:t>
                      </w:r>
                      <w:r>
                        <w:t>can</w:t>
                      </w:r>
                      <w:r w:rsidRPr="00391B48">
                        <w:t xml:space="preserve"> select a metric to help best compare water use data among schools, such as by facility size (e.g., gallons per square foot per year) or by population served (e.g., gallons per student per year).</w:t>
                      </w:r>
                    </w:p>
                  </w:txbxContent>
                </v:textbox>
                <w10:anchorlock/>
              </v:shape>
            </w:pict>
          </mc:Fallback>
        </mc:AlternateContent>
      </w:r>
    </w:p>
    <w:p w14:paraId="7E3A8E2F" w14:textId="77777777" w:rsidR="002707EE" w:rsidRDefault="002707EE" w:rsidP="006D7DE6">
      <w:pPr>
        <w:pStyle w:val="BodyTextFirstIndent"/>
      </w:pPr>
      <w:r>
        <w:t>Massachusetts schools can benchmark building water consumption by:</w:t>
      </w:r>
    </w:p>
    <w:p w14:paraId="276DA866" w14:textId="77777777" w:rsidR="002707EE" w:rsidRDefault="002707EE" w:rsidP="008131EB">
      <w:pPr>
        <w:pStyle w:val="ListBullet"/>
      </w:pPr>
      <w:r>
        <w:t>Metering and tracking water use (as described in best practice 1)</w:t>
      </w:r>
    </w:p>
    <w:p w14:paraId="34E20654" w14:textId="77777777" w:rsidR="002707EE" w:rsidRDefault="002707EE" w:rsidP="008131EB">
      <w:pPr>
        <w:pStyle w:val="ListBullet"/>
      </w:pPr>
      <w:r>
        <w:t>Selecting a metric to normalize water use data, such as gallons per square foot per year (also known as water use intensity [WUI]) or gallons used per student per year</w:t>
      </w:r>
    </w:p>
    <w:p w14:paraId="5E19A3F9" w14:textId="77777777" w:rsidR="002707EE" w:rsidRDefault="002707EE" w:rsidP="008131EB">
      <w:pPr>
        <w:pStyle w:val="ListBullet"/>
      </w:pPr>
      <w:r>
        <w:t>Comparing normalized water use data across schools within individual school districts or municipalities</w:t>
      </w:r>
    </w:p>
    <w:p w14:paraId="18B47109" w14:textId="77777777" w:rsidR="002707EE" w:rsidRDefault="002707EE" w:rsidP="006D7DE6">
      <w:pPr>
        <w:pStyle w:val="BodyTextFirstIndent"/>
      </w:pPr>
      <w:r>
        <w:t>Individual school districts or municipalities throughout the Commonwealth could use normalized water use data to compare schools within their district to one another to identify the schools in greatest need of efforts to increase water efficiency. School districts/municipalities could choose to focus efforts on the highest water-using schools, potentially deciding to conduct water assessments (as described in best practice 3) on those schools first.</w:t>
      </w:r>
    </w:p>
    <w:p w14:paraId="5D61171F" w14:textId="71A27CC3" w:rsidR="002707EE" w:rsidRDefault="002707EE" w:rsidP="006D7DE6">
      <w:pPr>
        <w:pStyle w:val="BodyTextFirstIndent"/>
      </w:pPr>
      <w:r>
        <w:lastRenderedPageBreak/>
        <w:t>In addition to comparing schools within a municipality or across the state, schools might also compare building water performance to other schools across the nation. EPA has developed a technical reference on median WUI values and other metrics observed in a variety of facility types based on water use data entered into ESPM, which schools could review to compare themselves against other schools in the United States.</w:t>
      </w:r>
      <w:r>
        <w:fldChar w:fldCharType="begin"/>
      </w:r>
      <w:r w:rsidR="00911AC9">
        <w:instrText xml:space="preserve"> ADDIN ZOTERO_ITEM CSL_CITATION {"citationID":"NYsgGIaS","properties":{"formattedCitation":"\\super 207\\nosupersub{}","plainCitation":"207","noteIndex":0},"citationItems":[{"id":367,"uris":["http://zotero.org/groups/5563646/items/3LF4GX8K"],"itemData":{"id":367,"type":"report","title":"ENERGY STAR Portfolio Manager U.S. Water Use Intensity by Property Type","URL":"https://www.energystar.gov/sites/default/files/tools/National%20WUI%20Technical%20Reference%202023_0719b.pdf","author":[{"family":"US EPA","given":""}],"issued":{"date-parts":[["2023",6]]}}}],"schema":"https://github.com/citation-style-language/schema/raw/master/csl-citation.json"} </w:instrText>
      </w:r>
      <w:r>
        <w:fldChar w:fldCharType="separate"/>
      </w:r>
      <w:r w:rsidR="00911AC9" w:rsidRPr="00911AC9">
        <w:rPr>
          <w:rFonts w:cs="Arial"/>
          <w:vertAlign w:val="superscript"/>
        </w:rPr>
        <w:t>207</w:t>
      </w:r>
      <w:r>
        <w:fldChar w:fldCharType="end"/>
      </w:r>
      <w:r>
        <w:t xml:space="preserve"> For select building types in ESPM, there is an EPA Water Score (from 1 to 100) that allows a facility to compare itself relative to the national population of buildings with similar characteristics. For example, a building receiving a score of 75 indicates the building performs better than 75 percent of similar buildings nationwide. While this EPA Water Score rating system is not yet available for schools in ESPM, schools should continue to report water use data into </w:t>
      </w:r>
      <w:r w:rsidR="0090471C">
        <w:t xml:space="preserve">it </w:t>
      </w:r>
      <w:r>
        <w:t>to support this functionality in the future.</w:t>
      </w:r>
    </w:p>
    <w:p w14:paraId="70C0EA95" w14:textId="1B59814C" w:rsidR="002707EE" w:rsidRDefault="002707EE" w:rsidP="006D7DE6">
      <w:pPr>
        <w:pStyle w:val="BodyTextFirstIndent"/>
      </w:pPr>
      <w:r w:rsidRPr="00F470FA">
        <w:t xml:space="preserve">Some </w:t>
      </w:r>
      <w:r>
        <w:t xml:space="preserve">Massachusetts </w:t>
      </w:r>
      <w:r w:rsidRPr="00F470FA">
        <w:t>municipalities, including Boston</w:t>
      </w:r>
      <w:r w:rsidRPr="00F470FA">
        <w:fldChar w:fldCharType="begin"/>
      </w:r>
      <w:r w:rsidR="00070314">
        <w:instrText xml:space="preserve"> ADDIN ZOTERO_ITEM CSL_CITATION {"citationID":"m7vy5kIk","properties":{"formattedCitation":"\\super 208\\nosupersub{}","plainCitation":"208","noteIndex":0},"citationItems":[{"id":751,"uris":["http://zotero.org/groups/5563646/items/KDVAWIVC"],"itemData":{"id":751,"type":"document","title":"City of Boston Code, Ordinances, Chapter VII, Sections 7-2.1 and 7-2.2, Building Energy Reporting and Disclosure","author":[{"literal":"City of Boston"}],"issued":{"date-parts":[["2021",9]]}}}],"schema":"https://github.com/citation-style-language/schema/raw/master/csl-citation.json"} </w:instrText>
      </w:r>
      <w:r w:rsidRPr="00F470FA">
        <w:fldChar w:fldCharType="separate"/>
      </w:r>
      <w:r w:rsidR="00070314" w:rsidRPr="00070314">
        <w:rPr>
          <w:rFonts w:cs="Arial"/>
          <w:vertAlign w:val="superscript"/>
        </w:rPr>
        <w:t>208</w:t>
      </w:r>
      <w:r w:rsidRPr="00F470FA">
        <w:fldChar w:fldCharType="end"/>
      </w:r>
      <w:r w:rsidRPr="00F470FA">
        <w:t xml:space="preserve"> and Lexington,</w:t>
      </w:r>
      <w:r w:rsidRPr="00647F17">
        <w:fldChar w:fldCharType="begin"/>
      </w:r>
      <w:r w:rsidR="0001774C">
        <w:instrText xml:space="preserve"> ADDIN ZOTERO_ITEM CSL_CITATION {"citationID":"FFg4WYwC","properties":{"formattedCitation":"\\super 209\\nosupersub{}","plainCitation":"209","noteIndex":0},"citationItems":[{"id":750,"uris":["http://zotero.org/groups/5563646/items/ABRBNMSI"],"itemData":{"id":750,"type":"document","language":"en-US","title":"Town of Lexington, MA, Bylaws","URL":"https://ecode360.com/41461386","author":[{"literal":"Town of Lexington, MA"}],"accessed":{"date-parts":[["2024",7,23]]},"issued":{"date-parts":[["2024",3,11]]}}}],"schema":"https://github.com/citation-style-language/schema/raw/master/csl-citation.json"} </w:instrText>
      </w:r>
      <w:r w:rsidRPr="00647F17">
        <w:fldChar w:fldCharType="separate"/>
      </w:r>
      <w:r w:rsidR="0001774C" w:rsidRPr="0001774C">
        <w:rPr>
          <w:rFonts w:cs="Arial"/>
          <w:vertAlign w:val="superscript"/>
        </w:rPr>
        <w:t>209</w:t>
      </w:r>
      <w:r w:rsidRPr="00647F17">
        <w:fldChar w:fldCharType="end"/>
      </w:r>
      <w:r w:rsidRPr="00F470FA">
        <w:t xml:space="preserve"> currently require large commercial buildings such as schools to report energy and water use </w:t>
      </w:r>
      <w:r>
        <w:t>data</w:t>
      </w:r>
      <w:r w:rsidRPr="00F470FA">
        <w:t xml:space="preserve"> </w:t>
      </w:r>
      <w:r>
        <w:t>annually</w:t>
      </w:r>
      <w:r w:rsidRPr="00F470FA">
        <w:t xml:space="preserve"> using </w:t>
      </w:r>
      <w:r>
        <w:t xml:space="preserve">ESPM. </w:t>
      </w:r>
      <w:r w:rsidRPr="00F470FA">
        <w:t xml:space="preserve">Schools and school districts should be sure to report water use where required and should consider tracking </w:t>
      </w:r>
      <w:r>
        <w:t xml:space="preserve">and reporting </w:t>
      </w:r>
      <w:r w:rsidRPr="00F470FA">
        <w:t xml:space="preserve">water data in </w:t>
      </w:r>
      <w:r>
        <w:t>ESPM,</w:t>
      </w:r>
      <w:r w:rsidRPr="00F470FA">
        <w:t xml:space="preserve"> even if not required.</w:t>
      </w:r>
      <w:r>
        <w:t xml:space="preserve">  </w:t>
      </w:r>
    </w:p>
    <w:p w14:paraId="33F44CAB" w14:textId="03E519CD" w:rsidR="002707EE" w:rsidRDefault="002707EE" w:rsidP="006D7DE6">
      <w:pPr>
        <w:pStyle w:val="BodyTextFirstIndent"/>
      </w:pPr>
      <w:r>
        <w:t xml:space="preserve">For more detailed information on optimizing water efficiency by benchmarking water use, review </w:t>
      </w:r>
      <w:r w:rsidRPr="00AB0CDF">
        <w:rPr>
          <w:i/>
          <w:iCs/>
        </w:rPr>
        <w:t>WaterSense at Work Section 2.3: Benchmarking</w:t>
      </w:r>
      <w:r>
        <w:t>.</w:t>
      </w:r>
      <w:r>
        <w:fldChar w:fldCharType="begin"/>
      </w:r>
      <w:r w:rsidR="002E14B9">
        <w:instrText xml:space="preserve"> ADDIN ZOTERO_ITEM CSL_CITATION {"citationID":"MeAuc1CJ","properties":{"formattedCitation":"\\super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2E14B9" w:rsidRPr="002E14B9">
        <w:rPr>
          <w:rFonts w:cs="Arial"/>
          <w:vertAlign w:val="superscript"/>
        </w:rPr>
        <w:t>199</w:t>
      </w:r>
      <w:r>
        <w:fldChar w:fldCharType="end"/>
      </w:r>
      <w:r>
        <w:t xml:space="preserve"> </w:t>
      </w:r>
    </w:p>
    <w:p w14:paraId="3E2DFD62" w14:textId="77777777" w:rsidR="002707EE" w:rsidRDefault="002707EE" w:rsidP="002707EE">
      <w:pPr>
        <w:pStyle w:val="Heading5"/>
      </w:pPr>
      <w:r>
        <w:t>(3) Conduct water assessments</w:t>
      </w:r>
    </w:p>
    <w:p w14:paraId="055E7A76" w14:textId="4D17ADA1" w:rsidR="002707EE" w:rsidRDefault="002707EE" w:rsidP="006D7DE6">
      <w:pPr>
        <w:pStyle w:val="BodyTextFirstIndent"/>
      </w:pPr>
      <w:r>
        <w:t>Understanding how water is used in each school individually is critical to optimizing water efficiency across the portfolio of schools in Massachusetts. An individual facility water assessment can:</w:t>
      </w:r>
      <w:r>
        <w:fldChar w:fldCharType="begin"/>
      </w:r>
      <w:r w:rsidR="00635B30">
        <w:instrText xml:space="preserve"> ADDIN ZOTERO_ITEM CSL_CITATION {"citationID":"d1SRtWaR","properties":{"formattedCitation":"\\super 210\\nosupersub{}","plainCitation":"210","noteIndex":0},"citationItems":[{"id":516,"uris":["http://zotero.org/groups/5563646/items/MT429KJ6"],"itemData":{"id":516,"type":"report","title":"WaterSense at Work Section 1.2: Water Management Planning","URL":"https://www.epa.gov/system/files/documents/2023-05/ws-commercial-watersense-at-work_Section_1.2_Planning.pdf","author":[{"literal":"US EPA"}],"issued":{"date-parts":[["2023",11]]}}}],"schema":"https://github.com/citation-style-language/schema/raw/master/csl-citation.json"} </w:instrText>
      </w:r>
      <w:r>
        <w:fldChar w:fldCharType="separate"/>
      </w:r>
      <w:r w:rsidR="00635B30" w:rsidRPr="00635B30">
        <w:rPr>
          <w:rFonts w:ascii="Calibri" w:hAnsi="Calibri" w:cs="Calibri"/>
          <w:vertAlign w:val="superscript"/>
        </w:rPr>
        <w:t>210</w:t>
      </w:r>
      <w:r>
        <w:fldChar w:fldCharType="end"/>
      </w:r>
    </w:p>
    <w:p w14:paraId="148CBCE3" w14:textId="77777777" w:rsidR="002707EE" w:rsidRDefault="002707EE" w:rsidP="008131EB">
      <w:pPr>
        <w:pStyle w:val="ListBullet"/>
      </w:pPr>
      <w:r>
        <w:t xml:space="preserve">Provide a comprehensive account of all water end uses at a school </w:t>
      </w:r>
    </w:p>
    <w:p w14:paraId="763716E5" w14:textId="77777777" w:rsidR="002707EE" w:rsidRDefault="002707EE" w:rsidP="008131EB">
      <w:pPr>
        <w:pStyle w:val="ListBullet"/>
      </w:pPr>
      <w:r>
        <w:t>Identify leaks and potential simple operations and maintenance changes (unique to each school) that could reduce water use</w:t>
      </w:r>
    </w:p>
    <w:p w14:paraId="3A764581" w14:textId="77777777" w:rsidR="002707EE" w:rsidRDefault="002707EE" w:rsidP="008131EB">
      <w:pPr>
        <w:pStyle w:val="ListBullet"/>
      </w:pPr>
      <w:r>
        <w:t>Establish a school’s water use baseline</w:t>
      </w:r>
    </w:p>
    <w:p w14:paraId="66553882" w14:textId="77777777" w:rsidR="002707EE" w:rsidRDefault="002707EE" w:rsidP="008131EB">
      <w:pPr>
        <w:pStyle w:val="ListBullet"/>
      </w:pPr>
      <w:r>
        <w:t xml:space="preserve">Prioritize a list of water efficiency projects and improvements at a school, including potential water and energy savings, project cost, and return on investment </w:t>
      </w:r>
    </w:p>
    <w:p w14:paraId="6E65BA7A" w14:textId="16AE2109" w:rsidR="002707EE" w:rsidRDefault="002707EE" w:rsidP="006D7DE6">
      <w:pPr>
        <w:pStyle w:val="BodyTextFirstIndent"/>
      </w:pPr>
      <w:r>
        <w:t xml:space="preserve">Schools should consider hiring water efficiency professionals with specific water assessment experience to conduct school building water assessments. Alternatively, existing facility management staff can educate themselves to conduct water assessments using tools and resources developed by EPA’s WaterSense program and other organizations. School facility managers can begin to train themselves to assess their schools by reviewing </w:t>
      </w:r>
      <w:r w:rsidRPr="00B24CE3">
        <w:rPr>
          <w:i/>
          <w:iCs/>
        </w:rPr>
        <w:t>WaterSense at Work Section 1.2 Water Management Planning</w:t>
      </w:r>
      <w:r>
        <w:t>,</w:t>
      </w:r>
      <w:r>
        <w:fldChar w:fldCharType="begin"/>
      </w:r>
      <w:r w:rsidR="00FE2BAD">
        <w:instrText xml:space="preserve"> ADDIN ZOTERO_ITEM CSL_CITATION {"citationID":"kE09Nr3t","properties":{"formattedCitation":"\\super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FE2BAD" w:rsidRPr="00FE2BAD">
        <w:rPr>
          <w:rFonts w:ascii="Calibri" w:hAnsi="Calibri" w:cs="Calibri"/>
          <w:vertAlign w:val="superscript"/>
        </w:rPr>
        <w:t>199</w:t>
      </w:r>
      <w:r>
        <w:fldChar w:fldCharType="end"/>
      </w:r>
      <w:r>
        <w:t xml:space="preserve"> watching EPA’s latest “Conducting a Water Assessment from Start to Finish” webinar,</w:t>
      </w:r>
      <w:r>
        <w:fldChar w:fldCharType="begin"/>
      </w:r>
      <w:r w:rsidR="00001C15">
        <w:instrText xml:space="preserve"> ADDIN ZOTERO_ITEM CSL_CITATION {"citationID":"p7BYHGEJ","properties":{"formattedCitation":"\\super 211\\nosupersub{}","plainCitation":"211","noteIndex":0},"citationItems":[{"id":518,"uris":["http://zotero.org/groups/5563646/items/5L7GIUEY"],"itemData":{"id":518,"type":"webpage","abstract":"WaterSense has developed a number of webinars that address different sectors and uses of water indoors and outdoors. Register for upcoming webinars and review past sessions, many of which are available as recordings.","language":"en","title":"WaterSense Webinars","URL":"https://www.epa.gov/watersense/webinars","author":[{"family":"US EPA","given":""}],"accessed":{"date-parts":[["2024",7,14]]},"issued":{"date-parts":[["2024",6,26]]}}}],"schema":"https://github.com/citation-style-language/schema/raw/master/csl-citation.json"} </w:instrText>
      </w:r>
      <w:r>
        <w:fldChar w:fldCharType="separate"/>
      </w:r>
      <w:r w:rsidR="00001C15" w:rsidRPr="00001C15">
        <w:rPr>
          <w:rFonts w:ascii="Calibri" w:hAnsi="Calibri" w:cs="Calibri"/>
          <w:vertAlign w:val="superscript"/>
        </w:rPr>
        <w:t>211</w:t>
      </w:r>
      <w:r>
        <w:fldChar w:fldCharType="end"/>
      </w:r>
      <w:r>
        <w:t xml:space="preserve"> and familiarizing themselves with additional tools and resources available to help conduct a water assessment.</w:t>
      </w:r>
      <w:r>
        <w:fldChar w:fldCharType="begin"/>
      </w:r>
      <w:r w:rsidR="00605B4B">
        <w:instrText xml:space="preserve"> ADDIN ZOTERO_ITEM CSL_CITATION {"citationID":"DTkm5F6k","properties":{"formattedCitation":"\\super 212\\nosupersub{}","plainCitation":"212","noteIndex":0},"citationItems":[{"id":517,"uris":["http://zotero.org/groups/5563646/items/9YL6BUSH"],"itemData":{"id":517,"type":"webpage","abstract":"WaterSense has a variety of tools to help commercial building facility staff to improve water use efficiency.","language":"en","title":"WaterSense Tools for CI Facilities","URL":"https://www.epa.gov/watersense/tools-ci-facilities","author":[{"family":"US EPA","given":""}],"accessed":{"date-parts":[["2024",7,14]]},"issued":{"date-parts":[["2024",2,2]]}}}],"schema":"https://github.com/citation-style-language/schema/raw/master/csl-citation.json"} </w:instrText>
      </w:r>
      <w:r>
        <w:fldChar w:fldCharType="separate"/>
      </w:r>
      <w:r w:rsidR="00605B4B" w:rsidRPr="00605B4B">
        <w:rPr>
          <w:rFonts w:ascii="Calibri" w:hAnsi="Calibri" w:cs="Calibri"/>
          <w:vertAlign w:val="superscript"/>
        </w:rPr>
        <w:t>212</w:t>
      </w:r>
      <w:r>
        <w:fldChar w:fldCharType="end"/>
      </w:r>
      <w:r>
        <w:t xml:space="preserve"> </w:t>
      </w:r>
    </w:p>
    <w:p w14:paraId="4FAFBFB3" w14:textId="311496A0" w:rsidR="002707EE" w:rsidRDefault="002707EE" w:rsidP="006D7DE6">
      <w:pPr>
        <w:pStyle w:val="BodyTextFirstIndent"/>
      </w:pPr>
      <w:r>
        <w:lastRenderedPageBreak/>
        <w:t xml:space="preserve">WaterSense recommends that facilities conduct water assessments every four years to continue to identify </w:t>
      </w:r>
      <w:r w:rsidR="0090471C">
        <w:t>O&amp;M</w:t>
      </w:r>
      <w:r>
        <w:t xml:space="preserve"> practices, retrofits, and replacements that may optimize water efficiency at a facility.</w:t>
      </w:r>
      <w:r>
        <w:fldChar w:fldCharType="begin"/>
      </w:r>
      <w:r w:rsidR="008C63BB">
        <w:instrText xml:space="preserve"> ADDIN ZOTERO_ITEM CSL_CITATION {"citationID":"dFdKL0Au","properties":{"formattedCitation":"\\super 210\\nosupersub{}","plainCitation":"210","noteIndex":0},"citationItems":[{"id":516,"uris":["http://zotero.org/groups/5563646/items/MT429KJ6"],"itemData":{"id":516,"type":"report","title":"WaterSense at Work Section 1.2: Water Management Planning","URL":"https://www.epa.gov/system/files/documents/2023-05/ws-commercial-watersense-at-work_Section_1.2_Planning.pdf","author":[{"literal":"US EPA"}],"issued":{"date-parts":[["2023",11]]}}}],"schema":"https://github.com/citation-style-language/schema/raw/master/csl-citation.json"} </w:instrText>
      </w:r>
      <w:r>
        <w:fldChar w:fldCharType="separate"/>
      </w:r>
      <w:r w:rsidR="008C63BB" w:rsidRPr="008C63BB">
        <w:rPr>
          <w:rFonts w:ascii="Calibri" w:hAnsi="Calibri" w:cs="Calibri"/>
          <w:vertAlign w:val="superscript"/>
        </w:rPr>
        <w:t>210</w:t>
      </w:r>
      <w:r>
        <w:fldChar w:fldCharType="end"/>
      </w:r>
      <w:r>
        <w:t xml:space="preserve"> </w:t>
      </w:r>
    </w:p>
    <w:p w14:paraId="245A06BA" w14:textId="77777777" w:rsidR="002707EE" w:rsidRPr="00B71CFE" w:rsidRDefault="002707EE" w:rsidP="002707EE">
      <w:pPr>
        <w:pStyle w:val="Heading4"/>
      </w:pPr>
      <w:r w:rsidRPr="00B71CFE">
        <w:t>Optimize Water Efficiency of End Uses and Systems</w:t>
      </w:r>
    </w:p>
    <w:p w14:paraId="2CC0D919" w14:textId="77777777" w:rsidR="002707EE" w:rsidRDefault="002707EE" w:rsidP="006D7DE6">
      <w:pPr>
        <w:pStyle w:val="BodyTextFirstIndent"/>
      </w:pPr>
      <w:r>
        <w:t>To optimize water efficiency of end uses and systems, schools should consider installing WaterSense</w:t>
      </w:r>
      <w:r w:rsidRPr="00507FA0">
        <w:rPr>
          <w:rFonts w:cs="Calibri (Body)"/>
          <w:vertAlign w:val="superscript"/>
        </w:rPr>
        <w:t>®</w:t>
      </w:r>
      <w:r>
        <w:t xml:space="preserve"> labeled, ENERGY STAR</w:t>
      </w:r>
      <w:r w:rsidRPr="00507FA0">
        <w:rPr>
          <w:rFonts w:cs="Calibri (Body)"/>
          <w:vertAlign w:val="superscript"/>
        </w:rPr>
        <w:t>®</w:t>
      </w:r>
      <w:r>
        <w:t xml:space="preserve"> certified, and other high-efficiency products in restrooms and cafeterias; implementing water-efficient O&amp;M and user education in restrooms and cafeterias; eliminating non-functional irrigated turf and installing water-efficient landscaping; optimizing irrigation systems and installing WaterSense labeled irrigation products; eliminating single-pass cooling; optimizing cooling towers and steam boilers; and optimizing the water efficiency of other uncommon end uses where applicable. </w:t>
      </w:r>
    </w:p>
    <w:p w14:paraId="7D557184" w14:textId="77777777" w:rsidR="002707EE" w:rsidRDefault="002707EE" w:rsidP="002707EE">
      <w:pPr>
        <w:pStyle w:val="Heading5"/>
      </w:pPr>
      <w:r>
        <w:t xml:space="preserve">(4) </w:t>
      </w:r>
      <w:r w:rsidRPr="003F7673">
        <w:t>Install WaterSense</w:t>
      </w:r>
      <w:r>
        <w:t xml:space="preserve"> l</w:t>
      </w:r>
      <w:r w:rsidRPr="003F7673">
        <w:t xml:space="preserve">abeled, ENERGY STAR </w:t>
      </w:r>
      <w:r>
        <w:t>c</w:t>
      </w:r>
      <w:r w:rsidRPr="003F7673">
        <w:t xml:space="preserve">ertified, and </w:t>
      </w:r>
      <w:r>
        <w:t>o</w:t>
      </w:r>
      <w:r w:rsidRPr="003F7673">
        <w:t xml:space="preserve">ther </w:t>
      </w:r>
      <w:r>
        <w:t>h</w:t>
      </w:r>
      <w:r w:rsidRPr="003F7673">
        <w:t>igh-</w:t>
      </w:r>
      <w:r>
        <w:t>e</w:t>
      </w:r>
      <w:r w:rsidRPr="003F7673">
        <w:t xml:space="preserve">fficiency </w:t>
      </w:r>
      <w:r>
        <w:t>p</w:t>
      </w:r>
      <w:r w:rsidRPr="003F7673">
        <w:t xml:space="preserve">roducts in </w:t>
      </w:r>
      <w:r>
        <w:t>r</w:t>
      </w:r>
      <w:r w:rsidRPr="003F7673">
        <w:t xml:space="preserve">estrooms and </w:t>
      </w:r>
      <w:r>
        <w:t>c</w:t>
      </w:r>
      <w:r w:rsidRPr="003F7673">
        <w:t>afeterias</w:t>
      </w:r>
    </w:p>
    <w:p w14:paraId="51F0C233" w14:textId="77777777" w:rsidR="002707EE" w:rsidRDefault="002707EE" w:rsidP="006D7DE6">
      <w:pPr>
        <w:pStyle w:val="BodyTextFirstIndent"/>
      </w:pPr>
      <w:r>
        <w:t xml:space="preserve">Whenever possible, schools should install WaterSense labeled, ENERGY STAR certified, and other high-efficiency water-using products in restrooms and cafeterias. </w:t>
      </w:r>
    </w:p>
    <w:p w14:paraId="1C56F213" w14:textId="412D641C" w:rsidR="002707EE" w:rsidRDefault="002707EE" w:rsidP="006D7DE6">
      <w:pPr>
        <w:pStyle w:val="BodyTextFirstIndent"/>
      </w:pPr>
      <w:r w:rsidRPr="001901C0">
        <w:rPr>
          <w:i/>
          <w:iCs/>
        </w:rPr>
        <w:t>248 CMR 10.00 Uniform State Plumbing Code</w:t>
      </w:r>
      <w:r w:rsidRPr="001901C0">
        <w:t xml:space="preserve"> specifies maximum flow rate requirements for residential and non-residential lavatory faucets; residential kitchen or bar faucets; and non-residential sink faucets, showerheads, tank-type toilets, flushometer-valve-type toilets, and urinals that align with current WaterSense specifications, where applicable.</w:t>
      </w:r>
      <w:r w:rsidRPr="001901C0">
        <w:fldChar w:fldCharType="begin"/>
      </w:r>
      <w:r w:rsidR="0088249E">
        <w:instrText xml:space="preserve"> ADDIN ZOTERO_ITEM CSL_CITATION {"citationID":"u23AwagK","properties":{"formattedCitation":"\\super 213\\nosupersub{}","plainCitation":"213","noteIndex":0},"citationItems":[{"id":501,"uris":["http://zotero.org/groups/5563646/items/HAC6TMLT"],"itemData":{"id":501,"type":"webpage","title":"248 CMR 10.00: Uniform State Plumbing Code","URL":"https://www.mass.gov/regulations/248-CMR-1000-uniform-state-plumbing-code","author":[{"literal":"Board of State Examiners of Plumbers and Gas Fitters"}],"issued":{"date-parts":[["2023",12,8]]}}}],"schema":"https://github.com/citation-style-language/schema/raw/master/csl-citation.json"} </w:instrText>
      </w:r>
      <w:r w:rsidRPr="001901C0">
        <w:fldChar w:fldCharType="separate"/>
      </w:r>
      <w:r w:rsidR="0088249E" w:rsidRPr="0088249E">
        <w:rPr>
          <w:rFonts w:ascii="Calibri" w:hAnsi="Calibri" w:cs="Calibri"/>
          <w:vertAlign w:val="superscript"/>
        </w:rPr>
        <w:t>213</w:t>
      </w:r>
      <w:r w:rsidRPr="001901C0">
        <w:fldChar w:fldCharType="end"/>
      </w:r>
      <w:r w:rsidRPr="001901C0">
        <w:t xml:space="preserve"> Further, </w:t>
      </w:r>
      <w:r w:rsidRPr="001901C0">
        <w:rPr>
          <w:i/>
          <w:iCs/>
        </w:rPr>
        <w:t>225 CMR 9.00 Appliance Energy-Efficiency Standards, Testing and Certification Program</w:t>
      </w:r>
      <w:r w:rsidRPr="001901C0">
        <w:t xml:space="preserve"> requires that commercial dishwashers and steam cookers sold in Massachusetts be ENERGY STAR certified.</w:t>
      </w:r>
      <w:r>
        <w:t xml:space="preserve"> </w:t>
      </w:r>
    </w:p>
    <w:p w14:paraId="4E918AAF" w14:textId="45485B58" w:rsidR="002707EE" w:rsidRDefault="002707EE" w:rsidP="006D7DE6">
      <w:pPr>
        <w:pStyle w:val="BodyTextFirstIndent"/>
      </w:pPr>
      <w:r>
        <w:t xml:space="preserve">WaterSense labeled restroom products use at least 20 percent less water than standard models and are independently certified for efficiency and performance. Because WaterSense labeled products have maximum flow rates aligned with Massachusetts plumbing code and are independently tested and certified, Massachusetts schools should use the </w:t>
      </w:r>
      <w:hyperlink r:id="rId194" w:history="1">
        <w:r w:rsidRPr="00C81350">
          <w:rPr>
            <w:rStyle w:val="Hyperlink"/>
          </w:rPr>
          <w:t>WaterSense Product Search Tool</w:t>
        </w:r>
      </w:hyperlink>
      <w:r>
        <w:t xml:space="preserve"> to look for WaterSense labeled products specifically when replacing or purchasing new bathroom fixtures and fittings.</w:t>
      </w:r>
      <w:r>
        <w:fldChar w:fldCharType="begin"/>
      </w:r>
      <w:r w:rsidR="00202FD6">
        <w:instrText xml:space="preserve"> ADDIN ZOTERO_ITEM CSL_CITATION {"citationID":"x87GgNBu","properties":{"formattedCitation":"\\super 214\\nosupersub{}","plainCitation":"214","noteIndex":0},"citationItems":[{"id":503,"uris":["http://zotero.org/groups/5563646/items/V9KJPRDT"],"itemData":{"id":503,"type":"webpage","language":"en","title":"WaterSense Product Search","URL":"https://www.epa.gov/watersense/product-search","author":[{"literal":"US EPA"}],"accessed":{"date-parts":[["2024",7,15]]}}}],"schema":"https://github.com/citation-style-language/schema/raw/master/csl-citation.json"} </w:instrText>
      </w:r>
      <w:r>
        <w:fldChar w:fldCharType="separate"/>
      </w:r>
      <w:r w:rsidR="00202FD6" w:rsidRPr="00202FD6">
        <w:rPr>
          <w:rFonts w:ascii="Calibri" w:hAnsi="Calibri" w:cs="Calibri"/>
          <w:vertAlign w:val="superscript"/>
        </w:rPr>
        <w:t>214</w:t>
      </w:r>
      <w:r>
        <w:fldChar w:fldCharType="end"/>
      </w:r>
      <w:r>
        <w:t xml:space="preserve"> These products include:</w:t>
      </w:r>
    </w:p>
    <w:p w14:paraId="408235DD" w14:textId="77777777" w:rsidR="002707EE" w:rsidRDefault="002707EE" w:rsidP="008131EB">
      <w:pPr>
        <w:pStyle w:val="ListBullet"/>
      </w:pPr>
      <w:r>
        <w:t>WaterSense labeled flushometer-valve and tank-type toilets</w:t>
      </w:r>
    </w:p>
    <w:p w14:paraId="5E593467" w14:textId="77777777" w:rsidR="002707EE" w:rsidRDefault="002707EE" w:rsidP="008131EB">
      <w:pPr>
        <w:pStyle w:val="ListBullet"/>
      </w:pPr>
      <w:r>
        <w:t xml:space="preserve">WaterSense labeled urinals </w:t>
      </w:r>
    </w:p>
    <w:p w14:paraId="1F3C3A72" w14:textId="77777777" w:rsidR="002707EE" w:rsidRDefault="002707EE" w:rsidP="008131EB">
      <w:pPr>
        <w:pStyle w:val="ListBullet"/>
      </w:pPr>
      <w:r>
        <w:t>WaterSense labeled showerheads</w:t>
      </w:r>
    </w:p>
    <w:p w14:paraId="649AF7E3" w14:textId="77777777" w:rsidR="002707EE" w:rsidRDefault="002707EE" w:rsidP="008131EB">
      <w:pPr>
        <w:pStyle w:val="ListBullet"/>
      </w:pPr>
      <w:r>
        <w:t>WaterSense labeled private lavatory faucets (intended for private bathrooms not available to walk-in traffic)</w:t>
      </w:r>
    </w:p>
    <w:p w14:paraId="28249C74" w14:textId="122C6F9B" w:rsidR="002707EE" w:rsidRDefault="002707EE" w:rsidP="006D7DE6">
      <w:pPr>
        <w:pStyle w:val="BodyTextFirstIndent"/>
      </w:pPr>
      <w:r>
        <w:t xml:space="preserve">WaterSense does not label public lavatory faucets (i.e., those installed in public restrooms open to walk-in traffic). New lavatory faucets in public restrooms should </w:t>
      </w:r>
      <w:r>
        <w:lastRenderedPageBreak/>
        <w:t>either be 0.5 gallons per minute (gpm) public-use lavatory faucets or 0.25 gallons per cycle metering faucets to align with Massachusetts plumbing code.</w:t>
      </w:r>
      <w:r>
        <w:fldChar w:fldCharType="begin"/>
      </w:r>
      <w:r w:rsidR="00BA7B26">
        <w:instrText xml:space="preserve"> ADDIN ZOTERO_ITEM CSL_CITATION {"citationID":"ceYxHWMF","properties":{"formattedCitation":"\\super 213\\nosupersub{}","plainCitation":"213","noteIndex":0},"citationItems":[{"id":501,"uris":["http://zotero.org/groups/5563646/items/HAC6TMLT"],"itemData":{"id":501,"type":"webpage","title":"248 CMR 10.00: Uniform State Plumbing Code","URL":"https://www.mass.gov/regulations/248-CMR-1000-uniform-state-plumbing-code","author":[{"literal":"Board of State Examiners of Plumbers and Gas Fitters"}],"issued":{"date-parts":[["2023",12,8]]}}}],"schema":"https://github.com/citation-style-language/schema/raw/master/csl-citation.json"} </w:instrText>
      </w:r>
      <w:r>
        <w:fldChar w:fldCharType="separate"/>
      </w:r>
      <w:r w:rsidR="00BA7B26" w:rsidRPr="00BA7B26">
        <w:rPr>
          <w:rFonts w:ascii="Calibri" w:hAnsi="Calibri" w:cs="Calibri"/>
          <w:vertAlign w:val="superscript"/>
        </w:rPr>
        <w:t>213</w:t>
      </w:r>
      <w:r>
        <w:fldChar w:fldCharType="end"/>
      </w:r>
    </w:p>
    <w:p w14:paraId="1F92D194" w14:textId="676CCA36" w:rsidR="002707EE" w:rsidRPr="00110298" w:rsidRDefault="002707EE" w:rsidP="006D7DE6">
      <w:pPr>
        <w:pStyle w:val="BodyTextFirstIndent"/>
      </w:pPr>
      <w:r>
        <w:t xml:space="preserve">Similarly, WaterSense does not label kitchen faucets. Instead, schools should install 1.8 gpm kitchen sink faucets with a 2.2 gpm maximum temporary override for classrooms and other areas with residential-style kitchen sinks to align with requirements in </w:t>
      </w:r>
      <w:r w:rsidRPr="00FC4A8B">
        <w:rPr>
          <w:i/>
          <w:iCs/>
        </w:rPr>
        <w:t>225 CMR 9.00 Appliance Energy-Efficiency Standards, Testing and Certification Program</w:t>
      </w:r>
      <w:r>
        <w:rPr>
          <w:i/>
          <w:iCs/>
        </w:rPr>
        <w:t>.</w:t>
      </w:r>
      <w:r>
        <w:rPr>
          <w:i/>
          <w:iCs/>
        </w:rPr>
        <w:fldChar w:fldCharType="begin"/>
      </w:r>
      <w:r w:rsidR="00321843">
        <w:rPr>
          <w:i/>
          <w:iCs/>
        </w:rPr>
        <w:instrText xml:space="preserve"> ADDIN ZOTERO_ITEM CSL_CITATION {"citationID":"bH28Y96F","properties":{"formattedCitation":"\\super 215\\nosupersub{}","plainCitation":"215","noteIndex":0},"citationItems":[{"id":294,"uris":["http://zotero.org/groups/5563646/items/7G2MK5IA"],"itemData":{"id":294,"type":"webpage","title":"225 CMR 9.00: Appliance energy-efficiency standards, testing and certification program","URL":"https://www.mass.gov/regulations/225-CMR-900-appliance-energy-efficiency-standards-testing-and-certification-program","author":[{"family":"Massachusetts Department of Energy Resources","given":""}],"accessed":{"date-parts":[["2024",6,25]]},"issued":{"date-parts":[["2021",12,24]]}}}],"schema":"https://github.com/citation-style-language/schema/raw/master/csl-citation.json"} </w:instrText>
      </w:r>
      <w:r>
        <w:rPr>
          <w:i/>
          <w:iCs/>
        </w:rPr>
        <w:fldChar w:fldCharType="separate"/>
      </w:r>
      <w:r w:rsidR="00321843" w:rsidRPr="00321843">
        <w:rPr>
          <w:rFonts w:ascii="Calibri" w:hAnsi="Calibri" w:cs="Calibri"/>
          <w:vertAlign w:val="superscript"/>
        </w:rPr>
        <w:t>215</w:t>
      </w:r>
      <w:r>
        <w:rPr>
          <w:i/>
          <w:iCs/>
        </w:rPr>
        <w:fldChar w:fldCharType="end"/>
      </w:r>
    </w:p>
    <w:p w14:paraId="5E7EE086" w14:textId="46E901C2" w:rsidR="002707EE" w:rsidRDefault="002707EE" w:rsidP="006D7DE6">
      <w:pPr>
        <w:pStyle w:val="BodyTextFirstIndent"/>
      </w:pPr>
      <w:r>
        <w:t>ENERGY STAR specifies energy- and water-efficiency criteria for several water-using commercial kitchen products and appliances. Massachusetts regulations require that commercial dishwashers and steam cookers sold in the Commonwealth be ENERGY STAR certified.</w:t>
      </w:r>
      <w:r>
        <w:fldChar w:fldCharType="begin"/>
      </w:r>
      <w:r w:rsidR="006C6E37">
        <w:instrText xml:space="preserve"> ADDIN ZOTERO_ITEM CSL_CITATION {"citationID":"mbOrhTgw","properties":{"formattedCitation":"\\super 215\\nosupersub{}","plainCitation":"215","noteIndex":0},"citationItems":[{"id":294,"uris":["http://zotero.org/groups/5563646/items/7G2MK5IA"],"itemData":{"id":294,"type":"webpage","title":"225 CMR 9.00: Appliance energy-efficiency standards, testing and certification program","URL":"https://www.mass.gov/regulations/225-CMR-900-appliance-energy-efficiency-standards-testing-and-certification-program","author":[{"family":"Massachusetts Department of Energy Resources","given":""}],"accessed":{"date-parts":[["2024",6,25]]},"issued":{"date-parts":[["2021",12,24]]}}}],"schema":"https://github.com/citation-style-language/schema/raw/master/csl-citation.json"} </w:instrText>
      </w:r>
      <w:r>
        <w:fldChar w:fldCharType="separate"/>
      </w:r>
      <w:r w:rsidR="006C6E37" w:rsidRPr="006C6E37">
        <w:rPr>
          <w:rFonts w:ascii="Calibri" w:hAnsi="Calibri" w:cs="Calibri"/>
          <w:vertAlign w:val="superscript"/>
        </w:rPr>
        <w:t>215</w:t>
      </w:r>
      <w:r>
        <w:fldChar w:fldCharType="end"/>
      </w:r>
      <w:r>
        <w:t xml:space="preserve"> To align with these regulations and to save energy and water across all water-using cafeteria equipment, Massachusetts schools should use the </w:t>
      </w:r>
      <w:hyperlink r:id="rId195" w:history="1">
        <w:r w:rsidRPr="003E1AD4">
          <w:rPr>
            <w:rStyle w:val="Hyperlink"/>
          </w:rPr>
          <w:t>ENERGY STAR Product Finder</w:t>
        </w:r>
      </w:hyperlink>
      <w:r>
        <w:t xml:space="preserve"> to look for ENERGY STAR certified commercial kitchen products, specifically when replacing or purchasing new water-using kitchen equipment.</w:t>
      </w:r>
      <w:r>
        <w:fldChar w:fldCharType="begin"/>
      </w:r>
      <w:r w:rsidR="009A6626">
        <w:instrText xml:space="preserve"> ADDIN ZOTERO_ITEM CSL_CITATION {"citationID":"55NyXXt2","properties":{"formattedCitation":"\\super 216\\nosupersub{}","plainCitation":"216","noteIndex":0},"citationItems":[{"id":502,"uris":["http://zotero.org/groups/5563646/items/CZX3BGJP"],"itemData":{"id":502,"type":"webpage","title":"ENERGY STAR Product Finder","URL":"https://www.energystar.gov/productfinder/","accessed":{"date-parts":[["2024",7,15]]}}}],"schema":"https://github.com/citation-style-language/schema/raw/master/csl-citation.json"} </w:instrText>
      </w:r>
      <w:r>
        <w:fldChar w:fldCharType="separate"/>
      </w:r>
      <w:r w:rsidR="009A6626" w:rsidRPr="009A6626">
        <w:rPr>
          <w:rFonts w:ascii="Calibri" w:hAnsi="Calibri" w:cs="Calibri"/>
          <w:vertAlign w:val="superscript"/>
        </w:rPr>
        <w:t>216</w:t>
      </w:r>
      <w:r>
        <w:fldChar w:fldCharType="end"/>
      </w:r>
      <w:r>
        <w:t xml:space="preserve"> These products include:</w:t>
      </w:r>
    </w:p>
    <w:p w14:paraId="447852A4" w14:textId="77777777" w:rsidR="002707EE" w:rsidRDefault="002707EE" w:rsidP="008131EB">
      <w:pPr>
        <w:pStyle w:val="ListBullet"/>
      </w:pPr>
      <w:r>
        <w:t>ENERGY STAR certified commercial ice makers</w:t>
      </w:r>
    </w:p>
    <w:p w14:paraId="57072EE0" w14:textId="77777777" w:rsidR="002707EE" w:rsidRDefault="002707EE" w:rsidP="008131EB">
      <w:pPr>
        <w:pStyle w:val="ListBullet"/>
      </w:pPr>
      <w:r>
        <w:t>ENERGY STAR certified dishwashers</w:t>
      </w:r>
    </w:p>
    <w:p w14:paraId="499E2449" w14:textId="77777777" w:rsidR="002707EE" w:rsidRDefault="002707EE" w:rsidP="008131EB">
      <w:pPr>
        <w:pStyle w:val="ListBullet"/>
      </w:pPr>
      <w:r>
        <w:t>ENERGY STAR certified combination ovens</w:t>
      </w:r>
    </w:p>
    <w:p w14:paraId="52E2E759" w14:textId="77777777" w:rsidR="002707EE" w:rsidRDefault="002707EE" w:rsidP="008131EB">
      <w:pPr>
        <w:pStyle w:val="ListBullet"/>
      </w:pPr>
      <w:r>
        <w:t>ENERGY STAR certified steam cookers</w:t>
      </w:r>
    </w:p>
    <w:p w14:paraId="65D23193" w14:textId="58D6DB7C" w:rsidR="002707EE" w:rsidRDefault="002707EE" w:rsidP="006D7DE6">
      <w:pPr>
        <w:pStyle w:val="BodyTextFirstIndent"/>
      </w:pPr>
      <w:r>
        <w:t>WaterSense and ENERGY STAR do not label commercial pre-rinse spray valves used for rinsing dishes prior to dishwashing in cafeterias. Instead, schools should install 1.28 gpm commercial pre-rinse spray valves to align with the final rule that DOE published in the Federal Register in 2016.</w:t>
      </w:r>
      <w:r>
        <w:fldChar w:fldCharType="begin"/>
      </w:r>
      <w:r w:rsidR="00C376B6">
        <w:instrText xml:space="preserve"> ADDIN ZOTERO_ITEM CSL_CITATION {"citationID":"ZCLslcyM","properties":{"formattedCitation":"\\super 217\\nosupersub{}","plainCitation":"217","noteIndex":0},"citationItems":[{"id":710,"uris":["http://zotero.org/groups/5563646/items/G7C6QXU4"],"itemData":{"id":710,"type":"document","title":"CRF Title 10, Chapter II, Parts 429 and 431--Energy Conservation Program: Energy Conservation Standards for Commercial Prerinse Spray Valves","URL":"https://www.regulations.gov/document/EERE-2014-BT-STD-0027-0050","author":[{"literal":"U.S. Department of Energy"}],"issued":{"date-parts":[["2016",1,27]]}}}],"schema":"https://github.com/citation-style-language/schema/raw/master/csl-citation.json"} </w:instrText>
      </w:r>
      <w:r>
        <w:fldChar w:fldCharType="separate"/>
      </w:r>
      <w:r w:rsidR="00C376B6" w:rsidRPr="00C376B6">
        <w:rPr>
          <w:rFonts w:ascii="Calibri" w:hAnsi="Calibri" w:cs="Calibri"/>
          <w:vertAlign w:val="superscript"/>
        </w:rPr>
        <w:t>217</w:t>
      </w:r>
      <w:r>
        <w:fldChar w:fldCharType="end"/>
      </w:r>
    </w:p>
    <w:p w14:paraId="4BC4B1FD" w14:textId="675362F6" w:rsidR="002707EE" w:rsidRDefault="002707EE" w:rsidP="006D7DE6">
      <w:pPr>
        <w:pStyle w:val="BodyTextFirstIndent"/>
      </w:pPr>
      <w:r>
        <w:t xml:space="preserve">In addition, schools should consider retrofit and replacement options for steam kettles, dipper wells, wash-down sprayers, food disposals, and other commercial kitchen equipment, where applicable, as described in </w:t>
      </w:r>
      <w:r w:rsidRPr="00757C76">
        <w:rPr>
          <w:i/>
          <w:iCs/>
        </w:rPr>
        <w:t>WaterSense at Work Section 4.0</w:t>
      </w:r>
      <w:r>
        <w:t>.</w:t>
      </w:r>
      <w:r>
        <w:fldChar w:fldCharType="begin"/>
      </w:r>
      <w:r w:rsidR="00827CDA">
        <w:instrText xml:space="preserve"> ADDIN ZOTERO_ITEM CSL_CITATION {"citationID":"9YEM8MGZ","properties":{"formattedCitation":"\\super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827CDA" w:rsidRPr="00827CDA">
        <w:rPr>
          <w:rFonts w:ascii="Calibri" w:hAnsi="Calibri" w:cs="Calibri"/>
          <w:vertAlign w:val="superscript"/>
        </w:rPr>
        <w:t>199</w:t>
      </w:r>
      <w:r>
        <w:fldChar w:fldCharType="end"/>
      </w:r>
    </w:p>
    <w:p w14:paraId="53ED0BBA" w14:textId="77777777" w:rsidR="002707EE" w:rsidRDefault="002707EE" w:rsidP="002707EE">
      <w:pPr>
        <w:pStyle w:val="Heading5"/>
      </w:pPr>
      <w:r>
        <w:t>(5) Implement water-efficient operations, maintenance, and user education in restrooms and cafeterias</w:t>
      </w:r>
    </w:p>
    <w:p w14:paraId="47E7D016" w14:textId="2C5B8ADF" w:rsidR="002707EE" w:rsidRDefault="002707EE" w:rsidP="006D7DE6">
      <w:pPr>
        <w:pStyle w:val="BodyTextFirstIndent"/>
      </w:pPr>
      <w:r>
        <w:t xml:space="preserve">When schools do not replace or have a need to install new restroom and cafeteria equipment (per the recommendations outlined in best practice 4), schools should consider implementing O&amp;M and user education recommendations for restroom fitting and fixtures and cafeteria equipment as described in </w:t>
      </w:r>
      <w:r w:rsidRPr="0087553D">
        <w:rPr>
          <w:i/>
          <w:iCs/>
        </w:rPr>
        <w:t>WaterSense at Work Section 3: Sanitary Fixtures and Equipment</w:t>
      </w:r>
      <w:r>
        <w:t xml:space="preserve"> and </w:t>
      </w:r>
      <w:r w:rsidRPr="0087553D">
        <w:rPr>
          <w:i/>
          <w:iCs/>
        </w:rPr>
        <w:t>WaterSense at Work Section 4.0 Commercial Kitchen Equipment</w:t>
      </w:r>
      <w:r>
        <w:t>.</w:t>
      </w:r>
      <w:r>
        <w:fldChar w:fldCharType="begin"/>
      </w:r>
      <w:r w:rsidR="009A3639">
        <w:instrText xml:space="preserve"> ADDIN ZOTERO_ITEM CSL_CITATION {"citationID":"RuQ5dOVL","properties":{"formattedCitation":"\\super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9A3639" w:rsidRPr="009A3639">
        <w:rPr>
          <w:rFonts w:ascii="Calibri" w:hAnsi="Calibri" w:cs="Calibri"/>
          <w:vertAlign w:val="superscript"/>
        </w:rPr>
        <w:t>199</w:t>
      </w:r>
      <w:r>
        <w:fldChar w:fldCharType="end"/>
      </w:r>
      <w:r>
        <w:t xml:space="preserve"> These best practices provide simple, often low-cost operational and user-focused changes that can help schools use existing fittings, fixtures, and equipment as efficiently as possible.  </w:t>
      </w:r>
    </w:p>
    <w:p w14:paraId="6F63F8FE" w14:textId="77777777" w:rsidR="00333D2D" w:rsidRDefault="00333D2D">
      <w:pPr>
        <w:rPr>
          <w:rFonts w:ascii="Arial" w:hAnsi="Arial"/>
          <w:b/>
          <w:i/>
          <w:color w:val="1F497D"/>
          <w:sz w:val="24"/>
        </w:rPr>
      </w:pPr>
      <w:r>
        <w:br w:type="page"/>
      </w:r>
    </w:p>
    <w:p w14:paraId="2326BCF4" w14:textId="513167B2" w:rsidR="002707EE" w:rsidRDefault="002707EE" w:rsidP="002707EE">
      <w:pPr>
        <w:pStyle w:val="Heading5"/>
      </w:pPr>
      <w:r>
        <w:lastRenderedPageBreak/>
        <w:t>(6) Eliminate irrigated non-functional turf and install water-efficient landscaping</w:t>
      </w:r>
    </w:p>
    <w:p w14:paraId="202B91C4" w14:textId="77777777" w:rsidR="002707EE" w:rsidRDefault="002707EE" w:rsidP="006D7DE6">
      <w:pPr>
        <w:pStyle w:val="BodyTextFirstIndent"/>
      </w:pPr>
      <w:r>
        <w:t xml:space="preserve">In general, water-efficient landscaped plant beds require less water than turfgrass. Where possible, schools should consider eliminating irrigated non-functional turf and replacing it with water-efficient landscaping—ideally, landscaping that does not require supplemental irrigation. In addition to reducing a school’s water consumption, this practice can also create additional outdoor spaces with shade that provide relief for students and staff participating in outdoor activities. Non-functional turf includes turf areas that are decorative and have no other functions. Functional use includes—but is not limited to—turf for sports fields, picnic areas, and outdoor classrooms. </w:t>
      </w:r>
    </w:p>
    <w:p w14:paraId="4283DDBA" w14:textId="10F6CBB8" w:rsidR="002707EE" w:rsidRDefault="002707EE" w:rsidP="006D7DE6">
      <w:pPr>
        <w:pStyle w:val="BodyTextFirstIndent"/>
      </w:pPr>
      <w:r>
        <w:t xml:space="preserve">Schools should review </w:t>
      </w:r>
      <w:r w:rsidRPr="00885421">
        <w:rPr>
          <w:i/>
          <w:iCs/>
        </w:rPr>
        <w:t xml:space="preserve">WaterSense at Work Section 5.1: Landscaping </w:t>
      </w:r>
      <w:r>
        <w:t>for further O&amp;M and user education best practices and retrofit and replacement options to optimize the water efficiency of landscaping.</w:t>
      </w:r>
      <w:r>
        <w:fldChar w:fldCharType="begin"/>
      </w:r>
      <w:r w:rsidR="00AA5407">
        <w:instrText xml:space="preserve"> ADDIN ZOTERO_ITEM CSL_CITATION {"citationID":"c7KpLRyz","properties":{"formattedCitation":"\\super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AA5407" w:rsidRPr="00AA5407">
        <w:rPr>
          <w:rFonts w:ascii="Calibri" w:hAnsi="Calibri" w:cs="Calibri"/>
          <w:vertAlign w:val="superscript"/>
        </w:rPr>
        <w:t>199</w:t>
      </w:r>
      <w:r>
        <w:fldChar w:fldCharType="end"/>
      </w:r>
      <w:r>
        <w:t xml:space="preserve"> </w:t>
      </w:r>
    </w:p>
    <w:p w14:paraId="57DDF406" w14:textId="77777777" w:rsidR="002707EE" w:rsidRDefault="002707EE" w:rsidP="002707EE">
      <w:pPr>
        <w:pStyle w:val="Heading5"/>
      </w:pPr>
      <w:r>
        <w:t>(7) Optimize irrigation systems and install WaterSense labeled irrigation products</w:t>
      </w:r>
    </w:p>
    <w:p w14:paraId="78E760A5" w14:textId="2E3609BB" w:rsidR="002707EE" w:rsidRDefault="002707EE" w:rsidP="006D7DE6">
      <w:pPr>
        <w:pStyle w:val="BodyTextFirstIndent"/>
      </w:pPr>
      <w:r>
        <w:t xml:space="preserve">Where supplemental irrigation is needed to maintain school landscapes, schools should </w:t>
      </w:r>
      <w:r w:rsidR="0016109E">
        <w:t xml:space="preserve">confirm that </w:t>
      </w:r>
      <w:r>
        <w:t xml:space="preserve"> irrigation systems are optimized and should consider using WaterSense labeled irrigation products.</w:t>
      </w:r>
    </w:p>
    <w:p w14:paraId="5F738B4E" w14:textId="40A98540" w:rsidR="002707EE" w:rsidRDefault="002707EE" w:rsidP="006D7DE6">
      <w:pPr>
        <w:pStyle w:val="BodyTextFirstIndent"/>
      </w:pPr>
      <w:r w:rsidRPr="00926BF3">
        <w:rPr>
          <w:noProof/>
        </w:rPr>
        <mc:AlternateContent>
          <mc:Choice Requires="wps">
            <w:drawing>
              <wp:anchor distT="0" distB="0" distL="114300" distR="114300" simplePos="0" relativeHeight="251674112" behindDoc="0" locked="0" layoutInCell="1" allowOverlap="1" wp14:anchorId="7A87C897" wp14:editId="4627557D">
                <wp:simplePos x="0" y="0"/>
                <wp:positionH relativeFrom="margin">
                  <wp:align>right</wp:align>
                </wp:positionH>
                <wp:positionV relativeFrom="paragraph">
                  <wp:posOffset>1209675</wp:posOffset>
                </wp:positionV>
                <wp:extent cx="2543175" cy="1438275"/>
                <wp:effectExtent l="0" t="0" r="28575" b="28575"/>
                <wp:wrapSquare wrapText="bothSides"/>
                <wp:docPr id="222596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38275"/>
                        </a:xfrm>
                        <a:prstGeom prst="rect">
                          <a:avLst/>
                        </a:prstGeom>
                        <a:solidFill>
                          <a:srgbClr val="DCE6F2"/>
                        </a:solidFill>
                        <a:ln w="9525">
                          <a:solidFill>
                            <a:srgbClr val="000000"/>
                          </a:solidFill>
                          <a:miter lim="800000"/>
                          <a:headEnd/>
                          <a:tailEnd/>
                        </a:ln>
                      </wps:spPr>
                      <wps:txbx>
                        <w:txbxContent>
                          <w:p w14:paraId="7388F754" w14:textId="77777777" w:rsidR="002707EE" w:rsidRDefault="002707EE" w:rsidP="002707EE">
                            <w:pPr>
                              <w:pStyle w:val="TextBoxTitle"/>
                            </w:pPr>
                            <w:r>
                              <w:t>Finding an Irrigation Professional</w:t>
                            </w:r>
                          </w:p>
                          <w:p w14:paraId="68853AA3" w14:textId="77777777" w:rsidR="002707EE" w:rsidRDefault="002707EE" w:rsidP="002707EE">
                            <w:pPr>
                              <w:pStyle w:val="TextBoxText"/>
                            </w:pPr>
                            <w:r w:rsidRPr="00AE28CE">
                              <w:t xml:space="preserve">Schools can identify irrigation professionals certified by a WaterSense labeled program using WaterSense’s </w:t>
                            </w:r>
                            <w:hyperlink r:id="rId196" w:history="1">
                              <w:r w:rsidRPr="00E17754">
                                <w:rPr>
                                  <w:rStyle w:val="Hyperlink"/>
                                </w:rPr>
                                <w:t>Find a Pro</w:t>
                              </w:r>
                            </w:hyperlink>
                            <w:r w:rsidRPr="00AE28CE">
                              <w:t xml:space="preserve"> tool</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87C897" id="_x0000_s1060" type="#_x0000_t202" style="position:absolute;margin-left:149.05pt;margin-top:95.25pt;width:200.25pt;height:113.2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" fillcolor="#dce6f2">
                <v:textbox>
                  <w:txbxContent>
                    <w:p w14:paraId="7388F754" w14:textId="77777777" w:rsidR="002707EE" w:rsidRDefault="002707EE" w:rsidP="002707EE">
                      <w:pPr>
                        <w:pStyle w:val="TextBoxTitle"/>
                      </w:pPr>
                      <w:r>
                        <w:t>Finding an Irrigation Professional</w:t>
                      </w:r>
                    </w:p>
                    <w:p w14:paraId="68853AA3" w14:textId="77777777" w:rsidR="002707EE" w:rsidRDefault="002707EE" w:rsidP="002707EE">
                      <w:pPr>
                        <w:pStyle w:val="TextBoxText"/>
                      </w:pPr>
                      <w:r w:rsidRPr="00AE28CE">
                        <w:t xml:space="preserve">Schools can identify irrigation professionals certified by a WaterSense labeled program using WaterSense’s </w:t>
                      </w:r>
                      <w:hyperlink r:id="rId197" w:history="1">
                        <w:r w:rsidRPr="00E17754">
                          <w:rPr>
                            <w:rStyle w:val="Hyperlink"/>
                          </w:rPr>
                          <w:t>Find a Pro</w:t>
                        </w:r>
                      </w:hyperlink>
                      <w:r w:rsidRPr="00AE28CE">
                        <w:t xml:space="preserve"> tool</w:t>
                      </w:r>
                      <w:r>
                        <w:t>.</w:t>
                      </w:r>
                    </w:p>
                  </w:txbxContent>
                </v:textbox>
                <w10:wrap type="square" anchorx="margin"/>
              </v:shape>
            </w:pict>
          </mc:Fallback>
        </mc:AlternateContent>
      </w:r>
      <w:r>
        <w:t>EPA recommends a full audit of an irrigation system every three years by a qualified irrigation auditor certified by a WaterSense labeled program, if possible.</w:t>
      </w:r>
      <w:r>
        <w:fldChar w:fldCharType="begin"/>
      </w:r>
      <w:r w:rsidR="003C31A4">
        <w:instrText xml:space="preserve"> ADDIN ZOTERO_ITEM CSL_CITATION {"citationID":"t2EBtFaN","properties":{"formattedCitation":"\\super 218\\nosupersub{}","plainCitation":"218","noteIndex":0},"citationItems":[{"id":708,"uris":["http://zotero.org/groups/5563646/items/A6U897RS"],"itemData":{"id":708,"type":"report","title":"WaterSense at Work Section 5.2: Irrigation","URL":"https://www.epa.gov/system/files/documents/2023-11/ws-commercial-bmp-watersenseatwork_section5.2_irrigation.pdf","author":[{"literal":"US EPA"}],"issued":{"date-parts":[["2023",11]]}}}],"schema":"https://github.com/citation-style-language/schema/raw/master/csl-citation.json"} </w:instrText>
      </w:r>
      <w:r>
        <w:fldChar w:fldCharType="separate"/>
      </w:r>
      <w:r w:rsidR="003C31A4" w:rsidRPr="003C31A4">
        <w:rPr>
          <w:rFonts w:ascii="Calibri" w:hAnsi="Calibri" w:cs="Calibri"/>
          <w:vertAlign w:val="superscript"/>
        </w:rPr>
        <w:t>218</w:t>
      </w:r>
      <w:r>
        <w:fldChar w:fldCharType="end"/>
      </w:r>
      <w:r>
        <w:t xml:space="preserve"> An irrigation system audit evaluates the irrigation system’s performance and schedule, identifies deficiencies, and provides suggestions for water efficiency improvements. Schools can identify irrigation professionals certified by a WaterSense labeled program using WaterSense’s Find a Pro tool.</w:t>
      </w:r>
      <w:r>
        <w:fldChar w:fldCharType="begin"/>
      </w:r>
      <w:r w:rsidR="00F60A55">
        <w:instrText xml:space="preserve"> ADDIN ZOTERO_ITEM CSL_CITATION {"citationID":"bJkJtRPd","properties":{"formattedCitation":"\\super 219\\nosupersub{}","plainCitation":"219","noteIndex":0},"citationItems":[{"id":709,"uris":["http://zotero.org/groups/5563646/items/G67JVQ5L"],"itemData":{"id":709,"type":"webpage","language":"en","title":"WaterSense Find a Pro","URL":"https://www.epa.gov/watersense/find-pro","author":[{"literal":"US EPA"}],"accessed":{"date-parts":[["2024",7,19]]}}}],"schema":"https://github.com/citation-style-language/schema/raw/master/csl-citation.json"} </w:instrText>
      </w:r>
      <w:r>
        <w:fldChar w:fldCharType="separate"/>
      </w:r>
      <w:r w:rsidR="00F60A55" w:rsidRPr="00F60A55">
        <w:rPr>
          <w:rFonts w:ascii="Calibri" w:hAnsi="Calibri" w:cs="Calibri"/>
          <w:vertAlign w:val="superscript"/>
        </w:rPr>
        <w:t>219</w:t>
      </w:r>
      <w:r>
        <w:fldChar w:fldCharType="end"/>
      </w:r>
      <w:r>
        <w:t xml:space="preserve"> For schools that would prefer to use in-house staff for this purpose, existing facility managers can begin training themselves to conduct an irrigation systems audit by reviewing t</w:t>
      </w:r>
      <w:r w:rsidRPr="000E5C1F">
        <w:t xml:space="preserve">he American National Standards Institute (ANSI)/American Society of Agricultural and Biological Engineers (ASABE) </w:t>
      </w:r>
      <w:r w:rsidRPr="000E5C1F">
        <w:rPr>
          <w:i/>
          <w:iCs/>
        </w:rPr>
        <w:t>Standard S626: Landscape Irrigation System Uniformity and Application Rate Testing</w:t>
      </w:r>
      <w:r>
        <w:t>, which</w:t>
      </w:r>
      <w:r w:rsidRPr="000E5C1F">
        <w:t xml:space="preserve"> provides guidelines for conducting an irrigation audit.</w:t>
      </w:r>
      <w:r>
        <w:fldChar w:fldCharType="begin"/>
      </w:r>
      <w:r w:rsidR="00725764">
        <w:instrText xml:space="preserve"> ADDIN ZOTERO_ITEM CSL_CITATION {"citationID":"N3easYE9","properties":{"formattedCitation":"\\super 220\\nosupersub{}","plainCitation":"220","noteIndex":0},"citationItems":[{"id":706,"uris":["http://zotero.org/groups/5563646/items/5FQ4VKXS"],"itemData":{"id":706,"type":"webpage","language":"en-us","title":"ANSI/ASABE Standard S626: Landscape Irrigation System Uniformity and Application Rate Testing","URL":"https://doi.org/http://dx.doi.org/10.13031/s2000.2013","author":[{"literal":"American Society of Agricultural and Biological Engineers"}],"accessed":{"date-parts":[["2024",7,19]]},"issued":{"date-parts":[["2016",9]]}}}],"schema":"https://github.com/citation-style-language/schema/raw/master/csl-citation.json"} </w:instrText>
      </w:r>
      <w:r>
        <w:fldChar w:fldCharType="separate"/>
      </w:r>
      <w:r w:rsidR="00725764" w:rsidRPr="00725764">
        <w:rPr>
          <w:rFonts w:ascii="Calibri" w:hAnsi="Calibri" w:cs="Calibri"/>
          <w:vertAlign w:val="superscript"/>
        </w:rPr>
        <w:t>220</w:t>
      </w:r>
      <w:r>
        <w:fldChar w:fldCharType="end"/>
      </w:r>
    </w:p>
    <w:p w14:paraId="108DDE72" w14:textId="556232E1" w:rsidR="002707EE" w:rsidRDefault="002707EE" w:rsidP="00FC5BD8">
      <w:pPr>
        <w:pStyle w:val="BodyTextFirstIndent"/>
      </w:pPr>
      <w:r w:rsidRPr="00FC5BD8">
        <w:t>Following an irrigation audit, schools should implement recommended improvements to the irrigation system. If a full irrigation audit isn’t performed, schools should consider reviewing WaterSense at Work Section 5.2: Irrigation and implementing the recommended O&amp;M and user education best practices and/or retrofit and replacement options to optimize the water efficiency of irrigation systems.</w:t>
      </w:r>
      <w:r>
        <w:fldChar w:fldCharType="begin"/>
      </w:r>
      <w:r w:rsidR="00F14BE3">
        <w:instrText xml:space="preserve"> ADDIN ZOTERO_ITEM CSL_CITATION {"citationID":"mO3k7OYt","properties":{"formattedCitation":"\\super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F14BE3" w:rsidRPr="00F14BE3">
        <w:rPr>
          <w:rFonts w:ascii="Calibri" w:hAnsi="Calibri" w:cs="Calibri"/>
          <w:vertAlign w:val="superscript"/>
        </w:rPr>
        <w:t>199</w:t>
      </w:r>
      <w:r>
        <w:fldChar w:fldCharType="end"/>
      </w:r>
      <w:r>
        <w:t xml:space="preserve"> </w:t>
      </w:r>
    </w:p>
    <w:p w14:paraId="2D9B8811" w14:textId="0760F244" w:rsidR="002707EE" w:rsidRDefault="002707EE" w:rsidP="006D7DE6">
      <w:pPr>
        <w:pStyle w:val="BodyTextFirstIndent"/>
      </w:pPr>
      <w:r>
        <w:t xml:space="preserve">When possible, schools should consider installing WaterSense labeled irrigation products, which can be found using the </w:t>
      </w:r>
      <w:hyperlink r:id="rId198" w:history="1">
        <w:r w:rsidRPr="009B0527">
          <w:rPr>
            <w:rStyle w:val="Hyperlink"/>
          </w:rPr>
          <w:t>WaterSense Product Search Tool</w:t>
        </w:r>
      </w:hyperlink>
      <w:r>
        <w:t>, including:</w:t>
      </w:r>
      <w:r>
        <w:fldChar w:fldCharType="begin"/>
      </w:r>
      <w:r w:rsidR="009A41F7">
        <w:instrText xml:space="preserve"> ADDIN ZOTERO_ITEM CSL_CITATION {"citationID":"Jr07JgUk","properties":{"formattedCitation":"\\super 214\\nosupersub{}","plainCitation":"214","noteIndex":0},"citationItems":[{"id":503,"uris":["http://zotero.org/groups/5563646/items/V9KJPRDT"],"itemData":{"id":503,"type":"webpage","language":"en","title":"WaterSense Product Search","URL":"https://www.epa.gov/watersense/product-search","author":[{"literal":"US EPA"}],"accessed":{"date-parts":[["2024",7,15]]}}}],"schema":"https://github.com/citation-style-language/schema/raw/master/csl-citation.json"} </w:instrText>
      </w:r>
      <w:r>
        <w:fldChar w:fldCharType="separate"/>
      </w:r>
      <w:r w:rsidR="009A41F7" w:rsidRPr="009A41F7">
        <w:rPr>
          <w:rFonts w:ascii="Calibri" w:hAnsi="Calibri" w:cs="Calibri"/>
          <w:vertAlign w:val="superscript"/>
        </w:rPr>
        <w:t>214</w:t>
      </w:r>
      <w:r>
        <w:fldChar w:fldCharType="end"/>
      </w:r>
    </w:p>
    <w:p w14:paraId="42BFC70C" w14:textId="77777777" w:rsidR="002707EE" w:rsidRDefault="002707EE" w:rsidP="008131EB">
      <w:pPr>
        <w:pStyle w:val="ListBullet"/>
      </w:pPr>
      <w:r>
        <w:lastRenderedPageBreak/>
        <w:t>WaterSense labeled irrigation controllers, which include weather- or soil-moisture-based control technology</w:t>
      </w:r>
    </w:p>
    <w:p w14:paraId="5243ED27" w14:textId="77777777" w:rsidR="002707EE" w:rsidRPr="00BE16EE" w:rsidRDefault="002707EE" w:rsidP="008131EB">
      <w:pPr>
        <w:pStyle w:val="ListBullet"/>
      </w:pPr>
      <w:r>
        <w:t xml:space="preserve">WaterSense labeled spray sprinkler bodies where spray irrigation is used, as required by </w:t>
      </w:r>
      <w:r w:rsidRPr="00FC4A8B">
        <w:rPr>
          <w:i/>
          <w:iCs/>
        </w:rPr>
        <w:t>225 CMR 9.00 Appliance Energy-Efficiency Standards, Testing and Certification Progra</w:t>
      </w:r>
      <w:r>
        <w:rPr>
          <w:i/>
          <w:iCs/>
        </w:rPr>
        <w:t>m</w:t>
      </w:r>
    </w:p>
    <w:p w14:paraId="12EDCA30" w14:textId="0DF02F1F" w:rsidR="002707EE" w:rsidRPr="000B7236" w:rsidRDefault="002707EE" w:rsidP="006D7DE6">
      <w:pPr>
        <w:pStyle w:val="BodyTextFirstIndent"/>
      </w:pPr>
      <w:r>
        <w:t xml:space="preserve">Further, schools should ensure that all </w:t>
      </w:r>
      <w:r w:rsidRPr="000B7236">
        <w:t>newly installed or renovated irrigation systems override and suspend programmed operation during periods of sufficient moisture</w:t>
      </w:r>
      <w:r>
        <w:t>.</w:t>
      </w:r>
      <w:r w:rsidRPr="000B7236">
        <w:t xml:space="preserve"> </w:t>
      </w:r>
      <w:r>
        <w:t xml:space="preserve">Schools should also inspect </w:t>
      </w:r>
      <w:r w:rsidRPr="000B7236">
        <w:t xml:space="preserve">system interruption devices at least every three years by an irrigation contractor as required in </w:t>
      </w:r>
      <w:r w:rsidRPr="003D4630">
        <w:rPr>
          <w:i/>
          <w:iCs/>
        </w:rPr>
        <w:t>M.G.L c 21, § 67: System Interruption Devices Requirement for New Irrigation Systems</w:t>
      </w:r>
      <w:r w:rsidRPr="000B7236">
        <w:t>.</w:t>
      </w:r>
      <w:r w:rsidRPr="000B7236">
        <w:fldChar w:fldCharType="begin"/>
      </w:r>
      <w:r w:rsidR="00F754FB">
        <w:instrText xml:space="preserve"> ADDIN ZOTERO_ITEM CSL_CITATION {"citationID":"7olDkc10","properties":{"formattedCitation":"\\super 221\\nosupersub{}","plainCitation":"221","noteIndex":0},"citationItems":[{"id":300,"uris":["http://zotero.org/groups/5563646/items/TZNAVDAZ"],"itemData":{"id":300,"type":"webpage","title":"General Law - Part I, Title II, Chapter 21, Section 67","URL":"https://malegislature.gov/Laws/GeneralLaws/PartI/TitleII/Chapter21/Section67","author":[{"family":"The 193rd Court of the Commonwealth of Massachusetts","given":""}],"accessed":{"date-parts":[["2024",6,25]]}}}],"schema":"https://github.com/citation-style-language/schema/raw/master/csl-citation.json"} </w:instrText>
      </w:r>
      <w:r w:rsidRPr="000B7236">
        <w:fldChar w:fldCharType="separate"/>
      </w:r>
      <w:r w:rsidR="00F754FB" w:rsidRPr="00F754FB">
        <w:rPr>
          <w:rFonts w:cs="Arial"/>
          <w:vertAlign w:val="superscript"/>
        </w:rPr>
        <w:t>221</w:t>
      </w:r>
      <w:r w:rsidRPr="000B7236">
        <w:fldChar w:fldCharType="end"/>
      </w:r>
      <w:r w:rsidRPr="000B7236">
        <w:t xml:space="preserve"> Schools can meet this requirement by using WaterSense labeled irrigation controllers or otherwise installing rain sensors </w:t>
      </w:r>
      <w:r>
        <w:t>that</w:t>
      </w:r>
      <w:r w:rsidRPr="000B7236">
        <w:t xml:space="preserve"> suspend irrigation </w:t>
      </w:r>
      <w:r>
        <w:t>upon the detection of</w:t>
      </w:r>
      <w:r w:rsidRPr="000B7236">
        <w:t xml:space="preserve"> rain.</w:t>
      </w:r>
    </w:p>
    <w:p w14:paraId="47723ED2" w14:textId="6549DCE4" w:rsidR="002707EE" w:rsidRDefault="002707EE" w:rsidP="006D7DE6">
      <w:pPr>
        <w:pStyle w:val="BodyTextFirstIndent"/>
        <w:rPr>
          <w:rStyle w:val="normaltextrun"/>
          <w:rFonts w:ascii="Calibri" w:hAnsi="Calibri" w:cs="Calibri"/>
          <w:color w:val="000000"/>
          <w:szCs w:val="22"/>
          <w:shd w:val="clear" w:color="auto" w:fill="FFFFFF"/>
        </w:rPr>
      </w:pPr>
      <w:r w:rsidRPr="000B7236">
        <w:t xml:space="preserve">Schools with irrigation systems should consider the water-smart irrigation principles outlined in </w:t>
      </w:r>
      <w:r w:rsidRPr="00402FAD">
        <w:rPr>
          <w:i/>
          <w:iCs/>
        </w:rPr>
        <w:t>Massachusetts Water Conservation Standards</w:t>
      </w:r>
      <w:r w:rsidRPr="000B7236">
        <w:t xml:space="preserve"> Section 9.0 Outdoor Water Use.</w:t>
      </w:r>
      <w:r w:rsidRPr="000B7236">
        <w:fldChar w:fldCharType="begin"/>
      </w:r>
      <w:r w:rsidR="00096979">
        <w:instrText xml:space="preserve"> ADDIN ZOTERO_ITEM CSL_CITATION {"citationID":"8cwwizMU","properties":{"formattedCitation":"\\super 200\\nosupersub{}","plainCitation":"200","noteIndex":0},"citationItems":[{"id":297,"uris":["http://zotero.org/groups/5563646/items/IIANGHIR"],"itemData":{"id":297,"type":"report","title":"Massachusetts Water Conservation Standards","URL":"https://www.mass.gov/doc/massachusetts-water-conservation-standards-2/download","author":[{"family":"The Commonwealth of Massachusetts Executive Office of Energy and Environmental Affairs and Water Resources Commission","given":""}],"issued":{"date-parts":[["2018",7]]}}}],"schema":"https://github.com/citation-style-language/schema/raw/master/csl-citation.json"} </w:instrText>
      </w:r>
      <w:r w:rsidRPr="000B7236">
        <w:fldChar w:fldCharType="separate"/>
      </w:r>
      <w:r w:rsidR="00096979" w:rsidRPr="00096979">
        <w:rPr>
          <w:rFonts w:cs="Arial"/>
          <w:vertAlign w:val="superscript"/>
        </w:rPr>
        <w:t>200</w:t>
      </w:r>
      <w:r w:rsidRPr="000B7236">
        <w:fldChar w:fldCharType="end"/>
      </w:r>
      <w:r w:rsidRPr="000B7236">
        <w:t xml:space="preserve"> In addition, schools should follow state guidance for limiting nonessential outdoor water use during droughts as outlined in </w:t>
      </w:r>
      <w:r w:rsidRPr="0077348B">
        <w:t xml:space="preserve">the </w:t>
      </w:r>
      <w:r w:rsidRPr="00197441">
        <w:rPr>
          <w:i/>
          <w:iCs/>
        </w:rPr>
        <w:t>Guidance on Nonessential Outdoor Water Use Amended Water Resources Management Program Regulations 310 CMR 36.00</w:t>
      </w:r>
      <w:r w:rsidRPr="000B7236">
        <w:t xml:space="preserve"> </w:t>
      </w:r>
      <w:r w:rsidRPr="0077348B">
        <w:t xml:space="preserve">and the </w:t>
      </w:r>
      <w:r w:rsidRPr="00197441">
        <w:rPr>
          <w:i/>
          <w:iCs/>
        </w:rPr>
        <w:t>Massachusetts Drought Management Plan Preparedness &amp; Response</w:t>
      </w:r>
      <w:r w:rsidRPr="0077348B">
        <w:t>.</w:t>
      </w:r>
      <w:r>
        <w:fldChar w:fldCharType="begin"/>
      </w:r>
      <w:r w:rsidR="00EF4655">
        <w:instrText xml:space="preserve"> ADDIN ZOTERO_ITEM CSL_CITATION {"citationID":"AnzVwNwn","properties":{"formattedCitation":"\\super 222\\nosupersub{}","plainCitation":"222","noteIndex":0},"citationItems":[{"id":364,"uris":["http://zotero.org/groups/5563646/items/FUHXTKCY"],"itemData":{"id":364,"type":"document","title":"Guidance on Nonessential Outdoor Water Use, Amended Water Resources Management Program Regulations 310 CMR 36.00","URL":"https://www.mass.gov/doc/guidance-on-nonessential-outdoor-water-use-for-wma-registrants/download","author":[{"family":"Massachusetts Department of Environmental Protection","given":""}],"issued":{"date-parts":[["2023",1,20]]}}}],"schema":"https://github.com/citation-style-language/schema/raw/master/csl-citation.json"} </w:instrText>
      </w:r>
      <w:r>
        <w:fldChar w:fldCharType="separate"/>
      </w:r>
      <w:r w:rsidR="00EF4655" w:rsidRPr="00EF4655">
        <w:rPr>
          <w:rFonts w:cs="Arial"/>
          <w:vertAlign w:val="superscript"/>
        </w:rPr>
        <w:t>222</w:t>
      </w:r>
      <w:r>
        <w:fldChar w:fldCharType="end"/>
      </w:r>
      <w:r w:rsidRPr="00197441">
        <w:rPr>
          <w:vertAlign w:val="superscript"/>
        </w:rPr>
        <w:t>,</w:t>
      </w:r>
      <w:r w:rsidRPr="000B7236">
        <w:fldChar w:fldCharType="begin"/>
      </w:r>
      <w:r w:rsidR="00E90F84">
        <w:instrText xml:space="preserve"> ADDIN ZOTERO_ITEM CSL_CITATION {"citationID":"iFJEyz6q","properties":{"formattedCitation":"\\super 46\\nosupersub{}","plainCitation":"46","noteIndex":0},"citationItems":[{"id":298,"uris":["http://zotero.org/groups/5563646/items/HJ5QPLCU"],"itemData":{"id":298,"type":"report","title":"Massachusetts Drought Management Plan Preparedness &amp; Response","URL":"https://www.mass.gov/doc/massachusetts-drought-management-plan/download","author":[{"family":"Massachusetts Energy and Environmental Affairs and Massachusetts Emergency Management Agency","given":""}],"accessed":{"date-parts":[["2024",6,25]]},"issued":{"date-parts":[["2023",12]]}}}],"schema":"https://github.com/citation-style-language/schema/raw/master/csl-citation.json"} </w:instrText>
      </w:r>
      <w:r w:rsidRPr="000B7236">
        <w:fldChar w:fldCharType="separate"/>
      </w:r>
      <w:r w:rsidR="00E90F84" w:rsidRPr="00E90F84">
        <w:rPr>
          <w:rFonts w:cs="Arial"/>
          <w:vertAlign w:val="superscript"/>
        </w:rPr>
        <w:t>46</w:t>
      </w:r>
      <w:r w:rsidRPr="000B7236">
        <w:fldChar w:fldCharType="end"/>
      </w:r>
      <w:r>
        <w:rPr>
          <w:b/>
          <w:bCs/>
        </w:rPr>
        <w:t xml:space="preserve"> </w:t>
      </w:r>
    </w:p>
    <w:p w14:paraId="04E0DEA7" w14:textId="77777777" w:rsidR="002707EE" w:rsidRPr="008805E1" w:rsidRDefault="002707EE" w:rsidP="002707EE">
      <w:pPr>
        <w:pStyle w:val="Heading5"/>
      </w:pPr>
      <w:r w:rsidRPr="008805E1">
        <w:t xml:space="preserve">(8) Eliminate </w:t>
      </w:r>
      <w:r>
        <w:t>s</w:t>
      </w:r>
      <w:r w:rsidRPr="008805E1">
        <w:t>ingle-</w:t>
      </w:r>
      <w:r>
        <w:t>p</w:t>
      </w:r>
      <w:r w:rsidRPr="008805E1">
        <w:t xml:space="preserve">ass </w:t>
      </w:r>
      <w:r>
        <w:t>c</w:t>
      </w:r>
      <w:r w:rsidRPr="008805E1">
        <w:t>ooling</w:t>
      </w:r>
    </w:p>
    <w:p w14:paraId="41CA5069" w14:textId="3D188482" w:rsidR="002707EE" w:rsidRPr="008805E1" w:rsidRDefault="002707EE" w:rsidP="006D7DE6">
      <w:pPr>
        <w:pStyle w:val="BodyTextFirstIndent"/>
      </w:pPr>
      <w:r w:rsidRPr="008805E1">
        <w:t>Single-pass cooling systems use approximately 40 times more water to remove the same heat load than a cooling tower operating at five cycles of concentration</w:t>
      </w:r>
      <w:r>
        <w:t xml:space="preserve"> (see best practice 9 for more details about cycles of concentration)</w:t>
      </w:r>
      <w:r w:rsidRPr="008805E1">
        <w:t>.</w:t>
      </w:r>
      <w:r w:rsidRPr="008805E1">
        <w:fldChar w:fldCharType="begin"/>
      </w:r>
      <w:r w:rsidR="004D7A07">
        <w:instrText xml:space="preserve"> ADDIN ZOTERO_ITEM CSL_CITATION {"citationID":"1isGKqO9","properties":{"formattedCitation":"\\super 223\\nosupersub{}","plainCitation":"223","noteIndex":0},"citationItems":[{"id":704,"uris":["http://zotero.org/groups/5563646/items/CJS2SBC8"],"itemData":{"id":704,"type":"report","language":"en","source":"Zotero","title":"Best Practices Guide: Water Efficiency in Laboratories","URL":"https://www.i2sl.org/_files/ugd/59662e_464c82ed60d94cca9003e531101f08af.pdf","author":[{"literal":"International Institute for Sustainable Laboratories and US EPA"}],"issued":{"date-parts":[["2022",5]]}}}],"schema":"https://github.com/citation-style-language/schema/raw/master/csl-citation.json"} </w:instrText>
      </w:r>
      <w:r w:rsidRPr="008805E1">
        <w:fldChar w:fldCharType="separate"/>
      </w:r>
      <w:r w:rsidR="004D7A07" w:rsidRPr="004D7A07">
        <w:rPr>
          <w:rFonts w:cs="Arial"/>
          <w:vertAlign w:val="superscript"/>
        </w:rPr>
        <w:t>223</w:t>
      </w:r>
      <w:r w:rsidRPr="008805E1">
        <w:fldChar w:fldCharType="end"/>
      </w:r>
      <w:r w:rsidRPr="008805E1">
        <w:t xml:space="preserve"> Many types of equipment cooled with single-pass cooling can be replaced with air-cooled systems. </w:t>
      </w:r>
    </w:p>
    <w:p w14:paraId="097B9846" w14:textId="77777777" w:rsidR="002707EE" w:rsidRPr="008805E1" w:rsidRDefault="002707EE" w:rsidP="006D7DE6">
      <w:pPr>
        <w:pStyle w:val="BodyTextFirstIndent"/>
      </w:pPr>
      <w:r w:rsidRPr="008805E1">
        <w:t>Schools should identify any instances of single-pass cooling and minimize or eliminate them</w:t>
      </w:r>
      <w:r>
        <w:t xml:space="preserve"> where possible</w:t>
      </w:r>
      <w:r w:rsidRPr="008805E1">
        <w:t>. Types of equipment that may use single-pass cooling and may be present in Massachusetts schools include:</w:t>
      </w:r>
    </w:p>
    <w:p w14:paraId="658D7DE2" w14:textId="77777777" w:rsidR="002707EE" w:rsidRPr="008805E1" w:rsidRDefault="002707EE" w:rsidP="008131EB">
      <w:pPr>
        <w:pStyle w:val="ListBullet"/>
      </w:pPr>
      <w:r w:rsidRPr="008805E1">
        <w:t>Ice makers</w:t>
      </w:r>
    </w:p>
    <w:p w14:paraId="002339BF" w14:textId="77777777" w:rsidR="002707EE" w:rsidRPr="008805E1" w:rsidRDefault="002707EE" w:rsidP="008131EB">
      <w:pPr>
        <w:pStyle w:val="ListBullet"/>
      </w:pPr>
      <w:r w:rsidRPr="008805E1">
        <w:t xml:space="preserve">Point-of-use chillers for HVAC </w:t>
      </w:r>
      <w:r>
        <w:t>and</w:t>
      </w:r>
      <w:r w:rsidRPr="008805E1">
        <w:t xml:space="preserve"> other refrigeration systems</w:t>
      </w:r>
    </w:p>
    <w:p w14:paraId="626B046A" w14:textId="77777777" w:rsidR="002707EE" w:rsidRPr="008805E1" w:rsidRDefault="002707EE" w:rsidP="008131EB">
      <w:pPr>
        <w:pStyle w:val="ListBullet"/>
      </w:pPr>
      <w:r w:rsidRPr="008805E1">
        <w:t>Air compressors</w:t>
      </w:r>
    </w:p>
    <w:p w14:paraId="3E9540E8" w14:textId="77777777" w:rsidR="002707EE" w:rsidRPr="008805E1" w:rsidRDefault="002707EE" w:rsidP="008131EB">
      <w:pPr>
        <w:pStyle w:val="ListBullet"/>
      </w:pPr>
      <w:r w:rsidRPr="008805E1">
        <w:t>Welding machines</w:t>
      </w:r>
    </w:p>
    <w:p w14:paraId="7EE7E9CE" w14:textId="77777777" w:rsidR="002707EE" w:rsidRDefault="002707EE" w:rsidP="008131EB">
      <w:pPr>
        <w:pStyle w:val="ListBullet"/>
        <w:rPr>
          <w:rStyle w:val="normaltextrun"/>
          <w:rFonts w:ascii="Calibri" w:hAnsi="Calibri" w:cs="Calibri"/>
          <w:color w:val="000000"/>
          <w:shd w:val="clear" w:color="auto" w:fill="FFFFFF"/>
        </w:rPr>
      </w:pPr>
      <w:r w:rsidRPr="008805E1">
        <w:t>Vacuum pumps</w:t>
      </w:r>
    </w:p>
    <w:p w14:paraId="220188C3" w14:textId="169622A9" w:rsidR="002707EE" w:rsidRPr="008805E1" w:rsidRDefault="002707EE" w:rsidP="006D7DE6">
      <w:pPr>
        <w:pStyle w:val="BodyTextFirstIndent"/>
      </w:pPr>
      <w:r w:rsidRPr="008805E1">
        <w:t xml:space="preserve">Ice makers are likely the most common type of single-pass cooled equipment found in schools. </w:t>
      </w:r>
      <w:r>
        <w:t xml:space="preserve">Schools should consider replacing </w:t>
      </w:r>
      <w:r w:rsidRPr="008805E1">
        <w:t>water-cooled ice makers with ENERGY STAR certified commercial ice makers using the ENERGY STAR Product Finder.</w:t>
      </w:r>
      <w:r w:rsidRPr="008805E1">
        <w:fldChar w:fldCharType="begin"/>
      </w:r>
      <w:r w:rsidR="003A30CE">
        <w:instrText xml:space="preserve"> ADDIN ZOTERO_ITEM CSL_CITATION {"citationID":"Ml3xJXvQ","properties":{"formattedCitation":"\\super 216\\nosupersub{}","plainCitation":"216","noteIndex":0},"citationItems":[{"id":502,"uris":["http://zotero.org/groups/5563646/items/CZX3BGJP"],"itemData":{"id":502,"type":"webpage","title":"ENERGY STAR Product Finder","URL":"https://www.energystar.gov/productfinder/","accessed":{"date-parts":[["2024",7,15]]}}}],"schema":"https://github.com/citation-style-language/schema/raw/master/csl-citation.json"} </w:instrText>
      </w:r>
      <w:r w:rsidRPr="008805E1">
        <w:fldChar w:fldCharType="separate"/>
      </w:r>
      <w:r w:rsidR="003A30CE" w:rsidRPr="003A30CE">
        <w:rPr>
          <w:rFonts w:cs="Arial"/>
          <w:vertAlign w:val="superscript"/>
        </w:rPr>
        <w:t>216</w:t>
      </w:r>
      <w:r w:rsidRPr="008805E1">
        <w:fldChar w:fldCharType="end"/>
      </w:r>
      <w:r w:rsidRPr="008805E1">
        <w:t xml:space="preserve"> </w:t>
      </w:r>
    </w:p>
    <w:p w14:paraId="2FE85D4F" w14:textId="005378CE" w:rsidR="002707EE" w:rsidRDefault="002707EE" w:rsidP="006D7DE6">
      <w:pPr>
        <w:pStyle w:val="BodyTextFirstIndent"/>
        <w:rPr>
          <w:rStyle w:val="normaltextrun"/>
          <w:rFonts w:ascii="Calibri" w:hAnsi="Calibri" w:cs="Calibri"/>
          <w:color w:val="000000"/>
          <w:szCs w:val="22"/>
          <w:shd w:val="clear" w:color="auto" w:fill="FFFFFF"/>
        </w:rPr>
      </w:pPr>
      <w:r w:rsidRPr="008805E1">
        <w:lastRenderedPageBreak/>
        <w:t xml:space="preserve">For recommendations on how to minimize or eliminate single-pass cooling identified elsewhere, schools should review </w:t>
      </w:r>
      <w:r w:rsidRPr="009B3CBB">
        <w:rPr>
          <w:i/>
          <w:iCs/>
        </w:rPr>
        <w:t>WaterSense at Work Section 6.2: Single-Pass Cooling</w:t>
      </w:r>
      <w:r w:rsidRPr="008805E1">
        <w:t>.</w:t>
      </w:r>
      <w:r w:rsidRPr="008805E1">
        <w:fldChar w:fldCharType="begin"/>
      </w:r>
      <w:r w:rsidR="0096076A">
        <w:instrText xml:space="preserve"> ADDIN ZOTERO_ITEM CSL_CITATION {"citationID":"GKKJjKED","properties":{"formattedCitation":"\\super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rsidRPr="008805E1">
        <w:fldChar w:fldCharType="separate"/>
      </w:r>
      <w:r w:rsidR="0096076A" w:rsidRPr="0096076A">
        <w:rPr>
          <w:rFonts w:cs="Arial"/>
          <w:vertAlign w:val="superscript"/>
        </w:rPr>
        <w:t>199</w:t>
      </w:r>
      <w:r w:rsidRPr="008805E1">
        <w:fldChar w:fldCharType="end"/>
      </w:r>
      <w:r w:rsidRPr="008805E1">
        <w:t xml:space="preserve"> </w:t>
      </w:r>
    </w:p>
    <w:p w14:paraId="00506995" w14:textId="77777777" w:rsidR="002707EE" w:rsidRPr="008805E1" w:rsidRDefault="002707EE" w:rsidP="002707EE">
      <w:pPr>
        <w:pStyle w:val="Heading5"/>
      </w:pPr>
      <w:r w:rsidRPr="008805E1">
        <w:t xml:space="preserve">(9) Optimize </w:t>
      </w:r>
      <w:r>
        <w:t>c</w:t>
      </w:r>
      <w:r w:rsidRPr="008805E1">
        <w:t xml:space="preserve">ooling </w:t>
      </w:r>
      <w:r>
        <w:t>t</w:t>
      </w:r>
      <w:r w:rsidRPr="008805E1">
        <w:t xml:space="preserve">owers and </w:t>
      </w:r>
      <w:r>
        <w:t>s</w:t>
      </w:r>
      <w:r w:rsidRPr="008805E1">
        <w:t xml:space="preserve">team </w:t>
      </w:r>
      <w:r>
        <w:t>b</w:t>
      </w:r>
      <w:r w:rsidRPr="008805E1">
        <w:t>oilers</w:t>
      </w:r>
    </w:p>
    <w:p w14:paraId="27EF305A" w14:textId="77777777" w:rsidR="002707EE" w:rsidRPr="008805E1" w:rsidRDefault="002707EE" w:rsidP="006D7DE6">
      <w:pPr>
        <w:pStyle w:val="BodyTextFirstIndent"/>
      </w:pPr>
      <w:r w:rsidRPr="008805E1">
        <w:t xml:space="preserve">Some schools may use cooling towers to dissipate heat from recirculating water that is used to cool chillers, air conditioning equipment, or other process equipment. </w:t>
      </w:r>
      <w:r>
        <w:t xml:space="preserve">By design, cooling towers consume large volumes </w:t>
      </w:r>
      <w:r w:rsidRPr="008805E1">
        <w:t>of water</w:t>
      </w:r>
      <w:r>
        <w:t>, as the cooling towers use</w:t>
      </w:r>
      <w:r w:rsidRPr="008805E1">
        <w:t xml:space="preserve"> evaporation to remove heat from the recirculated water loop</w:t>
      </w:r>
      <w:r>
        <w:t>. The operation of cooling towers</w:t>
      </w:r>
      <w:r w:rsidRPr="008805E1">
        <w:t xml:space="preserve"> can</w:t>
      </w:r>
      <w:r>
        <w:t>, however,</w:t>
      </w:r>
      <w:r w:rsidRPr="008805E1">
        <w:t xml:space="preserve"> be optimized for water efficiency. </w:t>
      </w:r>
    </w:p>
    <w:p w14:paraId="1E1EC185" w14:textId="77777777" w:rsidR="002707EE" w:rsidRPr="008805E1" w:rsidRDefault="002707EE" w:rsidP="006D7DE6">
      <w:pPr>
        <w:pStyle w:val="BodyTextFirstIndent"/>
      </w:pPr>
      <w:r w:rsidRPr="008805E1">
        <w:t xml:space="preserve">When water evaporates from a tower, dissolved solids are left behind. Eventually the total dissolved solids (TDS) concentration gets too high for optimal performance and some water must be removed, or blown down, from the system. Make-up water is added to the system to replace the blowdown and decrease the concentration of TDS. The ratio of make-up to blow down is known as cycles of concentration. </w:t>
      </w:r>
    </w:p>
    <w:p w14:paraId="1CF2BE7F" w14:textId="19ED6831" w:rsidR="002707EE" w:rsidRPr="008805E1" w:rsidRDefault="002707EE" w:rsidP="006D7DE6">
      <w:pPr>
        <w:pStyle w:val="BodyTextFirstIndent"/>
      </w:pPr>
      <w:r w:rsidRPr="008805E1">
        <w:t xml:space="preserve">To optimize a cooling tower’s water use, a facility should maximize the tower’s cycles of concentration without increasing TDS such that it impacts the tower’s water quality and performance. A school’s BAS can offer visibility and help optimize cooling tower performance both by monitoring TDS and by implementing control strategies described in </w:t>
      </w:r>
      <w:r>
        <w:t>best practice 11 of</w:t>
      </w:r>
      <w:r w:rsidRPr="005D3601">
        <w:t xml:space="preserve"> </w:t>
      </w:r>
      <w:r>
        <w:t>the “</w:t>
      </w:r>
      <w:r w:rsidRPr="005D3601">
        <w:t>Objective 1a. Decarbonize Buildings</w:t>
      </w:r>
      <w:r>
        <w:t xml:space="preserve">” section. </w:t>
      </w:r>
      <w:r w:rsidRPr="008805E1">
        <w:t xml:space="preserve">Schools with cooling towers may have water chemistry vendors that can help optimize their tower’s cycles of concentration. Otherwise, a school’s facility manager can review </w:t>
      </w:r>
      <w:r w:rsidRPr="008671E0">
        <w:rPr>
          <w:i/>
          <w:iCs/>
        </w:rPr>
        <w:t>WaterSense at Work Section 6.3: Cooling Towers</w:t>
      </w:r>
      <w:r w:rsidRPr="008805E1">
        <w:t xml:space="preserve"> for more information on how to monitor and optimize water efficiency in cooling towers.</w:t>
      </w:r>
      <w:r w:rsidRPr="008805E1">
        <w:fldChar w:fldCharType="begin"/>
      </w:r>
      <w:r w:rsidR="003C0B37">
        <w:instrText xml:space="preserve"> ADDIN ZOTERO_ITEM CSL_CITATION {"citationID":"pNfDtZxW","properties":{"formattedCitation":"\\super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rsidRPr="008805E1">
        <w:fldChar w:fldCharType="separate"/>
      </w:r>
      <w:r w:rsidR="003C0B37" w:rsidRPr="003C0B37">
        <w:rPr>
          <w:rFonts w:cs="Arial"/>
          <w:vertAlign w:val="superscript"/>
        </w:rPr>
        <w:t>199</w:t>
      </w:r>
      <w:r w:rsidRPr="008805E1">
        <w:fldChar w:fldCharType="end"/>
      </w:r>
      <w:r w:rsidRPr="008805E1">
        <w:t xml:space="preserve"> </w:t>
      </w:r>
    </w:p>
    <w:p w14:paraId="2782C3F0" w14:textId="1EE08A2C" w:rsidR="002707EE" w:rsidRPr="008805E1" w:rsidRDefault="002707EE" w:rsidP="006D7DE6">
      <w:pPr>
        <w:pStyle w:val="BodyTextFirstIndent"/>
      </w:pPr>
      <w:r w:rsidRPr="008805E1">
        <w:t>Some schools may use steam boilers in building heating systems. As water is converted to steam, TDS increases</w:t>
      </w:r>
      <w:r>
        <w:t>. Similar to cooling towers,</w:t>
      </w:r>
      <w:r w:rsidRPr="008805E1">
        <w:t xml:space="preserve"> steam boilers </w:t>
      </w:r>
      <w:r>
        <w:t xml:space="preserve">require </w:t>
      </w:r>
      <w:r w:rsidRPr="008805E1">
        <w:t>blow down</w:t>
      </w:r>
      <w:r>
        <w:t xml:space="preserve"> to control TDS</w:t>
      </w:r>
      <w:r w:rsidRPr="008805E1">
        <w:t xml:space="preserve"> and </w:t>
      </w:r>
      <w:r>
        <w:t xml:space="preserve">the addition of </w:t>
      </w:r>
      <w:r w:rsidRPr="008805E1">
        <w:t xml:space="preserve">make-up water </w:t>
      </w:r>
      <w:r>
        <w:t xml:space="preserve">to replace water lost during blow down. </w:t>
      </w:r>
      <w:r w:rsidRPr="008805E1">
        <w:t>In addition, when steam is distributed, its heat is transferred to the ambient environment, and it recondenses to water. From a water efficiency standpoint, schools should consider capturing steam condensate and returning it to the boiler for reuse</w:t>
      </w:r>
      <w:r>
        <w:t xml:space="preserve"> since</w:t>
      </w:r>
      <w:r w:rsidRPr="008805E1">
        <w:t xml:space="preserve"> this will decrease the amount of make-up water needed and reduce the frequency of blowdown. Steam boiler systems without condensate capture may need to add cold water to the hot steam condensate before it can be discharged to the sewer system, so steam condensate capture systems eliminate the need for this tempering water, as well. For further information on how to optimize steam boiler water use, schools should review </w:t>
      </w:r>
      <w:r w:rsidRPr="00423DD2">
        <w:rPr>
          <w:i/>
          <w:iCs/>
        </w:rPr>
        <w:t>WaterSense at Work Section 6.5 Boiler and Steam Systems</w:t>
      </w:r>
      <w:r w:rsidRPr="008805E1">
        <w:t>.</w:t>
      </w:r>
      <w:r w:rsidRPr="008805E1">
        <w:fldChar w:fldCharType="begin"/>
      </w:r>
      <w:r w:rsidR="00C50026">
        <w:instrText xml:space="preserve"> ADDIN ZOTERO_ITEM CSL_CITATION {"citationID":"IeAdAk2w","properties":{"formattedCitation":"\\super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rsidRPr="008805E1">
        <w:fldChar w:fldCharType="separate"/>
      </w:r>
      <w:r w:rsidR="00C50026" w:rsidRPr="00C50026">
        <w:rPr>
          <w:rFonts w:cs="Arial"/>
          <w:vertAlign w:val="superscript"/>
        </w:rPr>
        <w:t>199</w:t>
      </w:r>
      <w:r w:rsidRPr="008805E1">
        <w:fldChar w:fldCharType="end"/>
      </w:r>
      <w:r w:rsidRPr="008805E1">
        <w:t xml:space="preserve"> </w:t>
      </w:r>
    </w:p>
    <w:p w14:paraId="5EA391B2" w14:textId="77777777" w:rsidR="002707EE" w:rsidRDefault="002707EE" w:rsidP="006D7DE6">
      <w:pPr>
        <w:pStyle w:val="BodyTextFirstIndent"/>
        <w:rPr>
          <w:rStyle w:val="normaltextrun"/>
          <w:rFonts w:ascii="Calibri" w:hAnsi="Calibri" w:cs="Calibri"/>
          <w:color w:val="000000"/>
          <w:szCs w:val="22"/>
          <w:shd w:val="clear" w:color="auto" w:fill="FFFFFF"/>
        </w:rPr>
      </w:pPr>
      <w:r w:rsidRPr="008805E1">
        <w:t xml:space="preserve">As schools </w:t>
      </w:r>
      <w:r>
        <w:t xml:space="preserve">work to </w:t>
      </w:r>
      <w:r w:rsidRPr="008805E1">
        <w:t>electrify HVAC systems</w:t>
      </w:r>
      <w:r>
        <w:t xml:space="preserve"> (following the best practices outlined in</w:t>
      </w:r>
      <w:r w:rsidRPr="00734A81">
        <w:t xml:space="preserve"> </w:t>
      </w:r>
      <w:r>
        <w:t>the “</w:t>
      </w:r>
      <w:r w:rsidRPr="00734A81">
        <w:t>Objective 1a. Decarbonize Buildings</w:t>
      </w:r>
      <w:r>
        <w:t>” section)</w:t>
      </w:r>
      <w:r w:rsidRPr="008805E1">
        <w:t>, some boilers and cooling towers may be replaced with alternative heat pump technologies. Many of these all-electric alternatives can significantly lower water demand by using closed-loop systems in the case of GSHP</w:t>
      </w:r>
      <w:r>
        <w:t>s</w:t>
      </w:r>
      <w:r w:rsidRPr="008805E1">
        <w:t xml:space="preserve"> or by using refrigerants to transfer heat in place of water.</w:t>
      </w:r>
    </w:p>
    <w:p w14:paraId="44194CC1" w14:textId="77777777" w:rsidR="002707EE" w:rsidRDefault="002707EE" w:rsidP="002707EE">
      <w:pPr>
        <w:pStyle w:val="Heading5"/>
      </w:pPr>
      <w:r w:rsidRPr="008805E1">
        <w:lastRenderedPageBreak/>
        <w:t xml:space="preserve">(10) Optimize </w:t>
      </w:r>
      <w:r>
        <w:t>w</w:t>
      </w:r>
      <w:r w:rsidRPr="00EB587E">
        <w:t xml:space="preserve">ater </w:t>
      </w:r>
      <w:r>
        <w:t>e</w:t>
      </w:r>
      <w:r w:rsidRPr="00EB587E">
        <w:t xml:space="preserve">fficiency of </w:t>
      </w:r>
      <w:r>
        <w:t>u</w:t>
      </w:r>
      <w:r w:rsidRPr="00EB587E">
        <w:t xml:space="preserve">ncommon </w:t>
      </w:r>
      <w:r>
        <w:t>e</w:t>
      </w:r>
      <w:r w:rsidRPr="00EB587E">
        <w:t xml:space="preserve">nd </w:t>
      </w:r>
      <w:r>
        <w:t>u</w:t>
      </w:r>
      <w:r w:rsidRPr="00EB587E">
        <w:t xml:space="preserve">ses, </w:t>
      </w:r>
      <w:r>
        <w:t>w</w:t>
      </w:r>
      <w:r w:rsidRPr="00EB587E">
        <w:t xml:space="preserve">here </w:t>
      </w:r>
      <w:r>
        <w:t>a</w:t>
      </w:r>
      <w:r w:rsidRPr="00EB587E">
        <w:t>pplicable (</w:t>
      </w:r>
      <w:r>
        <w:t>p</w:t>
      </w:r>
      <w:r w:rsidRPr="00EB587E">
        <w:t xml:space="preserve">ools, </w:t>
      </w:r>
      <w:r>
        <w:t>l</w:t>
      </w:r>
      <w:r w:rsidRPr="00EB587E">
        <w:t xml:space="preserve">aundries, </w:t>
      </w:r>
      <w:r>
        <w:t>l</w:t>
      </w:r>
      <w:r w:rsidRPr="00EB587E">
        <w:t>aboratories)</w:t>
      </w:r>
    </w:p>
    <w:p w14:paraId="19A261F4" w14:textId="77777777" w:rsidR="002707EE" w:rsidRPr="008805E1" w:rsidRDefault="002707EE" w:rsidP="006D7DE6">
      <w:pPr>
        <w:pStyle w:val="BodyTextFirstIndent"/>
      </w:pPr>
      <w:r w:rsidRPr="325FD208">
        <w:t>Although not as ubiquitous as water use in restrooms and cafeterias, some schools may have swimming pools</w:t>
      </w:r>
      <w:r>
        <w:t>;</w:t>
      </w:r>
      <w:r w:rsidRPr="325FD208">
        <w:t xml:space="preserve"> laundry equipment </w:t>
      </w:r>
      <w:r>
        <w:t>supporting athletics,</w:t>
      </w:r>
      <w:r w:rsidRPr="325FD208">
        <w:t xml:space="preserve"> </w:t>
      </w:r>
      <w:r>
        <w:t xml:space="preserve">family, and </w:t>
      </w:r>
      <w:r w:rsidRPr="325FD208">
        <w:t xml:space="preserve">consumer science </w:t>
      </w:r>
      <w:r>
        <w:t>class</w:t>
      </w:r>
      <w:r w:rsidRPr="325FD208">
        <w:t>rooms</w:t>
      </w:r>
      <w:r>
        <w:t>,</w:t>
      </w:r>
      <w:r w:rsidRPr="325FD208">
        <w:t xml:space="preserve"> or daycares</w:t>
      </w:r>
      <w:r>
        <w:t>;</w:t>
      </w:r>
      <w:r w:rsidRPr="325FD208">
        <w:t xml:space="preserve"> </w:t>
      </w:r>
      <w:r>
        <w:t>and/</w:t>
      </w:r>
      <w:r w:rsidRPr="325FD208">
        <w:t xml:space="preserve">or water-using laboratory equipment. Schools should consider all end uses of water that may be present and estimate </w:t>
      </w:r>
      <w:r>
        <w:t xml:space="preserve">the </w:t>
      </w:r>
      <w:r w:rsidRPr="325FD208">
        <w:t xml:space="preserve">total water use of each end use when conducting a water assessment </w:t>
      </w:r>
      <w:r>
        <w:t>(</w:t>
      </w:r>
      <w:r w:rsidRPr="325FD208">
        <w:t xml:space="preserve">as described in </w:t>
      </w:r>
      <w:r>
        <w:t xml:space="preserve">best practice </w:t>
      </w:r>
      <w:r w:rsidRPr="325FD208">
        <w:t xml:space="preserve">3). Schools can then determine if these uncommon end uses are significant and </w:t>
      </w:r>
      <w:r>
        <w:t>the extent to which they can optimize the e</w:t>
      </w:r>
      <w:r w:rsidRPr="325FD208">
        <w:t xml:space="preserve">fficiency </w:t>
      </w:r>
      <w:r>
        <w:t>of these end uses</w:t>
      </w:r>
      <w:r w:rsidRPr="325FD208">
        <w:t xml:space="preserve">. </w:t>
      </w:r>
    </w:p>
    <w:p w14:paraId="05949F51" w14:textId="360E6DA2" w:rsidR="002707EE" w:rsidRPr="00BE16EE" w:rsidRDefault="002707EE" w:rsidP="006D7DE6">
      <w:pPr>
        <w:pStyle w:val="BodyTextFirstIndent"/>
        <w:rPr>
          <w:rStyle w:val="normaltextrun"/>
          <w:rFonts w:ascii="Calibri" w:hAnsi="Calibri" w:cs="Calibri"/>
          <w:color w:val="000000"/>
          <w:szCs w:val="22"/>
          <w:shd w:val="clear" w:color="auto" w:fill="FFFFFF"/>
        </w:rPr>
      </w:pPr>
      <w:r>
        <w:t xml:space="preserve">Where applicable, schools should consult appropriate sections in </w:t>
      </w:r>
      <w:r w:rsidRPr="00723A72">
        <w:rPr>
          <w:i/>
          <w:iCs/>
        </w:rPr>
        <w:t>WaterSense at Work</w:t>
      </w:r>
      <w:r w:rsidRPr="008805E1">
        <w:t xml:space="preserve"> </w:t>
      </w:r>
      <w:r>
        <w:t xml:space="preserve">for recommendations on </w:t>
      </w:r>
      <w:r w:rsidR="006F245A">
        <w:t>O&amp;M</w:t>
      </w:r>
      <w:r>
        <w:t xml:space="preserve"> and user education, retrofit options, and replacement options for uncommon end uses like swimming pools, laundries, and laboratories.</w:t>
      </w:r>
      <w:r>
        <w:fldChar w:fldCharType="begin"/>
      </w:r>
      <w:r w:rsidR="00782380">
        <w:instrText xml:space="preserve"> ADDIN ZOTERO_ITEM CSL_CITATION {"citationID":"kHUjjIcu","properties":{"formattedCitation":"\\super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782380" w:rsidRPr="00782380">
        <w:rPr>
          <w:rFonts w:cs="Arial"/>
          <w:vertAlign w:val="superscript"/>
        </w:rPr>
        <w:t>199</w:t>
      </w:r>
      <w:r>
        <w:fldChar w:fldCharType="end"/>
      </w:r>
      <w:r>
        <w:t xml:space="preserve">  </w:t>
      </w:r>
    </w:p>
    <w:p w14:paraId="31B09974" w14:textId="77777777" w:rsidR="002707EE" w:rsidRPr="00EB587E" w:rsidRDefault="002707EE" w:rsidP="002707EE">
      <w:pPr>
        <w:pStyle w:val="Heading4"/>
      </w:pPr>
      <w:r w:rsidRPr="00EB587E">
        <w:t>Use Alternative Water Sources</w:t>
      </w:r>
    </w:p>
    <w:p w14:paraId="5EFBC55D" w14:textId="77777777" w:rsidR="002707EE" w:rsidRDefault="002707EE" w:rsidP="006D7DE6">
      <w:pPr>
        <w:pStyle w:val="BodyTextFirstIndent"/>
      </w:pPr>
      <w:r w:rsidRPr="00B0455B">
        <w:t>Schools should also consider using onsite alternative water sources for some end uses, where feasible</w:t>
      </w:r>
      <w:r>
        <w:t xml:space="preserve"> as discussed below</w:t>
      </w:r>
      <w:r w:rsidRPr="00B0455B">
        <w:t xml:space="preserve">. </w:t>
      </w:r>
    </w:p>
    <w:p w14:paraId="7BCF72E6" w14:textId="77777777" w:rsidR="002707EE" w:rsidRDefault="002707EE" w:rsidP="002707EE">
      <w:pPr>
        <w:pStyle w:val="Heading5"/>
      </w:pPr>
      <w:r>
        <w:t xml:space="preserve">(11) </w:t>
      </w:r>
      <w:r w:rsidRPr="0001095C">
        <w:t xml:space="preserve">Use </w:t>
      </w:r>
      <w:r>
        <w:t>o</w:t>
      </w:r>
      <w:r w:rsidRPr="0001095C">
        <w:t xml:space="preserve">nsite </w:t>
      </w:r>
      <w:r>
        <w:t>a</w:t>
      </w:r>
      <w:r w:rsidRPr="0001095C">
        <w:t xml:space="preserve">lternative </w:t>
      </w:r>
      <w:r>
        <w:t>w</w:t>
      </w:r>
      <w:r w:rsidRPr="0001095C">
        <w:t xml:space="preserve">ater </w:t>
      </w:r>
      <w:r>
        <w:t>s</w:t>
      </w:r>
      <w:r w:rsidRPr="0001095C">
        <w:t xml:space="preserve">ources for </w:t>
      </w:r>
      <w:r>
        <w:t>i</w:t>
      </w:r>
      <w:r w:rsidRPr="0001095C">
        <w:t xml:space="preserve">rrigation, </w:t>
      </w:r>
      <w:r>
        <w:t>c</w:t>
      </w:r>
      <w:r w:rsidRPr="0001095C">
        <w:t xml:space="preserve">ooling </w:t>
      </w:r>
      <w:r>
        <w:t>t</w:t>
      </w:r>
      <w:r w:rsidRPr="0001095C">
        <w:t xml:space="preserve">owers, and </w:t>
      </w:r>
      <w:r>
        <w:t>t</w:t>
      </w:r>
      <w:r w:rsidRPr="0001095C">
        <w:t xml:space="preserve">oilet and </w:t>
      </w:r>
      <w:r>
        <w:t>u</w:t>
      </w:r>
      <w:r w:rsidRPr="0001095C">
        <w:t xml:space="preserve">rinal </w:t>
      </w:r>
      <w:r>
        <w:t>f</w:t>
      </w:r>
      <w:r w:rsidRPr="0001095C">
        <w:t>lushing</w:t>
      </w:r>
    </w:p>
    <w:p w14:paraId="6077D3E5" w14:textId="7D910EE0" w:rsidR="002707EE" w:rsidRDefault="002707EE" w:rsidP="006D7DE6">
      <w:pPr>
        <w:pStyle w:val="BodyTextFirstIndent"/>
      </w:pPr>
      <w:r>
        <w:t xml:space="preserve">Where potential water sources meet needs, schools should consider collecting and reusing water on site. For example, existing schools with irrigation systems could consider collecting and using rainwater for irrigation. Some treatment may be needed to </w:t>
      </w:r>
      <w:r w:rsidR="00F9193F">
        <w:t>confirm</w:t>
      </w:r>
      <w:r w:rsidR="00A014A6">
        <w:t xml:space="preserve"> the water</w:t>
      </w:r>
      <w:r>
        <w:t xml:space="preserve"> is safe </w:t>
      </w:r>
      <w:r w:rsidR="008D36F2">
        <w:t>for</w:t>
      </w:r>
      <w:r>
        <w:t xml:space="preserve"> landscape</w:t>
      </w:r>
      <w:r w:rsidR="008D36F2">
        <w:t xml:space="preserve"> application</w:t>
      </w:r>
      <w:r>
        <w:t>, but water doesn’t need to be potable-level quality for irrigation system use. In addition, existing schools with cooling towers could consider collecting and reusing air handler condensate for cooling tower make-up water. Air handler condensate is typically produced during hot, humid months when cooling towers are operating closest to peak and need the most make-up water. This is an example of an alternative water source that matches the need well.</w:t>
      </w:r>
    </w:p>
    <w:p w14:paraId="7008D939" w14:textId="77777777" w:rsidR="002707EE" w:rsidRDefault="002707EE" w:rsidP="006D7DE6">
      <w:pPr>
        <w:pStyle w:val="BodyTextFirstIndent"/>
      </w:pPr>
      <w:r>
        <w:t>It is likely not cost-effective for existing school buildings to be re-plumbed to use graywater or rainwater for toilet and urinal flushing, but schools undergoing major renovations or new schools could be designed to implement these systems. Newly designed schools could consider water sources including graywater from lavatory sinks, laundries, and showers; rainwater; and air handler condensate. Newly designed schools should also consider reusing onsite alternative water for irrigation systems and cooling towers as described previously.</w:t>
      </w:r>
    </w:p>
    <w:p w14:paraId="1E82422A" w14:textId="602A5BCD" w:rsidR="002707EE" w:rsidRPr="00B0455B" w:rsidRDefault="002707EE" w:rsidP="006D7DE6">
      <w:pPr>
        <w:pStyle w:val="BodyTextFirstIndent"/>
      </w:pPr>
      <w:r>
        <w:t xml:space="preserve">For more information on collecting and using onsite alternative water sources, schools should review </w:t>
      </w:r>
      <w:r w:rsidRPr="00522179">
        <w:rPr>
          <w:i/>
          <w:iCs/>
        </w:rPr>
        <w:t>WaterSense at Work Section 8.0: Onsite Alternative Water Sources</w:t>
      </w:r>
      <w:r>
        <w:t xml:space="preserve"> and the Federal Energy Management Program’s (FEMP’s) </w:t>
      </w:r>
      <w:hyperlink r:id="rId199" w:history="1">
        <w:r w:rsidRPr="008726AC">
          <w:rPr>
            <w:rStyle w:val="Hyperlink"/>
          </w:rPr>
          <w:t>Alternative Water Sources</w:t>
        </w:r>
      </w:hyperlink>
      <w:r>
        <w:t xml:space="preserve"> web page, which provides tools for determining the viability of rainwater harvesting and air handler condensate capture.</w:t>
      </w:r>
      <w:r>
        <w:fldChar w:fldCharType="begin"/>
      </w:r>
      <w:r w:rsidR="00981666">
        <w:instrText xml:space="preserve"> ADDIN ZOTERO_ITEM CSL_CITATION {"citationID":"X5wzFrxe","properties":{"formattedCitation":"\\super 199\\nosupersub{}","plainCitation":"199","noteIndex":0},"citationItems":[{"id":296,"uris":["http://zotero.org/groups/5563646/items/SCLTE4TB"],"itemData":{"id":296,"type":"webpage","title":"WaterSense Best Management Practices","URL":"https://www.epa.gov/watersense/best-management-practices","author":[{"family":"US EPA","given":""}],"accessed":{"date-parts":[["2024",6,25]]},"issued":{"date-parts":[["2024",3,7]]}}}],"schema":"https://github.com/citation-style-language/schema/raw/master/csl-citation.json"} </w:instrText>
      </w:r>
      <w:r>
        <w:fldChar w:fldCharType="separate"/>
      </w:r>
      <w:r w:rsidR="00981666" w:rsidRPr="00981666">
        <w:rPr>
          <w:rFonts w:cs="Arial"/>
          <w:vertAlign w:val="superscript"/>
        </w:rPr>
        <w:t>199</w:t>
      </w:r>
      <w:r>
        <w:fldChar w:fldCharType="end"/>
      </w:r>
      <w:r w:rsidRPr="00200B5D">
        <w:rPr>
          <w:vertAlign w:val="superscript"/>
        </w:rPr>
        <w:t>,</w:t>
      </w:r>
      <w:r w:rsidRPr="008805E1">
        <w:fldChar w:fldCharType="begin"/>
      </w:r>
      <w:r w:rsidR="00087299">
        <w:instrText xml:space="preserve"> ADDIN ZOTERO_ITEM CSL_CITATION {"citationID":"qb1mrgI7","properties":{"formattedCitation":"\\super 224\\nosupersub{}","plainCitation":"224","noteIndex":0},"citationItems":[{"id":790,"uris":["http://zotero.org/groups/5563646/items/HIQ47Z7F"],"itemData":{"id":790,"type":"webpage","abstract":"Provides information about rainwater availability, rainwater harvesting regulations, and condensate capture opportunities in the United States.","language":"en","title":"Federal Energy Management Program Alternative Water Sources","URL":"https://www.energy.gov/femp/alternative-water-sources","author":[{"literal":"Federal Energy Management Program"}],"accessed":{"date-parts":[["2024",7,21]]}}}],"schema":"https://github.com/citation-style-language/schema/raw/master/csl-citation.json"} </w:instrText>
      </w:r>
      <w:r w:rsidRPr="008805E1">
        <w:fldChar w:fldCharType="separate"/>
      </w:r>
      <w:r w:rsidR="00087299" w:rsidRPr="00087299">
        <w:rPr>
          <w:rFonts w:cs="Arial"/>
          <w:vertAlign w:val="superscript"/>
        </w:rPr>
        <w:t>224</w:t>
      </w:r>
      <w:r w:rsidRPr="008805E1">
        <w:fldChar w:fldCharType="end"/>
      </w:r>
      <w:r>
        <w:t xml:space="preserve"> </w:t>
      </w:r>
    </w:p>
    <w:p w14:paraId="4BF99DD8" w14:textId="77777777" w:rsidR="009414C6" w:rsidRDefault="009414C6" w:rsidP="009414C6">
      <w:pPr>
        <w:pStyle w:val="Heading3"/>
        <w:keepNext/>
        <w:keepLines/>
      </w:pPr>
      <w:r>
        <w:lastRenderedPageBreak/>
        <w:t>Statutes, Regulations, and Standards</w:t>
      </w:r>
    </w:p>
    <w:p w14:paraId="42294E1F" w14:textId="77777777" w:rsidR="009414C6" w:rsidRDefault="009414C6" w:rsidP="006D7DE6">
      <w:pPr>
        <w:pStyle w:val="BodyTextFirstIndent"/>
      </w:pPr>
      <w:r>
        <w:t>Statutes, regulations, and standards that include a focus on water efficiency and apply to schools are detailed below.</w:t>
      </w:r>
    </w:p>
    <w:p w14:paraId="45A6CF42" w14:textId="77777777" w:rsidR="009414C6" w:rsidRPr="00C75BA2" w:rsidRDefault="009414C6" w:rsidP="009414C6">
      <w:pPr>
        <w:pStyle w:val="Heading4"/>
      </w:pPr>
      <w:r w:rsidRPr="00C75BA2">
        <w:t>Relevant Statutes</w:t>
      </w:r>
    </w:p>
    <w:p w14:paraId="2B69E235" w14:textId="4D1F8BD6" w:rsidR="009414C6" w:rsidRPr="006B3555" w:rsidRDefault="009414C6" w:rsidP="006D7DE6">
      <w:pPr>
        <w:pStyle w:val="BodyTextFirstIndent"/>
      </w:pPr>
      <w:r w:rsidRPr="007A2288">
        <w:rPr>
          <w:b/>
          <w:bCs/>
        </w:rPr>
        <w:t>Act of 2021 Chapter 8, Section 51: An Act Creating a Next-Generation Roadmap for Massachusetts Climate Policy</w:t>
      </w:r>
      <w:r w:rsidRPr="006B3555">
        <w:t xml:space="preserve"> establishes comprehensive policies to address climate change and promote sustainability within the state, including energy and water efficiency standards for appliances.</w:t>
      </w:r>
      <w:r w:rsidR="00FC0EAA">
        <w:fldChar w:fldCharType="begin"/>
      </w:r>
      <w:r w:rsidR="008748FE">
        <w:instrText xml:space="preserve"> ADDIN ZOTERO_ITEM CSL_CITATION {"citationID":"a1eu4hejvct","properties":{"formattedCitation":"\\super 225\\nosupersub{}","plainCitation":"225","noteIndex":0},"citationItems":[{"id":1160,"uris":["http://zotero.org/groups/5563646/items/J4PQJVW6"],"itemData":{"id":1160,"type":"legislation","title":"Acts of 2021, Chapter 8: An Act Creating a Next-Generation Roadmap for Massachusetts Climate Policy","URL":"https://malegislature.gov/Laws/SessionLaws/Acts/2021/Chapter8","accessed":{"date-parts":[["2024",12,4]]},"issued":{"date-parts":[["2021"]]}}}],"schema":"https://github.com/citation-style-language/schema/raw/master/csl-citation.json"} </w:instrText>
      </w:r>
      <w:r w:rsidR="00FC0EAA">
        <w:fldChar w:fldCharType="separate"/>
      </w:r>
      <w:r w:rsidR="008748FE" w:rsidRPr="008748FE">
        <w:rPr>
          <w:rFonts w:cs="Arial"/>
          <w:vertAlign w:val="superscript"/>
        </w:rPr>
        <w:t>225</w:t>
      </w:r>
      <w:r w:rsidR="00FC0EAA">
        <w:fldChar w:fldCharType="end"/>
      </w:r>
    </w:p>
    <w:p w14:paraId="1817CCD2" w14:textId="41D28EDB" w:rsidR="009414C6" w:rsidRPr="006B3555" w:rsidRDefault="009414C6" w:rsidP="006D7DE6">
      <w:pPr>
        <w:pStyle w:val="BodyTextFirstIndent"/>
      </w:pPr>
      <w:r w:rsidRPr="00F46D47">
        <w:rPr>
          <w:b/>
          <w:bCs/>
        </w:rPr>
        <w:t>M.G.L</w:t>
      </w:r>
      <w:r>
        <w:rPr>
          <w:b/>
          <w:bCs/>
        </w:rPr>
        <w:t>.</w:t>
      </w:r>
      <w:r w:rsidRPr="00F46D47">
        <w:rPr>
          <w:b/>
          <w:bCs/>
        </w:rPr>
        <w:t xml:space="preserve"> c</w:t>
      </w:r>
      <w:r>
        <w:rPr>
          <w:b/>
          <w:bCs/>
        </w:rPr>
        <w:t>.</w:t>
      </w:r>
      <w:r w:rsidRPr="00F46D47">
        <w:rPr>
          <w:b/>
          <w:bCs/>
        </w:rPr>
        <w:t xml:space="preserve"> 25B, §§ 3-10: Massachusetts Appliance Efficiency Standards Act</w:t>
      </w:r>
      <w:r w:rsidRPr="006B3555">
        <w:t xml:space="preserve"> establishes the testing, certification, and enforcement of efficiency standards for new appliances.</w:t>
      </w:r>
      <w:r w:rsidR="00413412">
        <w:fldChar w:fldCharType="begin"/>
      </w:r>
      <w:r w:rsidR="00C00F4C">
        <w:instrText xml:space="preserve"> ADDIN ZOTERO_ITEM CSL_CITATION {"citationID":"a270i68lvtv","properties":{"formattedCitation":"\\super 226\\nosupersub{}","plainCitation":"226","noteIndex":0},"citationItems":[{"id":1144,"uris":["http://zotero.org/groups/5563646/items/NYUZAVJF"],"itemData":{"id":1144,"type":"legislation","container-title":"M.G.L. c. 25B","section":"3-10","title":"Massachusetts Appliance Efficiency Standards Act","URL":"https://malegislature.gov/Laws/GeneralLaws/PartI/TitleII/Chapter25B"}}],"schema":"https://github.com/citation-style-language/schema/raw/master/csl-citation.json"} </w:instrText>
      </w:r>
      <w:r w:rsidR="00413412">
        <w:fldChar w:fldCharType="separate"/>
      </w:r>
      <w:r w:rsidR="00C00F4C" w:rsidRPr="00C00F4C">
        <w:rPr>
          <w:rFonts w:cs="Arial"/>
          <w:vertAlign w:val="superscript"/>
        </w:rPr>
        <w:t>226</w:t>
      </w:r>
      <w:r w:rsidR="00413412">
        <w:fldChar w:fldCharType="end"/>
      </w:r>
      <w:r w:rsidRPr="006B3555">
        <w:t xml:space="preserve"> </w:t>
      </w:r>
    </w:p>
    <w:p w14:paraId="6419454A" w14:textId="309F2C52" w:rsidR="009414C6" w:rsidRPr="006B3555" w:rsidRDefault="009414C6" w:rsidP="006D7DE6">
      <w:pPr>
        <w:pStyle w:val="BodyTextFirstIndent"/>
      </w:pPr>
      <w:r w:rsidRPr="00F46D47">
        <w:rPr>
          <w:b/>
          <w:bCs/>
        </w:rPr>
        <w:t>M.G.L</w:t>
      </w:r>
      <w:r>
        <w:rPr>
          <w:b/>
          <w:bCs/>
        </w:rPr>
        <w:t>.</w:t>
      </w:r>
      <w:r w:rsidRPr="00F46D47">
        <w:rPr>
          <w:b/>
          <w:bCs/>
        </w:rPr>
        <w:t xml:space="preserve"> c</w:t>
      </w:r>
      <w:r>
        <w:rPr>
          <w:b/>
          <w:bCs/>
        </w:rPr>
        <w:t>.</w:t>
      </w:r>
      <w:r w:rsidRPr="00F46D47">
        <w:rPr>
          <w:b/>
          <w:bCs/>
        </w:rPr>
        <w:t xml:space="preserve"> 21, § 67: System Interruption Devices Requirement for New Irrigation Systems</w:t>
      </w:r>
      <w:r w:rsidRPr="006B3555">
        <w:t xml:space="preserve"> directs DOER to require that all newly installed or renovated irrigation systems override and suspend programmed operation during periods of sufficient moisture and that system interruption devices be inspected at least every three years by an irrigation contractor.</w:t>
      </w:r>
      <w:r w:rsidR="00413412">
        <w:fldChar w:fldCharType="begin"/>
      </w:r>
      <w:r w:rsidR="00906735">
        <w:instrText xml:space="preserve"> ADDIN ZOTERO_ITEM CSL_CITATION {"citationID":"aug7i76nrj","properties":{"formattedCitation":"\\super 227\\nosupersub{}","plainCitation":"227","noteIndex":0},"citationItems":[{"id":1143,"uris":["http://zotero.org/groups/5563646/items/BDHFKILC"],"itemData":{"id":1143,"type":"legislation","container-title":"M.G.L. c. 21","section":"67","title":"System Interruption Devices Requirement for New Irrigation Systems","URL":"https://malegislature.gov/Laws/GeneralLaws/PartI/TitleII/Chapter21/Section67"}}],"schema":"https://github.com/citation-style-language/schema/raw/master/csl-citation.json"} </w:instrText>
      </w:r>
      <w:r w:rsidR="00413412">
        <w:fldChar w:fldCharType="separate"/>
      </w:r>
      <w:r w:rsidR="00906735" w:rsidRPr="00906735">
        <w:rPr>
          <w:rFonts w:cs="Arial"/>
          <w:vertAlign w:val="superscript"/>
        </w:rPr>
        <w:t>227</w:t>
      </w:r>
      <w:r w:rsidR="00413412">
        <w:fldChar w:fldCharType="end"/>
      </w:r>
    </w:p>
    <w:p w14:paraId="38842025" w14:textId="45707792" w:rsidR="009414C6" w:rsidRPr="00942D4D" w:rsidRDefault="009414C6" w:rsidP="006D7DE6">
      <w:pPr>
        <w:pStyle w:val="BodyTextFirstIndent"/>
        <w:rPr>
          <w:rStyle w:val="normaltextrun"/>
          <w:rFonts w:ascii="Calibri" w:hAnsi="Calibri" w:cs="Calibri"/>
          <w:color w:val="000000"/>
          <w:szCs w:val="22"/>
          <w:shd w:val="clear" w:color="auto" w:fill="FFFFFF"/>
        </w:rPr>
      </w:pPr>
      <w:r w:rsidRPr="00F3483E">
        <w:rPr>
          <w:b/>
          <w:bCs/>
        </w:rPr>
        <w:t>M.G.L. c. 21G: The Water Management Act</w:t>
      </w:r>
      <w:r w:rsidRPr="006B3555">
        <w:t xml:space="preserve"> authorizes MassDEP to regulate the quantity of water withdrawn from both surface and groundwater supplies and establishes potential provisions for water emergency declarations (e.g., drought emergencies).</w:t>
      </w:r>
      <w:r w:rsidR="00454890">
        <w:fldChar w:fldCharType="begin"/>
      </w:r>
      <w:r w:rsidR="00FD456B">
        <w:instrText xml:space="preserve"> ADDIN ZOTERO_ITEM CSL_CITATION {"citationID":"anin1e639h","properties":{"formattedCitation":"\\super 228\\nosupersub{}","plainCitation":"228","noteIndex":0},"citationItems":[{"id":1142,"uris":["http://zotero.org/groups/5563646/items/PF4ZSTDU"],"itemData":{"id":1142,"type":"legislation","container-title":"M.G.L. c. 21G","title":"The Water Management Act","URL":"https://malegislature.gov/Laws/GeneralLaws/PartI/TitleII/Chapter21G"}}],"schema":"https://github.com/citation-style-language/schema/raw/master/csl-citation.json"} </w:instrText>
      </w:r>
      <w:r w:rsidR="00454890">
        <w:fldChar w:fldCharType="separate"/>
      </w:r>
      <w:r w:rsidR="00FD456B" w:rsidRPr="00FD456B">
        <w:rPr>
          <w:rFonts w:cs="Arial"/>
          <w:vertAlign w:val="superscript"/>
        </w:rPr>
        <w:t>228</w:t>
      </w:r>
      <w:r w:rsidR="00454890">
        <w:fldChar w:fldCharType="end"/>
      </w:r>
      <w:r>
        <w:t xml:space="preserve"> </w:t>
      </w:r>
    </w:p>
    <w:p w14:paraId="3FD1F35F" w14:textId="196B8AD7" w:rsidR="009414C6" w:rsidRPr="00C75BA2" w:rsidRDefault="009414C6" w:rsidP="006D7DE6">
      <w:pPr>
        <w:pStyle w:val="BodyTextFirstIndent"/>
      </w:pPr>
      <w:r>
        <w:rPr>
          <w:b/>
          <w:bCs/>
        </w:rPr>
        <w:t>Energy Policy Act of 2005, Public Law 109-58</w:t>
      </w:r>
      <w:r>
        <w:t xml:space="preserve"> directs the Secretary of Energy to set maximum water use requirements for commercial ice makers, residential-style dishwashers, residential-style clothes washers, and commercial prerinse spray valves, among other products, but those are covered with more strict water efficiency requirements under Massachusetts statutes and regulations.</w:t>
      </w:r>
      <w:r w:rsidR="00AA174F">
        <w:fldChar w:fldCharType="begin"/>
      </w:r>
      <w:r w:rsidR="0021358F">
        <w:instrText xml:space="preserve"> ADDIN ZOTERO_ITEM CSL_CITATION {"citationID":"a2inkj5639v","properties":{"formattedCitation":"\\super 229\\nosupersub{}","plainCitation":"229","noteIndex":0},"citationItems":[{"id":362,"uris":["http://zotero.org/groups/5563646/items/LFBBM3IZ"],"itemData":{"id":362,"type":"legislation","number":"109-58","title":"Energy Policy Act of 2005","URL":"https://www.congress.gov/109/plaws/publ58/PLAW-109publ58.pdf","author":[{"family":"U.S. Congress","given":""}],"issued":{"date-parts":[["2005",8,8]]}}}],"schema":"https://github.com/citation-style-language/schema/raw/master/csl-citation.json"} </w:instrText>
      </w:r>
      <w:r w:rsidR="00AA174F">
        <w:fldChar w:fldCharType="separate"/>
      </w:r>
      <w:r w:rsidR="0021358F" w:rsidRPr="0021358F">
        <w:rPr>
          <w:rFonts w:cs="Arial"/>
          <w:vertAlign w:val="superscript"/>
        </w:rPr>
        <w:t>229</w:t>
      </w:r>
      <w:r w:rsidR="00AA174F">
        <w:fldChar w:fldCharType="end"/>
      </w:r>
      <w:r>
        <w:t xml:space="preserve">  </w:t>
      </w:r>
    </w:p>
    <w:p w14:paraId="74726BBC" w14:textId="77777777" w:rsidR="009414C6" w:rsidRPr="00C75BA2" w:rsidRDefault="009414C6" w:rsidP="009414C6">
      <w:pPr>
        <w:pStyle w:val="Heading4"/>
      </w:pPr>
      <w:r w:rsidRPr="00C75BA2">
        <w:t>Relevant Regulations</w:t>
      </w:r>
    </w:p>
    <w:p w14:paraId="649BFE89" w14:textId="7CFB1998" w:rsidR="009414C6" w:rsidRDefault="009414C6" w:rsidP="006D7DE6">
      <w:pPr>
        <w:pStyle w:val="BodyTextFirstIndent"/>
      </w:pPr>
      <w:r w:rsidRPr="00474853">
        <w:rPr>
          <w:b/>
          <w:bCs/>
        </w:rPr>
        <w:t>225 CMR 9.00: Appliance Energy-Efficiency Standards, Testing and Certification Program</w:t>
      </w:r>
      <w:r w:rsidRPr="00474853">
        <w:t xml:space="preserve"> establishes standards, testing, and certification requirements for water-using appliances.</w:t>
      </w:r>
      <w:r w:rsidR="002F7BAC">
        <w:fldChar w:fldCharType="begin"/>
      </w:r>
      <w:r w:rsidR="00185694">
        <w:instrText xml:space="preserve"> ADDIN ZOTERO_ITEM CSL_CITATION {"citationID":"ada01gqv5j","properties":{"formattedCitation":"\\super 215\\nosupersub{}","plainCitation":"215","noteIndex":0},"citationItems":[{"id":294,"uris":["http://zotero.org/groups/5563646/items/7G2MK5IA"],"itemData":{"id":294,"type":"webpage","title":"225 CMR 9.00: Appliance energy-efficiency standards, testing and certification program","URL":"https://www.mass.gov/regulations/225-CMR-900-appliance-energy-efficiency-standards-testing-and-certification-program","author":[{"family":"Massachusetts Department of Energy Resources","given":""}],"accessed":{"date-parts":[["2024",6,25]]},"issued":{"date-parts":[["2021",12,24]]}}}],"schema":"https://github.com/citation-style-language/schema/raw/master/csl-citation.json"} </w:instrText>
      </w:r>
      <w:r w:rsidR="002F7BAC">
        <w:fldChar w:fldCharType="separate"/>
      </w:r>
      <w:r w:rsidR="00185694" w:rsidRPr="00185694">
        <w:rPr>
          <w:rFonts w:cs="Arial"/>
          <w:vertAlign w:val="superscript"/>
        </w:rPr>
        <w:t>215</w:t>
      </w:r>
      <w:r w:rsidR="002F7BAC">
        <w:fldChar w:fldCharType="end"/>
      </w:r>
      <w:r w:rsidRPr="00474853">
        <w:t xml:space="preserve"> </w:t>
      </w:r>
    </w:p>
    <w:p w14:paraId="4F80B5B2" w14:textId="10AE3452" w:rsidR="009414C6" w:rsidRDefault="009414C6" w:rsidP="006D7DE6">
      <w:pPr>
        <w:pStyle w:val="BodyTextFirstIndent"/>
      </w:pPr>
      <w:r w:rsidRPr="00926BF3">
        <w:rPr>
          <w:b/>
          <w:bCs/>
        </w:rPr>
        <w:t>248 CMR 10.00: Uniform State Plumbing Code</w:t>
      </w:r>
      <w:r>
        <w:t xml:space="preserve"> establishes the Massachusetts state plumbing code and provides maximum flow rates for faucets, showerheads, toilets, and urinals.</w:t>
      </w:r>
      <w:r w:rsidR="00951333">
        <w:fldChar w:fldCharType="begin"/>
      </w:r>
      <w:r w:rsidR="00E30485">
        <w:instrText xml:space="preserve"> ADDIN ZOTERO_ITEM CSL_CITATION {"citationID":"a2pf703hd4a","properties":{"formattedCitation":"\\super 230\\nosupersub{}","plainCitation":"230","noteIndex":0},"citationItems":[{"id":1139,"uris":["http://zotero.org/groups/5563646/items/3KX59STZ"],"itemData":{"id":1139,"type":"legislation","container-title":"248 CMR 10.00","title":"Uniform State Plumbing Code","URL":"https://www.mass.gov/regulations/248-CMR-1000-uniform-state-plumbing-code"}}],"schema":"https://github.com/citation-style-language/schema/raw/master/csl-citation.json"} </w:instrText>
      </w:r>
      <w:r w:rsidR="00951333">
        <w:fldChar w:fldCharType="separate"/>
      </w:r>
      <w:r w:rsidR="00E30485" w:rsidRPr="00E30485">
        <w:rPr>
          <w:rFonts w:cs="Arial"/>
          <w:vertAlign w:val="superscript"/>
        </w:rPr>
        <w:t>230</w:t>
      </w:r>
      <w:r w:rsidR="00951333">
        <w:fldChar w:fldCharType="end"/>
      </w:r>
      <w:r>
        <w:t xml:space="preserve">  </w:t>
      </w:r>
    </w:p>
    <w:p w14:paraId="17C74509" w14:textId="08F61573" w:rsidR="009414C6" w:rsidRPr="00474853" w:rsidRDefault="009414C6" w:rsidP="006D7DE6">
      <w:pPr>
        <w:pStyle w:val="BodyTextFirstIndent"/>
      </w:pPr>
      <w:r w:rsidRPr="00474853">
        <w:rPr>
          <w:b/>
          <w:bCs/>
        </w:rPr>
        <w:t>310 CMR 36.00: The Water Management Act Regulations</w:t>
      </w:r>
      <w:r w:rsidRPr="00474853">
        <w:t xml:space="preserve"> establishes standards, criteria, and procedures to comprehensively manage water withdrawals. </w:t>
      </w:r>
      <w:r>
        <w:t>It also</w:t>
      </w:r>
      <w:r w:rsidRPr="00474853">
        <w:t xml:space="preserve"> outlines the restrictions on nonessential outdoor water use, including irrigation of school recreation fields, under varying drought conditions.</w:t>
      </w:r>
      <w:r w:rsidR="00C9358B">
        <w:fldChar w:fldCharType="begin"/>
      </w:r>
      <w:r w:rsidR="00690275">
        <w:instrText xml:space="preserve"> ADDIN ZOTERO_ITEM CSL_CITATION {"citationID":"a1fm1cho91a","properties":{"formattedCitation":"\\super 231\\nosupersub{}","plainCitation":"231","noteIndex":0},"citationItems":[{"id":363,"uris":["http://zotero.org/groups/5563646/items/KAZ2B4IN"],"itemData":{"id":363,"type":"webpage","title":"310 CMR 36.00: The Water Management Act Regulations","URL":"https://www.mass.gov/doc/310-cmr-3600-the-water-management-act-regulations","author":[{"family":"Massachusetts Department of Environmental Protection","given":""}],"accessed":{"date-parts":[["2024",6,26]]},"issued":{"date-parts":[["2023",1,20]]}}}],"schema":"https://github.com/citation-style-language/schema/raw/master/csl-citation.json"} </w:instrText>
      </w:r>
      <w:r w:rsidR="00C9358B">
        <w:fldChar w:fldCharType="separate"/>
      </w:r>
      <w:r w:rsidR="00690275" w:rsidRPr="00690275">
        <w:rPr>
          <w:rFonts w:cs="Arial"/>
          <w:vertAlign w:val="superscript"/>
        </w:rPr>
        <w:t>231</w:t>
      </w:r>
      <w:r w:rsidR="00C9358B">
        <w:fldChar w:fldCharType="end"/>
      </w:r>
      <w:r w:rsidRPr="00474853">
        <w:t xml:space="preserve"> Further guidance on nonessential outdoor water use was published to supplement the regulation.</w:t>
      </w:r>
    </w:p>
    <w:p w14:paraId="52B015CD" w14:textId="035EF148" w:rsidR="009414C6" w:rsidRPr="004C35E6" w:rsidRDefault="009414C6" w:rsidP="006D7DE6">
      <w:pPr>
        <w:pStyle w:val="BodyTextFirstIndent"/>
      </w:pPr>
      <w:r w:rsidRPr="00396DFA">
        <w:lastRenderedPageBreak/>
        <w:t>Code of Federal Regulations (CFR) Title 10, Chapter II, Part 429 and 431—Energy Conservation Program: Energy Conservation Standards for Commercial Prerinse Spray Valves</w:t>
      </w:r>
      <w:r>
        <w:t xml:space="preserve"> establishes maximum water use requirements for commercial prerinse spray valves, which are not covered in Massachusetts state regulations.</w:t>
      </w:r>
      <w:r w:rsidR="0028542B">
        <w:fldChar w:fldCharType="begin"/>
      </w:r>
      <w:r w:rsidR="00D87324">
        <w:instrText xml:space="preserve"> ADDIN ZOTERO_ITEM CSL_CITATION {"citationID":"a1akir6orut","properties":{"formattedCitation":"\\super 217\\nosupersub{}","plainCitation":"217","noteIndex":0},"citationItems":[{"id":710,"uris":["http://zotero.org/groups/5563646/items/G7C6QXU4"],"itemData":{"id":710,"type":"document","title":"CRF Title 10, Chapter II, Parts 429 and 431--Energy Conservation Program: Energy Conservation Standards for Commercial Prerinse Spray Valves","URL":"https://www.regulations.gov/document/EERE-2014-BT-STD-0027-0050","author":[{"literal":"U.S. Department of Energy"}],"issued":{"date-parts":[["2016",1,27]]}}}],"schema":"https://github.com/citation-style-language/schema/raw/master/csl-citation.json"} </w:instrText>
      </w:r>
      <w:r w:rsidR="0028542B">
        <w:fldChar w:fldCharType="separate"/>
      </w:r>
      <w:r w:rsidR="00D87324" w:rsidRPr="00D87324">
        <w:rPr>
          <w:rFonts w:cs="Arial"/>
          <w:vertAlign w:val="superscript"/>
        </w:rPr>
        <w:t>217</w:t>
      </w:r>
      <w:r w:rsidR="0028542B">
        <w:fldChar w:fldCharType="end"/>
      </w:r>
      <w:r>
        <w:t xml:space="preserve"> </w:t>
      </w:r>
    </w:p>
    <w:p w14:paraId="484147C4" w14:textId="77DEC511" w:rsidR="009414C6" w:rsidRDefault="009414C6" w:rsidP="006D7DE6">
      <w:pPr>
        <w:pStyle w:val="BodyTextFirstIndent"/>
      </w:pPr>
      <w:r w:rsidRPr="00C75BA2">
        <w:rPr>
          <w:b/>
          <w:bCs/>
        </w:rPr>
        <w:t>CFR Title 10, Chapter II, Part 430—Energy Conservation Program for Consumer Products</w:t>
      </w:r>
      <w:r>
        <w:t xml:space="preserve"> establishes maximum water use requirements for residential-style dishwashers and clothes washer</w:t>
      </w:r>
      <w:r w:rsidR="00396DFA">
        <w:t>s</w:t>
      </w:r>
      <w:r>
        <w:t xml:space="preserve"> </w:t>
      </w:r>
      <w:r w:rsidR="00A774D7">
        <w:t>that</w:t>
      </w:r>
      <w:r>
        <w:t xml:space="preserve"> could be used in schools and are not covered in Massachusetts state regulations.</w:t>
      </w:r>
      <w:r w:rsidR="00D70979">
        <w:fldChar w:fldCharType="begin"/>
      </w:r>
      <w:r w:rsidR="00F33EFA">
        <w:instrText xml:space="preserve"> ADDIN ZOTERO_ITEM CSL_CITATION {"citationID":"a2bqptbui77","properties":{"formattedCitation":"\\super 232\\nosupersub{}","plainCitation":"232","noteIndex":0},"citationItems":[{"id":507,"uris":["http://zotero.org/groups/5563646/items/ABHV572I"],"itemData":{"id":507,"type":"document","title":"CFR Title 10, Chapter II, Part 430--Energy Conservation Program for Consumer Products","URL":"https://www.gpo.gov/fdsys/pkg/CFR-2011-title10-vol3/pdf/CFR-2011-title10-vol3-part430.pdf","author":[{"literal":"U.S. Department of Energy"}],"issued":{"date-parts":[["2011"]]}}}],"schema":"https://github.com/citation-style-language/schema/raw/master/csl-citation.json"} </w:instrText>
      </w:r>
      <w:r w:rsidR="00D70979">
        <w:fldChar w:fldCharType="separate"/>
      </w:r>
      <w:r w:rsidR="00F33EFA" w:rsidRPr="00F33EFA">
        <w:rPr>
          <w:rFonts w:cs="Arial"/>
          <w:vertAlign w:val="superscript"/>
        </w:rPr>
        <w:t>232</w:t>
      </w:r>
      <w:r w:rsidR="00D70979">
        <w:fldChar w:fldCharType="end"/>
      </w:r>
    </w:p>
    <w:p w14:paraId="0B6B126F" w14:textId="2ACF2149" w:rsidR="009414C6" w:rsidRDefault="009414C6" w:rsidP="006D7DE6">
      <w:pPr>
        <w:pStyle w:val="BodyTextFirstIndent"/>
      </w:pPr>
      <w:r w:rsidRPr="00C75BA2">
        <w:rPr>
          <w:b/>
          <w:bCs/>
        </w:rPr>
        <w:t>CFR Title 10, Chapter II, Part 431—Energy Efficiency Program for Certain Commercial and Industrial Equipment</w:t>
      </w:r>
      <w:r>
        <w:t xml:space="preserve"> establishes maximum water use requirements for commercial ice makers, which are not covered in Massachusetts state regulations.</w:t>
      </w:r>
      <w:r w:rsidR="00D70979">
        <w:fldChar w:fldCharType="begin"/>
      </w:r>
      <w:r w:rsidR="00C27A64">
        <w:instrText xml:space="preserve"> ADDIN ZOTERO_ITEM CSL_CITATION {"citationID":"ah7anpi67","properties":{"formattedCitation":"\\super 233\\nosupersub{}","plainCitation":"233","noteIndex":0},"citationItems":[{"id":508,"uris":["http://zotero.org/groups/5563646/items/MJ76KU5J"],"itemData":{"id":508,"type":"document","title":"CFR Title 10, Chapter II, Part 431--Energy Efficiency Program for Certain Commercial and Industrial Equipment","URL":"https://www.gpo.gov/fdsys/pkg/CFR-2016-title10-vol3/pdf/CFR-2016-title10-vol3-part431.pdf","author":[{"literal":"U.S. Department of Energy"}],"issued":{"date-parts":[["2016"]]}}}],"schema":"https://github.com/citation-style-language/schema/raw/master/csl-citation.json"} </w:instrText>
      </w:r>
      <w:r w:rsidR="00D70979">
        <w:fldChar w:fldCharType="separate"/>
      </w:r>
      <w:r w:rsidR="00C27A64" w:rsidRPr="00C27A64">
        <w:rPr>
          <w:rFonts w:cs="Arial"/>
          <w:vertAlign w:val="superscript"/>
        </w:rPr>
        <w:t>233</w:t>
      </w:r>
      <w:r w:rsidR="00D70979">
        <w:fldChar w:fldCharType="end"/>
      </w:r>
    </w:p>
    <w:p w14:paraId="25AED2D7" w14:textId="77777777" w:rsidR="009414C6" w:rsidRPr="00C75BA2" w:rsidRDefault="009414C6" w:rsidP="009414C6">
      <w:pPr>
        <w:pStyle w:val="Heading4"/>
      </w:pPr>
      <w:r w:rsidRPr="00C75BA2">
        <w:t>Relevant Standards</w:t>
      </w:r>
    </w:p>
    <w:p w14:paraId="3EDB4385" w14:textId="4BB137EB" w:rsidR="009414C6" w:rsidRPr="00541F66" w:rsidRDefault="009414C6" w:rsidP="006D7DE6">
      <w:pPr>
        <w:pStyle w:val="BodyTextFirstIndent"/>
      </w:pPr>
      <w:r>
        <w:rPr>
          <w:b/>
          <w:bCs/>
        </w:rPr>
        <w:t xml:space="preserve">Massachusetts </w:t>
      </w:r>
      <w:r w:rsidRPr="00533A02">
        <w:rPr>
          <w:b/>
          <w:bCs/>
        </w:rPr>
        <w:t>Appliance Energy and Water Efficiency Standards</w:t>
      </w:r>
      <w:r>
        <w:t xml:space="preserve"> sets water efficiency standards for plumbing fittings, plumbing fixtures, commercial ovens, commercial dishwashers, commercial steam cookers, and spray sprinkler bodies.</w:t>
      </w:r>
      <w:r w:rsidR="00411217">
        <w:fldChar w:fldCharType="begin"/>
      </w:r>
      <w:r w:rsidR="00286E71">
        <w:instrText xml:space="preserve"> ADDIN ZOTERO_ITEM CSL_CITATION {"citationID":"ane88uam3o","properties":{"formattedCitation":"\\super 234\\nosupersub{}","plainCitation":"234","noteIndex":0},"citationItems":[{"id":1156,"uris":["http://zotero.org/groups/5563646/items/ZEHJ3CZS"],"itemData":{"id":1156,"type":"webpage","abstract":"State policy that sets energy and water efficiency standards for appliances.","language":"en","title":"Massachusetts Appliance Energy and Water Efficiency Standards","URL":"https://www.mass.gov/info-details/appliance-energy-and-water-efficiency-standards","accessed":{"date-parts":[["2024",12,4]]}}}],"schema":"https://github.com/citation-style-language/schema/raw/master/csl-citation.json"} </w:instrText>
      </w:r>
      <w:r w:rsidR="00411217">
        <w:fldChar w:fldCharType="separate"/>
      </w:r>
      <w:r w:rsidR="00286E71" w:rsidRPr="00286E71">
        <w:rPr>
          <w:rFonts w:cs="Arial"/>
          <w:vertAlign w:val="superscript"/>
        </w:rPr>
        <w:t>234</w:t>
      </w:r>
      <w:r w:rsidR="00411217">
        <w:fldChar w:fldCharType="end"/>
      </w:r>
    </w:p>
    <w:p w14:paraId="7CBA0EBE" w14:textId="24F1C7D4" w:rsidR="009414C6" w:rsidRPr="007A2A33" w:rsidRDefault="009414C6" w:rsidP="006D7DE6">
      <w:pPr>
        <w:pStyle w:val="BodyTextFirstIndent"/>
      </w:pPr>
      <w:r>
        <w:rPr>
          <w:b/>
          <w:bCs/>
        </w:rPr>
        <w:t>Massachusetts Drought Management Plan Preparedness &amp; Response</w:t>
      </w:r>
      <w:r>
        <w:t xml:space="preserve"> aims to minimize drought impacts to the Commonwealth by improving agency coordination; enhancing monitoring and early drought warning capabilities; and outlining preparedness, response, and recovery activities for state agencies, local communities, and other entities affected by drought.</w:t>
      </w:r>
      <w:r w:rsidR="00DE496D">
        <w:fldChar w:fldCharType="begin"/>
      </w:r>
      <w:r w:rsidR="003D0519">
        <w:instrText xml:space="preserve"> ADDIN ZOTERO_ITEM CSL_CITATION {"citationID":"a1guts39b5r","properties":{"formattedCitation":"\\super 46\\nosupersub{}","plainCitation":"46","noteIndex":0},"citationItems":[{"id":298,"uris":["http://zotero.org/groups/5563646/items/HJ5QPLCU"],"itemData":{"id":298,"type":"report","title":"Massachusetts Drought Management Plan Preparedness &amp; Response","URL":"https://www.mass.gov/doc/massachusetts-drought-management-plan/download","author":[{"family":"Massachusetts Energy and Environmental Affairs and Massachusetts Emergency Management Agency","given":""}],"accessed":{"date-parts":[["2024",6,25]]},"issued":{"date-parts":[["2023",12]]}}}],"schema":"https://github.com/citation-style-language/schema/raw/master/csl-citation.json"} </w:instrText>
      </w:r>
      <w:r w:rsidR="00DE496D">
        <w:fldChar w:fldCharType="separate"/>
      </w:r>
      <w:r w:rsidR="003D0519" w:rsidRPr="003D0519">
        <w:rPr>
          <w:rFonts w:cs="Arial"/>
          <w:vertAlign w:val="superscript"/>
        </w:rPr>
        <w:t>46</w:t>
      </w:r>
      <w:r w:rsidR="00DE496D">
        <w:fldChar w:fldCharType="end"/>
      </w:r>
    </w:p>
    <w:p w14:paraId="08D48F87" w14:textId="4D15911A" w:rsidR="009414C6" w:rsidRDefault="009414C6" w:rsidP="006D7DE6">
      <w:pPr>
        <w:pStyle w:val="BodyTextFirstIndent"/>
      </w:pPr>
      <w:r>
        <w:rPr>
          <w:b/>
          <w:bCs/>
        </w:rPr>
        <w:t>Massachusetts Water Conservation Standards (2018)</w:t>
      </w:r>
      <w:r>
        <w:t xml:space="preserve"> s</w:t>
      </w:r>
      <w:r w:rsidRPr="006C6286">
        <w:t>et statewide goals for water conservation and water-use efficiency and provide</w:t>
      </w:r>
      <w:r>
        <w:t>s</w:t>
      </w:r>
      <w:r w:rsidRPr="006C6286">
        <w:t xml:space="preserve"> guidance on effective conservation measures.</w:t>
      </w:r>
      <w:r w:rsidR="00556D55">
        <w:fldChar w:fldCharType="begin"/>
      </w:r>
      <w:r w:rsidR="00D477E9">
        <w:instrText xml:space="preserve"> ADDIN ZOTERO_ITEM CSL_CITATION {"citationID":"a1miqt1464m","properties":{"formattedCitation":"\\super 200\\nosupersub{}","plainCitation":"200","noteIndex":0},"citationItems":[{"id":297,"uris":["http://zotero.org/groups/5563646/items/IIANGHIR"],"itemData":{"id":297,"type":"report","title":"Massachusetts Water Conservation Standards","URL":"https://www.mass.gov/doc/massachusetts-water-conservation-standards-2/download","author":[{"family":"The Commonwealth of Massachusetts Executive Office of Energy and Environmental Affairs and Water Resources Commission","given":""}],"issued":{"date-parts":[["2018",7]]}}}],"schema":"https://github.com/citation-style-language/schema/raw/master/csl-citation.json"} </w:instrText>
      </w:r>
      <w:r w:rsidR="00556D55">
        <w:fldChar w:fldCharType="separate"/>
      </w:r>
      <w:r w:rsidR="00D477E9" w:rsidRPr="00D477E9">
        <w:rPr>
          <w:rFonts w:cs="Arial"/>
          <w:vertAlign w:val="superscript"/>
        </w:rPr>
        <w:t>200</w:t>
      </w:r>
      <w:r w:rsidR="00556D55">
        <w:fldChar w:fldCharType="end"/>
      </w:r>
      <w:r w:rsidRPr="006C6286">
        <w:t xml:space="preserve"> </w:t>
      </w:r>
    </w:p>
    <w:p w14:paraId="5D92F54C" w14:textId="669AE6D6" w:rsidR="009414C6" w:rsidRPr="00926BF3" w:rsidRDefault="009414C6" w:rsidP="006D7DE6">
      <w:pPr>
        <w:pStyle w:val="BodyTextFirstIndent"/>
      </w:pPr>
      <w:r>
        <w:rPr>
          <w:b/>
          <w:bCs/>
        </w:rPr>
        <w:t>ANSI/ASABE S626: Landscape Irrigation System Uniformity and Application Rate Testing</w:t>
      </w:r>
      <w:r>
        <w:t xml:space="preserve"> provides methods for evaluating the application rate and/or uniformity of coverage of installed landscape irrigation systems and can be helpful when conducting irrigation systems audits.</w:t>
      </w:r>
      <w:r w:rsidR="00556D55">
        <w:fldChar w:fldCharType="begin"/>
      </w:r>
      <w:r w:rsidR="002F4AEB">
        <w:instrText xml:space="preserve"> ADDIN ZOTERO_ITEM CSL_CITATION {"citationID":"a9do0beqoe","properties":{"formattedCitation":"\\super 220\\nosupersub{}","plainCitation":"220","noteIndex":0},"citationItems":[{"id":706,"uris":["http://zotero.org/groups/5563646/items/5FQ4VKXS"],"itemData":{"id":706,"type":"webpage","language":"en-us","title":"ANSI/ASABE Standard S626: Landscape Irrigation System Uniformity and Application Rate Testing","URL":"https://doi.org/http://dx.doi.org/10.13031/s2000.2013","author":[{"literal":"American Society of Agricultural and Biological Engineers"}],"accessed":{"date-parts":[["2024",7,19]]},"issued":{"date-parts":[["2016",9]]}}}],"schema":"https://github.com/citation-style-language/schema/raw/master/csl-citation.json"} </w:instrText>
      </w:r>
      <w:r w:rsidR="00556D55">
        <w:fldChar w:fldCharType="separate"/>
      </w:r>
      <w:r w:rsidR="002F4AEB" w:rsidRPr="002F4AEB">
        <w:rPr>
          <w:rFonts w:cs="Arial"/>
          <w:vertAlign w:val="superscript"/>
        </w:rPr>
        <w:t>220</w:t>
      </w:r>
      <w:r w:rsidR="00556D55">
        <w:fldChar w:fldCharType="end"/>
      </w:r>
      <w:r>
        <w:t xml:space="preserve"> </w:t>
      </w:r>
    </w:p>
    <w:p w14:paraId="69D95AD8" w14:textId="17DCF220" w:rsidR="009414C6" w:rsidRPr="00541F66" w:rsidRDefault="009414C6" w:rsidP="006D7DE6">
      <w:pPr>
        <w:pStyle w:val="BodyTextFirstIndent"/>
        <w:rPr>
          <w:b/>
          <w:bCs/>
        </w:rPr>
      </w:pPr>
      <w:r w:rsidRPr="00541F66">
        <w:rPr>
          <w:rStyle w:val="normaltextrun"/>
          <w:b/>
          <w:bCs/>
          <w:color w:val="000000"/>
          <w:shd w:val="clear" w:color="auto" w:fill="FFFFFF"/>
        </w:rPr>
        <w:t xml:space="preserve">USGBC’s </w:t>
      </w:r>
      <w:r w:rsidRPr="00541F66">
        <w:rPr>
          <w:rStyle w:val="findhit"/>
          <w:b/>
          <w:bCs/>
          <w:color w:val="000000"/>
          <w:shd w:val="clear" w:color="auto" w:fill="FFFFFF"/>
        </w:rPr>
        <w:t>LEED</w:t>
      </w:r>
      <w:r w:rsidRPr="00541F66">
        <w:rPr>
          <w:rStyle w:val="normaltextrun"/>
          <w:b/>
          <w:bCs/>
          <w:color w:val="000000"/>
          <w:shd w:val="clear" w:color="auto" w:fill="FFFFFF"/>
        </w:rPr>
        <w:t xml:space="preserve"> v4.1 Building Design + Construction</w:t>
      </w:r>
      <w:r w:rsidRPr="00541F66">
        <w:rPr>
          <w:rStyle w:val="normaltextrun"/>
          <w:color w:val="000000"/>
          <w:shd w:val="clear" w:color="auto" w:fill="FFFFFF"/>
        </w:rPr>
        <w:t xml:space="preserve"> guide</w:t>
      </w:r>
      <w:r>
        <w:rPr>
          <w:rStyle w:val="normaltextrun"/>
          <w:color w:val="000000"/>
          <w:shd w:val="clear" w:color="auto" w:fill="FFFFFF"/>
        </w:rPr>
        <w:t>s</w:t>
      </w:r>
      <w:r w:rsidRPr="00541F66">
        <w:rPr>
          <w:rStyle w:val="normaltextrun"/>
          <w:color w:val="000000"/>
          <w:shd w:val="clear" w:color="auto" w:fill="FFFFFF"/>
        </w:rPr>
        <w:t xml:space="preserve"> and recognize</w:t>
      </w:r>
      <w:r>
        <w:rPr>
          <w:rStyle w:val="normaltextrun"/>
          <w:color w:val="000000"/>
          <w:shd w:val="clear" w:color="auto" w:fill="FFFFFF"/>
        </w:rPr>
        <w:t>s</w:t>
      </w:r>
      <w:r w:rsidRPr="00541F66">
        <w:rPr>
          <w:rStyle w:val="normaltextrun"/>
          <w:color w:val="000000"/>
          <w:shd w:val="clear" w:color="auto" w:fill="FFFFFF"/>
        </w:rPr>
        <w:t xml:space="preserve"> the design and construction of high-performance, environmentally sustainable buildings.</w:t>
      </w:r>
      <w:r w:rsidR="000E0BC4">
        <w:rPr>
          <w:rStyle w:val="normaltextrun"/>
          <w:color w:val="000000"/>
          <w:shd w:val="clear" w:color="auto" w:fill="FFFFFF"/>
        </w:rPr>
        <w:fldChar w:fldCharType="begin"/>
      </w:r>
      <w:r w:rsidR="00DA5E6A">
        <w:rPr>
          <w:rStyle w:val="normaltextrun"/>
          <w:color w:val="000000"/>
          <w:shd w:val="clear" w:color="auto" w:fill="FFFFFF"/>
        </w:rPr>
        <w:instrText xml:space="preserve"> ADDIN ZOTERO_ITEM CSL_CITATION {"citationID":"a1i8rmb6tia","properties":{"formattedCitation":"\\super 198\\nosupersub{}","plainCitation":"198","noteIndex":0},"citationItems":[{"id":1145,"uris":["http://zotero.org/groups/5563646/items/P3LJWIS2"],"itemData":{"id":1145,"type":"document","title":"LEED v4.1 Building Design + Construction","URL":"https://build.usgbc.org/bd+c_guide","author":[{"family":"USGBC","given":""}],"issued":{"date-parts":[["2024"]]}}}],"schema":"https://github.com/citation-style-language/schema/raw/master/csl-citation.json"} </w:instrText>
      </w:r>
      <w:r w:rsidR="000E0BC4">
        <w:rPr>
          <w:rStyle w:val="normaltextrun"/>
          <w:color w:val="000000"/>
          <w:shd w:val="clear" w:color="auto" w:fill="FFFFFF"/>
        </w:rPr>
        <w:fldChar w:fldCharType="separate"/>
      </w:r>
      <w:r w:rsidR="00DA5E6A" w:rsidRPr="00DA5E6A">
        <w:rPr>
          <w:rFonts w:cs="Arial"/>
          <w:vertAlign w:val="superscript"/>
        </w:rPr>
        <w:t>198</w:t>
      </w:r>
      <w:r w:rsidR="000E0BC4">
        <w:rPr>
          <w:rStyle w:val="normaltextrun"/>
          <w:color w:val="000000"/>
          <w:shd w:val="clear" w:color="auto" w:fill="FFFFFF"/>
        </w:rPr>
        <w:fldChar w:fldCharType="end"/>
      </w:r>
      <w:r w:rsidRPr="00541F66">
        <w:rPr>
          <w:rStyle w:val="normaltextrun"/>
          <w:color w:val="000000"/>
          <w:shd w:val="clear" w:color="auto" w:fill="FFFFFF"/>
        </w:rPr>
        <w:t xml:space="preserve"> It emphasizes strategies that improve energy efficiency, reduce water consumption, promote indoor environmental quality, and incorporate sustainable materials and practices.</w:t>
      </w:r>
      <w:r w:rsidRPr="00541F66">
        <w:rPr>
          <w:rStyle w:val="eop"/>
          <w:color w:val="000000"/>
          <w:shd w:val="clear" w:color="auto" w:fill="FFFFFF"/>
        </w:rPr>
        <w:t> </w:t>
      </w:r>
      <w:r w:rsidRPr="00541F66">
        <w:rPr>
          <w:b/>
          <w:bCs/>
        </w:rPr>
        <w:t xml:space="preserve"> </w:t>
      </w:r>
    </w:p>
    <w:p w14:paraId="527F026F" w14:textId="08D133A7" w:rsidR="009414C6" w:rsidRDefault="009414C6" w:rsidP="006D7DE6">
      <w:pPr>
        <w:pStyle w:val="BodyTextFirstIndent"/>
      </w:pPr>
      <w:r>
        <w:fldChar w:fldCharType="begin"/>
      </w:r>
      <w:r>
        <w:instrText xml:space="preserve"> REF _Ref173009757 \h </w:instrText>
      </w:r>
      <w:r>
        <w:fldChar w:fldCharType="separate"/>
      </w:r>
      <w:r w:rsidR="00307850">
        <w:t xml:space="preserve">Table </w:t>
      </w:r>
      <w:r w:rsidR="00307850">
        <w:rPr>
          <w:noProof/>
        </w:rPr>
        <w:t>47</w:t>
      </w:r>
      <w:r>
        <w:fldChar w:fldCharType="end"/>
      </w:r>
      <w:r w:rsidRPr="00696F40">
        <w:t xml:space="preserve"> summarizes the statutes, regulations, and performance standards related to optimizing water efficiency in schools.</w:t>
      </w:r>
    </w:p>
    <w:p w14:paraId="6D8D40BA" w14:textId="541337CE" w:rsidR="009414C6" w:rsidRPr="00696F40" w:rsidRDefault="009414C6" w:rsidP="00B30C96">
      <w:pPr>
        <w:pStyle w:val="Caption"/>
      </w:pPr>
      <w:bookmarkStart w:id="458" w:name="_Ref173009757"/>
      <w:bookmarkStart w:id="459" w:name="_Toc192711713"/>
      <w:bookmarkStart w:id="460" w:name="_Toc193112595"/>
      <w:bookmarkStart w:id="461" w:name="_Toc193116994"/>
      <w:r>
        <w:lastRenderedPageBreak/>
        <w:t xml:space="preserve">Table </w:t>
      </w:r>
      <w:fldSimple w:instr=" SEQ Table \* ARABIC ">
        <w:r w:rsidR="00307850">
          <w:rPr>
            <w:noProof/>
          </w:rPr>
          <w:t>47</w:t>
        </w:r>
      </w:fldSimple>
      <w:bookmarkEnd w:id="458"/>
      <w:r>
        <w:t xml:space="preserve">. </w:t>
      </w:r>
      <w:r w:rsidRPr="00716FA0">
        <w:t xml:space="preserve">Statutory/Regulatory Framework and Notable Standards </w:t>
      </w:r>
      <w:r>
        <w:t>for</w:t>
      </w:r>
      <w:r w:rsidRPr="00716FA0">
        <w:t xml:space="preserve"> </w:t>
      </w:r>
      <w:r>
        <w:t>Optimizing Water Efficiency in Schools</w:t>
      </w:r>
      <w:bookmarkEnd w:id="459"/>
      <w:bookmarkEnd w:id="460"/>
      <w:bookmarkEnd w:id="461"/>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optimizing water efficiency. "/>
      </w:tblPr>
      <w:tblGrid>
        <w:gridCol w:w="6565"/>
        <w:gridCol w:w="928"/>
        <w:gridCol w:w="928"/>
        <w:gridCol w:w="929"/>
      </w:tblGrid>
      <w:tr w:rsidR="009414C6" w:rsidRPr="00C8094D" w14:paraId="5B091BE6" w14:textId="77777777">
        <w:trPr>
          <w:cantSplit/>
          <w:trHeight w:val="1979"/>
          <w:tblHeader/>
          <w:jc w:val="center"/>
        </w:trPr>
        <w:tc>
          <w:tcPr>
            <w:tcW w:w="3511"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5EF908B1" w14:textId="77777777" w:rsidR="009414C6" w:rsidRDefault="009414C6">
            <w:pPr>
              <w:pStyle w:val="TableColumnHeader"/>
            </w:pPr>
            <w:r>
              <w:t>Statute/Regulation/Standard</w:t>
            </w:r>
          </w:p>
        </w:tc>
        <w:tc>
          <w:tcPr>
            <w:tcW w:w="496"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12CF6883" w14:textId="77777777" w:rsidR="009414C6" w:rsidRDefault="009414C6">
            <w:pPr>
              <w:pStyle w:val="TableColumnHeader"/>
              <w:jc w:val="left"/>
            </w:pPr>
            <w:r>
              <w:t>State</w:t>
            </w:r>
            <w:r w:rsidRPr="00E11392">
              <w:t xml:space="preserve"> Statute/ Regulation</w:t>
            </w:r>
          </w:p>
        </w:tc>
        <w:tc>
          <w:tcPr>
            <w:tcW w:w="496"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9E926E2" w14:textId="77777777" w:rsidR="009414C6" w:rsidRDefault="009414C6">
            <w:pPr>
              <w:pStyle w:val="TableColumnHeader"/>
              <w:jc w:val="left"/>
            </w:pPr>
            <w:r>
              <w:t>Other</w:t>
            </w:r>
            <w:r w:rsidRPr="00E11392">
              <w:t xml:space="preserve"> Statute/ Regulation</w:t>
            </w:r>
          </w:p>
        </w:tc>
        <w:tc>
          <w:tcPr>
            <w:tcW w:w="497"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08575E8" w14:textId="77777777" w:rsidR="009414C6" w:rsidRDefault="009414C6">
            <w:pPr>
              <w:pStyle w:val="TableColumnHeader"/>
              <w:jc w:val="left"/>
            </w:pPr>
            <w:r w:rsidRPr="00E11392">
              <w:t>Standard</w:t>
            </w:r>
          </w:p>
        </w:tc>
      </w:tr>
      <w:tr w:rsidR="009414C6" w:rsidRPr="00C8094D" w14:paraId="594515EA"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07801F80" w14:textId="77777777" w:rsidR="009414C6" w:rsidRPr="00DF667B" w:rsidRDefault="009414C6">
            <w:pPr>
              <w:pStyle w:val="TableRowHeader"/>
            </w:pPr>
            <w:r>
              <w:t>Statutes</w:t>
            </w:r>
          </w:p>
        </w:tc>
      </w:tr>
      <w:tr w:rsidR="009414C6" w:rsidRPr="00C8094D" w14:paraId="0D284042"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4A66967D" w14:textId="77777777" w:rsidR="009414C6" w:rsidRPr="004561EA" w:rsidRDefault="009414C6">
            <w:pPr>
              <w:pStyle w:val="TableText"/>
            </w:pPr>
            <w:r w:rsidRPr="004561EA">
              <w:t>Act of 2021 Chapter 8, Section 51: An Act Creating a Next-Generation Roadmap for Massachusetts Climate Policy</w:t>
            </w:r>
          </w:p>
        </w:tc>
        <w:tc>
          <w:tcPr>
            <w:tcW w:w="496" w:type="pct"/>
            <w:tcBorders>
              <w:top w:val="nil"/>
              <w:left w:val="single" w:sz="4" w:space="0" w:color="auto"/>
              <w:bottom w:val="single" w:sz="4" w:space="0" w:color="auto"/>
              <w:right w:val="single" w:sz="4" w:space="0" w:color="auto"/>
            </w:tcBorders>
            <w:shd w:val="clear" w:color="auto" w:fill="auto"/>
            <w:vAlign w:val="center"/>
          </w:tcPr>
          <w:p w14:paraId="5CA80323"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348D4BBA" w14:textId="77777777" w:rsidR="009414C6" w:rsidRPr="004561EA" w:rsidRDefault="009414C6">
            <w:pPr>
              <w:jc w:val="center"/>
              <w:rPr>
                <w:rFonts w:ascii="Arial" w:hAnsi="Arial" w:cs="Arial"/>
                <w:b/>
                <w:bCs/>
                <w:color w:val="00B050"/>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2B9EFBA2" w14:textId="77777777" w:rsidR="009414C6" w:rsidRPr="004561EA" w:rsidRDefault="009414C6">
            <w:pPr>
              <w:jc w:val="center"/>
              <w:rPr>
                <w:rFonts w:ascii="Arial" w:hAnsi="Arial" w:cs="Arial"/>
                <w:b/>
                <w:bCs/>
                <w:sz w:val="24"/>
              </w:rPr>
            </w:pPr>
          </w:p>
        </w:tc>
      </w:tr>
      <w:tr w:rsidR="009414C6" w:rsidRPr="00C8094D" w14:paraId="7F37E123"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5C35E59D" w14:textId="77777777" w:rsidR="009414C6" w:rsidRPr="004561EA" w:rsidRDefault="009414C6">
            <w:pPr>
              <w:pStyle w:val="TableText"/>
            </w:pPr>
            <w:r w:rsidRPr="004561EA">
              <w:t>M.G.L</w:t>
            </w:r>
            <w:r>
              <w:t>.</w:t>
            </w:r>
            <w:r w:rsidRPr="004561EA">
              <w:t xml:space="preserve"> c</w:t>
            </w:r>
            <w:r>
              <w:t>.</w:t>
            </w:r>
            <w:r w:rsidRPr="004561EA">
              <w:t xml:space="preserve"> 25B, §§ 3-10: Massachusetts Appliance Efficiency Standards Act</w:t>
            </w:r>
          </w:p>
        </w:tc>
        <w:tc>
          <w:tcPr>
            <w:tcW w:w="496" w:type="pct"/>
            <w:tcBorders>
              <w:top w:val="nil"/>
              <w:left w:val="single" w:sz="4" w:space="0" w:color="auto"/>
              <w:bottom w:val="single" w:sz="4" w:space="0" w:color="auto"/>
              <w:right w:val="single" w:sz="4" w:space="0" w:color="auto"/>
            </w:tcBorders>
            <w:shd w:val="clear" w:color="auto" w:fill="auto"/>
            <w:vAlign w:val="center"/>
          </w:tcPr>
          <w:p w14:paraId="1AB6965F"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69B38849" w14:textId="77777777" w:rsidR="009414C6" w:rsidRPr="004561EA" w:rsidRDefault="009414C6">
            <w:pPr>
              <w:jc w:val="center"/>
              <w:rPr>
                <w:rFonts w:ascii="Arial" w:hAnsi="Arial" w:cs="Arial"/>
                <w:b/>
                <w:bCs/>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27804731" w14:textId="77777777" w:rsidR="009414C6" w:rsidRPr="004561EA" w:rsidRDefault="009414C6">
            <w:pPr>
              <w:jc w:val="center"/>
              <w:rPr>
                <w:rFonts w:ascii="Arial" w:hAnsi="Arial" w:cs="Arial"/>
                <w:b/>
                <w:bCs/>
                <w:sz w:val="24"/>
              </w:rPr>
            </w:pPr>
          </w:p>
        </w:tc>
      </w:tr>
      <w:tr w:rsidR="009414C6" w:rsidRPr="00C8094D" w14:paraId="55E3AE5F"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1DC500B7" w14:textId="77777777" w:rsidR="009414C6" w:rsidRPr="004561EA" w:rsidRDefault="009414C6">
            <w:pPr>
              <w:pStyle w:val="TableText"/>
            </w:pPr>
            <w:r w:rsidRPr="004561EA">
              <w:t>M.G.L</w:t>
            </w:r>
            <w:r>
              <w:t>.</w:t>
            </w:r>
            <w:r w:rsidRPr="004561EA">
              <w:t xml:space="preserve"> c</w:t>
            </w:r>
            <w:r>
              <w:t>.</w:t>
            </w:r>
            <w:r w:rsidRPr="004561EA">
              <w:t xml:space="preserve"> 21 § 67: System Interruption Devices Requirement for New Irrigation Systems</w:t>
            </w:r>
          </w:p>
        </w:tc>
        <w:tc>
          <w:tcPr>
            <w:tcW w:w="496" w:type="pct"/>
            <w:tcBorders>
              <w:top w:val="nil"/>
              <w:left w:val="single" w:sz="4" w:space="0" w:color="auto"/>
              <w:bottom w:val="single" w:sz="4" w:space="0" w:color="auto"/>
              <w:right w:val="single" w:sz="4" w:space="0" w:color="auto"/>
            </w:tcBorders>
            <w:shd w:val="clear" w:color="auto" w:fill="auto"/>
            <w:vAlign w:val="center"/>
          </w:tcPr>
          <w:p w14:paraId="29B92FD8"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406D3042" w14:textId="77777777" w:rsidR="009414C6" w:rsidRPr="004561EA" w:rsidRDefault="009414C6">
            <w:pPr>
              <w:jc w:val="center"/>
              <w:rPr>
                <w:rFonts w:ascii="Arial" w:hAnsi="Arial" w:cs="Arial"/>
                <w:b/>
                <w:bCs/>
                <w:color w:val="00B050"/>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37E1360F" w14:textId="77777777" w:rsidR="009414C6" w:rsidRPr="004561EA" w:rsidRDefault="009414C6">
            <w:pPr>
              <w:jc w:val="center"/>
              <w:rPr>
                <w:rFonts w:ascii="Arial" w:hAnsi="Arial" w:cs="Arial"/>
                <w:b/>
                <w:bCs/>
                <w:sz w:val="24"/>
              </w:rPr>
            </w:pPr>
          </w:p>
        </w:tc>
      </w:tr>
      <w:tr w:rsidR="009414C6" w:rsidRPr="00C8094D" w14:paraId="5289E2A5"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1AA552F2" w14:textId="77777777" w:rsidR="009414C6" w:rsidRPr="004561EA" w:rsidRDefault="009414C6">
            <w:pPr>
              <w:pStyle w:val="TableText"/>
            </w:pPr>
            <w:r w:rsidRPr="004561EA">
              <w:t>M.G.L</w:t>
            </w:r>
            <w:r>
              <w:t>.</w:t>
            </w:r>
            <w:r w:rsidRPr="004561EA">
              <w:t xml:space="preserve"> c</w:t>
            </w:r>
            <w:r>
              <w:t>.</w:t>
            </w:r>
            <w:r w:rsidRPr="004561EA">
              <w:t xml:space="preserve"> 21G: The Water Management Act</w:t>
            </w:r>
          </w:p>
        </w:tc>
        <w:tc>
          <w:tcPr>
            <w:tcW w:w="496" w:type="pct"/>
            <w:tcBorders>
              <w:top w:val="nil"/>
              <w:left w:val="single" w:sz="4" w:space="0" w:color="auto"/>
              <w:bottom w:val="single" w:sz="4" w:space="0" w:color="auto"/>
              <w:right w:val="single" w:sz="4" w:space="0" w:color="auto"/>
            </w:tcBorders>
            <w:shd w:val="clear" w:color="auto" w:fill="auto"/>
            <w:vAlign w:val="center"/>
          </w:tcPr>
          <w:p w14:paraId="536BDEFC"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6C5657EA" w14:textId="77777777" w:rsidR="009414C6" w:rsidRPr="004561EA" w:rsidRDefault="009414C6">
            <w:pPr>
              <w:jc w:val="center"/>
              <w:rPr>
                <w:rFonts w:ascii="Arial" w:hAnsi="Arial" w:cs="Arial"/>
                <w:b/>
                <w:bCs/>
                <w:color w:val="00B050"/>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47779B34" w14:textId="77777777" w:rsidR="009414C6" w:rsidRPr="004561EA" w:rsidRDefault="009414C6">
            <w:pPr>
              <w:jc w:val="center"/>
              <w:rPr>
                <w:rFonts w:ascii="Arial" w:hAnsi="Arial" w:cs="Arial"/>
                <w:b/>
                <w:bCs/>
                <w:sz w:val="24"/>
              </w:rPr>
            </w:pPr>
          </w:p>
        </w:tc>
      </w:tr>
      <w:tr w:rsidR="009414C6" w:rsidRPr="00C8094D" w14:paraId="3F165688"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0EC8BC18" w14:textId="77777777" w:rsidR="009414C6" w:rsidRPr="004561EA" w:rsidRDefault="009414C6">
            <w:pPr>
              <w:pStyle w:val="TableText"/>
            </w:pPr>
            <w:r w:rsidRPr="004561EA">
              <w:t>Energy Policy Act of 2005, Public Law 109-58</w:t>
            </w:r>
          </w:p>
        </w:tc>
        <w:tc>
          <w:tcPr>
            <w:tcW w:w="496" w:type="pct"/>
            <w:tcBorders>
              <w:top w:val="nil"/>
              <w:left w:val="single" w:sz="4" w:space="0" w:color="auto"/>
              <w:bottom w:val="single" w:sz="4" w:space="0" w:color="auto"/>
              <w:right w:val="single" w:sz="4" w:space="0" w:color="auto"/>
            </w:tcBorders>
            <w:shd w:val="clear" w:color="auto" w:fill="auto"/>
            <w:vAlign w:val="center"/>
          </w:tcPr>
          <w:p w14:paraId="45E4AAA0" w14:textId="77777777" w:rsidR="009414C6" w:rsidRPr="004561EA" w:rsidRDefault="009414C6">
            <w:pPr>
              <w:jc w:val="center"/>
              <w:rPr>
                <w:rFonts w:ascii="Arial" w:hAnsi="Arial" w:cs="Arial"/>
                <w:b/>
                <w:bCs/>
                <w:sz w:val="24"/>
              </w:rPr>
            </w:pPr>
          </w:p>
        </w:tc>
        <w:tc>
          <w:tcPr>
            <w:tcW w:w="496" w:type="pct"/>
            <w:tcBorders>
              <w:top w:val="nil"/>
              <w:left w:val="single" w:sz="4" w:space="0" w:color="auto"/>
              <w:bottom w:val="single" w:sz="4" w:space="0" w:color="auto"/>
              <w:right w:val="single" w:sz="4" w:space="0" w:color="auto"/>
            </w:tcBorders>
            <w:shd w:val="clear" w:color="auto" w:fill="auto"/>
            <w:vAlign w:val="center"/>
          </w:tcPr>
          <w:p w14:paraId="7072A805"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c>
          <w:tcPr>
            <w:tcW w:w="497" w:type="pct"/>
            <w:tcBorders>
              <w:top w:val="nil"/>
              <w:left w:val="single" w:sz="4" w:space="0" w:color="auto"/>
              <w:bottom w:val="single" w:sz="4" w:space="0" w:color="auto"/>
              <w:right w:val="single" w:sz="4" w:space="0" w:color="auto"/>
            </w:tcBorders>
            <w:shd w:val="clear" w:color="auto" w:fill="auto"/>
            <w:vAlign w:val="center"/>
          </w:tcPr>
          <w:p w14:paraId="79A4B73B" w14:textId="77777777" w:rsidR="009414C6" w:rsidRPr="004561EA" w:rsidRDefault="009414C6">
            <w:pPr>
              <w:jc w:val="center"/>
              <w:rPr>
                <w:rFonts w:ascii="Arial" w:hAnsi="Arial" w:cs="Arial"/>
                <w:b/>
                <w:bCs/>
                <w:sz w:val="24"/>
              </w:rPr>
            </w:pPr>
          </w:p>
        </w:tc>
      </w:tr>
      <w:tr w:rsidR="009414C6" w:rsidRPr="00C8094D" w14:paraId="164B280B"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702823C" w14:textId="77777777" w:rsidR="009414C6" w:rsidRPr="004561EA" w:rsidRDefault="009414C6">
            <w:pPr>
              <w:pStyle w:val="TableRowHeader"/>
            </w:pPr>
            <w:r w:rsidRPr="004561EA">
              <w:t>Regulations</w:t>
            </w:r>
          </w:p>
        </w:tc>
      </w:tr>
      <w:tr w:rsidR="009414C6" w:rsidRPr="00C8094D" w14:paraId="11092216"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5C4BE538" w14:textId="77777777" w:rsidR="009414C6" w:rsidRPr="004C35E6" w:rsidRDefault="009414C6">
            <w:pPr>
              <w:pStyle w:val="TableText"/>
            </w:pPr>
            <w:r w:rsidRPr="004C35E6">
              <w:t>225 CMR 9.00: Appliance Energy-Efficiency Standards, Testing and Certification Program</w:t>
            </w:r>
          </w:p>
        </w:tc>
        <w:tc>
          <w:tcPr>
            <w:tcW w:w="496" w:type="pct"/>
            <w:tcBorders>
              <w:top w:val="nil"/>
              <w:left w:val="single" w:sz="4" w:space="0" w:color="auto"/>
              <w:bottom w:val="single" w:sz="4" w:space="0" w:color="auto"/>
              <w:right w:val="single" w:sz="4" w:space="0" w:color="auto"/>
            </w:tcBorders>
            <w:shd w:val="clear" w:color="auto" w:fill="auto"/>
            <w:vAlign w:val="center"/>
          </w:tcPr>
          <w:p w14:paraId="66A56A29"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72E69868" w14:textId="77777777" w:rsidR="009414C6" w:rsidRPr="004561EA" w:rsidRDefault="009414C6">
            <w:pPr>
              <w:jc w:val="center"/>
              <w:rPr>
                <w:rFonts w:ascii="Arial" w:hAnsi="Arial" w:cs="Arial"/>
                <w:b/>
                <w:bCs/>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1371D51B" w14:textId="77777777" w:rsidR="009414C6" w:rsidRPr="004561EA" w:rsidRDefault="009414C6">
            <w:pPr>
              <w:jc w:val="center"/>
              <w:rPr>
                <w:rFonts w:ascii="Arial" w:hAnsi="Arial" w:cs="Arial"/>
                <w:b/>
                <w:bCs/>
                <w:sz w:val="24"/>
              </w:rPr>
            </w:pPr>
          </w:p>
        </w:tc>
      </w:tr>
      <w:tr w:rsidR="009414C6" w:rsidRPr="00C8094D" w14:paraId="1AB8BA58"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266D5F17" w14:textId="77777777" w:rsidR="009414C6" w:rsidRPr="004C35E6" w:rsidRDefault="009414C6">
            <w:pPr>
              <w:pStyle w:val="TableText"/>
            </w:pPr>
            <w:r w:rsidRPr="004C35E6">
              <w:t>248 CMR 10.00: Uniform State Plumbing Code</w:t>
            </w:r>
          </w:p>
        </w:tc>
        <w:tc>
          <w:tcPr>
            <w:tcW w:w="496" w:type="pct"/>
            <w:tcBorders>
              <w:top w:val="nil"/>
              <w:left w:val="single" w:sz="4" w:space="0" w:color="auto"/>
              <w:bottom w:val="single" w:sz="4" w:space="0" w:color="auto"/>
              <w:right w:val="single" w:sz="4" w:space="0" w:color="auto"/>
            </w:tcBorders>
            <w:shd w:val="clear" w:color="auto" w:fill="auto"/>
            <w:vAlign w:val="center"/>
          </w:tcPr>
          <w:p w14:paraId="4CE5B891"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23E669E5" w14:textId="77777777" w:rsidR="009414C6" w:rsidRPr="004561EA" w:rsidRDefault="009414C6">
            <w:pPr>
              <w:jc w:val="center"/>
              <w:rPr>
                <w:rFonts w:ascii="Arial" w:hAnsi="Arial" w:cs="Arial"/>
                <w:b/>
                <w:bCs/>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59793A26" w14:textId="77777777" w:rsidR="009414C6" w:rsidRPr="004561EA" w:rsidRDefault="009414C6">
            <w:pPr>
              <w:jc w:val="center"/>
              <w:rPr>
                <w:rFonts w:ascii="Arial" w:hAnsi="Arial" w:cs="Arial"/>
                <w:b/>
                <w:bCs/>
                <w:sz w:val="24"/>
              </w:rPr>
            </w:pPr>
          </w:p>
        </w:tc>
      </w:tr>
      <w:tr w:rsidR="009414C6" w:rsidRPr="00C8094D" w14:paraId="0A320BCD"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3BD18315" w14:textId="77777777" w:rsidR="009414C6" w:rsidRPr="004C35E6" w:rsidRDefault="009414C6">
            <w:pPr>
              <w:pStyle w:val="TableText"/>
            </w:pPr>
            <w:r w:rsidRPr="004C35E6">
              <w:t>310 CMR 36.00: The Water Management Act Regulations</w:t>
            </w:r>
          </w:p>
        </w:tc>
        <w:tc>
          <w:tcPr>
            <w:tcW w:w="496" w:type="pct"/>
            <w:tcBorders>
              <w:top w:val="nil"/>
              <w:left w:val="single" w:sz="4" w:space="0" w:color="auto"/>
              <w:bottom w:val="single" w:sz="4" w:space="0" w:color="auto"/>
              <w:right w:val="single" w:sz="4" w:space="0" w:color="auto"/>
            </w:tcBorders>
            <w:shd w:val="clear" w:color="auto" w:fill="auto"/>
            <w:vAlign w:val="center"/>
          </w:tcPr>
          <w:p w14:paraId="6F9E908C" w14:textId="77777777" w:rsidR="009414C6" w:rsidRPr="004561EA" w:rsidRDefault="009414C6">
            <w:pPr>
              <w:jc w:val="center"/>
              <w:rPr>
                <w:rFonts w:ascii="Arial" w:hAnsi="Arial" w:cs="Arial"/>
                <w:b/>
                <w:bCs/>
                <w:sz w:val="24"/>
              </w:rPr>
            </w:pPr>
            <w:r w:rsidRPr="004561EA">
              <w:rPr>
                <w:rFonts w:ascii="Arial" w:hAnsi="Arial" w:cs="Arial"/>
                <w:b/>
                <w:bCs/>
                <w:color w:val="00B050"/>
                <w:sz w:val="24"/>
              </w:rPr>
              <w:t>X</w:t>
            </w:r>
          </w:p>
        </w:tc>
        <w:tc>
          <w:tcPr>
            <w:tcW w:w="496" w:type="pct"/>
            <w:tcBorders>
              <w:top w:val="nil"/>
              <w:left w:val="single" w:sz="4" w:space="0" w:color="auto"/>
              <w:bottom w:val="single" w:sz="4" w:space="0" w:color="auto"/>
              <w:right w:val="single" w:sz="4" w:space="0" w:color="auto"/>
            </w:tcBorders>
            <w:shd w:val="clear" w:color="auto" w:fill="auto"/>
            <w:vAlign w:val="center"/>
          </w:tcPr>
          <w:p w14:paraId="311C357C" w14:textId="77777777" w:rsidR="009414C6" w:rsidRPr="004561EA" w:rsidRDefault="009414C6">
            <w:pPr>
              <w:jc w:val="center"/>
              <w:rPr>
                <w:rFonts w:ascii="Arial" w:hAnsi="Arial" w:cs="Arial"/>
                <w:b/>
                <w:bCs/>
                <w:color w:val="00B050"/>
                <w:sz w:val="24"/>
              </w:rPr>
            </w:pPr>
          </w:p>
        </w:tc>
        <w:tc>
          <w:tcPr>
            <w:tcW w:w="497" w:type="pct"/>
            <w:tcBorders>
              <w:top w:val="nil"/>
              <w:left w:val="single" w:sz="4" w:space="0" w:color="auto"/>
              <w:bottom w:val="single" w:sz="4" w:space="0" w:color="auto"/>
              <w:right w:val="single" w:sz="4" w:space="0" w:color="auto"/>
            </w:tcBorders>
            <w:shd w:val="clear" w:color="auto" w:fill="auto"/>
            <w:vAlign w:val="center"/>
          </w:tcPr>
          <w:p w14:paraId="223C9BCF" w14:textId="77777777" w:rsidR="009414C6" w:rsidRPr="004561EA" w:rsidRDefault="009414C6">
            <w:pPr>
              <w:jc w:val="center"/>
              <w:rPr>
                <w:rFonts w:ascii="Arial" w:hAnsi="Arial" w:cs="Arial"/>
                <w:b/>
                <w:bCs/>
                <w:sz w:val="24"/>
              </w:rPr>
            </w:pPr>
          </w:p>
        </w:tc>
      </w:tr>
      <w:tr w:rsidR="009414C6" w:rsidRPr="00C8094D" w14:paraId="3DDE7C05"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3CFB6268" w14:textId="77777777" w:rsidR="009414C6" w:rsidRPr="004E1CB7" w:rsidRDefault="009414C6">
            <w:pPr>
              <w:pStyle w:val="TableText"/>
            </w:pPr>
            <w:r w:rsidRPr="004E1CB7">
              <w:t>CFR Title 10, Chapter II, Part 429 and 431—Energy Conservation Program: Energy Conservation Standards for Commercial Prerinse Spray Valves</w:t>
            </w:r>
          </w:p>
        </w:tc>
        <w:tc>
          <w:tcPr>
            <w:tcW w:w="496" w:type="pct"/>
            <w:tcBorders>
              <w:top w:val="nil"/>
              <w:left w:val="single" w:sz="4" w:space="0" w:color="auto"/>
              <w:bottom w:val="single" w:sz="4" w:space="0" w:color="auto"/>
              <w:right w:val="single" w:sz="4" w:space="0" w:color="auto"/>
            </w:tcBorders>
            <w:shd w:val="clear" w:color="auto" w:fill="auto"/>
            <w:vAlign w:val="center"/>
          </w:tcPr>
          <w:p w14:paraId="12FB0CB2" w14:textId="77777777" w:rsidR="009414C6" w:rsidRPr="004561EA" w:rsidRDefault="009414C6">
            <w:pPr>
              <w:jc w:val="center"/>
              <w:rPr>
                <w:rFonts w:ascii="Arial" w:hAnsi="Arial" w:cs="Arial"/>
                <w:b/>
                <w:bCs/>
                <w:sz w:val="24"/>
              </w:rPr>
            </w:pPr>
          </w:p>
        </w:tc>
        <w:tc>
          <w:tcPr>
            <w:tcW w:w="496" w:type="pct"/>
            <w:tcBorders>
              <w:top w:val="nil"/>
              <w:left w:val="single" w:sz="4" w:space="0" w:color="auto"/>
              <w:bottom w:val="single" w:sz="4" w:space="0" w:color="auto"/>
              <w:right w:val="single" w:sz="4" w:space="0" w:color="auto"/>
            </w:tcBorders>
            <w:shd w:val="clear" w:color="auto" w:fill="auto"/>
            <w:vAlign w:val="center"/>
          </w:tcPr>
          <w:p w14:paraId="4422C522"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c>
          <w:tcPr>
            <w:tcW w:w="497" w:type="pct"/>
            <w:tcBorders>
              <w:top w:val="nil"/>
              <w:left w:val="single" w:sz="4" w:space="0" w:color="auto"/>
              <w:bottom w:val="single" w:sz="4" w:space="0" w:color="auto"/>
              <w:right w:val="single" w:sz="4" w:space="0" w:color="auto"/>
            </w:tcBorders>
            <w:shd w:val="clear" w:color="auto" w:fill="auto"/>
            <w:vAlign w:val="center"/>
          </w:tcPr>
          <w:p w14:paraId="04F1733C" w14:textId="77777777" w:rsidR="009414C6" w:rsidRPr="004561EA" w:rsidRDefault="009414C6">
            <w:pPr>
              <w:jc w:val="center"/>
              <w:rPr>
                <w:rFonts w:ascii="Arial" w:hAnsi="Arial" w:cs="Arial"/>
                <w:b/>
                <w:bCs/>
                <w:sz w:val="24"/>
              </w:rPr>
            </w:pPr>
          </w:p>
        </w:tc>
      </w:tr>
      <w:tr w:rsidR="009414C6" w:rsidRPr="00C8094D" w14:paraId="2E31C722"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1B48A0A3" w14:textId="77777777" w:rsidR="009414C6" w:rsidRPr="004E1CB7" w:rsidRDefault="009414C6">
            <w:pPr>
              <w:pStyle w:val="TableText"/>
            </w:pPr>
            <w:r w:rsidRPr="004E1CB7">
              <w:t>CFR Title 10, Chapter II, Part 430—Energy Conservation Program for Consumer Products</w:t>
            </w:r>
          </w:p>
        </w:tc>
        <w:tc>
          <w:tcPr>
            <w:tcW w:w="496" w:type="pct"/>
            <w:tcBorders>
              <w:top w:val="nil"/>
              <w:left w:val="single" w:sz="4" w:space="0" w:color="auto"/>
              <w:bottom w:val="single" w:sz="4" w:space="0" w:color="auto"/>
              <w:right w:val="single" w:sz="4" w:space="0" w:color="auto"/>
            </w:tcBorders>
            <w:shd w:val="clear" w:color="auto" w:fill="auto"/>
            <w:vAlign w:val="center"/>
          </w:tcPr>
          <w:p w14:paraId="4C47585E" w14:textId="77777777" w:rsidR="009414C6" w:rsidRPr="004561EA" w:rsidRDefault="009414C6">
            <w:pPr>
              <w:jc w:val="center"/>
              <w:rPr>
                <w:rFonts w:ascii="Arial" w:hAnsi="Arial" w:cs="Arial"/>
                <w:b/>
                <w:bCs/>
                <w:sz w:val="24"/>
              </w:rPr>
            </w:pPr>
          </w:p>
        </w:tc>
        <w:tc>
          <w:tcPr>
            <w:tcW w:w="496" w:type="pct"/>
            <w:tcBorders>
              <w:top w:val="nil"/>
              <w:left w:val="single" w:sz="4" w:space="0" w:color="auto"/>
              <w:bottom w:val="single" w:sz="4" w:space="0" w:color="auto"/>
              <w:right w:val="single" w:sz="4" w:space="0" w:color="auto"/>
            </w:tcBorders>
            <w:shd w:val="clear" w:color="auto" w:fill="auto"/>
            <w:vAlign w:val="center"/>
          </w:tcPr>
          <w:p w14:paraId="6815EF1B"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c>
          <w:tcPr>
            <w:tcW w:w="497" w:type="pct"/>
            <w:tcBorders>
              <w:top w:val="nil"/>
              <w:left w:val="single" w:sz="4" w:space="0" w:color="auto"/>
              <w:bottom w:val="single" w:sz="4" w:space="0" w:color="auto"/>
              <w:right w:val="single" w:sz="4" w:space="0" w:color="auto"/>
            </w:tcBorders>
            <w:shd w:val="clear" w:color="auto" w:fill="auto"/>
            <w:vAlign w:val="center"/>
          </w:tcPr>
          <w:p w14:paraId="2C82BA4C" w14:textId="77777777" w:rsidR="009414C6" w:rsidRPr="004561EA" w:rsidRDefault="009414C6">
            <w:pPr>
              <w:jc w:val="center"/>
              <w:rPr>
                <w:rFonts w:ascii="Arial" w:hAnsi="Arial" w:cs="Arial"/>
                <w:b/>
                <w:bCs/>
                <w:sz w:val="24"/>
              </w:rPr>
            </w:pPr>
          </w:p>
        </w:tc>
      </w:tr>
      <w:tr w:rsidR="009414C6" w:rsidRPr="00C8094D" w14:paraId="04A473DC"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46B12ECE" w14:textId="77777777" w:rsidR="009414C6" w:rsidRPr="004E1CB7" w:rsidRDefault="009414C6">
            <w:pPr>
              <w:pStyle w:val="TableText"/>
            </w:pPr>
            <w:r w:rsidRPr="004E1CB7">
              <w:t>CFR Title 10, Chapter II, Part 431—Energy Efficiency Program for Certain Commercial and Industrial Equipment</w:t>
            </w:r>
          </w:p>
        </w:tc>
        <w:tc>
          <w:tcPr>
            <w:tcW w:w="496" w:type="pct"/>
            <w:tcBorders>
              <w:top w:val="nil"/>
              <w:left w:val="single" w:sz="4" w:space="0" w:color="auto"/>
              <w:bottom w:val="single" w:sz="4" w:space="0" w:color="auto"/>
              <w:right w:val="single" w:sz="4" w:space="0" w:color="auto"/>
            </w:tcBorders>
            <w:shd w:val="clear" w:color="auto" w:fill="auto"/>
            <w:vAlign w:val="center"/>
          </w:tcPr>
          <w:p w14:paraId="165D6B4E" w14:textId="77777777" w:rsidR="009414C6" w:rsidRPr="004561EA" w:rsidRDefault="009414C6">
            <w:pPr>
              <w:jc w:val="center"/>
              <w:rPr>
                <w:rFonts w:ascii="Arial" w:hAnsi="Arial" w:cs="Arial"/>
                <w:b/>
                <w:bCs/>
                <w:sz w:val="24"/>
              </w:rPr>
            </w:pPr>
          </w:p>
        </w:tc>
        <w:tc>
          <w:tcPr>
            <w:tcW w:w="496" w:type="pct"/>
            <w:tcBorders>
              <w:top w:val="nil"/>
              <w:left w:val="single" w:sz="4" w:space="0" w:color="auto"/>
              <w:bottom w:val="single" w:sz="4" w:space="0" w:color="auto"/>
              <w:right w:val="single" w:sz="4" w:space="0" w:color="auto"/>
            </w:tcBorders>
            <w:shd w:val="clear" w:color="auto" w:fill="auto"/>
            <w:vAlign w:val="center"/>
          </w:tcPr>
          <w:p w14:paraId="18EA5A58"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c>
          <w:tcPr>
            <w:tcW w:w="497" w:type="pct"/>
            <w:tcBorders>
              <w:top w:val="nil"/>
              <w:left w:val="single" w:sz="4" w:space="0" w:color="auto"/>
              <w:bottom w:val="single" w:sz="4" w:space="0" w:color="auto"/>
              <w:right w:val="single" w:sz="4" w:space="0" w:color="auto"/>
            </w:tcBorders>
            <w:shd w:val="clear" w:color="auto" w:fill="auto"/>
            <w:vAlign w:val="center"/>
          </w:tcPr>
          <w:p w14:paraId="71988EA0" w14:textId="77777777" w:rsidR="009414C6" w:rsidRPr="004561EA" w:rsidRDefault="009414C6">
            <w:pPr>
              <w:jc w:val="center"/>
              <w:rPr>
                <w:rFonts w:ascii="Arial" w:hAnsi="Arial" w:cs="Arial"/>
                <w:b/>
                <w:bCs/>
                <w:sz w:val="24"/>
              </w:rPr>
            </w:pPr>
          </w:p>
        </w:tc>
      </w:tr>
      <w:tr w:rsidR="009414C6" w:rsidRPr="00C8094D" w14:paraId="1BC19440"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3FD6968" w14:textId="77777777" w:rsidR="009414C6" w:rsidRPr="004561EA" w:rsidRDefault="009414C6">
            <w:pPr>
              <w:pStyle w:val="TableRowHeader"/>
            </w:pPr>
            <w:r w:rsidRPr="004561EA">
              <w:t>Standards</w:t>
            </w:r>
          </w:p>
        </w:tc>
      </w:tr>
      <w:tr w:rsidR="009414C6" w:rsidRPr="00C8094D" w14:paraId="31CA01D3"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6C610A14" w14:textId="77777777" w:rsidR="009414C6" w:rsidRPr="00627657" w:rsidRDefault="009414C6">
            <w:pPr>
              <w:pStyle w:val="TableText"/>
            </w:pPr>
            <w:r>
              <w:t xml:space="preserve">Massachusetts </w:t>
            </w:r>
            <w:r w:rsidRPr="00A602A5">
              <w:t>Appliance Energy and Water Efficiency Standards</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1CC8F42" w14:textId="77777777" w:rsidR="009414C6" w:rsidRPr="004561EA" w:rsidRDefault="009414C6">
            <w:pPr>
              <w:jc w:val="center"/>
              <w:rPr>
                <w:rFonts w:ascii="Arial" w:hAnsi="Arial" w:cs="Arial"/>
                <w:b/>
                <w:bCs/>
                <w:color w:val="00B050"/>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FA0C9B0" w14:textId="77777777" w:rsidR="009414C6" w:rsidRPr="004561EA" w:rsidRDefault="009414C6">
            <w:pPr>
              <w:jc w:val="center"/>
              <w:rPr>
                <w:rFonts w:ascii="Arial" w:hAnsi="Arial" w:cs="Arial"/>
                <w:b/>
                <w:bCs/>
                <w:color w:val="00B050"/>
                <w:sz w:val="24"/>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66668A9"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r>
      <w:tr w:rsidR="009414C6" w:rsidRPr="00C8094D" w14:paraId="334FF5D6"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2DB4BABE" w14:textId="77777777" w:rsidR="009414C6" w:rsidRPr="00627657" w:rsidRDefault="009414C6">
            <w:pPr>
              <w:pStyle w:val="TableText"/>
            </w:pPr>
            <w:r w:rsidRPr="00A602A5">
              <w:t>Massachusetts Drought Management Plan Preparedness &amp; Response</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096CE29E" w14:textId="77777777" w:rsidR="009414C6" w:rsidRPr="004561EA" w:rsidRDefault="009414C6">
            <w:pPr>
              <w:jc w:val="center"/>
              <w:rPr>
                <w:rFonts w:ascii="Arial" w:hAnsi="Arial" w:cs="Arial"/>
                <w:b/>
                <w:bCs/>
                <w:color w:val="00B050"/>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313E87D7" w14:textId="77777777" w:rsidR="009414C6" w:rsidRPr="004561EA" w:rsidRDefault="009414C6">
            <w:pPr>
              <w:jc w:val="center"/>
              <w:rPr>
                <w:rFonts w:ascii="Arial" w:hAnsi="Arial" w:cs="Arial"/>
                <w:b/>
                <w:bCs/>
                <w:color w:val="00B050"/>
                <w:sz w:val="24"/>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6EDFEAC"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r>
      <w:tr w:rsidR="009414C6" w:rsidRPr="00C8094D" w14:paraId="35933D7B"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1D96D50E" w14:textId="77777777" w:rsidR="009414C6" w:rsidRPr="00627657" w:rsidRDefault="009414C6">
            <w:pPr>
              <w:pStyle w:val="TableText"/>
            </w:pPr>
            <w:r w:rsidRPr="00627657">
              <w:t>Massachusetts Water Conservation Standards (2018)</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3E784A69" w14:textId="77777777" w:rsidR="009414C6" w:rsidRPr="004561EA" w:rsidRDefault="009414C6">
            <w:pPr>
              <w:jc w:val="center"/>
              <w:rPr>
                <w:rFonts w:ascii="Arial" w:hAnsi="Arial" w:cs="Arial"/>
                <w:b/>
                <w:bCs/>
                <w:color w:val="00B050"/>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27CB6D32" w14:textId="77777777" w:rsidR="009414C6" w:rsidRPr="004561EA" w:rsidRDefault="009414C6">
            <w:pPr>
              <w:jc w:val="center"/>
              <w:rPr>
                <w:rFonts w:ascii="Arial" w:hAnsi="Arial" w:cs="Arial"/>
                <w:b/>
                <w:bCs/>
                <w:color w:val="00B050"/>
                <w:sz w:val="24"/>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228E2D8"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r>
      <w:tr w:rsidR="009414C6" w:rsidRPr="00C8094D" w14:paraId="771CEE30"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6CAA5652" w14:textId="77777777" w:rsidR="009414C6" w:rsidRPr="00627657" w:rsidRDefault="009414C6">
            <w:pPr>
              <w:pStyle w:val="TableText"/>
            </w:pPr>
            <w:r w:rsidRPr="00A602A5">
              <w:t>ANSI/ASABE S626: Landscape Irrigation System Uniformity and Application Rate Testing</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5DBE824C" w14:textId="77777777" w:rsidR="009414C6" w:rsidRPr="004561EA" w:rsidRDefault="009414C6">
            <w:pPr>
              <w:jc w:val="center"/>
              <w:rPr>
                <w:rFonts w:ascii="Arial" w:hAnsi="Arial" w:cs="Arial"/>
                <w:b/>
                <w:bCs/>
                <w:color w:val="00B050"/>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09976D9" w14:textId="77777777" w:rsidR="009414C6" w:rsidRPr="004561EA" w:rsidRDefault="009414C6">
            <w:pPr>
              <w:jc w:val="center"/>
              <w:rPr>
                <w:rFonts w:ascii="Arial" w:hAnsi="Arial" w:cs="Arial"/>
                <w:b/>
                <w:bCs/>
                <w:color w:val="00B050"/>
                <w:sz w:val="24"/>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A71497C"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r>
      <w:tr w:rsidR="009414C6" w:rsidRPr="00C8094D" w14:paraId="55CB35BF" w14:textId="77777777">
        <w:trPr>
          <w:cantSplit/>
          <w:trHeight w:val="255"/>
          <w:tblHeader/>
          <w:jc w:val="center"/>
        </w:trPr>
        <w:tc>
          <w:tcPr>
            <w:tcW w:w="3511" w:type="pct"/>
            <w:tcBorders>
              <w:top w:val="nil"/>
              <w:left w:val="single" w:sz="4" w:space="0" w:color="auto"/>
              <w:bottom w:val="single" w:sz="4" w:space="0" w:color="auto"/>
              <w:right w:val="single" w:sz="4" w:space="0" w:color="auto"/>
            </w:tcBorders>
            <w:shd w:val="clear" w:color="auto" w:fill="auto"/>
          </w:tcPr>
          <w:p w14:paraId="2BEAA6F8" w14:textId="77777777" w:rsidR="009414C6" w:rsidRPr="00627657" w:rsidRDefault="009414C6">
            <w:pPr>
              <w:pStyle w:val="TableText"/>
            </w:pPr>
            <w:r w:rsidRPr="00627657">
              <w:t>USGBC’s LEED v4.1 Building Design + Construction</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4143190" w14:textId="77777777" w:rsidR="009414C6" w:rsidRPr="004561EA" w:rsidRDefault="009414C6">
            <w:pPr>
              <w:jc w:val="center"/>
              <w:rPr>
                <w:rFonts w:ascii="Arial" w:hAnsi="Arial" w:cs="Arial"/>
                <w:b/>
                <w:bCs/>
                <w:color w:val="00B050"/>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5BE475D" w14:textId="77777777" w:rsidR="009414C6" w:rsidRPr="004561EA" w:rsidRDefault="009414C6">
            <w:pPr>
              <w:jc w:val="center"/>
              <w:rPr>
                <w:rFonts w:ascii="Arial" w:hAnsi="Arial" w:cs="Arial"/>
                <w:b/>
                <w:bCs/>
                <w:color w:val="00B050"/>
                <w:sz w:val="24"/>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1FC4A3C3" w14:textId="77777777" w:rsidR="009414C6" w:rsidRPr="004561EA" w:rsidRDefault="009414C6">
            <w:pPr>
              <w:jc w:val="center"/>
              <w:rPr>
                <w:rFonts w:ascii="Arial" w:hAnsi="Arial" w:cs="Arial"/>
                <w:b/>
                <w:bCs/>
                <w:color w:val="00B050"/>
                <w:sz w:val="24"/>
              </w:rPr>
            </w:pPr>
            <w:r w:rsidRPr="004561EA">
              <w:rPr>
                <w:rFonts w:ascii="Arial" w:hAnsi="Arial" w:cs="Arial"/>
                <w:b/>
                <w:bCs/>
                <w:color w:val="00B050"/>
                <w:sz w:val="24"/>
              </w:rPr>
              <w:t>X</w:t>
            </w:r>
          </w:p>
        </w:tc>
      </w:tr>
    </w:tbl>
    <w:p w14:paraId="6FD9CC48" w14:textId="77777777" w:rsidR="009414C6" w:rsidRPr="008805E1" w:rsidRDefault="009414C6" w:rsidP="009414C6"/>
    <w:p w14:paraId="0F7D7E2C" w14:textId="77777777" w:rsidR="009703DF" w:rsidRDefault="009703DF">
      <w:pPr>
        <w:rPr>
          <w:rFonts w:ascii="Arial" w:hAnsi="Arial" w:cs="Arial"/>
          <w:b/>
          <w:bCs/>
          <w:color w:val="4F6228" w:themeColor="accent3" w:themeShade="80"/>
          <w:sz w:val="26"/>
          <w:szCs w:val="22"/>
        </w:rPr>
      </w:pPr>
      <w:r>
        <w:br w:type="page"/>
      </w:r>
    </w:p>
    <w:p w14:paraId="0D9F7B2D" w14:textId="21CB4E09" w:rsidR="009703DF" w:rsidRDefault="009703DF" w:rsidP="009703DF">
      <w:pPr>
        <w:pStyle w:val="Heading3"/>
      </w:pPr>
      <w:r>
        <w:lastRenderedPageBreak/>
        <w:t>Relevant Resources</w:t>
      </w:r>
    </w:p>
    <w:p w14:paraId="3A452578" w14:textId="057111D3" w:rsidR="009703DF" w:rsidRDefault="009703DF" w:rsidP="006D7DE6">
      <w:pPr>
        <w:pStyle w:val="BodyTextFirstIndent"/>
      </w:pPr>
      <w:r>
        <w:fldChar w:fldCharType="begin"/>
      </w:r>
      <w:r>
        <w:instrText xml:space="preserve"> REF _Ref172896457 \h </w:instrText>
      </w:r>
      <w:r>
        <w:fldChar w:fldCharType="separate"/>
      </w:r>
      <w:r w:rsidR="00307850">
        <w:t xml:space="preserve">Table </w:t>
      </w:r>
      <w:r w:rsidR="00307850">
        <w:rPr>
          <w:noProof/>
        </w:rPr>
        <w:t>48</w:t>
      </w:r>
      <w:r>
        <w:fldChar w:fldCharType="end"/>
      </w:r>
      <w:r>
        <w:t xml:space="preserve"> provides a summary of notable resources related to optimizing water efficiency in schools.</w:t>
      </w:r>
    </w:p>
    <w:p w14:paraId="09BB484F" w14:textId="4211F182" w:rsidR="009703DF" w:rsidRDefault="009703DF" w:rsidP="00B30C96">
      <w:pPr>
        <w:pStyle w:val="Caption"/>
      </w:pPr>
      <w:bookmarkStart w:id="462" w:name="_Ref172896457"/>
      <w:bookmarkStart w:id="463" w:name="_Toc192711714"/>
      <w:bookmarkStart w:id="464" w:name="_Toc193112596"/>
      <w:bookmarkStart w:id="465" w:name="_Toc193116995"/>
      <w:r>
        <w:t xml:space="preserve">Table </w:t>
      </w:r>
      <w:fldSimple w:instr=" SEQ Table \* ARABIC ">
        <w:r w:rsidR="00307850">
          <w:rPr>
            <w:noProof/>
          </w:rPr>
          <w:t>48</w:t>
        </w:r>
      </w:fldSimple>
      <w:bookmarkEnd w:id="462"/>
      <w:r>
        <w:t>. Resources for Optimizing Water Efficiency in Schools</w:t>
      </w:r>
      <w:bookmarkEnd w:id="463"/>
      <w:bookmarkEnd w:id="464"/>
      <w:bookmarkEnd w:id="465"/>
    </w:p>
    <w:tbl>
      <w:tblPr>
        <w:tblStyle w:val="TableGrid"/>
        <w:tblW w:w="0" w:type="auto"/>
        <w:tblLayout w:type="fixed"/>
        <w:tblLook w:val="04A0" w:firstRow="1" w:lastRow="0" w:firstColumn="1" w:lastColumn="0" w:noHBand="0" w:noVBand="1"/>
        <w:tblDescription w:val="Table listing resources with active URLs for optimizing water efficiency in schools."/>
      </w:tblPr>
      <w:tblGrid>
        <w:gridCol w:w="3325"/>
        <w:gridCol w:w="2340"/>
        <w:gridCol w:w="3685"/>
      </w:tblGrid>
      <w:tr w:rsidR="009703DF" w:rsidRPr="00276B41" w14:paraId="7EAA4048" w14:textId="77777777">
        <w:trPr>
          <w:tblHeader/>
        </w:trPr>
        <w:tc>
          <w:tcPr>
            <w:tcW w:w="3325" w:type="dxa"/>
            <w:shd w:val="clear" w:color="auto" w:fill="C6D9F1" w:themeFill="text2" w:themeFillTint="33"/>
          </w:tcPr>
          <w:p w14:paraId="70D1BEC3" w14:textId="77777777" w:rsidR="009703DF" w:rsidRPr="004C3A1C" w:rsidRDefault="009703DF">
            <w:pPr>
              <w:pStyle w:val="TableColumnHeader"/>
            </w:pPr>
            <w:r w:rsidRPr="004C3A1C">
              <w:t>Resource</w:t>
            </w:r>
          </w:p>
        </w:tc>
        <w:tc>
          <w:tcPr>
            <w:tcW w:w="2340" w:type="dxa"/>
            <w:shd w:val="clear" w:color="auto" w:fill="C6D9F1" w:themeFill="text2" w:themeFillTint="33"/>
          </w:tcPr>
          <w:p w14:paraId="3990244B" w14:textId="77777777" w:rsidR="009703DF" w:rsidRPr="004C3A1C" w:rsidRDefault="009703DF">
            <w:pPr>
              <w:pStyle w:val="TableColumnHeader"/>
            </w:pPr>
            <w:r w:rsidRPr="004C3A1C">
              <w:t>Author</w:t>
            </w:r>
          </w:p>
        </w:tc>
        <w:tc>
          <w:tcPr>
            <w:tcW w:w="3685" w:type="dxa"/>
            <w:shd w:val="clear" w:color="auto" w:fill="C6D9F1" w:themeFill="text2" w:themeFillTint="33"/>
          </w:tcPr>
          <w:p w14:paraId="69CD28FC" w14:textId="77777777" w:rsidR="009703DF" w:rsidRPr="004C3A1C" w:rsidRDefault="009703DF">
            <w:pPr>
              <w:pStyle w:val="TableColumnHeader"/>
            </w:pPr>
            <w:r w:rsidRPr="004C3A1C">
              <w:t>URL</w:t>
            </w:r>
          </w:p>
        </w:tc>
      </w:tr>
      <w:tr w:rsidR="009703DF" w:rsidRPr="00276B41" w14:paraId="5DFC18E1" w14:textId="77777777">
        <w:tc>
          <w:tcPr>
            <w:tcW w:w="3325" w:type="dxa"/>
          </w:tcPr>
          <w:p w14:paraId="64710A35" w14:textId="77777777" w:rsidR="009703DF" w:rsidRDefault="009703DF">
            <w:pPr>
              <w:pStyle w:val="TableText"/>
            </w:pPr>
            <w:r>
              <w:t>Massachusetts Water Conservation Standards web page</w:t>
            </w:r>
          </w:p>
        </w:tc>
        <w:tc>
          <w:tcPr>
            <w:tcW w:w="2340" w:type="dxa"/>
          </w:tcPr>
          <w:p w14:paraId="5FA17D6D" w14:textId="77777777" w:rsidR="009703DF" w:rsidRDefault="009703DF">
            <w:pPr>
              <w:pStyle w:val="TableText"/>
            </w:pPr>
            <w:r>
              <w:t>Massachusetts Water Resources Commission</w:t>
            </w:r>
          </w:p>
        </w:tc>
        <w:tc>
          <w:tcPr>
            <w:tcW w:w="3685" w:type="dxa"/>
          </w:tcPr>
          <w:p w14:paraId="5155A732" w14:textId="501927B1" w:rsidR="009703DF" w:rsidRDefault="009703DF">
            <w:hyperlink r:id="rId200" w:history="1">
              <w:r w:rsidRPr="000A4AD1">
                <w:rPr>
                  <w:rStyle w:val="Hyperlink"/>
                </w:rPr>
                <w:t>https://www.mass.gov/massachusetts-water-conservation-standards</w:t>
              </w:r>
            </w:hyperlink>
            <w:r>
              <w:t xml:space="preserve">  </w:t>
            </w:r>
          </w:p>
        </w:tc>
      </w:tr>
      <w:tr w:rsidR="009703DF" w:rsidRPr="00276B41" w14:paraId="5231C99C" w14:textId="77777777">
        <w:tc>
          <w:tcPr>
            <w:tcW w:w="3325" w:type="dxa"/>
          </w:tcPr>
          <w:p w14:paraId="2B536946" w14:textId="77777777" w:rsidR="009703DF" w:rsidRDefault="009703DF">
            <w:pPr>
              <w:pStyle w:val="TableText"/>
            </w:pPr>
            <w:r>
              <w:t>Massachusetts Water Conservation Toolkit</w:t>
            </w:r>
          </w:p>
        </w:tc>
        <w:tc>
          <w:tcPr>
            <w:tcW w:w="2340" w:type="dxa"/>
          </w:tcPr>
          <w:p w14:paraId="39FA6DBC" w14:textId="77777777" w:rsidR="009703DF" w:rsidRDefault="009703DF">
            <w:pPr>
              <w:pStyle w:val="TableText"/>
            </w:pPr>
            <w:r>
              <w:t>EEA, Water Resources Commission</w:t>
            </w:r>
          </w:p>
        </w:tc>
        <w:tc>
          <w:tcPr>
            <w:tcW w:w="3685" w:type="dxa"/>
          </w:tcPr>
          <w:p w14:paraId="57508DD4" w14:textId="5F9DB093" w:rsidR="009703DF" w:rsidRDefault="009703DF">
            <w:pPr>
              <w:pStyle w:val="TableText"/>
            </w:pPr>
            <w:hyperlink r:id="rId201" w:history="1">
              <w:r w:rsidRPr="00C5407C">
                <w:rPr>
                  <w:rStyle w:val="Hyperlink"/>
                </w:rPr>
                <w:t>https://www.mass.gov/conservemawater</w:t>
              </w:r>
            </w:hyperlink>
          </w:p>
          <w:p w14:paraId="485DD143" w14:textId="77777777" w:rsidR="009703DF" w:rsidRDefault="009703DF">
            <w:pPr>
              <w:pStyle w:val="TableText"/>
            </w:pPr>
          </w:p>
        </w:tc>
      </w:tr>
      <w:tr w:rsidR="009703DF" w:rsidRPr="00276B41" w14:paraId="35749EFC" w14:textId="77777777">
        <w:tc>
          <w:tcPr>
            <w:tcW w:w="3325" w:type="dxa"/>
          </w:tcPr>
          <w:p w14:paraId="5B105072" w14:textId="77777777" w:rsidR="009703DF" w:rsidRDefault="009703DF">
            <w:pPr>
              <w:pStyle w:val="TableText"/>
            </w:pPr>
            <w:r>
              <w:t>School, Recreation and Facilities Managers web page</w:t>
            </w:r>
          </w:p>
        </w:tc>
        <w:tc>
          <w:tcPr>
            <w:tcW w:w="2340" w:type="dxa"/>
          </w:tcPr>
          <w:p w14:paraId="1BEAF909" w14:textId="77777777" w:rsidR="009703DF" w:rsidRDefault="009703DF">
            <w:pPr>
              <w:pStyle w:val="TableText"/>
            </w:pPr>
            <w:r>
              <w:t>Massachusetts Water Resources Commission</w:t>
            </w:r>
          </w:p>
        </w:tc>
        <w:tc>
          <w:tcPr>
            <w:tcW w:w="3685" w:type="dxa"/>
          </w:tcPr>
          <w:p w14:paraId="20609D05" w14:textId="75E65B27" w:rsidR="009703DF" w:rsidRDefault="009703DF">
            <w:hyperlink r:id="rId202" w:history="1">
              <w:r w:rsidRPr="00754EE8">
                <w:rPr>
                  <w:rStyle w:val="Hyperlink"/>
                </w:rPr>
                <w:t>https://www.mass.gov/guides/school-recreation-and-facilities-managers</w:t>
              </w:r>
            </w:hyperlink>
            <w:r>
              <w:t xml:space="preserve"> </w:t>
            </w:r>
          </w:p>
        </w:tc>
      </w:tr>
      <w:tr w:rsidR="009703DF" w:rsidRPr="00276B41" w14:paraId="563578D9" w14:textId="77777777">
        <w:tc>
          <w:tcPr>
            <w:tcW w:w="3325" w:type="dxa"/>
          </w:tcPr>
          <w:p w14:paraId="5603FF0A" w14:textId="77777777" w:rsidR="009703DF" w:rsidRDefault="009703DF">
            <w:pPr>
              <w:pStyle w:val="TableText"/>
            </w:pPr>
            <w:r>
              <w:t>ENERGY STAR Product Finder Tool</w:t>
            </w:r>
          </w:p>
        </w:tc>
        <w:tc>
          <w:tcPr>
            <w:tcW w:w="2340" w:type="dxa"/>
          </w:tcPr>
          <w:p w14:paraId="725C0623" w14:textId="77777777" w:rsidR="009703DF" w:rsidRDefault="009703DF">
            <w:pPr>
              <w:pStyle w:val="TableText"/>
            </w:pPr>
            <w:r>
              <w:t>EPA</w:t>
            </w:r>
          </w:p>
        </w:tc>
        <w:tc>
          <w:tcPr>
            <w:tcW w:w="3685" w:type="dxa"/>
          </w:tcPr>
          <w:p w14:paraId="4F644EF2" w14:textId="439A4A12" w:rsidR="009703DF" w:rsidRDefault="009703DF">
            <w:hyperlink r:id="rId203" w:history="1">
              <w:r w:rsidRPr="00754EE8">
                <w:rPr>
                  <w:rStyle w:val="Hyperlink"/>
                </w:rPr>
                <w:t>https://www.energystar.gov/productfinder/</w:t>
              </w:r>
            </w:hyperlink>
            <w:r>
              <w:t xml:space="preserve"> </w:t>
            </w:r>
          </w:p>
        </w:tc>
      </w:tr>
      <w:tr w:rsidR="009703DF" w:rsidRPr="00276B41" w14:paraId="36E3AB5B" w14:textId="77777777">
        <w:tc>
          <w:tcPr>
            <w:tcW w:w="3325" w:type="dxa"/>
          </w:tcPr>
          <w:p w14:paraId="5C69FBFD" w14:textId="77777777" w:rsidR="009703DF" w:rsidRPr="00A65E3D" w:rsidRDefault="009703DF">
            <w:pPr>
              <w:pStyle w:val="TableText"/>
              <w:rPr>
                <w:i/>
                <w:iCs/>
              </w:rPr>
            </w:pPr>
            <w:r>
              <w:t>FEMP Alternative Water Sources web page</w:t>
            </w:r>
          </w:p>
        </w:tc>
        <w:tc>
          <w:tcPr>
            <w:tcW w:w="2340" w:type="dxa"/>
          </w:tcPr>
          <w:p w14:paraId="68F50CF9" w14:textId="77777777" w:rsidR="009703DF" w:rsidRDefault="009703DF">
            <w:pPr>
              <w:pStyle w:val="TableText"/>
            </w:pPr>
            <w:r>
              <w:t>FEMP</w:t>
            </w:r>
          </w:p>
        </w:tc>
        <w:tc>
          <w:tcPr>
            <w:tcW w:w="3685" w:type="dxa"/>
          </w:tcPr>
          <w:p w14:paraId="1BFF9429" w14:textId="7215A7FC" w:rsidR="009703DF" w:rsidRDefault="009703DF">
            <w:hyperlink r:id="rId204" w:history="1">
              <w:r w:rsidRPr="00754EE8">
                <w:rPr>
                  <w:rStyle w:val="Hyperlink"/>
                </w:rPr>
                <w:t>https://www.energy.gov/femp/alternative-water-sources</w:t>
              </w:r>
            </w:hyperlink>
            <w:r>
              <w:t xml:space="preserve"> </w:t>
            </w:r>
          </w:p>
        </w:tc>
      </w:tr>
      <w:tr w:rsidR="009703DF" w:rsidRPr="00276B41" w14:paraId="5519730E" w14:textId="77777777">
        <w:trPr>
          <w:trHeight w:val="179"/>
        </w:trPr>
        <w:tc>
          <w:tcPr>
            <w:tcW w:w="3325" w:type="dxa"/>
          </w:tcPr>
          <w:p w14:paraId="5731A051" w14:textId="77777777" w:rsidR="009703DF" w:rsidRPr="00276B41" w:rsidRDefault="009703DF">
            <w:pPr>
              <w:pStyle w:val="TableText"/>
            </w:pPr>
            <w:r>
              <w:t>WaterSense Find a Pro Tool</w:t>
            </w:r>
          </w:p>
        </w:tc>
        <w:tc>
          <w:tcPr>
            <w:tcW w:w="2340" w:type="dxa"/>
          </w:tcPr>
          <w:p w14:paraId="25E03099" w14:textId="77777777" w:rsidR="009703DF" w:rsidRPr="00276B41" w:rsidRDefault="009703DF">
            <w:pPr>
              <w:pStyle w:val="TableText"/>
            </w:pPr>
            <w:r>
              <w:t>EPA</w:t>
            </w:r>
          </w:p>
        </w:tc>
        <w:tc>
          <w:tcPr>
            <w:tcW w:w="3685" w:type="dxa"/>
          </w:tcPr>
          <w:p w14:paraId="24B52A03" w14:textId="2B67C9A3" w:rsidR="009703DF" w:rsidRPr="00276B41" w:rsidRDefault="009703DF">
            <w:hyperlink r:id="rId205" w:history="1">
              <w:r w:rsidRPr="00754EE8">
                <w:rPr>
                  <w:rStyle w:val="Hyperlink"/>
                </w:rPr>
                <w:t>https://www.epa.gov/watersense/find-pro</w:t>
              </w:r>
            </w:hyperlink>
            <w:r>
              <w:t xml:space="preserve"> </w:t>
            </w:r>
          </w:p>
        </w:tc>
      </w:tr>
      <w:tr w:rsidR="009703DF" w:rsidRPr="00276B41" w14:paraId="65BACBBC" w14:textId="77777777">
        <w:trPr>
          <w:trHeight w:val="179"/>
        </w:trPr>
        <w:tc>
          <w:tcPr>
            <w:tcW w:w="3325" w:type="dxa"/>
          </w:tcPr>
          <w:p w14:paraId="4C5FC23E" w14:textId="77777777" w:rsidR="009703DF" w:rsidRDefault="009703DF">
            <w:pPr>
              <w:pStyle w:val="TableText"/>
            </w:pPr>
            <w:r>
              <w:t>WaterSense Product Search Tool</w:t>
            </w:r>
          </w:p>
        </w:tc>
        <w:tc>
          <w:tcPr>
            <w:tcW w:w="2340" w:type="dxa"/>
          </w:tcPr>
          <w:p w14:paraId="10AB9C6B" w14:textId="77777777" w:rsidR="009703DF" w:rsidRDefault="009703DF">
            <w:pPr>
              <w:pStyle w:val="TableText"/>
            </w:pPr>
            <w:r>
              <w:t>EPA</w:t>
            </w:r>
          </w:p>
        </w:tc>
        <w:tc>
          <w:tcPr>
            <w:tcW w:w="3685" w:type="dxa"/>
          </w:tcPr>
          <w:p w14:paraId="229C6AD2" w14:textId="29143D22" w:rsidR="009703DF" w:rsidRDefault="009703DF">
            <w:hyperlink r:id="rId206" w:history="1">
              <w:r w:rsidRPr="00754EE8">
                <w:rPr>
                  <w:rStyle w:val="Hyperlink"/>
                </w:rPr>
                <w:t>https://www.epa.gov/watersense/product-search</w:t>
              </w:r>
            </w:hyperlink>
            <w:r>
              <w:t xml:space="preserve"> </w:t>
            </w:r>
          </w:p>
        </w:tc>
      </w:tr>
      <w:tr w:rsidR="009703DF" w:rsidRPr="00276B41" w14:paraId="1F768B50" w14:textId="77777777">
        <w:trPr>
          <w:trHeight w:val="179"/>
        </w:trPr>
        <w:tc>
          <w:tcPr>
            <w:tcW w:w="3325" w:type="dxa"/>
          </w:tcPr>
          <w:p w14:paraId="4A26D625" w14:textId="77777777" w:rsidR="009703DF" w:rsidRDefault="009703DF">
            <w:pPr>
              <w:pStyle w:val="TableText"/>
            </w:pPr>
            <w:r w:rsidRPr="00A65E3D">
              <w:rPr>
                <w:i/>
                <w:iCs/>
              </w:rPr>
              <w:t xml:space="preserve">WaterSense at Work: Best Management Practices for Commercial and Institutional Facilities </w:t>
            </w:r>
          </w:p>
        </w:tc>
        <w:tc>
          <w:tcPr>
            <w:tcW w:w="2340" w:type="dxa"/>
          </w:tcPr>
          <w:p w14:paraId="4EF22407" w14:textId="77777777" w:rsidR="009703DF" w:rsidRDefault="009703DF">
            <w:pPr>
              <w:pStyle w:val="TableText"/>
            </w:pPr>
            <w:r>
              <w:t>EPA</w:t>
            </w:r>
          </w:p>
        </w:tc>
        <w:tc>
          <w:tcPr>
            <w:tcW w:w="3685" w:type="dxa"/>
          </w:tcPr>
          <w:p w14:paraId="3A5D1189" w14:textId="4CFC74CB" w:rsidR="009703DF" w:rsidRDefault="009703DF">
            <w:hyperlink r:id="rId207" w:history="1">
              <w:r w:rsidRPr="005E743C">
                <w:rPr>
                  <w:rStyle w:val="Hyperlink"/>
                </w:rPr>
                <w:t>https://www.epa.gov/watersense/best-management-practices</w:t>
              </w:r>
            </w:hyperlink>
            <w:r>
              <w:t xml:space="preserve"> </w:t>
            </w:r>
          </w:p>
        </w:tc>
      </w:tr>
    </w:tbl>
    <w:p w14:paraId="08EF1C0F" w14:textId="0A52356F" w:rsidR="00B03F4A" w:rsidRDefault="00B03F4A" w:rsidP="001C7888">
      <w:pPr>
        <w:pStyle w:val="Heading2"/>
      </w:pPr>
      <w:bookmarkStart w:id="466" w:name="SectVI_1c"/>
      <w:bookmarkStart w:id="467" w:name="_Toc193116928"/>
      <w:bookmarkEnd w:id="466"/>
      <w:r>
        <w:t>Objective 1c. Optimize Solid Waste Reduction and Diversion</w:t>
      </w:r>
      <w:bookmarkEnd w:id="467"/>
    </w:p>
    <w:p w14:paraId="15C93CD1" w14:textId="77777777" w:rsidR="006358DE" w:rsidRDefault="006358DE" w:rsidP="006358DE">
      <w:pPr>
        <w:pStyle w:val="Heading3"/>
      </w:pPr>
      <w:r>
        <w:t>Methods and Best Practices</w:t>
      </w:r>
    </w:p>
    <w:p w14:paraId="642ED585" w14:textId="77777777" w:rsidR="006358DE" w:rsidRDefault="006358DE" w:rsidP="006D7DE6">
      <w:pPr>
        <w:pStyle w:val="BodyTextFirstIndent"/>
      </w:pPr>
      <w:r>
        <w:t xml:space="preserve">This section offers a discussion of </w:t>
      </w:r>
      <w:r w:rsidRPr="00926BF3">
        <w:t xml:space="preserve">methods and best practices for optimizing </w:t>
      </w:r>
      <w:r>
        <w:t>solid waste reduction and diversion</w:t>
      </w:r>
      <w:r w:rsidRPr="00926BF3">
        <w:t xml:space="preserve"> in schools</w:t>
      </w:r>
      <w:r>
        <w:t xml:space="preserve"> across two categories. First, this section summarizes methods and best practices for reducing the generation of waste. These are important practices, as they ultimately reduce the total volume of waste that schools need to expend resources to properly manage. Next, this section summarizes methods and best practices for effectively managing the solid waste that schools generate through routine operations.</w:t>
      </w:r>
    </w:p>
    <w:p w14:paraId="73C246F9" w14:textId="77777777" w:rsidR="006358DE" w:rsidRDefault="006358DE" w:rsidP="006358DE">
      <w:pPr>
        <w:pStyle w:val="Heading4"/>
      </w:pPr>
      <w:r w:rsidRPr="00AF1E0E">
        <w:t>Reduce Solid Waste Generation</w:t>
      </w:r>
    </w:p>
    <w:p w14:paraId="7F29C1BA" w14:textId="77777777" w:rsidR="006358DE" w:rsidRPr="001B653D" w:rsidRDefault="006358DE" w:rsidP="006D7DE6">
      <w:pPr>
        <w:pStyle w:val="BodyTextFirstIndent"/>
      </w:pPr>
      <w:r>
        <w:t xml:space="preserve">To reduce the generation of solid waste as part of routine operations, schools should consider strategies for reducing cafeteria waste, educating staff and students to transform habits, and implementing item exchange opportunities. </w:t>
      </w:r>
    </w:p>
    <w:p w14:paraId="7FFA05C3" w14:textId="77777777" w:rsidR="006358DE" w:rsidRDefault="006358DE" w:rsidP="006358DE">
      <w:pPr>
        <w:pStyle w:val="Heading5"/>
      </w:pPr>
      <w:r>
        <w:lastRenderedPageBreak/>
        <w:t>(1) Reduce cafeteria waste</w:t>
      </w:r>
    </w:p>
    <w:p w14:paraId="35BBFA29" w14:textId="55092797" w:rsidR="006358DE" w:rsidRPr="00A8207B" w:rsidRDefault="006358DE" w:rsidP="006D7DE6">
      <w:pPr>
        <w:pStyle w:val="BodyTextFirstIndent"/>
      </w:pPr>
      <w:r>
        <w:t>Across the nation, K–12 school cafeteria waste amounts to approximately 530,000 tons, representing one of the largest waste streams coming out of K–12 schools.</w:t>
      </w:r>
      <w:r>
        <w:fldChar w:fldCharType="begin"/>
      </w:r>
      <w:r w:rsidR="003D5C41">
        <w:instrText xml:space="preserve"> ADDIN ZOTERO_ITEM CSL_CITATION {"citationID":"PmV6yYmi","properties":{"formattedCitation":"\\super 235\\nosupersub{}","plainCitation":"235","noteIndex":0},"citationItems":[{"id":203,"uris":["http://zotero.org/groups/5563646/items/IDMCHUUK"],"itemData":{"id":203,"type":"webpage","abstract":"In the spring of 2019, WWF, with support from The Kroger Co. Foundation and the US EPA, looked at post-service food waste in 46 schools in nine US cities across eight states. This is what they found.","container-title":"World Wildlife Fund","language":"en-US","title":"Food waste warriors: A deep dive into food waste in US schools","title-short":"Food waste warriors","URL":"https://www.worldwildlife.org/stories/food-waste-warriors","author":[{"family":"World Wildlife Fund","given":""}],"accessed":{"date-parts":[["2024",6,21]]}}}],"schema":"https://github.com/citation-style-language/schema/raw/master/csl-citation.json"} </w:instrText>
      </w:r>
      <w:r>
        <w:fldChar w:fldCharType="separate"/>
      </w:r>
      <w:r w:rsidR="003D5C41" w:rsidRPr="003D5C41">
        <w:rPr>
          <w:rFonts w:cs="Arial"/>
          <w:vertAlign w:val="superscript"/>
        </w:rPr>
        <w:t>235</w:t>
      </w:r>
      <w:r>
        <w:fldChar w:fldCharType="end"/>
      </w:r>
      <w:r>
        <w:t xml:space="preserve"> The following practices can be adopted to minimize the amount of waste and money lost to food waste and disposables in the cafeteria.</w:t>
      </w:r>
    </w:p>
    <w:p w14:paraId="0778B52A" w14:textId="77777777" w:rsidR="006358DE" w:rsidRDefault="006358DE" w:rsidP="006358DE">
      <w:pPr>
        <w:pStyle w:val="Heading5a"/>
      </w:pPr>
      <w:r>
        <w:t>(1a) Practice offer versus serve</w:t>
      </w:r>
    </w:p>
    <w:p w14:paraId="3CCABD90" w14:textId="2D4A885D" w:rsidR="006358DE" w:rsidRDefault="006358DE" w:rsidP="006D7DE6">
      <w:pPr>
        <w:pStyle w:val="BodyTextFirstIndent"/>
      </w:pPr>
      <w:r>
        <w:t>The concept of Offer versus Serve (OVS) allows students to decline select food items offered by the National School Lunch Program and School Breakfast Program if they choose not to eat these items. OVS is a mandatory practice for Massachusetts high schools during lunch but is optional for elementary and middle schools in the Commonwealth.</w:t>
      </w:r>
      <w:r>
        <w:fldChar w:fldCharType="begin"/>
      </w:r>
      <w:r w:rsidR="00C55CD4">
        <w:instrText xml:space="preserve"> ADDIN ZOTERO_ITEM CSL_CITATION {"citationID":"ithHV7qB","properties":{"formattedCitation":"\\super 236\\nosupersub{}","plainCitation":"236","noteIndex":0},"citationItems":[{"id":104,"uris":["http://zotero.org/groups/5563646/items/53ADZA44"],"itemData":{"id":104,"type":"article-journal","language":"en","source":"Zotero","title":"School Meal Programs Questions and Answers","author":[{"family":"MA DESE","given":""}]}}],"schema":"https://github.com/citation-style-language/schema/raw/master/csl-citation.json"} </w:instrText>
      </w:r>
      <w:r>
        <w:fldChar w:fldCharType="separate"/>
      </w:r>
      <w:r w:rsidR="00C55CD4" w:rsidRPr="00C55CD4">
        <w:rPr>
          <w:rFonts w:cs="Arial"/>
          <w:vertAlign w:val="superscript"/>
        </w:rPr>
        <w:t>236</w:t>
      </w:r>
      <w:r>
        <w:fldChar w:fldCharType="end"/>
      </w:r>
      <w:r>
        <w:t xml:space="preserve"> Elementary schools that practice OVS waste significantly fewer calories, fruits, and vegetables than schools that practice the “serve-only” model.</w:t>
      </w:r>
      <w:r>
        <w:fldChar w:fldCharType="begin"/>
      </w:r>
      <w:r w:rsidR="00A7422B">
        <w:instrText xml:space="preserve"> ADDIN ZOTERO_ITEM CSL_CITATION {"citationID":"srsH7hcm","properties":{"formattedCitation":"\\super 237\\nosupersub{}","plainCitation":"237","noteIndex":0},"citationItems":[{"id":110,"uris":["http://zotero.org/groups/5563646/items/S5T4J65R"],"itemData":{"id":110,"type":"report","title":"Cut Waste, Not Nutrition, in School Meals","author":[{"family":"Center for Science in the Public Interest","given":""}],"issued":{"date-parts":[["2023",8]]}}}],"schema":"https://github.com/citation-style-language/schema/raw/master/csl-citation.json"} </w:instrText>
      </w:r>
      <w:r>
        <w:fldChar w:fldCharType="separate"/>
      </w:r>
      <w:r w:rsidR="00A7422B" w:rsidRPr="00A7422B">
        <w:rPr>
          <w:rFonts w:cs="Arial"/>
          <w:vertAlign w:val="superscript"/>
        </w:rPr>
        <w:t>237</w:t>
      </w:r>
      <w:r>
        <w:fldChar w:fldCharType="end"/>
      </w:r>
      <w:r>
        <w:t xml:space="preserve"> While few studies have quantified the reduction of food waste in school cafeterias associated with OVS, it is a commonly accepted best practice for food waste reduction. According to the USDA, upwards of 81 percent of middle schools and elementary schools practice OVS during lunch.</w:t>
      </w:r>
      <w:r>
        <w:fldChar w:fldCharType="begin"/>
      </w:r>
      <w:r w:rsidR="00A43D0D">
        <w:instrText xml:space="preserve"> ADDIN ZOTERO_ITEM CSL_CITATION {"citationID":"DxAPVtXv","properties":{"formattedCitation":"\\super 238\\nosupersub{}","plainCitation":"238","noteIndex":0},"citationItems":[{"id":108,"uris":["http://zotero.org/groups/5563646/items/MC228DL3"],"itemData":{"id":108,"type":"webpage","language":"en","title":"Reducing Food Waste at K-12 Schools","URL":"https://www.usda.gov/foodlossandwaste/schools","author":[{"family":"USDA","given":""}],"accessed":{"date-parts":[["2024",6,17]]},"issued":{"date-parts":[["2015"]]}}}],"schema":"https://github.com/citation-style-language/schema/raw/master/csl-citation.json"} </w:instrText>
      </w:r>
      <w:r>
        <w:fldChar w:fldCharType="separate"/>
      </w:r>
      <w:r w:rsidR="00A43D0D" w:rsidRPr="00A43D0D">
        <w:rPr>
          <w:rFonts w:cs="Arial"/>
          <w:vertAlign w:val="superscript"/>
        </w:rPr>
        <w:t>238</w:t>
      </w:r>
      <w:r>
        <w:fldChar w:fldCharType="end"/>
      </w:r>
    </w:p>
    <w:p w14:paraId="48D704B8" w14:textId="48C3EEA9" w:rsidR="006358DE" w:rsidRDefault="006358DE" w:rsidP="006D7DE6">
      <w:pPr>
        <w:pStyle w:val="BodyTextFirstIndent"/>
      </w:pPr>
      <w:r>
        <w:t xml:space="preserve">Elementary and middle schools interested in implementing OVS to reduce food waste in their cafeteria should see </w:t>
      </w:r>
      <w:hyperlink r:id="rId208" w:history="1">
        <w:r w:rsidRPr="00BE4FE3">
          <w:rPr>
            <w:rStyle w:val="Hyperlink"/>
          </w:rPr>
          <w:t>additional guidance from the USDA</w:t>
        </w:r>
      </w:hyperlink>
      <w:r>
        <w:t xml:space="preserve"> for implementing OVS for the National School Lunch Program and School Breakfast Program.</w:t>
      </w:r>
      <w:r>
        <w:fldChar w:fldCharType="begin"/>
      </w:r>
      <w:r w:rsidR="009F7032">
        <w:instrText xml:space="preserve"> ADDIN ZOTERO_ITEM CSL_CITATION {"citationID":"TvdYQiZj","properties":{"formattedCitation":"\\super 239\\nosupersub{}","plainCitation":"239","noteIndex":0},"citationItems":[{"id":105,"uris":["http://zotero.org/groups/5563646/items/FPU55ZST"],"itemData":{"id":105,"type":"webpage","title":"Updated Offer vs Serve Guidance for the NSLP and SBP Beginning SY2015-16 | Food and Nutrition Service","URL":"https://www.fns.usda.gov/cn/updated-offer-vs-serve-guidance-nslp-and-sbp-beginning-sy2015-16","author":[{"family":"USDA","given":""}],"accessed":{"date-parts":[["2024",6,17]]},"issued":{"date-parts":[["2015",7,21]]}}}],"schema":"https://github.com/citation-style-language/schema/raw/master/csl-citation.json"} </w:instrText>
      </w:r>
      <w:r>
        <w:fldChar w:fldCharType="separate"/>
      </w:r>
      <w:r w:rsidR="009F7032" w:rsidRPr="009F7032">
        <w:rPr>
          <w:rFonts w:cs="Arial"/>
          <w:vertAlign w:val="superscript"/>
        </w:rPr>
        <w:t>239</w:t>
      </w:r>
      <w:r>
        <w:fldChar w:fldCharType="end"/>
      </w:r>
    </w:p>
    <w:p w14:paraId="7BDCE4A7" w14:textId="77777777" w:rsidR="006358DE" w:rsidRDefault="006358DE" w:rsidP="006358DE">
      <w:pPr>
        <w:pStyle w:val="Heading5a"/>
      </w:pPr>
      <w:r>
        <w:t>(1b) Serve grab-and-go meals</w:t>
      </w:r>
    </w:p>
    <w:p w14:paraId="643CC464" w14:textId="422CA38C" w:rsidR="006358DE" w:rsidRDefault="006358DE" w:rsidP="006D7DE6">
      <w:pPr>
        <w:pStyle w:val="BodyTextFirstIndent"/>
      </w:pPr>
      <w:r>
        <w:t>Grab-and-go style meals can allow students more time and flexibility to eat their food.</w:t>
      </w:r>
      <w:r>
        <w:fldChar w:fldCharType="begin"/>
      </w:r>
      <w:r w:rsidR="00E3105F">
        <w:instrText xml:space="preserve"> ADDIN ZOTERO_ITEM CSL_CITATION {"citationID":"cPLr26EL","properties":{"formattedCitation":"\\super 240\\nosupersub{}","plainCitation":"240","noteIndex":0},"citationItems":[{"id":101,"uris":["http://zotero.org/groups/5563646/items/IVDEUC93"],"itemData":{"id":101,"type":"article-journal","language":"en","source":"Zotero","title":"What You Can Do To Help Prevent Wasted Food","author":[{"family":"USDA","given":""}],"issued":{"date-parts":[["2016",7]]}}}],"schema":"https://github.com/citation-style-language/schema/raw/master/csl-citation.json"} </w:instrText>
      </w:r>
      <w:r>
        <w:fldChar w:fldCharType="separate"/>
      </w:r>
      <w:r w:rsidR="00E3105F" w:rsidRPr="00E3105F">
        <w:rPr>
          <w:rFonts w:cs="Arial"/>
          <w:vertAlign w:val="superscript"/>
        </w:rPr>
        <w:t>240</w:t>
      </w:r>
      <w:r>
        <w:fldChar w:fldCharType="end"/>
      </w:r>
      <w:r>
        <w:t xml:space="preserve"> This practice has increased in popularity under the School Breakfast Program in particular—in 2014, only 7 percent of schools served grab-and-go meals, while in 2019, this figure increased to 23 percent.</w:t>
      </w:r>
      <w:r>
        <w:fldChar w:fldCharType="begin"/>
      </w:r>
      <w:r w:rsidR="00DE53F4">
        <w:instrText xml:space="preserve"> ADDIN ZOTERO_ITEM CSL_CITATION {"citationID":"QUMAkduV","properties":{"formattedCitation":"\\super 241\\nosupersub{}","plainCitation":"241","noteIndex":0},"citationItems":[{"id":103,"uris":["http://zotero.org/groups/5563646/items/HDZNQ2CA"],"itemData":{"id":103,"type":"article-journal","abstract":"Providing meals at school is an important part of the hunger safety net for children in the United States and worldwide; however, many children do not receive school meals even when they qualify for federally-subsidized free or reduced-priced meals. This study investigates the prevalence of several evidence-based practices that have previously been shown to increase the reach and impact of school meals. A survey was sent to a national sample of US elementary schools, with items examining practices regarding school breakfast, school lunch, recess, the promotion of meals, nutrition standards, and food waste, during the 2019–20 school year. Almost all schools that offered lunch also offered breakfast. More than 50% used a breakfast service strategy other than cafeteria service, such as grab-and-go breakfast meals. Providing at least 30 min for lunch periods and providing recess before lunch were reported by less than half of schools. About 50% of schools reported using only one or fewer meal promotional strategies (such as taste tests) throughout the school year. Use of more promotional strategies was associated with less reported food waste in a multivariable regression model accounting for school demographic characteristics. Findings show that some evidence-based practices for school meals are being implemented, but many recommendations are not being widely adopted.","container-title":"International Journal of Environmental Research and Public Health","DOI":"10.3390/ijerph18168558","ISSN":"1661-7827","issue":"16","journalAbbreviation":"Int J Environ Res Public Health","note":"PMID: 34444303\nPMCID: PMC8393708","page":"8558","source":"PubMed Central","title":"Prevalence of Evidence-Based School Meal Practices and Associations with Reported Food Waste across a National Sample of U.S. Elementary Schools","volume":"18","author":[{"family":"Calvert","given":"Hannah G."},{"family":"Ohri-Vachaspati","given":"Punam"},{"family":"McQuilkin","given":"Michaela"},{"family":"Boedeker","given":"Peter"},{"family":"Turner","given":"Lindsey"}],"issued":{"date-parts":[["2021",8,13]]}}}],"schema":"https://github.com/citation-style-language/schema/raw/master/csl-citation.json"} </w:instrText>
      </w:r>
      <w:r>
        <w:fldChar w:fldCharType="separate"/>
      </w:r>
      <w:r w:rsidR="00DE53F4" w:rsidRPr="00DE53F4">
        <w:rPr>
          <w:rFonts w:cs="Arial"/>
          <w:vertAlign w:val="superscript"/>
        </w:rPr>
        <w:t>241</w:t>
      </w:r>
      <w:r>
        <w:fldChar w:fldCharType="end"/>
      </w:r>
      <w:r>
        <w:t xml:space="preserve"> Pre-packaged, grab-and-go style meals are allowed to be served to all grade levels and ages.</w:t>
      </w:r>
    </w:p>
    <w:p w14:paraId="0A47158F" w14:textId="77777777" w:rsidR="006358DE" w:rsidRPr="00E01F2A" w:rsidRDefault="006358DE" w:rsidP="006358DE">
      <w:pPr>
        <w:pStyle w:val="Heading5a"/>
      </w:pPr>
      <w:r w:rsidRPr="00E01F2A">
        <w:t>(</w:t>
      </w:r>
      <w:r>
        <w:t>1c</w:t>
      </w:r>
      <w:r w:rsidRPr="00E01F2A">
        <w:t xml:space="preserve">) </w:t>
      </w:r>
      <w:r>
        <w:t>Offer s</w:t>
      </w:r>
      <w:r w:rsidRPr="00E01F2A">
        <w:t>tudent-</w:t>
      </w:r>
      <w:r>
        <w:t>i</w:t>
      </w:r>
      <w:r w:rsidRPr="00E01F2A">
        <w:t xml:space="preserve">nformed </w:t>
      </w:r>
      <w:r>
        <w:t>m</w:t>
      </w:r>
      <w:r w:rsidRPr="00E01F2A">
        <w:t xml:space="preserve">eal </w:t>
      </w:r>
      <w:r>
        <w:t>o</w:t>
      </w:r>
      <w:r w:rsidRPr="00E01F2A">
        <w:t>ptions</w:t>
      </w:r>
    </w:p>
    <w:p w14:paraId="6412D1A2" w14:textId="2D94AD61" w:rsidR="006358DE" w:rsidRDefault="006358DE" w:rsidP="006D7DE6">
      <w:pPr>
        <w:pStyle w:val="BodyTextFirstIndent"/>
      </w:pPr>
      <w:r>
        <w:t>Students produce less food waste at school when they find the meals served more palatable. Taste tests offer an opportunity to receive student feedback on meal preferences and have been shown to reduce the amount of wasted food.</w:t>
      </w:r>
      <w:r>
        <w:fldChar w:fldCharType="begin"/>
      </w:r>
      <w:r w:rsidR="001E7177">
        <w:instrText xml:space="preserve"> ADDIN ZOTERO_ITEM CSL_CITATION {"citationID":"ZjogTz4I","properties":{"formattedCitation":"\\super 242\\nosupersub{}","plainCitation":"242","noteIndex":0},"citationItems":[{"id":100,"uris":["http://zotero.org/groups/5563646/items/N5R7KB75"],"itemData":{"id":100,"type":"article-journal","abstract":"The school environment plays an important role in children's diets and overall health, and policies for universal free school meals have the potential to contribute to positive child health outcomes. This systematic review evaluates studies examining the association between universal free school meals and students' school meal participation rates, diets, attendance, academic performance, and Body Mass Index (BMI), as well as school finances. The search was conducted in accordance with the Preferred Reporting Items for Systematic Review and Meta-Analyses (PRISMA). A search for studies published in economically developed countries published through December 2020 was performed in PubMed, Education Resources Information Center (ERIC), Thomson Reuters' Web of Science, and Academic Search Ultimate, followed by examining the references in the resultant literature. A total of 47 studies were identified and the Newcastle-Ottawa Scale (NOS) was applied to assess bias. Nearly all studies examining universal free school meals found positive associations with school meal participation. Most studies examining universal free school meals that included free lunch found positive associations with diet quality, food security, and academic performance; however, the findings of studies examining only universal free breakfast were mixed. Research findings were similarly mixed when examining attendance as an outcome. Concerns about adverse outcomes on student BMI were not supported by the literature; in fact, several studies detected a potentially protective effect of universal free school meals on BMI. Research examining the impact of universal free meals on school finances was limited, but suggest that lower-income school districts in the U.S. may have positive financial outcomes from participation in universal free school meal provisions. Additionally, providing free meals to students may be associated with improved household incomes, particularly among lower-income families with children. Further research is needed to examine the financial implications of universal free meals for both school districts and families. Overall, universal free school meals may have multiple benefits for students and countries should consider universal free school meal provisions with strong nutrition guidelines. (PROSPERO registration: CRD42020221782).","container-title":"Nutrients","DOI":"10.3390/nu13030911","ISSN":"2072-6643","issue":"3","journalAbbreviation":"Nutrients","language":"eng","note":"PMID: 33799780\nPMCID: PMC8000006","page":"911","source":"PubMed","title":"Universal School Meals and Associations with Student Participation, Attendance, Academic Performance, Diet Quality, Food Security, and Body Mass Index: A Systematic Review","title-short":"Universal School Meals and Associations with Student Participation, Attendance, Academic Performance, Diet Quality, Food Security, and Body Mass Index","volume":"13","author":[{"family":"Cohen","given":"Juliana F. W."},{"family":"Hecht","given":"Amelie A."},{"family":"McLoughlin","given":"Gabriella M."},{"family":"Turner","given":"Lindsey"},{"family":"Schwartz","given":"Marlene B."}],"issued":{"date-parts":[["2021",3,11]]}}}],"schema":"https://github.com/citation-style-language/schema/raw/master/csl-citation.json"} </w:instrText>
      </w:r>
      <w:r>
        <w:fldChar w:fldCharType="separate"/>
      </w:r>
      <w:r w:rsidR="001E7177" w:rsidRPr="001E7177">
        <w:rPr>
          <w:rFonts w:cs="Arial"/>
          <w:vertAlign w:val="superscript"/>
        </w:rPr>
        <w:t>242</w:t>
      </w:r>
      <w:r>
        <w:fldChar w:fldCharType="end"/>
      </w:r>
      <w:r>
        <w:t xml:space="preserve"> Schools should consider surveying and/or interviewing the student population to determine the cultural backgrounds and dietary preferences of their students.</w:t>
      </w:r>
      <w:r>
        <w:fldChar w:fldCharType="begin"/>
      </w:r>
      <w:r w:rsidR="00654DB6">
        <w:instrText xml:space="preserve"> ADDIN ZOTERO_ITEM CSL_CITATION {"citationID":"9AV5OH4r","properties":{"formattedCitation":"\\super 243\\nosupersub{}","plainCitation":"243","noteIndex":0},"citationItems":[{"id":99,"uris":["http://zotero.org/groups/5563646/items/RGYGIUU3"],"itemData":{"id":99,"type":"webpage","abstract":"Learn more about what to consider when seeking to offer culturally preferred foods in food service.","container-title":"Centers for Disease Control and Prevention","language":"en-us","title":"Considering Cultural Food Preferences in Food Service","URL":"https://www.cdc.gov/nutrition/food-service-guidelines/strategize-and-act/cultural-food-preferences.html","author":[{"family":"CDC","given":""}],"accessed":{"date-parts":[["2024",6,17]]},"issued":{"date-parts":[["2022",7,7]]}}}],"schema":"https://github.com/citation-style-language/schema/raw/master/csl-citation.json"} </w:instrText>
      </w:r>
      <w:r>
        <w:fldChar w:fldCharType="separate"/>
      </w:r>
      <w:r w:rsidR="00654DB6" w:rsidRPr="00654DB6">
        <w:rPr>
          <w:rFonts w:cs="Arial"/>
          <w:vertAlign w:val="superscript"/>
        </w:rPr>
        <w:t>243</w:t>
      </w:r>
      <w:r>
        <w:fldChar w:fldCharType="end"/>
      </w:r>
    </w:p>
    <w:p w14:paraId="41012704" w14:textId="77777777" w:rsidR="006358DE" w:rsidRDefault="006358DE" w:rsidP="006358DE">
      <w:pPr>
        <w:pStyle w:val="Heading5a"/>
      </w:pPr>
      <w:r>
        <w:t>(1d) Extend the lunch period</w:t>
      </w:r>
    </w:p>
    <w:p w14:paraId="6442A542" w14:textId="4C7DA9A9" w:rsidR="006358DE" w:rsidRPr="00CD5ADE" w:rsidRDefault="006358DE" w:rsidP="006D7DE6">
      <w:pPr>
        <w:pStyle w:val="BodyTextFirstIndent"/>
      </w:pPr>
      <w:r>
        <w:t>Many studies have shown that extending the lunch period decreases the amount of food that students throw away.</w:t>
      </w:r>
      <w:r>
        <w:fldChar w:fldCharType="begin"/>
      </w:r>
      <w:r w:rsidR="006B2F93">
        <w:instrText xml:space="preserve"> ADDIN ZOTERO_ITEM CSL_CITATION {"citationID":"FQjnPcEr","properties":{"formattedCitation":"\\super 244\\uc0\\u8211{}246\\nosupersub{}","plainCitation":"244–246","noteIndex":0},"citationItems":[{"id":97,"uris":["http://zotero.org/groups/5563646/items/XBCSHKI7"],"itemData":{"id":97,"type":"article-journal","abstract":"Background\nThere are currently no national standards for school lunch period lengths and little is known about the association between the amount of time students have to eat and school food selection and consumption.\n\nObjectives\nTo examine plate waste measurements from students in the control arm from the MEALS study (2011-2012 school year) for the association of the amount of time to eat with school meal selection and consumption.\n\nDesign\nProspective study using up to six repeated measures among students over the school year.\n\nParticipants/Setting\n1001 students in grades 3-8 attending 6 participating elementary/middle schools in an urban, low-income school district where lunch period lengths varied from 20-30 minutes.\n\nMain Outcome Measures\nSchool food selection and consumption were collected using plate waste methodology.\n\nStatistical Analyses Performed\nLogistic regression and mixed-model ANOVA was used to examine food selection and consumption.\n\nResults\nCompared with meal component selection when students had at least 25 minutes to eat, students were significantly less likely to select a fruit (44% vs. 57%; p=0.0001) compared with when students had fewer than 20 minutes to eat. There were no significant differences in entrée, milk, or vegetable selection. Among those who selected a meal component, students with fewer than 20 minutes to eat consumed 13% less of their entrée (p&lt;0.0001), 10% less of their milk (p&lt;0.0001), and 12% less of their vegetable (p=0.0002) compared to when students had at least 25 minutes to eat.\n\nConclusions\nOver the school year, a substantial number of students had insufficient time to eat, which was associated with significantly decreased entrée, milk, and vegetable consumption compared with students who had more time to eat. School policies that encourage lunches with at least 25 minutes of seated time may reduce food waste and improve dietary intake.","container-title":"Journal of the Academy of Nutrition and Dietetics","DOI":"10.1016/j.jand.2015.07.019","ISSN":"2212-2672","issue":"1","journalAbbreviation":"J Acad Nutr Diet","note":"PMID: 26372337\nPMCID: PMC4698073","page":"123-128","source":"PubMed Central","title":"The Amount of Time to Eat Lunch is Associated with Children’s Selection and Consumption of School Meal Entrée, Fruits, Vegetable, and Milk","volume":"116","author":[{"family":"Cohen","given":"Juliana F.W."},{"family":"Jahn","given":"Jaquelyn L."},{"family":"Richardson","given":"Scott"},{"family":"Cluggish","given":"Sarah A."},{"family":"Parker","given":"Ellen"},{"family":"Rimm","given":"Eric B."}],"issued":{"date-parts":[["2016",1]]}}},{"id":98,"uris":["http://zotero.org/groups/5563646/items/WF2LZLF2"],"itemData":{"id":98,"type":"article-journal","abstract":"BACKGROUND: While school foods have become healthier under the Healthy, Hunger Free Kids Act, research suggests there is still substantial food waste in cafeterias. It is therefore necessary to study factors that can impact food consumption, including holding recess before lunch (\"reverse recess\") and starting lunch periods very early or very late.\nOBJECTIVE: This study examined the association between the timing of recess (pre-lunch vs post-lunch recess), the timing of the lunch period, and food consumed by students at lunch.\nDESIGN: We conducted a secondary data analysis from a repeated cross-sectional design.\nPARTICIPANTS/SETTING: An 8-week plate waste study examining 20,183 trays of food was conducted in New Orleans, LA, in 2014. The study involved 1,036 fourth- and fifth-grade students from eight public schools.\nMAIN OUTCOME MEASURES: We measured percent of entrées, fruit, vegetables, and milk consumed by students at lunch.\nSTATISTICAL ANALYSES PERFORMED: We used mixed-model analyses, controlling for student sex, grade, and the timing of the lunch period, and examined the association between reverse recess and student lunch consumption. Mixed-model analyses controlling for student sex, grade, and recess status examined whether the timing of the lunch period was associated with student lunch consumption.\nRESULTS: On average, students with reverse recess consumed 5.1% more of their fruit than students with post-lunch recess (P=0.009), but there were no significant differences in entrées, vegetables, or milk intake. Compared to students with \"midday\" lunch periods, on average students with \"early\" lunch periods consumed 5.8% less of their entrées (P&lt;0.001) and 4.5% less of their milk (P=0.047). Students with \"late\" lunch periods consumed 13.8% less of their entrées (P&lt;0.001) and 15.9% less of their fruit (P&lt;0.001).\nCONCLUSIONS: Reverse recess was associated with increased fruit consumption. \"Early\" lunch periods were associated with decreased entrée and milk consumption, and \"late\" lunch periods were associated with decreased entrée and fruit consumption. Additional research is recommended to determine whether these associations are causal.","container-title":"Journal of the Academy of Nutrition and Dietetics","DOI":"10.1016/j.jand.2017.04.016","ISSN":"2212-2672","issue":"9","journalAbbreviation":"J Acad Nutr Diet","language":"eng","note":"PMID: 28623163","page":"1413-1418","source":"PubMed","title":"Factors Associated with School Lunch Consumption: Reverse Recess and School \"Brunch\"","title-short":"Factors Associated with School Lunch Consumption","volume":"117","author":[{"family":"Chapman","given":"Leah Elizabeth"},{"family":"Cohen","given":"Juliana"},{"family":"Canterberry","given":"Melanie"},{"family":"Carton","given":"Thomas W."}],"issued":{"date-parts":[["2017",9]]}}},{"id":96,"uris":["http://zotero.org/groups/5563646/items/IPPPP5YR"],"itemData":{"id":96,"type":"article-journal","abstract":"OBJECTIVES: In this study, we evaluate if moving recess before lunch has an effect on the amount of fruits and vegetables elementary school students eat as part of their school-provided lunch.\nMETHODS: Participants were 1st-6th grade students from three schools that switched recess from after to before lunch and four similar schools that continued to hold recess after lunch. We collected data for an average of 14 days at each school (4 days during spring 2011, May 3 through June 1, 2011 and 9 days during fall 2011, September 19 through November 11, 2011). All of the schools were in Orem, UT. Data was collected for all students receiving a school lunch and was based on observational plate waste data.\nRESULTS: We find that moving recess before lunch increased consumption of fruits and vegetables by 0.16 servings per child (a 54% increase) and increased the fraction of children eating at least one serving of fruits or vegetables by 10 percentage points (a 45% increase). In contrast, the schools in our control group actually experienced a small reduction in fruit and vegetable consumption during the same time period.\nCONCLUSIONS: Our results show the benefits of holding recess before lunch and suggest that if more schools implement this policy, there would be significant increases in fruit and vegetable consumption among students who eat school lunch as part of the National School Lunch Program.","container-title":"Preventive Medicine","DOI":"10.1016/j.ypmed.2014.11.016","ISSN":"1096-0260","journalAbbreviation":"Prev Med","language":"eng","note":"PMID: 25459372","page":"27-30","source":"PubMed","title":"Lunch, recess and nutrition: responding to time incentives in the cafeteria","title-short":"Lunch, recess and nutrition","volume":"71","author":[{"family":"Price","given":"Joseph"},{"family":"Just","given":"David R."}],"issued":{"date-parts":[["2015",2]]}}}],"schema":"https://github.com/citation-style-language/schema/raw/master/csl-citation.json"} </w:instrText>
      </w:r>
      <w:r>
        <w:fldChar w:fldCharType="separate"/>
      </w:r>
      <w:r w:rsidR="006B2F93" w:rsidRPr="006B2F93">
        <w:rPr>
          <w:rFonts w:cs="Arial"/>
          <w:vertAlign w:val="superscript"/>
        </w:rPr>
        <w:t>244–246</w:t>
      </w:r>
      <w:r>
        <w:fldChar w:fldCharType="end"/>
      </w:r>
      <w:r>
        <w:t xml:space="preserve"> Students require a minimum of 20 minutes of sitting time to eat and socialize. Students with longer lunch periods are more likely to consume at least 10 percent more of their food.</w:t>
      </w:r>
      <w:r>
        <w:fldChar w:fldCharType="begin"/>
      </w:r>
      <w:r w:rsidR="00FD5CAF">
        <w:instrText xml:space="preserve"> ADDIN ZOTERO_ITEM CSL_CITATION {"citationID":"Fb3LyvYp","properties":{"formattedCitation":"\\super 244\\nosupersub{}","plainCitation":"244","noteIndex":0},"citationItems":[{"id":97,"uris":["http://zotero.org/groups/5563646/items/XBCSHKI7"],"itemData":{"id":97,"type":"article-journal","abstract":"Background\nThere are currently no national standards for school lunch period lengths and little is known about the association between the amount of time students have to eat and school food selection and consumption.\n\nObjectives\nTo examine plate waste measurements from students in the control arm from the MEALS study (2011-2012 school year) for the association of the amount of time to eat with school meal selection and consumption.\n\nDesign\nProspective study using up to six repeated measures among students over the school year.\n\nParticipants/Setting\n1001 students in grades 3-8 attending 6 participating elementary/middle schools in an urban, low-income school district where lunch period lengths varied from 20-30 minutes.\n\nMain Outcome Measures\nSchool food selection and consumption were collected using plate waste methodology.\n\nStatistical Analyses Performed\nLogistic regression and mixed-model ANOVA was used to examine food selection and consumption.\n\nResults\nCompared with meal component selection when students had at least 25 minutes to eat, students were significantly less likely to select a fruit (44% vs. 57%; p=0.0001) compared with when students had fewer than 20 minutes to eat. There were no significant differences in entrée, milk, or vegetable selection. Among those who selected a meal component, students with fewer than 20 minutes to eat consumed 13% less of their entrée (p&lt;0.0001), 10% less of their milk (p&lt;0.0001), and 12% less of their vegetable (p=0.0002) compared to when students had at least 25 minutes to eat.\n\nConclusions\nOver the school year, a substantial number of students had insufficient time to eat, which was associated with significantly decreased entrée, milk, and vegetable consumption compared with students who had more time to eat. School policies that encourage lunches with at least 25 minutes of seated time may reduce food waste and improve dietary intake.","container-title":"Journal of the Academy of Nutrition and Dietetics","DOI":"10.1016/j.jand.2015.07.019","ISSN":"2212-2672","issue":"1","journalAbbreviation":"J Acad Nutr Diet","note":"PMID: 26372337\nPMCID: PMC4698073","page":"123-128","source":"PubMed Central","title":"The Amount of Time to Eat Lunch is Associated with Children’s Selection and Consumption of School Meal Entrée, Fruits, Vegetable, and Milk","volume":"116","author":[{"family":"Cohen","given":"Juliana F.W."},{"family":"Jahn","given":"Jaquelyn L."},{"family":"Richardson","given":"Scott"},{"family":"Cluggish","given":"Sarah A."},{"family":"Parker","given":"Ellen"},{"family":"Rimm","given":"Eric B."}],"issued":{"date-parts":[["2016",1]]}}}],"schema":"https://github.com/citation-style-language/schema/raw/master/csl-citation.json"} </w:instrText>
      </w:r>
      <w:r>
        <w:fldChar w:fldCharType="separate"/>
      </w:r>
      <w:r w:rsidR="00FD5CAF" w:rsidRPr="00FD5CAF">
        <w:rPr>
          <w:rFonts w:cs="Arial"/>
          <w:vertAlign w:val="superscript"/>
        </w:rPr>
        <w:t>244</w:t>
      </w:r>
      <w:r>
        <w:fldChar w:fldCharType="end"/>
      </w:r>
      <w:r>
        <w:t xml:space="preserve"> A minimum 30-minute lunch period is recommended to allow students enough time to grab food, eat, socialize with peers, and tidy up.</w:t>
      </w:r>
    </w:p>
    <w:p w14:paraId="6BCAC8E3" w14:textId="77777777" w:rsidR="006358DE" w:rsidRDefault="006358DE" w:rsidP="006358DE">
      <w:pPr>
        <w:pStyle w:val="Heading5a"/>
      </w:pPr>
      <w:r>
        <w:lastRenderedPageBreak/>
        <w:t>(1e) Schedule recess before lunch</w:t>
      </w:r>
    </w:p>
    <w:p w14:paraId="5D89AC97" w14:textId="5A9DF002" w:rsidR="006358DE" w:rsidRDefault="006358DE" w:rsidP="006D7DE6">
      <w:pPr>
        <w:pStyle w:val="BodyTextFirstIndent"/>
      </w:pPr>
      <w:r>
        <w:t>Scheduling recess before lunch in elementary schools can reduce food waste generated by students.</w:t>
      </w:r>
      <w:r>
        <w:fldChar w:fldCharType="begin"/>
      </w:r>
      <w:r w:rsidR="00533B0A">
        <w:instrText xml:space="preserve"> ADDIN ZOTERO_ITEM CSL_CITATION {"citationID":"uRq5bkem","properties":{"formattedCitation":"\\super 242\\nosupersub{}","plainCitation":"242","noteIndex":0},"citationItems":[{"id":100,"uris":["http://zotero.org/groups/5563646/items/N5R7KB75"],"itemData":{"id":100,"type":"article-journal","abstract":"The school environment plays an important role in children's diets and overall health, and policies for universal free school meals have the potential to contribute to positive child health outcomes. This systematic review evaluates studies examining the association between universal free school meals and students' school meal participation rates, diets, attendance, academic performance, and Body Mass Index (BMI), as well as school finances. The search was conducted in accordance with the Preferred Reporting Items for Systematic Review and Meta-Analyses (PRISMA). A search for studies published in economically developed countries published through December 2020 was performed in PubMed, Education Resources Information Center (ERIC), Thomson Reuters' Web of Science, and Academic Search Ultimate, followed by examining the references in the resultant literature. A total of 47 studies were identified and the Newcastle-Ottawa Scale (NOS) was applied to assess bias. Nearly all studies examining universal free school meals found positive associations with school meal participation. Most studies examining universal free school meals that included free lunch found positive associations with diet quality, food security, and academic performance; however, the findings of studies examining only universal free breakfast were mixed. Research findings were similarly mixed when examining attendance as an outcome. Concerns about adverse outcomes on student BMI were not supported by the literature; in fact, several studies detected a potentially protective effect of universal free school meals on BMI. Research examining the impact of universal free meals on school finances was limited, but suggest that lower-income school districts in the U.S. may have positive financial outcomes from participation in universal free school meal provisions. Additionally, providing free meals to students may be associated with improved household incomes, particularly among lower-income families with children. Further research is needed to examine the financial implications of universal free meals for both school districts and families. Overall, universal free school meals may have multiple benefits for students and countries should consider universal free school meal provisions with strong nutrition guidelines. (PROSPERO registration: CRD42020221782).","container-title":"Nutrients","DOI":"10.3390/nu13030911","ISSN":"2072-6643","issue":"3","journalAbbreviation":"Nutrients","language":"eng","note":"PMID: 33799780\nPMCID: PMC8000006","page":"911","source":"PubMed","title":"Universal School Meals and Associations with Student Participation, Attendance, Academic Performance, Diet Quality, Food Security, and Body Mass Index: A Systematic Review","title-short":"Universal School Meals and Associations with Student Participation, Attendance, Academic Performance, Diet Quality, Food Security, and Body Mass Index","volume":"13","author":[{"family":"Cohen","given":"Juliana F. W."},{"family":"Hecht","given":"Amelie A."},{"family":"McLoughlin","given":"Gabriella M."},{"family":"Turner","given":"Lindsey"},{"family":"Schwartz","given":"Marlene B."}],"issued":{"date-parts":[["2021",3,11]]}}}],"schema":"https://github.com/citation-style-language/schema/raw/master/csl-citation.json"} </w:instrText>
      </w:r>
      <w:r>
        <w:fldChar w:fldCharType="separate"/>
      </w:r>
      <w:r w:rsidR="00533B0A" w:rsidRPr="00533B0A">
        <w:rPr>
          <w:rFonts w:cs="Arial"/>
          <w:vertAlign w:val="superscript"/>
        </w:rPr>
        <w:t>242</w:t>
      </w:r>
      <w:r>
        <w:fldChar w:fldCharType="end"/>
      </w:r>
      <w:r>
        <w:t xml:space="preserve"> Taking recess before lunch results in students consuming a greater variety of foods that they may not typically favor.</w:t>
      </w:r>
      <w:r>
        <w:fldChar w:fldCharType="begin"/>
      </w:r>
      <w:r w:rsidR="00237B49">
        <w:instrText xml:space="preserve"> ADDIN ZOTERO_ITEM CSL_CITATION {"citationID":"C28q70h0","properties":{"formattedCitation":"\\super 242\\nosupersub{}","plainCitation":"242","noteIndex":0},"citationItems":[{"id":100,"uris":["http://zotero.org/groups/5563646/items/N5R7KB75"],"itemData":{"id":100,"type":"article-journal","abstract":"The school environment plays an important role in children's diets and overall health, and policies for universal free school meals have the potential to contribute to positive child health outcomes. This systematic review evaluates studies examining the association between universal free school meals and students' school meal participation rates, diets, attendance, academic performance, and Body Mass Index (BMI), as well as school finances. The search was conducted in accordance with the Preferred Reporting Items for Systematic Review and Meta-Analyses (PRISMA). A search for studies published in economically developed countries published through December 2020 was performed in PubMed, Education Resources Information Center (ERIC), Thomson Reuters' Web of Science, and Academic Search Ultimate, followed by examining the references in the resultant literature. A total of 47 studies were identified and the Newcastle-Ottawa Scale (NOS) was applied to assess bias. Nearly all studies examining universal free school meals found positive associations with school meal participation. Most studies examining universal free school meals that included free lunch found positive associations with diet quality, food security, and academic performance; however, the findings of studies examining only universal free breakfast were mixed. Research findings were similarly mixed when examining attendance as an outcome. Concerns about adverse outcomes on student BMI were not supported by the literature; in fact, several studies detected a potentially protective effect of universal free school meals on BMI. Research examining the impact of universal free meals on school finances was limited, but suggest that lower-income school districts in the U.S. may have positive financial outcomes from participation in universal free school meal provisions. Additionally, providing free meals to students may be associated with improved household incomes, particularly among lower-income families with children. Further research is needed to examine the financial implications of universal free meals for both school districts and families. Overall, universal free school meals may have multiple benefits for students and countries should consider universal free school meal provisions with strong nutrition guidelines. (PROSPERO registration: CRD42020221782).","container-title":"Nutrients","DOI":"10.3390/nu13030911","ISSN":"2072-6643","issue":"3","journalAbbreviation":"Nutrients","language":"eng","note":"PMID: 33799780\nPMCID: PMC8000006","page":"911","source":"PubMed","title":"Universal School Meals and Associations with Student Participation, Attendance, Academic Performance, Diet Quality, Food Security, and Body Mass Index: A Systematic Review","title-short":"Universal School Meals and Associations with Student Participation, Attendance, Academic Performance, Diet Quality, Food Security, and Body Mass Index","volume":"13","author":[{"family":"Cohen","given":"Juliana F. W."},{"family":"Hecht","given":"Amelie A."},{"family":"McLoughlin","given":"Gabriella M."},{"family":"Turner","given":"Lindsey"},{"family":"Schwartz","given":"Marlene B."}],"issued":{"date-parts":[["2021",3,11]]}}}],"schema":"https://github.com/citation-style-language/schema/raw/master/csl-citation.json"} </w:instrText>
      </w:r>
      <w:r>
        <w:fldChar w:fldCharType="separate"/>
      </w:r>
      <w:r w:rsidR="00237B49" w:rsidRPr="00237B49">
        <w:rPr>
          <w:rFonts w:cs="Arial"/>
          <w:vertAlign w:val="superscript"/>
        </w:rPr>
        <w:t>242</w:t>
      </w:r>
      <w:r>
        <w:fldChar w:fldCharType="end"/>
      </w:r>
      <w:r>
        <w:t xml:space="preserve"> </w:t>
      </w:r>
    </w:p>
    <w:p w14:paraId="05AF0E13" w14:textId="77777777" w:rsidR="006358DE" w:rsidRDefault="006358DE" w:rsidP="006358DE">
      <w:pPr>
        <w:pStyle w:val="Heading5a"/>
      </w:pPr>
      <w:r>
        <w:t>(1f) Use reusable and washable trays and utensils</w:t>
      </w:r>
    </w:p>
    <w:p w14:paraId="27BBB3FD" w14:textId="77777777" w:rsidR="006358DE" w:rsidRDefault="006358DE" w:rsidP="006D7DE6">
      <w:pPr>
        <w:pStyle w:val="BodyTextFirstIndent"/>
      </w:pPr>
      <w:r>
        <w:t>Schools can reduce waste by limiting their use of disposable trays and utensils.</w:t>
      </w:r>
    </w:p>
    <w:p w14:paraId="66F4B684" w14:textId="02638D82" w:rsidR="006358DE" w:rsidRDefault="006358DE" w:rsidP="0023018C">
      <w:pPr>
        <w:pStyle w:val="SourceCaption"/>
      </w:pPr>
      <w:r w:rsidRPr="00926BF3">
        <w:rPr>
          <w:noProof/>
        </w:rPr>
        <mc:AlternateContent>
          <mc:Choice Requires="wps">
            <w:drawing>
              <wp:anchor distT="0" distB="0" distL="114300" distR="114300" simplePos="0" relativeHeight="251676160" behindDoc="0" locked="0" layoutInCell="1" allowOverlap="1" wp14:anchorId="502A92D6" wp14:editId="0C500984">
                <wp:simplePos x="0" y="0"/>
                <wp:positionH relativeFrom="column">
                  <wp:posOffset>0</wp:posOffset>
                </wp:positionH>
                <wp:positionV relativeFrom="paragraph">
                  <wp:posOffset>3175</wp:posOffset>
                </wp:positionV>
                <wp:extent cx="5943600" cy="1842770"/>
                <wp:effectExtent l="0" t="0" r="19050" b="24130"/>
                <wp:wrapSquare wrapText="bothSides"/>
                <wp:docPr id="667468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42770"/>
                        </a:xfrm>
                        <a:prstGeom prst="rect">
                          <a:avLst/>
                        </a:prstGeom>
                        <a:solidFill>
                          <a:srgbClr val="DCE6F2"/>
                        </a:solidFill>
                        <a:ln w="9525">
                          <a:solidFill>
                            <a:srgbClr val="000000"/>
                          </a:solidFill>
                          <a:miter lim="800000"/>
                          <a:headEnd/>
                          <a:tailEnd/>
                        </a:ln>
                      </wps:spPr>
                      <wps:txbx>
                        <w:txbxContent>
                          <w:p w14:paraId="775F5DAC" w14:textId="77777777" w:rsidR="006358DE" w:rsidRDefault="006358DE" w:rsidP="006358DE">
                            <w:pPr>
                              <w:pStyle w:val="TextBoxTitle"/>
                            </w:pPr>
                            <w:r>
                              <w:t>New Bedford Public Schools Goes Green with Grant</w:t>
                            </w:r>
                          </w:p>
                          <w:p w14:paraId="20998726" w14:textId="5E9759C6" w:rsidR="006358DE" w:rsidRPr="00881E9C" w:rsidRDefault="006358DE" w:rsidP="006358DE">
                            <w:pPr>
                              <w:pStyle w:val="TextBoxText"/>
                            </w:pPr>
                            <w:r>
                              <w:t xml:space="preserve">In 2019, </w:t>
                            </w:r>
                            <w:r w:rsidRPr="00881E9C">
                              <w:t>New Bedford Public Schools received a School Recycling Assistance Grant through MassDEP’s Sustainable Materials Recovery Program to purchase and install 10 school dishwasher systems. The grant has enabled the school district to completely eliminate Styrofoam trays (the district purchased 1,627,980 Styrofoam trays in the 2018-2019 school year) and use paper trays when a disposable option is needed. Despite the initial capital costs of dishwashers and the additional labor needed to clean reusable trays, the recurring costs associated with disposable and recyclable trays exceed those of reusable trays and utensils.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2A92D6" id="_x0000_s1061" type="#_x0000_t202" style="position:absolute;left:0;text-align:left;margin-left:0;margin-top:.25pt;width:468pt;height:145.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" fillcolor="#dce6f2">
                <v:textbox>
                  <w:txbxContent>
                    <w:p w14:paraId="775F5DAC" w14:textId="77777777" w:rsidR="006358DE" w:rsidRDefault="006358DE" w:rsidP="006358DE">
                      <w:pPr>
                        <w:pStyle w:val="TextBoxTitle"/>
                      </w:pPr>
                      <w:r>
                        <w:t>New Bedford Public Schools Goes Green with Grant</w:t>
                      </w:r>
                    </w:p>
                    <w:p w14:paraId="20998726" w14:textId="5E9759C6" w:rsidR="006358DE" w:rsidRPr="00881E9C" w:rsidRDefault="006358DE" w:rsidP="006358DE">
                      <w:pPr>
                        <w:pStyle w:val="TextBoxText"/>
                      </w:pPr>
                      <w:r>
                        <w:t xml:space="preserve">In 2019, </w:t>
                      </w:r>
                      <w:r w:rsidRPr="00881E9C">
                        <w:t>New Bedford Public Schools received a School Recycling Assistance Grant through MassDEP’s Sustainable Materials Recovery Program to purchase and install 10 school dishwasher systems. The grant has enabled the school district to completely eliminate Styrofoam trays (the district purchased 1,627,980 Styrofoam trays in the 2018-2019 school year) and use paper trays when a disposable option is needed. Despite the initial capital costs of dishwashers and the additional labor needed to clean reusable trays, the recurring costs associated with disposable and recyclable trays exceed those of reusable trays and utensils.</w:t>
                      </w:r>
                    </w:p>
                  </w:txbxContent>
                </v:textbox>
                <w10:wrap type="square"/>
              </v:shape>
            </w:pict>
          </mc:Fallback>
        </mc:AlternateContent>
      </w:r>
      <w:r>
        <w:t>Source: MassDEP</w:t>
      </w:r>
      <w:r w:rsidR="00396DFA" w:rsidRPr="00A774D7">
        <w:rPr>
          <w:spacing w:val="-20"/>
        </w:rPr>
        <w:t xml:space="preserve"> </w:t>
      </w:r>
      <w:r>
        <w:fldChar w:fldCharType="begin"/>
      </w:r>
      <w:r w:rsidR="003C0FEA">
        <w:instrText xml:space="preserve"> ADDIN ZOTERO_ITEM CSL_CITATION {"citationID":"Ec13uyKi","properties":{"formattedCitation":"\\super 247\\nosupersub{}","plainCitation":"247","noteIndex":0},"citationItems":[{"id":89,"uris":["http://zotero.org/groups/5563646/items/G45PH4JM"],"itemData":{"id":89,"type":"webpage","language":"en","title":"Green SWoRD - School Waste Reduction and Diversion Working Group - Reusable Food Serviceware","URL":"https://sites.google.com/view/ma-green-sword-k-12-schools/reusable-food-serviceware","author":[{"family":"MassDEP","given":""}],"accessed":{"date-parts":[["2024",6,17]]}}}],"schema":"https://github.com/citation-style-language/schema/raw/master/csl-citation.json"} </w:instrText>
      </w:r>
      <w:r>
        <w:fldChar w:fldCharType="separate"/>
      </w:r>
      <w:r w:rsidR="003C0FEA" w:rsidRPr="003C0FEA">
        <w:rPr>
          <w:rFonts w:cs="Arial"/>
          <w:vertAlign w:val="superscript"/>
        </w:rPr>
        <w:t>247</w:t>
      </w:r>
      <w:r>
        <w:fldChar w:fldCharType="end"/>
      </w:r>
    </w:p>
    <w:p w14:paraId="550ADC57" w14:textId="6A20096C" w:rsidR="006358DE" w:rsidRPr="000C1A48" w:rsidRDefault="006358DE" w:rsidP="006D7DE6">
      <w:pPr>
        <w:pStyle w:val="BodyTextFirstIndent"/>
      </w:pPr>
      <w:r>
        <w:t xml:space="preserve">If schools must use disposable trays and cutlery, compostable options are preferred </w:t>
      </w:r>
      <w:r w:rsidR="00F7497B">
        <w:t>to</w:t>
      </w:r>
      <w:r>
        <w:t xml:space="preserve"> divert waste from the landfill. Where possible, schools should strive to procure cutlery that is not wrapped in plastic packets since these packets are typically not recyclable or compostable.</w:t>
      </w:r>
    </w:p>
    <w:p w14:paraId="1CB3CF26" w14:textId="77777777" w:rsidR="006358DE" w:rsidRDefault="006358DE" w:rsidP="006358DE">
      <w:pPr>
        <w:pStyle w:val="Heading5a"/>
      </w:pPr>
      <w:r>
        <w:t xml:space="preserve">(1g) Install and use milk dispensers as an alternative to milk cartons </w:t>
      </w:r>
    </w:p>
    <w:p w14:paraId="391E9A9B" w14:textId="749AABC7" w:rsidR="006358DE" w:rsidRDefault="006358DE" w:rsidP="006D7DE6">
      <w:pPr>
        <w:pStyle w:val="BodyTextFirstIndent"/>
      </w:pPr>
      <w:r>
        <w:t>The installation and use of milk dispensers can reduce milk waste by as much as 40 percent, increase cost savings, and decrease vulnerability to supply chain instability.</w:t>
      </w:r>
      <w:r>
        <w:fldChar w:fldCharType="begin"/>
      </w:r>
      <w:r w:rsidR="003546DA">
        <w:instrText xml:space="preserve"> ADDIN ZOTERO_ITEM CSL_CITATION {"citationID":"Ay6Xk7mO","properties":{"formattedCitation":"\\super 248\\nosupersub{}","plainCitation":"248","noteIndex":0},"citationItems":[{"id":85,"uris":["http://zotero.org/groups/5563646/items/E8IHQZIF"],"itemData":{"id":85,"type":"report","title":"Analysis of Milk Dispensers and Milk Cartons for Auburn School District","author":[{"family":"King County","given":""}],"issued":{"date-parts":[["2021",1]]}}}],"schema":"https://github.com/citation-style-language/schema/raw/master/csl-citation.json"} </w:instrText>
      </w:r>
      <w:r>
        <w:fldChar w:fldCharType="separate"/>
      </w:r>
      <w:r w:rsidR="003546DA" w:rsidRPr="003546DA">
        <w:rPr>
          <w:rFonts w:cs="Arial"/>
          <w:vertAlign w:val="superscript"/>
        </w:rPr>
        <w:t>248</w:t>
      </w:r>
      <w:r>
        <w:fldChar w:fldCharType="end"/>
      </w:r>
      <w:r>
        <w:t xml:space="preserve"> Milk cartons are a major waste product from schools, with some waste audits estimating that milk cartons represent upwards of 17 percent of a school district’s waste stream.</w:t>
      </w:r>
      <w:r>
        <w:fldChar w:fldCharType="begin"/>
      </w:r>
      <w:r w:rsidR="00D17E78">
        <w:instrText xml:space="preserve"> ADDIN ZOTERO_ITEM CSL_CITATION {"citationID":"wEKtlI7q","properties":{"formattedCitation":"\\super 248\\nosupersub{}","plainCitation":"248","noteIndex":0},"citationItems":[{"id":85,"uris":["http://zotero.org/groups/5563646/items/E8IHQZIF"],"itemData":{"id":85,"type":"report","title":"Analysis of Milk Dispensers and Milk Cartons for Auburn School District","author":[{"family":"King County","given":""}],"issued":{"date-parts":[["2021",1]]}}}],"schema":"https://github.com/citation-style-language/schema/raw/master/csl-citation.json"} </w:instrText>
      </w:r>
      <w:r>
        <w:fldChar w:fldCharType="separate"/>
      </w:r>
      <w:r w:rsidR="00D17E78" w:rsidRPr="00D17E78">
        <w:rPr>
          <w:rFonts w:cs="Arial"/>
          <w:vertAlign w:val="superscript"/>
        </w:rPr>
        <w:t>248</w:t>
      </w:r>
      <w:r>
        <w:fldChar w:fldCharType="end"/>
      </w:r>
      <w:r>
        <w:t xml:space="preserve"> In 2023, schools around the nation faced milk shortages due to carton supply chain issues.</w:t>
      </w:r>
      <w:r>
        <w:fldChar w:fldCharType="begin"/>
      </w:r>
      <w:r w:rsidR="00D10E38">
        <w:instrText xml:space="preserve"> ADDIN ZOTERO_ITEM CSL_CITATION {"citationID":"pxkt8agh","properties":{"formattedCitation":"\\super 249,250\\nosupersub{}","plainCitation":"249,250","noteIndex":0},"citationItems":[{"id":91,"uris":["http://zotero.org/groups/5563646/items/HLSH27L2"],"itemData":{"id":91,"type":"article-journal","language":"en","source":"Zotero","title":"Clarification of Allowable Flexibilities for Child Nutrition Programs Experiencing Milk Supply Shortages","author":[{"family":"USDA","given":""}],"issued":{"date-parts":[["2023",10,25]]}}},{"id":92,"uris":["http://zotero.org/groups/5563646/items/KPYTFFMA"],"itemData":{"id":92,"type":"webpage","abstract":"School nutrition leaders are navigating a widespread milk carton shortage, adding to the persistent supply chain issues impacting school cafeterias.","container-title":"Waste Dive","language":"en-US","title":"Milk carton shortage spills into schools","URL":"https://www.k12dive.com/news/milk-carton-shortage-schools/699137/","author":[{"family":"Merod","given":"Anna"}],"accessed":{"date-parts":[["2024",6,17]]},"issued":{"date-parts":[["2023",11,8]]}}}],"schema":"https://github.com/citation-style-language/schema/raw/master/csl-citation.json"} </w:instrText>
      </w:r>
      <w:r>
        <w:fldChar w:fldCharType="separate"/>
      </w:r>
      <w:r w:rsidR="00D10E38" w:rsidRPr="00D10E38">
        <w:rPr>
          <w:rFonts w:cs="Arial"/>
          <w:vertAlign w:val="superscript"/>
        </w:rPr>
        <w:t>249,250</w:t>
      </w:r>
      <w:r>
        <w:fldChar w:fldCharType="end"/>
      </w:r>
      <w:r>
        <w:t xml:space="preserve"> In King County, Washington, school districts that switched from milk cartons to milk dispensers realized (1) a reduction in milk waste, (2) increased cost savings resulting from reduced garbage and recycling collection costs, and (3) lower supply costs due to reduced milk waste and the phaseout of purchased milk cartons.</w:t>
      </w:r>
      <w:r>
        <w:fldChar w:fldCharType="begin"/>
      </w:r>
      <w:r w:rsidR="00E55A6D">
        <w:instrText xml:space="preserve"> ADDIN ZOTERO_ITEM CSL_CITATION {"citationID":"e6m1nYtr","properties":{"formattedCitation":"\\super 251\\nosupersub{}","plainCitation":"251","noteIndex":0},"citationItems":[{"id":86,"uris":["http://zotero.org/groups/5563646/items/PTC73F9C"],"itemData":{"id":86,"type":"webpage","language":"en","title":"Reducing food waste in schools - King County, Washington","URL":"https://www.kingcounty.gov/en/dept/dnrp/waste-services/garbage-recycling-compost/solid-waste-programs/green-schools/program-levels/level-one/food-waste","author":[{"family":"King County","given":""}],"accessed":{"date-parts":[["2024",6,18]]},"issued":{"date-parts":[["2024"]]}}}],"schema":"https://github.com/citation-style-language/schema/raw/master/csl-citation.json"} </w:instrText>
      </w:r>
      <w:r>
        <w:fldChar w:fldCharType="separate"/>
      </w:r>
      <w:r w:rsidR="00E55A6D" w:rsidRPr="00E55A6D">
        <w:rPr>
          <w:rFonts w:cs="Arial"/>
          <w:vertAlign w:val="superscript"/>
        </w:rPr>
        <w:t>251</w:t>
      </w:r>
      <w:r>
        <w:fldChar w:fldCharType="end"/>
      </w:r>
      <w:r>
        <w:t xml:space="preserve"> K–12 schools are widely adopting milk dispensers, and they are already widely implemented in college cafeterias.</w:t>
      </w:r>
    </w:p>
    <w:p w14:paraId="661DEFD1" w14:textId="77777777" w:rsidR="006358DE" w:rsidRDefault="006358DE" w:rsidP="006358DE">
      <w:pPr>
        <w:pStyle w:val="Heading5a"/>
      </w:pPr>
      <w:r>
        <w:t>(1h) Install and use water bottle fillers</w:t>
      </w:r>
    </w:p>
    <w:p w14:paraId="25861804" w14:textId="62C7FF50" w:rsidR="006358DE" w:rsidRPr="000C1A48" w:rsidRDefault="006358DE" w:rsidP="006D7DE6">
      <w:pPr>
        <w:pStyle w:val="BodyTextFirstIndent"/>
      </w:pPr>
      <w:r>
        <w:t>Water bottle fillers are widely implemented across educational buildings to reduce plastic waste. Many students</w:t>
      </w:r>
      <w:r w:rsidR="00141541">
        <w:t xml:space="preserve"> and staff</w:t>
      </w:r>
      <w:r>
        <w:t xml:space="preserve"> carry and customize reusable water bottles. While studies at the K–12 level are limited, one mid-sized university reported that the </w:t>
      </w:r>
      <w:r>
        <w:lastRenderedPageBreak/>
        <w:t>implementation of water bottle fillers reduced their annual use of disposable single-use plastic water bottles by approximately 400,000.</w:t>
      </w:r>
      <w:r>
        <w:fldChar w:fldCharType="begin"/>
      </w:r>
      <w:r w:rsidR="00E55D7E">
        <w:instrText xml:space="preserve"> ADDIN ZOTERO_ITEM CSL_CITATION {"citationID":"WQaDW3Tz","properties":{"formattedCitation":"\\super 252\\nosupersub{}","plainCitation":"252","noteIndex":0},"citationItems":[{"id":83,"uris":["http://zotero.org/groups/5563646/items/BFX4SMU7"],"itemData":{"id":83,"type":"webpage","language":"en","title":"Campus Water Stations Save 400,000 Plastic Bottles | Duke Today","URL":"https://today.duke.edu/2015/10/hydrationstations","author":[{"family":"Duke University","given":""}],"accessed":{"date-parts":[["2024",6,18]]},"issued":{"date-parts":[["2015",10,27]]}}}],"schema":"https://github.com/citation-style-language/schema/raw/master/csl-citation.json"} </w:instrText>
      </w:r>
      <w:r>
        <w:fldChar w:fldCharType="separate"/>
      </w:r>
      <w:r w:rsidR="00E55D7E" w:rsidRPr="00E55D7E">
        <w:rPr>
          <w:rFonts w:cs="Arial"/>
          <w:vertAlign w:val="superscript"/>
        </w:rPr>
        <w:t>252</w:t>
      </w:r>
      <w:r>
        <w:fldChar w:fldCharType="end"/>
      </w:r>
      <w:r>
        <w:t xml:space="preserve"> </w:t>
      </w:r>
    </w:p>
    <w:p w14:paraId="24542B4B" w14:textId="77777777" w:rsidR="006358DE" w:rsidRDefault="006358DE" w:rsidP="006358DE">
      <w:pPr>
        <w:pStyle w:val="Heading5a"/>
      </w:pPr>
      <w:r>
        <w:t>(1i) Establish and use food share tables</w:t>
      </w:r>
    </w:p>
    <w:p w14:paraId="4C0DADEB" w14:textId="36798393" w:rsidR="006358DE" w:rsidRPr="008A41EE" w:rsidRDefault="006358DE" w:rsidP="006D7DE6">
      <w:pPr>
        <w:pStyle w:val="BodyTextFirstIndent"/>
      </w:pPr>
      <w:r>
        <w:t>Based on federal guidance from USDA,</w:t>
      </w:r>
      <w:r>
        <w:fldChar w:fldCharType="begin"/>
      </w:r>
      <w:r w:rsidR="00BA786D">
        <w:instrText xml:space="preserve"> ADDIN ZOTERO_ITEM CSL_CITATION {"citationID":"0uzM7Co6","properties":{"formattedCitation":"\\super 253\\nosupersub{}","plainCitation":"253","noteIndex":0},"citationItems":[{"id":82,"uris":["http://zotero.org/groups/5563646/items/4799LD5F"],"itemData":{"id":82,"type":"article-journal","language":"en","source":"Zotero","title":"Share Table Guidelines","URL":"https://fns-prod.azureedge.us/sites/default/files/cn/SP41_CACFP13_SFSP15_2016os.pdf","author":[{"family":"USDA","given":""}],"issued":{"date-parts":[["2016",6,22]]}}}],"schema":"https://github.com/citation-style-language/schema/raw/master/csl-citation.json"} </w:instrText>
      </w:r>
      <w:r>
        <w:fldChar w:fldCharType="separate"/>
      </w:r>
      <w:r w:rsidR="00BA786D" w:rsidRPr="00BA786D">
        <w:rPr>
          <w:rFonts w:cs="Arial"/>
          <w:vertAlign w:val="superscript"/>
        </w:rPr>
        <w:t>253</w:t>
      </w:r>
      <w:r>
        <w:fldChar w:fldCharType="end"/>
      </w:r>
      <w:r>
        <w:t xml:space="preserve"> DESE encourages and outlines guidance for the use of food share tables in schools in its </w:t>
      </w:r>
      <w:hyperlink r:id="rId209" w:history="1">
        <w:r w:rsidRPr="00F73573">
          <w:rPr>
            <w:rStyle w:val="Hyperlink"/>
          </w:rPr>
          <w:t>Massachusetts School Meal Programs Share Table Guidance</w:t>
        </w:r>
      </w:hyperlink>
      <w:r>
        <w:t>. Students use share tables to exchange whole and uncontaminated food items (e.g., whole fruit,</w:t>
      </w:r>
      <w:r w:rsidDel="00737212">
        <w:t xml:space="preserve"> </w:t>
      </w:r>
      <w:r>
        <w:t>chip bags). Schools can elect to manage these tables in different ways: (1) food can be exchanged with no costs, (2) students can be reimbursed for later meals, or (3) food can be donated to local institutions.</w:t>
      </w:r>
      <w:r>
        <w:fldChar w:fldCharType="begin"/>
      </w:r>
      <w:r w:rsidR="00C31E39">
        <w:instrText xml:space="preserve"> ADDIN ZOTERO_ITEM CSL_CITATION {"citationID":"KA893IgM","properties":{"formattedCitation":"\\super 253\\nosupersub{}","plainCitation":"253","noteIndex":0},"citationItems":[{"id":82,"uris":["http://zotero.org/groups/5563646/items/4799LD5F"],"itemData":{"id":82,"type":"article-journal","language":"en","source":"Zotero","title":"Share Table Guidelines","URL":"https://fns-prod.azureedge.us/sites/default/files/cn/SP41_CACFP13_SFSP15_2016os.pdf","author":[{"family":"USDA","given":""}],"issued":{"date-parts":[["2016",6,22]]}}}],"schema":"https://github.com/citation-style-language/schema/raw/master/csl-citation.json"} </w:instrText>
      </w:r>
      <w:r>
        <w:fldChar w:fldCharType="separate"/>
      </w:r>
      <w:r w:rsidR="00C31E39" w:rsidRPr="00C31E39">
        <w:rPr>
          <w:rFonts w:cs="Arial"/>
          <w:vertAlign w:val="superscript"/>
        </w:rPr>
        <w:t>253</w:t>
      </w:r>
      <w:r>
        <w:fldChar w:fldCharType="end"/>
      </w:r>
      <w:r>
        <w:t xml:space="preserve"> Share tables must be in compliance with federal food safety regulations [</w:t>
      </w:r>
      <w:r w:rsidRPr="00991D34">
        <w:t>7 CFR 210.13, 220.7, 226.20, and 225.16(a)</w:t>
      </w:r>
      <w:r>
        <w:t>] and the local School Food Authority’s food safety plan. Schools should contact and obtain written approval from their respective local board of health prior to establishing and using share tables.</w:t>
      </w:r>
    </w:p>
    <w:p w14:paraId="43D5E9C3" w14:textId="77777777" w:rsidR="006358DE" w:rsidRDefault="006358DE" w:rsidP="006358DE">
      <w:pPr>
        <w:pStyle w:val="Heading5"/>
      </w:pPr>
      <w:r>
        <w:t>(2) Educate staff and students to transform habits</w:t>
      </w:r>
    </w:p>
    <w:p w14:paraId="0075AC12" w14:textId="20E1F16C" w:rsidR="006358DE" w:rsidRDefault="006358DE" w:rsidP="006D7DE6">
      <w:pPr>
        <w:pStyle w:val="BodyTextFirstIndent"/>
      </w:pPr>
      <w:r>
        <w:t>Waste education is essential to encourage the adoption of new waste-reducing infrastructure and practices and to increase awareness of the consequences of waste. Schools can educate their staff and students on why waste matters (e.g., circular economy, systems-thinking), how they can reduce the amount of waste they produce, and how to properly sort their waste. Education should take place both in and out of the classroom. Waste audits</w:t>
      </w:r>
      <w:r w:rsidRPr="00567F58">
        <w:t xml:space="preserve"> </w:t>
      </w:r>
      <w:r>
        <w:t>combined with field trips to waste processing facilities</w:t>
      </w:r>
      <w:r w:rsidRPr="0087131B">
        <w:t xml:space="preserve"> </w:t>
      </w:r>
      <w:r>
        <w:t xml:space="preserve">help schools better understand their waste stream and are effective hands-on learning experiences for students to learn the life cycle of waste. In Massachusetts, MassDEP’s </w:t>
      </w:r>
      <w:hyperlink r:id="rId210" w:history="1">
        <w:r w:rsidRPr="002A3268">
          <w:rPr>
            <w:rStyle w:val="Hyperlink"/>
          </w:rPr>
          <w:t>Green Team</w:t>
        </w:r>
      </w:hyperlink>
      <w:r>
        <w:t xml:space="preserve"> offers many waste </w:t>
      </w:r>
      <w:r w:rsidRPr="002A3268">
        <w:t>lesson plans</w:t>
      </w:r>
      <w:r>
        <w:t xml:space="preserve"> for teachers and awareness campaign materials for administrators.</w:t>
      </w:r>
    </w:p>
    <w:p w14:paraId="3D56D3EE" w14:textId="41E58E67" w:rsidR="006358DE" w:rsidRPr="000D607C" w:rsidRDefault="006358DE" w:rsidP="006D7DE6">
      <w:pPr>
        <w:pStyle w:val="BodyTextFirstIndent"/>
      </w:pPr>
      <w:r>
        <w:t>Implementing sustainable infrastructure often requires participants to disrupt their current habits and adopt new ones. For example, a student may normally throw their entire lunch tray into one trash bin. That student may find it inconvenient to adopt a school’s transition to sustainable practices, which could require them to scrape food off their reusable tray, recycle a fruit cup, and then place the tray in a designated location. Interventions can be used to discourage old habits,</w:t>
      </w:r>
      <w:r w:rsidRPr="00A11AA1">
        <w:t xml:space="preserve"> </w:t>
      </w:r>
      <w:r>
        <w:t>and actions that encourage repetition can reinforce the formation of new habits. Life changes make people more likely to break their old habits; as such, when a student starts a new grade or begins at a new school, they are especially able to accept new sustainable behaviors.</w:t>
      </w:r>
      <w:r>
        <w:fldChar w:fldCharType="begin"/>
      </w:r>
      <w:r w:rsidR="00C53BCF">
        <w:instrText xml:space="preserve"> ADDIN ZOTERO_ITEM CSL_CITATION {"citationID":"HWgGmoNG","properties":{"formattedCitation":"\\super 254\\nosupersub{}","plainCitation":"254","noteIndex":0},"citationItems":[{"id":95,"uris":["http://zotero.org/groups/5563646/items/4CNKNJBU"],"itemData":{"id":95,"type":"article-journal","abstract":"Highlighting the important role of marketing in encouraging sustainable consumption, the current research presents a review of the academic literature from marketing and behavioral science that examines the most effective ways to shift consumer behaviors to be more sustainable. In the process of the review, the authors develop a comprehensive framework for conceptualizing and encouraging sustainable consumer behavior change. The framework is represented by the acronym SHIFT, and it proposes that consumers are more inclined to engage in pro-environmental behaviors when the message or context leverages the following psychological factors: Social influence, Habit formation, Individual self, Feelings and cognition, and Tangibility. The authors also identify five broad challenges to encouraging sustainable behaviors and use these to develop novel theoretical propositions and directions for future research. Finally, the authors outline how practitioners aiming to encourage sustainable consumer behaviors can use this framework.","container-title":"Journal of Marketing","DOI":"10.1177/0022242919825649","ISSN":"0022-2429","issue":"3","language":"en","note":"publisher: SAGE Publications Inc","page":"22-49","source":"SAGE Journals","title":"How to SHIFT Consumer Behaviors to be More Sustainable: A Literature Review and Guiding Framework","title-short":"How to SHIFT Consumer Behaviors to be More Sustainable","volume":"83","author":[{"family":"White","given":"Katherine"},{"family":"Habib","given":"Rishad"},{"family":"Hardisty","given":"David J."}],"issued":{"date-parts":[["2019",5,1]]}}}],"schema":"https://github.com/citation-style-language/schema/raw/master/csl-citation.json"} </w:instrText>
      </w:r>
      <w:r>
        <w:fldChar w:fldCharType="separate"/>
      </w:r>
      <w:r w:rsidR="00C53BCF" w:rsidRPr="00C53BCF">
        <w:rPr>
          <w:rFonts w:cs="Arial"/>
          <w:vertAlign w:val="superscript"/>
        </w:rPr>
        <w:t>254</w:t>
      </w:r>
      <w:r>
        <w:fldChar w:fldCharType="end"/>
      </w:r>
      <w:r>
        <w:t xml:space="preserve"> Penalties for bad behavior (e.g., throwing trash in recycling) can be effective in moderation but can often result in defensiveness and no behavioral changes.</w:t>
      </w:r>
      <w:r>
        <w:fldChar w:fldCharType="begin"/>
      </w:r>
      <w:r w:rsidR="001802E8">
        <w:instrText xml:space="preserve"> ADDIN ZOTERO_ITEM CSL_CITATION {"citationID":"UPzAshvf","properties":{"formattedCitation":"\\super 255\\nosupersub{}","plainCitation":"255","noteIndex":0},"citationItems":[{"id":81,"uris":["http://zotero.org/groups/5563646/items/VJAJMTYZ"],"itemData":{"id":81,"type":"article-journal","abstract":"Encouraging Pro-Environmental Behaviour with Rewards and Penalties","container-title":"Environmental Psychology","source":"www.academia.edu","title":"Encouraging Pro-Environmental Behaviour with Rewards and Penalties","URL":"https://www.academia.edu/69074765/Encouraging_Pro_Environmental_Behaviour_with_Rewards_and_Penalties","author":[{"family":"Geller","given":"E. Scott"}],"accessed":{"date-parts":[["2024",6,18]]}}}],"schema":"https://github.com/citation-style-language/schema/raw/master/csl-citation.json"} </w:instrText>
      </w:r>
      <w:r>
        <w:fldChar w:fldCharType="separate"/>
      </w:r>
      <w:r w:rsidR="001802E8" w:rsidRPr="001802E8">
        <w:rPr>
          <w:rFonts w:cs="Arial"/>
          <w:vertAlign w:val="superscript"/>
        </w:rPr>
        <w:t>255</w:t>
      </w:r>
      <w:r>
        <w:fldChar w:fldCharType="end"/>
      </w:r>
      <w:r>
        <w:t xml:space="preserve"> New habits can be encouraged by making it easy to adopt them, using reminder prompts, providing feedback, and</w:t>
      </w:r>
      <w:r w:rsidR="004C6BCC">
        <w:t xml:space="preserve"> </w:t>
      </w:r>
      <w:r>
        <w:t>creating incentives.</w:t>
      </w:r>
      <w:r>
        <w:fldChar w:fldCharType="begin"/>
      </w:r>
      <w:r w:rsidR="00916116">
        <w:instrText xml:space="preserve"> ADDIN ZOTERO_ITEM CSL_CITATION {"citationID":"E1hvFbsI","properties":{"formattedCitation":"\\super 254\\nosupersub{}","plainCitation":"254","noteIndex":0},"citationItems":[{"id":95,"uris":["http://zotero.org/groups/5563646/items/4CNKNJBU"],"itemData":{"id":95,"type":"article-journal","abstract":"Highlighting the important role of marketing in encouraging sustainable consumption, the current research presents a review of the academic literature from marketing and behavioral science that examines the most effective ways to shift consumer behaviors to be more sustainable. In the process of the review, the authors develop a comprehensive framework for conceptualizing and encouraging sustainable consumer behavior change. The framework is represented by the acronym SHIFT, and it proposes that consumers are more inclined to engage in pro-environmental behaviors when the message or context leverages the following psychological factors: Social influence, Habit formation, Individual self, Feelings and cognition, and Tangibility. The authors also identify five broad challenges to encouraging sustainable behaviors and use these to develop novel theoretical propositions and directions for future research. Finally, the authors outline how practitioners aiming to encourage sustainable consumer behaviors can use this framework.","container-title":"Journal of Marketing","DOI":"10.1177/0022242919825649","ISSN":"0022-2429","issue":"3","language":"en","note":"publisher: SAGE Publications Inc","page":"22-49","source":"SAGE Journals","title":"How to SHIFT Consumer Behaviors to be More Sustainable: A Literature Review and Guiding Framework","title-short":"How to SHIFT Consumer Behaviors to be More Sustainable","volume":"83","author":[{"family":"White","given":"Katherine"},{"family":"Habib","given":"Rishad"},{"family":"Hardisty","given":"David J."}],"issued":{"date-parts":[["2019",5,1]]}}}],"schema":"https://github.com/citation-style-language/schema/raw/master/csl-citation.json"} </w:instrText>
      </w:r>
      <w:r>
        <w:fldChar w:fldCharType="separate"/>
      </w:r>
      <w:r w:rsidR="00916116" w:rsidRPr="00916116">
        <w:rPr>
          <w:rFonts w:cs="Arial"/>
          <w:vertAlign w:val="superscript"/>
        </w:rPr>
        <w:t>254</w:t>
      </w:r>
      <w:r>
        <w:fldChar w:fldCharType="end"/>
      </w:r>
    </w:p>
    <w:p w14:paraId="470D1D70" w14:textId="77777777" w:rsidR="006358DE" w:rsidRDefault="006358DE" w:rsidP="006358DE">
      <w:pPr>
        <w:pStyle w:val="Heading5"/>
      </w:pPr>
      <w:r>
        <w:t xml:space="preserve">(3) </w:t>
      </w:r>
      <w:r w:rsidRPr="00A33262">
        <w:t>Institut</w:t>
      </w:r>
      <w:r>
        <w:t>e</w:t>
      </w:r>
      <w:r w:rsidRPr="00A33262">
        <w:t xml:space="preserve"> </w:t>
      </w:r>
      <w:r>
        <w:t>i</w:t>
      </w:r>
      <w:r w:rsidRPr="00A33262">
        <w:t xml:space="preserve">tem </w:t>
      </w:r>
      <w:r>
        <w:t>e</w:t>
      </w:r>
      <w:r w:rsidRPr="00A33262">
        <w:t xml:space="preserve">xchange </w:t>
      </w:r>
      <w:r>
        <w:t>o</w:t>
      </w:r>
      <w:r w:rsidRPr="00A33262">
        <w:t>pportunities</w:t>
      </w:r>
    </w:p>
    <w:p w14:paraId="5D2F3E08" w14:textId="77777777" w:rsidR="006358DE" w:rsidRDefault="006358DE" w:rsidP="006D7DE6">
      <w:pPr>
        <w:pStyle w:val="BodyTextFirstIndent"/>
      </w:pPr>
      <w:r>
        <w:t xml:space="preserve">Schools can use item exchange opportunities to recirculate items in good condition that are often discarded and replaced (e.g., backpacks, pencil boxes, and folders). Large </w:t>
      </w:r>
      <w:r>
        <w:lastRenderedPageBreak/>
        <w:t>events, such as school-sponsored yard sales or end-of-year exchanges, are effective at diverting large amounts of waste, but may require substantial effort to organize. Schools can supplement these large events with smaller, passive, easier-to-implement solutions, such as swap tables or “good-on-one-side” paper swap boxes. Schools may also choose to partner with faith-based organizations, thrift stores, food pantries, or donation centers to transfer school-community resources into the broader community. Item exchange opportunities have the co-benefit of supporting students from lower-resourced backgrounds in obtaining essential school items.</w:t>
      </w:r>
    </w:p>
    <w:p w14:paraId="786BABC5" w14:textId="77777777" w:rsidR="006358DE" w:rsidRDefault="006358DE" w:rsidP="006358DE">
      <w:pPr>
        <w:pStyle w:val="Heading4"/>
      </w:pPr>
      <w:r w:rsidRPr="002E5744">
        <w:t>Effectively Manage Generated Solid Waste</w:t>
      </w:r>
    </w:p>
    <w:p w14:paraId="55A98FDD" w14:textId="77816515" w:rsidR="006358DE" w:rsidRPr="00EA3AC6" w:rsidRDefault="006358DE" w:rsidP="006D7DE6">
      <w:pPr>
        <w:pStyle w:val="BodyTextFirstIndent"/>
      </w:pPr>
      <w:r>
        <w:t>To effectively manage generated solid waste, schools should consider establishing an effective</w:t>
      </w:r>
      <w:r w:rsidR="00363673">
        <w:t xml:space="preserve"> electronic wast</w:t>
      </w:r>
      <w:r w:rsidR="00A774D7">
        <w:t>e</w:t>
      </w:r>
      <w:r>
        <w:t xml:space="preserve"> </w:t>
      </w:r>
      <w:r w:rsidR="00363673">
        <w:t>(“</w:t>
      </w:r>
      <w:r>
        <w:t>e-waste</w:t>
      </w:r>
      <w:r w:rsidR="00363673">
        <w:t>”)</w:t>
      </w:r>
      <w:r>
        <w:t xml:space="preserve"> recycling program, designating staff and students to manage and implement the school’s waste program, maximizing the collection of divertible solid waste, optimizing collection bin location and labeling, processing organic waste onsite, composting or l</w:t>
      </w:r>
      <w:r w:rsidRPr="00192275">
        <w:t>eav</w:t>
      </w:r>
      <w:r>
        <w:t>ing</w:t>
      </w:r>
      <w:r w:rsidRPr="00192275">
        <w:t xml:space="preserve"> </w:t>
      </w:r>
      <w:r>
        <w:t>l</w:t>
      </w:r>
      <w:r w:rsidRPr="00192275">
        <w:t xml:space="preserve">awn </w:t>
      </w:r>
      <w:r>
        <w:t>c</w:t>
      </w:r>
      <w:r w:rsidRPr="00192275">
        <w:t xml:space="preserve">lippings in </w:t>
      </w:r>
      <w:r>
        <w:t>p</w:t>
      </w:r>
      <w:r w:rsidRPr="00192275">
        <w:t>lace</w:t>
      </w:r>
      <w:r>
        <w:t>,</w:t>
      </w:r>
      <w:r w:rsidRPr="00192275">
        <w:t xml:space="preserve"> </w:t>
      </w:r>
      <w:r>
        <w:t>and using smart waste monitoring technology.</w:t>
      </w:r>
    </w:p>
    <w:p w14:paraId="6500EF51" w14:textId="77777777" w:rsidR="006358DE" w:rsidRDefault="006358DE" w:rsidP="006358DE">
      <w:pPr>
        <w:pStyle w:val="Heading5"/>
      </w:pPr>
      <w:r>
        <w:t xml:space="preserve">(4) </w:t>
      </w:r>
      <w:r w:rsidRPr="00BB6629">
        <w:t xml:space="preserve">Establish an </w:t>
      </w:r>
      <w:r>
        <w:t>electronic w</w:t>
      </w:r>
      <w:r w:rsidRPr="00BB6629">
        <w:t xml:space="preserve">aste </w:t>
      </w:r>
      <w:r>
        <w:t>r</w:t>
      </w:r>
      <w:r w:rsidRPr="00BB6629">
        <w:t xml:space="preserve">ecycling </w:t>
      </w:r>
      <w:r>
        <w:t>plan</w:t>
      </w:r>
      <w:r w:rsidRPr="00BB6629">
        <w:t xml:space="preserve"> for </w:t>
      </w:r>
      <w:r>
        <w:t>e</w:t>
      </w:r>
      <w:r w:rsidRPr="00BB6629">
        <w:t xml:space="preserve">lectronic </w:t>
      </w:r>
      <w:r>
        <w:t>l</w:t>
      </w:r>
      <w:r w:rsidRPr="00BB6629">
        <w:t xml:space="preserve">earning </w:t>
      </w:r>
      <w:r>
        <w:t>t</w:t>
      </w:r>
      <w:r w:rsidRPr="00BB6629">
        <w:t>ools</w:t>
      </w:r>
    </w:p>
    <w:p w14:paraId="6FE9F50D" w14:textId="7E64545F" w:rsidR="006358DE" w:rsidRPr="00FF453E" w:rsidRDefault="006358DE" w:rsidP="006D7DE6">
      <w:pPr>
        <w:pStyle w:val="BodyTextFirstIndent"/>
      </w:pPr>
      <w:r>
        <w:t>Prompted by the COVID-19 pandemic, many school districts have adopted e</w:t>
      </w:r>
      <w:r w:rsidRPr="00311DB9">
        <w:t xml:space="preserve">lectronic </w:t>
      </w:r>
      <w:r>
        <w:t>learning tools</w:t>
      </w:r>
      <w:r w:rsidRPr="00311DB9">
        <w:t xml:space="preserve"> </w:t>
      </w:r>
      <w:r>
        <w:t xml:space="preserve">(e.g., laptops and tablets) </w:t>
      </w:r>
      <w:r w:rsidRPr="00311DB9">
        <w:t xml:space="preserve">to </w:t>
      </w:r>
      <w:r>
        <w:t>facilitate</w:t>
      </w:r>
      <w:r w:rsidRPr="00311DB9">
        <w:t xml:space="preserve"> remote learning</w:t>
      </w:r>
      <w:r>
        <w:t xml:space="preserve"> and enhance in-school instruction. </w:t>
      </w:r>
      <w:r w:rsidRPr="00311DB9">
        <w:t>According to some surveys, 90</w:t>
      </w:r>
      <w:r>
        <w:t xml:space="preserve"> percent</w:t>
      </w:r>
      <w:r w:rsidRPr="00311DB9">
        <w:t xml:space="preserve"> of middle and high schools and 84</w:t>
      </w:r>
      <w:r>
        <w:t xml:space="preserve"> percent</w:t>
      </w:r>
      <w:r w:rsidRPr="00311DB9">
        <w:t xml:space="preserve"> of elementary schools provide electronic devices to their students.</w:t>
      </w:r>
      <w:r w:rsidRPr="00311DB9">
        <w:fldChar w:fldCharType="begin"/>
      </w:r>
      <w:r w:rsidR="002B7E11">
        <w:instrText xml:space="preserve"> ADDIN ZOTERO_ITEM CSL_CITATION {"citationID":"vcyXvdmO","properties":{"formattedCitation":"\\super 256\\nosupersub{}","plainCitation":"256","noteIndex":0},"citationItems":[{"id":206,"uris":["http://zotero.org/groups/5563646/items/MLJD5DCX"],"itemData":{"id":206,"type":"webpage","abstract":"The pandemic pushed schools to provide every student with their own device, often turning to Chromebooks. A laptop for every student is likely here to stay, but now this new tech is failing. That’s because while we know milk goes bad, it turns out Chromebooks have expiration dates too.","container-title":"U.S. PIRG Education Fund","language":"en-US","title":"'Chromebook Churn' report highlights problems of short-lived laptops in schools","URL":"https://pirg.org/edfund/resources/chromebook-churn-report-highlights-problems-of-short-lived-laptops-in-schools/","author":[{"family":"Gutterman","given":"Lucas"}],"accessed":{"date-parts":[["2024",6,21]]},"issued":{"date-parts":[["2023",4,18]]}}}],"schema":"https://github.com/citation-style-language/schema/raw/master/csl-citation.json"} </w:instrText>
      </w:r>
      <w:r w:rsidRPr="00311DB9">
        <w:fldChar w:fldCharType="separate"/>
      </w:r>
      <w:r w:rsidR="002B7E11" w:rsidRPr="002B7E11">
        <w:rPr>
          <w:rFonts w:cs="Arial"/>
          <w:vertAlign w:val="superscript"/>
        </w:rPr>
        <w:t>256</w:t>
      </w:r>
      <w:r w:rsidRPr="00311DB9">
        <w:fldChar w:fldCharType="end"/>
      </w:r>
      <w:r w:rsidRPr="00311DB9">
        <w:t xml:space="preserve"> </w:t>
      </w:r>
      <w:r>
        <w:t>While this transition has contributed to a reduction of</w:t>
      </w:r>
      <w:r w:rsidRPr="00311DB9">
        <w:t xml:space="preserve"> paper waste</w:t>
      </w:r>
      <w:r>
        <w:t>, the</w:t>
      </w:r>
      <w:r w:rsidRPr="00311DB9">
        <w:t xml:space="preserve"> increase</w:t>
      </w:r>
      <w:r>
        <w:t xml:space="preserve">d prevalence of </w:t>
      </w:r>
      <w:r w:rsidRPr="00311DB9">
        <w:t xml:space="preserve">electronic learning tools has resulted in </w:t>
      </w:r>
      <w:r>
        <w:t>greater quantities of</w:t>
      </w:r>
      <w:r w:rsidRPr="00311DB9">
        <w:t xml:space="preserve"> </w:t>
      </w:r>
      <w:r>
        <w:t>e-waste</w:t>
      </w:r>
      <w:r w:rsidRPr="00311DB9">
        <w:t xml:space="preserve">. </w:t>
      </w:r>
      <w:r w:rsidRPr="00D017B9">
        <w:t xml:space="preserve">If not responsibly recycled (e.g., through a </w:t>
      </w:r>
      <w:hyperlink r:id="rId211" w:anchor="findcertified" w:history="1">
        <w:r w:rsidRPr="00D017B9">
          <w:rPr>
            <w:rStyle w:val="Hyperlink"/>
          </w:rPr>
          <w:t>certified electronics recycling vendor</w:t>
        </w:r>
      </w:hyperlink>
      <w:r>
        <w:t>)</w:t>
      </w:r>
      <w:r w:rsidRPr="00D017B9">
        <w:t>, e-waste can end up in the landfill</w:t>
      </w:r>
      <w:r>
        <w:t xml:space="preserve"> or shipped to another country for unregulated, informal e-waste recycling that often presents numerous human health risks, including increased lead exposure for children.</w:t>
      </w:r>
      <w:r>
        <w:fldChar w:fldCharType="begin"/>
      </w:r>
      <w:r w:rsidR="00F62100">
        <w:instrText xml:space="preserve"> ADDIN ZOTERO_ITEM CSL_CITATION {"citationID":"a2mv0oesup8","properties":{"formattedCitation":"\\super 257\\nosupersub{}","plainCitation":"257","noteIndex":0},"citationItems":[{"id":1116,"uris":["http://zotero.org/groups/5563646/items/ZR7PWKUF"],"itemData":{"id":1116,"type":"article-journal","abstract":"Introduction\nElectronic waste (e-waste) is an emerging human and environmental problem. Lead (Pb) is one of the most dangerous chemicals for human health, and it is the most prevalent heavy metal pollutant in e-waste. Despite the rapid growth of e-waste globally and the health effects of Pb, there is little information regarding the effects of Pb exposure from e-waste on children. Therefore, the aim of this review was to provide concise information on the health effects of Pb exposure from e-waste on children.\n\nMethods\nA comprehensive search of databases was undertaken using PubMed/MEDLINE, Cochrane Library, Science Direct, HINARI, African Journal Online (AJOL), and additional sources were searched up to November 25, 2022. Eligibility criteria were determined using Population, Exposure, Comparator, and Outcome (PECO). The guidelines for Preferred Reporting Items for Systematic Reviews and Meta-Analysis (PRISMA) were used during the article selection process. The protocol of this systematic review was registered in the International Prospective Register of Systematic Reviews (Registration ID: CRD42022377028). The Joanna Briggs Institute (JBI) quality appraisal checklist was used to assess the quality of the included studies.\n\nResults\nFrom a total of 1,150 identified studies, 20 full-text studies were included in the systematic review. All most included studies were conducted in China recycling area for e-waste. The included studies were conducted with an exposed group versus a reference group. The majority of the included studies found that blood Pb levels were ≥5 μg/dl and that Pb exposures from e-waste were affecting children’s health, such as a decrease in serum cortisol levels, inhibition of hemoglobin synthesis, impact on neurobehavioral development, affect physical development, etc.\n\nConclusion\nLead exposure had a significant impact on children’s health as a result of informal e-waste recycling. Therefore, formalizing the informal sector and raising public health awareness are important steps toward reducing Pb exposure from e-waste. Moreover, the concerned stakeholders, like national and international organizations, should work together to effectively manage e-waste.","container-title":"Frontiers in Public Health","DOI":"10.3389/fpubh.2023.1113561","ISSN":"2296-2565","journalAbbreviation":"Front Public Health","note":"PMID: 37124790\nPMCID: PMC10130399","page":"1113561","source":"PubMed Central","title":"A systematic review of the health effects of lead exposure from electronic waste in children","volume":"11","author":[{"family":"Desye","given":"Belay"},{"family":"Tesfaye","given":"Amensisa Hailu"},{"family":"Berihun","given":"Gete"},{"family":"Ademas","given":"Ayechew"},{"family":"Sewunet","given":"Birhanu"}],"issued":{"date-parts":[["2023",4,12]]}}}],"schema":"https://github.com/citation-style-language/schema/raw/master/csl-citation.json"} </w:instrText>
      </w:r>
      <w:r>
        <w:fldChar w:fldCharType="separate"/>
      </w:r>
      <w:r w:rsidR="00F62100" w:rsidRPr="00F62100">
        <w:rPr>
          <w:rFonts w:cs="Arial"/>
          <w:vertAlign w:val="superscript"/>
        </w:rPr>
        <w:t>257</w:t>
      </w:r>
      <w:r>
        <w:fldChar w:fldCharType="end"/>
      </w:r>
      <w:r>
        <w:t xml:space="preserve"> </w:t>
      </w:r>
      <w:r w:rsidR="00363673">
        <w:t>Typical</w:t>
      </w:r>
      <w:r w:rsidR="00363673" w:rsidRPr="00311DB9">
        <w:t xml:space="preserve"> </w:t>
      </w:r>
      <w:r w:rsidRPr="00311DB9">
        <w:t>K</w:t>
      </w:r>
      <w:r>
        <w:t>–</w:t>
      </w:r>
      <w:r w:rsidRPr="00311DB9">
        <w:t xml:space="preserve">12 laptops last an average of </w:t>
      </w:r>
      <w:r>
        <w:t>four</w:t>
      </w:r>
      <w:r w:rsidRPr="00311DB9">
        <w:t xml:space="preserve"> years without repairs, and </w:t>
      </w:r>
      <w:r>
        <w:t xml:space="preserve">the cost of </w:t>
      </w:r>
      <w:r w:rsidRPr="00311DB9">
        <w:t xml:space="preserve">simple repairs </w:t>
      </w:r>
      <w:r>
        <w:t>can often be equivalent to</w:t>
      </w:r>
      <w:r w:rsidRPr="00311DB9">
        <w:t xml:space="preserve"> </w:t>
      </w:r>
      <w:r>
        <w:t>approximately</w:t>
      </w:r>
      <w:r w:rsidRPr="00311DB9">
        <w:t xml:space="preserve"> half the price of a new </w:t>
      </w:r>
      <w:r>
        <w:t xml:space="preserve">replacement </w:t>
      </w:r>
      <w:r w:rsidRPr="00311DB9">
        <w:t>laptop.</w:t>
      </w:r>
      <w:r w:rsidRPr="00311DB9">
        <w:fldChar w:fldCharType="begin"/>
      </w:r>
      <w:r w:rsidR="00935BA8">
        <w:instrText xml:space="preserve"> ADDIN ZOTERO_ITEM CSL_CITATION {"citationID":"cCIO4aNa","properties":{"formattedCitation":"\\super 256\\nosupersub{}","plainCitation":"256","noteIndex":0},"citationItems":[{"id":206,"uris":["http://zotero.org/groups/5563646/items/MLJD5DCX"],"itemData":{"id":206,"type":"webpage","abstract":"The pandemic pushed schools to provide every student with their own device, often turning to Chromebooks. A laptop for every student is likely here to stay, but now this new tech is failing. That’s because while we know milk goes bad, it turns out Chromebooks have expiration dates too.","container-title":"U.S. PIRG Education Fund","language":"en-US","title":"'Chromebook Churn' report highlights problems of short-lived laptops in schools","URL":"https://pirg.org/edfund/resources/chromebook-churn-report-highlights-problems-of-short-lived-laptops-in-schools/","author":[{"family":"Gutterman","given":"Lucas"}],"accessed":{"date-parts":[["2024",6,21]]},"issued":{"date-parts":[["2023",4,18]]}}}],"schema":"https://github.com/citation-style-language/schema/raw/master/csl-citation.json"} </w:instrText>
      </w:r>
      <w:r w:rsidRPr="00311DB9">
        <w:fldChar w:fldCharType="separate"/>
      </w:r>
      <w:r w:rsidR="00935BA8" w:rsidRPr="00935BA8">
        <w:rPr>
          <w:rFonts w:cs="Arial"/>
          <w:vertAlign w:val="superscript"/>
        </w:rPr>
        <w:t>256</w:t>
      </w:r>
      <w:r w:rsidRPr="00311DB9">
        <w:fldChar w:fldCharType="end"/>
      </w:r>
      <w:r w:rsidRPr="00311DB9">
        <w:t xml:space="preserve"> </w:t>
      </w:r>
      <w:r>
        <w:t>S</w:t>
      </w:r>
      <w:r w:rsidRPr="00311DB9">
        <w:t>chool</w:t>
      </w:r>
      <w:r>
        <w:t xml:space="preserve"> districts</w:t>
      </w:r>
      <w:r w:rsidRPr="00311DB9">
        <w:t xml:space="preserve"> provid</w:t>
      </w:r>
      <w:r>
        <w:t>ing</w:t>
      </w:r>
      <w:r w:rsidRPr="00311DB9">
        <w:t xml:space="preserve"> personal devices to students</w:t>
      </w:r>
      <w:r>
        <w:t xml:space="preserve"> s</w:t>
      </w:r>
      <w:r w:rsidRPr="00311DB9">
        <w:t xml:space="preserve">hould </w:t>
      </w:r>
      <w:r>
        <w:t>develop and routinely update</w:t>
      </w:r>
      <w:r w:rsidRPr="00311DB9">
        <w:t xml:space="preserve"> an </w:t>
      </w:r>
      <w:r>
        <w:t>e-</w:t>
      </w:r>
      <w:r w:rsidRPr="00311DB9">
        <w:t xml:space="preserve">waste recycling plan that details </w:t>
      </w:r>
      <w:r>
        <w:t xml:space="preserve">the district’s protocols for </w:t>
      </w:r>
      <w:r w:rsidRPr="00311DB9">
        <w:t>repair and sustainable</w:t>
      </w:r>
      <w:r>
        <w:t>, responsible</w:t>
      </w:r>
      <w:r w:rsidRPr="00311DB9">
        <w:t xml:space="preserve"> disposal</w:t>
      </w:r>
      <w:r>
        <w:t xml:space="preserve"> to maximize diversion from landfills. </w:t>
      </w:r>
      <w:r w:rsidRPr="00903434">
        <w:t xml:space="preserve">In addition to reducing the amount of </w:t>
      </w:r>
      <w:r>
        <w:t>e-</w:t>
      </w:r>
      <w:r w:rsidRPr="00903434">
        <w:t xml:space="preserve">waste sent to landfills, </w:t>
      </w:r>
      <w:r>
        <w:t xml:space="preserve">the </w:t>
      </w:r>
      <w:r w:rsidRPr="00903434">
        <w:t>effective</w:t>
      </w:r>
      <w:r>
        <w:t xml:space="preserve"> and responsible</w:t>
      </w:r>
      <w:r w:rsidRPr="00903434">
        <w:t xml:space="preserve"> management of e-waste also reduces the harmful exposures that communities </w:t>
      </w:r>
      <w:r>
        <w:t xml:space="preserve">practicing informal e-waste recycling </w:t>
      </w:r>
      <w:r w:rsidRPr="00903434">
        <w:t>may face.</w:t>
      </w:r>
      <w:r>
        <w:fldChar w:fldCharType="begin"/>
      </w:r>
      <w:r w:rsidR="00E4301A">
        <w:instrText xml:space="preserve"> ADDIN ZOTERO_ITEM CSL_CITATION {"citationID":"a1t9uauoqau","properties":{"formattedCitation":"\\super 257\\nosupersub{}","plainCitation":"257","noteIndex":0},"citationItems":[{"id":1116,"uris":["http://zotero.org/groups/5563646/items/ZR7PWKUF"],"itemData":{"id":1116,"type":"article-journal","abstract":"Introduction\nElectronic waste (e-waste) is an emerging human and environmental problem. Lead (Pb) is one of the most dangerous chemicals for human health, and it is the most prevalent heavy metal pollutant in e-waste. Despite the rapid growth of e-waste globally and the health effects of Pb, there is little information regarding the effects of Pb exposure from e-waste on children. Therefore, the aim of this review was to provide concise information on the health effects of Pb exposure from e-waste on children.\n\nMethods\nA comprehensive search of databases was undertaken using PubMed/MEDLINE, Cochrane Library, Science Direct, HINARI, African Journal Online (AJOL), and additional sources were searched up to November 25, 2022. Eligibility criteria were determined using Population, Exposure, Comparator, and Outcome (PECO). The guidelines for Preferred Reporting Items for Systematic Reviews and Meta-Analysis (PRISMA) were used during the article selection process. The protocol of this systematic review was registered in the International Prospective Register of Systematic Reviews (Registration ID: CRD42022377028). The Joanna Briggs Institute (JBI) quality appraisal checklist was used to assess the quality of the included studies.\n\nResults\nFrom a total of 1,150 identified studies, 20 full-text studies were included in the systematic review. All most included studies were conducted in China recycling area for e-waste. The included studies were conducted with an exposed group versus a reference group. The majority of the included studies found that blood Pb levels were ≥5 μg/dl and that Pb exposures from e-waste were affecting children’s health, such as a decrease in serum cortisol levels, inhibition of hemoglobin synthesis, impact on neurobehavioral development, affect physical development, etc.\n\nConclusion\nLead exposure had a significant impact on children’s health as a result of informal e-waste recycling. Therefore, formalizing the informal sector and raising public health awareness are important steps toward reducing Pb exposure from e-waste. Moreover, the concerned stakeholders, like national and international organizations, should work together to effectively manage e-waste.","container-title":"Frontiers in Public Health","DOI":"10.3389/fpubh.2023.1113561","ISSN":"2296-2565","journalAbbreviation":"Front Public Health","note":"PMID: 37124790\nPMCID: PMC10130399","page":"1113561","source":"PubMed Central","title":"A systematic review of the health effects of lead exposure from electronic waste in children","volume":"11","author":[{"family":"Desye","given":"Belay"},{"family":"Tesfaye","given":"Amensisa Hailu"},{"family":"Berihun","given":"Gete"},{"family":"Ademas","given":"Ayechew"},{"family":"Sewunet","given":"Birhanu"}],"issued":{"date-parts":[["2023",4,12]]}}}],"schema":"https://github.com/citation-style-language/schema/raw/master/csl-citation.json"} </w:instrText>
      </w:r>
      <w:r>
        <w:fldChar w:fldCharType="separate"/>
      </w:r>
      <w:r w:rsidR="00E4301A" w:rsidRPr="00E4301A">
        <w:rPr>
          <w:rFonts w:cs="Arial"/>
          <w:vertAlign w:val="superscript"/>
        </w:rPr>
        <w:t>257</w:t>
      </w:r>
      <w:r>
        <w:fldChar w:fldCharType="end"/>
      </w:r>
    </w:p>
    <w:p w14:paraId="7D6AF2DF" w14:textId="1C1BD037" w:rsidR="006358DE" w:rsidRDefault="006358DE" w:rsidP="006358DE">
      <w:pPr>
        <w:pStyle w:val="Heading5"/>
      </w:pPr>
      <w:r>
        <w:t>(5) Designate staff</w:t>
      </w:r>
      <w:r w:rsidR="00131D96">
        <w:t xml:space="preserve"> members</w:t>
      </w:r>
      <w:r>
        <w:t xml:space="preserve"> and students to </w:t>
      </w:r>
      <w:r w:rsidR="00823E99">
        <w:t xml:space="preserve">implement and </w:t>
      </w:r>
      <w:r>
        <w:t>manage waste programs</w:t>
      </w:r>
    </w:p>
    <w:p w14:paraId="0AF45EA9" w14:textId="77777777" w:rsidR="006358DE" w:rsidRDefault="006358DE" w:rsidP="006D7DE6">
      <w:pPr>
        <w:pStyle w:val="BodyTextFirstIndent"/>
      </w:pPr>
      <w:r>
        <w:t xml:space="preserve">Improving waste management programs often requires redistributing responsibilities across existing roles or hiring new staff to support the increased level of effort. In schools, these responsibilities are often voluntarily assumed by students rather than paid staff, leading to long-term staffing instability. To avoid this, schools can hold conversations proactively, and include important stakeholders such as the custodial union, cafeteria staff, and grounds workers. </w:t>
      </w:r>
    </w:p>
    <w:p w14:paraId="5BE0206E" w14:textId="77777777" w:rsidR="006358DE" w:rsidRDefault="006358DE" w:rsidP="006D7DE6">
      <w:pPr>
        <w:pStyle w:val="BodyTextFirstIndent"/>
      </w:pPr>
      <w:r w:rsidRPr="00926BF3">
        <w:rPr>
          <w:noProof/>
        </w:rPr>
        <w:lastRenderedPageBreak/>
        <mc:AlternateContent>
          <mc:Choice Requires="wps">
            <w:drawing>
              <wp:anchor distT="0" distB="0" distL="114300" distR="114300" simplePos="0" relativeHeight="251678208" behindDoc="0" locked="0" layoutInCell="1" allowOverlap="1" wp14:anchorId="7589C466" wp14:editId="414066C7">
                <wp:simplePos x="0" y="0"/>
                <wp:positionH relativeFrom="margin">
                  <wp:posOffset>3289300</wp:posOffset>
                </wp:positionH>
                <wp:positionV relativeFrom="page">
                  <wp:posOffset>925830</wp:posOffset>
                </wp:positionV>
                <wp:extent cx="2618105" cy="1822450"/>
                <wp:effectExtent l="0" t="0" r="10795" b="25400"/>
                <wp:wrapSquare wrapText="bothSides"/>
                <wp:docPr id="507540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1822450"/>
                        </a:xfrm>
                        <a:prstGeom prst="rect">
                          <a:avLst/>
                        </a:prstGeom>
                        <a:solidFill>
                          <a:srgbClr val="DCE6F2"/>
                        </a:solidFill>
                        <a:ln w="9525">
                          <a:solidFill>
                            <a:srgbClr val="000000"/>
                          </a:solidFill>
                          <a:miter lim="800000"/>
                          <a:headEnd/>
                          <a:tailEnd/>
                        </a:ln>
                      </wps:spPr>
                      <wps:txbx>
                        <w:txbxContent>
                          <w:p w14:paraId="3CE2736E" w14:textId="77777777" w:rsidR="006358DE" w:rsidRDefault="006358DE" w:rsidP="006358DE">
                            <w:pPr>
                              <w:pStyle w:val="TextBoxTitle"/>
                            </w:pPr>
                            <w:r>
                              <w:t xml:space="preserve">Formalize Waste Program Responsibilities </w:t>
                            </w:r>
                          </w:p>
                          <w:p w14:paraId="56730665" w14:textId="77777777" w:rsidR="006358DE" w:rsidRPr="00881E9C" w:rsidRDefault="006358DE" w:rsidP="006358DE">
                            <w:pPr>
                              <w:pStyle w:val="TextBoxText"/>
                            </w:pPr>
                            <w:r>
                              <w:t>To ensure school maintenance staff understand and meet expectations for their participation in the school waste management program, schools should formally document roles and responsibilities in all job duty descriptions.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89C466" id="_x0000_s1062" type="#_x0000_t202" style="position:absolute;margin-left:259pt;margin-top:72.9pt;width:206.15pt;height:143.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" fillcolor="#dce6f2">
                <v:textbox>
                  <w:txbxContent>
                    <w:p w14:paraId="3CE2736E" w14:textId="77777777" w:rsidR="006358DE" w:rsidRDefault="006358DE" w:rsidP="006358DE">
                      <w:pPr>
                        <w:pStyle w:val="TextBoxTitle"/>
                      </w:pPr>
                      <w:r>
                        <w:t xml:space="preserve">Formalize Waste Program Responsibilities </w:t>
                      </w:r>
                    </w:p>
                    <w:p w14:paraId="56730665" w14:textId="77777777" w:rsidR="006358DE" w:rsidRPr="00881E9C" w:rsidRDefault="006358DE" w:rsidP="006358DE">
                      <w:pPr>
                        <w:pStyle w:val="TextBoxText"/>
                      </w:pPr>
                      <w:r>
                        <w:t>To ensure school maintenance staff understand and meet expectations for their participation in the school waste management program, schools should formally document roles and responsibilities in all job duty descriptions.</w:t>
                      </w:r>
                    </w:p>
                  </w:txbxContent>
                </v:textbox>
                <w10:wrap type="square" anchorx="margin" anchory="page"/>
              </v:shape>
            </w:pict>
          </mc:Fallback>
        </mc:AlternateContent>
      </w:r>
      <w:r>
        <w:t>It is likely that some students may be eager to participate in improving the school’s waste management program. Student engagement should be encouraged. It is recommended that a school’s largest waste streams (landfill, recycling, compost, and e-waste) be managed professionally, but smaller waste programs (e.g., TerraCycle</w:t>
      </w:r>
      <w:r w:rsidRPr="00497998">
        <w:rPr>
          <w:rFonts w:cs="Calibri (Body)"/>
          <w:vertAlign w:val="superscript"/>
        </w:rPr>
        <w:t>®</w:t>
      </w:r>
      <w:r>
        <w:t xml:space="preserve">) can be run effectively by student volunteers. </w:t>
      </w:r>
    </w:p>
    <w:p w14:paraId="40490E27" w14:textId="77777777" w:rsidR="006358DE" w:rsidRDefault="006358DE" w:rsidP="006358DE">
      <w:pPr>
        <w:pStyle w:val="Heading5"/>
      </w:pPr>
      <w:r>
        <w:t>(6) Collect divertible waste</w:t>
      </w:r>
    </w:p>
    <w:p w14:paraId="4DB0C11D" w14:textId="6D776B93" w:rsidR="006358DE" w:rsidRDefault="006358DE" w:rsidP="006D7DE6">
      <w:pPr>
        <w:pStyle w:val="BodyTextFirstIndent"/>
      </w:pPr>
      <w:r>
        <w:t>The first step to diverting waste from the landfill is to collect it separately from waste intended for the landfill. Schools can collect recycling (paper, corrugated cardboard, glass, plastics, and metals), compost (organics), and e-waste to meet zero-waste facility and operations standards set by LEED v4.</w:t>
      </w:r>
      <w:r>
        <w:fldChar w:fldCharType="begin"/>
      </w:r>
      <w:r w:rsidR="00C96098">
        <w:instrText xml:space="preserve"> ADDIN ZOTERO_ITEM CSL_CITATION {"citationID":"kWRzifgv","properties":{"formattedCitation":"\\super 258\\nosupersub{}","plainCitation":"258","noteIndex":0},"citationItems":[{"id":207,"uris":["http://zotero.org/groups/5563646/items/EVYLNA5X"],"itemData":{"id":207,"type":"webpage","title":"LEED v4 Waste Management Credits - Zero Waste","URL":"https://www.zerowastedesign.org/5-appendices/leed-v4-waste-management-credits/","author":[{"family":"LEED v4","given":""}],"accessed":{"date-parts":[["2024",6,21]]}}}],"schema":"https://github.com/citation-style-language/schema/raw/master/csl-citation.json"} </w:instrText>
      </w:r>
      <w:r>
        <w:fldChar w:fldCharType="separate"/>
      </w:r>
      <w:r w:rsidR="00C96098" w:rsidRPr="00C96098">
        <w:rPr>
          <w:rFonts w:cs="Arial"/>
          <w:vertAlign w:val="superscript"/>
        </w:rPr>
        <w:t>258</w:t>
      </w:r>
      <w:r>
        <w:fldChar w:fldCharType="end"/>
      </w:r>
      <w:r>
        <w:t xml:space="preserve"> This standard also outlines how divertible waste should also be collected during the construction of a new facility.</w:t>
      </w:r>
      <w:r>
        <w:fldChar w:fldCharType="begin"/>
      </w:r>
      <w:r w:rsidR="00F53325">
        <w:instrText xml:space="preserve"> ADDIN ZOTERO_ITEM CSL_CITATION {"citationID":"hJ4rCort","properties":{"formattedCitation":"\\super 258\\nosupersub{}","plainCitation":"258","noteIndex":0},"citationItems":[{"id":207,"uris":["http://zotero.org/groups/5563646/items/EVYLNA5X"],"itemData":{"id":207,"type":"webpage","title":"LEED v4 Waste Management Credits - Zero Waste","URL":"https://www.zerowastedesign.org/5-appendices/leed-v4-waste-management-credits/","author":[{"family":"LEED v4","given":""}],"accessed":{"date-parts":[["2024",6,21]]}}}],"schema":"https://github.com/citation-style-language/schema/raw/master/csl-citation.json"} </w:instrText>
      </w:r>
      <w:r>
        <w:fldChar w:fldCharType="separate"/>
      </w:r>
      <w:r w:rsidR="00F53325" w:rsidRPr="00F53325">
        <w:rPr>
          <w:rFonts w:cs="Arial"/>
          <w:vertAlign w:val="superscript"/>
        </w:rPr>
        <w:t>258</w:t>
      </w:r>
      <w:r>
        <w:fldChar w:fldCharType="end"/>
      </w:r>
      <w:r>
        <w:t xml:space="preserve"> Schools registered as Green Team members through MassDEP can </w:t>
      </w:r>
      <w:hyperlink r:id="rId212" w:history="1">
        <w:r w:rsidRPr="00934E9A">
          <w:rPr>
            <w:rStyle w:val="Hyperlink"/>
          </w:rPr>
          <w:t>submit an application form</w:t>
        </w:r>
      </w:hyperlink>
      <w:r>
        <w:t xml:space="preserve"> to receive single-stream recycling and composting equipment to collect these items. </w:t>
      </w:r>
    </w:p>
    <w:p w14:paraId="10ED524D" w14:textId="77777777" w:rsidR="006358DE" w:rsidRDefault="006358DE" w:rsidP="006358DE">
      <w:pPr>
        <w:pStyle w:val="Heading5"/>
        <w:rPr>
          <w:iCs/>
        </w:rPr>
      </w:pPr>
      <w:r>
        <w:t>(7) Optimize bin location and labeling</w:t>
      </w:r>
    </w:p>
    <w:p w14:paraId="7B7B0280" w14:textId="238C8ADC" w:rsidR="006358DE" w:rsidRDefault="006358DE" w:rsidP="006D7DE6">
      <w:pPr>
        <w:pStyle w:val="BodyTextFirstIndent"/>
      </w:pPr>
      <w:r>
        <w:t xml:space="preserve">The thoughtful location and consistent labeling of bins can influence how students and staff sort and dispose of various waste streams. To maximize the diversion of material from the landfill, schools should locate bins as close as possible to the point of waste generation. For example, schools implementing a compost collection program should place compost bins in close proximity to food preparation (i.e., the kitchen) and consumption (cafeteria). Where possible, the selection of bin color and labeling should intuitively reflect the waste stream being collected. To avoid confusion and reduce contamination, schools should implement a consistent approach to bin color and labeling across all bins to the maximum extent possible. </w:t>
      </w:r>
      <w:r>
        <w:fldChar w:fldCharType="begin"/>
      </w:r>
      <w:r>
        <w:instrText xml:space="preserve"> REF _Ref172906312 \h </w:instrText>
      </w:r>
      <w:r>
        <w:fldChar w:fldCharType="separate"/>
      </w:r>
      <w:r w:rsidR="00307850">
        <w:t xml:space="preserve">Table </w:t>
      </w:r>
      <w:r w:rsidR="00307850">
        <w:rPr>
          <w:noProof/>
        </w:rPr>
        <w:t>49</w:t>
      </w:r>
      <w:r>
        <w:fldChar w:fldCharType="end"/>
      </w:r>
      <w:r>
        <w:t xml:space="preserve"> provides an example of effective bin color and labeling selections.</w:t>
      </w:r>
    </w:p>
    <w:p w14:paraId="391BE0FC" w14:textId="738CEA3B" w:rsidR="006358DE" w:rsidRDefault="006358DE" w:rsidP="00B30C96">
      <w:pPr>
        <w:pStyle w:val="Caption"/>
      </w:pPr>
      <w:bookmarkStart w:id="468" w:name="_Ref172906312"/>
      <w:bookmarkStart w:id="469" w:name="_Toc192711715"/>
      <w:bookmarkStart w:id="470" w:name="_Toc193112597"/>
      <w:bookmarkStart w:id="471" w:name="_Toc193116996"/>
      <w:r>
        <w:t xml:space="preserve">Table </w:t>
      </w:r>
      <w:fldSimple w:instr=" SEQ Table \* ARABIC ">
        <w:r w:rsidR="00307850">
          <w:rPr>
            <w:noProof/>
          </w:rPr>
          <w:t>49</w:t>
        </w:r>
      </w:fldSimple>
      <w:bookmarkEnd w:id="468"/>
      <w:r>
        <w:t>. Example of Effective Bin Color and Label Selection</w:t>
      </w:r>
      <w:bookmarkEnd w:id="469"/>
      <w:bookmarkEnd w:id="470"/>
      <w:bookmarkEnd w:id="471"/>
    </w:p>
    <w:tbl>
      <w:tblPr>
        <w:tblStyle w:val="TableGrid"/>
        <w:tblW w:w="5000" w:type="pct"/>
        <w:tblLook w:val="04A0" w:firstRow="1" w:lastRow="0" w:firstColumn="1" w:lastColumn="0" w:noHBand="0" w:noVBand="1"/>
        <w:tblDescription w:val="Table providing recommendations for how to color and label different types of waste bins for effective communication."/>
      </w:tblPr>
      <w:tblGrid>
        <w:gridCol w:w="2172"/>
        <w:gridCol w:w="3589"/>
        <w:gridCol w:w="3589"/>
      </w:tblGrid>
      <w:tr w:rsidR="006358DE" w14:paraId="208CCE63" w14:textId="77777777">
        <w:trPr>
          <w:trHeight w:val="215"/>
          <w:tblHeader/>
        </w:trPr>
        <w:tc>
          <w:tcPr>
            <w:tcW w:w="1162" w:type="pct"/>
            <w:shd w:val="clear" w:color="auto" w:fill="C6D9F1" w:themeFill="text2" w:themeFillTint="33"/>
          </w:tcPr>
          <w:p w14:paraId="7D930061" w14:textId="77777777" w:rsidR="006358DE" w:rsidRPr="002E538F" w:rsidRDefault="006358DE">
            <w:pPr>
              <w:pStyle w:val="TableColumnHeader"/>
            </w:pPr>
            <w:r w:rsidRPr="002E538F">
              <w:t>Waste Stream</w:t>
            </w:r>
          </w:p>
        </w:tc>
        <w:tc>
          <w:tcPr>
            <w:tcW w:w="1919" w:type="pct"/>
            <w:shd w:val="clear" w:color="auto" w:fill="C6D9F1" w:themeFill="text2" w:themeFillTint="33"/>
          </w:tcPr>
          <w:p w14:paraId="0B828B78" w14:textId="77777777" w:rsidR="006358DE" w:rsidRPr="002E538F" w:rsidRDefault="006358DE">
            <w:pPr>
              <w:pStyle w:val="TableColumnHeader"/>
            </w:pPr>
            <w:r>
              <w:t xml:space="preserve">Bin </w:t>
            </w:r>
            <w:r w:rsidRPr="002E538F">
              <w:t>Color</w:t>
            </w:r>
          </w:p>
        </w:tc>
        <w:tc>
          <w:tcPr>
            <w:tcW w:w="1919" w:type="pct"/>
            <w:shd w:val="clear" w:color="auto" w:fill="C6D9F1" w:themeFill="text2" w:themeFillTint="33"/>
          </w:tcPr>
          <w:p w14:paraId="2A2D2262" w14:textId="77777777" w:rsidR="006358DE" w:rsidRDefault="006358DE">
            <w:pPr>
              <w:pStyle w:val="TableColumnHeader"/>
            </w:pPr>
            <w:r w:rsidRPr="002E538F">
              <w:t>Label</w:t>
            </w:r>
          </w:p>
        </w:tc>
      </w:tr>
      <w:tr w:rsidR="006358DE" w14:paraId="5AF00E43" w14:textId="77777777">
        <w:tc>
          <w:tcPr>
            <w:tcW w:w="1162" w:type="pct"/>
            <w:vAlign w:val="center"/>
          </w:tcPr>
          <w:p w14:paraId="54D67C10" w14:textId="77777777" w:rsidR="006358DE" w:rsidRDefault="006358DE">
            <w:pPr>
              <w:pStyle w:val="TableText"/>
            </w:pPr>
            <w:r>
              <w:t>Trash</w:t>
            </w:r>
          </w:p>
        </w:tc>
        <w:tc>
          <w:tcPr>
            <w:tcW w:w="1919" w:type="pct"/>
            <w:vAlign w:val="center"/>
          </w:tcPr>
          <w:p w14:paraId="43625252" w14:textId="77777777" w:rsidR="006358DE" w:rsidRDefault="006358DE">
            <w:pPr>
              <w:pStyle w:val="TableText"/>
            </w:pPr>
            <w:r>
              <w:t>Brown, Black, or Grey</w:t>
            </w:r>
          </w:p>
        </w:tc>
        <w:tc>
          <w:tcPr>
            <w:tcW w:w="1919" w:type="pct"/>
            <w:vAlign w:val="center"/>
          </w:tcPr>
          <w:p w14:paraId="2DFCEBD5" w14:textId="77777777" w:rsidR="006358DE" w:rsidRDefault="006358DE">
            <w:pPr>
              <w:pStyle w:val="TableText"/>
            </w:pPr>
            <w:r>
              <w:t>“Landfill”</w:t>
            </w:r>
          </w:p>
        </w:tc>
      </w:tr>
      <w:tr w:rsidR="006358DE" w14:paraId="49DDE960" w14:textId="77777777">
        <w:tc>
          <w:tcPr>
            <w:tcW w:w="1162" w:type="pct"/>
            <w:vAlign w:val="center"/>
          </w:tcPr>
          <w:p w14:paraId="46600FE8" w14:textId="77777777" w:rsidR="006358DE" w:rsidRDefault="006358DE">
            <w:pPr>
              <w:pStyle w:val="TableText"/>
            </w:pPr>
            <w:r>
              <w:t>Recycling</w:t>
            </w:r>
          </w:p>
        </w:tc>
        <w:tc>
          <w:tcPr>
            <w:tcW w:w="1919" w:type="pct"/>
            <w:vAlign w:val="center"/>
          </w:tcPr>
          <w:p w14:paraId="6E4F22E0" w14:textId="77777777" w:rsidR="006358DE" w:rsidRDefault="006358DE">
            <w:pPr>
              <w:pStyle w:val="TableText"/>
            </w:pPr>
            <w:r>
              <w:t>Blue</w:t>
            </w:r>
          </w:p>
        </w:tc>
        <w:tc>
          <w:tcPr>
            <w:tcW w:w="1919" w:type="pct"/>
            <w:vAlign w:val="center"/>
          </w:tcPr>
          <w:p w14:paraId="6CF9E548" w14:textId="77777777" w:rsidR="006358DE" w:rsidRDefault="006358DE">
            <w:pPr>
              <w:pStyle w:val="TableText"/>
            </w:pPr>
            <w:r>
              <w:t>“Recycling”</w:t>
            </w:r>
          </w:p>
        </w:tc>
      </w:tr>
      <w:tr w:rsidR="006358DE" w14:paraId="44B2F073" w14:textId="77777777">
        <w:tc>
          <w:tcPr>
            <w:tcW w:w="1162" w:type="pct"/>
            <w:vAlign w:val="center"/>
          </w:tcPr>
          <w:p w14:paraId="614EE935" w14:textId="77777777" w:rsidR="006358DE" w:rsidRDefault="006358DE">
            <w:pPr>
              <w:pStyle w:val="TableText"/>
            </w:pPr>
            <w:r>
              <w:t>Organics</w:t>
            </w:r>
          </w:p>
        </w:tc>
        <w:tc>
          <w:tcPr>
            <w:tcW w:w="1919" w:type="pct"/>
            <w:vAlign w:val="center"/>
          </w:tcPr>
          <w:p w14:paraId="2B556E39" w14:textId="77777777" w:rsidR="006358DE" w:rsidRDefault="006358DE">
            <w:pPr>
              <w:pStyle w:val="TableText"/>
            </w:pPr>
            <w:r>
              <w:t>Green</w:t>
            </w:r>
          </w:p>
        </w:tc>
        <w:tc>
          <w:tcPr>
            <w:tcW w:w="1919" w:type="pct"/>
            <w:vAlign w:val="center"/>
          </w:tcPr>
          <w:p w14:paraId="07723DA1" w14:textId="77777777" w:rsidR="006358DE" w:rsidRDefault="006358DE">
            <w:pPr>
              <w:pStyle w:val="TableText"/>
            </w:pPr>
            <w:r>
              <w:t>“Compost” or “Organics”</w:t>
            </w:r>
          </w:p>
        </w:tc>
      </w:tr>
      <w:tr w:rsidR="006358DE" w14:paraId="29AFB6BB" w14:textId="77777777">
        <w:tc>
          <w:tcPr>
            <w:tcW w:w="1162" w:type="pct"/>
            <w:vAlign w:val="center"/>
          </w:tcPr>
          <w:p w14:paraId="1FBF5701" w14:textId="77777777" w:rsidR="006358DE" w:rsidRDefault="006358DE">
            <w:pPr>
              <w:pStyle w:val="TableText"/>
            </w:pPr>
            <w:r>
              <w:t>E-Waste</w:t>
            </w:r>
          </w:p>
        </w:tc>
        <w:tc>
          <w:tcPr>
            <w:tcW w:w="1919" w:type="pct"/>
            <w:vAlign w:val="center"/>
          </w:tcPr>
          <w:p w14:paraId="0A797212" w14:textId="77777777" w:rsidR="006358DE" w:rsidRDefault="006358DE">
            <w:pPr>
              <w:pStyle w:val="TableText"/>
            </w:pPr>
            <w:r>
              <w:t>Orange</w:t>
            </w:r>
          </w:p>
        </w:tc>
        <w:tc>
          <w:tcPr>
            <w:tcW w:w="1919" w:type="pct"/>
            <w:vAlign w:val="center"/>
          </w:tcPr>
          <w:p w14:paraId="7019D28F" w14:textId="77777777" w:rsidR="006358DE" w:rsidRDefault="006358DE">
            <w:pPr>
              <w:pStyle w:val="TableText"/>
            </w:pPr>
            <w:r>
              <w:t>“E-Waste”</w:t>
            </w:r>
          </w:p>
        </w:tc>
      </w:tr>
      <w:tr w:rsidR="006358DE" w14:paraId="1E515B87" w14:textId="77777777">
        <w:tc>
          <w:tcPr>
            <w:tcW w:w="1162" w:type="pct"/>
            <w:vAlign w:val="center"/>
          </w:tcPr>
          <w:p w14:paraId="5501E44C" w14:textId="77777777" w:rsidR="006358DE" w:rsidRDefault="006358DE">
            <w:pPr>
              <w:pStyle w:val="TableText"/>
            </w:pPr>
            <w:r>
              <w:t>Other</w:t>
            </w:r>
          </w:p>
        </w:tc>
        <w:tc>
          <w:tcPr>
            <w:tcW w:w="1919" w:type="pct"/>
            <w:vAlign w:val="center"/>
          </w:tcPr>
          <w:p w14:paraId="44A01293" w14:textId="77777777" w:rsidR="006358DE" w:rsidRDefault="006358DE">
            <w:pPr>
              <w:pStyle w:val="TableText"/>
            </w:pPr>
            <w:r>
              <w:t>Depends on collected item</w:t>
            </w:r>
          </w:p>
        </w:tc>
        <w:tc>
          <w:tcPr>
            <w:tcW w:w="1919" w:type="pct"/>
            <w:vAlign w:val="center"/>
          </w:tcPr>
          <w:p w14:paraId="4BF55882" w14:textId="77777777" w:rsidR="006358DE" w:rsidRDefault="006358DE">
            <w:pPr>
              <w:pStyle w:val="TableText"/>
            </w:pPr>
            <w:r>
              <w:t>Depends on collected item</w:t>
            </w:r>
          </w:p>
        </w:tc>
      </w:tr>
    </w:tbl>
    <w:p w14:paraId="2154711F" w14:textId="77777777" w:rsidR="006358DE" w:rsidRDefault="006358DE" w:rsidP="006358DE">
      <w:pPr>
        <w:pStyle w:val="Heading5"/>
      </w:pPr>
      <w:r>
        <w:t>(8) Process organic waste on site</w:t>
      </w:r>
    </w:p>
    <w:p w14:paraId="3F847C11" w14:textId="5F1C7040" w:rsidR="006358DE" w:rsidRDefault="006358DE" w:rsidP="006D7DE6">
      <w:pPr>
        <w:pStyle w:val="BodyTextFirstIndent"/>
      </w:pPr>
      <w:r>
        <w:t xml:space="preserve">Some schools may be capable of processing organic waste on site. Onsite organics waste processing can decrease hauling costs by reducing pickup frequency or eliminating the need for organic waste haulers. Advanced technological options (e.g., </w:t>
      </w:r>
      <w:r>
        <w:lastRenderedPageBreak/>
        <w:t xml:space="preserve">dehydrators, pulpers, and anaerobic digestors) have high up-front capital costs and some ongoing operational costs. These machines suit facilities with sufficient outdoor area for composting or limited hauler access and would likely be inefficient for most schools; however, smaller-scale composting is appropriate in most schools. Schools with agricultural or environmental programs may especially benefit from composting on site with organic waste from the cafeteria, lawns or landscaping, livestock, agricultural plots, or classrooms. The remaining compost should be hauled off-site for processing. Schools that implement onsite composting must </w:t>
      </w:r>
      <w:hyperlink r:id="rId213" w:history="1">
        <w:r w:rsidRPr="005D1295">
          <w:rPr>
            <w:rStyle w:val="Hyperlink"/>
          </w:rPr>
          <w:t>notify MassDEP</w:t>
        </w:r>
      </w:hyperlink>
      <w:r>
        <w:t>.</w:t>
      </w:r>
    </w:p>
    <w:p w14:paraId="58986ECB" w14:textId="77777777" w:rsidR="006358DE" w:rsidRPr="00DF5100" w:rsidRDefault="006358DE" w:rsidP="006358DE">
      <w:pPr>
        <w:pStyle w:val="Heading5"/>
      </w:pPr>
      <w:r>
        <w:t xml:space="preserve">(9) Leave lawn clippings in place or compost </w:t>
      </w:r>
    </w:p>
    <w:p w14:paraId="6ADF3AAF" w14:textId="1CFEE822" w:rsidR="006358DE" w:rsidRPr="00F5024E" w:rsidRDefault="006358DE" w:rsidP="006D7DE6">
      <w:pPr>
        <w:pStyle w:val="BodyTextFirstIndent"/>
      </w:pPr>
      <w:r>
        <w:t>Lawn clippings are often bagged and sent to the landfill, adding to a school’s total waste stream. If it does not interfere with the purpose of the lawn, short clippings (~1 inch) should be left in place to decompose after mowing to reduce nitrogen fertilizer requirements (by as much as 75 percent) and increase soil organic matter content.</w:t>
      </w:r>
      <w:r>
        <w:fldChar w:fldCharType="begin"/>
      </w:r>
      <w:r w:rsidR="00C25C90">
        <w:instrText xml:space="preserve"> ADDIN ZOTERO_ITEM CSL_CITATION {"citationID":"1h9M5J2K","properties":{"formattedCitation":"\\super 259,260\\nosupersub{}","plainCitation":"259,260","noteIndex":0},"citationItems":[{"id":211,"uris":["http://zotero.org/groups/5563646/items/S9UKENY6"],"itemData":{"id":211,"type":"webpage","title":"Benefits of Recycling Lawn Clippings: A Brief Summary | Turfgrass Science","URL":"https://turf.umn.edu/news/benefits-recycling-lawn-clippings-brief-summary","author":[{"family":"Friell","given":"Josh"}],"accessed":{"date-parts":[["2024",6,21]]}}},{"id":210,"uris":["http://zotero.org/groups/5563646/items/7A5NVB2R"],"itemData":{"id":210,"type":"webpage","abstract":"Recycle your lawn clippings","language":"en","title":"What to do with lawn clippings","URL":"https://extension.umn.edu/lawn-care/what-do-lawn-clippings","author":[{"family":"University of Minnesota Extension","given":""}],"accessed":{"date-parts":[["2024",6,21]]},"issued":{"date-parts":[["2018"]]}}}],"schema":"https://github.com/citation-style-language/schema/raw/master/csl-citation.json"} </w:instrText>
      </w:r>
      <w:r>
        <w:fldChar w:fldCharType="separate"/>
      </w:r>
      <w:r w:rsidR="00C25C90" w:rsidRPr="00C25C90">
        <w:rPr>
          <w:rFonts w:cs="Arial"/>
          <w:vertAlign w:val="superscript"/>
        </w:rPr>
        <w:t>259,260</w:t>
      </w:r>
      <w:r>
        <w:fldChar w:fldCharType="end"/>
      </w:r>
      <w:r>
        <w:t xml:space="preserve"> Longer clippings could smother the grass and instead should be collected and composted on-site or sent for off-site composting.</w:t>
      </w:r>
    </w:p>
    <w:p w14:paraId="10DB3CB8" w14:textId="77777777" w:rsidR="006358DE" w:rsidRDefault="006358DE" w:rsidP="006358DE">
      <w:pPr>
        <w:pStyle w:val="Heading5"/>
      </w:pPr>
      <w:r>
        <w:t>(10) Use smart waste monitoring technology</w:t>
      </w:r>
    </w:p>
    <w:p w14:paraId="45B51D1C" w14:textId="77777777" w:rsidR="006358DE" w:rsidRDefault="006358DE" w:rsidP="006D7DE6">
      <w:pPr>
        <w:pStyle w:val="BodyTextFirstIndent"/>
      </w:pPr>
      <w:r>
        <w:t xml:space="preserve">Smart waste monitoring technologies are used to provide real-time insights into waste generation, composition, and collection. They are relatively inexpensive and can be used to track a bin’s location and, when it is nearing capacity, allow for optimized collection schedules that can reduce hauling fees. Schools can also leverage the data collected from bin sensors to better understand their waste stream. </w:t>
      </w:r>
    </w:p>
    <w:p w14:paraId="2B15F055" w14:textId="77777777" w:rsidR="009A577C" w:rsidRDefault="009A577C" w:rsidP="009A577C">
      <w:pPr>
        <w:pStyle w:val="Heading3"/>
      </w:pPr>
      <w:r>
        <w:t>Statutes, Regulations, and Standards</w:t>
      </w:r>
    </w:p>
    <w:p w14:paraId="03B1B830" w14:textId="77777777" w:rsidR="009A577C" w:rsidRDefault="009A577C" w:rsidP="006D7DE6">
      <w:pPr>
        <w:pStyle w:val="BodyTextFirstIndent"/>
      </w:pPr>
      <w:r>
        <w:t>Statutes, regulations, and standards that include a focus on solid waste management are detailed below.</w:t>
      </w:r>
    </w:p>
    <w:p w14:paraId="53F3AB9B" w14:textId="77777777" w:rsidR="009A577C" w:rsidRDefault="009A577C" w:rsidP="009A577C">
      <w:pPr>
        <w:pStyle w:val="Heading4"/>
      </w:pPr>
      <w:r>
        <w:t>Summary of Relevant Statutes</w:t>
      </w:r>
    </w:p>
    <w:p w14:paraId="460B2C8E" w14:textId="391E0956" w:rsidR="009A577C" w:rsidRPr="00F26C8D" w:rsidRDefault="009A577C" w:rsidP="006D7DE6">
      <w:pPr>
        <w:pStyle w:val="BodyTextFirstIndent"/>
      </w:pPr>
      <w:r w:rsidRPr="00073FD4">
        <w:rPr>
          <w:b/>
        </w:rPr>
        <w:t>Massachusetts Mercury Management Act</w:t>
      </w:r>
      <w:r w:rsidR="000E5279">
        <w:rPr>
          <w:b/>
        </w:rPr>
        <w:t xml:space="preserve"> (M.G.L.</w:t>
      </w:r>
      <w:r w:rsidR="005F6072">
        <w:rPr>
          <w:b/>
        </w:rPr>
        <w:t xml:space="preserve"> Chapter 21H, Sections 6A-6N)</w:t>
      </w:r>
      <w:r>
        <w:t xml:space="preserve"> </w:t>
      </w:r>
      <w:r w:rsidRPr="00073FD4">
        <w:t>prohibits the disposal of any product that contains mercury</w:t>
      </w:r>
      <w:r>
        <w:t xml:space="preserve"> as solid waste (e.g.,</w:t>
      </w:r>
      <w:r w:rsidRPr="00073FD4">
        <w:t xml:space="preserve"> </w:t>
      </w:r>
      <w:r>
        <w:t>f</w:t>
      </w:r>
      <w:r w:rsidRPr="00073FD4">
        <w:t>lat</w:t>
      </w:r>
      <w:r>
        <w:t>-</w:t>
      </w:r>
      <w:r w:rsidRPr="00073FD4">
        <w:t xml:space="preserve">screen </w:t>
      </w:r>
      <w:r>
        <w:t xml:space="preserve">computer </w:t>
      </w:r>
      <w:r w:rsidRPr="00073FD4">
        <w:t>monitors, televisions, and other devices that have a back-lit screen contain</w:t>
      </w:r>
      <w:r>
        <w:t>ing</w:t>
      </w:r>
      <w:r w:rsidRPr="00073FD4">
        <w:t xml:space="preserve"> fluorescent </w:t>
      </w:r>
      <w:r>
        <w:t>lamps).</w:t>
      </w:r>
      <w:r w:rsidR="007E091E">
        <w:fldChar w:fldCharType="begin"/>
      </w:r>
      <w:r w:rsidR="00271C49">
        <w:instrText xml:space="preserve"> ADDIN ZOTERO_ITEM CSL_CITATION {"citationID":"ai0pac6g21","properties":{"formattedCitation":"\\super 261\\nosupersub{}","plainCitation":"261","noteIndex":0},"citationItems":[{"id":1174,"uris":["http://zotero.org/groups/5563646/items/KK83YSHY"],"itemData":{"id":1174,"type":"webpage","language":"en","title":"Mercury Management Act","URL":"https://www.mass.gov/guides/massdep-mercury-information#-mercury-management-act-","author":[{"literal":"Massachusetts Department of Environmental Protection"}],"accessed":{"date-parts":[["2024",12,12]]},"issued":{"date-parts":[["2024"]]}}}],"schema":"https://github.com/citation-style-language/schema/raw/master/csl-citation.json"} </w:instrText>
      </w:r>
      <w:r w:rsidR="007E091E">
        <w:fldChar w:fldCharType="separate"/>
      </w:r>
      <w:r w:rsidR="00271C49" w:rsidRPr="00271C49">
        <w:rPr>
          <w:rFonts w:cs="Arial"/>
          <w:vertAlign w:val="superscript"/>
        </w:rPr>
        <w:t>261</w:t>
      </w:r>
      <w:r w:rsidR="007E091E">
        <w:fldChar w:fldCharType="end"/>
      </w:r>
    </w:p>
    <w:p w14:paraId="35B915DC" w14:textId="77777777" w:rsidR="009A577C" w:rsidRDefault="009A577C" w:rsidP="009A577C">
      <w:pPr>
        <w:pStyle w:val="Heading4"/>
      </w:pPr>
      <w:r>
        <w:t>Summary of Relevant Regulations</w:t>
      </w:r>
    </w:p>
    <w:p w14:paraId="18885D56" w14:textId="0EFCD5CD" w:rsidR="009A577C" w:rsidRDefault="009A577C" w:rsidP="006D7DE6">
      <w:pPr>
        <w:pStyle w:val="BodyTextFirstIndent"/>
      </w:pPr>
      <w:r>
        <w:rPr>
          <w:b/>
        </w:rPr>
        <w:t>310 CMR 19.000</w:t>
      </w:r>
      <w:r>
        <w:t xml:space="preserve"> provides guidelines for</w:t>
      </w:r>
      <w:r w:rsidRPr="0019040C">
        <w:t xml:space="preserve"> the storage, transfer, processing, treatment, disposal, use</w:t>
      </w:r>
      <w:r>
        <w:t>,</w:t>
      </w:r>
      <w:r w:rsidRPr="0019040C">
        <w:t xml:space="preserve"> and reuse of solid waste in Massachusetts.</w:t>
      </w:r>
      <w:r w:rsidR="00E14428">
        <w:fldChar w:fldCharType="begin"/>
      </w:r>
      <w:r w:rsidR="00AD250A">
        <w:instrText xml:space="preserve"> ADDIN ZOTERO_ITEM CSL_CITATION {"citationID":"a17abrulkoq","properties":{"formattedCitation":"\\super 262\\nosupersub{}","plainCitation":"262","noteIndex":0},"citationItems":[{"id":1131,"uris":["http://zotero.org/groups/5563646/items/RPPEGP9W"],"itemData":{"id":1131,"type":"legislation","container-title":"310 CMR 19.000","title":"Solid Waste Facility Regulations","URL":"https://www.mass.gov/regulations/310-CMR-19000-solid-waste-facility-regulations","author":[{"family":"MassDEP","given":""}]}}],"schema":"https://github.com/citation-style-language/schema/raw/master/csl-citation.json"} </w:instrText>
      </w:r>
      <w:r w:rsidR="00E14428">
        <w:fldChar w:fldCharType="separate"/>
      </w:r>
      <w:r w:rsidR="00AD250A" w:rsidRPr="00AD250A">
        <w:rPr>
          <w:rFonts w:cs="Arial"/>
          <w:vertAlign w:val="superscript"/>
        </w:rPr>
        <w:t>262</w:t>
      </w:r>
      <w:r w:rsidR="00E14428">
        <w:fldChar w:fldCharType="end"/>
      </w:r>
    </w:p>
    <w:p w14:paraId="42715980" w14:textId="0524177F" w:rsidR="009A577C" w:rsidRDefault="009A577C" w:rsidP="006D7DE6">
      <w:pPr>
        <w:pStyle w:val="BodyTextFirstIndent"/>
      </w:pPr>
      <w:r w:rsidRPr="00E934D0">
        <w:rPr>
          <w:b/>
        </w:rPr>
        <w:t>Federal Share Table Food Safety Regulations</w:t>
      </w:r>
      <w:r>
        <w:rPr>
          <w:b/>
        </w:rPr>
        <w:t xml:space="preserve"> [</w:t>
      </w:r>
      <w:r w:rsidRPr="004C5D34">
        <w:rPr>
          <w:b/>
        </w:rPr>
        <w:t>7 CFR 210.13, 220.7, 226.20, and 225.16(a)</w:t>
      </w:r>
      <w:r>
        <w:rPr>
          <w:b/>
        </w:rPr>
        <w:t>]</w:t>
      </w:r>
      <w:r>
        <w:t xml:space="preserve"> </w:t>
      </w:r>
      <w:r w:rsidR="002D5BE0">
        <w:t xml:space="preserve">require </w:t>
      </w:r>
      <w:r>
        <w:t xml:space="preserve">that food served to children in schools, childcare centers, and summer programs meet nutritional </w:t>
      </w:r>
      <w:r w:rsidR="0021147F">
        <w:t>standards</w:t>
      </w:r>
      <w:r>
        <w:t xml:space="preserve"> and is safe for consumption.</w:t>
      </w:r>
      <w:r w:rsidR="008D79E4">
        <w:fldChar w:fldCharType="begin"/>
      </w:r>
      <w:r w:rsidR="00E57D19">
        <w:instrText xml:space="preserve"> ADDIN ZOTERO_ITEM CSL_CITATION {"citationID":"a2oe79dhse6","properties":{"formattedCitation":"\\super 253\\nosupersub{}","plainCitation":"253","noteIndex":0},"citationItems":[{"id":82,"uris":["http://zotero.org/groups/5563646/items/4799LD5F"],"itemData":{"id":82,"type":"article-journal","language":"en","source":"Zotero","title":"Share Table Guidelines","URL":"https://fns-prod.azureedge.us/sites/default/files/cn/SP41_CACFP13_SFSP15_2016os.pdf","author":[{"family":"USDA","given":""}],"issued":{"date-parts":[["2016",6,22]]}}}],"schema":"https://github.com/citation-style-language/schema/raw/master/csl-citation.json"} </w:instrText>
      </w:r>
      <w:r w:rsidR="008D79E4">
        <w:fldChar w:fldCharType="separate"/>
      </w:r>
      <w:r w:rsidR="00E57D19" w:rsidRPr="00E57D19">
        <w:rPr>
          <w:rFonts w:cs="Arial"/>
          <w:vertAlign w:val="superscript"/>
        </w:rPr>
        <w:t>253</w:t>
      </w:r>
      <w:r w:rsidR="008D79E4">
        <w:fldChar w:fldCharType="end"/>
      </w:r>
      <w:r>
        <w:t xml:space="preserve"> </w:t>
      </w:r>
    </w:p>
    <w:p w14:paraId="11835241" w14:textId="77777777" w:rsidR="009A577C" w:rsidRDefault="009A577C" w:rsidP="009A577C">
      <w:pPr>
        <w:pStyle w:val="Heading4"/>
      </w:pPr>
      <w:r>
        <w:lastRenderedPageBreak/>
        <w:t>Summary of Relevant Standards</w:t>
      </w:r>
    </w:p>
    <w:p w14:paraId="75F7376A" w14:textId="3B321EB9" w:rsidR="009A577C" w:rsidRDefault="009A577C" w:rsidP="006D7DE6">
      <w:pPr>
        <w:pStyle w:val="BodyTextFirstIndent"/>
      </w:pPr>
      <w:r w:rsidRPr="00C312A8">
        <w:rPr>
          <w:b/>
        </w:rPr>
        <w:t>USDA Standard for the Use of Share Tables in Child Nutrition Programs</w:t>
      </w:r>
      <w:r>
        <w:t xml:space="preserve"> points to </w:t>
      </w:r>
      <w:r w:rsidRPr="00164F49">
        <w:t>guidelines and regulations that govern the implementation of share tables in schools</w:t>
      </w:r>
      <w:r>
        <w:t>.</w:t>
      </w:r>
      <w:r w:rsidR="000F6BCB">
        <w:fldChar w:fldCharType="begin"/>
      </w:r>
      <w:r w:rsidR="00696868">
        <w:instrText xml:space="preserve"> ADDIN ZOTERO_ITEM CSL_CITATION {"citationID":"a2cd95qe1em","properties":{"formattedCitation":"\\super 263\\nosupersub{}","plainCitation":"263","noteIndex":0},"citationItems":[{"id":1129,"uris":["http://zotero.org/groups/5563646/items/Z92WA6ZZ"],"itemData":{"id":1129,"type":"webpage","title":"Use of Share Tables in Child Nutrition Programs | Food and Nutrition Service","URL":"https://www.fns.usda.gov/cn/use-share-tables-child-nutrition-programs","accessed":{"date-parts":[["2024",12,4]]},"issued":{"date-parts":[["2016"]]}}}],"schema":"https://github.com/citation-style-language/schema/raw/master/csl-citation.json"} </w:instrText>
      </w:r>
      <w:r w:rsidR="000F6BCB">
        <w:fldChar w:fldCharType="separate"/>
      </w:r>
      <w:r w:rsidR="00696868" w:rsidRPr="00696868">
        <w:rPr>
          <w:rFonts w:cs="Arial"/>
          <w:vertAlign w:val="superscript"/>
        </w:rPr>
        <w:t>263</w:t>
      </w:r>
      <w:r w:rsidR="000F6BCB">
        <w:fldChar w:fldCharType="end"/>
      </w:r>
    </w:p>
    <w:p w14:paraId="2815D95E" w14:textId="6B6F41EC" w:rsidR="009A577C" w:rsidRDefault="009A577C" w:rsidP="006D7DE6">
      <w:pPr>
        <w:pStyle w:val="BodyTextFirstIndent"/>
      </w:pPr>
      <w:r>
        <w:rPr>
          <w:b/>
        </w:rPr>
        <w:t>USGBC’s</w:t>
      </w:r>
      <w:r w:rsidRPr="00C312A8">
        <w:rPr>
          <w:b/>
        </w:rPr>
        <w:t xml:space="preserve"> LEED v4.1 Building Design + Construction</w:t>
      </w:r>
      <w:r w:rsidRPr="00EA3C67">
        <w:t xml:space="preserve"> promote</w:t>
      </w:r>
      <w:r>
        <w:t>s</w:t>
      </w:r>
      <w:r w:rsidRPr="00EA3C67">
        <w:t xml:space="preserve"> sustainable building practices, improve</w:t>
      </w:r>
      <w:r>
        <w:t>s</w:t>
      </w:r>
      <w:r w:rsidRPr="00EA3C67">
        <w:t xml:space="preserve"> building performance, and contribute</w:t>
      </w:r>
      <w:r>
        <w:t>s</w:t>
      </w:r>
      <w:r w:rsidRPr="00EA3C67">
        <w:t xml:space="preserve"> to a healthier environment by encouraging the adoption of green building strategies and technologies in new construction and major renovation projects worldwide.</w:t>
      </w:r>
      <w:r w:rsidR="00D2360C">
        <w:fldChar w:fldCharType="begin"/>
      </w:r>
      <w:r w:rsidR="006D0561">
        <w:instrText xml:space="preserve"> ADDIN ZOTERO_ITEM CSL_CITATION {"citationID":"a2ph9827v6f","properties":{"formattedCitation":"\\super 198\\nosupersub{}","plainCitation":"198","noteIndex":0},"citationItems":[{"id":1145,"uris":["http://zotero.org/groups/5563646/items/P3LJWIS2"],"itemData":{"id":1145,"type":"document","title":"LEED v4.1 Building Design + Construction","URL":"https://build.usgbc.org/bd+c_guide","author":[{"family":"USGBC","given":""}],"issued":{"date-parts":[["2024"]]}}}],"schema":"https://github.com/citation-style-language/schema/raw/master/csl-citation.json"} </w:instrText>
      </w:r>
      <w:r w:rsidR="00D2360C">
        <w:fldChar w:fldCharType="separate"/>
      </w:r>
      <w:r w:rsidR="006D0561" w:rsidRPr="006D0561">
        <w:rPr>
          <w:rFonts w:cs="Arial"/>
          <w:vertAlign w:val="superscript"/>
        </w:rPr>
        <w:t>198</w:t>
      </w:r>
      <w:r w:rsidR="00D2360C">
        <w:fldChar w:fldCharType="end"/>
      </w:r>
      <w:r w:rsidRPr="00EA3C67">
        <w:t xml:space="preserve"> </w:t>
      </w:r>
    </w:p>
    <w:p w14:paraId="6940A85D" w14:textId="031359A4" w:rsidR="009A577C" w:rsidRDefault="009A577C" w:rsidP="006D7DE6">
      <w:pPr>
        <w:pStyle w:val="BodyTextFirstIndent"/>
      </w:pPr>
      <w:r>
        <w:fldChar w:fldCharType="begin"/>
      </w:r>
      <w:r>
        <w:instrText xml:space="preserve"> REF _Ref172907120 \h </w:instrText>
      </w:r>
      <w:r>
        <w:fldChar w:fldCharType="separate"/>
      </w:r>
      <w:r w:rsidR="00307850">
        <w:t xml:space="preserve">Table </w:t>
      </w:r>
      <w:r w:rsidR="00307850">
        <w:rPr>
          <w:noProof/>
        </w:rPr>
        <w:t>50</w:t>
      </w:r>
      <w:r>
        <w:fldChar w:fldCharType="end"/>
      </w:r>
      <w:r>
        <w:t xml:space="preserve"> summarizes the statutes, regulations, and performance standards related to the optimization of solid waste reduction and diversion in schools.</w:t>
      </w:r>
    </w:p>
    <w:p w14:paraId="7087E0FB" w14:textId="093D303D" w:rsidR="009A577C" w:rsidRDefault="009A577C" w:rsidP="00B30C96">
      <w:pPr>
        <w:pStyle w:val="Caption"/>
      </w:pPr>
      <w:bookmarkStart w:id="472" w:name="_Ref172907120"/>
      <w:bookmarkStart w:id="473" w:name="_Toc192711716"/>
      <w:bookmarkStart w:id="474" w:name="_Toc193112598"/>
      <w:bookmarkStart w:id="475" w:name="_Toc193116997"/>
      <w:r>
        <w:t xml:space="preserve">Table </w:t>
      </w:r>
      <w:fldSimple w:instr=" SEQ Table \* ARABIC ">
        <w:r w:rsidR="00307850">
          <w:rPr>
            <w:noProof/>
          </w:rPr>
          <w:t>50</w:t>
        </w:r>
      </w:fldSimple>
      <w:bookmarkEnd w:id="472"/>
      <w:r>
        <w:t>.</w:t>
      </w:r>
      <w:r w:rsidRPr="00AD43CE">
        <w:t xml:space="preserve"> </w:t>
      </w:r>
      <w:r>
        <w:t>Statutory/Regulatory Framework and Notable Standards for Optimizing Solid Waste Reduction and Diversion</w:t>
      </w:r>
      <w:bookmarkEnd w:id="473"/>
      <w:bookmarkEnd w:id="474"/>
      <w:bookmarkEnd w:id="475"/>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optimizing solid waste reduction and diversion."/>
      </w:tblPr>
      <w:tblGrid>
        <w:gridCol w:w="6115"/>
        <w:gridCol w:w="1077"/>
        <w:gridCol w:w="1081"/>
        <w:gridCol w:w="1077"/>
      </w:tblGrid>
      <w:tr w:rsidR="009A577C" w:rsidRPr="00C8094D" w14:paraId="60FA6A27" w14:textId="77777777">
        <w:trPr>
          <w:cantSplit/>
          <w:trHeight w:val="1826"/>
          <w:tblHeader/>
          <w:jc w:val="center"/>
        </w:trPr>
        <w:tc>
          <w:tcPr>
            <w:tcW w:w="3270"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vAlign w:val="center"/>
          </w:tcPr>
          <w:p w14:paraId="27CEFE49" w14:textId="77777777" w:rsidR="009A577C" w:rsidRDefault="009A577C">
            <w:pPr>
              <w:pStyle w:val="TableColumnHeader"/>
            </w:pPr>
            <w:r>
              <w:t>Statute/Regulation/Standard</w:t>
            </w:r>
          </w:p>
        </w:tc>
        <w:tc>
          <w:tcPr>
            <w:tcW w:w="576" w:type="pct"/>
            <w:tcBorders>
              <w:top w:val="single" w:sz="4" w:space="0" w:color="auto"/>
              <w:left w:val="single" w:sz="4" w:space="0" w:color="auto"/>
              <w:bottom w:val="single" w:sz="4" w:space="0" w:color="auto"/>
              <w:right w:val="single" w:sz="4" w:space="0" w:color="auto"/>
            </w:tcBorders>
            <w:shd w:val="clear" w:color="auto" w:fill="C6D9F1" w:themeFill="text2" w:themeFillTint="33"/>
            <w:tcMar>
              <w:bottom w:w="58" w:type="dxa"/>
            </w:tcMar>
            <w:textDirection w:val="btLr"/>
            <w:vAlign w:val="center"/>
          </w:tcPr>
          <w:p w14:paraId="4AFE0F29" w14:textId="77777777" w:rsidR="009A577C" w:rsidRDefault="009A577C">
            <w:pPr>
              <w:pStyle w:val="TableColumnHeader"/>
              <w:jc w:val="left"/>
            </w:pPr>
            <w:r>
              <w:t>State</w:t>
            </w:r>
            <w:r w:rsidRPr="00E11392">
              <w:t xml:space="preserve"> Statute/ Regulation</w:t>
            </w:r>
          </w:p>
        </w:tc>
        <w:tc>
          <w:tcPr>
            <w:tcW w:w="578"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0F986D2B" w14:textId="77777777" w:rsidR="009A577C" w:rsidRDefault="009A577C">
            <w:pPr>
              <w:pStyle w:val="TableColumnHeader"/>
              <w:jc w:val="left"/>
            </w:pPr>
            <w:r>
              <w:t>Other</w:t>
            </w:r>
            <w:r w:rsidRPr="00E11392">
              <w:t xml:space="preserve"> Statute/ Regulation</w:t>
            </w:r>
          </w:p>
        </w:tc>
        <w:tc>
          <w:tcPr>
            <w:tcW w:w="576" w:type="pc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tcPr>
          <w:p w14:paraId="65A0B2DB" w14:textId="77777777" w:rsidR="009A577C" w:rsidRDefault="009A577C">
            <w:pPr>
              <w:pStyle w:val="TableColumnHeader"/>
              <w:jc w:val="left"/>
            </w:pPr>
            <w:r w:rsidRPr="00E11392">
              <w:t>Standard</w:t>
            </w:r>
          </w:p>
        </w:tc>
      </w:tr>
      <w:tr w:rsidR="009A577C" w:rsidRPr="00C8094D" w14:paraId="52B87BAC" w14:textId="77777777">
        <w:trPr>
          <w:cantSplit/>
          <w:trHeight w:val="255"/>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tcPr>
          <w:p w14:paraId="01C737E8" w14:textId="77777777" w:rsidR="009A577C" w:rsidRDefault="009A577C">
            <w:pPr>
              <w:pStyle w:val="TableRowHeader"/>
            </w:pPr>
            <w:r>
              <w:t>Statutes</w:t>
            </w:r>
          </w:p>
        </w:tc>
      </w:tr>
      <w:tr w:rsidR="009A577C" w:rsidRPr="00C8094D" w14:paraId="444DF2B9" w14:textId="77777777">
        <w:trPr>
          <w:cantSplit/>
          <w:trHeight w:val="255"/>
          <w:tblHeader/>
          <w:jc w:val="center"/>
        </w:trPr>
        <w:tc>
          <w:tcPr>
            <w:tcW w:w="3270" w:type="pct"/>
            <w:tcBorders>
              <w:top w:val="single" w:sz="4" w:space="0" w:color="auto"/>
              <w:left w:val="single" w:sz="4" w:space="0" w:color="auto"/>
              <w:bottom w:val="single" w:sz="4" w:space="0" w:color="auto"/>
              <w:right w:val="single" w:sz="4" w:space="0" w:color="auto"/>
            </w:tcBorders>
            <w:shd w:val="clear" w:color="auto" w:fill="auto"/>
          </w:tcPr>
          <w:p w14:paraId="0A6D5EC4" w14:textId="77777777" w:rsidR="009A577C" w:rsidRDefault="009A577C">
            <w:pPr>
              <w:pStyle w:val="TableText"/>
            </w:pPr>
            <w:r>
              <w:t>Massachusetts Mercury Management Act</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20D93130" w14:textId="77777777" w:rsidR="009A577C" w:rsidRDefault="009A577C">
            <w:pPr>
              <w:pStyle w:val="TableRowHeader"/>
              <w:jc w:val="center"/>
            </w:pPr>
            <w:r w:rsidRPr="004061F4">
              <w:rPr>
                <w:color w:val="00B050"/>
              </w:rPr>
              <w:t>X</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4740C9D1" w14:textId="77777777" w:rsidR="009A577C" w:rsidRDefault="009A577C">
            <w:pPr>
              <w:pStyle w:val="TableRowHeader"/>
              <w:jc w:val="cente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1B8B266D" w14:textId="77777777" w:rsidR="009A577C" w:rsidRDefault="009A577C">
            <w:pPr>
              <w:pStyle w:val="TableRowHeader"/>
              <w:jc w:val="center"/>
            </w:pPr>
          </w:p>
        </w:tc>
      </w:tr>
      <w:tr w:rsidR="009A577C" w:rsidRPr="00C8094D" w14:paraId="38671373"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7D6575D9" w14:textId="77777777" w:rsidR="009A577C" w:rsidRPr="00592C22" w:rsidRDefault="009A577C">
            <w:pPr>
              <w:pStyle w:val="TableRowHeader"/>
            </w:pPr>
            <w:r>
              <w:t>Regulations</w:t>
            </w:r>
          </w:p>
        </w:tc>
      </w:tr>
      <w:tr w:rsidR="009A577C" w:rsidRPr="00C8094D" w14:paraId="4D0E7E46" w14:textId="77777777">
        <w:trPr>
          <w:cantSplit/>
          <w:trHeight w:val="255"/>
          <w:tblHeader/>
          <w:jc w:val="center"/>
        </w:trPr>
        <w:tc>
          <w:tcPr>
            <w:tcW w:w="3270" w:type="pct"/>
            <w:tcBorders>
              <w:top w:val="nil"/>
              <w:left w:val="single" w:sz="4" w:space="0" w:color="auto"/>
              <w:bottom w:val="single" w:sz="4" w:space="0" w:color="auto"/>
              <w:right w:val="single" w:sz="4" w:space="0" w:color="auto"/>
            </w:tcBorders>
            <w:shd w:val="clear" w:color="auto" w:fill="auto"/>
          </w:tcPr>
          <w:p w14:paraId="6561E1F1" w14:textId="77777777" w:rsidR="009A577C" w:rsidRPr="00F503E3" w:rsidRDefault="009A577C">
            <w:pPr>
              <w:pStyle w:val="TableText"/>
            </w:pPr>
            <w:r w:rsidRPr="00F503E3">
              <w:t>310 C</w:t>
            </w:r>
            <w:r>
              <w:t xml:space="preserve">ode of </w:t>
            </w:r>
            <w:r w:rsidRPr="00F503E3">
              <w:t>M</w:t>
            </w:r>
            <w:r>
              <w:t xml:space="preserve">assachusetts </w:t>
            </w:r>
            <w:r w:rsidRPr="00F503E3">
              <w:t>R</w:t>
            </w:r>
            <w:r>
              <w:t>egulation (CMR)</w:t>
            </w:r>
            <w:r w:rsidRPr="00F503E3">
              <w:t xml:space="preserve"> 19.000: S</w:t>
            </w:r>
            <w:r>
              <w:t>olid</w:t>
            </w:r>
            <w:r w:rsidRPr="00F503E3">
              <w:t xml:space="preserve"> W</w:t>
            </w:r>
            <w:r>
              <w:t>aste</w:t>
            </w:r>
            <w:r w:rsidRPr="00F503E3">
              <w:t xml:space="preserve"> M</w:t>
            </w:r>
            <w:r>
              <w:t>anagement</w:t>
            </w:r>
          </w:p>
        </w:tc>
        <w:tc>
          <w:tcPr>
            <w:tcW w:w="576" w:type="pct"/>
            <w:tcBorders>
              <w:top w:val="nil"/>
              <w:left w:val="single" w:sz="4" w:space="0" w:color="auto"/>
              <w:bottom w:val="single" w:sz="4" w:space="0" w:color="auto"/>
              <w:right w:val="single" w:sz="4" w:space="0" w:color="auto"/>
            </w:tcBorders>
            <w:shd w:val="clear" w:color="auto" w:fill="auto"/>
            <w:vAlign w:val="center"/>
          </w:tcPr>
          <w:p w14:paraId="7725B91B" w14:textId="77777777" w:rsidR="009A577C" w:rsidRPr="004061F4" w:rsidRDefault="009A577C">
            <w:pPr>
              <w:pStyle w:val="TableText"/>
              <w:jc w:val="center"/>
              <w:rPr>
                <w:b/>
                <w:bCs/>
              </w:rPr>
            </w:pPr>
            <w:r w:rsidRPr="004061F4">
              <w:rPr>
                <w:b/>
                <w:bCs/>
                <w:color w:val="00B050"/>
              </w:rPr>
              <w:t>X</w:t>
            </w:r>
          </w:p>
        </w:tc>
        <w:tc>
          <w:tcPr>
            <w:tcW w:w="578" w:type="pct"/>
            <w:tcBorders>
              <w:top w:val="nil"/>
              <w:left w:val="single" w:sz="4" w:space="0" w:color="auto"/>
              <w:bottom w:val="single" w:sz="4" w:space="0" w:color="auto"/>
              <w:right w:val="single" w:sz="4" w:space="0" w:color="auto"/>
            </w:tcBorders>
            <w:shd w:val="clear" w:color="auto" w:fill="auto"/>
            <w:vAlign w:val="center"/>
          </w:tcPr>
          <w:p w14:paraId="7D3B49D9" w14:textId="77777777" w:rsidR="009A577C" w:rsidRPr="004061F4" w:rsidRDefault="009A577C">
            <w:pPr>
              <w:pStyle w:val="TableText"/>
              <w:jc w:val="center"/>
              <w:rPr>
                <w:b/>
                <w:bCs/>
              </w:rPr>
            </w:pPr>
          </w:p>
        </w:tc>
        <w:tc>
          <w:tcPr>
            <w:tcW w:w="576" w:type="pct"/>
            <w:tcBorders>
              <w:top w:val="nil"/>
              <w:left w:val="single" w:sz="4" w:space="0" w:color="auto"/>
              <w:bottom w:val="single" w:sz="4" w:space="0" w:color="auto"/>
              <w:right w:val="single" w:sz="4" w:space="0" w:color="auto"/>
            </w:tcBorders>
            <w:shd w:val="clear" w:color="auto" w:fill="auto"/>
            <w:vAlign w:val="center"/>
          </w:tcPr>
          <w:p w14:paraId="668D1293" w14:textId="77777777" w:rsidR="009A577C" w:rsidRPr="004061F4" w:rsidRDefault="009A577C">
            <w:pPr>
              <w:pStyle w:val="TableText"/>
              <w:jc w:val="center"/>
              <w:rPr>
                <w:b/>
                <w:bCs/>
              </w:rPr>
            </w:pPr>
          </w:p>
        </w:tc>
      </w:tr>
      <w:tr w:rsidR="009A577C" w:rsidRPr="00C8094D" w14:paraId="421127A4" w14:textId="77777777">
        <w:trPr>
          <w:cantSplit/>
          <w:trHeight w:val="255"/>
          <w:tblHeader/>
          <w:jc w:val="center"/>
        </w:trPr>
        <w:tc>
          <w:tcPr>
            <w:tcW w:w="3270" w:type="pct"/>
            <w:tcBorders>
              <w:top w:val="nil"/>
              <w:left w:val="single" w:sz="4" w:space="0" w:color="auto"/>
              <w:bottom w:val="single" w:sz="4" w:space="0" w:color="auto"/>
              <w:right w:val="single" w:sz="4" w:space="0" w:color="auto"/>
            </w:tcBorders>
            <w:shd w:val="clear" w:color="auto" w:fill="auto"/>
          </w:tcPr>
          <w:p w14:paraId="400F1A59" w14:textId="77777777" w:rsidR="009A577C" w:rsidRDefault="009A577C">
            <w:pPr>
              <w:pStyle w:val="TableText"/>
            </w:pPr>
            <w:r>
              <w:t>Federal Share Table Food Safety Regulations (</w:t>
            </w:r>
            <w:r w:rsidRPr="00FD45AC">
              <w:t>7 CFR 210.10, 220.8, 226.20, and 225.16</w:t>
            </w:r>
            <w:r>
              <w:t>)</w:t>
            </w:r>
          </w:p>
        </w:tc>
        <w:tc>
          <w:tcPr>
            <w:tcW w:w="576" w:type="pct"/>
            <w:tcBorders>
              <w:top w:val="nil"/>
              <w:left w:val="single" w:sz="4" w:space="0" w:color="auto"/>
              <w:bottom w:val="single" w:sz="4" w:space="0" w:color="auto"/>
              <w:right w:val="single" w:sz="4" w:space="0" w:color="auto"/>
            </w:tcBorders>
            <w:shd w:val="clear" w:color="auto" w:fill="auto"/>
            <w:vAlign w:val="center"/>
          </w:tcPr>
          <w:p w14:paraId="1E7296C9" w14:textId="77777777" w:rsidR="009A577C" w:rsidRPr="004061F4" w:rsidRDefault="009A577C">
            <w:pPr>
              <w:pStyle w:val="TableText"/>
              <w:jc w:val="center"/>
              <w:rPr>
                <w:b/>
                <w:bCs/>
                <w:color w:val="00B050"/>
              </w:rPr>
            </w:pPr>
          </w:p>
        </w:tc>
        <w:tc>
          <w:tcPr>
            <w:tcW w:w="578" w:type="pct"/>
            <w:tcBorders>
              <w:top w:val="nil"/>
              <w:left w:val="single" w:sz="4" w:space="0" w:color="auto"/>
              <w:bottom w:val="single" w:sz="4" w:space="0" w:color="auto"/>
              <w:right w:val="single" w:sz="4" w:space="0" w:color="auto"/>
            </w:tcBorders>
            <w:shd w:val="clear" w:color="auto" w:fill="auto"/>
            <w:vAlign w:val="center"/>
          </w:tcPr>
          <w:p w14:paraId="2D0F5751" w14:textId="77777777" w:rsidR="009A577C" w:rsidRPr="004061F4" w:rsidRDefault="009A577C">
            <w:pPr>
              <w:pStyle w:val="TableText"/>
              <w:jc w:val="center"/>
              <w:rPr>
                <w:b/>
                <w:bCs/>
              </w:rPr>
            </w:pPr>
          </w:p>
        </w:tc>
        <w:tc>
          <w:tcPr>
            <w:tcW w:w="576" w:type="pct"/>
            <w:tcBorders>
              <w:top w:val="nil"/>
              <w:left w:val="single" w:sz="4" w:space="0" w:color="auto"/>
              <w:bottom w:val="single" w:sz="4" w:space="0" w:color="auto"/>
              <w:right w:val="single" w:sz="4" w:space="0" w:color="auto"/>
            </w:tcBorders>
            <w:shd w:val="clear" w:color="auto" w:fill="auto"/>
            <w:vAlign w:val="center"/>
          </w:tcPr>
          <w:p w14:paraId="40957E0A" w14:textId="77777777" w:rsidR="009A577C" w:rsidRPr="004061F4" w:rsidRDefault="009A577C">
            <w:pPr>
              <w:pStyle w:val="TableText"/>
              <w:jc w:val="center"/>
              <w:rPr>
                <w:b/>
                <w:bCs/>
              </w:rPr>
            </w:pPr>
            <w:r w:rsidRPr="004061F4">
              <w:rPr>
                <w:b/>
                <w:bCs/>
                <w:color w:val="00B050"/>
              </w:rPr>
              <w:t>X</w:t>
            </w:r>
          </w:p>
        </w:tc>
      </w:tr>
      <w:tr w:rsidR="009A577C" w:rsidRPr="00C8094D" w14:paraId="25C4ADF6"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72A8889" w14:textId="77777777" w:rsidR="009A577C" w:rsidRPr="00D21C51" w:rsidRDefault="009A577C">
            <w:pPr>
              <w:pStyle w:val="TableRowHeader"/>
            </w:pPr>
            <w:r>
              <w:t>Standards</w:t>
            </w:r>
          </w:p>
        </w:tc>
      </w:tr>
      <w:tr w:rsidR="009A577C" w:rsidRPr="00C8094D" w14:paraId="213AB9F4" w14:textId="77777777">
        <w:trPr>
          <w:cantSplit/>
          <w:trHeight w:val="255"/>
          <w:tblHeader/>
          <w:jc w:val="center"/>
        </w:trPr>
        <w:tc>
          <w:tcPr>
            <w:tcW w:w="3270" w:type="pct"/>
            <w:tcBorders>
              <w:top w:val="nil"/>
              <w:left w:val="single" w:sz="4" w:space="0" w:color="auto"/>
              <w:bottom w:val="single" w:sz="4" w:space="0" w:color="auto"/>
              <w:right w:val="single" w:sz="4" w:space="0" w:color="auto"/>
            </w:tcBorders>
            <w:shd w:val="clear" w:color="auto" w:fill="auto"/>
          </w:tcPr>
          <w:p w14:paraId="05528712" w14:textId="77777777" w:rsidR="009A577C" w:rsidRDefault="009A577C">
            <w:pPr>
              <w:pStyle w:val="TableText"/>
            </w:pPr>
            <w:r>
              <w:t>USDA Standard for the Use of Share Tables in Child Nutrition Programs</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4A1462B4" w14:textId="77777777" w:rsidR="009A577C" w:rsidRPr="004061F4" w:rsidRDefault="009A577C">
            <w:pPr>
              <w:pStyle w:val="TableText"/>
              <w:jc w:val="center"/>
              <w:rPr>
                <w:b/>
                <w:bCs/>
                <w:color w:val="00B050"/>
              </w:rPr>
            </w:pP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0B1B70D4" w14:textId="77777777" w:rsidR="009A577C" w:rsidRPr="004061F4" w:rsidRDefault="009A577C">
            <w:pPr>
              <w:pStyle w:val="TableText"/>
              <w:jc w:val="center"/>
              <w:rPr>
                <w:b/>
                <w:bCs/>
                <w:color w:val="00B050"/>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36C43BE6" w14:textId="77777777" w:rsidR="009A577C" w:rsidRPr="004061F4" w:rsidRDefault="009A577C">
            <w:pPr>
              <w:pStyle w:val="TableText"/>
              <w:jc w:val="center"/>
              <w:rPr>
                <w:b/>
                <w:bCs/>
                <w:color w:val="00B050"/>
              </w:rPr>
            </w:pPr>
            <w:r w:rsidRPr="004061F4">
              <w:rPr>
                <w:b/>
                <w:bCs/>
                <w:color w:val="00B050"/>
              </w:rPr>
              <w:t>X</w:t>
            </w:r>
          </w:p>
        </w:tc>
      </w:tr>
      <w:tr w:rsidR="009A577C" w:rsidRPr="00C8094D" w14:paraId="5D55C48E" w14:textId="77777777">
        <w:trPr>
          <w:cantSplit/>
          <w:trHeight w:val="255"/>
          <w:tblHeader/>
          <w:jc w:val="center"/>
        </w:trPr>
        <w:tc>
          <w:tcPr>
            <w:tcW w:w="3270" w:type="pct"/>
            <w:tcBorders>
              <w:top w:val="nil"/>
              <w:left w:val="single" w:sz="4" w:space="0" w:color="auto"/>
              <w:bottom w:val="single" w:sz="4" w:space="0" w:color="auto"/>
              <w:right w:val="single" w:sz="4" w:space="0" w:color="auto"/>
            </w:tcBorders>
            <w:shd w:val="clear" w:color="auto" w:fill="auto"/>
          </w:tcPr>
          <w:p w14:paraId="64FC7F7C" w14:textId="77777777" w:rsidR="009A577C" w:rsidRPr="00C8094D" w:rsidRDefault="009A577C">
            <w:pPr>
              <w:pStyle w:val="TableText"/>
            </w:pPr>
            <w:r>
              <w:t>USGBC’s LEED v4.1 Building Design + Construction</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45B39A94" w14:textId="77777777" w:rsidR="009A577C" w:rsidRPr="004061F4" w:rsidRDefault="009A577C">
            <w:pPr>
              <w:pStyle w:val="TableText"/>
              <w:jc w:val="center"/>
              <w:rPr>
                <w:b/>
                <w:bCs/>
                <w:color w:val="00B050"/>
              </w:rPr>
            </w:pP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163DF423" w14:textId="77777777" w:rsidR="009A577C" w:rsidRPr="004061F4" w:rsidRDefault="009A577C">
            <w:pPr>
              <w:pStyle w:val="TableText"/>
              <w:jc w:val="center"/>
              <w:rPr>
                <w:b/>
                <w:bCs/>
                <w:color w:val="00B050"/>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1CBAA6B" w14:textId="77777777" w:rsidR="009A577C" w:rsidRPr="004061F4" w:rsidRDefault="009A577C">
            <w:pPr>
              <w:pStyle w:val="TableText"/>
              <w:jc w:val="center"/>
              <w:rPr>
                <w:b/>
                <w:bCs/>
                <w:color w:val="00B050"/>
              </w:rPr>
            </w:pPr>
            <w:r w:rsidRPr="004061F4">
              <w:rPr>
                <w:b/>
                <w:bCs/>
                <w:color w:val="00B050"/>
              </w:rPr>
              <w:t>X</w:t>
            </w:r>
          </w:p>
        </w:tc>
      </w:tr>
    </w:tbl>
    <w:p w14:paraId="5E5D4333" w14:textId="77777777" w:rsidR="00406789" w:rsidRDefault="00406789" w:rsidP="00511AF3">
      <w:pPr>
        <w:pStyle w:val="Heading3"/>
      </w:pPr>
    </w:p>
    <w:p w14:paraId="6FF35A9A" w14:textId="77777777" w:rsidR="00406789" w:rsidRDefault="00406789">
      <w:pPr>
        <w:rPr>
          <w:rFonts w:ascii="Arial" w:hAnsi="Arial" w:cs="Arial"/>
          <w:b/>
          <w:bCs/>
          <w:color w:val="4F6228" w:themeColor="accent3" w:themeShade="80"/>
          <w:sz w:val="26"/>
          <w:szCs w:val="22"/>
        </w:rPr>
      </w:pPr>
      <w:r>
        <w:br w:type="page"/>
      </w:r>
    </w:p>
    <w:p w14:paraId="499D1CB5" w14:textId="3AE7F6C9" w:rsidR="00511AF3" w:rsidRDefault="00511AF3" w:rsidP="00511AF3">
      <w:pPr>
        <w:pStyle w:val="Heading3"/>
      </w:pPr>
      <w:r>
        <w:lastRenderedPageBreak/>
        <w:t>Relevant Resources</w:t>
      </w:r>
    </w:p>
    <w:p w14:paraId="0DFCE27C" w14:textId="25EE5FD4" w:rsidR="00F576F6" w:rsidRDefault="00511AF3" w:rsidP="00984E56">
      <w:pPr>
        <w:pStyle w:val="BodyTextFirstIndent"/>
      </w:pPr>
      <w:r>
        <w:rPr>
          <w:rFonts w:asciiTheme="minorHAnsi" w:eastAsia="Times New Roman" w:hAnsiTheme="minorHAnsi" w:cs="Times New Roman"/>
          <w:sz w:val="22"/>
        </w:rPr>
        <w:fldChar w:fldCharType="begin"/>
      </w:r>
      <w:r>
        <w:instrText xml:space="preserve"> REF _Ref172907297 \h </w:instrText>
      </w:r>
      <w:r w:rsidR="003637FE">
        <w:instrText xml:space="preserve"> \* MERGEFORMAT </w:instrText>
      </w:r>
      <w:r>
        <w:rPr>
          <w:rFonts w:asciiTheme="minorHAnsi" w:eastAsia="Times New Roman" w:hAnsiTheme="minorHAnsi" w:cs="Times New Roman"/>
          <w:sz w:val="22"/>
        </w:rPr>
      </w:r>
      <w:r>
        <w:rPr>
          <w:rFonts w:asciiTheme="minorHAnsi" w:eastAsia="Times New Roman" w:hAnsiTheme="minorHAnsi" w:cs="Times New Roman"/>
          <w:sz w:val="22"/>
        </w:rPr>
        <w:fldChar w:fldCharType="separate"/>
      </w:r>
      <w:r w:rsidR="00C40980">
        <w:rPr>
          <w:noProof/>
        </w:rPr>
        <w:t>Table</w:t>
      </w:r>
      <w:r w:rsidR="00C40980">
        <w:t xml:space="preserve"> </w:t>
      </w:r>
      <w:r w:rsidR="00C40980">
        <w:rPr>
          <w:noProof/>
        </w:rPr>
        <w:t>51</w:t>
      </w:r>
      <w:r>
        <w:fldChar w:fldCharType="end"/>
      </w:r>
      <w:r>
        <w:t xml:space="preserve"> provides a summary of resources related to optimizing solid waste reduction and diversion in schools.</w:t>
      </w:r>
      <w:bookmarkStart w:id="476" w:name="_Ref172907297"/>
    </w:p>
    <w:p w14:paraId="7FDB9CCC" w14:textId="77777777" w:rsidR="00AB27A7" w:rsidRDefault="00AB27A7">
      <w:pPr>
        <w:rPr>
          <w:rFonts w:ascii="Arial" w:hAnsi="Arial" w:cstheme="minorHAnsi"/>
          <w:b/>
          <w:color w:val="1F497D" w:themeColor="text2"/>
          <w:sz w:val="24"/>
        </w:rPr>
      </w:pPr>
      <w:r>
        <w:br w:type="page"/>
      </w:r>
    </w:p>
    <w:p w14:paraId="161344FB" w14:textId="2C136A23" w:rsidR="00511AF3" w:rsidRDefault="00511AF3" w:rsidP="00B30C96">
      <w:pPr>
        <w:pStyle w:val="Caption"/>
      </w:pPr>
      <w:bookmarkStart w:id="477" w:name="_Toc192711717"/>
      <w:bookmarkStart w:id="478" w:name="_Toc193112599"/>
      <w:bookmarkStart w:id="479" w:name="_Toc193116998"/>
      <w:r>
        <w:lastRenderedPageBreak/>
        <w:t xml:space="preserve">Table </w:t>
      </w:r>
      <w:fldSimple w:instr=" SEQ Table \* ARABIC ">
        <w:r w:rsidR="00307850">
          <w:rPr>
            <w:noProof/>
          </w:rPr>
          <w:t>51</w:t>
        </w:r>
      </w:fldSimple>
      <w:bookmarkEnd w:id="476"/>
      <w:r>
        <w:t>. Resources for Optimizing Solid Waste Reduction and Diversion in Schools</w:t>
      </w:r>
      <w:bookmarkEnd w:id="477"/>
      <w:bookmarkEnd w:id="478"/>
      <w:bookmarkEnd w:id="479"/>
    </w:p>
    <w:tbl>
      <w:tblPr>
        <w:tblStyle w:val="TableGrid"/>
        <w:tblW w:w="0" w:type="auto"/>
        <w:tblLayout w:type="fixed"/>
        <w:tblLook w:val="04A0" w:firstRow="1" w:lastRow="0" w:firstColumn="1" w:lastColumn="0" w:noHBand="0" w:noVBand="1"/>
        <w:tblDescription w:val="Table listing resources with active URLs for optimizing solid waste reduction and diversion in schools."/>
      </w:tblPr>
      <w:tblGrid>
        <w:gridCol w:w="2695"/>
        <w:gridCol w:w="2070"/>
        <w:gridCol w:w="4585"/>
      </w:tblGrid>
      <w:tr w:rsidR="00511AF3" w:rsidRPr="00276B41" w14:paraId="3C4510E9" w14:textId="77777777">
        <w:trPr>
          <w:tblHeader/>
        </w:trPr>
        <w:tc>
          <w:tcPr>
            <w:tcW w:w="2695" w:type="dxa"/>
            <w:shd w:val="clear" w:color="auto" w:fill="C6D9F1" w:themeFill="text2" w:themeFillTint="33"/>
          </w:tcPr>
          <w:p w14:paraId="7C4A010F" w14:textId="77777777" w:rsidR="00511AF3" w:rsidRPr="004C3A1C" w:rsidRDefault="00511AF3">
            <w:pPr>
              <w:pStyle w:val="TableColumnHeader"/>
            </w:pPr>
            <w:r w:rsidRPr="004C3A1C">
              <w:t>Resource</w:t>
            </w:r>
          </w:p>
        </w:tc>
        <w:tc>
          <w:tcPr>
            <w:tcW w:w="2070" w:type="dxa"/>
            <w:shd w:val="clear" w:color="auto" w:fill="C6D9F1" w:themeFill="text2" w:themeFillTint="33"/>
          </w:tcPr>
          <w:p w14:paraId="3E179F46" w14:textId="77777777" w:rsidR="00511AF3" w:rsidRPr="004C3A1C" w:rsidRDefault="00511AF3">
            <w:pPr>
              <w:pStyle w:val="TableColumnHeader"/>
            </w:pPr>
            <w:r w:rsidRPr="004C3A1C">
              <w:t>Author</w:t>
            </w:r>
          </w:p>
        </w:tc>
        <w:tc>
          <w:tcPr>
            <w:tcW w:w="4585" w:type="dxa"/>
            <w:shd w:val="clear" w:color="auto" w:fill="C6D9F1" w:themeFill="text2" w:themeFillTint="33"/>
          </w:tcPr>
          <w:p w14:paraId="2B461FF7" w14:textId="77777777" w:rsidR="00511AF3" w:rsidRPr="004C3A1C" w:rsidRDefault="00511AF3">
            <w:pPr>
              <w:pStyle w:val="TableColumnHeader"/>
            </w:pPr>
            <w:r w:rsidRPr="004C3A1C">
              <w:t>URL</w:t>
            </w:r>
          </w:p>
        </w:tc>
      </w:tr>
      <w:tr w:rsidR="00511AF3" w:rsidRPr="00276B41" w14:paraId="5098765B" w14:textId="77777777">
        <w:tc>
          <w:tcPr>
            <w:tcW w:w="9350" w:type="dxa"/>
            <w:gridSpan w:val="3"/>
            <w:shd w:val="clear" w:color="auto" w:fill="002060"/>
          </w:tcPr>
          <w:p w14:paraId="40A68DBE" w14:textId="77777777" w:rsidR="00511AF3" w:rsidRPr="004C3A1C" w:rsidRDefault="00511AF3">
            <w:pPr>
              <w:pStyle w:val="TableRowHeader"/>
            </w:pPr>
            <w:r>
              <w:t>For Teachers</w:t>
            </w:r>
          </w:p>
        </w:tc>
      </w:tr>
      <w:tr w:rsidR="00511AF3" w:rsidRPr="00276B41" w14:paraId="00F2F63A" w14:textId="77777777">
        <w:tc>
          <w:tcPr>
            <w:tcW w:w="2695" w:type="dxa"/>
            <w:shd w:val="clear" w:color="auto" w:fill="auto"/>
          </w:tcPr>
          <w:p w14:paraId="04017414" w14:textId="77777777" w:rsidR="00511AF3" w:rsidRDefault="00511AF3">
            <w:pPr>
              <w:pStyle w:val="TableText"/>
            </w:pPr>
            <w:r>
              <w:t>Food Waste Estimation Guide for Schools</w:t>
            </w:r>
          </w:p>
        </w:tc>
        <w:tc>
          <w:tcPr>
            <w:tcW w:w="2070" w:type="dxa"/>
            <w:shd w:val="clear" w:color="auto" w:fill="auto"/>
          </w:tcPr>
          <w:p w14:paraId="46CECFC6" w14:textId="77777777" w:rsidR="00511AF3" w:rsidRDefault="00511AF3">
            <w:pPr>
              <w:pStyle w:val="TableText"/>
            </w:pPr>
            <w:r w:rsidRPr="00B752CB">
              <w:t>RecyclingWorks Massachusetts</w:t>
            </w:r>
          </w:p>
        </w:tc>
        <w:tc>
          <w:tcPr>
            <w:tcW w:w="4585" w:type="dxa"/>
            <w:shd w:val="clear" w:color="auto" w:fill="auto"/>
          </w:tcPr>
          <w:p w14:paraId="0705B4BA" w14:textId="282104E1" w:rsidR="00511AF3" w:rsidRDefault="00511AF3">
            <w:pPr>
              <w:pStyle w:val="TableText"/>
            </w:pPr>
            <w:hyperlink r:id="rId214" w:anchor="ElementaryAndSecondarySchools" w:history="1">
              <w:r w:rsidRPr="00566A4A">
                <w:rPr>
                  <w:rStyle w:val="Hyperlink"/>
                </w:rPr>
                <w:t>https://recyclingworksma.com/food-waste-estimation-guide/#ElementaryAndSecondarySchools</w:t>
              </w:r>
            </w:hyperlink>
          </w:p>
        </w:tc>
      </w:tr>
      <w:tr w:rsidR="00511AF3" w:rsidRPr="00276B41" w14:paraId="6865A09D" w14:textId="77777777">
        <w:tc>
          <w:tcPr>
            <w:tcW w:w="2695" w:type="dxa"/>
            <w:shd w:val="clear" w:color="auto" w:fill="auto"/>
          </w:tcPr>
          <w:p w14:paraId="03DCBA75" w14:textId="77777777" w:rsidR="00511AF3" w:rsidRDefault="00511AF3">
            <w:pPr>
              <w:pStyle w:val="TableText"/>
            </w:pPr>
            <w:r>
              <w:t>The Green Team</w:t>
            </w:r>
          </w:p>
        </w:tc>
        <w:tc>
          <w:tcPr>
            <w:tcW w:w="2070" w:type="dxa"/>
            <w:shd w:val="clear" w:color="auto" w:fill="auto"/>
          </w:tcPr>
          <w:p w14:paraId="45E9D480" w14:textId="77777777" w:rsidR="00511AF3" w:rsidRDefault="00511AF3">
            <w:pPr>
              <w:pStyle w:val="TableText"/>
            </w:pPr>
            <w:r>
              <w:t>MassDEP</w:t>
            </w:r>
          </w:p>
        </w:tc>
        <w:tc>
          <w:tcPr>
            <w:tcW w:w="4585" w:type="dxa"/>
            <w:shd w:val="clear" w:color="auto" w:fill="auto"/>
          </w:tcPr>
          <w:p w14:paraId="368A081A" w14:textId="3F68D37C" w:rsidR="00511AF3" w:rsidRDefault="00511AF3">
            <w:pPr>
              <w:pStyle w:val="TableText"/>
            </w:pPr>
            <w:hyperlink r:id="rId215" w:history="1">
              <w:r w:rsidRPr="00566A4A">
                <w:rPr>
                  <w:rStyle w:val="Hyperlink"/>
                </w:rPr>
                <w:t>https://thegreenteam.org/</w:t>
              </w:r>
            </w:hyperlink>
          </w:p>
        </w:tc>
      </w:tr>
      <w:tr w:rsidR="00511AF3" w:rsidRPr="00276B41" w14:paraId="3B622D10" w14:textId="77777777">
        <w:tc>
          <w:tcPr>
            <w:tcW w:w="2695" w:type="dxa"/>
            <w:shd w:val="clear" w:color="auto" w:fill="auto"/>
          </w:tcPr>
          <w:p w14:paraId="1DCF98B4" w14:textId="77777777" w:rsidR="00511AF3" w:rsidRDefault="00511AF3">
            <w:pPr>
              <w:pStyle w:val="TableText"/>
            </w:pPr>
            <w:r>
              <w:t>Waste Educational Resources</w:t>
            </w:r>
          </w:p>
        </w:tc>
        <w:tc>
          <w:tcPr>
            <w:tcW w:w="2070" w:type="dxa"/>
            <w:shd w:val="clear" w:color="auto" w:fill="auto"/>
          </w:tcPr>
          <w:p w14:paraId="4021F9EC" w14:textId="77777777" w:rsidR="00511AF3" w:rsidRPr="004C3A1C" w:rsidRDefault="00511AF3">
            <w:pPr>
              <w:pStyle w:val="TableText"/>
            </w:pPr>
            <w:r>
              <w:t>The Story of Stuff Project</w:t>
            </w:r>
          </w:p>
        </w:tc>
        <w:tc>
          <w:tcPr>
            <w:tcW w:w="4585" w:type="dxa"/>
            <w:shd w:val="clear" w:color="auto" w:fill="auto"/>
          </w:tcPr>
          <w:p w14:paraId="727DA5FA" w14:textId="3A95108B" w:rsidR="00511AF3" w:rsidRDefault="00511AF3">
            <w:pPr>
              <w:pStyle w:val="TableText"/>
            </w:pPr>
            <w:hyperlink r:id="rId216">
              <w:r w:rsidRPr="1204DD9B">
                <w:rPr>
                  <w:rStyle w:val="Hyperlink"/>
                </w:rPr>
                <w:t>https://www.storyofstuff.org/</w:t>
              </w:r>
            </w:hyperlink>
          </w:p>
          <w:p w14:paraId="59556074" w14:textId="77777777" w:rsidR="00511AF3" w:rsidRPr="004C3A1C" w:rsidRDefault="00511AF3">
            <w:pPr>
              <w:pStyle w:val="TableText"/>
            </w:pPr>
          </w:p>
        </w:tc>
      </w:tr>
      <w:tr w:rsidR="00511AF3" w14:paraId="62802304" w14:textId="77777777">
        <w:trPr>
          <w:trHeight w:val="300"/>
        </w:trPr>
        <w:tc>
          <w:tcPr>
            <w:tcW w:w="9350" w:type="dxa"/>
            <w:gridSpan w:val="3"/>
            <w:shd w:val="clear" w:color="auto" w:fill="002060"/>
          </w:tcPr>
          <w:p w14:paraId="4067A05F" w14:textId="77777777" w:rsidR="00511AF3" w:rsidRDefault="00511AF3">
            <w:pPr>
              <w:pStyle w:val="TableText"/>
              <w:rPr>
                <w:b/>
                <w:bCs/>
                <w:color w:val="FFFFFF" w:themeColor="background1"/>
              </w:rPr>
            </w:pPr>
            <w:r w:rsidRPr="5718ABFE">
              <w:rPr>
                <w:b/>
                <w:bCs/>
                <w:color w:val="FFFFFF" w:themeColor="background1"/>
              </w:rPr>
              <w:t>Food Share Tables</w:t>
            </w:r>
          </w:p>
        </w:tc>
      </w:tr>
      <w:tr w:rsidR="00511AF3" w14:paraId="5B05D6F9" w14:textId="77777777">
        <w:trPr>
          <w:trHeight w:val="300"/>
        </w:trPr>
        <w:tc>
          <w:tcPr>
            <w:tcW w:w="2695" w:type="dxa"/>
            <w:shd w:val="clear" w:color="auto" w:fill="auto"/>
          </w:tcPr>
          <w:p w14:paraId="68CC4DBB" w14:textId="20AD6504" w:rsidR="00511AF3" w:rsidRDefault="00511AF3">
            <w:pPr>
              <w:pStyle w:val="TableText"/>
            </w:pPr>
            <w:r>
              <w:t>Food Sharing Tables Guidance</w:t>
            </w:r>
          </w:p>
        </w:tc>
        <w:tc>
          <w:tcPr>
            <w:tcW w:w="2070" w:type="dxa"/>
            <w:shd w:val="clear" w:color="auto" w:fill="auto"/>
          </w:tcPr>
          <w:p w14:paraId="00CEF3C0" w14:textId="77777777" w:rsidR="00511AF3" w:rsidRDefault="00511AF3">
            <w:pPr>
              <w:pStyle w:val="TableText"/>
            </w:pPr>
            <w:r>
              <w:t>Vermont Agency of Education</w:t>
            </w:r>
          </w:p>
        </w:tc>
        <w:tc>
          <w:tcPr>
            <w:tcW w:w="4585" w:type="dxa"/>
            <w:shd w:val="clear" w:color="auto" w:fill="auto"/>
          </w:tcPr>
          <w:p w14:paraId="1E69C70C" w14:textId="6F31FB5F" w:rsidR="00511AF3" w:rsidRDefault="00511AF3">
            <w:pPr>
              <w:pStyle w:val="TableText"/>
            </w:pPr>
            <w:hyperlink r:id="rId217">
              <w:r w:rsidRPr="30E65FBC">
                <w:rPr>
                  <w:rStyle w:val="Hyperlink"/>
                </w:rPr>
                <w:t>https://cswd.net/wp-content/uploads/Sharing-Tables-Guidance-for-Schools-2016.pdf</w:t>
              </w:r>
            </w:hyperlink>
          </w:p>
        </w:tc>
      </w:tr>
      <w:tr w:rsidR="00511AF3" w14:paraId="4F522D5D" w14:textId="77777777">
        <w:trPr>
          <w:trHeight w:val="300"/>
        </w:trPr>
        <w:tc>
          <w:tcPr>
            <w:tcW w:w="2695" w:type="dxa"/>
            <w:shd w:val="clear" w:color="auto" w:fill="auto"/>
          </w:tcPr>
          <w:p w14:paraId="0A14FBF8" w14:textId="77777777" w:rsidR="00511AF3" w:rsidRDefault="00511AF3">
            <w:pPr>
              <w:pStyle w:val="TableText"/>
            </w:pPr>
            <w:r>
              <w:t>Massachusetts’ School Meal Programs Share Table Guidance</w:t>
            </w:r>
          </w:p>
        </w:tc>
        <w:tc>
          <w:tcPr>
            <w:tcW w:w="2070" w:type="dxa"/>
            <w:shd w:val="clear" w:color="auto" w:fill="auto"/>
          </w:tcPr>
          <w:p w14:paraId="62130B4B" w14:textId="77777777" w:rsidR="00511AF3" w:rsidRDefault="00511AF3">
            <w:pPr>
              <w:pStyle w:val="TableText"/>
            </w:pPr>
            <w:r>
              <w:t>Massachusetts DESE</w:t>
            </w:r>
          </w:p>
        </w:tc>
        <w:tc>
          <w:tcPr>
            <w:tcW w:w="4585" w:type="dxa"/>
            <w:shd w:val="clear" w:color="auto" w:fill="auto"/>
          </w:tcPr>
          <w:p w14:paraId="0FA530EA" w14:textId="783A4088" w:rsidR="00511AF3" w:rsidRDefault="00511AF3">
            <w:pPr>
              <w:pStyle w:val="TableText"/>
            </w:pPr>
            <w:hyperlink r:id="rId218">
              <w:r w:rsidRPr="30E65FBC">
                <w:rPr>
                  <w:rStyle w:val="Hyperlink"/>
                </w:rPr>
                <w:t>https://thegreenteam.org/wp-content/uploads/2014/04/Share-Table-Guidance.pdf</w:t>
              </w:r>
            </w:hyperlink>
          </w:p>
        </w:tc>
      </w:tr>
      <w:tr w:rsidR="00511AF3" w14:paraId="6D5F1FF3" w14:textId="77777777">
        <w:trPr>
          <w:trHeight w:val="300"/>
        </w:trPr>
        <w:tc>
          <w:tcPr>
            <w:tcW w:w="2695" w:type="dxa"/>
            <w:shd w:val="clear" w:color="auto" w:fill="auto"/>
          </w:tcPr>
          <w:p w14:paraId="1EA33702" w14:textId="77777777" w:rsidR="00511AF3" w:rsidRDefault="00511AF3">
            <w:pPr>
              <w:pStyle w:val="TableText"/>
            </w:pPr>
            <w:r>
              <w:t>The Use of Share Tables in Child Nutrition Programs (SP 41-2016)</w:t>
            </w:r>
          </w:p>
        </w:tc>
        <w:tc>
          <w:tcPr>
            <w:tcW w:w="2070" w:type="dxa"/>
            <w:shd w:val="clear" w:color="auto" w:fill="auto"/>
          </w:tcPr>
          <w:p w14:paraId="7682029E" w14:textId="77777777" w:rsidR="00511AF3" w:rsidRDefault="00511AF3">
            <w:pPr>
              <w:pStyle w:val="TableText"/>
            </w:pPr>
            <w:r>
              <w:t>USDA</w:t>
            </w:r>
          </w:p>
        </w:tc>
        <w:tc>
          <w:tcPr>
            <w:tcW w:w="4585" w:type="dxa"/>
            <w:shd w:val="clear" w:color="auto" w:fill="auto"/>
          </w:tcPr>
          <w:p w14:paraId="74AB5EC2" w14:textId="11E02CD6" w:rsidR="00511AF3" w:rsidRDefault="00511AF3">
            <w:pPr>
              <w:pStyle w:val="TableText"/>
            </w:pPr>
            <w:hyperlink r:id="rId219" w:anchor="page=4" w:history="1">
              <w:r w:rsidRPr="00A21A2D">
                <w:rPr>
                  <w:rStyle w:val="Hyperlink"/>
                </w:rPr>
                <w:t>https://fns-prod.azureedge.us/sites/default/files/cn/SP41_CACFP13_SFSP15_2016os.pdf#page=4</w:t>
              </w:r>
            </w:hyperlink>
          </w:p>
        </w:tc>
      </w:tr>
      <w:tr w:rsidR="00511AF3" w:rsidRPr="00276B41" w14:paraId="0B80E385" w14:textId="77777777">
        <w:tc>
          <w:tcPr>
            <w:tcW w:w="9350" w:type="dxa"/>
            <w:gridSpan w:val="3"/>
            <w:shd w:val="clear" w:color="auto" w:fill="17365D" w:themeFill="text2" w:themeFillShade="BF"/>
          </w:tcPr>
          <w:p w14:paraId="7559A7A2" w14:textId="77777777" w:rsidR="00511AF3" w:rsidRPr="004C3A1C" w:rsidRDefault="00511AF3">
            <w:pPr>
              <w:pStyle w:val="TableRowHeader"/>
            </w:pPr>
            <w:r>
              <w:t xml:space="preserve">Directories for </w:t>
            </w:r>
            <w:r w:rsidRPr="001733AC">
              <w:rPr>
                <w:shd w:val="clear" w:color="auto" w:fill="002060"/>
              </w:rPr>
              <w:t>Waste Processors and Haulers</w:t>
            </w:r>
          </w:p>
        </w:tc>
      </w:tr>
      <w:tr w:rsidR="00511AF3" w:rsidRPr="00276B41" w14:paraId="7C26A8BE" w14:textId="77777777">
        <w:tc>
          <w:tcPr>
            <w:tcW w:w="2695" w:type="dxa"/>
          </w:tcPr>
          <w:p w14:paraId="6AA52DEB" w14:textId="77777777" w:rsidR="00511AF3" w:rsidRDefault="00511AF3">
            <w:pPr>
              <w:pStyle w:val="TableText"/>
            </w:pPr>
            <w:r>
              <w:t xml:space="preserve">Advanced </w:t>
            </w:r>
            <w:r w:rsidRPr="00FF28FC">
              <w:t>On-Site Systems for Managing Food Waste</w:t>
            </w:r>
          </w:p>
        </w:tc>
        <w:tc>
          <w:tcPr>
            <w:tcW w:w="2070" w:type="dxa"/>
          </w:tcPr>
          <w:p w14:paraId="5DDF90F2" w14:textId="77777777" w:rsidR="00511AF3" w:rsidRDefault="00511AF3">
            <w:pPr>
              <w:pStyle w:val="TableText"/>
            </w:pPr>
            <w:r>
              <w:t>RecyclingWorks Massachusetts</w:t>
            </w:r>
          </w:p>
        </w:tc>
        <w:tc>
          <w:tcPr>
            <w:tcW w:w="4585" w:type="dxa"/>
          </w:tcPr>
          <w:p w14:paraId="64C8886D" w14:textId="7D37D176" w:rsidR="00511AF3" w:rsidRDefault="00511AF3">
            <w:pPr>
              <w:pStyle w:val="TableText"/>
            </w:pPr>
            <w:hyperlink r:id="rId220" w:history="1">
              <w:r w:rsidRPr="00566A4A">
                <w:rPr>
                  <w:rStyle w:val="Hyperlink"/>
                </w:rPr>
                <w:t>https://recyclingworksma.com/wp-content/uploads/2016/07/On-Site-Systems-for-Managing-Food-Waste-1.pdf</w:t>
              </w:r>
            </w:hyperlink>
          </w:p>
        </w:tc>
      </w:tr>
      <w:tr w:rsidR="00511AF3" w:rsidRPr="00276B41" w14:paraId="122FA136" w14:textId="77777777">
        <w:tc>
          <w:tcPr>
            <w:tcW w:w="2695" w:type="dxa"/>
          </w:tcPr>
          <w:p w14:paraId="7224777B" w14:textId="77777777" w:rsidR="00511AF3" w:rsidRDefault="00511AF3">
            <w:pPr>
              <w:pStyle w:val="TableText"/>
            </w:pPr>
            <w:r>
              <w:t>Find a Recycler</w:t>
            </w:r>
          </w:p>
        </w:tc>
        <w:tc>
          <w:tcPr>
            <w:tcW w:w="2070" w:type="dxa"/>
          </w:tcPr>
          <w:p w14:paraId="7C08B0A0" w14:textId="77777777" w:rsidR="00511AF3" w:rsidRDefault="00511AF3">
            <w:pPr>
              <w:pStyle w:val="TableText"/>
            </w:pPr>
            <w:r>
              <w:t>RecyclingWorks Massachusetts</w:t>
            </w:r>
          </w:p>
        </w:tc>
        <w:tc>
          <w:tcPr>
            <w:tcW w:w="4585" w:type="dxa"/>
          </w:tcPr>
          <w:p w14:paraId="746CEF92" w14:textId="76948433" w:rsidR="00511AF3" w:rsidRDefault="00511AF3">
            <w:pPr>
              <w:pStyle w:val="TableText"/>
            </w:pPr>
            <w:hyperlink r:id="rId221" w:history="1">
              <w:r w:rsidRPr="00566A4A">
                <w:rPr>
                  <w:rStyle w:val="Hyperlink"/>
                </w:rPr>
                <w:t>https://recyclingworksma.com/</w:t>
              </w:r>
            </w:hyperlink>
          </w:p>
        </w:tc>
      </w:tr>
      <w:tr w:rsidR="00511AF3" w:rsidRPr="00276B41" w14:paraId="114207CC" w14:textId="77777777">
        <w:tc>
          <w:tcPr>
            <w:tcW w:w="2695" w:type="dxa"/>
          </w:tcPr>
          <w:p w14:paraId="4848611E" w14:textId="77777777" w:rsidR="00511AF3" w:rsidRDefault="00511AF3">
            <w:pPr>
              <w:pStyle w:val="TableText"/>
            </w:pPr>
            <w:r>
              <w:t>Options for Recycling Unique Waste Streams</w:t>
            </w:r>
          </w:p>
        </w:tc>
        <w:tc>
          <w:tcPr>
            <w:tcW w:w="2070" w:type="dxa"/>
          </w:tcPr>
          <w:p w14:paraId="1BC2A733" w14:textId="77777777" w:rsidR="00511AF3" w:rsidRDefault="00511AF3">
            <w:pPr>
              <w:pStyle w:val="TableText"/>
            </w:pPr>
            <w:r>
              <w:t>TerraCycle</w:t>
            </w:r>
          </w:p>
        </w:tc>
        <w:tc>
          <w:tcPr>
            <w:tcW w:w="4585" w:type="dxa"/>
          </w:tcPr>
          <w:p w14:paraId="15950734" w14:textId="3C69829E" w:rsidR="00511AF3" w:rsidRDefault="00511AF3">
            <w:pPr>
              <w:pStyle w:val="TableText"/>
            </w:pPr>
            <w:hyperlink r:id="rId222" w:history="1">
              <w:r w:rsidRPr="00566A4A">
                <w:rPr>
                  <w:rStyle w:val="Hyperlink"/>
                </w:rPr>
                <w:t>https://www.terracycle.com/en-US/</w:t>
              </w:r>
            </w:hyperlink>
          </w:p>
        </w:tc>
      </w:tr>
      <w:tr w:rsidR="00511AF3" w:rsidRPr="00276B41" w14:paraId="68911BC4" w14:textId="77777777">
        <w:tc>
          <w:tcPr>
            <w:tcW w:w="2695" w:type="dxa"/>
          </w:tcPr>
          <w:p w14:paraId="2D31CF8A" w14:textId="77777777" w:rsidR="00511AF3" w:rsidRPr="00276B41" w:rsidRDefault="00511AF3">
            <w:pPr>
              <w:pStyle w:val="TableText"/>
            </w:pPr>
            <w:r>
              <w:t>Sites Accepting Diverted Organic Material</w:t>
            </w:r>
          </w:p>
        </w:tc>
        <w:tc>
          <w:tcPr>
            <w:tcW w:w="2070" w:type="dxa"/>
          </w:tcPr>
          <w:p w14:paraId="6AF39DF9" w14:textId="77777777" w:rsidR="00511AF3" w:rsidRPr="00276B41" w:rsidRDefault="00511AF3">
            <w:pPr>
              <w:pStyle w:val="TableText"/>
            </w:pPr>
            <w:r>
              <w:t>MassDEP</w:t>
            </w:r>
          </w:p>
        </w:tc>
        <w:tc>
          <w:tcPr>
            <w:tcW w:w="4585" w:type="dxa"/>
          </w:tcPr>
          <w:p w14:paraId="1F00462E" w14:textId="33F14172" w:rsidR="00511AF3" w:rsidRPr="00276B41" w:rsidRDefault="00511AF3">
            <w:pPr>
              <w:pStyle w:val="TableText"/>
            </w:pPr>
            <w:hyperlink r:id="rId223" w:history="1">
              <w:r w:rsidRPr="00566A4A">
                <w:rPr>
                  <w:rStyle w:val="Hyperlink"/>
                </w:rPr>
                <w:t>https://www.mass.gov/doc/map-list-of-massachusetts-sites-accepting-diverted-food-material-february-2023/download</w:t>
              </w:r>
            </w:hyperlink>
          </w:p>
        </w:tc>
      </w:tr>
      <w:tr w:rsidR="00511AF3" w:rsidRPr="00276B41" w14:paraId="2B29F628" w14:textId="77777777">
        <w:tc>
          <w:tcPr>
            <w:tcW w:w="2695" w:type="dxa"/>
          </w:tcPr>
          <w:p w14:paraId="21E30BDE" w14:textId="77777777" w:rsidR="00511AF3" w:rsidRPr="00276B41" w:rsidRDefault="00511AF3">
            <w:pPr>
              <w:pStyle w:val="TableText"/>
            </w:pPr>
            <w:r w:rsidRPr="00160EA7">
              <w:t>Small-Scale Organics-to-Energy Vendor Directory</w:t>
            </w:r>
          </w:p>
        </w:tc>
        <w:tc>
          <w:tcPr>
            <w:tcW w:w="2070" w:type="dxa"/>
          </w:tcPr>
          <w:p w14:paraId="1E4AF913" w14:textId="77777777" w:rsidR="00511AF3" w:rsidRPr="00276B41" w:rsidRDefault="00511AF3">
            <w:pPr>
              <w:pStyle w:val="TableText"/>
            </w:pPr>
            <w:r w:rsidRPr="00160EA7">
              <w:t>Massachusetts Clean Energy Center</w:t>
            </w:r>
          </w:p>
        </w:tc>
        <w:tc>
          <w:tcPr>
            <w:tcW w:w="4585" w:type="dxa"/>
          </w:tcPr>
          <w:p w14:paraId="3D4214EF" w14:textId="4B9442E1" w:rsidR="00511AF3" w:rsidRPr="00276B41" w:rsidRDefault="00511AF3">
            <w:pPr>
              <w:pStyle w:val="TableText"/>
            </w:pPr>
            <w:hyperlink r:id="rId224" w:history="1">
              <w:r w:rsidRPr="00566A4A">
                <w:rPr>
                  <w:rStyle w:val="Hyperlink"/>
                </w:rPr>
                <w:t>https://www.masscec.com/sites/default/files/documents/Small-ScaleOrganics-to-EnergyVendorDirectory.pdf</w:t>
              </w:r>
            </w:hyperlink>
          </w:p>
        </w:tc>
      </w:tr>
      <w:tr w:rsidR="00511AF3" w:rsidRPr="00276B41" w14:paraId="6DAAAE62" w14:textId="77777777">
        <w:tc>
          <w:tcPr>
            <w:tcW w:w="2695" w:type="dxa"/>
            <w:shd w:val="clear" w:color="auto" w:fill="17365D" w:themeFill="text2" w:themeFillShade="BF"/>
          </w:tcPr>
          <w:p w14:paraId="03D53480" w14:textId="77777777" w:rsidR="00511AF3" w:rsidRPr="005A327B" w:rsidRDefault="00511AF3">
            <w:pPr>
              <w:pStyle w:val="TableRowHeader"/>
            </w:pPr>
            <w:r w:rsidRPr="005A327B">
              <w:t>Grants</w:t>
            </w:r>
          </w:p>
        </w:tc>
        <w:tc>
          <w:tcPr>
            <w:tcW w:w="2070" w:type="dxa"/>
            <w:shd w:val="clear" w:color="auto" w:fill="17365D" w:themeFill="text2" w:themeFillShade="BF"/>
          </w:tcPr>
          <w:p w14:paraId="254BCF6B" w14:textId="77777777" w:rsidR="00511AF3" w:rsidRDefault="00511AF3">
            <w:pPr>
              <w:pStyle w:val="TableText"/>
            </w:pPr>
          </w:p>
        </w:tc>
        <w:tc>
          <w:tcPr>
            <w:tcW w:w="4585" w:type="dxa"/>
            <w:shd w:val="clear" w:color="auto" w:fill="17365D" w:themeFill="text2" w:themeFillShade="BF"/>
          </w:tcPr>
          <w:p w14:paraId="68610932" w14:textId="77777777" w:rsidR="00511AF3" w:rsidRDefault="00511AF3">
            <w:pPr>
              <w:pStyle w:val="TableText"/>
            </w:pPr>
          </w:p>
        </w:tc>
      </w:tr>
      <w:tr w:rsidR="00511AF3" w:rsidRPr="00276B41" w14:paraId="64B9E50D" w14:textId="77777777">
        <w:tc>
          <w:tcPr>
            <w:tcW w:w="2695" w:type="dxa"/>
          </w:tcPr>
          <w:p w14:paraId="47F0E308" w14:textId="77777777" w:rsidR="00511AF3" w:rsidRDefault="00511AF3">
            <w:pPr>
              <w:pStyle w:val="TableText"/>
            </w:pPr>
            <w:r w:rsidRPr="00153227">
              <w:t>Sustainable Materials Recovery Program Municipal Grant</w:t>
            </w:r>
          </w:p>
        </w:tc>
        <w:tc>
          <w:tcPr>
            <w:tcW w:w="2070" w:type="dxa"/>
          </w:tcPr>
          <w:p w14:paraId="7F428670" w14:textId="77777777" w:rsidR="00511AF3" w:rsidRDefault="00511AF3">
            <w:pPr>
              <w:pStyle w:val="TableText"/>
            </w:pPr>
            <w:r>
              <w:t>MassDEP</w:t>
            </w:r>
          </w:p>
        </w:tc>
        <w:tc>
          <w:tcPr>
            <w:tcW w:w="4585" w:type="dxa"/>
          </w:tcPr>
          <w:p w14:paraId="362C8367" w14:textId="6EBE1E0C" w:rsidR="00511AF3" w:rsidRDefault="00511AF3">
            <w:pPr>
              <w:pStyle w:val="TableText"/>
            </w:pPr>
            <w:hyperlink r:id="rId225" w:history="1">
              <w:r w:rsidRPr="00566A4A">
                <w:rPr>
                  <w:rStyle w:val="Hyperlink"/>
                </w:rPr>
                <w:t>https://www.mass.gov/how-to/apply-for-a-sustainable-materials-recovery-program-smrp-municipal-grant</w:t>
              </w:r>
            </w:hyperlink>
          </w:p>
        </w:tc>
      </w:tr>
      <w:tr w:rsidR="00511AF3" w:rsidRPr="00276B41" w14:paraId="26C4CA33" w14:textId="77777777">
        <w:tc>
          <w:tcPr>
            <w:tcW w:w="2695" w:type="dxa"/>
          </w:tcPr>
          <w:p w14:paraId="4A950D5F" w14:textId="77777777" w:rsidR="00511AF3" w:rsidRPr="00153227" w:rsidRDefault="00511AF3">
            <w:pPr>
              <w:pStyle w:val="TableText"/>
            </w:pPr>
            <w:r w:rsidRPr="005A327B">
              <w:t>Reduce, Reuse, Repair Micro-Grant</w:t>
            </w:r>
          </w:p>
        </w:tc>
        <w:tc>
          <w:tcPr>
            <w:tcW w:w="2070" w:type="dxa"/>
          </w:tcPr>
          <w:p w14:paraId="532ED3B2" w14:textId="77777777" w:rsidR="00511AF3" w:rsidRDefault="00511AF3">
            <w:pPr>
              <w:pStyle w:val="TableText"/>
            </w:pPr>
            <w:r>
              <w:t>MassDEP</w:t>
            </w:r>
          </w:p>
        </w:tc>
        <w:tc>
          <w:tcPr>
            <w:tcW w:w="4585" w:type="dxa"/>
          </w:tcPr>
          <w:p w14:paraId="467C39DE" w14:textId="514A8619" w:rsidR="00511AF3" w:rsidRPr="00153227" w:rsidRDefault="00511AF3">
            <w:pPr>
              <w:pStyle w:val="TableText"/>
            </w:pPr>
            <w:hyperlink r:id="rId226" w:history="1">
              <w:r w:rsidRPr="00566A4A">
                <w:rPr>
                  <w:rStyle w:val="Hyperlink"/>
                </w:rPr>
                <w:t>https://www.mass.gov/how-to/massdep-reduce-reuse-repair-micro-grant</w:t>
              </w:r>
            </w:hyperlink>
          </w:p>
        </w:tc>
      </w:tr>
    </w:tbl>
    <w:p w14:paraId="361D3A47" w14:textId="0C0C6F1F" w:rsidR="00B03F4A" w:rsidRDefault="00B03F4A" w:rsidP="001C7888">
      <w:pPr>
        <w:pStyle w:val="Heading2"/>
      </w:pPr>
      <w:bookmarkStart w:id="480" w:name="SectVI_1d"/>
      <w:bookmarkStart w:id="481" w:name="_Toc193116929"/>
      <w:bookmarkEnd w:id="480"/>
      <w:r>
        <w:lastRenderedPageBreak/>
        <w:t xml:space="preserve">Objective 1d. </w:t>
      </w:r>
      <w:r w:rsidR="003F1EE1">
        <w:t>Electrify School Bus Fleets</w:t>
      </w:r>
      <w:bookmarkEnd w:id="481"/>
    </w:p>
    <w:p w14:paraId="642A3978" w14:textId="77777777" w:rsidR="00F576F6" w:rsidRDefault="00F576F6" w:rsidP="00F576F6">
      <w:pPr>
        <w:pStyle w:val="Heading3"/>
      </w:pPr>
      <w:r>
        <w:t>Methods and Best Practices</w:t>
      </w:r>
    </w:p>
    <w:p w14:paraId="42EBA09D" w14:textId="77777777" w:rsidR="00F576F6" w:rsidRDefault="00F576F6" w:rsidP="006D7DE6">
      <w:pPr>
        <w:pStyle w:val="BodyTextFirstIndent"/>
      </w:pPr>
      <w:r>
        <w:t xml:space="preserve">This section offers a discussion of </w:t>
      </w:r>
      <w:r w:rsidRPr="00926BF3">
        <w:t xml:space="preserve">methods and best practices for </w:t>
      </w:r>
      <w:r>
        <w:t xml:space="preserve">electrifying school bus fleets related to planning, acquisition, and operations. </w:t>
      </w:r>
      <w:r w:rsidRPr="00926BF3">
        <w:t>Each of these methods and best practices are described in more detail below.</w:t>
      </w:r>
    </w:p>
    <w:p w14:paraId="647D6FB7" w14:textId="77777777" w:rsidR="00F576F6" w:rsidRDefault="00F576F6" w:rsidP="00F576F6">
      <w:pPr>
        <w:pStyle w:val="Heading4"/>
      </w:pPr>
      <w:r>
        <w:t>Planning Considerations</w:t>
      </w:r>
    </w:p>
    <w:p w14:paraId="3B33A0AA" w14:textId="32629005" w:rsidR="00F576F6" w:rsidRPr="00F81DCD" w:rsidRDefault="00F576F6" w:rsidP="006D7DE6">
      <w:pPr>
        <w:pStyle w:val="BodyTextFirstIndent"/>
      </w:pPr>
      <w:r>
        <w:t>When planning the electrification of a fleet of school buses</w:t>
      </w:r>
      <w:r w:rsidRPr="00F81DCD">
        <w:t xml:space="preserve">, schools should consider </w:t>
      </w:r>
      <w:r>
        <w:t>engaging with electric utility providers, utilizing microgrids for charging, and e</w:t>
      </w:r>
      <w:r w:rsidRPr="001A634E">
        <w:t>xplor</w:t>
      </w:r>
      <w:r>
        <w:t>ing</w:t>
      </w:r>
      <w:r w:rsidRPr="001A634E">
        <w:t xml:space="preserve"> </w:t>
      </w:r>
      <w:r>
        <w:t>V2G</w:t>
      </w:r>
      <w:r w:rsidRPr="001A634E">
        <w:t xml:space="preserve"> and/or </w:t>
      </w:r>
      <w:r>
        <w:t>V2L</w:t>
      </w:r>
      <w:r w:rsidRPr="001A634E">
        <w:t xml:space="preserve"> </w:t>
      </w:r>
      <w:r>
        <w:t>t</w:t>
      </w:r>
      <w:r w:rsidRPr="001A634E">
        <w:t>echnology</w:t>
      </w:r>
      <w:r w:rsidRPr="00F81DCD">
        <w:t>.</w:t>
      </w:r>
      <w:r>
        <w:t xml:space="preserve"> These three best practices are discussed in more detail below.</w:t>
      </w:r>
    </w:p>
    <w:p w14:paraId="46A763C9" w14:textId="77777777" w:rsidR="00F576F6" w:rsidRPr="00433CB4" w:rsidRDefault="00F576F6" w:rsidP="00F576F6">
      <w:pPr>
        <w:pStyle w:val="Heading5"/>
      </w:pPr>
      <w:r w:rsidRPr="00433CB4">
        <w:t>(</w:t>
      </w:r>
      <w:r>
        <w:t>1</w:t>
      </w:r>
      <w:r w:rsidRPr="00433CB4">
        <w:t xml:space="preserve">) Engage </w:t>
      </w:r>
      <w:r>
        <w:t>e</w:t>
      </w:r>
      <w:r w:rsidRPr="00433CB4">
        <w:t xml:space="preserve">lectrical </w:t>
      </w:r>
      <w:r>
        <w:t>u</w:t>
      </w:r>
      <w:r w:rsidRPr="00433CB4">
        <w:t>tilit</w:t>
      </w:r>
      <w:r>
        <w:t>y</w:t>
      </w:r>
      <w:r w:rsidRPr="00433CB4">
        <w:t xml:space="preserve"> </w:t>
      </w:r>
      <w:r>
        <w:t>provider e</w:t>
      </w:r>
      <w:r w:rsidRPr="00433CB4">
        <w:t xml:space="preserve">arly and </w:t>
      </w:r>
      <w:r>
        <w:t>o</w:t>
      </w:r>
      <w:r w:rsidRPr="00433CB4">
        <w:t>ften</w:t>
      </w:r>
    </w:p>
    <w:p w14:paraId="1EAC018B" w14:textId="77777777" w:rsidR="00F576F6" w:rsidRPr="00433CB4" w:rsidRDefault="00F576F6" w:rsidP="006D7DE6">
      <w:pPr>
        <w:pStyle w:val="BodyTextFirstIndent"/>
      </w:pPr>
      <w:r>
        <w:t xml:space="preserve">A school district’s successful deployment of ESBs requires careful planning and coordination with the district’s electrical utility provider. ESBs have a </w:t>
      </w:r>
      <w:r w:rsidRPr="00656765">
        <w:t>larger battery</w:t>
      </w:r>
      <w:r>
        <w:t xml:space="preserve"> than light-duty electric vehicles. Therefore, the vehicles will draw larger amounts of electricity from the grid when charging. Consistent communication with the electric utility provider will assist with the timely completion of ESB projects by identifying and addressing potential issues (e.g., necessary infrastructure upgrades) early in the electrification process. Additionally, some electrical utilities may offer funding or technical assistance to fleets that are in the process of converting their vehicles to electric.</w:t>
      </w:r>
    </w:p>
    <w:p w14:paraId="47C3FE13" w14:textId="77777777" w:rsidR="00F576F6" w:rsidRPr="00545C48" w:rsidRDefault="00F576F6" w:rsidP="00F576F6">
      <w:pPr>
        <w:pStyle w:val="Heading5"/>
      </w:pPr>
      <w:r w:rsidRPr="00545C48">
        <w:t>(</w:t>
      </w:r>
      <w:r>
        <w:t>2</w:t>
      </w:r>
      <w:r w:rsidRPr="00545C48">
        <w:t xml:space="preserve">) </w:t>
      </w:r>
      <w:r>
        <w:t>Utilize m</w:t>
      </w:r>
      <w:r w:rsidRPr="00545C48">
        <w:t>icrogrids</w:t>
      </w:r>
      <w:r>
        <w:t xml:space="preserve"> for charging</w:t>
      </w:r>
    </w:p>
    <w:p w14:paraId="44F6EACE" w14:textId="77777777" w:rsidR="00F576F6" w:rsidRDefault="00F576F6" w:rsidP="006D7DE6">
      <w:pPr>
        <w:pStyle w:val="BodyTextFirstIndent"/>
      </w:pPr>
      <w:r>
        <w:t xml:space="preserve">A microgrid usually uses a local power generation unit and an energy storage system such as a battery to create an isolated electrical network. Microgrids can help simultaneously reduce charging costs and improve operational resiliency. Districts that operate their own fleets often choose to utilize on-site power generation units such as solar PV panels/canopies to charge their vehicles. This improves the environmental benefit of the vehicle by ensuring that it is powered (at least partially) by clean energy. Power from solar panels also offers a charging option for ESBs, even during periods of local electrical grid outages. </w:t>
      </w:r>
    </w:p>
    <w:p w14:paraId="5D7D948D" w14:textId="77777777" w:rsidR="00597006" w:rsidRDefault="00597006">
      <w:pPr>
        <w:rPr>
          <w:rFonts w:ascii="Arial" w:hAnsi="Arial"/>
          <w:b/>
          <w:i/>
          <w:color w:val="1F497D"/>
          <w:sz w:val="24"/>
        </w:rPr>
      </w:pPr>
      <w:r>
        <w:br w:type="page"/>
      </w:r>
    </w:p>
    <w:p w14:paraId="4F9ABAC0" w14:textId="442E0706" w:rsidR="00F576F6" w:rsidRPr="00A57EB9" w:rsidRDefault="00F576F6" w:rsidP="00F576F6">
      <w:pPr>
        <w:pStyle w:val="Heading5"/>
      </w:pPr>
      <w:r w:rsidRPr="00A57EB9">
        <w:lastRenderedPageBreak/>
        <w:t xml:space="preserve">(3) Explore </w:t>
      </w:r>
      <w:r w:rsidR="005412CC">
        <w:t>V2G</w:t>
      </w:r>
      <w:r>
        <w:t xml:space="preserve"> and/or </w:t>
      </w:r>
      <w:r w:rsidR="005412CC">
        <w:t>V2L</w:t>
      </w:r>
      <w:r>
        <w:t xml:space="preserve"> technology</w:t>
      </w:r>
    </w:p>
    <w:p w14:paraId="7DFB3063" w14:textId="1A5A9870" w:rsidR="00F576F6" w:rsidRDefault="00F576F6" w:rsidP="006D7DE6">
      <w:pPr>
        <w:pStyle w:val="BodyTextFirstIndent"/>
      </w:pPr>
      <w:r w:rsidRPr="00926BF3">
        <w:rPr>
          <w:noProof/>
        </w:rPr>
        <mc:AlternateContent>
          <mc:Choice Requires="wps">
            <w:drawing>
              <wp:anchor distT="0" distB="0" distL="114300" distR="114300" simplePos="0" relativeHeight="251680256" behindDoc="0" locked="0" layoutInCell="1" allowOverlap="1" wp14:anchorId="48C09ACC" wp14:editId="19A47EC5">
                <wp:simplePos x="0" y="0"/>
                <wp:positionH relativeFrom="margin">
                  <wp:posOffset>3268980</wp:posOffset>
                </wp:positionH>
                <wp:positionV relativeFrom="paragraph">
                  <wp:posOffset>798195</wp:posOffset>
                </wp:positionV>
                <wp:extent cx="2609215" cy="2870200"/>
                <wp:effectExtent l="0" t="0" r="19685" b="25400"/>
                <wp:wrapSquare wrapText="bothSides"/>
                <wp:docPr id="745933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2870200"/>
                        </a:xfrm>
                        <a:prstGeom prst="rect">
                          <a:avLst/>
                        </a:prstGeom>
                        <a:solidFill>
                          <a:srgbClr val="DCE6F2"/>
                        </a:solidFill>
                        <a:ln w="9525">
                          <a:solidFill>
                            <a:srgbClr val="000000"/>
                          </a:solidFill>
                          <a:miter lim="800000"/>
                          <a:headEnd/>
                          <a:tailEnd/>
                        </a:ln>
                      </wps:spPr>
                      <wps:txbx>
                        <w:txbxContent>
                          <w:p w14:paraId="686CEB24" w14:textId="77777777" w:rsidR="00F576F6" w:rsidRDefault="00F576F6" w:rsidP="00F576F6">
                            <w:pPr>
                              <w:pStyle w:val="TextBoxTitle"/>
                            </w:pPr>
                            <w:r>
                              <w:t>ESBs are Powering the Grid in Massachusetts</w:t>
                            </w:r>
                          </w:p>
                          <w:p w14:paraId="3585AC28" w14:textId="77777777" w:rsidR="00F576F6" w:rsidRPr="001F76B0" w:rsidRDefault="00F576F6" w:rsidP="00F576F6">
                            <w:pPr>
                              <w:pStyle w:val="TextBoxText"/>
                            </w:pPr>
                            <w:r w:rsidRPr="001F76B0">
                              <w:t xml:space="preserve">Beverly Public Schools deployed its </w:t>
                            </w:r>
                            <w:hyperlink r:id="rId227" w:history="1">
                              <w:r w:rsidRPr="00776CFE">
                                <w:rPr>
                                  <w:rStyle w:val="Hyperlink"/>
                                </w:rPr>
                                <w:t>first V2G project</w:t>
                              </w:r>
                            </w:hyperlink>
                            <w:r w:rsidRPr="001F76B0">
                              <w:t xml:space="preserve"> in 2021. Partnering with their utility provider, the school agreed to use their buses to provide power back to the grid during summertime when the vehicles would otherwise be idle. The </w:t>
                            </w:r>
                            <w:r>
                              <w:t xml:space="preserve">electric </w:t>
                            </w:r>
                            <w:r w:rsidRPr="001F76B0">
                              <w:t>utility</w:t>
                            </w:r>
                            <w:r>
                              <w:t xml:space="preserve"> provider</w:t>
                            </w:r>
                            <w:r w:rsidRPr="001F76B0">
                              <w:t xml:space="preserve"> alerts the district when electrical demand is the highest and they need the ESBs. In turn, the district ensures the buses are charged and ready to send power back to the grid.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C09ACC" id="_x0000_s1063" type="#_x0000_t202" style="position:absolute;margin-left:257.4pt;margin-top:62.85pt;width:205.45pt;height:226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" fillcolor="#dce6f2">
                <v:textbox>
                  <w:txbxContent>
                    <w:p w14:paraId="686CEB24" w14:textId="77777777" w:rsidR="00F576F6" w:rsidRDefault="00F576F6" w:rsidP="00F576F6">
                      <w:pPr>
                        <w:pStyle w:val="TextBoxTitle"/>
                      </w:pPr>
                      <w:r>
                        <w:t>ESBs are Powering the Grid in Massachusetts</w:t>
                      </w:r>
                    </w:p>
                    <w:p w14:paraId="3585AC28" w14:textId="77777777" w:rsidR="00F576F6" w:rsidRPr="001F76B0" w:rsidRDefault="00F576F6" w:rsidP="00F576F6">
                      <w:pPr>
                        <w:pStyle w:val="TextBoxText"/>
                      </w:pPr>
                      <w:r w:rsidRPr="001F76B0">
                        <w:t xml:space="preserve">Beverly Public Schools deployed its </w:t>
                      </w:r>
                      <w:hyperlink r:id="rId228" w:history="1">
                        <w:r w:rsidRPr="00776CFE">
                          <w:rPr>
                            <w:rStyle w:val="Hyperlink"/>
                          </w:rPr>
                          <w:t>first V2G project</w:t>
                        </w:r>
                      </w:hyperlink>
                      <w:r w:rsidRPr="001F76B0">
                        <w:t xml:space="preserve"> in 2021. Partnering with their utility provider, the school agreed to use their buses to provide power back to the grid during summertime when the vehicles would otherwise be idle. The </w:t>
                      </w:r>
                      <w:r>
                        <w:t xml:space="preserve">electric </w:t>
                      </w:r>
                      <w:r w:rsidRPr="001F76B0">
                        <w:t>utility</w:t>
                      </w:r>
                      <w:r>
                        <w:t xml:space="preserve"> provider</w:t>
                      </w:r>
                      <w:r w:rsidRPr="001F76B0">
                        <w:t xml:space="preserve"> alerts the district when electrical demand is the highest and they need the ESBs. In turn, the district ensures the buses are charged and ready to send power back to the grid.</w:t>
                      </w:r>
                    </w:p>
                  </w:txbxContent>
                </v:textbox>
                <w10:wrap type="square" anchorx="margin"/>
              </v:shape>
            </w:pict>
          </mc:Fallback>
        </mc:AlternateContent>
      </w:r>
      <w:r>
        <w:t>V2G and V2L</w:t>
      </w:r>
      <w:r w:rsidR="00B30C96">
        <w:t xml:space="preserve"> </w:t>
      </w:r>
      <w:r>
        <w:t xml:space="preserve">are areas of growing interest for ESB owners. Districts that procure both V2G-/V2L-capable vehicles and chargers can essentially turn their ESBs into “batteries on wheels.” This process involves a bus sending power back to either a load that requires power (e.g., a school building) or to the electrical grid through the vehicle’s charger. Some utility providers will offer to buy electricity provided to the grid through V2G at times when electrical demand is high. This technology could also prove useful in emergencies such as a school blackout; V2G-/V2L-capable buses can be connected to buildings to provide power from their batteries. Some districts chose to incorporate microgrids into their V2G systems and store locally generated electricity (e.g., from onsite solar panels) in the vehicle battery and sell it back to the grid at times of peak demand. While this technology is still in its infancy, some districts have already managed to take advantage of V2G/V2L, such as Beverly Public Schools in Massachusetts (see text inset box) and the </w:t>
      </w:r>
      <w:hyperlink r:id="rId229" w:history="1">
        <w:r w:rsidRPr="00FE3314">
          <w:rPr>
            <w:rStyle w:val="Hyperlink"/>
          </w:rPr>
          <w:t>Cajon Valley School District</w:t>
        </w:r>
      </w:hyperlink>
      <w:r w:rsidRPr="00FE3314">
        <w:t xml:space="preserve"> in California.</w:t>
      </w:r>
      <w:r>
        <w:t xml:space="preserve"> </w:t>
      </w:r>
    </w:p>
    <w:p w14:paraId="287C4199" w14:textId="77777777" w:rsidR="00F576F6" w:rsidRDefault="00F576F6" w:rsidP="00F576F6">
      <w:pPr>
        <w:pStyle w:val="Heading4"/>
      </w:pPr>
      <w:r>
        <w:t>Electric School Bus Acquisition</w:t>
      </w:r>
    </w:p>
    <w:p w14:paraId="41ED5955" w14:textId="77777777" w:rsidR="00F576F6" w:rsidRPr="001A634E" w:rsidRDefault="00F576F6" w:rsidP="006D7DE6">
      <w:pPr>
        <w:pStyle w:val="BodyTextFirstIndent"/>
      </w:pPr>
      <w:r>
        <w:t>When acquiring ESBs</w:t>
      </w:r>
      <w:r w:rsidRPr="00F81DCD">
        <w:t xml:space="preserve">, schools should </w:t>
      </w:r>
      <w:r>
        <w:t>consider leveraging available funding, working with a local vehicle dealer, and purchasing vehicle warranties. These three best practices are discussed in more detail below.</w:t>
      </w:r>
    </w:p>
    <w:p w14:paraId="4988E80C" w14:textId="77777777" w:rsidR="00F576F6" w:rsidRPr="00A518DB" w:rsidRDefault="00F576F6" w:rsidP="00F576F6">
      <w:pPr>
        <w:pStyle w:val="Heading5"/>
      </w:pPr>
      <w:r w:rsidRPr="00A518DB">
        <w:t>(</w:t>
      </w:r>
      <w:r>
        <w:t>4</w:t>
      </w:r>
      <w:r w:rsidRPr="00A518DB">
        <w:t xml:space="preserve">) Leverage </w:t>
      </w:r>
      <w:r>
        <w:t>available f</w:t>
      </w:r>
      <w:r w:rsidRPr="00A518DB">
        <w:t xml:space="preserve">unding </w:t>
      </w:r>
      <w:r>
        <w:t>p</w:t>
      </w:r>
      <w:r w:rsidRPr="00A518DB">
        <w:t>rograms</w:t>
      </w:r>
    </w:p>
    <w:p w14:paraId="243AE9DB" w14:textId="62FAF038" w:rsidR="00F576F6" w:rsidRDefault="00F576F6" w:rsidP="006D7DE6">
      <w:pPr>
        <w:pStyle w:val="BodyTextFirstIndent"/>
      </w:pPr>
      <w:r>
        <w:t xml:space="preserve">There are currently numerous federal-, local-, and utility-level funding programs available to school districts interested in purchasing ESBs. Historically, EPA programs such as the </w:t>
      </w:r>
      <w:hyperlink r:id="rId230" w:history="1">
        <w:r w:rsidRPr="00601B0F">
          <w:rPr>
            <w:rStyle w:val="Hyperlink"/>
          </w:rPr>
          <w:t>Clean School Bus (CSB) Program</w:t>
        </w:r>
      </w:hyperlink>
      <w:r>
        <w:t xml:space="preserve">, the </w:t>
      </w:r>
      <w:hyperlink r:id="rId231" w:history="1">
        <w:r w:rsidRPr="0083052E">
          <w:rPr>
            <w:rStyle w:val="Hyperlink"/>
          </w:rPr>
          <w:t>Diesel Emission Reduction Act (DERA)</w:t>
        </w:r>
      </w:hyperlink>
      <w:r>
        <w:t xml:space="preserve">, and the </w:t>
      </w:r>
      <w:hyperlink r:id="rId232" w:history="1">
        <w:r w:rsidRPr="0035071A">
          <w:rPr>
            <w:rStyle w:val="Hyperlink"/>
          </w:rPr>
          <w:t>Clean Heavy Duty Vehicle (CHDV) Program</w:t>
        </w:r>
      </w:hyperlink>
      <w:r>
        <w:t xml:space="preserve"> have funded the replacement of ICE school buses with electric alternatives. Additionally, in 2022, the Inflation Reduction Act made tax-exempt entities </w:t>
      </w:r>
      <w:hyperlink r:id="rId233" w:history="1">
        <w:r w:rsidRPr="00C2664D">
          <w:rPr>
            <w:rStyle w:val="Hyperlink"/>
          </w:rPr>
          <w:t>eligible for certain tax credits</w:t>
        </w:r>
      </w:hyperlink>
      <w:r>
        <w:t xml:space="preserve">. Of note, the </w:t>
      </w:r>
      <w:hyperlink r:id="rId234" w:history="1">
        <w:r w:rsidRPr="007C6CD0">
          <w:rPr>
            <w:rStyle w:val="Hyperlink"/>
          </w:rPr>
          <w:t>Commercial Clean Vehicle Credit (Section 45W</w:t>
        </w:r>
      </w:hyperlink>
      <w:r>
        <w:t>) provides up to $40,000 for certain eligible vehicles weighing over 14,000 lbs. At the state level, MassCEC</w:t>
      </w:r>
      <w:r w:rsidR="00AB27A7">
        <w:t xml:space="preserve"> </w:t>
      </w:r>
      <w:r>
        <w:t xml:space="preserve">has provided funding and technical assistance to districts through its </w:t>
      </w:r>
      <w:hyperlink r:id="rId235" w:history="1">
        <w:r w:rsidRPr="00D53043">
          <w:rPr>
            <w:rStyle w:val="Hyperlink"/>
          </w:rPr>
          <w:t xml:space="preserve">ACT </w:t>
        </w:r>
        <w:r w:rsidR="00AB27A7">
          <w:rPr>
            <w:rStyle w:val="Hyperlink"/>
          </w:rPr>
          <w:t>P</w:t>
        </w:r>
        <w:r w:rsidRPr="00D53043">
          <w:rPr>
            <w:rStyle w:val="Hyperlink"/>
          </w:rPr>
          <w:t>rogram</w:t>
        </w:r>
      </w:hyperlink>
      <w:r>
        <w:t xml:space="preserve">. The Commonwealth has also encouraged EV adoption through its </w:t>
      </w:r>
      <w:hyperlink r:id="rId236" w:history="1">
        <w:r w:rsidRPr="0024319D">
          <w:rPr>
            <w:rStyle w:val="Hyperlink"/>
          </w:rPr>
          <w:t>MOR-EV Program</w:t>
        </w:r>
      </w:hyperlink>
      <w:r>
        <w:rPr>
          <w:rStyle w:val="Hyperlink"/>
        </w:rPr>
        <w:t>,</w:t>
      </w:r>
      <w:r>
        <w:t xml:space="preserve"> which provides rebates for a number of electric vehicles, including ESBs. Finally, it is also crucial to determine if the local electrical utility provides financial assistance. Common utility funding programs include time-of-use rates or make-ready programs. Time-of-use rates incentivize the charging of electric vehicles at times when electricity demand is low </w:t>
      </w:r>
      <w:r>
        <w:lastRenderedPageBreak/>
        <w:t xml:space="preserve">through decreased billing rates. Make-ready funding subsidizes or entirely covers the cost of preparing a charging site to handle the increased demand of school bus charging. The </w:t>
      </w:r>
      <w:hyperlink r:id="rId237" w:anchor="/?technology=ELEC&amp;user=FLEET&amp;page=2" w:history="1">
        <w:r w:rsidRPr="00A75D8E">
          <w:rPr>
            <w:rStyle w:val="Hyperlink"/>
          </w:rPr>
          <w:t>Alternative Fuels Data Center’s Law</w:t>
        </w:r>
        <w:r>
          <w:rPr>
            <w:rStyle w:val="Hyperlink"/>
          </w:rPr>
          <w:t xml:space="preserve">s </w:t>
        </w:r>
        <w:r w:rsidRPr="00A75D8E">
          <w:rPr>
            <w:rStyle w:val="Hyperlink"/>
          </w:rPr>
          <w:t>and Incentives Tool</w:t>
        </w:r>
      </w:hyperlink>
      <w:r>
        <w:t xml:space="preserve"> is a great way to determine what local programs are available to fund an ESB deployment. </w:t>
      </w:r>
    </w:p>
    <w:p w14:paraId="032A33B4" w14:textId="77777777" w:rsidR="00F576F6" w:rsidRPr="005328D9" w:rsidRDefault="00F576F6" w:rsidP="00F576F6">
      <w:pPr>
        <w:pStyle w:val="Heading5"/>
      </w:pPr>
      <w:r w:rsidRPr="005328D9">
        <w:t xml:space="preserve">(5) Work </w:t>
      </w:r>
      <w:r>
        <w:t>w</w:t>
      </w:r>
      <w:r w:rsidRPr="005328D9">
        <w:t>ith a</w:t>
      </w:r>
      <w:r>
        <w:t xml:space="preserve"> local</w:t>
      </w:r>
      <w:r w:rsidRPr="005328D9">
        <w:t xml:space="preserve"> </w:t>
      </w:r>
      <w:r>
        <w:t>vehicle d</w:t>
      </w:r>
      <w:r w:rsidRPr="005328D9">
        <w:t>ealer</w:t>
      </w:r>
    </w:p>
    <w:p w14:paraId="050E3C43" w14:textId="77777777" w:rsidR="00F576F6" w:rsidRDefault="00F576F6" w:rsidP="006D7DE6">
      <w:pPr>
        <w:pStyle w:val="BodyTextFirstIndent"/>
      </w:pPr>
      <w:r>
        <w:t>Many districts have found it beneficial to work with a vehicle dealer who has a local presence, whether it be a dealership or service network. If a school district requires significant repairs for an ESB, working with a local dealer can help districts avoid incurring the cost and headache associated with shipping a bus out of state for repairs.</w:t>
      </w:r>
    </w:p>
    <w:p w14:paraId="0E2A8ED7" w14:textId="77777777" w:rsidR="00F576F6" w:rsidRPr="00B04163" w:rsidRDefault="00F576F6" w:rsidP="00F576F6">
      <w:pPr>
        <w:pStyle w:val="Heading5"/>
      </w:pPr>
      <w:r w:rsidRPr="00B04163">
        <w:t xml:space="preserve">(6) Purchase </w:t>
      </w:r>
      <w:r>
        <w:t>v</w:t>
      </w:r>
      <w:r w:rsidRPr="00B04163">
        <w:t xml:space="preserve">ehicle </w:t>
      </w:r>
      <w:r>
        <w:t>w</w:t>
      </w:r>
      <w:r w:rsidRPr="00B04163">
        <w:t>arrant</w:t>
      </w:r>
      <w:r>
        <w:t>ies</w:t>
      </w:r>
    </w:p>
    <w:p w14:paraId="11B696EE" w14:textId="032E715C" w:rsidR="00F576F6" w:rsidRDefault="00F576F6" w:rsidP="006D7DE6">
      <w:pPr>
        <w:pStyle w:val="BodyTextFirstIndent"/>
      </w:pPr>
      <w:r>
        <w:t xml:space="preserve">While it is true that ESBs have comparatively fewer mechanical issues, in large part because of the fewer moving pieces, when an ESB component does break, it can be </w:t>
      </w:r>
      <w:hyperlink r:id="rId238" w:history="1">
        <w:r w:rsidRPr="003D663E">
          <w:rPr>
            <w:rStyle w:val="Hyperlink"/>
          </w:rPr>
          <w:t>expensive to replace</w:t>
        </w:r>
      </w:hyperlink>
      <w:r>
        <w:t>. This is partly due to the materials used to manufacture EV parts and the complexity of the parts.</w:t>
      </w:r>
      <w:r>
        <w:fldChar w:fldCharType="begin"/>
      </w:r>
      <w:r w:rsidR="00807C4A">
        <w:instrText xml:space="preserve"> ADDIN ZOTERO_ITEM CSL_CITATION {"citationID":"9CkL1QXg","properties":{"formattedCitation":"\\super 264\\nosupersub{}","plainCitation":"264","noteIndex":0},"citationItems":[{"id":637,"uris":["http://zotero.org/groups/5563646/items/2AG4QTZH"],"itemData":{"id":637,"type":"webpage","container-title":"Forbes","title":"Repairing An Electric Vehicle Could Cost More Than Gasoline Cars: A New Kind Of Sticker Shock","URL":"https://www.forbes.com/sites/jimhenry/2022/07/25/repairing-an-electric-vehicle-could-cost-more-than-gasoline-cars-a-new-kind-of-sticker-shock/","author":[{"family":"Henry","given":""}],"accessed":{"date-parts":[["2024",7,17]]},"issued":{"date-parts":[["2022",6,25]]}}}],"schema":"https://github.com/citation-style-language/schema/raw/master/csl-citation.json"} </w:instrText>
      </w:r>
      <w:r>
        <w:fldChar w:fldCharType="separate"/>
      </w:r>
      <w:r w:rsidR="00807C4A" w:rsidRPr="00807C4A">
        <w:rPr>
          <w:rFonts w:cs="Arial"/>
          <w:vertAlign w:val="superscript"/>
        </w:rPr>
        <w:t>264</w:t>
      </w:r>
      <w:r>
        <w:fldChar w:fldCharType="end"/>
      </w:r>
      <w:r>
        <w:t xml:space="preserve"> Furthermore, the high-voltage systems in an EV can make repairs more complicated as personnel must be properly trained and equipped to work with high-voltage parts. For this reason, some districts chose to purchase an extended warranty or a service contract on their vehicle.</w:t>
      </w:r>
    </w:p>
    <w:p w14:paraId="24C8E1F8" w14:textId="77777777" w:rsidR="00F576F6" w:rsidRDefault="00F576F6" w:rsidP="00F576F6">
      <w:pPr>
        <w:pStyle w:val="Heading4"/>
      </w:pPr>
      <w:r>
        <w:t>Electric School Bus Operations</w:t>
      </w:r>
    </w:p>
    <w:p w14:paraId="4991BD73" w14:textId="77777777" w:rsidR="00F576F6" w:rsidRPr="00850D39" w:rsidRDefault="00F576F6" w:rsidP="006D7DE6">
      <w:pPr>
        <w:pStyle w:val="BodyTextFirstIndent"/>
      </w:pPr>
      <w:r>
        <w:t xml:space="preserve">To optimize and maximize the safety of ESB operations, </w:t>
      </w:r>
      <w:r w:rsidRPr="00F81DCD">
        <w:t xml:space="preserve">schools should consider </w:t>
      </w:r>
      <w:r>
        <w:t>deploying telematics and implement operator training. Both of these best practices are discussed in more detail below.</w:t>
      </w:r>
    </w:p>
    <w:p w14:paraId="771DB882" w14:textId="77777777" w:rsidR="00F576F6" w:rsidRPr="00D720D3" w:rsidRDefault="00F576F6" w:rsidP="00F576F6">
      <w:pPr>
        <w:pStyle w:val="Heading5"/>
      </w:pPr>
      <w:r w:rsidRPr="00D720D3">
        <w:t>(</w:t>
      </w:r>
      <w:r>
        <w:t>7</w:t>
      </w:r>
      <w:r w:rsidRPr="00D720D3">
        <w:t xml:space="preserve">) Deploy </w:t>
      </w:r>
      <w:r>
        <w:t>t</w:t>
      </w:r>
      <w:r w:rsidRPr="00D720D3">
        <w:t>elematics</w:t>
      </w:r>
    </w:p>
    <w:p w14:paraId="4A3C3F93" w14:textId="47094ABA" w:rsidR="00F576F6" w:rsidRDefault="00F576F6" w:rsidP="006D7DE6">
      <w:pPr>
        <w:pStyle w:val="BodyTextFirstIndent"/>
      </w:pPr>
      <w:r>
        <w:t xml:space="preserve">A great way to track the performance of electric school buses is to utilize telematics. While some manufacturers build telematics devices into their vehicles, there are also third-party telematics devices that can be easily installed in any vehicle. Usually, third-party telematics devices are connected to the vehicles through the onboard diagnostics-II port. This allows the device to collect a variety of data. Most devices can measure the speed of the vehicle, the time it takes to complete a route, the vehicle’s idling time, internal temperatures, state of charge, and GPS location of the vehicle. The major benefits of telematics include monitoring the vehicle’s battery life, aiding drivers and vehicle monitor timecards, and quickly locating vehicles that have been in an accident or have run out of battery. Many districts have also found telematics useful in quantifying the environmental and financial impact of their ESBs. Some funding programs, such as </w:t>
      </w:r>
      <w:hyperlink r:id="rId239" w:history="1">
        <w:r w:rsidRPr="00F579E2">
          <w:rPr>
            <w:rStyle w:val="Hyperlink"/>
          </w:rPr>
          <w:t>New Jersey’s Electric School Bus Program</w:t>
        </w:r>
      </w:hyperlink>
      <w:r>
        <w:t xml:space="preserve">, require that telematics be installed in ESBs purchased with awards. </w:t>
      </w:r>
    </w:p>
    <w:p w14:paraId="15DE67E9" w14:textId="77777777" w:rsidR="00597006" w:rsidRDefault="00597006">
      <w:pPr>
        <w:rPr>
          <w:rFonts w:ascii="Arial" w:hAnsi="Arial"/>
          <w:b/>
          <w:i/>
          <w:color w:val="1F497D"/>
          <w:sz w:val="24"/>
        </w:rPr>
      </w:pPr>
      <w:r>
        <w:br w:type="page"/>
      </w:r>
    </w:p>
    <w:p w14:paraId="045FB70F" w14:textId="31975681" w:rsidR="00F576F6" w:rsidRPr="00D720D3" w:rsidRDefault="00F576F6" w:rsidP="00F576F6">
      <w:pPr>
        <w:pStyle w:val="Heading5"/>
      </w:pPr>
      <w:r w:rsidRPr="00D720D3">
        <w:lastRenderedPageBreak/>
        <w:t xml:space="preserve">(8) </w:t>
      </w:r>
      <w:r>
        <w:t>Implement operator training</w:t>
      </w:r>
    </w:p>
    <w:p w14:paraId="7AD41B03" w14:textId="778B3434" w:rsidR="00B03F4A" w:rsidRDefault="00F576F6" w:rsidP="006D7DE6">
      <w:pPr>
        <w:pStyle w:val="BodyTextFirstIndent"/>
      </w:pPr>
      <w:r>
        <w:t xml:space="preserve">Crucial to the success of an ESB deployment is ensuring that drivers are trained on the unique features of an electric vehicle. One of the most important skills for drivers to learn is how to effectively use regenerative braking. Regenerative braking occurs when an electric vehicle’s motor reverses while </w:t>
      </w:r>
      <w:r w:rsidRPr="00794328">
        <w:t>decelerating</w:t>
      </w:r>
      <w:r>
        <w:t>. As the motor reverses, energy is captured and sent back to the battery, effectively extending the vehicle’s range. These courses often also teach basic skills, such as how to plug a vehicle in and perform simple troubleshooting. Operator training is often offered by the vehicle’s OEM or dealer. Alternatively, many third-party, non-profit, and for-profit organizations offer driver training courses and resources.</w:t>
      </w:r>
    </w:p>
    <w:p w14:paraId="345975DD" w14:textId="77777777" w:rsidR="0062597D" w:rsidRDefault="0062597D" w:rsidP="0062597D">
      <w:pPr>
        <w:pStyle w:val="Heading3"/>
      </w:pPr>
      <w:r>
        <w:t>Statutes, Regulations, and Standards</w:t>
      </w:r>
    </w:p>
    <w:p w14:paraId="670B6DA8" w14:textId="77777777" w:rsidR="0062597D" w:rsidRPr="00F26C8D" w:rsidRDefault="0062597D" w:rsidP="006D7DE6">
      <w:pPr>
        <w:pStyle w:val="BodyTextFirstIndent"/>
      </w:pPr>
      <w:r>
        <w:t>Statutes, regulations, and standards that include a focus on school bus electrification are detailed below.</w:t>
      </w:r>
    </w:p>
    <w:p w14:paraId="3C7AC616" w14:textId="77777777" w:rsidR="0062597D" w:rsidRDefault="0062597D" w:rsidP="0062597D">
      <w:pPr>
        <w:pStyle w:val="Heading4"/>
      </w:pPr>
      <w:r>
        <w:t>Relevant Statutes</w:t>
      </w:r>
    </w:p>
    <w:p w14:paraId="4D0DFDBA" w14:textId="66871472" w:rsidR="0062597D" w:rsidRDefault="0062597D" w:rsidP="006D7DE6">
      <w:pPr>
        <w:pStyle w:val="BodyTextFirstIndent"/>
      </w:pPr>
      <w:r>
        <w:rPr>
          <w:b/>
        </w:rPr>
        <w:t>M.G.L.</w:t>
      </w:r>
      <w:r w:rsidRPr="005E0AAC">
        <w:rPr>
          <w:b/>
        </w:rPr>
        <w:t xml:space="preserve"> c. </w:t>
      </w:r>
      <w:r w:rsidRPr="00932DBD">
        <w:rPr>
          <w:b/>
        </w:rPr>
        <w:t xml:space="preserve">30B and </w:t>
      </w:r>
      <w:r w:rsidRPr="005E0AAC">
        <w:rPr>
          <w:b/>
        </w:rPr>
        <w:t>c.</w:t>
      </w:r>
      <w:r w:rsidRPr="00932DBD">
        <w:rPr>
          <w:b/>
        </w:rPr>
        <w:t xml:space="preserve"> 30, § 39M</w:t>
      </w:r>
      <w:r>
        <w:t xml:space="preserve"> concerns the procurement of electric vehicles and their charging infrastructure in Massachusetts. Under current </w:t>
      </w:r>
      <w:r w:rsidR="005412CC">
        <w:t xml:space="preserve">Commonwealth </w:t>
      </w:r>
      <w:r>
        <w:t>law, the procurement of school buses falls under the jurisdiction of M.G.L. c. 30B.</w:t>
      </w:r>
      <w:r>
        <w:fldChar w:fldCharType="begin"/>
      </w:r>
      <w:r w:rsidR="00E37130">
        <w:instrText xml:space="preserve"> ADDIN ZOTERO_ITEM CSL_CITATION {"citationID":"acssl0eanc","properties":{"formattedCitation":"\\super 265\\nosupersub{}","plainCitation":"265","noteIndex":0},"citationItems":[{"id":763,"uris":["http://zotero.org/groups/5563646/items/BVNDC6GR"],"itemData":{"id":763,"type":"document","title":"OIG Letter to Committee on Transportation Re School Bus Procurement"}}],"schema":"https://github.com/citation-style-language/schema/raw/master/csl-citation.json"} </w:instrText>
      </w:r>
      <w:r>
        <w:fldChar w:fldCharType="separate"/>
      </w:r>
      <w:r w:rsidR="00E37130" w:rsidRPr="00E37130">
        <w:rPr>
          <w:rFonts w:cs="Arial"/>
          <w:vertAlign w:val="superscript"/>
        </w:rPr>
        <w:t>265</w:t>
      </w:r>
      <w:r>
        <w:fldChar w:fldCharType="end"/>
      </w:r>
      <w:r>
        <w:t xml:space="preserve"> Conversely, the procurement of charging infrastructure is considered a construction project under M.G.L. </w:t>
      </w:r>
      <w:r w:rsidRPr="00911C66">
        <w:t>c. 30, § 39M</w:t>
      </w:r>
      <w:r>
        <w:t>.</w:t>
      </w:r>
      <w:r>
        <w:fldChar w:fldCharType="begin"/>
      </w:r>
      <w:r w:rsidR="004C6DF5">
        <w:instrText xml:space="preserve"> ADDIN ZOTERO_ITEM CSL_CITATION {"citationID":"a2n2nejj2lh","properties":{"formattedCitation":"\\super 265\\nosupersub{}","plainCitation":"265","noteIndex":0},"citationItems":[{"id":763,"uris":["http://zotero.org/groups/5563646/items/BVNDC6GR"],"itemData":{"id":763,"type":"document","title":"OIG Letter to Committee on Transportation Re School Bus Procurement"}}],"schema":"https://github.com/citation-style-language/schema/raw/master/csl-citation.json"} </w:instrText>
      </w:r>
      <w:r>
        <w:fldChar w:fldCharType="separate"/>
      </w:r>
      <w:r w:rsidR="004C6DF5" w:rsidRPr="004C6DF5">
        <w:rPr>
          <w:rFonts w:cs="Arial"/>
          <w:vertAlign w:val="superscript"/>
        </w:rPr>
        <w:t>265</w:t>
      </w:r>
      <w:r>
        <w:fldChar w:fldCharType="end"/>
      </w:r>
      <w:r>
        <w:t xml:space="preserve"> This means that districts looking to procure ESBs must have separate procurement processes for both the vehicles and the associated equipment. Massachusetts does offer a state contract, but this contract currently has only one bus vendor under contract.</w:t>
      </w:r>
      <w:r>
        <w:fldChar w:fldCharType="begin"/>
      </w:r>
      <w:r w:rsidR="00CF5462">
        <w:instrText xml:space="preserve"> ADDIN ZOTERO_ITEM CSL_CITATION {"citationID":"a2cgrao0g6i","properties":{"formattedCitation":"\\super 265\\nosupersub{}","plainCitation":"265","noteIndex":0},"citationItems":[{"id":763,"uris":["http://zotero.org/groups/5563646/items/BVNDC6GR"],"itemData":{"id":763,"type":"document","title":"OIG Letter to Committee on Transportation Re School Bus Procurement"}}],"schema":"https://github.com/citation-style-language/schema/raw/master/csl-citation.json"} </w:instrText>
      </w:r>
      <w:r>
        <w:fldChar w:fldCharType="separate"/>
      </w:r>
      <w:r w:rsidR="00CF5462" w:rsidRPr="00CF5462">
        <w:rPr>
          <w:rFonts w:cs="Arial"/>
          <w:vertAlign w:val="superscript"/>
        </w:rPr>
        <w:t>265</w:t>
      </w:r>
      <w:r>
        <w:fldChar w:fldCharType="end"/>
      </w:r>
      <w:r>
        <w:t xml:space="preserve"> </w:t>
      </w:r>
    </w:p>
    <w:p w14:paraId="2CCBAA34" w14:textId="31344946" w:rsidR="0062597D" w:rsidRDefault="0062597D" w:rsidP="006D7DE6">
      <w:pPr>
        <w:pStyle w:val="BodyTextFirstIndent"/>
      </w:pPr>
      <w:r>
        <w:rPr>
          <w:b/>
        </w:rPr>
        <w:t>M.G.L.</w:t>
      </w:r>
      <w:r w:rsidRPr="00FF539B">
        <w:rPr>
          <w:b/>
        </w:rPr>
        <w:t xml:space="preserve"> Part 1, Title XIV, </w:t>
      </w:r>
      <w:r>
        <w:rPr>
          <w:b/>
        </w:rPr>
        <w:t>c.</w:t>
      </w:r>
      <w:r w:rsidRPr="00FF539B">
        <w:rPr>
          <w:b/>
        </w:rPr>
        <w:t xml:space="preserve"> 90, </w:t>
      </w:r>
      <w:r w:rsidRPr="00932DBD">
        <w:rPr>
          <w:b/>
        </w:rPr>
        <w:t>§</w:t>
      </w:r>
      <w:r w:rsidRPr="00FF539B">
        <w:rPr>
          <w:b/>
        </w:rPr>
        <w:t>7B</w:t>
      </w:r>
      <w:r>
        <w:t xml:space="preserve"> determines the necessary features for a legal school bus in the Commonwealth of Massachusetts. The comprehensive list of requirements includes everything from the necessary physical features such as the word “School Bus” being painted on the vehicle to driver and operation requirements.</w:t>
      </w:r>
      <w:r>
        <w:fldChar w:fldCharType="begin"/>
      </w:r>
      <w:r w:rsidR="0037528A">
        <w:instrText xml:space="preserve"> ADDIN ZOTERO_ITEM CSL_CITATION {"citationID":"a10csvdgkoe","properties":{"formattedCitation":"\\super 221\\nosupersub{}","plainCitation":"221","noteIndex":0},"citationItems":[{"id":300,"uris":["http://zotero.org/groups/5563646/items/TZNAVDAZ"],"itemData":{"id":300,"type":"webpage","title":"General Law - Part I, Title II, Chapter 21, Section 67","URL":"https://malegislature.gov/Laws/GeneralLaws/PartI/TitleII/Chapter21/Section67","author":[{"family":"The 193rd Court of the Commonwealth of Massachusetts","given":""}],"accessed":{"date-parts":[["2024",6,25]]}}}],"schema":"https://github.com/citation-style-language/schema/raw/master/csl-citation.json"} </w:instrText>
      </w:r>
      <w:r>
        <w:fldChar w:fldCharType="separate"/>
      </w:r>
      <w:r w:rsidR="0037528A" w:rsidRPr="0037528A">
        <w:rPr>
          <w:rFonts w:cs="Arial"/>
          <w:vertAlign w:val="superscript"/>
        </w:rPr>
        <w:t>221</w:t>
      </w:r>
      <w:r>
        <w:fldChar w:fldCharType="end"/>
      </w:r>
    </w:p>
    <w:p w14:paraId="1C4D5A5E" w14:textId="77777777" w:rsidR="0062597D" w:rsidRDefault="0062597D" w:rsidP="0062597D">
      <w:pPr>
        <w:pStyle w:val="Heading4"/>
      </w:pPr>
      <w:r>
        <w:t>Relevant Regulations</w:t>
      </w:r>
    </w:p>
    <w:p w14:paraId="5E909AF1" w14:textId="6EF8BD05" w:rsidR="0062597D" w:rsidRPr="00AC361C" w:rsidRDefault="0062597D" w:rsidP="006D7DE6">
      <w:pPr>
        <w:pStyle w:val="BodyTextFirstIndent"/>
      </w:pPr>
      <w:r w:rsidRPr="00AC361C">
        <w:rPr>
          <w:b/>
        </w:rPr>
        <w:t>310-7.40</w:t>
      </w:r>
      <w:r>
        <w:rPr>
          <w:b/>
        </w:rPr>
        <w:t xml:space="preserve"> CMR</w:t>
      </w:r>
      <w:r>
        <w:t xml:space="preserve"> adopts California’s </w:t>
      </w:r>
      <w:r w:rsidRPr="00B6363D">
        <w:t>vehicle emissions standards and compliance requirements</w:t>
      </w:r>
      <w:r>
        <w:t xml:space="preserve"> under the Massachusetts Low Emission Vehicle Standard. All new </w:t>
      </w:r>
      <w:r w:rsidRPr="00CC206C">
        <w:t>passenger cars</w:t>
      </w:r>
      <w:r>
        <w:t xml:space="preserve">, </w:t>
      </w:r>
      <w:r w:rsidRPr="00CC206C">
        <w:t>light-duty trucks, medium- and heavy-duty vehicles and engines sold and registered in Massachusetts</w:t>
      </w:r>
      <w:r>
        <w:t xml:space="preserve"> must meet these requirements.</w:t>
      </w:r>
      <w:r>
        <w:fldChar w:fldCharType="begin"/>
      </w:r>
      <w:r w:rsidR="00DB2295">
        <w:instrText xml:space="preserve"> ADDIN ZOTERO_ITEM CSL_CITATION {"citationID":"ap3c4a1cvf","properties":{"formattedCitation":"\\super 266\\nosupersub{}","plainCitation":"266","noteIndex":0},"citationItems":[{"id":767,"uris":["http://zotero.org/groups/5563646/items/PPIT9CA3"],"itemData":{"id":767,"type":"webpage","container-title":"Department of Energy: Alternative Fuels Data Center","language":"en","title":"Massachusetts Laws and Incentives","title-short":"Alternative Fuels Data Center","URL":"https://afdc.energy.gov/laws/all?state=MA","accessed":{"date-parts":[["2024",7,23]]}}}],"schema":"https://github.com/citation-style-language/schema/raw/master/csl-citation.json"} </w:instrText>
      </w:r>
      <w:r>
        <w:fldChar w:fldCharType="separate"/>
      </w:r>
      <w:r w:rsidR="00DB2295" w:rsidRPr="00DB2295">
        <w:rPr>
          <w:rFonts w:cs="Arial"/>
          <w:vertAlign w:val="superscript"/>
        </w:rPr>
        <w:t>266</w:t>
      </w:r>
      <w:r>
        <w:fldChar w:fldCharType="end"/>
      </w:r>
      <w:r>
        <w:t xml:space="preserve"> Additionally, by 2035 all new passenger vehicles sold in Massachusetts must be zero-emission vehicles.</w:t>
      </w:r>
      <w:r>
        <w:fldChar w:fldCharType="begin"/>
      </w:r>
      <w:r w:rsidR="002C42E5">
        <w:instrText xml:space="preserve"> ADDIN ZOTERO_ITEM CSL_CITATION {"citationID":"a24jg6cr1cg","properties":{"formattedCitation":"\\super 266\\nosupersub{}","plainCitation":"266","noteIndex":0},"citationItems":[{"id":767,"uris":["http://zotero.org/groups/5563646/items/PPIT9CA3"],"itemData":{"id":767,"type":"webpage","container-title":"Department of Energy: Alternative Fuels Data Center","language":"en","title":"Massachusetts Laws and Incentives","title-short":"Alternative Fuels Data Center","URL":"https://afdc.energy.gov/laws/all?state=MA","accessed":{"date-parts":[["2024",7,23]]}}}],"schema":"https://github.com/citation-style-language/schema/raw/master/csl-citation.json"} </w:instrText>
      </w:r>
      <w:r>
        <w:fldChar w:fldCharType="separate"/>
      </w:r>
      <w:r w:rsidR="002C42E5" w:rsidRPr="002C42E5">
        <w:rPr>
          <w:rFonts w:cs="Arial"/>
          <w:vertAlign w:val="superscript"/>
        </w:rPr>
        <w:t>266</w:t>
      </w:r>
      <w:r>
        <w:fldChar w:fldCharType="end"/>
      </w:r>
    </w:p>
    <w:p w14:paraId="6C9504BC" w14:textId="77777777" w:rsidR="0062597D" w:rsidRDefault="0062597D" w:rsidP="0062597D">
      <w:pPr>
        <w:pStyle w:val="Heading4"/>
      </w:pPr>
      <w:r>
        <w:t>Relevant Standards and Other Requirements</w:t>
      </w:r>
    </w:p>
    <w:p w14:paraId="2BE3A3CC" w14:textId="59D27944" w:rsidR="0062597D" w:rsidRDefault="0062597D" w:rsidP="006D7DE6">
      <w:pPr>
        <w:pStyle w:val="BodyTextFirstIndent"/>
        <w:rPr>
          <w:b/>
        </w:rPr>
      </w:pPr>
      <w:r w:rsidRPr="00842081">
        <w:rPr>
          <w:b/>
        </w:rPr>
        <w:t>Additional Funding for ADA</w:t>
      </w:r>
      <w:r>
        <w:rPr>
          <w:b/>
        </w:rPr>
        <w:t>-</w:t>
      </w:r>
      <w:r w:rsidRPr="00842081">
        <w:rPr>
          <w:b/>
        </w:rPr>
        <w:t>Compliant Buses:</w:t>
      </w:r>
      <w:r>
        <w:t xml:space="preserve"> Some federal programs will provide additional funding to school districts that procure ESBs </w:t>
      </w:r>
      <w:hyperlink r:id="rId240" w:history="1">
        <w:r w:rsidRPr="00012CA9">
          <w:rPr>
            <w:rStyle w:val="Hyperlink"/>
          </w:rPr>
          <w:t>compliant with the Americans with Disabilities Act (ADA)</w:t>
        </w:r>
      </w:hyperlink>
      <w:r>
        <w:t>. For example, the CSB and CHDV funding programs each offer an additional $20,000 for ESBs that are ADA-compliant.</w:t>
      </w:r>
    </w:p>
    <w:p w14:paraId="570F9A8E" w14:textId="5D0BFCFE" w:rsidR="0062597D" w:rsidRDefault="0062597D" w:rsidP="006D7DE6">
      <w:pPr>
        <w:pStyle w:val="BodyTextFirstIndent"/>
      </w:pPr>
      <w:r>
        <w:rPr>
          <w:b/>
        </w:rPr>
        <w:lastRenderedPageBreak/>
        <w:t>Leasing Exclusions for ESBs:</w:t>
      </w:r>
      <w:r>
        <w:t xml:space="preserve"> The most popular school bus funding programs such as EPA’s </w:t>
      </w:r>
      <w:hyperlink r:id="rId241" w:history="1">
        <w:r w:rsidR="00285E48" w:rsidRPr="00F86D8A">
          <w:rPr>
            <w:rStyle w:val="Hyperlink"/>
          </w:rPr>
          <w:t>CSB Program</w:t>
        </w:r>
      </w:hyperlink>
      <w:r>
        <w:t xml:space="preserve">, </w:t>
      </w:r>
      <w:hyperlink r:id="rId242" w:history="1">
        <w:r w:rsidR="00285E48" w:rsidRPr="00152290">
          <w:rPr>
            <w:rStyle w:val="Hyperlink"/>
          </w:rPr>
          <w:t>CHDV Program</w:t>
        </w:r>
      </w:hyperlink>
      <w:r>
        <w:t xml:space="preserve">, </w:t>
      </w:r>
      <w:hyperlink r:id="rId243" w:history="1">
        <w:r w:rsidR="00285E48" w:rsidRPr="00644E6A">
          <w:rPr>
            <w:rStyle w:val="Hyperlink"/>
          </w:rPr>
          <w:t>DERA Program</w:t>
        </w:r>
      </w:hyperlink>
      <w:r>
        <w:t xml:space="preserve">, and the Internal Revenue Service’s (IRS’s) </w:t>
      </w:r>
      <w:hyperlink r:id="rId244" w:history="1">
        <w:r w:rsidRPr="00D4496B">
          <w:rPr>
            <w:rStyle w:val="Hyperlink"/>
          </w:rPr>
          <w:t>Section 45W Tax Credit</w:t>
        </w:r>
      </w:hyperlink>
      <w:r>
        <w:t xml:space="preserve">, do not allow applicants to lease electric school buses. All vehicles procured or reimbursed with funding from these programs must be purchased. </w:t>
      </w:r>
    </w:p>
    <w:p w14:paraId="0CA92470" w14:textId="4EBD71CB" w:rsidR="0062597D" w:rsidRDefault="0062597D" w:rsidP="006D7DE6">
      <w:pPr>
        <w:pStyle w:val="BodyTextFirstIndent"/>
      </w:pPr>
      <w:r w:rsidRPr="009A2F62">
        <w:rPr>
          <w:b/>
        </w:rPr>
        <w:t>Qualified Manufacturers for Certain Funding Programs</w:t>
      </w:r>
      <w:r>
        <w:rPr>
          <w:b/>
        </w:rPr>
        <w:t xml:space="preserve"> </w:t>
      </w:r>
      <w:r>
        <w:t xml:space="preserve">concerns the qualified vehicle manufacturers under </w:t>
      </w:r>
      <w:hyperlink r:id="rId245" w:history="1">
        <w:r w:rsidRPr="00DE5D48">
          <w:rPr>
            <w:rStyle w:val="Hyperlink"/>
          </w:rPr>
          <w:t>Internal Revenue Code 30D(d)(1)(C)</w:t>
        </w:r>
      </w:hyperlink>
      <w:r>
        <w:t xml:space="preserve">. This is particularly relevant for those interested in receiving tax credits under IRS Section 45W. It is important to note that while this standard also applies to IRS Section 30D, school buses and school districts do not qualify for the 30D credit. The IRS provides an index of </w:t>
      </w:r>
      <w:hyperlink r:id="rId246" w:history="1">
        <w:r w:rsidRPr="004F5A02">
          <w:rPr>
            <w:rStyle w:val="Hyperlink"/>
          </w:rPr>
          <w:t>qualified manufacturers for clean vehicle credits</w:t>
        </w:r>
      </w:hyperlink>
      <w:r>
        <w:t xml:space="preserve">. </w:t>
      </w:r>
    </w:p>
    <w:p w14:paraId="4FE790E9" w14:textId="5F6E3E51" w:rsidR="0062597D" w:rsidRDefault="0062597D" w:rsidP="006D7DE6">
      <w:pPr>
        <w:pStyle w:val="BodyTextFirstIndent"/>
      </w:pPr>
      <w:r w:rsidRPr="00E80209">
        <w:rPr>
          <w:b/>
        </w:rPr>
        <w:t>Scrapping Requirement for ESB Programs:</w:t>
      </w:r>
      <w:r>
        <w:t xml:space="preserve"> Most federal programs (including the </w:t>
      </w:r>
      <w:hyperlink r:id="rId247" w:history="1">
        <w:r w:rsidRPr="00F86D8A">
          <w:rPr>
            <w:rStyle w:val="Hyperlink"/>
          </w:rPr>
          <w:t xml:space="preserve">CSB </w:t>
        </w:r>
        <w:r w:rsidR="00F86D8A" w:rsidRPr="00F86D8A">
          <w:rPr>
            <w:rStyle w:val="Hyperlink"/>
          </w:rPr>
          <w:t>P</w:t>
        </w:r>
        <w:r w:rsidRPr="00F86D8A">
          <w:rPr>
            <w:rStyle w:val="Hyperlink"/>
          </w:rPr>
          <w:t>rogram</w:t>
        </w:r>
      </w:hyperlink>
      <w:r>
        <w:t xml:space="preserve">, the </w:t>
      </w:r>
      <w:hyperlink r:id="rId248" w:history="1">
        <w:r w:rsidRPr="00152290">
          <w:rPr>
            <w:rStyle w:val="Hyperlink"/>
          </w:rPr>
          <w:t xml:space="preserve">CHDV </w:t>
        </w:r>
        <w:r w:rsidR="00F86D8A" w:rsidRPr="00152290">
          <w:rPr>
            <w:rStyle w:val="Hyperlink"/>
          </w:rPr>
          <w:t>P</w:t>
        </w:r>
        <w:r w:rsidRPr="00152290">
          <w:rPr>
            <w:rStyle w:val="Hyperlink"/>
          </w:rPr>
          <w:t>rogram</w:t>
        </w:r>
      </w:hyperlink>
      <w:r>
        <w:t xml:space="preserve">, and the </w:t>
      </w:r>
      <w:hyperlink r:id="rId249" w:history="1">
        <w:r w:rsidRPr="00644E6A">
          <w:rPr>
            <w:rStyle w:val="Hyperlink"/>
          </w:rPr>
          <w:t xml:space="preserve">DERA </w:t>
        </w:r>
        <w:r w:rsidR="00644E6A" w:rsidRPr="00644E6A">
          <w:rPr>
            <w:rStyle w:val="Hyperlink"/>
          </w:rPr>
          <w:t>P</w:t>
        </w:r>
        <w:r w:rsidRPr="00644E6A">
          <w:rPr>
            <w:rStyle w:val="Hyperlink"/>
          </w:rPr>
          <w:t>rogram</w:t>
        </w:r>
      </w:hyperlink>
      <w:r>
        <w:t xml:space="preserve">) and many local programs that fund the replacement of existing ICE school buses with ESBs include scrapping requirements. These requirements involve some variation of cutting the frame rails and drilling a hole in the engine block of the ICE vehicle to be replaced. </w:t>
      </w:r>
    </w:p>
    <w:p w14:paraId="01AF2BA4" w14:textId="35A51459" w:rsidR="0062597D" w:rsidRDefault="0062597D" w:rsidP="006D7DE6">
      <w:pPr>
        <w:pStyle w:val="BodyTextFirstIndent"/>
      </w:pPr>
      <w:r>
        <w:fldChar w:fldCharType="begin"/>
      </w:r>
      <w:r>
        <w:instrText xml:space="preserve"> REF _Ref172908022 \h </w:instrText>
      </w:r>
      <w:r>
        <w:fldChar w:fldCharType="separate"/>
      </w:r>
      <w:r w:rsidR="00307850">
        <w:t xml:space="preserve">Table </w:t>
      </w:r>
      <w:r w:rsidR="00307850">
        <w:rPr>
          <w:noProof/>
        </w:rPr>
        <w:t>52</w:t>
      </w:r>
      <w:r>
        <w:fldChar w:fldCharType="end"/>
      </w:r>
      <w:r>
        <w:t xml:space="preserve"> summarizes the statutes, regulations, and performance standards related to electrifying school bus fleets at schools. </w:t>
      </w:r>
    </w:p>
    <w:p w14:paraId="3829E2C2" w14:textId="56BEA412" w:rsidR="0062597D" w:rsidRDefault="0062597D" w:rsidP="00B30C96">
      <w:pPr>
        <w:pStyle w:val="Caption"/>
      </w:pPr>
      <w:bookmarkStart w:id="482" w:name="_Ref172908022"/>
      <w:bookmarkStart w:id="483" w:name="_Toc192711718"/>
      <w:bookmarkStart w:id="484" w:name="_Toc193112600"/>
      <w:bookmarkStart w:id="485" w:name="_Toc193116999"/>
      <w:r>
        <w:t xml:space="preserve">Table </w:t>
      </w:r>
      <w:fldSimple w:instr=" SEQ Table \* ARABIC ">
        <w:r w:rsidR="00307850">
          <w:rPr>
            <w:noProof/>
          </w:rPr>
          <w:t>52</w:t>
        </w:r>
      </w:fldSimple>
      <w:bookmarkEnd w:id="482"/>
      <w:r>
        <w:t>. Statutory/Regulatory Framework and Notable Standards for Electrifying School Bus Fleets</w:t>
      </w:r>
      <w:bookmarkEnd w:id="483"/>
      <w:bookmarkEnd w:id="484"/>
      <w:bookmarkEnd w:id="485"/>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electrifying school bus fleets."/>
      </w:tblPr>
      <w:tblGrid>
        <w:gridCol w:w="6205"/>
        <w:gridCol w:w="1047"/>
        <w:gridCol w:w="1049"/>
        <w:gridCol w:w="1049"/>
      </w:tblGrid>
      <w:tr w:rsidR="0062597D" w:rsidRPr="00C8094D" w14:paraId="0F8CE656" w14:textId="77777777">
        <w:trPr>
          <w:cantSplit/>
          <w:trHeight w:val="2114"/>
          <w:tblHeader/>
          <w:jc w:val="center"/>
        </w:trPr>
        <w:tc>
          <w:tcPr>
            <w:tcW w:w="3318"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39ECFE73" w14:textId="77777777" w:rsidR="0062597D" w:rsidRDefault="0062597D">
            <w:pPr>
              <w:pStyle w:val="TableColumnHeader"/>
            </w:pPr>
            <w:r>
              <w:t>Regulation/Standard</w:t>
            </w:r>
          </w:p>
        </w:tc>
        <w:tc>
          <w:tcPr>
            <w:tcW w:w="560"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53EA67AE" w14:textId="77777777" w:rsidR="0062597D" w:rsidRDefault="0062597D">
            <w:pPr>
              <w:pStyle w:val="TableColumnHeader"/>
              <w:jc w:val="left"/>
            </w:pPr>
            <w:r>
              <w:t>State</w:t>
            </w:r>
            <w:r w:rsidRPr="00E11392">
              <w:t xml:space="preserve"> Statute/ Regulation</w:t>
            </w:r>
          </w:p>
        </w:tc>
        <w:tc>
          <w:tcPr>
            <w:tcW w:w="56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6298593F" w14:textId="77777777" w:rsidR="0062597D" w:rsidRDefault="0062597D">
            <w:pPr>
              <w:pStyle w:val="TableColumnHeader"/>
              <w:jc w:val="left"/>
            </w:pPr>
            <w:r>
              <w:t>Other</w:t>
            </w:r>
            <w:r w:rsidRPr="00E11392">
              <w:t xml:space="preserve"> Statute/ Regulation</w:t>
            </w:r>
          </w:p>
        </w:tc>
        <w:tc>
          <w:tcPr>
            <w:tcW w:w="56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9A4BA54" w14:textId="77777777" w:rsidR="0062597D" w:rsidRDefault="0062597D">
            <w:pPr>
              <w:pStyle w:val="TableColumnHeader"/>
              <w:jc w:val="left"/>
            </w:pPr>
            <w:r w:rsidRPr="00E11392">
              <w:t>Standard</w:t>
            </w:r>
            <w:r>
              <w:t>/ Other Requirements</w:t>
            </w:r>
          </w:p>
        </w:tc>
      </w:tr>
      <w:tr w:rsidR="0062597D" w:rsidRPr="00C8094D" w14:paraId="144EE238"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B6D1F1A" w14:textId="77777777" w:rsidR="0062597D" w:rsidRPr="00592C22" w:rsidRDefault="0062597D">
            <w:pPr>
              <w:pStyle w:val="TableRowHeader"/>
            </w:pPr>
            <w:r>
              <w:t>Statutes</w:t>
            </w:r>
          </w:p>
        </w:tc>
      </w:tr>
      <w:tr w:rsidR="0062597D" w:rsidRPr="00C8094D" w14:paraId="3BD4D2A1"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3149338B" w14:textId="77777777" w:rsidR="0062597D" w:rsidRDefault="0062597D">
            <w:pPr>
              <w:pStyle w:val="TableText"/>
            </w:pPr>
            <w:r>
              <w:t xml:space="preserve">M.G.L. c. </w:t>
            </w:r>
            <w:r w:rsidRPr="004374D8">
              <w:t xml:space="preserve">30B and c. 30, § </w:t>
            </w:r>
            <w:r w:rsidRPr="00932DBD">
              <w:t>39M</w:t>
            </w:r>
          </w:p>
        </w:tc>
        <w:tc>
          <w:tcPr>
            <w:tcW w:w="560" w:type="pct"/>
            <w:tcBorders>
              <w:top w:val="nil"/>
              <w:left w:val="single" w:sz="4" w:space="0" w:color="auto"/>
              <w:bottom w:val="single" w:sz="4" w:space="0" w:color="auto"/>
              <w:right w:val="single" w:sz="4" w:space="0" w:color="auto"/>
            </w:tcBorders>
            <w:shd w:val="clear" w:color="auto" w:fill="auto"/>
            <w:vAlign w:val="center"/>
          </w:tcPr>
          <w:p w14:paraId="604B33FC" w14:textId="77777777" w:rsidR="0062597D" w:rsidRPr="002B1D99" w:rsidRDefault="0062597D">
            <w:pPr>
              <w:pStyle w:val="TableText"/>
              <w:jc w:val="center"/>
              <w:rPr>
                <w:b/>
                <w:bCs/>
              </w:rPr>
            </w:pPr>
            <w:r w:rsidRPr="002B1D99">
              <w:rPr>
                <w:b/>
                <w:bCs/>
                <w:color w:val="00B050"/>
              </w:rPr>
              <w:t>X</w:t>
            </w:r>
          </w:p>
        </w:tc>
        <w:tc>
          <w:tcPr>
            <w:tcW w:w="561" w:type="pct"/>
            <w:tcBorders>
              <w:top w:val="nil"/>
              <w:left w:val="single" w:sz="4" w:space="0" w:color="auto"/>
              <w:bottom w:val="single" w:sz="4" w:space="0" w:color="auto"/>
              <w:right w:val="single" w:sz="4" w:space="0" w:color="auto"/>
            </w:tcBorders>
            <w:shd w:val="clear" w:color="auto" w:fill="auto"/>
            <w:vAlign w:val="center"/>
          </w:tcPr>
          <w:p w14:paraId="4016383E" w14:textId="77777777" w:rsidR="0062597D" w:rsidRPr="002B1D99" w:rsidRDefault="0062597D">
            <w:pPr>
              <w:pStyle w:val="TableText"/>
              <w:jc w:val="center"/>
              <w:rPr>
                <w:b/>
                <w:bCs/>
                <w:color w:val="00B050"/>
              </w:rPr>
            </w:pPr>
          </w:p>
        </w:tc>
        <w:tc>
          <w:tcPr>
            <w:tcW w:w="561" w:type="pct"/>
            <w:tcBorders>
              <w:top w:val="nil"/>
              <w:left w:val="single" w:sz="4" w:space="0" w:color="auto"/>
              <w:bottom w:val="single" w:sz="4" w:space="0" w:color="auto"/>
              <w:right w:val="single" w:sz="4" w:space="0" w:color="auto"/>
            </w:tcBorders>
            <w:shd w:val="clear" w:color="auto" w:fill="auto"/>
            <w:vAlign w:val="center"/>
          </w:tcPr>
          <w:p w14:paraId="2F78795E" w14:textId="77777777" w:rsidR="0062597D" w:rsidRPr="002B1D99" w:rsidRDefault="0062597D">
            <w:pPr>
              <w:pStyle w:val="TableText"/>
              <w:jc w:val="center"/>
              <w:rPr>
                <w:b/>
                <w:bCs/>
              </w:rPr>
            </w:pPr>
          </w:p>
        </w:tc>
      </w:tr>
      <w:tr w:rsidR="0062597D" w:rsidRPr="00C8094D" w14:paraId="30B5B727"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6EA14F44" w14:textId="77777777" w:rsidR="0062597D" w:rsidRDefault="0062597D">
            <w:pPr>
              <w:pStyle w:val="TableText"/>
            </w:pPr>
            <w:r>
              <w:t>M.G.L. Part 1, Title XIV, Chapter 90, Section 7B</w:t>
            </w:r>
          </w:p>
        </w:tc>
        <w:tc>
          <w:tcPr>
            <w:tcW w:w="560" w:type="pct"/>
            <w:tcBorders>
              <w:top w:val="nil"/>
              <w:left w:val="single" w:sz="4" w:space="0" w:color="auto"/>
              <w:bottom w:val="single" w:sz="4" w:space="0" w:color="auto"/>
              <w:right w:val="single" w:sz="4" w:space="0" w:color="auto"/>
            </w:tcBorders>
            <w:shd w:val="clear" w:color="auto" w:fill="auto"/>
            <w:vAlign w:val="center"/>
          </w:tcPr>
          <w:p w14:paraId="3D6AC94E" w14:textId="77777777" w:rsidR="0062597D" w:rsidRPr="002B1D99" w:rsidRDefault="0062597D">
            <w:pPr>
              <w:pStyle w:val="TableText"/>
              <w:jc w:val="center"/>
              <w:rPr>
                <w:b/>
                <w:bCs/>
              </w:rPr>
            </w:pPr>
            <w:r w:rsidRPr="002B1D99">
              <w:rPr>
                <w:b/>
                <w:bCs/>
                <w:color w:val="00B050"/>
              </w:rPr>
              <w:t>X</w:t>
            </w:r>
          </w:p>
        </w:tc>
        <w:tc>
          <w:tcPr>
            <w:tcW w:w="561" w:type="pct"/>
            <w:tcBorders>
              <w:top w:val="nil"/>
              <w:left w:val="single" w:sz="4" w:space="0" w:color="auto"/>
              <w:bottom w:val="single" w:sz="4" w:space="0" w:color="auto"/>
              <w:right w:val="single" w:sz="4" w:space="0" w:color="auto"/>
            </w:tcBorders>
            <w:shd w:val="clear" w:color="auto" w:fill="auto"/>
            <w:vAlign w:val="center"/>
          </w:tcPr>
          <w:p w14:paraId="44B99ADD" w14:textId="77777777" w:rsidR="0062597D" w:rsidRPr="002B1D99" w:rsidRDefault="0062597D">
            <w:pPr>
              <w:pStyle w:val="TableText"/>
              <w:jc w:val="center"/>
              <w:rPr>
                <w:b/>
                <w:bCs/>
                <w:color w:val="00B050"/>
              </w:rPr>
            </w:pPr>
          </w:p>
        </w:tc>
        <w:tc>
          <w:tcPr>
            <w:tcW w:w="561" w:type="pct"/>
            <w:tcBorders>
              <w:top w:val="nil"/>
              <w:left w:val="single" w:sz="4" w:space="0" w:color="auto"/>
              <w:bottom w:val="single" w:sz="4" w:space="0" w:color="auto"/>
              <w:right w:val="single" w:sz="4" w:space="0" w:color="auto"/>
            </w:tcBorders>
            <w:shd w:val="clear" w:color="auto" w:fill="auto"/>
            <w:vAlign w:val="center"/>
          </w:tcPr>
          <w:p w14:paraId="1F76EED9" w14:textId="77777777" w:rsidR="0062597D" w:rsidRPr="002B1D99" w:rsidRDefault="0062597D">
            <w:pPr>
              <w:pStyle w:val="TableText"/>
              <w:jc w:val="center"/>
              <w:rPr>
                <w:b/>
                <w:bCs/>
              </w:rPr>
            </w:pPr>
          </w:p>
        </w:tc>
      </w:tr>
      <w:tr w:rsidR="0062597D" w:rsidRPr="00C8094D" w14:paraId="49652F1A"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002060"/>
          </w:tcPr>
          <w:p w14:paraId="46400F1C" w14:textId="77777777" w:rsidR="0062597D" w:rsidRDefault="0062597D">
            <w:pPr>
              <w:pStyle w:val="TableRowHeader"/>
            </w:pPr>
            <w:r>
              <w:t>Regulations</w:t>
            </w:r>
          </w:p>
        </w:tc>
        <w:tc>
          <w:tcPr>
            <w:tcW w:w="560" w:type="pct"/>
            <w:tcBorders>
              <w:top w:val="nil"/>
              <w:left w:val="single" w:sz="4" w:space="0" w:color="auto"/>
              <w:bottom w:val="single" w:sz="4" w:space="0" w:color="auto"/>
              <w:right w:val="single" w:sz="4" w:space="0" w:color="auto"/>
            </w:tcBorders>
            <w:shd w:val="clear" w:color="auto" w:fill="002060"/>
            <w:vAlign w:val="center"/>
          </w:tcPr>
          <w:p w14:paraId="22908B00" w14:textId="77777777" w:rsidR="0062597D" w:rsidRPr="002B1D99" w:rsidRDefault="0062597D">
            <w:pPr>
              <w:pStyle w:val="TableText"/>
              <w:jc w:val="center"/>
              <w:rPr>
                <w:b/>
                <w:bCs/>
              </w:rPr>
            </w:pPr>
          </w:p>
        </w:tc>
        <w:tc>
          <w:tcPr>
            <w:tcW w:w="561" w:type="pct"/>
            <w:tcBorders>
              <w:top w:val="nil"/>
              <w:left w:val="single" w:sz="4" w:space="0" w:color="auto"/>
              <w:bottom w:val="single" w:sz="4" w:space="0" w:color="auto"/>
              <w:right w:val="single" w:sz="4" w:space="0" w:color="auto"/>
            </w:tcBorders>
            <w:shd w:val="clear" w:color="auto" w:fill="002060"/>
            <w:vAlign w:val="center"/>
          </w:tcPr>
          <w:p w14:paraId="1E315312" w14:textId="77777777" w:rsidR="0062597D" w:rsidRPr="002B1D99" w:rsidRDefault="0062597D">
            <w:pPr>
              <w:pStyle w:val="TableText"/>
              <w:jc w:val="center"/>
              <w:rPr>
                <w:b/>
                <w:bCs/>
                <w:color w:val="00B050"/>
              </w:rPr>
            </w:pPr>
          </w:p>
        </w:tc>
        <w:tc>
          <w:tcPr>
            <w:tcW w:w="561" w:type="pct"/>
            <w:tcBorders>
              <w:top w:val="nil"/>
              <w:left w:val="single" w:sz="4" w:space="0" w:color="auto"/>
              <w:bottom w:val="single" w:sz="4" w:space="0" w:color="auto"/>
              <w:right w:val="single" w:sz="4" w:space="0" w:color="auto"/>
            </w:tcBorders>
            <w:shd w:val="clear" w:color="auto" w:fill="002060"/>
            <w:vAlign w:val="center"/>
          </w:tcPr>
          <w:p w14:paraId="654CABBC" w14:textId="77777777" w:rsidR="0062597D" w:rsidRPr="002B1D99" w:rsidRDefault="0062597D">
            <w:pPr>
              <w:pStyle w:val="TableText"/>
              <w:jc w:val="center"/>
              <w:rPr>
                <w:b/>
                <w:bCs/>
              </w:rPr>
            </w:pPr>
          </w:p>
        </w:tc>
      </w:tr>
      <w:tr w:rsidR="0062597D" w:rsidRPr="00C8094D" w14:paraId="552FCCF6"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49CCD030" w14:textId="77777777" w:rsidR="0062597D" w:rsidRDefault="0062597D">
            <w:pPr>
              <w:pStyle w:val="TableText"/>
            </w:pPr>
            <w:r>
              <w:t>CMR</w:t>
            </w:r>
            <w:r w:rsidRPr="006273D4">
              <w:t xml:space="preserve"> 310-7.40</w:t>
            </w:r>
          </w:p>
        </w:tc>
        <w:tc>
          <w:tcPr>
            <w:tcW w:w="560" w:type="pct"/>
            <w:tcBorders>
              <w:top w:val="nil"/>
              <w:left w:val="single" w:sz="4" w:space="0" w:color="auto"/>
              <w:bottom w:val="single" w:sz="4" w:space="0" w:color="auto"/>
              <w:right w:val="single" w:sz="4" w:space="0" w:color="auto"/>
            </w:tcBorders>
            <w:shd w:val="clear" w:color="auto" w:fill="auto"/>
            <w:vAlign w:val="center"/>
          </w:tcPr>
          <w:p w14:paraId="515B8FD0" w14:textId="77777777" w:rsidR="0062597D" w:rsidRPr="002B1D99" w:rsidRDefault="0062597D">
            <w:pPr>
              <w:pStyle w:val="TableText"/>
              <w:jc w:val="center"/>
              <w:rPr>
                <w:b/>
                <w:bCs/>
              </w:rPr>
            </w:pPr>
            <w:r w:rsidRPr="002B1D99">
              <w:rPr>
                <w:b/>
                <w:bCs/>
                <w:color w:val="00B050"/>
              </w:rPr>
              <w:t>X</w:t>
            </w:r>
          </w:p>
        </w:tc>
        <w:tc>
          <w:tcPr>
            <w:tcW w:w="561" w:type="pct"/>
            <w:tcBorders>
              <w:top w:val="nil"/>
              <w:left w:val="single" w:sz="4" w:space="0" w:color="auto"/>
              <w:bottom w:val="single" w:sz="4" w:space="0" w:color="auto"/>
              <w:right w:val="single" w:sz="4" w:space="0" w:color="auto"/>
            </w:tcBorders>
            <w:shd w:val="clear" w:color="auto" w:fill="auto"/>
            <w:vAlign w:val="center"/>
          </w:tcPr>
          <w:p w14:paraId="40A8F840" w14:textId="77777777" w:rsidR="0062597D" w:rsidRPr="002B1D99" w:rsidRDefault="0062597D">
            <w:pPr>
              <w:pStyle w:val="TableText"/>
              <w:jc w:val="center"/>
              <w:rPr>
                <w:b/>
                <w:bCs/>
                <w:color w:val="00B050"/>
              </w:rPr>
            </w:pPr>
          </w:p>
        </w:tc>
        <w:tc>
          <w:tcPr>
            <w:tcW w:w="561" w:type="pct"/>
            <w:tcBorders>
              <w:top w:val="nil"/>
              <w:left w:val="single" w:sz="4" w:space="0" w:color="auto"/>
              <w:bottom w:val="single" w:sz="4" w:space="0" w:color="auto"/>
              <w:right w:val="single" w:sz="4" w:space="0" w:color="auto"/>
            </w:tcBorders>
            <w:shd w:val="clear" w:color="auto" w:fill="auto"/>
            <w:vAlign w:val="center"/>
          </w:tcPr>
          <w:p w14:paraId="2D48995A" w14:textId="77777777" w:rsidR="0062597D" w:rsidRPr="002B1D99" w:rsidRDefault="0062597D">
            <w:pPr>
              <w:pStyle w:val="TableText"/>
              <w:jc w:val="center"/>
              <w:rPr>
                <w:b/>
                <w:bCs/>
              </w:rPr>
            </w:pPr>
          </w:p>
        </w:tc>
      </w:tr>
      <w:tr w:rsidR="0062597D" w:rsidRPr="00C8094D" w14:paraId="4156DD0D"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5D6ED35" w14:textId="77777777" w:rsidR="0062597D" w:rsidRPr="002B1D99" w:rsidRDefault="0062597D">
            <w:pPr>
              <w:pStyle w:val="TableRowHeader"/>
            </w:pPr>
            <w:r>
              <w:t>Standards</w:t>
            </w:r>
          </w:p>
        </w:tc>
      </w:tr>
      <w:tr w:rsidR="0062597D" w:rsidRPr="00C8094D" w14:paraId="3517EDC3"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3C6B0A8C" w14:textId="77777777" w:rsidR="0062597D" w:rsidRDefault="0062597D">
            <w:pPr>
              <w:pStyle w:val="TableText"/>
            </w:pPr>
            <w:r>
              <w:t>Additional Funding for ADA Compliant Buses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718079FE"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68D4FD02"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4DFB19C1" w14:textId="77777777" w:rsidR="0062597D" w:rsidRPr="002B1D99" w:rsidRDefault="0062597D">
            <w:pPr>
              <w:pStyle w:val="TableText"/>
              <w:jc w:val="center"/>
              <w:rPr>
                <w:b/>
                <w:bCs/>
                <w:color w:val="00B050"/>
              </w:rPr>
            </w:pPr>
            <w:r w:rsidRPr="002B1D99">
              <w:rPr>
                <w:b/>
                <w:bCs/>
                <w:color w:val="00B050"/>
              </w:rPr>
              <w:t>X</w:t>
            </w:r>
          </w:p>
        </w:tc>
      </w:tr>
      <w:tr w:rsidR="0062597D" w:rsidRPr="00C8094D" w14:paraId="4B587269"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720913D9" w14:textId="77777777" w:rsidR="0062597D" w:rsidRDefault="0062597D">
            <w:pPr>
              <w:pStyle w:val="TableText"/>
            </w:pPr>
            <w:r>
              <w:t>Leasing Exclusions for ESBs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614B6D02"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25A1C543"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4A196585" w14:textId="77777777" w:rsidR="0062597D" w:rsidRPr="002B1D99" w:rsidRDefault="0062597D">
            <w:pPr>
              <w:pStyle w:val="TableText"/>
              <w:jc w:val="center"/>
              <w:rPr>
                <w:b/>
                <w:bCs/>
                <w:color w:val="00B050"/>
              </w:rPr>
            </w:pPr>
            <w:r w:rsidRPr="002B1D99">
              <w:rPr>
                <w:b/>
                <w:bCs/>
                <w:color w:val="00B050"/>
              </w:rPr>
              <w:t>X</w:t>
            </w:r>
          </w:p>
        </w:tc>
      </w:tr>
      <w:tr w:rsidR="0062597D" w:rsidRPr="00C8094D" w14:paraId="2479F976"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1B2A10D8" w14:textId="77777777" w:rsidR="0062597D" w:rsidRPr="00C8094D" w:rsidRDefault="0062597D">
            <w:pPr>
              <w:pStyle w:val="TableText"/>
            </w:pPr>
            <w:r>
              <w:t>Qualified Manufacturers for Certain Funding Programs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37D4FB1F"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00B2A723"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60C29925" w14:textId="77777777" w:rsidR="0062597D" w:rsidRPr="002B1D99" w:rsidRDefault="0062597D">
            <w:pPr>
              <w:pStyle w:val="TableText"/>
              <w:jc w:val="center"/>
              <w:rPr>
                <w:b/>
                <w:bCs/>
                <w:color w:val="00B050"/>
              </w:rPr>
            </w:pPr>
            <w:r w:rsidRPr="002B1D99">
              <w:rPr>
                <w:b/>
                <w:bCs/>
                <w:color w:val="00B050"/>
              </w:rPr>
              <w:t>X</w:t>
            </w:r>
          </w:p>
        </w:tc>
      </w:tr>
      <w:tr w:rsidR="0062597D" w:rsidRPr="00C8094D" w14:paraId="630AAAE8" w14:textId="77777777">
        <w:trPr>
          <w:cantSplit/>
          <w:trHeight w:val="58"/>
          <w:tblHeader/>
          <w:jc w:val="center"/>
        </w:trPr>
        <w:tc>
          <w:tcPr>
            <w:tcW w:w="3318" w:type="pct"/>
            <w:tcBorders>
              <w:top w:val="single" w:sz="4" w:space="0" w:color="auto"/>
              <w:left w:val="single" w:sz="4" w:space="0" w:color="auto"/>
              <w:bottom w:val="single" w:sz="4" w:space="0" w:color="auto"/>
              <w:right w:val="single" w:sz="4" w:space="0" w:color="auto"/>
            </w:tcBorders>
            <w:shd w:val="clear" w:color="auto" w:fill="auto"/>
          </w:tcPr>
          <w:p w14:paraId="7663DAB6" w14:textId="77777777" w:rsidR="0062597D" w:rsidRDefault="0062597D">
            <w:pPr>
              <w:pStyle w:val="TableText"/>
            </w:pPr>
            <w:bookmarkStart w:id="486" w:name="_Hlk170900490"/>
            <w:r>
              <w:t>Scrapping Requirement for ESB Programs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6FCA76D1"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453D361F" w14:textId="77777777" w:rsidR="0062597D" w:rsidRPr="002B1D99" w:rsidRDefault="0062597D">
            <w:pPr>
              <w:pStyle w:val="TableText"/>
              <w:jc w:val="center"/>
              <w:rPr>
                <w:b/>
                <w:bCs/>
                <w:color w:val="00B05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58522963" w14:textId="77777777" w:rsidR="0062597D" w:rsidRPr="002B1D99" w:rsidRDefault="0062597D">
            <w:pPr>
              <w:pStyle w:val="TableText"/>
              <w:jc w:val="center"/>
              <w:rPr>
                <w:b/>
                <w:bCs/>
                <w:color w:val="00B050"/>
              </w:rPr>
            </w:pPr>
            <w:r w:rsidRPr="002B1D99">
              <w:rPr>
                <w:b/>
                <w:bCs/>
                <w:color w:val="00B050"/>
              </w:rPr>
              <w:t>X</w:t>
            </w:r>
          </w:p>
        </w:tc>
      </w:tr>
    </w:tbl>
    <w:bookmarkEnd w:id="486"/>
    <w:p w14:paraId="58BBB1C2" w14:textId="77777777" w:rsidR="00505454" w:rsidRDefault="00505454" w:rsidP="00505454">
      <w:pPr>
        <w:pStyle w:val="Heading3"/>
      </w:pPr>
      <w:r>
        <w:t>Relevant Resources</w:t>
      </w:r>
    </w:p>
    <w:p w14:paraId="339F412F" w14:textId="21059529" w:rsidR="00505454" w:rsidRDefault="00505454" w:rsidP="006D7DE6">
      <w:pPr>
        <w:pStyle w:val="BodyTextFirstIndent"/>
      </w:pPr>
      <w:r>
        <w:lastRenderedPageBreak/>
        <w:fldChar w:fldCharType="begin"/>
      </w:r>
      <w:r>
        <w:instrText xml:space="preserve"> REF _Ref172750333 \h </w:instrText>
      </w:r>
      <w:r>
        <w:fldChar w:fldCharType="separate"/>
      </w:r>
      <w:r w:rsidR="00307850">
        <w:t xml:space="preserve">Table </w:t>
      </w:r>
      <w:r w:rsidR="00307850">
        <w:rPr>
          <w:noProof/>
        </w:rPr>
        <w:t>53</w:t>
      </w:r>
      <w:r>
        <w:fldChar w:fldCharType="end"/>
      </w:r>
      <w:r>
        <w:t xml:space="preserve"> provides a summary of resources related to school bus electrification in schools.</w:t>
      </w:r>
    </w:p>
    <w:p w14:paraId="7F947C84" w14:textId="2EDE06D5" w:rsidR="00505454" w:rsidRDefault="00505454" w:rsidP="00B30C96">
      <w:pPr>
        <w:pStyle w:val="Caption"/>
      </w:pPr>
      <w:bookmarkStart w:id="487" w:name="_Ref172750333"/>
      <w:bookmarkStart w:id="488" w:name="_Toc192711719"/>
      <w:bookmarkStart w:id="489" w:name="_Toc193112601"/>
      <w:bookmarkStart w:id="490" w:name="_Toc193117000"/>
      <w:r>
        <w:t xml:space="preserve">Table </w:t>
      </w:r>
      <w:fldSimple w:instr=" SEQ Table \* ARABIC ">
        <w:r w:rsidR="00307850">
          <w:rPr>
            <w:noProof/>
          </w:rPr>
          <w:t>53</w:t>
        </w:r>
      </w:fldSimple>
      <w:bookmarkEnd w:id="487"/>
      <w:r>
        <w:t>. Resources for Electrifying School Bus Fleets</w:t>
      </w:r>
      <w:bookmarkEnd w:id="488"/>
      <w:bookmarkEnd w:id="489"/>
      <w:bookmarkEnd w:id="490"/>
    </w:p>
    <w:tbl>
      <w:tblPr>
        <w:tblStyle w:val="TableGrid"/>
        <w:tblW w:w="0" w:type="auto"/>
        <w:tblLayout w:type="fixed"/>
        <w:tblLook w:val="04A0" w:firstRow="1" w:lastRow="0" w:firstColumn="1" w:lastColumn="0" w:noHBand="0" w:noVBand="1"/>
        <w:tblDescription w:val="Table listing resources with active URLs for electrifying school bus fleets in schools."/>
      </w:tblPr>
      <w:tblGrid>
        <w:gridCol w:w="2653"/>
        <w:gridCol w:w="2832"/>
        <w:gridCol w:w="3865"/>
      </w:tblGrid>
      <w:tr w:rsidR="00505454" w:rsidRPr="00276B41" w14:paraId="2A6AA5D3" w14:textId="77777777">
        <w:trPr>
          <w:tblHeader/>
        </w:trPr>
        <w:tc>
          <w:tcPr>
            <w:tcW w:w="2653" w:type="dxa"/>
            <w:shd w:val="clear" w:color="auto" w:fill="C6D9F1" w:themeFill="text2" w:themeFillTint="33"/>
          </w:tcPr>
          <w:p w14:paraId="7E79C8FD" w14:textId="77777777" w:rsidR="00505454" w:rsidRPr="004C3A1C" w:rsidRDefault="00505454">
            <w:pPr>
              <w:pStyle w:val="TableColumnHeader"/>
            </w:pPr>
            <w:r w:rsidRPr="004C3A1C">
              <w:t>Resource</w:t>
            </w:r>
          </w:p>
        </w:tc>
        <w:tc>
          <w:tcPr>
            <w:tcW w:w="2832" w:type="dxa"/>
            <w:shd w:val="clear" w:color="auto" w:fill="C6D9F1" w:themeFill="text2" w:themeFillTint="33"/>
          </w:tcPr>
          <w:p w14:paraId="212087A0" w14:textId="77777777" w:rsidR="00505454" w:rsidRPr="004C3A1C" w:rsidRDefault="00505454">
            <w:pPr>
              <w:pStyle w:val="TableColumnHeader"/>
            </w:pPr>
            <w:r w:rsidRPr="004C3A1C">
              <w:t>Author</w:t>
            </w:r>
          </w:p>
        </w:tc>
        <w:tc>
          <w:tcPr>
            <w:tcW w:w="3865" w:type="dxa"/>
            <w:shd w:val="clear" w:color="auto" w:fill="C6D9F1" w:themeFill="text2" w:themeFillTint="33"/>
          </w:tcPr>
          <w:p w14:paraId="77FFC662" w14:textId="77777777" w:rsidR="00505454" w:rsidRPr="004C3A1C" w:rsidRDefault="00505454">
            <w:pPr>
              <w:pStyle w:val="TableColumnHeader"/>
            </w:pPr>
            <w:r w:rsidRPr="004C3A1C">
              <w:t>URL</w:t>
            </w:r>
          </w:p>
        </w:tc>
      </w:tr>
      <w:tr w:rsidR="00505454" w:rsidRPr="00276B41" w14:paraId="636FAAC4" w14:textId="77777777">
        <w:tc>
          <w:tcPr>
            <w:tcW w:w="2653" w:type="dxa"/>
          </w:tcPr>
          <w:p w14:paraId="58684BD2" w14:textId="77777777" w:rsidR="00505454" w:rsidRPr="0017683A" w:rsidRDefault="00505454">
            <w:pPr>
              <w:pStyle w:val="TableText"/>
            </w:pPr>
            <w:r w:rsidRPr="0017683A">
              <w:t>Step-by-Step Guide for School Bus Electrification</w:t>
            </w:r>
          </w:p>
        </w:tc>
        <w:tc>
          <w:tcPr>
            <w:tcW w:w="2832" w:type="dxa"/>
          </w:tcPr>
          <w:p w14:paraId="34318BA9" w14:textId="77777777" w:rsidR="00505454" w:rsidRPr="0017683A" w:rsidRDefault="00505454">
            <w:pPr>
              <w:pStyle w:val="TableText"/>
            </w:pPr>
            <w:r w:rsidRPr="0017683A">
              <w:t>The Electric School Bus Initiative</w:t>
            </w:r>
          </w:p>
        </w:tc>
        <w:tc>
          <w:tcPr>
            <w:tcW w:w="3865" w:type="dxa"/>
          </w:tcPr>
          <w:p w14:paraId="6BC79A19" w14:textId="66582BCA" w:rsidR="00505454" w:rsidRPr="00276B41" w:rsidRDefault="00505454">
            <w:pPr>
              <w:pStyle w:val="TableText"/>
            </w:pPr>
            <w:hyperlink r:id="rId250" w:history="1">
              <w:r w:rsidRPr="00833189">
                <w:rPr>
                  <w:rStyle w:val="Hyperlink"/>
                </w:rPr>
                <w:t>https://electricschoolbusinitiative.org/step-step-guide-school-bus-electrification</w:t>
              </w:r>
            </w:hyperlink>
            <w:r>
              <w:t xml:space="preserve"> </w:t>
            </w:r>
          </w:p>
        </w:tc>
      </w:tr>
      <w:tr w:rsidR="00505454" w:rsidRPr="00276B41" w14:paraId="23CF3932" w14:textId="77777777">
        <w:tc>
          <w:tcPr>
            <w:tcW w:w="2653" w:type="dxa"/>
          </w:tcPr>
          <w:p w14:paraId="4DF6FA71" w14:textId="77777777" w:rsidR="00505454" w:rsidRPr="0017683A" w:rsidRDefault="00505454">
            <w:pPr>
              <w:pStyle w:val="TableText"/>
            </w:pPr>
            <w:r w:rsidRPr="0017683A">
              <w:t>Federal Laws and Incentives</w:t>
            </w:r>
          </w:p>
        </w:tc>
        <w:tc>
          <w:tcPr>
            <w:tcW w:w="2832" w:type="dxa"/>
          </w:tcPr>
          <w:p w14:paraId="16F2A7B5" w14:textId="77777777" w:rsidR="00505454" w:rsidRPr="0017683A" w:rsidRDefault="00505454">
            <w:pPr>
              <w:pStyle w:val="TableText"/>
            </w:pPr>
            <w:r w:rsidRPr="0017683A">
              <w:t>The Alternative Fuels Data Center</w:t>
            </w:r>
          </w:p>
        </w:tc>
        <w:tc>
          <w:tcPr>
            <w:tcW w:w="3865" w:type="dxa"/>
          </w:tcPr>
          <w:p w14:paraId="76187862" w14:textId="6CEA0D7B" w:rsidR="00505454" w:rsidRPr="00276B41" w:rsidRDefault="00505454">
            <w:pPr>
              <w:pStyle w:val="TableText"/>
            </w:pPr>
            <w:hyperlink r:id="rId251" w:history="1">
              <w:r w:rsidRPr="00833189">
                <w:rPr>
                  <w:rStyle w:val="Hyperlink"/>
                </w:rPr>
                <w:t>https://afdc.energy.gov/laws</w:t>
              </w:r>
            </w:hyperlink>
            <w:r>
              <w:t xml:space="preserve"> </w:t>
            </w:r>
          </w:p>
        </w:tc>
      </w:tr>
      <w:tr w:rsidR="00505454" w:rsidRPr="00276B41" w14:paraId="66ADC2EC" w14:textId="77777777">
        <w:tc>
          <w:tcPr>
            <w:tcW w:w="2653" w:type="dxa"/>
          </w:tcPr>
          <w:p w14:paraId="5FD1F4BA" w14:textId="77777777" w:rsidR="00505454" w:rsidRPr="0017683A" w:rsidRDefault="00505454">
            <w:pPr>
              <w:pStyle w:val="TableText"/>
            </w:pPr>
            <w:r w:rsidRPr="0017683A">
              <w:t>State Laws and Incentives</w:t>
            </w:r>
          </w:p>
        </w:tc>
        <w:tc>
          <w:tcPr>
            <w:tcW w:w="2832" w:type="dxa"/>
          </w:tcPr>
          <w:p w14:paraId="14A65AF1" w14:textId="77777777" w:rsidR="00505454" w:rsidRPr="0017683A" w:rsidRDefault="00505454">
            <w:pPr>
              <w:pStyle w:val="TableText"/>
            </w:pPr>
            <w:r w:rsidRPr="0017683A">
              <w:t>The Alternative Fuels Data Center</w:t>
            </w:r>
          </w:p>
        </w:tc>
        <w:tc>
          <w:tcPr>
            <w:tcW w:w="3865" w:type="dxa"/>
          </w:tcPr>
          <w:p w14:paraId="4CFB7B15" w14:textId="22989DCC" w:rsidR="00505454" w:rsidRPr="00276B41" w:rsidRDefault="00505454">
            <w:pPr>
              <w:pStyle w:val="TableText"/>
            </w:pPr>
            <w:hyperlink r:id="rId252" w:history="1">
              <w:r w:rsidRPr="00833189">
                <w:rPr>
                  <w:rStyle w:val="Hyperlink"/>
                </w:rPr>
                <w:t>https://afdc.energy.gov/laws/state</w:t>
              </w:r>
            </w:hyperlink>
            <w:r>
              <w:t xml:space="preserve"> </w:t>
            </w:r>
          </w:p>
        </w:tc>
      </w:tr>
    </w:tbl>
    <w:p w14:paraId="7F8FC120" w14:textId="4B69828D" w:rsidR="00B03F4A" w:rsidRDefault="00B03F4A" w:rsidP="001C7888">
      <w:pPr>
        <w:pStyle w:val="Heading2"/>
      </w:pPr>
      <w:bookmarkStart w:id="491" w:name="SectVI_1e"/>
      <w:bookmarkStart w:id="492" w:name="_Toc193116930"/>
      <w:bookmarkEnd w:id="491"/>
      <w:r>
        <w:t>Objective 1</w:t>
      </w:r>
      <w:r w:rsidR="003F1EE1">
        <w:t>e</w:t>
      </w:r>
      <w:r>
        <w:t xml:space="preserve">. </w:t>
      </w:r>
      <w:r w:rsidR="003F1EE1">
        <w:t>Provide Electric Vehicle Charging Stations for School Staff and Public Use</w:t>
      </w:r>
      <w:bookmarkEnd w:id="492"/>
    </w:p>
    <w:p w14:paraId="48EC379C" w14:textId="77777777" w:rsidR="00236FD3" w:rsidRDefault="00236FD3" w:rsidP="00236FD3">
      <w:pPr>
        <w:pStyle w:val="Heading3"/>
      </w:pPr>
      <w:r>
        <w:t>Methods and Best Practices</w:t>
      </w:r>
    </w:p>
    <w:p w14:paraId="291E2960" w14:textId="77777777" w:rsidR="00236FD3" w:rsidRDefault="00236FD3" w:rsidP="006D7DE6">
      <w:pPr>
        <w:pStyle w:val="BodyTextFirstIndent"/>
      </w:pPr>
      <w:r>
        <w:t xml:space="preserve">This section offers a discussion of </w:t>
      </w:r>
      <w:r w:rsidRPr="00926BF3">
        <w:t xml:space="preserve">methods and best practices for </w:t>
      </w:r>
      <w:r>
        <w:t xml:space="preserve">providing EV charging stations for school staff and public use related to planning, acquisition, and operations. </w:t>
      </w:r>
      <w:r w:rsidRPr="00926BF3">
        <w:t xml:space="preserve">Each of these methods and best practices are described in more detail below. </w:t>
      </w:r>
    </w:p>
    <w:p w14:paraId="05260937" w14:textId="77777777" w:rsidR="00236FD3" w:rsidRDefault="00236FD3" w:rsidP="00236FD3">
      <w:pPr>
        <w:pStyle w:val="Heading4"/>
      </w:pPr>
      <w:r>
        <w:t>Planning Considerations</w:t>
      </w:r>
    </w:p>
    <w:p w14:paraId="1F3C4572" w14:textId="77777777" w:rsidR="00236FD3" w:rsidRPr="00F81DCD" w:rsidRDefault="00236FD3" w:rsidP="006D7DE6">
      <w:pPr>
        <w:pStyle w:val="BodyTextFirstIndent"/>
      </w:pPr>
      <w:r>
        <w:t xml:space="preserve">When planning </w:t>
      </w:r>
      <w:r w:rsidRPr="002B398C">
        <w:t xml:space="preserve">the electrification of a fleet of school buses, schools should consider engaging with electric utility providers, </w:t>
      </w:r>
      <w:r>
        <w:t xml:space="preserve">confirming the onboard charger capacity of fleet vehicles, determining the charger rating needs of vehicles, </w:t>
      </w:r>
      <w:r w:rsidRPr="002B398C">
        <w:t xml:space="preserve">exploring </w:t>
      </w:r>
      <w:r>
        <w:t>V2G</w:t>
      </w:r>
      <w:r w:rsidRPr="002B398C">
        <w:t xml:space="preserve"> and </w:t>
      </w:r>
      <w:r>
        <w:t>V2L</w:t>
      </w:r>
      <w:r w:rsidRPr="002B398C">
        <w:t xml:space="preserve"> technology</w:t>
      </w:r>
      <w:r>
        <w:t xml:space="preserve">, utilizing networked and managed charging, evaluating parking locations of EVs, and exploring potential liability concerns. </w:t>
      </w:r>
      <w:r w:rsidRPr="002B398C">
        <w:t>These best practices are discussed in more detail below</w:t>
      </w:r>
      <w:r>
        <w:t>.</w:t>
      </w:r>
    </w:p>
    <w:p w14:paraId="6640DE4F" w14:textId="77777777" w:rsidR="00236FD3" w:rsidRPr="008E5487" w:rsidRDefault="00236FD3" w:rsidP="00236FD3">
      <w:pPr>
        <w:pStyle w:val="Heading5"/>
      </w:pPr>
      <w:r w:rsidRPr="008E5487">
        <w:t>(</w:t>
      </w:r>
      <w:r>
        <w:t>1</w:t>
      </w:r>
      <w:r w:rsidRPr="008E5487">
        <w:t xml:space="preserve">) Engage with the </w:t>
      </w:r>
      <w:r>
        <w:t>u</w:t>
      </w:r>
      <w:r w:rsidRPr="008E5487">
        <w:t xml:space="preserve">tility </w:t>
      </w:r>
      <w:r>
        <w:t>p</w:t>
      </w:r>
      <w:r w:rsidRPr="008E5487">
        <w:t xml:space="preserve">rovider </w:t>
      </w:r>
      <w:r>
        <w:t>e</w:t>
      </w:r>
      <w:r w:rsidRPr="008E5487">
        <w:t xml:space="preserve">arly and </w:t>
      </w:r>
      <w:r>
        <w:t>o</w:t>
      </w:r>
      <w:r w:rsidRPr="008E5487">
        <w:t xml:space="preserve">ften </w:t>
      </w:r>
    </w:p>
    <w:p w14:paraId="619D69DE" w14:textId="34E135FE" w:rsidR="00236FD3" w:rsidRPr="00C01C67" w:rsidRDefault="00236FD3" w:rsidP="006D7DE6">
      <w:pPr>
        <w:pStyle w:val="BodyTextFirstIndent"/>
      </w:pPr>
      <w:r w:rsidRPr="008E5487">
        <w:t xml:space="preserve">The electric utility provider is a key stakeholder in the EVSE installation process. It is best practice to reach out to a potential site’s utility provider before beginning the installation of the EV chargers. Communication with the electrical utility throughout the project period can </w:t>
      </w:r>
      <w:r w:rsidR="007C3AD1">
        <w:t xml:space="preserve">increase the </w:t>
      </w:r>
      <w:r w:rsidR="00373694">
        <w:t>likelihood</w:t>
      </w:r>
      <w:r w:rsidR="00016239">
        <w:t xml:space="preserve"> </w:t>
      </w:r>
      <w:r w:rsidRPr="008E5487">
        <w:t xml:space="preserve"> that permitting, construction, and commissioning deadlines are met. The utility provider should also be able to provide information on necessary site upgrades </w:t>
      </w:r>
      <w:r w:rsidR="00C41E94">
        <w:t>and</w:t>
      </w:r>
      <w:r w:rsidR="00C41E94" w:rsidRPr="008E5487">
        <w:t xml:space="preserve"> </w:t>
      </w:r>
      <w:r w:rsidRPr="008E5487">
        <w:t xml:space="preserve">whether </w:t>
      </w:r>
      <w:r w:rsidR="00C41E94">
        <w:t xml:space="preserve">or not </w:t>
      </w:r>
      <w:r w:rsidRPr="008E5487">
        <w:t>there are any incentive programs offered by the utility.</w:t>
      </w:r>
    </w:p>
    <w:p w14:paraId="6EF35C70" w14:textId="77777777" w:rsidR="00236FD3" w:rsidRPr="003028A1" w:rsidRDefault="00236FD3" w:rsidP="00236FD3">
      <w:pPr>
        <w:pStyle w:val="Heading5"/>
      </w:pPr>
      <w:r w:rsidRPr="003028A1">
        <w:t>(</w:t>
      </w:r>
      <w:r>
        <w:t>2</w:t>
      </w:r>
      <w:r w:rsidRPr="003028A1">
        <w:t xml:space="preserve">) </w:t>
      </w:r>
      <w:r>
        <w:t>Confirm</w:t>
      </w:r>
      <w:r w:rsidRPr="003028A1">
        <w:t xml:space="preserve"> </w:t>
      </w:r>
      <w:r>
        <w:t>the</w:t>
      </w:r>
      <w:r w:rsidRPr="003028A1">
        <w:t xml:space="preserve"> </w:t>
      </w:r>
      <w:r>
        <w:t>o</w:t>
      </w:r>
      <w:r w:rsidRPr="003028A1">
        <w:t xml:space="preserve">nboard </w:t>
      </w:r>
      <w:r>
        <w:t>c</w:t>
      </w:r>
      <w:r w:rsidRPr="003028A1">
        <w:t xml:space="preserve">harger </w:t>
      </w:r>
      <w:r>
        <w:t>c</w:t>
      </w:r>
      <w:r w:rsidRPr="003028A1">
        <w:t>apacity</w:t>
      </w:r>
      <w:r>
        <w:t xml:space="preserve"> of fleet vehicles</w:t>
      </w:r>
    </w:p>
    <w:p w14:paraId="092E1905" w14:textId="34D386C2" w:rsidR="00236FD3" w:rsidRDefault="00236FD3" w:rsidP="006D7DE6">
      <w:pPr>
        <w:pStyle w:val="BodyTextFirstIndent"/>
        <w:rPr>
          <w:rFonts w:cs="Arial"/>
          <w:bCs/>
        </w:rPr>
      </w:pPr>
      <w:r w:rsidRPr="003028A1">
        <w:rPr>
          <w:rStyle w:val="BodyTextFirstIndentChar"/>
        </w:rPr>
        <w:t xml:space="preserve">If an EV charger is being purchased to serve a particular vehicle or fleet, be sure that the vehicle’s onboard chargers can accept the energy output of the charger. If the </w:t>
      </w:r>
      <w:r w:rsidRPr="003028A1">
        <w:rPr>
          <w:rStyle w:val="BodyTextFirstIndentChar"/>
        </w:rPr>
        <w:lastRenderedPageBreak/>
        <w:t>output of the charger is greater than the capacity of the onboard charger, it is possible that the vehicle could encounter charging issues. The vehicle and charger OEM</w:t>
      </w:r>
      <w:r w:rsidR="00C41E94">
        <w:rPr>
          <w:rStyle w:val="BodyTextFirstIndentChar"/>
        </w:rPr>
        <w:t>s</w:t>
      </w:r>
      <w:r w:rsidRPr="003028A1">
        <w:rPr>
          <w:rStyle w:val="BodyTextFirstIndentChar"/>
        </w:rPr>
        <w:t xml:space="preserve"> may be able to confirm compatibility</w:t>
      </w:r>
      <w:r>
        <w:rPr>
          <w:rFonts w:cs="Arial"/>
          <w:bCs/>
        </w:rPr>
        <w:t>.</w:t>
      </w:r>
    </w:p>
    <w:p w14:paraId="488290AF" w14:textId="77777777" w:rsidR="00236FD3" w:rsidRPr="008E5487" w:rsidRDefault="00236FD3" w:rsidP="00236FD3">
      <w:pPr>
        <w:pStyle w:val="Heading5"/>
      </w:pPr>
      <w:r w:rsidRPr="008E5487">
        <w:t>(</w:t>
      </w:r>
      <w:r>
        <w:t>3</w:t>
      </w:r>
      <w:r w:rsidRPr="008E5487">
        <w:t xml:space="preserve">) Determine the </w:t>
      </w:r>
      <w:r>
        <w:t>c</w:t>
      </w:r>
      <w:r w:rsidRPr="008E5487">
        <w:t xml:space="preserve">harger </w:t>
      </w:r>
      <w:r>
        <w:t>r</w:t>
      </w:r>
      <w:r w:rsidRPr="008E5487">
        <w:t xml:space="preserve">ating </w:t>
      </w:r>
      <w:r>
        <w:t>n</w:t>
      </w:r>
      <w:r w:rsidRPr="008E5487">
        <w:t xml:space="preserve">eeds of </w:t>
      </w:r>
      <w:r>
        <w:t>v</w:t>
      </w:r>
      <w:r w:rsidRPr="008E5487">
        <w:t>ehicles</w:t>
      </w:r>
    </w:p>
    <w:p w14:paraId="53F5686F" w14:textId="77777777" w:rsidR="00236FD3" w:rsidRDefault="00236FD3" w:rsidP="006D7DE6">
      <w:pPr>
        <w:pStyle w:val="BodyTextFirstIndent"/>
      </w:pPr>
      <w:r w:rsidRPr="008E5487">
        <w:t>After deciding what vehicles will be using the EVSE, determine how much charging time the vehicles will need. It is important to match the charger power rating to the vehicle battery and vehicle downtime. In other words, do not default to DC fast chargers because they are faster if level 2 or even level 1 chargers can meet the charging needs. This is because higher-level chargers, especially DC fast chargers, are more expensive to procure, operate, and maintain than lower-level chargers.</w:t>
      </w:r>
    </w:p>
    <w:p w14:paraId="08B44285" w14:textId="77777777" w:rsidR="00236FD3" w:rsidRDefault="00236FD3" w:rsidP="00236FD3">
      <w:pPr>
        <w:pStyle w:val="Heading5"/>
      </w:pPr>
      <w:r w:rsidRPr="008E5487">
        <w:t>(</w:t>
      </w:r>
      <w:r>
        <w:t>4</w:t>
      </w:r>
      <w:r w:rsidRPr="008E5487">
        <w:t xml:space="preserve">) Explore </w:t>
      </w:r>
      <w:r>
        <w:t>V2G</w:t>
      </w:r>
      <w:r w:rsidRPr="00EA255F">
        <w:t xml:space="preserve"> </w:t>
      </w:r>
      <w:r>
        <w:t>and/</w:t>
      </w:r>
      <w:r w:rsidRPr="00EA255F">
        <w:t xml:space="preserve">or </w:t>
      </w:r>
      <w:r>
        <w:t>V2L</w:t>
      </w:r>
      <w:r w:rsidRPr="00EA255F">
        <w:t xml:space="preserve"> </w:t>
      </w:r>
      <w:r>
        <w:t>technology</w:t>
      </w:r>
    </w:p>
    <w:p w14:paraId="066893C7" w14:textId="77777777" w:rsidR="00236FD3" w:rsidRDefault="00236FD3" w:rsidP="006D7DE6">
      <w:pPr>
        <w:pStyle w:val="BodyTextFirstIndent"/>
      </w:pPr>
      <w:r w:rsidRPr="008E5487">
        <w:t>Consider whether your district will ever want to utilize V2G or V2L. V2G is the process of hooking up an electric vehicle’s battery to the electrical grid, presumably in an emergency scenario or when the grid cannot meet its demand. Some utility providers may pay for energy dispensed to the grid. Similarly, V2L involves connecting an EV battery to a load, such as a district building, and sending energy from the battery to the load.</w:t>
      </w:r>
    </w:p>
    <w:p w14:paraId="74F9FA41" w14:textId="77777777" w:rsidR="00236FD3" w:rsidRPr="008E5487" w:rsidRDefault="00236FD3" w:rsidP="00236FD3">
      <w:pPr>
        <w:pStyle w:val="Heading5"/>
      </w:pPr>
      <w:r w:rsidRPr="008E5487">
        <w:t>(</w:t>
      </w:r>
      <w:r>
        <w:t>5</w:t>
      </w:r>
      <w:r w:rsidRPr="008E5487">
        <w:t xml:space="preserve">) Utilize </w:t>
      </w:r>
      <w:r>
        <w:t>n</w:t>
      </w:r>
      <w:r w:rsidRPr="008E5487">
        <w:t xml:space="preserve">etworked and </w:t>
      </w:r>
      <w:r>
        <w:t>m</w:t>
      </w:r>
      <w:r w:rsidRPr="008E5487">
        <w:t xml:space="preserve">anaged </w:t>
      </w:r>
      <w:r>
        <w:t>c</w:t>
      </w:r>
      <w:r w:rsidRPr="008E5487">
        <w:t>harging</w:t>
      </w:r>
    </w:p>
    <w:p w14:paraId="35027BF6" w14:textId="77777777" w:rsidR="00236FD3" w:rsidRDefault="00236FD3" w:rsidP="006D7DE6">
      <w:pPr>
        <w:pStyle w:val="BodyTextFirstIndent"/>
        <w:rPr>
          <w:rFonts w:cs="Arial"/>
          <w:bCs/>
        </w:rPr>
      </w:pPr>
      <w:r w:rsidRPr="008E5487">
        <w:t xml:space="preserve">Networked chargers are EVSE that can </w:t>
      </w:r>
      <w:r>
        <w:t>connect (</w:t>
      </w:r>
      <w:r w:rsidRPr="008E5487">
        <w:t xml:space="preserve">wirelessly or through </w:t>
      </w:r>
      <w:r>
        <w:t xml:space="preserve">a </w:t>
      </w:r>
      <w:r w:rsidRPr="008E5487">
        <w:t>wired connection</w:t>
      </w:r>
      <w:r>
        <w:t>)</w:t>
      </w:r>
      <w:r w:rsidRPr="008E5487">
        <w:t xml:space="preserve"> to the internet. Networked chargers usually provide several unique benefits</w:t>
      </w:r>
      <w:r>
        <w:t>,</w:t>
      </w:r>
      <w:r w:rsidRPr="008E5487">
        <w:t xml:space="preserve"> such as the ability to collect charger data, see when a charger is down and what the issue is, schedule charging sessions, and easily contact the manufacturer. Included in the benefits of </w:t>
      </w:r>
      <w:r>
        <w:t xml:space="preserve">a </w:t>
      </w:r>
      <w:r w:rsidRPr="008E5487">
        <w:t>networked charger is managed charging</w:t>
      </w:r>
      <w:r>
        <w:t>, which</w:t>
      </w:r>
      <w:r w:rsidRPr="008E5487">
        <w:t xml:space="preserve"> allows operators to schedule stop and end times for charging sessions without </w:t>
      </w:r>
      <w:r>
        <w:t xml:space="preserve">staff </w:t>
      </w:r>
      <w:r w:rsidRPr="008E5487">
        <w:t xml:space="preserve">having to </w:t>
      </w:r>
      <w:r>
        <w:t>be</w:t>
      </w:r>
      <w:r w:rsidRPr="008E5487">
        <w:t xml:space="preserve"> on</w:t>
      </w:r>
      <w:r>
        <w:t xml:space="preserve"> </w:t>
      </w:r>
      <w:r w:rsidRPr="008E5487">
        <w:t>site to plug in and unplug the vehicle. Many use this feature to schedule charging sessions when electricity is comparatively cheaper, usually at night or in the early morning. Networked chargers require the purchase of an additional subscription.</w:t>
      </w:r>
    </w:p>
    <w:p w14:paraId="3B5A5905" w14:textId="77777777" w:rsidR="00236FD3" w:rsidRPr="007E32B1" w:rsidRDefault="00236FD3" w:rsidP="00236FD3">
      <w:pPr>
        <w:pStyle w:val="Heading5"/>
      </w:pPr>
      <w:r w:rsidRPr="007E32B1">
        <w:t>(</w:t>
      </w:r>
      <w:r>
        <w:t>6</w:t>
      </w:r>
      <w:r w:rsidRPr="007E32B1">
        <w:t xml:space="preserve">) </w:t>
      </w:r>
      <w:r>
        <w:t>Evaluate</w:t>
      </w:r>
      <w:r w:rsidRPr="007E32B1">
        <w:t xml:space="preserve"> </w:t>
      </w:r>
      <w:r>
        <w:t>p</w:t>
      </w:r>
      <w:r w:rsidRPr="007E32B1">
        <w:t>ark</w:t>
      </w:r>
      <w:r>
        <w:t>ing locations of EVs</w:t>
      </w:r>
    </w:p>
    <w:p w14:paraId="1415E7B1" w14:textId="5CCEDD36" w:rsidR="00236FD3" w:rsidRDefault="00767ABD" w:rsidP="006D7DE6">
      <w:pPr>
        <w:pStyle w:val="BodyTextFirstIndent"/>
      </w:pPr>
      <w:r>
        <w:t>Place</w:t>
      </w:r>
      <w:r w:rsidR="00236FD3">
        <w:t xml:space="preserve"> the charger </w:t>
      </w:r>
      <w:r w:rsidR="00A878D5">
        <w:t xml:space="preserve">in a location </w:t>
      </w:r>
      <w:r w:rsidR="00236FD3">
        <w:t xml:space="preserve">accessible to different vehicles without interrupting the flow of traffic. If the main use of the EVSE is to charge EVs owned by school staff members and the general public, be sure that parking spots in which EVSE is installed can comfortably fit a variety of light-duty vehicles. If the charger will mainly serve ESBs, situate the charger in a location that buses can easily access. Make a note of where the charge port is on the vehicle and </w:t>
      </w:r>
      <w:r w:rsidR="00373694">
        <w:t xml:space="preserve">place </w:t>
      </w:r>
      <w:r w:rsidR="00236FD3">
        <w:t>the charger in a location where the charging cable can reach the port.</w:t>
      </w:r>
    </w:p>
    <w:p w14:paraId="276620BB" w14:textId="77777777" w:rsidR="00236FD3" w:rsidRPr="008E5487" w:rsidRDefault="00236FD3" w:rsidP="00236FD3">
      <w:pPr>
        <w:pStyle w:val="Heading5"/>
      </w:pPr>
      <w:r w:rsidRPr="008E5487">
        <w:t>(</w:t>
      </w:r>
      <w:r>
        <w:t>7</w:t>
      </w:r>
      <w:r w:rsidRPr="008E5487">
        <w:t xml:space="preserve">) Explore </w:t>
      </w:r>
      <w:r>
        <w:t>potential l</w:t>
      </w:r>
      <w:r w:rsidRPr="008E5487">
        <w:t xml:space="preserve">iability </w:t>
      </w:r>
      <w:r>
        <w:t>c</w:t>
      </w:r>
      <w:r w:rsidRPr="008E5487">
        <w:t>oncerns</w:t>
      </w:r>
    </w:p>
    <w:p w14:paraId="14027EF4" w14:textId="77777777" w:rsidR="00236FD3" w:rsidRDefault="00236FD3" w:rsidP="006D7DE6">
      <w:pPr>
        <w:pStyle w:val="BodyTextFirstIndent"/>
      </w:pPr>
      <w:r w:rsidRPr="008E5487">
        <w:t xml:space="preserve">Some EV charger owners mandate that any vehicle </w:t>
      </w:r>
      <w:r>
        <w:t>using</w:t>
      </w:r>
      <w:r w:rsidRPr="008E5487">
        <w:t xml:space="preserve"> their equipment does so at their own risk and is liable for any issues that may arise from connecting to the charger. </w:t>
      </w:r>
      <w:r w:rsidRPr="008E5487">
        <w:lastRenderedPageBreak/>
        <w:t xml:space="preserve">This is particularly common with chargers that are made accessible at the workplace for </w:t>
      </w:r>
      <w:r>
        <w:t>staff members’</w:t>
      </w:r>
      <w:r w:rsidRPr="008E5487">
        <w:t xml:space="preserve"> personal vehicles. Districts should consider how to reduce their liability as charger owners.</w:t>
      </w:r>
    </w:p>
    <w:p w14:paraId="3ECD0206" w14:textId="77777777" w:rsidR="00236FD3" w:rsidRDefault="00236FD3" w:rsidP="00236FD3">
      <w:pPr>
        <w:pStyle w:val="Heading4"/>
      </w:pPr>
      <w:r>
        <w:t>EVSE Acquisition and Installation</w:t>
      </w:r>
    </w:p>
    <w:p w14:paraId="59D38089" w14:textId="77777777" w:rsidR="00236FD3" w:rsidRPr="00025067" w:rsidRDefault="00236FD3" w:rsidP="006D7DE6">
      <w:pPr>
        <w:pStyle w:val="BodyTextFirstIndent"/>
      </w:pPr>
      <w:r w:rsidRPr="00327523">
        <w:t>When acquiring EVSE, schools should consider leveraging available funding, planning for long lead times, deploying charger retractors, and purchasing charger warranties. These best practices are discussed in more detail below.</w:t>
      </w:r>
    </w:p>
    <w:p w14:paraId="21F6F83D" w14:textId="77777777" w:rsidR="00236FD3" w:rsidRPr="008E5487" w:rsidRDefault="00236FD3" w:rsidP="00236FD3">
      <w:pPr>
        <w:pStyle w:val="Heading5"/>
      </w:pPr>
      <w:r w:rsidRPr="008E5487">
        <w:t>(</w:t>
      </w:r>
      <w:r>
        <w:t>8</w:t>
      </w:r>
      <w:r w:rsidRPr="008E5487">
        <w:t xml:space="preserve">) Leverage </w:t>
      </w:r>
      <w:r>
        <w:t>available f</w:t>
      </w:r>
      <w:r w:rsidRPr="008E5487">
        <w:t xml:space="preserve">unding </w:t>
      </w:r>
      <w:r>
        <w:t>p</w:t>
      </w:r>
      <w:r w:rsidRPr="008E5487">
        <w:t>rograms</w:t>
      </w:r>
    </w:p>
    <w:p w14:paraId="1A9E084A" w14:textId="0B8F8977" w:rsidR="00236FD3" w:rsidRPr="008E5487" w:rsidRDefault="00236FD3" w:rsidP="006D7DE6">
      <w:pPr>
        <w:pStyle w:val="BodyTextFirstIndent"/>
      </w:pPr>
      <w:r w:rsidRPr="008E5487">
        <w:t xml:space="preserve">Take advantage of existing funding programs. Many funding opportunities for electric vehicles account for EVSE costs such as EPA’s </w:t>
      </w:r>
      <w:hyperlink r:id="rId253" w:history="1">
        <w:r w:rsidRPr="008E5487">
          <w:rPr>
            <w:rStyle w:val="Hyperlink"/>
          </w:rPr>
          <w:t>Clean School Bus Program</w:t>
        </w:r>
      </w:hyperlink>
      <w:r w:rsidRPr="008E5487">
        <w:t xml:space="preserve"> and the </w:t>
      </w:r>
      <w:hyperlink r:id="rId254" w:history="1">
        <w:r w:rsidRPr="008E5487">
          <w:rPr>
            <w:rStyle w:val="Hyperlink"/>
          </w:rPr>
          <w:t>Clean Heavy Duty Vehicle Program</w:t>
        </w:r>
      </w:hyperlink>
      <w:r w:rsidRPr="008E5487">
        <w:t xml:space="preserve">. Additionally, there are many EVSE-specific funding programs on the federal level such as the </w:t>
      </w:r>
      <w:hyperlink r:id="rId255" w:history="1">
        <w:r w:rsidRPr="008E5487">
          <w:rPr>
            <w:rStyle w:val="Hyperlink"/>
          </w:rPr>
          <w:t>National Electric Vehicle Infrastructure (NEVI) Formula Program</w:t>
        </w:r>
      </w:hyperlink>
      <w:r w:rsidRPr="008E5487">
        <w:t xml:space="preserve"> and </w:t>
      </w:r>
      <w:hyperlink r:id="rId256" w:history="1">
        <w:r w:rsidRPr="008E5487">
          <w:rPr>
            <w:rStyle w:val="Hyperlink"/>
          </w:rPr>
          <w:t>the Charging and Fueling Infrastructure (CFI) Grant Program</w:t>
        </w:r>
      </w:hyperlink>
      <w:r w:rsidRPr="008E5487">
        <w:t xml:space="preserve">. Locally, Massachusetts offers several EVSE incentive programs through the </w:t>
      </w:r>
      <w:hyperlink r:id="rId257" w:history="1">
        <w:r w:rsidRPr="008E5487">
          <w:rPr>
            <w:rStyle w:val="Hyperlink"/>
          </w:rPr>
          <w:t>Massachusetts Electric Vehicle Incentive Program (MassEVIP)</w:t>
        </w:r>
      </w:hyperlink>
      <w:r w:rsidRPr="008E5487">
        <w:t xml:space="preserve">. Look into these programs early in the EVSE exploration process to </w:t>
      </w:r>
      <w:r w:rsidR="00F35ABF">
        <w:t>verify</w:t>
      </w:r>
      <w:r w:rsidRPr="008E5487">
        <w:t xml:space="preserve"> that any district project can meet these program’s requirements. Finally, many electrical utility providers offer EVSE financing programs such as reduced electricity rates for EV charging and make-ready funding (funding devoted to upgrading site equipment and getting it ready to handle EV charging). </w:t>
      </w:r>
    </w:p>
    <w:p w14:paraId="3BB0C757" w14:textId="77777777" w:rsidR="00236FD3" w:rsidRPr="008E5487" w:rsidRDefault="00236FD3" w:rsidP="00236FD3">
      <w:pPr>
        <w:pStyle w:val="Heading5"/>
      </w:pPr>
      <w:r w:rsidRPr="008E5487">
        <w:t>(</w:t>
      </w:r>
      <w:r>
        <w:t>9</w:t>
      </w:r>
      <w:r w:rsidRPr="008E5487">
        <w:t xml:space="preserve">) Plan for </w:t>
      </w:r>
      <w:r>
        <w:t>l</w:t>
      </w:r>
      <w:r w:rsidRPr="008E5487">
        <w:t xml:space="preserve">ong </w:t>
      </w:r>
      <w:r>
        <w:t>l</w:t>
      </w:r>
      <w:r w:rsidRPr="008E5487">
        <w:t xml:space="preserve">ead </w:t>
      </w:r>
      <w:r>
        <w:t>t</w:t>
      </w:r>
      <w:r w:rsidRPr="008E5487">
        <w:t>imes</w:t>
      </w:r>
    </w:p>
    <w:p w14:paraId="07DC20E3" w14:textId="312197F8" w:rsidR="00236FD3" w:rsidRDefault="00236FD3" w:rsidP="006D7DE6">
      <w:pPr>
        <w:pStyle w:val="BodyTextFirstIndent"/>
      </w:pPr>
      <w:r w:rsidRPr="008E5487">
        <w:t xml:space="preserve">Lead times for EV chargers and their associated equipment can be unpredictable. Some Massachusetts-based projects have seen lead times for crucial equipment take </w:t>
      </w:r>
      <w:r>
        <w:t>six</w:t>
      </w:r>
      <w:r w:rsidRPr="008E5487">
        <w:t xml:space="preserve"> months.</w:t>
      </w:r>
      <w:r w:rsidRPr="008E5487">
        <w:fldChar w:fldCharType="begin"/>
      </w:r>
      <w:r w:rsidR="00271B81">
        <w:instrText xml:space="preserve"> ADDIN ZOTERO_ITEM CSL_CITATION {"citationID":"r0gip6WG","properties":{"formattedCitation":"\\super 267\\nosupersub{}","plainCitation":"267","noteIndex":0},"citationItems":[{"id":605,"uris":["http://zotero.org/groups/5563646/items/MYNA5FHX"],"itemData":{"id":605,"type":"document","title":"ERG's work with Massachusetts districts on ESB adoption"}}],"schema":"https://github.com/citation-style-language/schema/raw/master/csl-citation.json"} </w:instrText>
      </w:r>
      <w:r w:rsidRPr="008E5487">
        <w:fldChar w:fldCharType="separate"/>
      </w:r>
      <w:r w:rsidR="00271B81" w:rsidRPr="00271B81">
        <w:rPr>
          <w:rFonts w:cs="Arial"/>
          <w:vertAlign w:val="superscript"/>
        </w:rPr>
        <w:t>267</w:t>
      </w:r>
      <w:r w:rsidRPr="008E5487">
        <w:fldChar w:fldCharType="end"/>
      </w:r>
      <w:r w:rsidRPr="008E5487">
        <w:t xml:space="preserve"> This is why it is important to reach out to manufacturers early in the process and prepare for components to take a while to be delivered.</w:t>
      </w:r>
    </w:p>
    <w:p w14:paraId="22E6547F" w14:textId="77777777" w:rsidR="00236FD3" w:rsidRPr="008E5487" w:rsidRDefault="00236FD3" w:rsidP="00236FD3">
      <w:pPr>
        <w:pStyle w:val="Heading5"/>
      </w:pPr>
      <w:r w:rsidRPr="008E5487">
        <w:t>(</w:t>
      </w:r>
      <w:r>
        <w:t>10</w:t>
      </w:r>
      <w:r w:rsidRPr="008E5487">
        <w:t xml:space="preserve">) Deploy </w:t>
      </w:r>
      <w:r>
        <w:t>c</w:t>
      </w:r>
      <w:r w:rsidRPr="008E5487">
        <w:t xml:space="preserve">harger </w:t>
      </w:r>
      <w:r>
        <w:t>r</w:t>
      </w:r>
      <w:r w:rsidRPr="008E5487">
        <w:t>etractors</w:t>
      </w:r>
    </w:p>
    <w:p w14:paraId="7944502B" w14:textId="77777777" w:rsidR="00236FD3" w:rsidRDefault="00236FD3" w:rsidP="006D7DE6">
      <w:pPr>
        <w:pStyle w:val="BodyTextFirstIndent"/>
      </w:pPr>
      <w:r w:rsidRPr="008E5487">
        <w:t>As previously mentioned, it is important to replace a charger cord at the end of the charging session. Failing to do so may lead to a vehicle unknowingly running over the charger’s cord or head. This</w:t>
      </w:r>
      <w:r>
        <w:t>,</w:t>
      </w:r>
      <w:r w:rsidRPr="008E5487">
        <w:t xml:space="preserve"> in turn</w:t>
      </w:r>
      <w:r>
        <w:t>,</w:t>
      </w:r>
      <w:r w:rsidRPr="008E5487">
        <w:t xml:space="preserve"> can damage the charger and potentially put it out of service. To address this issue, many EVSE owners opt for cord retractors</w:t>
      </w:r>
      <w:r>
        <w:t>,</w:t>
      </w:r>
      <w:r w:rsidRPr="008E5487">
        <w:t xml:space="preserve"> which automatically pull the cord and head back to the charger body after it has been unplugged from a vehicle.</w:t>
      </w:r>
    </w:p>
    <w:p w14:paraId="4CC47F20" w14:textId="77777777" w:rsidR="00236FD3" w:rsidRPr="008E5487" w:rsidRDefault="00236FD3" w:rsidP="00236FD3">
      <w:pPr>
        <w:pStyle w:val="Heading5"/>
      </w:pPr>
      <w:r w:rsidRPr="008E5487">
        <w:t>(1</w:t>
      </w:r>
      <w:r>
        <w:t>1</w:t>
      </w:r>
      <w:r w:rsidRPr="008E5487">
        <w:t xml:space="preserve">) Purchase </w:t>
      </w:r>
      <w:r>
        <w:t>c</w:t>
      </w:r>
      <w:r w:rsidRPr="008E5487">
        <w:t xml:space="preserve">harger </w:t>
      </w:r>
      <w:r>
        <w:t>w</w:t>
      </w:r>
      <w:r w:rsidRPr="008E5487">
        <w:t>arrant</w:t>
      </w:r>
      <w:r>
        <w:t>ies</w:t>
      </w:r>
    </w:p>
    <w:p w14:paraId="294DD20E" w14:textId="4EFAE6EC" w:rsidR="00236FD3" w:rsidRDefault="00236FD3" w:rsidP="006D7DE6">
      <w:pPr>
        <w:pStyle w:val="BodyTextFirstIndent"/>
      </w:pPr>
      <w:r w:rsidRPr="008E5487">
        <w:t>EV chargers can be</w:t>
      </w:r>
      <w:r>
        <w:t>,</w:t>
      </w:r>
      <w:r w:rsidRPr="008E5487">
        <w:t xml:space="preserve"> at times</w:t>
      </w:r>
      <w:r>
        <w:t>,</w:t>
      </w:r>
      <w:r w:rsidRPr="008E5487">
        <w:t xml:space="preserve"> expensive or burdensome to repair. Warranties can help alleviate some of the cost. Districts should consider warranties with a high percentage uptime guarantee. An uptime guarantee is when the manufacturer guarantees that a charger will be operational a certain percentage of the time. While charger warranties vary by charger and warranty type, estimates suggest that an extended warranty for a </w:t>
      </w:r>
      <w:r w:rsidRPr="008E5487">
        <w:lastRenderedPageBreak/>
        <w:t>DC fast charger can be over $800 a year.</w:t>
      </w:r>
      <w:r w:rsidRPr="008E5487">
        <w:fldChar w:fldCharType="begin"/>
      </w:r>
      <w:r w:rsidR="005E170D">
        <w:instrText xml:space="preserve"> ADDIN ZOTERO_ITEM CSL_CITATION {"citationID":"a18gppmmgms","properties":{"formattedCitation":"\\super 268\\nosupersub{}","plainCitation":"268","noteIndex":0},"citationItems":[{"id":849,"uris":["http://zotero.org/groups/5563646/items/G7IKB28J"],"itemData":{"id":849,"type":"webpage","container-title":"Department of Energy: Alternative Fuels Data Center","language":"en","title":"Operation and Maintenance for Electric Vehicle Charging Infrastructure","title-short":"Alternative Fuels Data Center","URL":"https://afdc.energy.gov/fuels/electricity-infrastructure-maintenance-and-operation","accessed":{"date-parts":[["2024",7,24]]}}}],"schema":"https://github.com/citation-style-language/schema/raw/master/csl-citation.json"} </w:instrText>
      </w:r>
      <w:r w:rsidRPr="008E5487">
        <w:fldChar w:fldCharType="separate"/>
      </w:r>
      <w:r w:rsidR="005E170D" w:rsidRPr="005E170D">
        <w:rPr>
          <w:rFonts w:cs="Arial"/>
          <w:vertAlign w:val="superscript"/>
        </w:rPr>
        <w:t>268</w:t>
      </w:r>
      <w:r w:rsidRPr="008E5487">
        <w:fldChar w:fldCharType="end"/>
      </w:r>
      <w:r w:rsidRPr="008E5487">
        <w:t xml:space="preserve"> It is important that after a warranty is purchased, proper documentation is kept to </w:t>
      </w:r>
      <w:r w:rsidR="00F35ABF">
        <w:t>confirm</w:t>
      </w:r>
      <w:r w:rsidR="00F35ABF" w:rsidRPr="008E5487">
        <w:t xml:space="preserve"> </w:t>
      </w:r>
      <w:r w:rsidRPr="008E5487">
        <w:t>all warranty requirements are met so that the manufacturer honors the warranty.</w:t>
      </w:r>
    </w:p>
    <w:p w14:paraId="29803E5A" w14:textId="77777777" w:rsidR="00236FD3" w:rsidRDefault="00236FD3" w:rsidP="00236FD3">
      <w:pPr>
        <w:pStyle w:val="Heading4"/>
      </w:pPr>
      <w:r>
        <w:t>Operations and Maintenance</w:t>
      </w:r>
    </w:p>
    <w:p w14:paraId="37E4BF50" w14:textId="77777777" w:rsidR="00236FD3" w:rsidRPr="00327523" w:rsidRDefault="00236FD3" w:rsidP="006D7DE6">
      <w:pPr>
        <w:pStyle w:val="BodyTextFirstIndent"/>
      </w:pPr>
      <w:r>
        <w:t xml:space="preserve">To optimize EV charging operations, </w:t>
      </w:r>
      <w:r w:rsidRPr="00F81DCD">
        <w:t xml:space="preserve">schools should consider </w:t>
      </w:r>
      <w:r>
        <w:t>developing a maintenance plan and creating expectations for charger use etiquette. Both of these best practices are discussed in more detail below.</w:t>
      </w:r>
    </w:p>
    <w:p w14:paraId="5D8C37E1" w14:textId="77777777" w:rsidR="00236FD3" w:rsidRPr="008E5487" w:rsidRDefault="00236FD3" w:rsidP="00236FD3">
      <w:pPr>
        <w:pStyle w:val="Heading5"/>
      </w:pPr>
      <w:r w:rsidRPr="008E5487">
        <w:t>(</w:t>
      </w:r>
      <w:r>
        <w:t>12</w:t>
      </w:r>
      <w:r w:rsidRPr="008E5487">
        <w:t xml:space="preserve">) Develop a </w:t>
      </w:r>
      <w:r>
        <w:t>m</w:t>
      </w:r>
      <w:r w:rsidRPr="008E5487">
        <w:t xml:space="preserve">aintenance </w:t>
      </w:r>
      <w:r>
        <w:t>p</w:t>
      </w:r>
      <w:r w:rsidRPr="008E5487">
        <w:t>lan</w:t>
      </w:r>
    </w:p>
    <w:p w14:paraId="67488814" w14:textId="10DF0EEC" w:rsidR="00236FD3" w:rsidRPr="00035036" w:rsidRDefault="00236FD3" w:rsidP="006D7DE6">
      <w:pPr>
        <w:pStyle w:val="BodyTextFirstIndent"/>
      </w:pPr>
      <w:r w:rsidRPr="008E5487">
        <w:t xml:space="preserve">Before purchasing a charger, </w:t>
      </w:r>
      <w:r w:rsidR="00F35ABF">
        <w:t>verify</w:t>
      </w:r>
      <w:r w:rsidR="00F35ABF" w:rsidRPr="008E5487">
        <w:t xml:space="preserve"> </w:t>
      </w:r>
      <w:r w:rsidRPr="008E5487">
        <w:t>that the OEM or an associated entity can provide service to it locally. There are limits to what an OEM can do to troubleshoot a charger over the phone or over the internet. If the charger OEM cannot provide service, it is important to explore other maintenance options</w:t>
      </w:r>
      <w:r>
        <w:t>,</w:t>
      </w:r>
      <w:r w:rsidRPr="008E5487">
        <w:t xml:space="preserve"> such as local electricians who have been certified to work on EVSE. It is crucial to develop a maintenance plan </w:t>
      </w:r>
      <w:r>
        <w:t>since</w:t>
      </w:r>
      <w:r w:rsidRPr="008E5487">
        <w:t xml:space="preserve"> having access to an in-person technician can significantly reduce the downtime of a broken charger.</w:t>
      </w:r>
    </w:p>
    <w:p w14:paraId="64996332" w14:textId="77777777" w:rsidR="00236FD3" w:rsidRPr="008E5487" w:rsidRDefault="00236FD3" w:rsidP="00236FD3">
      <w:pPr>
        <w:pStyle w:val="Heading5"/>
      </w:pPr>
      <w:r w:rsidRPr="008E5487">
        <w:t>(</w:t>
      </w:r>
      <w:r>
        <w:t>1</w:t>
      </w:r>
      <w:r w:rsidRPr="008E5487">
        <w:t xml:space="preserve">3) Create </w:t>
      </w:r>
      <w:r>
        <w:t>e</w:t>
      </w:r>
      <w:r w:rsidRPr="008E5487">
        <w:t xml:space="preserve">xpectations for </w:t>
      </w:r>
      <w:r>
        <w:t>c</w:t>
      </w:r>
      <w:r w:rsidRPr="008E5487">
        <w:t xml:space="preserve">harger </w:t>
      </w:r>
      <w:r>
        <w:t>use e</w:t>
      </w:r>
      <w:r w:rsidRPr="008E5487">
        <w:t>tiquette</w:t>
      </w:r>
    </w:p>
    <w:p w14:paraId="6B7F5FA3" w14:textId="77777777" w:rsidR="00236FD3" w:rsidRPr="008E5487" w:rsidRDefault="00236FD3" w:rsidP="006D7DE6">
      <w:pPr>
        <w:pStyle w:val="BodyTextFirstIndent"/>
      </w:pPr>
      <w:r w:rsidRPr="008E5487">
        <w:t xml:space="preserve">If charger usage is granted to district staff and the public, it will be important to create expectations for its usage. This includes replacing the charger cord at the end of a charging session and not occupying the charger beyond the time it takes to charge a vehicle. Creating these expectations will help keep the charger cord from being damaged and allow for more people to access the charger. Additionally, many charger operators choose to limit charger availability to certain times of the day. This allows the district to avoid charger usage during times of high electrical demand. </w:t>
      </w:r>
    </w:p>
    <w:p w14:paraId="2245ED70" w14:textId="77777777" w:rsidR="00976BAA" w:rsidRDefault="00976BAA" w:rsidP="00976BAA">
      <w:pPr>
        <w:pStyle w:val="Heading3"/>
      </w:pPr>
      <w:r>
        <w:t>Statutes, Regulations, and Standards</w:t>
      </w:r>
    </w:p>
    <w:p w14:paraId="6FB2B874" w14:textId="77777777" w:rsidR="00976BAA" w:rsidRPr="00D6663B" w:rsidRDefault="00976BAA" w:rsidP="006D7DE6">
      <w:pPr>
        <w:pStyle w:val="BodyTextFirstIndent"/>
      </w:pPr>
      <w:r>
        <w:t>Statutes, regulations, and standards that include a focus on EVSE are detailed below.</w:t>
      </w:r>
    </w:p>
    <w:p w14:paraId="365B2105" w14:textId="77777777" w:rsidR="00976BAA" w:rsidRDefault="00976BAA" w:rsidP="00976BAA">
      <w:pPr>
        <w:pStyle w:val="Heading4"/>
      </w:pPr>
      <w:r>
        <w:t>Relevant Statutes</w:t>
      </w:r>
    </w:p>
    <w:p w14:paraId="610E7F6D" w14:textId="19C97286" w:rsidR="00976BAA" w:rsidRDefault="00976BAA" w:rsidP="006D7DE6">
      <w:pPr>
        <w:pStyle w:val="BodyTextFirstIndent"/>
        <w:rPr>
          <w:b/>
        </w:rPr>
      </w:pPr>
      <w:r>
        <w:rPr>
          <w:b/>
        </w:rPr>
        <w:t>Act of 2021,</w:t>
      </w:r>
      <w:r w:rsidRPr="008A4B6F">
        <w:rPr>
          <w:b/>
        </w:rPr>
        <w:t> Chapter 8, Section 49, 2021</w:t>
      </w:r>
      <w:r w:rsidRPr="008A4B6F">
        <w:t xml:space="preserve"> requires that all EV charging stations meet certain energy efficiency requirements that are set by DOER.</w:t>
      </w:r>
      <w:r w:rsidR="00FD319D">
        <w:fldChar w:fldCharType="begin"/>
      </w:r>
      <w:r w:rsidR="00282119">
        <w:instrText xml:space="preserve"> ADDIN ZOTERO_ITEM CSL_CITATION {"citationID":"a148ivq13lc","properties":{"formattedCitation":"\\super 225\\nosupersub{}","plainCitation":"225","noteIndex":0},"citationItems":[{"id":1160,"uris":["http://zotero.org/groups/5563646/items/J4PQJVW6"],"itemData":{"id":1160,"type":"legislation","title":"Acts of 2021, Chapter 8: An Act Creating a Next-Generation Roadmap for Massachusetts Climate Policy","URL":"https://malegislature.gov/Laws/SessionLaws/Acts/2021/Chapter8","accessed":{"date-parts":[["2024",12,4]]},"issued":{"date-parts":[["2021"]]}}}],"schema":"https://github.com/citation-style-language/schema/raw/master/csl-citation.json"} </w:instrText>
      </w:r>
      <w:r w:rsidR="00FD319D">
        <w:fldChar w:fldCharType="separate"/>
      </w:r>
      <w:r w:rsidR="00282119" w:rsidRPr="00282119">
        <w:rPr>
          <w:rFonts w:cs="Arial"/>
          <w:vertAlign w:val="superscript"/>
        </w:rPr>
        <w:t>225</w:t>
      </w:r>
      <w:r w:rsidR="00FD319D">
        <w:fldChar w:fldCharType="end"/>
      </w:r>
    </w:p>
    <w:p w14:paraId="043B64CC" w14:textId="5A5E2FA9" w:rsidR="00976BAA" w:rsidRDefault="00976BAA" w:rsidP="006D7DE6">
      <w:pPr>
        <w:pStyle w:val="BodyTextFirstIndent"/>
        <w:rPr>
          <w:b/>
        </w:rPr>
      </w:pPr>
      <w:r>
        <w:rPr>
          <w:b/>
        </w:rPr>
        <w:t>M.G.L.</w:t>
      </w:r>
      <w:r w:rsidRPr="00D4379B">
        <w:rPr>
          <w:b/>
        </w:rPr>
        <w:t xml:space="preserve"> </w:t>
      </w:r>
      <w:r>
        <w:rPr>
          <w:b/>
        </w:rPr>
        <w:t>c.</w:t>
      </w:r>
      <w:r w:rsidRPr="00D4379B">
        <w:rPr>
          <w:b/>
        </w:rPr>
        <w:t xml:space="preserve"> 25A, Section 16B-16E</w:t>
      </w:r>
      <w:r>
        <w:t xml:space="preserve"> determines that the owners and operators of public EV charging stations that require payment must allow for publicly accessible payment options.</w:t>
      </w:r>
      <w:r w:rsidR="000D76CD">
        <w:fldChar w:fldCharType="begin"/>
      </w:r>
      <w:r w:rsidR="002D100A">
        <w:instrText xml:space="preserve"> ADDIN ZOTERO_ITEM CSL_CITATION {"citationID":"a1btg0eebq0","properties":{"formattedCitation":"\\super 269\\nosupersub{}","plainCitation":"269","noteIndex":0},"citationItems":[{"id":1128,"uris":["http://zotero.org/groups/5563646/items/44ECXKCI"],"itemData":{"id":1128,"type":"legislation","container-title":"M.G.L. c. 25A","section":"16B-16E","title":"Public Electrical Vehicle Charging Stations","URL":"https://malegislature.gov/Laws/GeneralLaws/PartI/TitleII/Chapter25A/Section16"}}],"schema":"https://github.com/citation-style-language/schema/raw/master/csl-citation.json"} </w:instrText>
      </w:r>
      <w:r w:rsidR="000D76CD">
        <w:fldChar w:fldCharType="separate"/>
      </w:r>
      <w:r w:rsidR="002D100A" w:rsidRPr="002D100A">
        <w:rPr>
          <w:rFonts w:cs="Arial"/>
          <w:vertAlign w:val="superscript"/>
        </w:rPr>
        <w:t>269</w:t>
      </w:r>
      <w:r w:rsidR="000D76CD">
        <w:fldChar w:fldCharType="end"/>
      </w:r>
      <w:r>
        <w:t xml:space="preserve"> This means that the charger cannot require a subscription fee or a membership. Information on the charger (including the location, payment methods, hours of access, etc.) must be shared with the DOE</w:t>
      </w:r>
      <w:r w:rsidRPr="00DA38C7">
        <w:t>’s Alternative Fuels Data Center.</w:t>
      </w:r>
    </w:p>
    <w:p w14:paraId="7596A4AC" w14:textId="2FBB17A1" w:rsidR="00976BAA" w:rsidRDefault="00976BAA" w:rsidP="006D7DE6">
      <w:pPr>
        <w:pStyle w:val="BodyTextFirstIndent"/>
        <w:rPr>
          <w:b/>
        </w:rPr>
      </w:pPr>
      <w:r w:rsidRPr="00E3189B">
        <w:rPr>
          <w:b/>
        </w:rPr>
        <w:t>Build America Buy America (BABA)</w:t>
      </w:r>
      <w:r>
        <w:rPr>
          <w:b/>
        </w:rPr>
        <w:t xml:space="preserve"> Act</w:t>
      </w:r>
      <w:r w:rsidRPr="00E3189B">
        <w:t xml:space="preserve"> governs certain purchases made with federal funding. </w:t>
      </w:r>
      <w:r>
        <w:t>Enacted in 2021, t</w:t>
      </w:r>
      <w:r w:rsidRPr="00E3189B">
        <w:t>he BABA Act</w:t>
      </w:r>
      <w:r w:rsidRPr="00E3189B">
        <w:rPr>
          <w:b/>
        </w:rPr>
        <w:t xml:space="preserve"> </w:t>
      </w:r>
      <w:r w:rsidRPr="00E3189B">
        <w:t xml:space="preserve">requires that federally funded infrastructure projects use domestically produced iron, steel, manufactured products, </w:t>
      </w:r>
      <w:r w:rsidRPr="00E3189B">
        <w:lastRenderedPageBreak/>
        <w:t>and construction materials.</w:t>
      </w:r>
      <w:r w:rsidRPr="00E3189B">
        <w:fldChar w:fldCharType="begin"/>
      </w:r>
      <w:r w:rsidR="007C2D4B">
        <w:instrText xml:space="preserve"> ADDIN ZOTERO_ITEM CSL_CITATION {"citationID":"KObnH3kH","properties":{"formattedCitation":"\\super 270\\nosupersub{}","plainCitation":"270","noteIndex":0},"citationItems":[{"id":624,"uris":["http://zotero.org/groups/5563646/items/LA8J9K4J"],"itemData":{"id":624,"type":"webpage","container-title":"USDA Rural Development","language":"en","note":"Last Modified: 2023-04-17T10:01:32-0400","title":"Build America, Buy America Act","URL":"https://www.rd.usda.gov/build-america-buy-america","accessed":{"date-parts":[["2024",7,17]]},"issued":{"date-parts":[["2023",1,4]]}}}],"schema":"https://github.com/citation-style-language/schema/raw/master/csl-citation.json"} </w:instrText>
      </w:r>
      <w:r w:rsidRPr="00E3189B">
        <w:fldChar w:fldCharType="separate"/>
      </w:r>
      <w:r w:rsidR="007C2D4B" w:rsidRPr="007C2D4B">
        <w:rPr>
          <w:rFonts w:cs="Arial"/>
          <w:vertAlign w:val="superscript"/>
        </w:rPr>
        <w:t>270</w:t>
      </w:r>
      <w:r w:rsidRPr="00E3189B">
        <w:fldChar w:fldCharType="end"/>
      </w:r>
      <w:r w:rsidRPr="00E3189B">
        <w:t xml:space="preserve"> Previously, EPA had issued a waiver for EV chargers that were assembled in the United States.</w:t>
      </w:r>
      <w:r w:rsidRPr="00E3189B">
        <w:rPr>
          <w:vertAlign w:val="superscript"/>
        </w:rPr>
        <w:t>119</w:t>
      </w:r>
      <w:r w:rsidRPr="00E3189B">
        <w:t xml:space="preserve"> </w:t>
      </w:r>
      <w:r>
        <w:t>O</w:t>
      </w:r>
      <w:r w:rsidRPr="00E3189B">
        <w:t>n July</w:t>
      </w:r>
      <w:r>
        <w:t xml:space="preserve"> 1,</w:t>
      </w:r>
      <w:r>
        <w:rPr>
          <w:vertAlign w:val="superscript"/>
        </w:rPr>
        <w:t xml:space="preserve"> </w:t>
      </w:r>
      <w:r w:rsidRPr="00E3189B">
        <w:t>2024,</w:t>
      </w:r>
      <w:r>
        <w:t xml:space="preserve"> however,</w:t>
      </w:r>
      <w:r w:rsidRPr="00E3189B">
        <w:t xml:space="preserve"> th</w:t>
      </w:r>
      <w:r>
        <w:t>is</w:t>
      </w:r>
      <w:r w:rsidRPr="00E3189B">
        <w:t xml:space="preserve"> waiver expired</w:t>
      </w:r>
      <w:r>
        <w:t>,</w:t>
      </w:r>
      <w:r w:rsidRPr="00E3189B">
        <w:t xml:space="preserve"> </w:t>
      </w:r>
      <w:r>
        <w:t>and</w:t>
      </w:r>
      <w:r w:rsidRPr="00E3189B">
        <w:t xml:space="preserve"> EV chargers </w:t>
      </w:r>
      <w:r>
        <w:t xml:space="preserve">are once again subject </w:t>
      </w:r>
      <w:r w:rsidRPr="00E3189B">
        <w:t xml:space="preserve">to BABA </w:t>
      </w:r>
      <w:r>
        <w:t xml:space="preserve">Act </w:t>
      </w:r>
      <w:r w:rsidRPr="00E3189B">
        <w:t>requirements.</w:t>
      </w:r>
    </w:p>
    <w:p w14:paraId="2F384E06" w14:textId="77777777" w:rsidR="00976BAA" w:rsidRDefault="00976BAA" w:rsidP="00976BAA">
      <w:pPr>
        <w:pStyle w:val="Heading4"/>
      </w:pPr>
      <w:r>
        <w:t>Relevant Standards and Other Requirements</w:t>
      </w:r>
    </w:p>
    <w:p w14:paraId="1E16199E" w14:textId="3DBF4A22" w:rsidR="00976BAA" w:rsidRDefault="00976BAA" w:rsidP="006D7DE6">
      <w:pPr>
        <w:pStyle w:val="BodyTextFirstIndent"/>
      </w:pPr>
      <w:r>
        <w:rPr>
          <w:b/>
        </w:rPr>
        <w:t>Data Collection Requirements:</w:t>
      </w:r>
      <w:r>
        <w:t xml:space="preserve"> Some EVSE funding programs include requirements for the recipient to collect and report data. When applying to an EVSE funding program, schools should verify if the program requires the charger to collect and submit data. For example, the Department of Transportation’s </w:t>
      </w:r>
      <w:r w:rsidRPr="00A37600">
        <w:t>NEVI</w:t>
      </w:r>
      <w:r>
        <w:t xml:space="preserve"> Formula Program lists the collection of data from a national network of chargers as a primary program objective.</w:t>
      </w:r>
      <w:r>
        <w:fldChar w:fldCharType="begin"/>
      </w:r>
      <w:r w:rsidR="00E73FFE">
        <w:instrText xml:space="preserve"> ADDIN ZOTERO_ITEM CSL_CITATION {"citationID":"jHTViBC7","properties":{"formattedCitation":"\\super 271\\nosupersub{}","plainCitation":"271","noteIndex":0},"citationItems":[{"id":616,"uris":["http://zotero.org/groups/5563646/items/AG2ULAJ8"],"itemData":{"id":616,"type":"webpage","container-title":"Federal Highway Administration","title":"Bipartisan Infrastructure Law - National Electric Vehicle Infrastructure (NEVI) Formula Program Fact Sheet | Federal Highway Administration","URL":"https://www.fhwa.dot.gov/bipartisan-infrastructure-law/nevi_formula_program.cfm","accessed":{"date-parts":[["2024",7,17]]},"issued":{"date-parts":[["2022",2,10]]}}}],"schema":"https://github.com/citation-style-language/schema/raw/master/csl-citation.json"} </w:instrText>
      </w:r>
      <w:r>
        <w:fldChar w:fldCharType="separate"/>
      </w:r>
      <w:r w:rsidR="00E73FFE" w:rsidRPr="00E73FFE">
        <w:rPr>
          <w:rFonts w:cs="Arial"/>
          <w:sz w:val="22"/>
          <w:vertAlign w:val="superscript"/>
        </w:rPr>
        <w:t>271</w:t>
      </w:r>
      <w:r>
        <w:fldChar w:fldCharType="end"/>
      </w:r>
      <w:r>
        <w:t xml:space="preserve"> Chargers will need to be networked to collect data. Districts should be informed of the additional costs and benefits of networked chargers.</w:t>
      </w:r>
    </w:p>
    <w:p w14:paraId="50E18948" w14:textId="400CF7E0" w:rsidR="00976BAA" w:rsidRPr="00A37600" w:rsidRDefault="00723316" w:rsidP="006D7DE6">
      <w:pPr>
        <w:pStyle w:val="BodyTextFirstIndent"/>
      </w:pPr>
      <w:r w:rsidRPr="00A942D5">
        <w:rPr>
          <w:bCs/>
        </w:rPr>
        <w:t xml:space="preserve">The </w:t>
      </w:r>
      <w:r w:rsidR="00976BAA" w:rsidRPr="00CB0B8B">
        <w:rPr>
          <w:b/>
        </w:rPr>
        <w:t>EVITP</w:t>
      </w:r>
      <w:r w:rsidR="00976BAA">
        <w:t xml:space="preserve"> established a 20-hour training program provided exclusively to certified electricians.</w:t>
      </w:r>
      <w:r w:rsidR="00976BAA">
        <w:fldChar w:fldCharType="begin"/>
      </w:r>
      <w:r w:rsidR="00005492">
        <w:instrText xml:space="preserve"> ADDIN ZOTERO_ITEM CSL_CITATION {"citationID":"zDVaK5Yo","properties":{"formattedCitation":"\\super 272\\nosupersub{}","plainCitation":"272","noteIndex":0},"citationItems":[{"id":620,"uris":["http://zotero.org/groups/5563646/items/LCDEBS39"],"itemData":{"id":620,"type":"webpage","container-title":"Electric Vehicle Infrastructure Training Program (EVITP)","title":"Training | EVITP","URL":"https://evitp.org/training/","accessed":{"date-parts":[["2024",7,17]]}}}],"schema":"https://github.com/citation-style-language/schema/raw/master/csl-citation.json"} </w:instrText>
      </w:r>
      <w:r w:rsidR="00976BAA">
        <w:fldChar w:fldCharType="separate"/>
      </w:r>
      <w:r w:rsidR="00005492" w:rsidRPr="00005492">
        <w:rPr>
          <w:rFonts w:cs="Arial"/>
          <w:sz w:val="22"/>
          <w:vertAlign w:val="superscript"/>
        </w:rPr>
        <w:t>272</w:t>
      </w:r>
      <w:r w:rsidR="00976BAA">
        <w:fldChar w:fldCharType="end"/>
      </w:r>
      <w:r w:rsidR="00976BAA">
        <w:t xml:space="preserve"> This training program has become an industry standard with many federal and state funding programs. For example, </w:t>
      </w:r>
      <w:r w:rsidR="00976BAA" w:rsidRPr="00A37600">
        <w:t>the NEVI</w:t>
      </w:r>
      <w:r w:rsidR="00976BAA">
        <w:t xml:space="preserve"> Formula Program requires that all electricians who work on program-funded projects be certified under </w:t>
      </w:r>
      <w:r w:rsidR="00976BAA" w:rsidRPr="00471C6A">
        <w:t>EVITP</w:t>
      </w:r>
      <w:r w:rsidR="00976BAA">
        <w:t>.</w:t>
      </w:r>
      <w:r w:rsidR="00976BAA">
        <w:fldChar w:fldCharType="begin"/>
      </w:r>
      <w:r w:rsidR="002A4B73">
        <w:instrText xml:space="preserve"> ADDIN ZOTERO_ITEM CSL_CITATION {"citationID":"JYrGyFWo","properties":{"formattedCitation":"\\super 273\\nosupersub{}","plainCitation":"273","noteIndex":0},"citationItems":[{"id":621,"uris":["http://zotero.org/groups/5563646/items/QDFSRYS8"],"itemData":{"id":621,"type":"webpage","container-title":"U.S. Department of Energy","language":"en","title":"Alternative Fuels Data Center: National Electric Vehicle Infrastructure (NEVI) Formula Program","title-short":"Alternative Fuels Data Center","URL":"https://afdc.energy.gov/laws/12744","accessed":{"date-parts":[["2024",7,17]]}}}],"schema":"https://github.com/citation-style-language/schema/raw/master/csl-citation.json"} </w:instrText>
      </w:r>
      <w:r w:rsidR="00976BAA">
        <w:fldChar w:fldCharType="separate"/>
      </w:r>
      <w:r w:rsidR="002A4B73" w:rsidRPr="002A4B73">
        <w:rPr>
          <w:rFonts w:cs="Arial"/>
          <w:sz w:val="22"/>
          <w:vertAlign w:val="superscript"/>
        </w:rPr>
        <w:t>273</w:t>
      </w:r>
      <w:r w:rsidR="00976BAA">
        <w:fldChar w:fldCharType="end"/>
      </w:r>
      <w:r w:rsidR="00976BAA" w:rsidRPr="000F2FEB">
        <w:t xml:space="preserve"> </w:t>
      </w:r>
    </w:p>
    <w:p w14:paraId="775C628C" w14:textId="59D30D1C" w:rsidR="00976BAA" w:rsidRPr="00FA4805" w:rsidRDefault="00976BAA" w:rsidP="006D7DE6">
      <w:pPr>
        <w:pStyle w:val="BodyTextFirstIndent"/>
      </w:pPr>
      <w:r>
        <w:rPr>
          <w:b/>
        </w:rPr>
        <w:t xml:space="preserve">MassEVIP </w:t>
      </w:r>
      <w:r w:rsidRPr="00DE721D">
        <w:rPr>
          <w:b/>
        </w:rPr>
        <w:t>Availability Requirements:</w:t>
      </w:r>
      <w:r>
        <w:t xml:space="preserve"> EVSE installed using funding from MassEVIP</w:t>
      </w:r>
      <w:r w:rsidRPr="001716B2">
        <w:t xml:space="preserve"> </w:t>
      </w:r>
      <w:r>
        <w:t>must be publicly available for at least 12 hours a day.</w:t>
      </w:r>
      <w:r>
        <w:fldChar w:fldCharType="begin"/>
      </w:r>
      <w:r w:rsidR="008638F3">
        <w:instrText xml:space="preserve"> ADDIN ZOTERO_ITEM CSL_CITATION {"citationID":"87bqKOjh","properties":{"formattedCitation":"\\super 274\\nosupersub{}","plainCitation":"274","noteIndex":0},"citationItems":[{"id":615,"uris":["http://zotero.org/groups/5563646/items/XGNNX87P"],"itemData":{"id":615,"type":"webpage","container-title":"U.S. Department of Energy","language":"en","title":"Alternative Fuels Data Center: Public Access Electric Vehicle (EV) Charging Station Grants","title-short":"Alternative Fuels Data Center","URL":"https://afdc.energy.gov/laws/12159","accessed":{"date-parts":[["2024",7,17]]}}}],"schema":"https://github.com/citation-style-language/schema/raw/master/csl-citation.json"} </w:instrText>
      </w:r>
      <w:r>
        <w:fldChar w:fldCharType="separate"/>
      </w:r>
      <w:r w:rsidR="008638F3" w:rsidRPr="008638F3">
        <w:rPr>
          <w:rFonts w:cs="Arial"/>
          <w:sz w:val="22"/>
          <w:vertAlign w:val="superscript"/>
        </w:rPr>
        <w:t>274</w:t>
      </w:r>
      <w:r>
        <w:fldChar w:fldCharType="end"/>
      </w:r>
      <w:r>
        <w:t xml:space="preserve"> There are similar requirements for the federal CFI Grant Program, which mandates that all chargers must be publicly accessible. This is notable for districts who want to access EVSE funding but do not want to make charger use available to the general public. </w:t>
      </w:r>
    </w:p>
    <w:p w14:paraId="2E3D9B6F" w14:textId="2128861C" w:rsidR="00976BAA" w:rsidRPr="00F956BC" w:rsidRDefault="00976BAA" w:rsidP="006D7DE6">
      <w:pPr>
        <w:pStyle w:val="BodyTextFirstIndent"/>
      </w:pPr>
      <w:r w:rsidRPr="00AB3A1E">
        <w:rPr>
          <w:b/>
        </w:rPr>
        <w:t xml:space="preserve">Open Charge </w:t>
      </w:r>
      <w:r>
        <w:rPr>
          <w:b/>
        </w:rPr>
        <w:t>Point Protocol</w:t>
      </w:r>
      <w:r w:rsidRPr="00AB3A1E">
        <w:rPr>
          <w:b/>
        </w:rPr>
        <w:t xml:space="preserve"> (OCPP)</w:t>
      </w:r>
      <w:r>
        <w:rPr>
          <w:b/>
        </w:rPr>
        <w:t xml:space="preserve">: </w:t>
      </w:r>
      <w:r>
        <w:t>This protocol is growing in popularity and governs “networked” chargers. EV chargers that are considered networked can connect to the internet and other chargers on the same network. Typically, these chargers can share information that non-networked chargers cannot track, such as error codes and usage data. A networked charger will usually require a subscription to a charger network provider. OCPP-compliant chargers allow charger owners to easily change charging network providers without having to replace the equipment itself.</w:t>
      </w:r>
      <w:r>
        <w:fldChar w:fldCharType="begin"/>
      </w:r>
      <w:r w:rsidR="006B72A0">
        <w:instrText xml:space="preserve"> ADDIN ZOTERO_ITEM CSL_CITATION {"citationID":"OFcnXmax","properties":{"formattedCitation":"\\super 275\\nosupersub{}","plainCitation":"275","noteIndex":0},"citationItems":[{"id":619,"uris":["http://zotero.org/groups/5563646/items/V37WHJD4"],"itemData":{"id":619,"type":"webpage","abstract":"Together we define the future of EV charging. Join the Open Charge Alliance and be at the forefront with OCPP &amp; OSCP.","container-title":"Open Charge Alliance","language":"en-US","title":"Open Charge Alliance - Connecting the EV charging industry","URL":"https://openchargealliance.org/","accessed":{"date-parts":[["2024",7,17]]}}}],"schema":"https://github.com/citation-style-language/schema/raw/master/csl-citation.json"} </w:instrText>
      </w:r>
      <w:r>
        <w:fldChar w:fldCharType="separate"/>
      </w:r>
      <w:r w:rsidR="006B72A0" w:rsidRPr="006B72A0">
        <w:rPr>
          <w:rFonts w:cs="Arial"/>
          <w:sz w:val="22"/>
          <w:vertAlign w:val="superscript"/>
        </w:rPr>
        <w:t>275</w:t>
      </w:r>
      <w:r>
        <w:fldChar w:fldCharType="end"/>
      </w:r>
      <w:r>
        <w:t xml:space="preserve"> Prominent federal and state funding programs such as the NEVI Formula Program and CFI Grant Program require EVSE funded through their programs to be OCPP-compliant.</w:t>
      </w:r>
      <w:r>
        <w:fldChar w:fldCharType="begin"/>
      </w:r>
      <w:r w:rsidR="006C6DD9">
        <w:instrText xml:space="preserve"> ADDIN ZOTERO_ITEM CSL_CITATION {"citationID":"khPbyeSM","properties":{"formattedCitation":"\\super 276,277\\nosupersub{}","plainCitation":"276,277","noteIndex":0},"citationItems":[{"id":618,"uris":["http://zotero.org/groups/5563646/items/HX49QG7S"],"itemData":{"id":618,"type":"webpage","abstract":"This final rule establishes regulations setting minimum standards and requirements for projects funded under the National Electric Vehicle Infrastructure (NEVI) Formula Program and projects for the construction of publicly accessible electric vehicle (EV) chargers under certain statutory...","container-title":"Federal Register","language":"en","title":"National Electric Vehicle Infrastructure Standards and Requirements","URL":"https://www.federalregister.gov/documents/2023/02/28/2023-03500/national-electric-vehicle-infrastructure-standards-and-requirements","accessed":{"date-parts":[["2024",7,17]]},"issued":{"date-parts":[["2023",2,28]]}}},{"id":617,"uris":["http://zotero.org/groups/5563646/items/RR3PSQGV"],"itemData":{"id":617,"type":"post-weblog","abstract":"Want to secure CFI funding for your EV charging projects? Here’s everything you need to know about the program and how SWTCH can help you apply for funding today.","container-title":"SWTCH | Electric Vehicle (EV) Charging Solution","language":"en-CA","note":"section: Incentives","title":"How to secure EV charger funding through the Charging and Fueling Infrastructure (CFI) Program","URL":"https://swtchenergy.com/how-to-secure-ev-charger-funding-through-the-charging-and-fueling-infrastructure-cfi-program/","accessed":{"date-parts":[["2024",7,17]]},"issued":{"date-parts":[["2024",6,26]]}}}],"schema":"https://github.com/citation-style-language/schema/raw/master/csl-citation.json"} </w:instrText>
      </w:r>
      <w:r>
        <w:fldChar w:fldCharType="separate"/>
      </w:r>
      <w:r w:rsidR="006C6DD9" w:rsidRPr="006C6DD9">
        <w:rPr>
          <w:rFonts w:cs="Arial"/>
          <w:sz w:val="22"/>
          <w:vertAlign w:val="superscript"/>
        </w:rPr>
        <w:t>276,277</w:t>
      </w:r>
      <w:r>
        <w:fldChar w:fldCharType="end"/>
      </w:r>
    </w:p>
    <w:p w14:paraId="0C80AD7F" w14:textId="1DDFA2ED" w:rsidR="00976BAA" w:rsidRDefault="00976BAA" w:rsidP="006D7DE6">
      <w:pPr>
        <w:pStyle w:val="BodyTextFirstIndent"/>
      </w:pPr>
      <w:r>
        <w:fldChar w:fldCharType="begin"/>
      </w:r>
      <w:r>
        <w:instrText xml:space="preserve"> REF _Ref172750075 \h </w:instrText>
      </w:r>
      <w:r>
        <w:fldChar w:fldCharType="separate"/>
      </w:r>
      <w:r w:rsidR="00307850">
        <w:t xml:space="preserve">Table </w:t>
      </w:r>
      <w:r w:rsidR="00307850">
        <w:rPr>
          <w:noProof/>
        </w:rPr>
        <w:t>54</w:t>
      </w:r>
      <w:r>
        <w:fldChar w:fldCharType="end"/>
      </w:r>
      <w:r>
        <w:t xml:space="preserve"> summarizes the statutes, regulations, and performance standards related to installing EV chargers at schools. </w:t>
      </w:r>
    </w:p>
    <w:p w14:paraId="3F8C8F25" w14:textId="50137A9B" w:rsidR="00976BAA" w:rsidRDefault="00976BAA" w:rsidP="00B30C96">
      <w:pPr>
        <w:pStyle w:val="Caption"/>
      </w:pPr>
      <w:bookmarkStart w:id="493" w:name="_Ref172750075"/>
      <w:bookmarkStart w:id="494" w:name="_Toc192711720"/>
      <w:bookmarkStart w:id="495" w:name="_Toc193112602"/>
      <w:bookmarkStart w:id="496" w:name="_Toc193117001"/>
      <w:r>
        <w:lastRenderedPageBreak/>
        <w:t xml:space="preserve">Table </w:t>
      </w:r>
      <w:fldSimple w:instr=" SEQ Table \* ARABIC ">
        <w:r w:rsidR="00307850">
          <w:rPr>
            <w:noProof/>
          </w:rPr>
          <w:t>54</w:t>
        </w:r>
      </w:fldSimple>
      <w:bookmarkEnd w:id="493"/>
      <w:r>
        <w:t xml:space="preserve">. Statutory/Regulatory Framework and Notable Standards for </w:t>
      </w:r>
      <w:r w:rsidRPr="000D3F1F">
        <w:t>Provid</w:t>
      </w:r>
      <w:r>
        <w:t>ing</w:t>
      </w:r>
      <w:r w:rsidRPr="000D3F1F">
        <w:t xml:space="preserve"> Electric Vehicle Charging Stations for School Staff and Public Use</w:t>
      </w:r>
      <w:bookmarkEnd w:id="494"/>
      <w:bookmarkEnd w:id="495"/>
      <w:bookmarkEnd w:id="496"/>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oviding Electric Vehicle Charging Stations for School Staff and Public Use "/>
      </w:tblPr>
      <w:tblGrid>
        <w:gridCol w:w="6023"/>
        <w:gridCol w:w="1109"/>
        <w:gridCol w:w="1109"/>
        <w:gridCol w:w="1109"/>
      </w:tblGrid>
      <w:tr w:rsidR="00976BAA" w:rsidRPr="00C8094D" w14:paraId="2A31C22F" w14:textId="77777777">
        <w:trPr>
          <w:cantSplit/>
          <w:trHeight w:val="1709"/>
          <w:tblHeader/>
          <w:jc w:val="center"/>
        </w:trPr>
        <w:tc>
          <w:tcPr>
            <w:tcW w:w="3221"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0E5C4627" w14:textId="77777777" w:rsidR="00976BAA" w:rsidRDefault="00976BAA">
            <w:pPr>
              <w:pStyle w:val="TableColumnHeader"/>
            </w:pPr>
            <w:r>
              <w:t>Statute/Regulation/Standard</w:t>
            </w:r>
          </w:p>
        </w:tc>
        <w:tc>
          <w:tcPr>
            <w:tcW w:w="593"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04FBF321" w14:textId="77777777" w:rsidR="00976BAA" w:rsidRDefault="00976BAA">
            <w:pPr>
              <w:pStyle w:val="TableColumnHeader"/>
              <w:jc w:val="left"/>
            </w:pPr>
            <w:r>
              <w:t>State</w:t>
            </w:r>
            <w:r w:rsidRPr="00E11392">
              <w:t xml:space="preserve"> Statute/ Regulation</w:t>
            </w:r>
          </w:p>
        </w:tc>
        <w:tc>
          <w:tcPr>
            <w:tcW w:w="593"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50AAEBDD" w14:textId="77777777" w:rsidR="00976BAA" w:rsidRDefault="00976BAA">
            <w:pPr>
              <w:pStyle w:val="TableColumnHeader"/>
              <w:jc w:val="left"/>
            </w:pPr>
            <w:r>
              <w:t>Other</w:t>
            </w:r>
            <w:r w:rsidRPr="00E11392">
              <w:t xml:space="preserve"> Statute/ Regulation</w:t>
            </w:r>
          </w:p>
        </w:tc>
        <w:tc>
          <w:tcPr>
            <w:tcW w:w="593"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82763F0" w14:textId="77777777" w:rsidR="00976BAA" w:rsidRDefault="00976BAA">
            <w:pPr>
              <w:pStyle w:val="TableColumnHeader"/>
              <w:jc w:val="left"/>
            </w:pPr>
            <w:r w:rsidRPr="00E11392">
              <w:t>Standard</w:t>
            </w:r>
            <w:r>
              <w:t>s/ Other Requirements</w:t>
            </w:r>
          </w:p>
        </w:tc>
      </w:tr>
      <w:tr w:rsidR="00976BAA" w:rsidRPr="00C8094D" w14:paraId="7E5C81E5"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1F3504D" w14:textId="77777777" w:rsidR="00976BAA" w:rsidRPr="00592C22" w:rsidRDefault="00976BAA">
            <w:pPr>
              <w:pStyle w:val="TableRowHeader"/>
            </w:pPr>
            <w:r>
              <w:t>Statutes</w:t>
            </w:r>
          </w:p>
        </w:tc>
      </w:tr>
      <w:tr w:rsidR="00976BAA" w:rsidRPr="00C8094D" w14:paraId="7711AF61"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3DF02BEC" w14:textId="77777777" w:rsidR="00976BAA" w:rsidRPr="00691D5F" w:rsidRDefault="00976BAA">
            <w:pPr>
              <w:pStyle w:val="TableText"/>
            </w:pPr>
            <w:r w:rsidRPr="009C2D46">
              <w:t>Act of 2021, Chapter 8, Section 49, 2021</w:t>
            </w:r>
          </w:p>
        </w:tc>
        <w:tc>
          <w:tcPr>
            <w:tcW w:w="593" w:type="pct"/>
            <w:tcBorders>
              <w:top w:val="nil"/>
              <w:left w:val="single" w:sz="4" w:space="0" w:color="auto"/>
              <w:bottom w:val="single" w:sz="4" w:space="0" w:color="auto"/>
              <w:right w:val="single" w:sz="4" w:space="0" w:color="auto"/>
            </w:tcBorders>
            <w:shd w:val="clear" w:color="auto" w:fill="auto"/>
            <w:vAlign w:val="center"/>
          </w:tcPr>
          <w:p w14:paraId="41D1CEC8" w14:textId="77777777" w:rsidR="00976BAA" w:rsidRPr="00BD03C4" w:rsidRDefault="00976BAA">
            <w:pPr>
              <w:pStyle w:val="TableText"/>
              <w:jc w:val="center"/>
              <w:rPr>
                <w:b/>
                <w:bCs/>
                <w:color w:val="00B050"/>
              </w:rPr>
            </w:pPr>
            <w:r w:rsidRPr="00BD03C4">
              <w:rPr>
                <w:b/>
                <w:bCs/>
                <w:color w:val="00B050"/>
              </w:rPr>
              <w:t>X</w:t>
            </w:r>
          </w:p>
        </w:tc>
        <w:tc>
          <w:tcPr>
            <w:tcW w:w="593" w:type="pct"/>
            <w:tcBorders>
              <w:top w:val="nil"/>
              <w:left w:val="single" w:sz="4" w:space="0" w:color="auto"/>
              <w:bottom w:val="single" w:sz="4" w:space="0" w:color="auto"/>
              <w:right w:val="single" w:sz="4" w:space="0" w:color="auto"/>
            </w:tcBorders>
            <w:shd w:val="clear" w:color="auto" w:fill="auto"/>
            <w:vAlign w:val="center"/>
          </w:tcPr>
          <w:p w14:paraId="28F6A487" w14:textId="77777777" w:rsidR="00976BAA" w:rsidRPr="00BD03C4" w:rsidRDefault="00976BAA">
            <w:pPr>
              <w:pStyle w:val="TableText"/>
              <w:jc w:val="center"/>
              <w:rPr>
                <w:b/>
                <w:bCs/>
                <w:color w:val="00B050"/>
              </w:rPr>
            </w:pPr>
          </w:p>
        </w:tc>
        <w:tc>
          <w:tcPr>
            <w:tcW w:w="593" w:type="pct"/>
            <w:tcBorders>
              <w:top w:val="nil"/>
              <w:left w:val="single" w:sz="4" w:space="0" w:color="auto"/>
              <w:bottom w:val="single" w:sz="4" w:space="0" w:color="auto"/>
              <w:right w:val="single" w:sz="4" w:space="0" w:color="auto"/>
            </w:tcBorders>
            <w:shd w:val="clear" w:color="auto" w:fill="auto"/>
            <w:vAlign w:val="center"/>
          </w:tcPr>
          <w:p w14:paraId="191288AA" w14:textId="77777777" w:rsidR="00976BAA" w:rsidRPr="00BD03C4" w:rsidRDefault="00976BAA">
            <w:pPr>
              <w:pStyle w:val="TableText"/>
              <w:jc w:val="center"/>
              <w:rPr>
                <w:b/>
                <w:bCs/>
              </w:rPr>
            </w:pPr>
          </w:p>
        </w:tc>
      </w:tr>
      <w:tr w:rsidR="00976BAA" w:rsidRPr="00C8094D" w14:paraId="51FF1DFE"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7C822355" w14:textId="77777777" w:rsidR="00976BAA" w:rsidRPr="00CB0B8B" w:rsidRDefault="00976BAA">
            <w:pPr>
              <w:pStyle w:val="TableText"/>
            </w:pPr>
            <w:r w:rsidRPr="00691D5F">
              <w:t>M.G.L. c. 25A, Section 16B-16E</w:t>
            </w:r>
          </w:p>
        </w:tc>
        <w:tc>
          <w:tcPr>
            <w:tcW w:w="593" w:type="pct"/>
            <w:tcBorders>
              <w:top w:val="nil"/>
              <w:left w:val="single" w:sz="4" w:space="0" w:color="auto"/>
              <w:bottom w:val="single" w:sz="4" w:space="0" w:color="auto"/>
              <w:right w:val="single" w:sz="4" w:space="0" w:color="auto"/>
            </w:tcBorders>
            <w:shd w:val="clear" w:color="auto" w:fill="auto"/>
            <w:vAlign w:val="center"/>
          </w:tcPr>
          <w:p w14:paraId="279260E7" w14:textId="77777777" w:rsidR="00976BAA" w:rsidRPr="00BD03C4" w:rsidRDefault="00976BAA">
            <w:pPr>
              <w:pStyle w:val="TableText"/>
              <w:jc w:val="center"/>
              <w:rPr>
                <w:b/>
                <w:bCs/>
                <w:color w:val="00B050"/>
              </w:rPr>
            </w:pPr>
            <w:r w:rsidRPr="00BD03C4">
              <w:rPr>
                <w:b/>
                <w:bCs/>
                <w:color w:val="00B050"/>
              </w:rPr>
              <w:t>X</w:t>
            </w:r>
          </w:p>
        </w:tc>
        <w:tc>
          <w:tcPr>
            <w:tcW w:w="593" w:type="pct"/>
            <w:tcBorders>
              <w:top w:val="nil"/>
              <w:left w:val="single" w:sz="4" w:space="0" w:color="auto"/>
              <w:bottom w:val="single" w:sz="4" w:space="0" w:color="auto"/>
              <w:right w:val="single" w:sz="4" w:space="0" w:color="auto"/>
            </w:tcBorders>
            <w:shd w:val="clear" w:color="auto" w:fill="auto"/>
            <w:vAlign w:val="center"/>
          </w:tcPr>
          <w:p w14:paraId="359C3C7C" w14:textId="77777777" w:rsidR="00976BAA" w:rsidRPr="00BD03C4" w:rsidRDefault="00976BAA">
            <w:pPr>
              <w:pStyle w:val="TableText"/>
              <w:jc w:val="center"/>
              <w:rPr>
                <w:b/>
                <w:bCs/>
                <w:color w:val="00B050"/>
              </w:rPr>
            </w:pPr>
          </w:p>
        </w:tc>
        <w:tc>
          <w:tcPr>
            <w:tcW w:w="593" w:type="pct"/>
            <w:tcBorders>
              <w:top w:val="nil"/>
              <w:left w:val="single" w:sz="4" w:space="0" w:color="auto"/>
              <w:bottom w:val="single" w:sz="4" w:space="0" w:color="auto"/>
              <w:right w:val="single" w:sz="4" w:space="0" w:color="auto"/>
            </w:tcBorders>
            <w:shd w:val="clear" w:color="auto" w:fill="auto"/>
            <w:vAlign w:val="center"/>
          </w:tcPr>
          <w:p w14:paraId="45C92E39" w14:textId="77777777" w:rsidR="00976BAA" w:rsidRPr="00BD03C4" w:rsidRDefault="00976BAA">
            <w:pPr>
              <w:pStyle w:val="TableText"/>
              <w:jc w:val="center"/>
              <w:rPr>
                <w:b/>
                <w:bCs/>
              </w:rPr>
            </w:pPr>
          </w:p>
        </w:tc>
      </w:tr>
      <w:tr w:rsidR="00976BAA" w:rsidRPr="00C8094D" w14:paraId="378E5E50"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432E7895" w14:textId="77777777" w:rsidR="00976BAA" w:rsidRPr="009C2D46" w:rsidRDefault="00976BAA">
            <w:pPr>
              <w:pStyle w:val="TableText"/>
            </w:pPr>
            <w:r w:rsidRPr="00CB0B8B">
              <w:t xml:space="preserve">Build America Buy America </w:t>
            </w:r>
            <w:r>
              <w:t>Act</w:t>
            </w:r>
          </w:p>
        </w:tc>
        <w:tc>
          <w:tcPr>
            <w:tcW w:w="593" w:type="pct"/>
            <w:tcBorders>
              <w:top w:val="nil"/>
              <w:left w:val="single" w:sz="4" w:space="0" w:color="auto"/>
              <w:bottom w:val="single" w:sz="4" w:space="0" w:color="auto"/>
              <w:right w:val="single" w:sz="4" w:space="0" w:color="auto"/>
            </w:tcBorders>
            <w:shd w:val="clear" w:color="auto" w:fill="auto"/>
            <w:vAlign w:val="center"/>
          </w:tcPr>
          <w:p w14:paraId="68D4C7C4" w14:textId="77777777" w:rsidR="00976BAA" w:rsidRPr="00BD03C4" w:rsidRDefault="00976BAA">
            <w:pPr>
              <w:pStyle w:val="TableText"/>
              <w:jc w:val="center"/>
              <w:rPr>
                <w:b/>
                <w:bCs/>
                <w:color w:val="00B050"/>
              </w:rPr>
            </w:pPr>
          </w:p>
        </w:tc>
        <w:tc>
          <w:tcPr>
            <w:tcW w:w="593" w:type="pct"/>
            <w:tcBorders>
              <w:top w:val="nil"/>
              <w:left w:val="single" w:sz="4" w:space="0" w:color="auto"/>
              <w:bottom w:val="single" w:sz="4" w:space="0" w:color="auto"/>
              <w:right w:val="single" w:sz="4" w:space="0" w:color="auto"/>
            </w:tcBorders>
            <w:shd w:val="clear" w:color="auto" w:fill="auto"/>
            <w:vAlign w:val="center"/>
          </w:tcPr>
          <w:p w14:paraId="460089A9" w14:textId="77777777" w:rsidR="00976BAA" w:rsidRPr="00BD03C4" w:rsidRDefault="00976BAA">
            <w:pPr>
              <w:pStyle w:val="TableText"/>
              <w:jc w:val="center"/>
              <w:rPr>
                <w:b/>
                <w:bCs/>
                <w:color w:val="00B050"/>
              </w:rPr>
            </w:pPr>
            <w:r w:rsidRPr="00BD03C4">
              <w:rPr>
                <w:b/>
                <w:bCs/>
                <w:color w:val="00B050"/>
              </w:rPr>
              <w:t>X</w:t>
            </w:r>
          </w:p>
        </w:tc>
        <w:tc>
          <w:tcPr>
            <w:tcW w:w="593" w:type="pct"/>
            <w:tcBorders>
              <w:top w:val="nil"/>
              <w:left w:val="single" w:sz="4" w:space="0" w:color="auto"/>
              <w:bottom w:val="single" w:sz="4" w:space="0" w:color="auto"/>
              <w:right w:val="single" w:sz="4" w:space="0" w:color="auto"/>
            </w:tcBorders>
            <w:shd w:val="clear" w:color="auto" w:fill="auto"/>
            <w:vAlign w:val="center"/>
          </w:tcPr>
          <w:p w14:paraId="1DAE01F9" w14:textId="77777777" w:rsidR="00976BAA" w:rsidRPr="00BD03C4" w:rsidRDefault="00976BAA">
            <w:pPr>
              <w:pStyle w:val="TableText"/>
              <w:jc w:val="center"/>
              <w:rPr>
                <w:b/>
                <w:bCs/>
              </w:rPr>
            </w:pPr>
          </w:p>
        </w:tc>
      </w:tr>
      <w:tr w:rsidR="00976BAA" w:rsidRPr="00C8094D" w14:paraId="7BDFA15A"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6BC4E705" w14:textId="77777777" w:rsidR="00976BAA" w:rsidRPr="00BD03C4" w:rsidRDefault="00976BAA">
            <w:pPr>
              <w:pStyle w:val="TableRowHeader"/>
              <w:jc w:val="both"/>
            </w:pPr>
            <w:r>
              <w:t>St</w:t>
            </w:r>
            <w:r w:rsidRPr="00BD03C4">
              <w:t>andards</w:t>
            </w:r>
            <w:r>
              <w:t>/Other Requirements</w:t>
            </w:r>
          </w:p>
        </w:tc>
      </w:tr>
      <w:tr w:rsidR="00976BAA" w:rsidRPr="00C8094D" w14:paraId="64713CA4"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4D3DE152" w14:textId="77777777" w:rsidR="00976BAA" w:rsidRDefault="00976BAA">
            <w:pPr>
              <w:pStyle w:val="TableText"/>
            </w:pPr>
            <w:r>
              <w:t>Data Collection Requirements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9F9E8B8"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361C431"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8B0747A" w14:textId="77777777" w:rsidR="00976BAA" w:rsidRPr="00BD03C4" w:rsidRDefault="00976BAA">
            <w:pPr>
              <w:pStyle w:val="TableText"/>
              <w:jc w:val="center"/>
              <w:rPr>
                <w:b/>
                <w:bCs/>
                <w:color w:val="00B050"/>
              </w:rPr>
            </w:pPr>
            <w:r w:rsidRPr="00BD03C4">
              <w:rPr>
                <w:b/>
                <w:bCs/>
                <w:color w:val="00B050"/>
              </w:rPr>
              <w:t>X</w:t>
            </w:r>
          </w:p>
        </w:tc>
      </w:tr>
      <w:tr w:rsidR="00976BAA" w:rsidRPr="00C8094D" w14:paraId="37E2D3D8"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673054FD" w14:textId="0C728DED" w:rsidR="00976BAA" w:rsidRPr="00CB0B8B" w:rsidRDefault="00976BAA">
            <w:pPr>
              <w:pStyle w:val="TableText"/>
            </w:pPr>
            <w:r w:rsidRPr="00CB0B8B">
              <w:t>EVITP</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4395FF3"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822D8A6"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BDE3D50" w14:textId="77777777" w:rsidR="00976BAA" w:rsidRPr="00BD03C4" w:rsidRDefault="00976BAA">
            <w:pPr>
              <w:pStyle w:val="TableText"/>
              <w:jc w:val="center"/>
              <w:rPr>
                <w:b/>
                <w:bCs/>
                <w:color w:val="00B050"/>
              </w:rPr>
            </w:pPr>
            <w:r w:rsidRPr="00BD03C4">
              <w:rPr>
                <w:b/>
                <w:bCs/>
                <w:color w:val="00B050"/>
              </w:rPr>
              <w:t>X</w:t>
            </w:r>
          </w:p>
        </w:tc>
      </w:tr>
      <w:tr w:rsidR="00976BAA" w:rsidRPr="00C8094D" w14:paraId="1990D4F3"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13E5DEA3" w14:textId="77777777" w:rsidR="00976BAA" w:rsidRPr="00CB0B8B" w:rsidRDefault="00976BAA">
            <w:pPr>
              <w:pStyle w:val="TableText"/>
            </w:pPr>
            <w:r w:rsidRPr="00CA1637">
              <w:t>MassEVIP Availability Requirements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49ACC88"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1A57BE2"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48E7E51" w14:textId="77777777" w:rsidR="00976BAA" w:rsidRPr="00BD03C4" w:rsidRDefault="00976BAA">
            <w:pPr>
              <w:pStyle w:val="TableText"/>
              <w:jc w:val="center"/>
              <w:rPr>
                <w:b/>
                <w:bCs/>
                <w:color w:val="00B050"/>
              </w:rPr>
            </w:pPr>
            <w:r w:rsidRPr="00BD03C4">
              <w:rPr>
                <w:b/>
                <w:bCs/>
                <w:color w:val="00B050"/>
              </w:rPr>
              <w:t>X</w:t>
            </w:r>
          </w:p>
        </w:tc>
      </w:tr>
      <w:tr w:rsidR="00976BAA" w:rsidRPr="00C8094D" w14:paraId="18E8101F" w14:textId="77777777">
        <w:trPr>
          <w:cantSplit/>
          <w:trHeight w:val="255"/>
          <w:tblHeader/>
          <w:jc w:val="center"/>
        </w:trPr>
        <w:tc>
          <w:tcPr>
            <w:tcW w:w="3221" w:type="pct"/>
            <w:tcBorders>
              <w:top w:val="nil"/>
              <w:left w:val="single" w:sz="4" w:space="0" w:color="auto"/>
              <w:bottom w:val="single" w:sz="4" w:space="0" w:color="auto"/>
              <w:right w:val="single" w:sz="4" w:space="0" w:color="auto"/>
            </w:tcBorders>
            <w:shd w:val="clear" w:color="auto" w:fill="auto"/>
          </w:tcPr>
          <w:p w14:paraId="64463AED" w14:textId="77777777" w:rsidR="00976BAA" w:rsidRPr="00CB0B8B" w:rsidRDefault="00976BAA">
            <w:pPr>
              <w:pStyle w:val="TableText"/>
            </w:pPr>
            <w:r w:rsidRPr="000D6DAC">
              <w:t xml:space="preserve">Open Charge Point Protocol </w:t>
            </w:r>
            <w:r>
              <w:t>(OCPP)</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54F8F54"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3A85AD" w14:textId="77777777" w:rsidR="00976BAA" w:rsidRPr="00BD03C4" w:rsidRDefault="00976BAA">
            <w:pPr>
              <w:pStyle w:val="TableText"/>
              <w:jc w:val="center"/>
              <w:rPr>
                <w:b/>
                <w:bCs/>
                <w:color w:val="00B050"/>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826F093" w14:textId="77777777" w:rsidR="00976BAA" w:rsidRPr="00BD03C4" w:rsidRDefault="00976BAA">
            <w:pPr>
              <w:pStyle w:val="TableText"/>
              <w:jc w:val="center"/>
              <w:rPr>
                <w:b/>
                <w:bCs/>
                <w:color w:val="00B050"/>
              </w:rPr>
            </w:pPr>
            <w:r w:rsidRPr="00BD03C4">
              <w:rPr>
                <w:b/>
                <w:bCs/>
                <w:color w:val="00B050"/>
              </w:rPr>
              <w:t>X</w:t>
            </w:r>
          </w:p>
        </w:tc>
      </w:tr>
    </w:tbl>
    <w:p w14:paraId="49ECA10A" w14:textId="77777777" w:rsidR="00050A68" w:rsidRDefault="00050A68" w:rsidP="00050A68">
      <w:pPr>
        <w:pStyle w:val="Heading3"/>
      </w:pPr>
      <w:r>
        <w:t>Relevant Resources</w:t>
      </w:r>
    </w:p>
    <w:p w14:paraId="15EAD700" w14:textId="406FB3AE" w:rsidR="00050A68" w:rsidRDefault="00050A68" w:rsidP="006D7DE6">
      <w:pPr>
        <w:pStyle w:val="BodyTextFirstIndent"/>
      </w:pPr>
      <w:r>
        <w:fldChar w:fldCharType="begin"/>
      </w:r>
      <w:r>
        <w:instrText xml:space="preserve"> REF _Ref172750006 \h </w:instrText>
      </w:r>
      <w:r>
        <w:fldChar w:fldCharType="separate"/>
      </w:r>
      <w:r w:rsidR="00307850">
        <w:t xml:space="preserve">Table </w:t>
      </w:r>
      <w:r w:rsidR="00307850">
        <w:rPr>
          <w:noProof/>
        </w:rPr>
        <w:t>55</w:t>
      </w:r>
      <w:r>
        <w:fldChar w:fldCharType="end"/>
      </w:r>
      <w:r>
        <w:t xml:space="preserve"> provides a summary of resources related to installing EV chargers at schools.</w:t>
      </w:r>
    </w:p>
    <w:p w14:paraId="6D46D0B9" w14:textId="1E5F8E68" w:rsidR="00050A68" w:rsidRDefault="00050A68" w:rsidP="00B30C96">
      <w:pPr>
        <w:pStyle w:val="Caption"/>
      </w:pPr>
      <w:bookmarkStart w:id="497" w:name="_Ref172750006"/>
      <w:bookmarkStart w:id="498" w:name="_Toc192711721"/>
      <w:bookmarkStart w:id="499" w:name="_Toc193112603"/>
      <w:bookmarkStart w:id="500" w:name="_Toc193117002"/>
      <w:r>
        <w:t xml:space="preserve">Table </w:t>
      </w:r>
      <w:fldSimple w:instr=" SEQ Table \* ARABIC ">
        <w:r w:rsidR="00307850">
          <w:rPr>
            <w:noProof/>
          </w:rPr>
          <w:t>55</w:t>
        </w:r>
      </w:fldSimple>
      <w:bookmarkEnd w:id="497"/>
      <w:r>
        <w:t xml:space="preserve">. Resources for </w:t>
      </w:r>
      <w:r w:rsidRPr="0071539F">
        <w:t>Provid</w:t>
      </w:r>
      <w:r>
        <w:t>ing</w:t>
      </w:r>
      <w:r w:rsidRPr="0071539F">
        <w:t xml:space="preserve"> Electric Vehicle Charging Stations for School Staff and Public Use</w:t>
      </w:r>
      <w:bookmarkEnd w:id="498"/>
      <w:bookmarkEnd w:id="499"/>
      <w:bookmarkEnd w:id="500"/>
    </w:p>
    <w:tbl>
      <w:tblPr>
        <w:tblStyle w:val="TableGrid"/>
        <w:tblW w:w="0" w:type="auto"/>
        <w:tblLayout w:type="fixed"/>
        <w:tblLook w:val="04A0" w:firstRow="1" w:lastRow="0" w:firstColumn="1" w:lastColumn="0" w:noHBand="0" w:noVBand="1"/>
        <w:tblDescription w:val="Table listing resources with active URLs for Providing Electric Vehicle Charging Stations for School Staff and Public Use "/>
      </w:tblPr>
      <w:tblGrid>
        <w:gridCol w:w="2965"/>
        <w:gridCol w:w="2520"/>
        <w:gridCol w:w="3865"/>
      </w:tblGrid>
      <w:tr w:rsidR="00050A68" w:rsidRPr="00276B41" w14:paraId="174F335F" w14:textId="77777777">
        <w:tc>
          <w:tcPr>
            <w:tcW w:w="2965" w:type="dxa"/>
            <w:shd w:val="clear" w:color="auto" w:fill="C6D9F1" w:themeFill="text2" w:themeFillTint="33"/>
          </w:tcPr>
          <w:p w14:paraId="50C22C1D" w14:textId="77777777" w:rsidR="00050A68" w:rsidRPr="004C3A1C" w:rsidRDefault="00050A68">
            <w:pPr>
              <w:pStyle w:val="TableColumnHeader"/>
            </w:pPr>
            <w:r w:rsidRPr="004C3A1C">
              <w:t>Resource</w:t>
            </w:r>
          </w:p>
        </w:tc>
        <w:tc>
          <w:tcPr>
            <w:tcW w:w="2520" w:type="dxa"/>
            <w:shd w:val="clear" w:color="auto" w:fill="C6D9F1" w:themeFill="text2" w:themeFillTint="33"/>
          </w:tcPr>
          <w:p w14:paraId="44232562" w14:textId="77777777" w:rsidR="00050A68" w:rsidRPr="004C3A1C" w:rsidRDefault="00050A68">
            <w:pPr>
              <w:pStyle w:val="TableColumnHeader"/>
            </w:pPr>
            <w:r w:rsidRPr="004C3A1C">
              <w:t>Author</w:t>
            </w:r>
          </w:p>
        </w:tc>
        <w:tc>
          <w:tcPr>
            <w:tcW w:w="3865" w:type="dxa"/>
            <w:shd w:val="clear" w:color="auto" w:fill="C6D9F1" w:themeFill="text2" w:themeFillTint="33"/>
          </w:tcPr>
          <w:p w14:paraId="135DFA12" w14:textId="77777777" w:rsidR="00050A68" w:rsidRPr="004C3A1C" w:rsidRDefault="00050A68">
            <w:pPr>
              <w:pStyle w:val="TableColumnHeader"/>
            </w:pPr>
            <w:r w:rsidRPr="004C3A1C">
              <w:t>URL</w:t>
            </w:r>
          </w:p>
        </w:tc>
      </w:tr>
      <w:tr w:rsidR="00050A68" w:rsidRPr="00276B41" w14:paraId="4F167D16" w14:textId="77777777">
        <w:tc>
          <w:tcPr>
            <w:tcW w:w="2965" w:type="dxa"/>
          </w:tcPr>
          <w:p w14:paraId="54728B24" w14:textId="77777777" w:rsidR="00050A68" w:rsidRPr="00276B41" w:rsidRDefault="00050A68">
            <w:pPr>
              <w:pStyle w:val="TableText"/>
            </w:pPr>
            <w:r>
              <w:t>All About Working with Your Electrical Utility</w:t>
            </w:r>
          </w:p>
        </w:tc>
        <w:tc>
          <w:tcPr>
            <w:tcW w:w="2520" w:type="dxa"/>
          </w:tcPr>
          <w:p w14:paraId="4950D6CB" w14:textId="77777777" w:rsidR="00050A68" w:rsidRPr="00276B41" w:rsidRDefault="00050A68">
            <w:pPr>
              <w:pStyle w:val="TableText"/>
            </w:pPr>
            <w:r>
              <w:t xml:space="preserve">World Resources Institute, Electric School Bus Initiative </w:t>
            </w:r>
          </w:p>
        </w:tc>
        <w:tc>
          <w:tcPr>
            <w:tcW w:w="3865" w:type="dxa"/>
          </w:tcPr>
          <w:p w14:paraId="3D4D071B" w14:textId="623A33B3" w:rsidR="00050A68" w:rsidRPr="00276B41" w:rsidRDefault="00050A68">
            <w:pPr>
              <w:pStyle w:val="TableText"/>
            </w:pPr>
            <w:hyperlink r:id="rId258" w:history="1">
              <w:r w:rsidRPr="0052105E">
                <w:rPr>
                  <w:rStyle w:val="Hyperlink"/>
                </w:rPr>
                <w:t>https://electricschoolbusinitiative.org/all-about-working-your-electric-utility</w:t>
              </w:r>
            </w:hyperlink>
            <w:r>
              <w:t xml:space="preserve"> </w:t>
            </w:r>
          </w:p>
        </w:tc>
      </w:tr>
      <w:tr w:rsidR="00050A68" w:rsidRPr="00276B41" w14:paraId="7D04B779" w14:textId="77777777">
        <w:tc>
          <w:tcPr>
            <w:tcW w:w="2965" w:type="dxa"/>
          </w:tcPr>
          <w:p w14:paraId="2CC98C83" w14:textId="77777777" w:rsidR="00050A68" w:rsidRPr="00276B41" w:rsidRDefault="00050A68">
            <w:pPr>
              <w:pStyle w:val="TableText"/>
            </w:pPr>
            <w:r>
              <w:t>Electric Vehicle Charging Stations</w:t>
            </w:r>
          </w:p>
        </w:tc>
        <w:tc>
          <w:tcPr>
            <w:tcW w:w="2520" w:type="dxa"/>
          </w:tcPr>
          <w:p w14:paraId="4B20370F" w14:textId="77777777" w:rsidR="00050A68" w:rsidRPr="00276B41" w:rsidRDefault="00050A68">
            <w:pPr>
              <w:pStyle w:val="TableText"/>
            </w:pPr>
            <w:r>
              <w:t>DOE Alternative Fuels Data Center</w:t>
            </w:r>
          </w:p>
        </w:tc>
        <w:tc>
          <w:tcPr>
            <w:tcW w:w="3865" w:type="dxa"/>
          </w:tcPr>
          <w:p w14:paraId="2DED2081" w14:textId="022D89AB" w:rsidR="00050A68" w:rsidRPr="00276B41" w:rsidRDefault="00050A68">
            <w:pPr>
              <w:pStyle w:val="TableText"/>
            </w:pPr>
            <w:hyperlink r:id="rId259" w:history="1">
              <w:r w:rsidRPr="0052105E">
                <w:rPr>
                  <w:rStyle w:val="Hyperlink"/>
                </w:rPr>
                <w:t>https://afdc.energy.gov/fuels/electricity-stations</w:t>
              </w:r>
            </w:hyperlink>
            <w:r>
              <w:t xml:space="preserve"> </w:t>
            </w:r>
          </w:p>
        </w:tc>
      </w:tr>
      <w:tr w:rsidR="00050A68" w:rsidRPr="00276B41" w14:paraId="2A26AF44" w14:textId="77777777">
        <w:tc>
          <w:tcPr>
            <w:tcW w:w="2965" w:type="dxa"/>
          </w:tcPr>
          <w:p w14:paraId="38FF8927" w14:textId="77777777" w:rsidR="00050A68" w:rsidRDefault="00050A68">
            <w:pPr>
              <w:pStyle w:val="TableText"/>
            </w:pPr>
            <w:r w:rsidRPr="00A042E9">
              <w:t>Procurement and Installation for Electric Vehicle Charging Infrastructure</w:t>
            </w:r>
          </w:p>
        </w:tc>
        <w:tc>
          <w:tcPr>
            <w:tcW w:w="2520" w:type="dxa"/>
          </w:tcPr>
          <w:p w14:paraId="3E3D8219" w14:textId="77777777" w:rsidR="00050A68" w:rsidRDefault="00050A68">
            <w:pPr>
              <w:pStyle w:val="TableText"/>
            </w:pPr>
            <w:r>
              <w:t>DOE Alternative Fuels Data Center</w:t>
            </w:r>
          </w:p>
        </w:tc>
        <w:tc>
          <w:tcPr>
            <w:tcW w:w="3865" w:type="dxa"/>
          </w:tcPr>
          <w:p w14:paraId="58B4C642" w14:textId="31590D80" w:rsidR="00050A68" w:rsidRDefault="00050A68">
            <w:pPr>
              <w:pStyle w:val="TableText"/>
            </w:pPr>
            <w:hyperlink r:id="rId260" w:history="1">
              <w:r w:rsidRPr="00833189">
                <w:rPr>
                  <w:rStyle w:val="Hyperlink"/>
                </w:rPr>
                <w:t>https://afdc.energy.gov/fuels/electricity-infrastructure-development</w:t>
              </w:r>
            </w:hyperlink>
            <w:r>
              <w:t xml:space="preserve"> </w:t>
            </w:r>
          </w:p>
        </w:tc>
      </w:tr>
    </w:tbl>
    <w:p w14:paraId="5E12F797" w14:textId="2DABC193" w:rsidR="00B03F4A" w:rsidRDefault="00B03F4A" w:rsidP="001C7888">
      <w:pPr>
        <w:pStyle w:val="Heading2"/>
      </w:pPr>
      <w:bookmarkStart w:id="501" w:name="SectVI_1f"/>
      <w:bookmarkStart w:id="502" w:name="_Toc193116931"/>
      <w:bookmarkEnd w:id="501"/>
      <w:r>
        <w:t>Objective 1</w:t>
      </w:r>
      <w:r w:rsidR="00FD43CA">
        <w:t>f</w:t>
      </w:r>
      <w:r>
        <w:t xml:space="preserve">. </w:t>
      </w:r>
      <w:r w:rsidR="00FD43CA">
        <w:t>Enhance Climate Resilience</w:t>
      </w:r>
      <w:bookmarkEnd w:id="502"/>
    </w:p>
    <w:p w14:paraId="1CCF9BB2" w14:textId="77777777" w:rsidR="009D1222" w:rsidRPr="003966AF" w:rsidRDefault="009D1222" w:rsidP="009D1222">
      <w:pPr>
        <w:pStyle w:val="Heading3"/>
        <w:rPr>
          <w:sz w:val="24"/>
          <w:szCs w:val="24"/>
        </w:rPr>
      </w:pPr>
      <w:r w:rsidRPr="003966AF">
        <w:rPr>
          <w:sz w:val="24"/>
          <w:szCs w:val="24"/>
        </w:rPr>
        <w:t>Methods and Best Practices</w:t>
      </w:r>
    </w:p>
    <w:p w14:paraId="6394B5CE" w14:textId="77777777" w:rsidR="009D1222" w:rsidRPr="003966AF" w:rsidRDefault="009D1222" w:rsidP="006D7DE6">
      <w:pPr>
        <w:pStyle w:val="BodyTextFirstIndent"/>
      </w:pPr>
      <w:r>
        <w:t>School d</w:t>
      </w:r>
      <w:r w:rsidRPr="003966AF">
        <w:t xml:space="preserve">istricts can build </w:t>
      </w:r>
      <w:r>
        <w:t>on</w:t>
      </w:r>
      <w:r w:rsidRPr="003966AF">
        <w:t xml:space="preserve"> state-level efforts</w:t>
      </w:r>
      <w:r>
        <w:t xml:space="preserve"> presented in the ResilientMass Plan</w:t>
      </w:r>
      <w:r w:rsidRPr="003966AF">
        <w:t xml:space="preserve"> by conducting planning activities and implementing school-level resilience projects </w:t>
      </w:r>
      <w:r>
        <w:t xml:space="preserve">by implementing the methods and best practices </w:t>
      </w:r>
      <w:r w:rsidRPr="003966AF">
        <w:t xml:space="preserve">described </w:t>
      </w:r>
      <w:r>
        <w:t xml:space="preserve">below. </w:t>
      </w:r>
      <w:r w:rsidRPr="003966AF">
        <w:t xml:space="preserve"> </w:t>
      </w:r>
    </w:p>
    <w:p w14:paraId="3099B500" w14:textId="77777777" w:rsidR="00BD314B" w:rsidRDefault="00BD314B">
      <w:pPr>
        <w:rPr>
          <w:rFonts w:ascii="Arial" w:hAnsi="Arial"/>
          <w:b/>
          <w:i/>
          <w:color w:val="1F497D"/>
          <w:sz w:val="24"/>
        </w:rPr>
      </w:pPr>
      <w:r>
        <w:br w:type="page"/>
      </w:r>
    </w:p>
    <w:p w14:paraId="5B0F9E3D" w14:textId="2BB74333" w:rsidR="009D1222" w:rsidRPr="003966AF" w:rsidRDefault="009D1222" w:rsidP="009D1222">
      <w:pPr>
        <w:pStyle w:val="Heading5"/>
      </w:pPr>
      <w:r w:rsidRPr="003966AF">
        <w:lastRenderedPageBreak/>
        <w:t xml:space="preserve">(1) </w:t>
      </w:r>
      <w:r>
        <w:t>Conduct v</w:t>
      </w:r>
      <w:r w:rsidRPr="003966AF">
        <w:t xml:space="preserve">ulnerability </w:t>
      </w:r>
      <w:r>
        <w:t>a</w:t>
      </w:r>
      <w:r w:rsidRPr="003966AF">
        <w:t>ssessments</w:t>
      </w:r>
    </w:p>
    <w:p w14:paraId="0136746A" w14:textId="584C281C" w:rsidR="009D1222" w:rsidRPr="003966AF" w:rsidRDefault="009D1222" w:rsidP="006D7DE6">
      <w:pPr>
        <w:pStyle w:val="BodyTextFirstIndent"/>
        <w:rPr>
          <w:rStyle w:val="normaltextrun"/>
          <w:rFonts w:cs="Arial"/>
          <w:color w:val="000000"/>
          <w:shd w:val="clear" w:color="auto" w:fill="FFFFFF"/>
        </w:rPr>
      </w:pPr>
      <w:r w:rsidRPr="003966AF">
        <w:t xml:space="preserve">Vulnerability assessments determine the exposure, vulnerability, and consequence of climate hazards to a </w:t>
      </w:r>
      <w:r>
        <w:t>school d</w:t>
      </w:r>
      <w:r w:rsidRPr="003966AF">
        <w:t>istrict’s students</w:t>
      </w:r>
      <w:r>
        <w:t>,</w:t>
      </w:r>
      <w:r w:rsidRPr="003966AF">
        <w:t xml:space="preserve"> workforce</w:t>
      </w:r>
      <w:r>
        <w:t>,</w:t>
      </w:r>
      <w:r w:rsidRPr="003966AF">
        <w:t xml:space="preserve"> </w:t>
      </w:r>
      <w:r>
        <w:t xml:space="preserve">and </w:t>
      </w:r>
      <w:r w:rsidRPr="003966AF">
        <w:t>assets</w:t>
      </w:r>
      <w:r>
        <w:t>, as well as</w:t>
      </w:r>
      <w:r w:rsidRPr="003966AF">
        <w:t xml:space="preserve"> the utilities, infrastructure</w:t>
      </w:r>
      <w:r>
        <w:t>,</w:t>
      </w:r>
      <w:r w:rsidRPr="003966AF">
        <w:t xml:space="preserve"> and services </w:t>
      </w:r>
      <w:r>
        <w:t xml:space="preserve">upon which </w:t>
      </w:r>
      <w:r w:rsidRPr="003966AF">
        <w:t xml:space="preserve">the </w:t>
      </w:r>
      <w:r>
        <w:t>school d</w:t>
      </w:r>
      <w:r w:rsidRPr="003966AF">
        <w:t xml:space="preserve">istrict relies </w:t>
      </w:r>
      <w:r>
        <w:t>to successfully execute its mission</w:t>
      </w:r>
      <w:r w:rsidRPr="003966AF">
        <w:t xml:space="preserve">. </w:t>
      </w:r>
      <w:r>
        <w:t>A</w:t>
      </w:r>
      <w:r w:rsidRPr="003966AF">
        <w:t xml:space="preserve"> </w:t>
      </w:r>
      <w:r>
        <w:t>school d</w:t>
      </w:r>
      <w:r w:rsidRPr="003966AF">
        <w:t xml:space="preserve">istrict should </w:t>
      </w:r>
      <w:r>
        <w:t xml:space="preserve">begin an assessment by </w:t>
      </w:r>
      <w:r w:rsidRPr="003966AF">
        <w:t>organiz</w:t>
      </w:r>
      <w:r>
        <w:t>ing</w:t>
      </w:r>
      <w:r w:rsidRPr="003966AF">
        <w:t xml:space="preserve"> a team of key partners and establish</w:t>
      </w:r>
      <w:r>
        <w:t>ing</w:t>
      </w:r>
      <w:r w:rsidRPr="003966AF">
        <w:t xml:space="preserve"> the assessment goals, timeframe, and scope of the hazards and </w:t>
      </w:r>
      <w:r>
        <w:t>school d</w:t>
      </w:r>
      <w:r w:rsidRPr="003966AF">
        <w:t xml:space="preserve">istrict operations </w:t>
      </w:r>
      <w:r>
        <w:t xml:space="preserve">it intends to </w:t>
      </w:r>
      <w:r w:rsidRPr="003966AF">
        <w:t xml:space="preserve">analyze. </w:t>
      </w:r>
      <w:r>
        <w:t>A</w:t>
      </w:r>
      <w:r w:rsidRPr="009B2929">
        <w:t xml:space="preserve">fter </w:t>
      </w:r>
      <w:r>
        <w:t>scoping the</w:t>
      </w:r>
      <w:r w:rsidRPr="009B2929">
        <w:t xml:space="preserve"> hazards</w:t>
      </w:r>
      <w:r>
        <w:t xml:space="preserve"> analysis,</w:t>
      </w:r>
      <w:r w:rsidRPr="009B2929">
        <w:t xml:space="preserve"> the </w:t>
      </w:r>
      <w:r>
        <w:t>school d</w:t>
      </w:r>
      <w:r w:rsidRPr="009B2929">
        <w:t>istrict</w:t>
      </w:r>
      <w:r>
        <w:t xml:space="preserve"> should</w:t>
      </w:r>
      <w:r w:rsidRPr="009B2929">
        <w:t xml:space="preserve"> </w:t>
      </w:r>
      <w:r>
        <w:t xml:space="preserve">perform </w:t>
      </w:r>
      <w:r w:rsidRPr="009B2929">
        <w:t>community and stakeholder</w:t>
      </w:r>
      <w:r>
        <w:t xml:space="preserve"> outreach</w:t>
      </w:r>
      <w:r w:rsidRPr="009B2929">
        <w:t xml:space="preserve"> to </w:t>
      </w:r>
      <w:r w:rsidR="00F85C30">
        <w:t>conf</w:t>
      </w:r>
      <w:r w:rsidR="00220601">
        <w:t>irm</w:t>
      </w:r>
      <w:r>
        <w:t xml:space="preserve"> that</w:t>
      </w:r>
      <w:r w:rsidRPr="009B2929">
        <w:t xml:space="preserve"> hazards </w:t>
      </w:r>
      <w:r>
        <w:t xml:space="preserve">appropriately </w:t>
      </w:r>
      <w:r w:rsidRPr="009B2929">
        <w:t>reflect the concerns of the community</w:t>
      </w:r>
      <w:r>
        <w:t>.</w:t>
      </w:r>
      <w:r w:rsidRPr="009B2929">
        <w:t xml:space="preserve"> </w:t>
      </w:r>
      <w:r w:rsidRPr="003966AF">
        <w:t xml:space="preserve">Once the scope is established, a </w:t>
      </w:r>
      <w:r>
        <w:t>school d</w:t>
      </w:r>
      <w:r w:rsidRPr="003966AF">
        <w:t xml:space="preserve">istrict should </w:t>
      </w:r>
      <w:r w:rsidRPr="003966AF">
        <w:rPr>
          <w:rStyle w:val="normaltextrun"/>
          <w:rFonts w:cs="Arial"/>
          <w:color w:val="000000"/>
          <w:shd w:val="clear" w:color="auto" w:fill="FFFFFF"/>
        </w:rPr>
        <w:t>identify existing local hazard mitigation plans and data sources for the existing condition</w:t>
      </w:r>
      <w:r>
        <w:rPr>
          <w:rStyle w:val="normaltextrun"/>
          <w:rFonts w:cs="Arial"/>
          <w:color w:val="000000"/>
          <w:shd w:val="clear" w:color="auto" w:fill="FFFFFF"/>
        </w:rPr>
        <w:t xml:space="preserve"> of assets, </w:t>
      </w:r>
      <w:r w:rsidRPr="003966AF">
        <w:rPr>
          <w:rStyle w:val="normaltextrun"/>
          <w:rFonts w:cs="Arial"/>
          <w:color w:val="000000"/>
          <w:shd w:val="clear" w:color="auto" w:fill="FFFFFF"/>
        </w:rPr>
        <w:t xml:space="preserve">geospatial </w:t>
      </w:r>
      <w:r>
        <w:rPr>
          <w:rStyle w:val="normaltextrun"/>
          <w:rFonts w:cs="Arial"/>
          <w:color w:val="000000"/>
          <w:shd w:val="clear" w:color="auto" w:fill="FFFFFF"/>
        </w:rPr>
        <w:t>data</w:t>
      </w:r>
      <w:r w:rsidRPr="003966AF">
        <w:rPr>
          <w:rStyle w:val="normaltextrun"/>
          <w:rFonts w:cs="Arial"/>
          <w:color w:val="000000"/>
          <w:shd w:val="clear" w:color="auto" w:fill="FFFFFF"/>
        </w:rPr>
        <w:t>, climate hazard data,</w:t>
      </w:r>
      <w:r>
        <w:rPr>
          <w:rStyle w:val="normaltextrun"/>
          <w:rFonts w:cs="Arial"/>
          <w:color w:val="000000"/>
          <w:shd w:val="clear" w:color="auto" w:fill="FFFFFF"/>
        </w:rPr>
        <w:t xml:space="preserve"> health data (e.g., asthma and heat stress), school district capabilities and capacity,</w:t>
      </w:r>
      <w:r w:rsidRPr="003966AF">
        <w:rPr>
          <w:rStyle w:val="normaltextrun"/>
          <w:rFonts w:cs="Arial"/>
          <w:color w:val="000000"/>
          <w:shd w:val="clear" w:color="auto" w:fill="FFFFFF"/>
        </w:rPr>
        <w:t xml:space="preserve"> and any existing adaptation and risk reduction strategies. This data can be applied to the site and asset level using a combination of surveys </w:t>
      </w:r>
      <w:r>
        <w:rPr>
          <w:rStyle w:val="normaltextrun"/>
          <w:rFonts w:cs="Arial"/>
          <w:color w:val="000000"/>
          <w:shd w:val="clear" w:color="auto" w:fill="FFFFFF"/>
        </w:rPr>
        <w:t>of</w:t>
      </w:r>
      <w:r w:rsidRPr="003966AF">
        <w:rPr>
          <w:rStyle w:val="normaltextrun"/>
          <w:rFonts w:cs="Arial"/>
          <w:color w:val="000000"/>
          <w:shd w:val="clear" w:color="auto" w:fill="FFFFFF"/>
        </w:rPr>
        <w:t xml:space="preserve"> key site staff and site visits. There can be overlap with other assessment activities</w:t>
      </w:r>
      <w:r>
        <w:rPr>
          <w:rStyle w:val="normaltextrun"/>
          <w:rFonts w:cs="Arial"/>
          <w:color w:val="000000"/>
          <w:shd w:val="clear" w:color="auto" w:fill="FFFFFF"/>
        </w:rPr>
        <w:t>,</w:t>
      </w:r>
      <w:r w:rsidRPr="003966AF">
        <w:rPr>
          <w:rStyle w:val="normaltextrun"/>
          <w:rFonts w:cs="Arial"/>
          <w:color w:val="000000"/>
          <w:shd w:val="clear" w:color="auto" w:fill="FFFFFF"/>
        </w:rPr>
        <w:t xml:space="preserve"> such as FCAs, which are also concerned with asset existing conditions</w:t>
      </w:r>
      <w:r>
        <w:rPr>
          <w:rStyle w:val="normaltextrun"/>
          <w:rFonts w:cs="Arial"/>
          <w:color w:val="000000"/>
          <w:shd w:val="clear" w:color="auto" w:fill="FFFFFF"/>
        </w:rPr>
        <w:t>,</w:t>
      </w:r>
      <w:r w:rsidRPr="003966AF">
        <w:rPr>
          <w:rStyle w:val="normaltextrun"/>
          <w:rFonts w:cs="Arial"/>
          <w:color w:val="000000"/>
          <w:shd w:val="clear" w:color="auto" w:fill="FFFFFF"/>
        </w:rPr>
        <w:t xml:space="preserve"> maintenance and replacement schedules</w:t>
      </w:r>
      <w:r>
        <w:rPr>
          <w:rStyle w:val="normaltextrun"/>
          <w:rFonts w:cs="Arial"/>
          <w:color w:val="000000"/>
          <w:shd w:val="clear" w:color="auto" w:fill="FFFFFF"/>
        </w:rPr>
        <w:t>,</w:t>
      </w:r>
      <w:r w:rsidRPr="003966AF">
        <w:rPr>
          <w:rStyle w:val="normaltextrun"/>
          <w:rFonts w:cs="Arial"/>
          <w:color w:val="000000"/>
          <w:shd w:val="clear" w:color="auto" w:fill="FFFFFF"/>
        </w:rPr>
        <w:t xml:space="preserve"> past hazard events and associated damage, disruption, and loss. </w:t>
      </w:r>
    </w:p>
    <w:p w14:paraId="211CA95A" w14:textId="67CFD402" w:rsidR="009D1222" w:rsidRPr="0073063D" w:rsidRDefault="009D1222" w:rsidP="006D7DE6">
      <w:pPr>
        <w:pStyle w:val="BodyTextFirstIndent"/>
        <w:rPr>
          <w:bdr w:val="none" w:sz="0" w:space="0" w:color="auto" w:frame="1"/>
        </w:rPr>
      </w:pPr>
      <w:r>
        <w:rPr>
          <w:rStyle w:val="normaltextrun"/>
          <w:rFonts w:cs="Arial"/>
          <w:color w:val="000000"/>
          <w:shd w:val="clear" w:color="auto" w:fill="FFFFFF"/>
        </w:rPr>
        <w:t>T</w:t>
      </w:r>
      <w:r w:rsidRPr="003966AF">
        <w:rPr>
          <w:rStyle w:val="normaltextrun"/>
          <w:rFonts w:cs="Arial"/>
          <w:color w:val="000000"/>
          <w:shd w:val="clear" w:color="auto" w:fill="FFFFFF"/>
        </w:rPr>
        <w:t xml:space="preserve">he collected data is combined to score assets </w:t>
      </w:r>
      <w:r w:rsidRPr="003966AF">
        <w:rPr>
          <w:rStyle w:val="normaltextrun"/>
          <w:rFonts w:cs="Arial"/>
          <w:color w:val="000000"/>
          <w:bdr w:val="none" w:sz="0" w:space="0" w:color="auto" w:frame="1"/>
        </w:rPr>
        <w:t xml:space="preserve">based on their hazard exposure, sensitivity, vulnerability, and consequence. The final step of the vulnerability assessment is to </w:t>
      </w:r>
      <w:r>
        <w:rPr>
          <w:rStyle w:val="normaltextrun"/>
          <w:rFonts w:cs="Arial"/>
          <w:color w:val="000000"/>
          <w:bdr w:val="none" w:sz="0" w:space="0" w:color="auto" w:frame="1"/>
        </w:rPr>
        <w:t xml:space="preserve">develop </w:t>
      </w:r>
      <w:r w:rsidRPr="003516A8">
        <w:rPr>
          <w:bdr w:val="none" w:sz="0" w:space="0" w:color="auto" w:frame="1"/>
        </w:rPr>
        <w:t xml:space="preserve">actions, adaptation, and hazard mitigation strategies </w:t>
      </w:r>
      <w:r w:rsidRPr="003966AF">
        <w:rPr>
          <w:rStyle w:val="normaltextrun"/>
          <w:rFonts w:cs="Arial"/>
          <w:color w:val="000000"/>
          <w:bdr w:val="none" w:sz="0" w:space="0" w:color="auto" w:frame="1"/>
        </w:rPr>
        <w:t>to reduce vulnerabilities. Additional detail</w:t>
      </w:r>
      <w:r>
        <w:rPr>
          <w:rStyle w:val="normaltextrun"/>
          <w:rFonts w:cs="Arial"/>
          <w:color w:val="000000"/>
          <w:bdr w:val="none" w:sz="0" w:space="0" w:color="auto" w:frame="1"/>
        </w:rPr>
        <w:t>s</w:t>
      </w:r>
      <w:r w:rsidRPr="003966AF">
        <w:rPr>
          <w:rStyle w:val="normaltextrun"/>
          <w:rFonts w:cs="Arial"/>
          <w:color w:val="000000"/>
          <w:bdr w:val="none" w:sz="0" w:space="0" w:color="auto" w:frame="1"/>
        </w:rPr>
        <w:t xml:space="preserve"> on the planning process </w:t>
      </w:r>
      <w:r>
        <w:rPr>
          <w:rStyle w:val="normaltextrun"/>
          <w:rFonts w:cs="Arial"/>
          <w:color w:val="000000"/>
          <w:bdr w:val="none" w:sz="0" w:space="0" w:color="auto" w:frame="1"/>
        </w:rPr>
        <w:t>are</w:t>
      </w:r>
      <w:r w:rsidRPr="003966AF">
        <w:rPr>
          <w:rStyle w:val="normaltextrun"/>
          <w:rFonts w:cs="Arial"/>
          <w:color w:val="000000"/>
          <w:bdr w:val="none" w:sz="0" w:space="0" w:color="auto" w:frame="1"/>
        </w:rPr>
        <w:t xml:space="preserve"> offered by the </w:t>
      </w:r>
      <w:hyperlink r:id="rId261" w:history="1">
        <w:r w:rsidRPr="00C5075B">
          <w:rPr>
            <w:rStyle w:val="Hyperlink"/>
            <w:rFonts w:cs="Arial"/>
            <w:bdr w:val="none" w:sz="0" w:space="0" w:color="auto" w:frame="1"/>
          </w:rPr>
          <w:t>MVP Program</w:t>
        </w:r>
      </w:hyperlink>
      <w:r w:rsidRPr="003966AF">
        <w:rPr>
          <w:rStyle w:val="normaltextrun"/>
          <w:rFonts w:cs="Arial"/>
          <w:color w:val="000000"/>
          <w:bdr w:val="none" w:sz="0" w:space="0" w:color="auto" w:frame="1"/>
        </w:rPr>
        <w:t>.</w:t>
      </w:r>
    </w:p>
    <w:p w14:paraId="6399A6EE" w14:textId="5ACA6C09" w:rsidR="009D1222" w:rsidRPr="003966AF" w:rsidRDefault="009D1222" w:rsidP="009D1222">
      <w:pPr>
        <w:pStyle w:val="Heading5"/>
      </w:pPr>
      <w:r w:rsidRPr="003966AF">
        <w:t xml:space="preserve">(2) </w:t>
      </w:r>
      <w:r>
        <w:t>Prepare a c</w:t>
      </w:r>
      <w:r w:rsidRPr="003966AF">
        <w:t xml:space="preserve">omprehensive </w:t>
      </w:r>
      <w:r>
        <w:t>c</w:t>
      </w:r>
      <w:r w:rsidRPr="003966AF">
        <w:t xml:space="preserve">limate </w:t>
      </w:r>
      <w:r>
        <w:t>a</w:t>
      </w:r>
      <w:r w:rsidRPr="003966AF">
        <w:t xml:space="preserve">ction </w:t>
      </w:r>
      <w:r>
        <w:t>p</w:t>
      </w:r>
      <w:r w:rsidRPr="003966AF">
        <w:t>lan</w:t>
      </w:r>
    </w:p>
    <w:p w14:paraId="18A5D783" w14:textId="170FBEA7" w:rsidR="009D1222" w:rsidRPr="003966AF" w:rsidRDefault="009D1222" w:rsidP="006D7DE6">
      <w:pPr>
        <w:pStyle w:val="BodyTextFirstIndent"/>
        <w:rPr>
          <w:rStyle w:val="normaltextrun"/>
          <w:rFonts w:cs="Arial"/>
          <w:color w:val="000000"/>
          <w:bdr w:val="none" w:sz="0" w:space="0" w:color="auto" w:frame="1"/>
        </w:rPr>
      </w:pPr>
      <w:r w:rsidRPr="003966AF">
        <w:t xml:space="preserve">A comprehensive climate action plan (CAP) uses the results of the vulnerability assessment to establish an integrated strategic plan for the implementation of identified strategies. </w:t>
      </w:r>
      <w:r w:rsidRPr="003966AF">
        <w:rPr>
          <w:rStyle w:val="normaltextrun"/>
          <w:rFonts w:cs="Arial"/>
          <w:color w:val="000000"/>
          <w:bdr w:val="none" w:sz="0" w:space="0" w:color="auto" w:frame="1"/>
        </w:rPr>
        <w:t>At this stage</w:t>
      </w:r>
      <w:r>
        <w:rPr>
          <w:rStyle w:val="normaltextrun"/>
          <w:rFonts w:cs="Arial"/>
          <w:color w:val="000000"/>
          <w:bdr w:val="none" w:sz="0" w:space="0" w:color="auto" w:frame="1"/>
        </w:rPr>
        <w:t>,</w:t>
      </w:r>
      <w:r w:rsidRPr="003966AF">
        <w:rPr>
          <w:rStyle w:val="normaltextrun"/>
          <w:rFonts w:cs="Arial"/>
          <w:color w:val="000000"/>
          <w:bdr w:val="none" w:sz="0" w:space="0" w:color="auto" w:frame="1"/>
        </w:rPr>
        <w:t xml:space="preserve"> a </w:t>
      </w:r>
      <w:r>
        <w:rPr>
          <w:rStyle w:val="normaltextrun"/>
          <w:rFonts w:cs="Arial"/>
          <w:color w:val="000000"/>
          <w:bdr w:val="none" w:sz="0" w:space="0" w:color="auto" w:frame="1"/>
        </w:rPr>
        <w:t>d</w:t>
      </w:r>
      <w:r w:rsidRPr="003966AF">
        <w:rPr>
          <w:rStyle w:val="normaltextrun"/>
          <w:rFonts w:cs="Arial"/>
          <w:color w:val="000000"/>
          <w:bdr w:val="none" w:sz="0" w:space="0" w:color="auto" w:frame="1"/>
        </w:rPr>
        <w:t>istrict should:</w:t>
      </w:r>
    </w:p>
    <w:p w14:paraId="2D496CB2" w14:textId="77777777" w:rsidR="009D1222" w:rsidRPr="003966AF" w:rsidRDefault="009D1222" w:rsidP="008131EB">
      <w:pPr>
        <w:pStyle w:val="ListBullet"/>
        <w:rPr>
          <w:rStyle w:val="normaltextrun"/>
          <w:rFonts w:cs="Arial"/>
        </w:rPr>
      </w:pPr>
      <w:r w:rsidRPr="00847875">
        <w:rPr>
          <w:rStyle w:val="normaltextrun"/>
          <w:rFonts w:eastAsiaTheme="majorEastAsia" w:cs="Arial"/>
          <w:b/>
          <w:color w:val="000000"/>
          <w:bdr w:val="none" w:sz="0" w:space="0" w:color="auto" w:frame="1"/>
        </w:rPr>
        <w:t>Prioritize strategies</w:t>
      </w:r>
      <w:r w:rsidRPr="003966AF">
        <w:rPr>
          <w:rStyle w:val="normaltextrun"/>
          <w:rFonts w:eastAsiaTheme="majorEastAsia" w:cs="Arial"/>
          <w:color w:val="000000"/>
          <w:bdr w:val="none" w:sz="0" w:space="0" w:color="auto" w:frame="1"/>
        </w:rPr>
        <w:t xml:space="preserve"> to address </w:t>
      </w:r>
      <w:r>
        <w:rPr>
          <w:rStyle w:val="normaltextrun"/>
          <w:rFonts w:eastAsiaTheme="majorEastAsia" w:cs="Arial"/>
          <w:color w:val="000000"/>
          <w:bdr w:val="none" w:sz="0" w:space="0" w:color="auto" w:frame="1"/>
        </w:rPr>
        <w:t xml:space="preserve">the most critical </w:t>
      </w:r>
      <w:r w:rsidRPr="003966AF">
        <w:rPr>
          <w:rStyle w:val="normaltextrun"/>
          <w:rFonts w:eastAsiaTheme="majorEastAsia" w:cs="Arial"/>
          <w:color w:val="000000"/>
          <w:bdr w:val="none" w:sz="0" w:space="0" w:color="auto" w:frame="1"/>
        </w:rPr>
        <w:t>vulnerabilities</w:t>
      </w:r>
      <w:r>
        <w:rPr>
          <w:rStyle w:val="normaltextrun"/>
          <w:rFonts w:eastAsiaTheme="majorEastAsia" w:cs="Arial"/>
          <w:color w:val="000000"/>
          <w:bdr w:val="none" w:sz="0" w:space="0" w:color="auto" w:frame="1"/>
        </w:rPr>
        <w:t xml:space="preserve"> to human health and infrastructure</w:t>
      </w:r>
      <w:r w:rsidRPr="003966AF">
        <w:rPr>
          <w:rStyle w:val="normaltextrun"/>
          <w:rFonts w:eastAsiaTheme="majorEastAsia" w:cs="Arial"/>
          <w:color w:val="000000"/>
          <w:bdr w:val="none" w:sz="0" w:space="0" w:color="auto" w:frame="1"/>
        </w:rPr>
        <w:t xml:space="preserve"> resulting from the earliest hazard exposures and those that have the highest consequence from a potential disruption.</w:t>
      </w:r>
    </w:p>
    <w:p w14:paraId="74DBB3AA" w14:textId="77777777" w:rsidR="009D1222" w:rsidRPr="000C4C6A" w:rsidRDefault="009D1222" w:rsidP="008131EB">
      <w:pPr>
        <w:pStyle w:val="ListBullet"/>
      </w:pPr>
      <w:r w:rsidRPr="000C4C6A">
        <w:t xml:space="preserve">Summarize the high priority and high consequence assets for each </w:t>
      </w:r>
      <w:r w:rsidRPr="003966AF">
        <w:t>school</w:t>
      </w:r>
      <w:r w:rsidRPr="000C4C6A">
        <w:t>. </w:t>
      </w:r>
    </w:p>
    <w:p w14:paraId="2B887A25" w14:textId="26387A2C" w:rsidR="009D1222" w:rsidRPr="000C4C6A" w:rsidRDefault="009D1222" w:rsidP="008131EB">
      <w:pPr>
        <w:pStyle w:val="ListBullet"/>
      </w:pPr>
      <w:r w:rsidRPr="000C4C6A">
        <w:rPr>
          <w:b/>
        </w:rPr>
        <w:t>Revise strategies</w:t>
      </w:r>
      <w:r w:rsidRPr="000C4C6A">
        <w:t xml:space="preserve"> to </w:t>
      </w:r>
      <w:r w:rsidR="008553E1">
        <w:t>i</w:t>
      </w:r>
      <w:r w:rsidRPr="000C4C6A">
        <w:t xml:space="preserve">ncorporate key issues such as equity and environmental justice, </w:t>
      </w:r>
      <w:r>
        <w:t xml:space="preserve">feasibility, and </w:t>
      </w:r>
      <w:r w:rsidRPr="000C4C6A">
        <w:t>economic benefits</w:t>
      </w:r>
      <w:r>
        <w:t>.</w:t>
      </w:r>
    </w:p>
    <w:p w14:paraId="2DC29ACF" w14:textId="77777777" w:rsidR="009D1222" w:rsidRPr="000C4C6A" w:rsidRDefault="009D1222" w:rsidP="008131EB">
      <w:pPr>
        <w:pStyle w:val="ListBullet"/>
      </w:pPr>
      <w:r w:rsidRPr="000C4C6A">
        <w:rPr>
          <w:b/>
        </w:rPr>
        <w:t>Identify overlapping or integrated vulnerabilities and adaptation strategies</w:t>
      </w:r>
      <w:r w:rsidRPr="000C4C6A">
        <w:t xml:space="preserve"> across </w:t>
      </w:r>
      <w:r w:rsidRPr="003966AF">
        <w:t>schools</w:t>
      </w:r>
      <w:r w:rsidRPr="000C4C6A">
        <w:t>.</w:t>
      </w:r>
      <w:r w:rsidRPr="003966AF">
        <w:t xml:space="preserve"> For example, multiple schools may be served by the same local electricity distribution network that has proven to be unreliable in past hazard events and would benefit from </w:t>
      </w:r>
      <w:r>
        <w:t>d</w:t>
      </w:r>
      <w:r w:rsidRPr="003966AF">
        <w:t>istrict coordination with the electric transmission and distribution utility. This is the stage at which strategies should be incorporated into existing capital planning processes.</w:t>
      </w:r>
    </w:p>
    <w:p w14:paraId="1DB9C7F9" w14:textId="77777777" w:rsidR="009D1222" w:rsidRPr="003966AF" w:rsidRDefault="009D1222" w:rsidP="008131EB">
      <w:pPr>
        <w:pStyle w:val="ListBullet"/>
        <w:rPr>
          <w:rStyle w:val="eop"/>
          <w:rFonts w:cs="Arial"/>
        </w:rPr>
      </w:pPr>
      <w:r w:rsidRPr="00881AE5">
        <w:rPr>
          <w:rStyle w:val="normaltextrun"/>
          <w:rFonts w:eastAsiaTheme="majorEastAsia" w:cs="Arial"/>
          <w:b/>
          <w:color w:val="000000"/>
          <w:shd w:val="clear" w:color="auto" w:fill="FFFFFF"/>
        </w:rPr>
        <w:lastRenderedPageBreak/>
        <w:t>Document</w:t>
      </w:r>
      <w:r w:rsidRPr="003966AF">
        <w:rPr>
          <w:rStyle w:val="normaltextrun"/>
          <w:rFonts w:cs="Arial"/>
          <w:color w:val="000000"/>
          <w:shd w:val="clear" w:color="auto" w:fill="FFFFFF"/>
        </w:rPr>
        <w:t xml:space="preserve"> </w:t>
      </w:r>
      <w:r w:rsidRPr="003966AF">
        <w:rPr>
          <w:rStyle w:val="normaltextrun"/>
          <w:rFonts w:eastAsiaTheme="majorEastAsia" w:cs="Arial"/>
          <w:color w:val="000000"/>
          <w:shd w:val="clear" w:color="auto" w:fill="FFFFFF"/>
        </w:rPr>
        <w:t xml:space="preserve">key progress indicators, </w:t>
      </w:r>
      <w:r w:rsidRPr="003966AF">
        <w:rPr>
          <w:rStyle w:val="normaltextrun"/>
          <w:rFonts w:cs="Arial"/>
          <w:color w:val="000000"/>
          <w:shd w:val="clear" w:color="auto" w:fill="FFFFFF"/>
        </w:rPr>
        <w:t xml:space="preserve">status, progress made, </w:t>
      </w:r>
      <w:r w:rsidRPr="003966AF">
        <w:rPr>
          <w:rStyle w:val="normaltextrun"/>
          <w:rFonts w:eastAsiaTheme="majorEastAsia" w:cs="Arial"/>
          <w:color w:val="000000"/>
          <w:shd w:val="clear" w:color="auto" w:fill="FFFFFF"/>
        </w:rPr>
        <w:t>roles and</w:t>
      </w:r>
      <w:r w:rsidRPr="003966AF">
        <w:rPr>
          <w:rStyle w:val="normaltextrun"/>
          <w:rFonts w:cs="Arial"/>
          <w:color w:val="000000"/>
          <w:shd w:val="clear" w:color="auto" w:fill="FFFFFF"/>
        </w:rPr>
        <w:t xml:space="preserve"> </w:t>
      </w:r>
      <w:r w:rsidRPr="003966AF">
        <w:rPr>
          <w:rStyle w:val="normaltextrun"/>
          <w:rFonts w:eastAsiaTheme="majorEastAsia" w:cs="Arial"/>
          <w:color w:val="000000"/>
          <w:shd w:val="clear" w:color="auto" w:fill="FFFFFF"/>
        </w:rPr>
        <w:t>responsibilities</w:t>
      </w:r>
      <w:r w:rsidRPr="003966AF">
        <w:rPr>
          <w:rStyle w:val="normaltextrun"/>
          <w:rFonts w:cs="Arial"/>
          <w:color w:val="000000"/>
          <w:shd w:val="clear" w:color="auto" w:fill="FFFFFF"/>
        </w:rPr>
        <w:t xml:space="preserve"> for seeing it to completion, working timeline for completion, </w:t>
      </w:r>
      <w:r w:rsidRPr="003966AF">
        <w:rPr>
          <w:rStyle w:val="normaltextrun"/>
          <w:rFonts w:eastAsiaTheme="majorEastAsia" w:cs="Arial"/>
          <w:color w:val="000000"/>
          <w:shd w:val="clear" w:color="auto" w:fill="FFFFFF"/>
        </w:rPr>
        <w:t>and potential funding sources</w:t>
      </w:r>
      <w:r>
        <w:rPr>
          <w:rStyle w:val="normaltextrun"/>
          <w:rFonts w:eastAsiaTheme="majorEastAsia" w:cs="Arial"/>
          <w:color w:val="000000"/>
          <w:shd w:val="clear" w:color="auto" w:fill="FFFFFF"/>
        </w:rPr>
        <w:t xml:space="preserve"> for each strategy</w:t>
      </w:r>
      <w:r w:rsidRPr="003966AF">
        <w:rPr>
          <w:rStyle w:val="normaltextrun"/>
          <w:rFonts w:eastAsiaTheme="majorEastAsia" w:cs="Arial"/>
          <w:color w:val="000000"/>
          <w:shd w:val="clear" w:color="auto" w:fill="FFFFFF"/>
        </w:rPr>
        <w:t>.</w:t>
      </w:r>
      <w:r w:rsidRPr="003966AF">
        <w:rPr>
          <w:rStyle w:val="eop"/>
          <w:rFonts w:cs="Arial"/>
          <w:color w:val="000000"/>
          <w:shd w:val="clear" w:color="auto" w:fill="FFFFFF"/>
        </w:rPr>
        <w:t> </w:t>
      </w:r>
    </w:p>
    <w:p w14:paraId="7B396DF3" w14:textId="77777777" w:rsidR="009D1222" w:rsidRPr="00894C72" w:rsidRDefault="009D1222" w:rsidP="008131EB">
      <w:pPr>
        <w:pStyle w:val="ListBullet"/>
      </w:pPr>
      <w:r w:rsidRPr="00881AE5">
        <w:rPr>
          <w:rStyle w:val="normaltextrun"/>
          <w:rFonts w:eastAsiaTheme="majorEastAsia" w:cs="Arial"/>
          <w:b/>
          <w:color w:val="000000"/>
          <w:shd w:val="clear" w:color="auto" w:fill="FFFFFF"/>
        </w:rPr>
        <w:t>Develop and share</w:t>
      </w:r>
      <w:r w:rsidRPr="00807A14">
        <w:rPr>
          <w:rStyle w:val="normaltextrun"/>
          <w:rFonts w:cs="Arial"/>
          <w:color w:val="000000"/>
          <w:shd w:val="clear" w:color="auto" w:fill="FFFFFF"/>
        </w:rPr>
        <w:t xml:space="preserve"> resources</w:t>
      </w:r>
      <w:r w:rsidRPr="003966AF">
        <w:rPr>
          <w:rStyle w:val="normaltextrun"/>
          <w:rFonts w:cs="Arial"/>
          <w:color w:val="000000"/>
          <w:shd w:val="clear" w:color="auto" w:fill="FFFFFF"/>
        </w:rPr>
        <w:t>, technical support,</w:t>
      </w:r>
      <w:r w:rsidRPr="003966AF">
        <w:rPr>
          <w:rStyle w:val="normaltextrun"/>
          <w:rFonts w:eastAsiaTheme="majorEastAsia" w:cs="Arial"/>
          <w:color w:val="000000"/>
          <w:shd w:val="clear" w:color="auto" w:fill="FFFFFF"/>
        </w:rPr>
        <w:t xml:space="preserve"> curriculum,</w:t>
      </w:r>
      <w:r w:rsidRPr="003966AF">
        <w:rPr>
          <w:rStyle w:val="normaltextrun"/>
          <w:rFonts w:cs="Arial"/>
          <w:color w:val="000000"/>
          <w:shd w:val="clear" w:color="auto" w:fill="FFFFFF"/>
        </w:rPr>
        <w:t xml:space="preserve"> and other guidance to aid </w:t>
      </w:r>
      <w:r w:rsidRPr="003966AF">
        <w:rPr>
          <w:rStyle w:val="normaltextrun"/>
          <w:rFonts w:eastAsiaTheme="majorEastAsia" w:cs="Arial"/>
          <w:color w:val="000000"/>
          <w:shd w:val="clear" w:color="auto" w:fill="FFFFFF"/>
        </w:rPr>
        <w:t>individual schools</w:t>
      </w:r>
      <w:r w:rsidRPr="003966AF">
        <w:rPr>
          <w:rStyle w:val="normaltextrun"/>
          <w:rFonts w:cs="Arial"/>
          <w:color w:val="000000"/>
          <w:shd w:val="clear" w:color="auto" w:fill="FFFFFF"/>
        </w:rPr>
        <w:t xml:space="preserve"> in implementation.</w:t>
      </w:r>
      <w:r w:rsidRPr="003966AF">
        <w:rPr>
          <w:rStyle w:val="eop"/>
          <w:rFonts w:cs="Arial"/>
          <w:color w:val="000000"/>
          <w:shd w:val="clear" w:color="auto" w:fill="FFFFFF"/>
        </w:rPr>
        <w:t> </w:t>
      </w:r>
    </w:p>
    <w:p w14:paraId="653C02F4" w14:textId="77777777" w:rsidR="009D1222" w:rsidRPr="003966AF" w:rsidRDefault="009D1222" w:rsidP="009D1222">
      <w:pPr>
        <w:pStyle w:val="Heading5"/>
      </w:pPr>
      <w:r w:rsidRPr="003966AF">
        <w:t xml:space="preserve">(3) </w:t>
      </w:r>
      <w:r>
        <w:t>Incorporate r</w:t>
      </w:r>
      <w:r w:rsidRPr="003966AF">
        <w:t>esilien</w:t>
      </w:r>
      <w:r>
        <w:t>ce into</w:t>
      </w:r>
      <w:r w:rsidRPr="003966AF">
        <w:t xml:space="preserve"> </w:t>
      </w:r>
      <w:r>
        <w:t>n</w:t>
      </w:r>
      <w:r w:rsidRPr="003966AF">
        <w:t xml:space="preserve">ew </w:t>
      </w:r>
      <w:r>
        <w:t>c</w:t>
      </w:r>
      <w:r w:rsidRPr="003966AF">
        <w:t xml:space="preserve">onstruction and </w:t>
      </w:r>
      <w:r>
        <w:t>m</w:t>
      </w:r>
      <w:r w:rsidRPr="003966AF">
        <w:t>odernization</w:t>
      </w:r>
      <w:r>
        <w:t xml:space="preserve"> projects</w:t>
      </w:r>
    </w:p>
    <w:p w14:paraId="4A4A3843" w14:textId="5F409B9A" w:rsidR="009D1222" w:rsidRPr="003966AF" w:rsidRDefault="009D1222" w:rsidP="006D7DE6">
      <w:pPr>
        <w:pStyle w:val="BodyTextFirstIndent"/>
      </w:pPr>
      <w:r w:rsidRPr="003966AF">
        <w:t>Districts should include resilience strategies and goals identified during the vulnerability assessment in project requirements and other relevant procurement documents. For projects that occur prior to a vulnerability assessment taking place</w:t>
      </w:r>
      <w:r>
        <w:t>,</w:t>
      </w:r>
      <w:r w:rsidRPr="003966AF">
        <w:t xml:space="preserve"> there are a number</w:t>
      </w:r>
      <w:r>
        <w:t xml:space="preserve"> of </w:t>
      </w:r>
      <w:r w:rsidRPr="003966AF">
        <w:t xml:space="preserve">building code requirements and best practices included in other standards used by schools that address resilient design. </w:t>
      </w:r>
      <w:r>
        <w:t>For example, t</w:t>
      </w:r>
      <w:r w:rsidRPr="003966AF">
        <w:t xml:space="preserve">he </w:t>
      </w:r>
      <w:hyperlink r:id="rId262" w:history="1">
        <w:r w:rsidRPr="00AD06A0">
          <w:rPr>
            <w:rStyle w:val="Hyperlink"/>
          </w:rPr>
          <w:t>ResilientMass Climate Resilience Design Standards Tool</w:t>
        </w:r>
      </w:hyperlink>
      <w:r w:rsidRPr="003966AF">
        <w:t xml:space="preserve"> allows users to input project information to generate recommended standards.</w:t>
      </w:r>
      <w:r>
        <w:fldChar w:fldCharType="begin"/>
      </w:r>
      <w:r w:rsidR="00236CB2">
        <w:instrText xml:space="preserve"> ADDIN ZOTERO_ITEM CSL_CITATION {"citationID":"C1WMnS47","properties":{"formattedCitation":"\\super 278\\nosupersub{}","plainCitation":"278","noteIndex":0},"citationItems":[{"id":716,"uris":["http://zotero.org/groups/5563646/items/P4AQEF9Q"],"itemData":{"id":716,"type":"document","title":"Climate Resilience Design Standards &amp; Guidance","author":[{"literal":"RESILIENT MASSACHUSETTS ACTION TEAM"}],"issued":{"date-parts":[["2022",7]]}}}],"schema":"https://github.com/citation-style-language/schema/raw/master/csl-citation.json"} </w:instrText>
      </w:r>
      <w:r>
        <w:fldChar w:fldCharType="separate"/>
      </w:r>
      <w:r w:rsidR="00236CB2" w:rsidRPr="00236CB2">
        <w:rPr>
          <w:rFonts w:cs="Arial"/>
          <w:vertAlign w:val="superscript"/>
        </w:rPr>
        <w:t>278</w:t>
      </w:r>
      <w:r>
        <w:fldChar w:fldCharType="end"/>
      </w:r>
      <w:r w:rsidRPr="003966AF">
        <w:t xml:space="preserve"> </w:t>
      </w:r>
      <w:r>
        <w:t xml:space="preserve">Additionally, </w:t>
      </w:r>
      <w:r w:rsidRPr="003966AF">
        <w:t>NE</w:t>
      </w:r>
      <w:r>
        <w:t>-</w:t>
      </w:r>
      <w:r w:rsidRPr="003966AF">
        <w:t>CHPS awards points to projects that conduct a vulnerability assessment, incorporate all feasible adaptation measures for top hazards and include passive survivability in the design.</w:t>
      </w:r>
      <w:r w:rsidRPr="003966AF">
        <w:fldChar w:fldCharType="begin"/>
      </w:r>
      <w:r w:rsidR="00531E31">
        <w:instrText xml:space="preserve"> ADDIN ZOTERO_ITEM CSL_CITATION {"citationID":"M7GYzgSZ","properties":{"formattedCitation":"\\super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rsidRPr="003966AF">
        <w:fldChar w:fldCharType="separate"/>
      </w:r>
      <w:r w:rsidR="00531E31" w:rsidRPr="00531E31">
        <w:rPr>
          <w:rFonts w:cs="Arial"/>
          <w:vertAlign w:val="superscript"/>
        </w:rPr>
        <w:t>183</w:t>
      </w:r>
      <w:r w:rsidRPr="003966AF">
        <w:fldChar w:fldCharType="end"/>
      </w:r>
      <w:r w:rsidRPr="003966AF">
        <w:t xml:space="preserve"> For new construction, site selection offers a significant opportunity to mitigate vulnerabilities, whereas hardening of existing infrastructure may be necessary for modernization projects.</w:t>
      </w:r>
    </w:p>
    <w:p w14:paraId="1C5D3237" w14:textId="25E8477F" w:rsidR="009D1222" w:rsidRPr="003966AF" w:rsidRDefault="009D1222" w:rsidP="006D7DE6">
      <w:pPr>
        <w:pStyle w:val="BodyTextFirstIndent"/>
      </w:pPr>
      <w:r w:rsidRPr="003966AF">
        <w:t xml:space="preserve">Many building decarbonization best practices also offer resilience benefits, including a well-insulated and airtight building envelope; HVAC systems that provide sufficient cooling, ventilation, and filtration; natural ventilation via operable windows; and daylighting. In particular, investing in a high-performance envelope can support passive survivability, where the building can maintain a </w:t>
      </w:r>
      <w:r>
        <w:t>habitable</w:t>
      </w:r>
      <w:r w:rsidRPr="003966AF">
        <w:t xml:space="preserve"> indoor environment </w:t>
      </w:r>
      <w:r>
        <w:t>without active systems during</w:t>
      </w:r>
      <w:r w:rsidRPr="003966AF">
        <w:t xml:space="preserve"> disruptions to utilities or HVAC systems.</w:t>
      </w:r>
      <w:r>
        <w:fldChar w:fldCharType="begin"/>
      </w:r>
      <w:r w:rsidR="00D202C4">
        <w:instrText xml:space="preserve"> ADDIN ZOTERO_ITEM CSL_CITATION {"citationID":"i9Bobm6K","properties":{"formattedCitation":"\\super 279\\nosupersub{}","plainCitation":"279","noteIndex":0},"citationItems":[{"id":715,"uris":["http://zotero.org/groups/5563646/items/HXIBZ4S2"],"itemData":{"id":715,"type":"document","publisher":"USGBC","title":"LEED Resilient Design Pilot Credits","URL":"https://www.usgbc.org/sites/default/files/LEED-Resilient-Design-Pilot-Credits-Brief-FINAL.pdf","issued":{"date-parts":[["2019",1]]}}}],"schema":"https://github.com/citation-style-language/schema/raw/master/csl-citation.json"} </w:instrText>
      </w:r>
      <w:r>
        <w:fldChar w:fldCharType="separate"/>
      </w:r>
      <w:r w:rsidR="00D202C4" w:rsidRPr="00D202C4">
        <w:rPr>
          <w:rFonts w:cs="Arial"/>
          <w:vertAlign w:val="superscript"/>
        </w:rPr>
        <w:t>279</w:t>
      </w:r>
      <w:r>
        <w:fldChar w:fldCharType="end"/>
      </w:r>
      <w:r w:rsidRPr="003966AF">
        <w:t xml:space="preserve"> </w:t>
      </w:r>
    </w:p>
    <w:p w14:paraId="3E5C3395" w14:textId="77777777" w:rsidR="009D1222" w:rsidRPr="003966AF" w:rsidRDefault="009D1222" w:rsidP="009D1222">
      <w:pPr>
        <w:pStyle w:val="Heading5"/>
      </w:pPr>
      <w:r w:rsidRPr="003966AF">
        <w:t xml:space="preserve">(4) </w:t>
      </w:r>
      <w:r>
        <w:t>Implement r</w:t>
      </w:r>
      <w:r w:rsidRPr="003966AF">
        <w:t>etrofit</w:t>
      </w:r>
      <w:r>
        <w:t xml:space="preserve"> project</w:t>
      </w:r>
      <w:r w:rsidRPr="003966AF">
        <w:t>s</w:t>
      </w:r>
      <w:r>
        <w:t xml:space="preserve"> targeting resilience</w:t>
      </w:r>
    </w:p>
    <w:p w14:paraId="7233BF88" w14:textId="5CCEC326" w:rsidR="009D1222" w:rsidRPr="003966AF" w:rsidRDefault="009D1222" w:rsidP="006D7DE6">
      <w:pPr>
        <w:pStyle w:val="BodyTextFirstIndent"/>
      </w:pPr>
      <w:r>
        <w:t>Some</w:t>
      </w:r>
      <w:r w:rsidRPr="003966AF">
        <w:t xml:space="preserve"> discrete resilience strategies that apply to new construction and modernizations can be implemented as individual retrofits or a phased series of retrofits. Specific types of retrofits that address Massachusetts’ highest consequence hazards (extreme temperatures, flooding, hurricanes, severe winter storms, and tsunamis) include installing central air conditioning and increased cooling capacity, wind-resistant roofs and windows, and </w:t>
      </w:r>
      <w:r>
        <w:t xml:space="preserve">green infrastructure for </w:t>
      </w:r>
      <w:r w:rsidRPr="003966AF">
        <w:t>flood mitigation</w:t>
      </w:r>
      <w:r>
        <w:t xml:space="preserve"> and shading</w:t>
      </w:r>
      <w:r w:rsidRPr="003966AF">
        <w:t>.</w:t>
      </w:r>
      <w:r>
        <w:t xml:space="preserve"> Districts should work with project teams to </w:t>
      </w:r>
      <w:r w:rsidR="0087291C">
        <w:t xml:space="preserve">identify </w:t>
      </w:r>
      <w:r>
        <w:t xml:space="preserve">HVAC and envelope retrofits </w:t>
      </w:r>
      <w:r w:rsidR="0087291C">
        <w:t xml:space="preserve">that </w:t>
      </w:r>
      <w:r>
        <w:t>achieve health co-benefits from improvements to indoor air quality.</w:t>
      </w:r>
    </w:p>
    <w:p w14:paraId="4647AD88" w14:textId="236010D3" w:rsidR="009D1222" w:rsidRPr="003966AF" w:rsidRDefault="009D1222" w:rsidP="006D7DE6">
      <w:pPr>
        <w:pStyle w:val="BodyTextFirstIndent"/>
      </w:pPr>
      <w:r w:rsidRPr="003966AF">
        <w:t>Backup power</w:t>
      </w:r>
      <w:r>
        <w:t xml:space="preserve"> generation</w:t>
      </w:r>
      <w:r w:rsidRPr="003966AF">
        <w:t xml:space="preserve"> to cover critical building services is one of the most commonly considered resilience </w:t>
      </w:r>
      <w:r>
        <w:t>projects</w:t>
      </w:r>
      <w:r w:rsidRPr="003966AF">
        <w:t xml:space="preserve">. While backup power has traditionally been provided by diesel and natural gas generators, there are increasing options for non-GHG emitting backup power in the form of onsite solar PV, </w:t>
      </w:r>
      <w:r>
        <w:t>BESS</w:t>
      </w:r>
      <w:r w:rsidRPr="003966AF">
        <w:t>, and even V2L-enabled electric school buses</w:t>
      </w:r>
      <w:r>
        <w:t xml:space="preserve"> (see </w:t>
      </w:r>
      <w:hyperlink w:anchor="_(13)_Install_and" w:history="1">
        <w:r w:rsidRPr="00337352">
          <w:rPr>
            <w:rStyle w:val="Hyperlink"/>
          </w:rPr>
          <w:t>Objective 1a. Install and Use Onsite Renewable Energy Systems</w:t>
        </w:r>
      </w:hyperlink>
      <w:r>
        <w:t xml:space="preserve"> and </w:t>
      </w:r>
      <w:hyperlink w:anchor="Objective_1d" w:history="1">
        <w:r w:rsidRPr="00643EE7">
          <w:rPr>
            <w:rStyle w:val="Hyperlink"/>
          </w:rPr>
          <w:t>Objective 1d. Electrify School Bus Fleets</w:t>
        </w:r>
      </w:hyperlink>
      <w:r>
        <w:t xml:space="preserve"> for additional details)</w:t>
      </w:r>
      <w:r w:rsidRPr="003966AF">
        <w:t>. It is important to note there are specific electrical infrastructure and permitting requirements to allow schools to safely “island” themselves from the electrical grid in the event of an outage.</w:t>
      </w:r>
      <w:r>
        <w:t xml:space="preserve"> </w:t>
      </w:r>
      <w:r>
        <w:lastRenderedPageBreak/>
        <w:t>BESS and other forms of energy storage</w:t>
      </w:r>
      <w:r w:rsidR="00723316">
        <w:t xml:space="preserve"> </w:t>
      </w:r>
      <w:r>
        <w:t xml:space="preserve">also support Massachusetts’ </w:t>
      </w:r>
      <w:hyperlink r:id="rId263" w:history="1">
        <w:r w:rsidRPr="00863449">
          <w:rPr>
            <w:rStyle w:val="Hyperlink"/>
          </w:rPr>
          <w:t>Energy Storage Initiative goas and targets</w:t>
        </w:r>
      </w:hyperlink>
      <w:r>
        <w:t>.</w:t>
      </w:r>
    </w:p>
    <w:p w14:paraId="46D90E40" w14:textId="77777777" w:rsidR="009D1222" w:rsidRPr="003966AF" w:rsidRDefault="009D1222" w:rsidP="009D1222">
      <w:pPr>
        <w:pStyle w:val="Heading5"/>
      </w:pPr>
      <w:r w:rsidRPr="003966AF">
        <w:t xml:space="preserve">(5) </w:t>
      </w:r>
      <w:r>
        <w:t>Perform r</w:t>
      </w:r>
      <w:r w:rsidRPr="003966AF">
        <w:t xml:space="preserve">esilient </w:t>
      </w:r>
      <w:r>
        <w:t>O&amp;M</w:t>
      </w:r>
    </w:p>
    <w:p w14:paraId="100490E8" w14:textId="48DA31EA" w:rsidR="009D1222" w:rsidRPr="003966AF" w:rsidRDefault="009D1222" w:rsidP="006D7DE6">
      <w:pPr>
        <w:pStyle w:val="BodyTextFirstIndent"/>
      </w:pPr>
      <w:r w:rsidRPr="003966AF">
        <w:t xml:space="preserve">Knowledgeable O&amp;M staff are critical to school operations and increasingly important </w:t>
      </w:r>
      <w:r>
        <w:t>in the event of a</w:t>
      </w:r>
      <w:r w:rsidRPr="003966AF">
        <w:t xml:space="preserve"> disruption. A strong preventive maintenance program can decrease the risk of system failures </w:t>
      </w:r>
      <w:r>
        <w:t>due</w:t>
      </w:r>
      <w:r w:rsidRPr="003966AF">
        <w:t xml:space="preserve"> to a hazard event. Emergency preparedness plans can establish procedures for response to hazard events and</w:t>
      </w:r>
      <w:r w:rsidR="00557F1F">
        <w:t xml:space="preserve"> prepare</w:t>
      </w:r>
      <w:r w:rsidRPr="003966AF">
        <w:t xml:space="preserve"> staff to execute plans. This can range from O&amp;M staff being knowledgeable about transferring from grid-supplied electricity to backup power systems to </w:t>
      </w:r>
      <w:r>
        <w:t>d</w:t>
      </w:r>
      <w:r w:rsidRPr="003966AF">
        <w:t>istrict staff expand</w:t>
      </w:r>
      <w:r>
        <w:t>ing</w:t>
      </w:r>
      <w:r w:rsidRPr="003966AF">
        <w:t xml:space="preserve"> community support services at a school following a hazard event.</w:t>
      </w:r>
      <w:r>
        <w:t xml:space="preserve"> Establishing m</w:t>
      </w:r>
      <w:r w:rsidRPr="003966AF">
        <w:t>utual aid agreements</w:t>
      </w:r>
      <w:r>
        <w:t xml:space="preserve"> with other government and community organizations can provide a framework for a coordinated response to hazard events.</w:t>
      </w:r>
    </w:p>
    <w:p w14:paraId="34C62379" w14:textId="77777777" w:rsidR="0061039D" w:rsidRDefault="0061039D" w:rsidP="0061039D">
      <w:pPr>
        <w:pStyle w:val="Heading3"/>
      </w:pPr>
      <w:r>
        <w:t>Statutes, Regulations, and Standards</w:t>
      </w:r>
    </w:p>
    <w:p w14:paraId="304BB87E" w14:textId="77777777" w:rsidR="0061039D" w:rsidRPr="00FD0D46" w:rsidRDefault="0061039D" w:rsidP="006D7DE6">
      <w:pPr>
        <w:pStyle w:val="BodyTextFirstIndent"/>
      </w:pPr>
      <w:r>
        <w:t>Statutes, regulations, and standards that include a focus on climate resilience are detailed below.</w:t>
      </w:r>
    </w:p>
    <w:p w14:paraId="63F183F3" w14:textId="77777777" w:rsidR="0061039D" w:rsidRPr="00ED3ECC" w:rsidRDefault="0061039D" w:rsidP="0061039D">
      <w:pPr>
        <w:pStyle w:val="Heading4"/>
      </w:pPr>
      <w:r>
        <w:t>Relevant Regulations</w:t>
      </w:r>
    </w:p>
    <w:p w14:paraId="5A514B49" w14:textId="2FB83428" w:rsidR="0061039D" w:rsidRPr="003966AF" w:rsidRDefault="0061039D" w:rsidP="0061039D">
      <w:pPr>
        <w:rPr>
          <w:rFonts w:ascii="Arial" w:hAnsi="Arial" w:cs="Arial"/>
          <w:sz w:val="24"/>
        </w:rPr>
      </w:pPr>
      <w:r w:rsidRPr="004917DF">
        <w:rPr>
          <w:rFonts w:ascii="Arial" w:hAnsi="Arial" w:cs="Arial"/>
          <w:b/>
          <w:bCs/>
          <w:sz w:val="24"/>
        </w:rPr>
        <w:t>Massachusetts State Building Code (MSBC) 780 CMR</w:t>
      </w:r>
      <w:r w:rsidRPr="003966AF">
        <w:rPr>
          <w:rFonts w:ascii="Arial" w:hAnsi="Arial" w:cs="Arial"/>
          <w:sz w:val="24"/>
        </w:rPr>
        <w:t xml:space="preserve"> is a statewide mandated construction code that “includes most of the federal construction requirements listed in the U.S. Code of Federal Regulations Title 44, Section 60.3 for floodplains as defined by FEMA</w:t>
      </w:r>
      <w:r w:rsidR="00723316">
        <w:rPr>
          <w:rFonts w:ascii="Arial" w:hAnsi="Arial" w:cs="Arial"/>
          <w:sz w:val="24"/>
        </w:rPr>
        <w:t xml:space="preserve"> </w:t>
      </w:r>
      <w:r w:rsidRPr="003966AF">
        <w:rPr>
          <w:rFonts w:ascii="Arial" w:hAnsi="Arial" w:cs="Arial"/>
          <w:sz w:val="24"/>
        </w:rPr>
        <w:t>Flood Insurance Rate Maps.</w:t>
      </w:r>
      <w:r>
        <w:rPr>
          <w:rFonts w:ascii="Arial" w:hAnsi="Arial" w:cs="Arial"/>
          <w:sz w:val="24"/>
        </w:rPr>
        <w:t>”</w:t>
      </w:r>
      <w:r w:rsidRPr="003966AF">
        <w:rPr>
          <w:rFonts w:ascii="Arial" w:hAnsi="Arial" w:cs="Arial"/>
          <w:sz w:val="24"/>
        </w:rPr>
        <w:fldChar w:fldCharType="begin"/>
      </w:r>
      <w:r w:rsidR="00210DBB">
        <w:rPr>
          <w:rFonts w:ascii="Arial" w:hAnsi="Arial" w:cs="Arial"/>
          <w:sz w:val="24"/>
        </w:rPr>
        <w:instrText xml:space="preserve"> ADDIN ZOTERO_ITEM CSL_CITATION {"citationID":"oHLsuy5l","properties":{"formattedCitation":"\\super 95\\nosupersub{}","plainCitation":"95","noteIndex":0},"citationItems":[{"id":724,"uris":["http://zotero.org/groups/5563646/items/VC6XBYLJ"],"itemData":{"id":724,"type":"document","language":"en","source":"Zotero","title":"ResilientMass Plan","URL":"https://www.mass.gov/doc/resilientmass-plan-2023/download","author":[{"literal":"Massachusetts Executive Office of Energy and Environmental Affairs"}],"issued":{"date-parts":[["2023"]]}}}],"schema":"https://github.com/citation-style-language/schema/raw/master/csl-citation.json"} </w:instrText>
      </w:r>
      <w:r w:rsidRPr="003966AF">
        <w:rPr>
          <w:rFonts w:ascii="Arial" w:hAnsi="Arial" w:cs="Arial"/>
          <w:sz w:val="24"/>
        </w:rPr>
        <w:fldChar w:fldCharType="separate"/>
      </w:r>
      <w:r w:rsidR="002B6C39" w:rsidRPr="002B6C39">
        <w:rPr>
          <w:rFonts w:ascii="Arial" w:hAnsi="Arial" w:cs="Arial"/>
          <w:sz w:val="24"/>
          <w:vertAlign w:val="superscript"/>
        </w:rPr>
        <w:t>95</w:t>
      </w:r>
      <w:r w:rsidRPr="003966AF">
        <w:rPr>
          <w:rFonts w:ascii="Arial" w:hAnsi="Arial" w:cs="Arial"/>
          <w:sz w:val="24"/>
        </w:rPr>
        <w:fldChar w:fldCharType="end"/>
      </w:r>
      <w:r>
        <w:rPr>
          <w:rFonts w:ascii="Arial" w:hAnsi="Arial" w:cs="Arial"/>
          <w:sz w:val="24"/>
        </w:rPr>
        <w:t xml:space="preserve"> Other hazards included in the MSBC include wind, snow, and earthquakes.</w:t>
      </w:r>
    </w:p>
    <w:p w14:paraId="7BC228C0" w14:textId="77777777" w:rsidR="0061039D" w:rsidRDefault="0061039D" w:rsidP="0061039D">
      <w:pPr>
        <w:pStyle w:val="Heading4"/>
      </w:pPr>
      <w:r>
        <w:t>Relevant Standards</w:t>
      </w:r>
    </w:p>
    <w:p w14:paraId="62A249E8" w14:textId="5337FD6A" w:rsidR="0061039D" w:rsidRPr="00011585" w:rsidRDefault="0061039D" w:rsidP="0061039D">
      <w:pPr>
        <w:rPr>
          <w:rFonts w:ascii="Arial" w:hAnsi="Arial" w:cs="Arial"/>
          <w:sz w:val="24"/>
        </w:rPr>
      </w:pPr>
      <w:r w:rsidRPr="00011585">
        <w:rPr>
          <w:rFonts w:ascii="Arial" w:hAnsi="Arial" w:cs="Arial"/>
          <w:b/>
          <w:bCs/>
          <w:color w:val="000000"/>
          <w:sz w:val="24"/>
        </w:rPr>
        <w:t xml:space="preserve">LEED v4.1: Resilient Design Pilot Credit </w:t>
      </w:r>
      <w:r>
        <w:rPr>
          <w:rFonts w:ascii="Arial" w:hAnsi="Arial" w:cs="Arial"/>
          <w:color w:val="000000"/>
          <w:sz w:val="24"/>
        </w:rPr>
        <w:t>awards up to five points for projects that perform a vulnerability assessment, implement mitigation strategies for two of the top three identified hazards, and incorporate passive survivability and backup power in the design.</w:t>
      </w:r>
      <w:r>
        <w:rPr>
          <w:rFonts w:ascii="Arial" w:hAnsi="Arial" w:cs="Arial"/>
          <w:color w:val="000000"/>
          <w:sz w:val="24"/>
        </w:rPr>
        <w:fldChar w:fldCharType="begin"/>
      </w:r>
      <w:r w:rsidR="00052BE8">
        <w:rPr>
          <w:rFonts w:ascii="Arial" w:hAnsi="Arial" w:cs="Arial"/>
          <w:color w:val="000000"/>
          <w:sz w:val="24"/>
        </w:rPr>
        <w:instrText xml:space="preserve"> ADDIN ZOTERO_ITEM CSL_CITATION {"citationID":"XdgiUVS3","properties":{"formattedCitation":"\\super 279\\nosupersub{}","plainCitation":"279","noteIndex":0},"citationItems":[{"id":715,"uris":["http://zotero.org/groups/5563646/items/HXIBZ4S2"],"itemData":{"id":715,"type":"document","publisher":"USGBC","title":"LEED Resilient Design Pilot Credits","URL":"https://www.usgbc.org/sites/default/files/LEED-Resilient-Design-Pilot-Credits-Brief-FINAL.pdf","issued":{"date-parts":[["2019",1]]}}}],"schema":"https://github.com/citation-style-language/schema/raw/master/csl-citation.json"} </w:instrText>
      </w:r>
      <w:r>
        <w:rPr>
          <w:rFonts w:ascii="Arial" w:hAnsi="Arial" w:cs="Arial"/>
          <w:color w:val="000000"/>
          <w:sz w:val="24"/>
        </w:rPr>
        <w:fldChar w:fldCharType="separate"/>
      </w:r>
      <w:r w:rsidR="00052BE8" w:rsidRPr="00052BE8">
        <w:rPr>
          <w:rFonts w:ascii="Arial" w:hAnsi="Arial" w:cs="Arial"/>
          <w:sz w:val="24"/>
          <w:vertAlign w:val="superscript"/>
        </w:rPr>
        <w:t>279</w:t>
      </w:r>
      <w:r>
        <w:rPr>
          <w:rFonts w:ascii="Arial" w:hAnsi="Arial" w:cs="Arial"/>
          <w:color w:val="000000"/>
          <w:sz w:val="24"/>
        </w:rPr>
        <w:fldChar w:fldCharType="end"/>
      </w:r>
    </w:p>
    <w:p w14:paraId="06FA2260" w14:textId="77777777" w:rsidR="0061039D" w:rsidRDefault="0061039D" w:rsidP="0061039D">
      <w:pPr>
        <w:rPr>
          <w:rFonts w:ascii="Arial" w:hAnsi="Arial" w:cs="Arial"/>
          <w:b/>
          <w:bCs/>
          <w:color w:val="000000"/>
          <w:sz w:val="24"/>
        </w:rPr>
      </w:pPr>
    </w:p>
    <w:p w14:paraId="45056F3A" w14:textId="5F6BCAEC" w:rsidR="0061039D" w:rsidRDefault="0061039D" w:rsidP="0061039D">
      <w:pPr>
        <w:rPr>
          <w:rFonts w:ascii="Arial" w:hAnsi="Arial" w:cs="Arial"/>
          <w:sz w:val="24"/>
        </w:rPr>
      </w:pPr>
      <w:r w:rsidRPr="008B1303">
        <w:rPr>
          <w:rFonts w:ascii="Arial" w:hAnsi="Arial" w:cs="Arial"/>
          <w:b/>
          <w:bCs/>
          <w:color w:val="000000"/>
          <w:sz w:val="24"/>
        </w:rPr>
        <w:t>NE</w:t>
      </w:r>
      <w:r>
        <w:rPr>
          <w:rFonts w:ascii="Arial" w:hAnsi="Arial" w:cs="Arial"/>
          <w:b/>
          <w:bCs/>
          <w:color w:val="000000"/>
          <w:sz w:val="24"/>
        </w:rPr>
        <w:t>-</w:t>
      </w:r>
      <w:r w:rsidRPr="008B1303">
        <w:rPr>
          <w:rFonts w:ascii="Arial" w:hAnsi="Arial" w:cs="Arial"/>
          <w:b/>
          <w:bCs/>
          <w:color w:val="000000"/>
          <w:sz w:val="24"/>
        </w:rPr>
        <w:t>CHPS: Design for Adaptation and Resilience</w:t>
      </w:r>
      <w:r w:rsidRPr="00AF45DD">
        <w:rPr>
          <w:rFonts w:ascii="Arial" w:hAnsi="Arial" w:cs="Arial"/>
          <w:color w:val="000000"/>
          <w:sz w:val="24"/>
        </w:rPr>
        <w:t xml:space="preserve"> </w:t>
      </w:r>
      <w:r>
        <w:rPr>
          <w:rFonts w:ascii="Arial" w:hAnsi="Arial" w:cs="Arial"/>
          <w:color w:val="000000"/>
          <w:sz w:val="24"/>
        </w:rPr>
        <w:t xml:space="preserve">awards points to projects that perform vulnerability assessments covering the lifespan of the asset, </w:t>
      </w:r>
      <w:r w:rsidRPr="003966AF">
        <w:rPr>
          <w:rFonts w:ascii="Arial" w:hAnsi="Arial" w:cs="Arial"/>
          <w:sz w:val="24"/>
        </w:rPr>
        <w:t>incorporate all feasible adaptation measures for top hazards, and include passive survivability in the design.</w:t>
      </w:r>
      <w:r>
        <w:rPr>
          <w:rFonts w:ascii="Arial" w:hAnsi="Arial" w:cs="Arial"/>
          <w:sz w:val="24"/>
        </w:rPr>
        <w:fldChar w:fldCharType="begin"/>
      </w:r>
      <w:r w:rsidR="00721746">
        <w:rPr>
          <w:rFonts w:ascii="Arial" w:hAnsi="Arial" w:cs="Arial"/>
          <w:sz w:val="24"/>
        </w:rPr>
        <w:instrText xml:space="preserve"> ADDIN ZOTERO_ITEM CSL_CITATION {"citationID":"voiedxkh","properties":{"formattedCitation":"\\super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rPr>
          <w:rFonts w:ascii="Arial" w:hAnsi="Arial" w:cs="Arial"/>
          <w:sz w:val="24"/>
        </w:rPr>
        <w:fldChar w:fldCharType="separate"/>
      </w:r>
      <w:r w:rsidR="00721746" w:rsidRPr="00721746">
        <w:rPr>
          <w:rFonts w:ascii="Arial" w:hAnsi="Arial" w:cs="Arial"/>
          <w:sz w:val="24"/>
          <w:vertAlign w:val="superscript"/>
        </w:rPr>
        <w:t>183</w:t>
      </w:r>
      <w:r>
        <w:rPr>
          <w:rFonts w:ascii="Arial" w:hAnsi="Arial" w:cs="Arial"/>
          <w:sz w:val="24"/>
        </w:rPr>
        <w:fldChar w:fldCharType="end"/>
      </w:r>
    </w:p>
    <w:p w14:paraId="7C88E04E" w14:textId="27E83706" w:rsidR="0061039D" w:rsidRDefault="0061039D" w:rsidP="006D7DE6">
      <w:pPr>
        <w:pStyle w:val="BodyTextFirstIndent"/>
      </w:pPr>
      <w:r>
        <w:fldChar w:fldCharType="begin"/>
      </w:r>
      <w:r>
        <w:instrText xml:space="preserve"> REF _Ref172532709 \h </w:instrText>
      </w:r>
      <w:r>
        <w:fldChar w:fldCharType="separate"/>
      </w:r>
      <w:r w:rsidR="00307850">
        <w:t xml:space="preserve">Table </w:t>
      </w:r>
      <w:r w:rsidR="00307850">
        <w:rPr>
          <w:noProof/>
        </w:rPr>
        <w:t>56</w:t>
      </w:r>
      <w:r>
        <w:fldChar w:fldCharType="end"/>
      </w:r>
      <w:r>
        <w:t xml:space="preserve"> summarizes the statutes, regulations, and performance standards related to </w:t>
      </w:r>
      <w:r w:rsidRPr="003966AF">
        <w:t>enhancing climate resilience in schools</w:t>
      </w:r>
      <w:r>
        <w:t>.</w:t>
      </w:r>
    </w:p>
    <w:p w14:paraId="2A12012E" w14:textId="310F27DB" w:rsidR="0061039D" w:rsidRDefault="0061039D" w:rsidP="00B30C96">
      <w:pPr>
        <w:pStyle w:val="Caption"/>
      </w:pPr>
      <w:bookmarkStart w:id="503" w:name="_Ref172532709"/>
      <w:bookmarkStart w:id="504" w:name="_Toc192711722"/>
      <w:bookmarkStart w:id="505" w:name="_Toc193112604"/>
      <w:bookmarkStart w:id="506" w:name="_Toc193117003"/>
      <w:r>
        <w:lastRenderedPageBreak/>
        <w:t xml:space="preserve">Table </w:t>
      </w:r>
      <w:fldSimple w:instr=" SEQ Table \* ARABIC ">
        <w:r w:rsidR="00307850">
          <w:rPr>
            <w:noProof/>
          </w:rPr>
          <w:t>56</w:t>
        </w:r>
      </w:fldSimple>
      <w:bookmarkEnd w:id="503"/>
      <w:r>
        <w:t>.</w:t>
      </w:r>
      <w:r w:rsidRPr="00AD43CE">
        <w:t xml:space="preserve"> </w:t>
      </w:r>
      <w:r>
        <w:t xml:space="preserve">Statutory/Regulatory Framework and Notable Standards for </w:t>
      </w:r>
      <w:r w:rsidRPr="003966AF">
        <w:rPr>
          <w:rFonts w:cs="Arial"/>
        </w:rPr>
        <w:t xml:space="preserve">Enhancing Climate Resilience </w:t>
      </w:r>
      <w:r>
        <w:rPr>
          <w:rFonts w:cs="Arial"/>
        </w:rPr>
        <w:t>at Schools</w:t>
      </w:r>
      <w:bookmarkEnd w:id="504"/>
      <w:bookmarkEnd w:id="505"/>
      <w:bookmarkEnd w:id="506"/>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enhancing climate resilience at schools."/>
      </w:tblPr>
      <w:tblGrid>
        <w:gridCol w:w="6480"/>
        <w:gridCol w:w="957"/>
        <w:gridCol w:w="957"/>
        <w:gridCol w:w="956"/>
      </w:tblGrid>
      <w:tr w:rsidR="0061039D" w:rsidRPr="003966AF" w14:paraId="742DD5C2" w14:textId="77777777" w:rsidTr="007C5E8A">
        <w:trPr>
          <w:cantSplit/>
          <w:trHeight w:val="1817"/>
          <w:tblHeader/>
          <w:jc w:val="center"/>
        </w:trPr>
        <w:tc>
          <w:tcPr>
            <w:tcW w:w="346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0FC40A78" w14:textId="77777777" w:rsidR="0061039D" w:rsidRPr="003966AF" w:rsidRDefault="0061039D">
            <w:pPr>
              <w:pStyle w:val="TableColumnHeader"/>
            </w:pPr>
            <w:r w:rsidRPr="003966AF">
              <w:t>Regulation/Standard</w:t>
            </w:r>
          </w:p>
        </w:tc>
        <w:tc>
          <w:tcPr>
            <w:tcW w:w="512"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6ED25F61" w14:textId="77777777" w:rsidR="0061039D" w:rsidRPr="003966AF" w:rsidRDefault="0061039D">
            <w:pPr>
              <w:pStyle w:val="TableColumnHeader"/>
              <w:jc w:val="left"/>
            </w:pPr>
            <w:r>
              <w:t>Local/State</w:t>
            </w:r>
            <w:r w:rsidRPr="00E11392">
              <w:t xml:space="preserve"> Statute/ Regulation</w:t>
            </w:r>
          </w:p>
        </w:tc>
        <w:tc>
          <w:tcPr>
            <w:tcW w:w="512"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7A1F883" w14:textId="77777777" w:rsidR="0061039D" w:rsidRPr="003966AF" w:rsidRDefault="0061039D">
            <w:pPr>
              <w:pStyle w:val="TableColumnHeader"/>
              <w:jc w:val="left"/>
            </w:pPr>
            <w:r>
              <w:t>Other</w:t>
            </w:r>
            <w:r w:rsidRPr="00E11392">
              <w:t xml:space="preserve"> Statute/ Regulation</w:t>
            </w:r>
          </w:p>
        </w:tc>
        <w:tc>
          <w:tcPr>
            <w:tcW w:w="512"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BC77F33" w14:textId="77777777" w:rsidR="0061039D" w:rsidRPr="003966AF" w:rsidRDefault="0061039D">
            <w:pPr>
              <w:pStyle w:val="TableColumnHeader"/>
              <w:jc w:val="left"/>
              <w:rPr>
                <w:rFonts w:cs="Arial"/>
                <w:b w:val="0"/>
              </w:rPr>
            </w:pPr>
            <w:r w:rsidRPr="003966AF">
              <w:t xml:space="preserve">Performance </w:t>
            </w:r>
          </w:p>
          <w:p w14:paraId="6F67978C" w14:textId="77777777" w:rsidR="0061039D" w:rsidRPr="003966AF" w:rsidRDefault="0061039D">
            <w:pPr>
              <w:pStyle w:val="TableColumnHeader"/>
              <w:jc w:val="left"/>
            </w:pPr>
            <w:r w:rsidRPr="003966AF">
              <w:t>Standard</w:t>
            </w:r>
          </w:p>
        </w:tc>
      </w:tr>
      <w:tr w:rsidR="0061039D" w:rsidRPr="003966AF" w14:paraId="31B4A7D2"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D6E7614" w14:textId="77777777" w:rsidR="0061039D" w:rsidRPr="003966AF" w:rsidRDefault="0061039D">
            <w:pPr>
              <w:rPr>
                <w:rFonts w:ascii="Arial" w:hAnsi="Arial" w:cs="Arial"/>
                <w:b/>
                <w:bCs/>
                <w:color w:val="FFFFFF" w:themeColor="background1"/>
                <w:sz w:val="24"/>
              </w:rPr>
            </w:pPr>
            <w:r w:rsidRPr="003966AF">
              <w:rPr>
                <w:rFonts w:ascii="Arial" w:hAnsi="Arial" w:cs="Arial"/>
                <w:b/>
                <w:bCs/>
                <w:color w:val="FFFFFF" w:themeColor="background1"/>
                <w:sz w:val="24"/>
              </w:rPr>
              <w:t>Regulations</w:t>
            </w:r>
          </w:p>
        </w:tc>
      </w:tr>
      <w:tr w:rsidR="0061039D" w:rsidRPr="003966AF" w14:paraId="4B042F79" w14:textId="77777777" w:rsidTr="007C5E8A">
        <w:trPr>
          <w:cantSplit/>
          <w:trHeight w:val="255"/>
          <w:tblHeader/>
          <w:jc w:val="center"/>
        </w:trPr>
        <w:tc>
          <w:tcPr>
            <w:tcW w:w="3465" w:type="pct"/>
            <w:tcBorders>
              <w:top w:val="nil"/>
              <w:left w:val="single" w:sz="4" w:space="0" w:color="auto"/>
              <w:bottom w:val="single" w:sz="4" w:space="0" w:color="auto"/>
              <w:right w:val="single" w:sz="4" w:space="0" w:color="auto"/>
            </w:tcBorders>
            <w:shd w:val="clear" w:color="auto" w:fill="auto"/>
          </w:tcPr>
          <w:p w14:paraId="6F090A93" w14:textId="2179E405" w:rsidR="0061039D" w:rsidRPr="003966AF" w:rsidRDefault="0061039D">
            <w:pPr>
              <w:rPr>
                <w:rFonts w:ascii="Arial" w:hAnsi="Arial" w:cs="Arial"/>
                <w:sz w:val="24"/>
              </w:rPr>
            </w:pPr>
            <w:r w:rsidRPr="004917DF">
              <w:rPr>
                <w:rFonts w:ascii="Arial" w:hAnsi="Arial" w:cs="Arial"/>
                <w:sz w:val="24"/>
              </w:rPr>
              <w:t>MSBC 780 CMR</w:t>
            </w:r>
          </w:p>
        </w:tc>
        <w:tc>
          <w:tcPr>
            <w:tcW w:w="512" w:type="pct"/>
            <w:tcBorders>
              <w:top w:val="nil"/>
              <w:left w:val="single" w:sz="4" w:space="0" w:color="auto"/>
              <w:bottom w:val="single" w:sz="4" w:space="0" w:color="auto"/>
              <w:right w:val="single" w:sz="4" w:space="0" w:color="auto"/>
            </w:tcBorders>
            <w:shd w:val="clear" w:color="auto" w:fill="auto"/>
            <w:vAlign w:val="center"/>
          </w:tcPr>
          <w:p w14:paraId="48E792AD" w14:textId="77777777" w:rsidR="0061039D" w:rsidRPr="003966AF" w:rsidRDefault="0061039D">
            <w:pPr>
              <w:jc w:val="center"/>
              <w:rPr>
                <w:rFonts w:ascii="Arial" w:hAnsi="Arial" w:cs="Arial"/>
                <w:b/>
                <w:bCs/>
                <w:sz w:val="24"/>
              </w:rPr>
            </w:pPr>
            <w:r w:rsidRPr="003966AF">
              <w:rPr>
                <w:rFonts w:ascii="Arial" w:hAnsi="Arial" w:cs="Arial"/>
                <w:b/>
                <w:bCs/>
                <w:color w:val="00B050"/>
                <w:sz w:val="24"/>
              </w:rPr>
              <w:t>X</w:t>
            </w:r>
          </w:p>
        </w:tc>
        <w:tc>
          <w:tcPr>
            <w:tcW w:w="512" w:type="pct"/>
            <w:tcBorders>
              <w:top w:val="nil"/>
              <w:left w:val="single" w:sz="4" w:space="0" w:color="auto"/>
              <w:bottom w:val="single" w:sz="4" w:space="0" w:color="auto"/>
              <w:right w:val="single" w:sz="4" w:space="0" w:color="auto"/>
            </w:tcBorders>
            <w:shd w:val="clear" w:color="auto" w:fill="auto"/>
            <w:vAlign w:val="center"/>
          </w:tcPr>
          <w:p w14:paraId="76F2D8A0" w14:textId="77777777" w:rsidR="0061039D" w:rsidRPr="003966AF" w:rsidRDefault="0061039D">
            <w:pPr>
              <w:jc w:val="center"/>
              <w:rPr>
                <w:rFonts w:ascii="Arial" w:hAnsi="Arial" w:cs="Arial"/>
                <w:b/>
                <w:bCs/>
                <w:color w:val="00B050"/>
                <w:sz w:val="24"/>
              </w:rPr>
            </w:pPr>
          </w:p>
        </w:tc>
        <w:tc>
          <w:tcPr>
            <w:tcW w:w="512" w:type="pct"/>
            <w:tcBorders>
              <w:top w:val="nil"/>
              <w:left w:val="single" w:sz="4" w:space="0" w:color="auto"/>
              <w:bottom w:val="single" w:sz="4" w:space="0" w:color="auto"/>
              <w:right w:val="single" w:sz="4" w:space="0" w:color="auto"/>
            </w:tcBorders>
            <w:shd w:val="clear" w:color="auto" w:fill="auto"/>
            <w:vAlign w:val="center"/>
          </w:tcPr>
          <w:p w14:paraId="5D6D73E6" w14:textId="77777777" w:rsidR="0061039D" w:rsidRPr="003966AF" w:rsidRDefault="0061039D">
            <w:pPr>
              <w:jc w:val="center"/>
              <w:rPr>
                <w:rFonts w:ascii="Arial" w:hAnsi="Arial" w:cs="Arial"/>
                <w:b/>
                <w:bCs/>
                <w:sz w:val="24"/>
              </w:rPr>
            </w:pPr>
          </w:p>
        </w:tc>
      </w:tr>
      <w:tr w:rsidR="0061039D" w:rsidRPr="003966AF" w14:paraId="1B20AB80"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7A9E0487" w14:textId="77777777" w:rsidR="0061039D" w:rsidRPr="003966AF" w:rsidRDefault="0061039D">
            <w:pPr>
              <w:rPr>
                <w:rFonts w:ascii="Arial" w:hAnsi="Arial" w:cs="Arial"/>
                <w:b/>
                <w:bCs/>
                <w:color w:val="FFFFFF" w:themeColor="background1"/>
                <w:sz w:val="24"/>
              </w:rPr>
            </w:pPr>
            <w:r w:rsidRPr="003966AF">
              <w:rPr>
                <w:rFonts w:ascii="Arial" w:hAnsi="Arial" w:cs="Arial"/>
                <w:b/>
                <w:bCs/>
                <w:color w:val="FFFFFF" w:themeColor="background1"/>
                <w:sz w:val="24"/>
              </w:rPr>
              <w:t>Standards</w:t>
            </w:r>
          </w:p>
        </w:tc>
      </w:tr>
      <w:tr w:rsidR="0061039D" w:rsidRPr="003966AF" w14:paraId="79CA3C5F" w14:textId="77777777" w:rsidTr="007C5E8A">
        <w:trPr>
          <w:cantSplit/>
          <w:trHeight w:val="255"/>
          <w:tblHeader/>
          <w:jc w:val="center"/>
        </w:trPr>
        <w:tc>
          <w:tcPr>
            <w:tcW w:w="3465" w:type="pct"/>
            <w:tcBorders>
              <w:top w:val="nil"/>
              <w:left w:val="single" w:sz="4" w:space="0" w:color="auto"/>
              <w:bottom w:val="single" w:sz="4" w:space="0" w:color="auto"/>
              <w:right w:val="single" w:sz="4" w:space="0" w:color="auto"/>
            </w:tcBorders>
            <w:shd w:val="clear" w:color="auto" w:fill="auto"/>
          </w:tcPr>
          <w:p w14:paraId="4F601C19" w14:textId="77777777" w:rsidR="0061039D" w:rsidRPr="003966AF" w:rsidRDefault="0061039D">
            <w:pPr>
              <w:rPr>
                <w:rFonts w:ascii="Arial" w:hAnsi="Arial" w:cs="Arial"/>
                <w:color w:val="000000"/>
                <w:sz w:val="24"/>
              </w:rPr>
            </w:pPr>
            <w:r>
              <w:rPr>
                <w:rFonts w:ascii="Arial" w:hAnsi="Arial" w:cs="Arial"/>
                <w:color w:val="000000"/>
                <w:sz w:val="24"/>
              </w:rPr>
              <w:t>LEED v4.1: Resilient Design Pilot Credit</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3522D9AD" w14:textId="77777777" w:rsidR="0061039D" w:rsidRPr="003966AF" w:rsidRDefault="0061039D">
            <w:pPr>
              <w:jc w:val="center"/>
              <w:rPr>
                <w:rFonts w:ascii="Arial" w:hAnsi="Arial" w:cs="Arial"/>
                <w:b/>
                <w:bCs/>
                <w:color w:val="00B050"/>
                <w:sz w:val="24"/>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15059F96" w14:textId="77777777" w:rsidR="0061039D" w:rsidRPr="003966AF" w:rsidRDefault="0061039D">
            <w:pPr>
              <w:jc w:val="center"/>
              <w:rPr>
                <w:rFonts w:ascii="Arial" w:hAnsi="Arial" w:cs="Arial"/>
                <w:b/>
                <w:bCs/>
                <w:color w:val="00B050"/>
                <w:sz w:val="24"/>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13C7F9E3" w14:textId="77777777" w:rsidR="0061039D" w:rsidRPr="003966AF" w:rsidRDefault="0061039D">
            <w:pPr>
              <w:jc w:val="center"/>
              <w:rPr>
                <w:rFonts w:ascii="Arial" w:hAnsi="Arial" w:cs="Arial"/>
                <w:b/>
                <w:bCs/>
                <w:color w:val="00B050"/>
                <w:sz w:val="24"/>
              </w:rPr>
            </w:pPr>
            <w:r>
              <w:rPr>
                <w:rFonts w:ascii="Arial" w:hAnsi="Arial" w:cs="Arial"/>
                <w:b/>
                <w:bCs/>
                <w:color w:val="00B050"/>
                <w:sz w:val="24"/>
              </w:rPr>
              <w:t>X</w:t>
            </w:r>
          </w:p>
        </w:tc>
      </w:tr>
      <w:tr w:rsidR="0061039D" w:rsidRPr="003966AF" w14:paraId="15A062D9" w14:textId="77777777" w:rsidTr="007C5E8A">
        <w:trPr>
          <w:cantSplit/>
          <w:trHeight w:val="255"/>
          <w:tblHeader/>
          <w:jc w:val="center"/>
        </w:trPr>
        <w:tc>
          <w:tcPr>
            <w:tcW w:w="3465" w:type="pct"/>
            <w:tcBorders>
              <w:top w:val="single" w:sz="4" w:space="0" w:color="auto"/>
              <w:left w:val="single" w:sz="4" w:space="0" w:color="auto"/>
              <w:bottom w:val="single" w:sz="4" w:space="0" w:color="auto"/>
              <w:right w:val="single" w:sz="4" w:space="0" w:color="auto"/>
            </w:tcBorders>
            <w:shd w:val="clear" w:color="auto" w:fill="auto"/>
          </w:tcPr>
          <w:p w14:paraId="5E7B1094" w14:textId="77777777" w:rsidR="0061039D" w:rsidRPr="003966AF" w:rsidRDefault="0061039D">
            <w:pPr>
              <w:rPr>
                <w:rFonts w:ascii="Arial" w:hAnsi="Arial" w:cs="Arial"/>
                <w:color w:val="000000"/>
                <w:sz w:val="24"/>
              </w:rPr>
            </w:pPr>
            <w:r w:rsidRPr="003966AF">
              <w:rPr>
                <w:rFonts w:ascii="Arial" w:hAnsi="Arial" w:cs="Arial"/>
                <w:color w:val="000000"/>
                <w:sz w:val="24"/>
              </w:rPr>
              <w:t>NE</w:t>
            </w:r>
            <w:r>
              <w:rPr>
                <w:rFonts w:ascii="Arial" w:hAnsi="Arial" w:cs="Arial"/>
                <w:color w:val="000000"/>
                <w:sz w:val="24"/>
              </w:rPr>
              <w:t>-</w:t>
            </w:r>
            <w:r w:rsidRPr="003966AF">
              <w:rPr>
                <w:rFonts w:ascii="Arial" w:hAnsi="Arial" w:cs="Arial"/>
                <w:color w:val="000000"/>
                <w:sz w:val="24"/>
              </w:rPr>
              <w:t>CHPS</w:t>
            </w:r>
            <w:r>
              <w:rPr>
                <w:rFonts w:ascii="Arial" w:hAnsi="Arial" w:cs="Arial"/>
                <w:color w:val="000000"/>
                <w:sz w:val="24"/>
              </w:rPr>
              <w:t>: Design for Adaptation and Resilience</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3237F893" w14:textId="77777777" w:rsidR="0061039D" w:rsidRPr="003966AF" w:rsidRDefault="0061039D">
            <w:pPr>
              <w:jc w:val="center"/>
              <w:rPr>
                <w:rFonts w:ascii="Arial" w:hAnsi="Arial" w:cs="Arial"/>
                <w:b/>
                <w:bCs/>
                <w:color w:val="00B050"/>
                <w:sz w:val="24"/>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2847EE14" w14:textId="77777777" w:rsidR="0061039D" w:rsidRPr="003966AF" w:rsidRDefault="0061039D">
            <w:pPr>
              <w:jc w:val="center"/>
              <w:rPr>
                <w:rFonts w:ascii="Arial" w:hAnsi="Arial" w:cs="Arial"/>
                <w:b/>
                <w:bCs/>
                <w:color w:val="00B050"/>
                <w:sz w:val="24"/>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A854476" w14:textId="77777777" w:rsidR="0061039D" w:rsidRPr="003966AF" w:rsidRDefault="0061039D">
            <w:pPr>
              <w:jc w:val="center"/>
              <w:rPr>
                <w:rFonts w:ascii="Arial" w:hAnsi="Arial" w:cs="Arial"/>
                <w:b/>
                <w:bCs/>
                <w:color w:val="00B050"/>
                <w:sz w:val="24"/>
              </w:rPr>
            </w:pPr>
            <w:r w:rsidRPr="003966AF">
              <w:rPr>
                <w:rFonts w:ascii="Arial" w:hAnsi="Arial" w:cs="Arial"/>
                <w:b/>
                <w:bCs/>
                <w:color w:val="00B050"/>
                <w:sz w:val="24"/>
              </w:rPr>
              <w:t>X</w:t>
            </w:r>
          </w:p>
        </w:tc>
      </w:tr>
    </w:tbl>
    <w:p w14:paraId="1A7AD3C5" w14:textId="77777777" w:rsidR="0007279B" w:rsidRPr="003966AF" w:rsidRDefault="0007279B" w:rsidP="0007279B">
      <w:pPr>
        <w:pStyle w:val="Heading3"/>
        <w:rPr>
          <w:sz w:val="24"/>
          <w:szCs w:val="24"/>
        </w:rPr>
      </w:pPr>
      <w:r w:rsidRPr="003966AF">
        <w:rPr>
          <w:sz w:val="24"/>
          <w:szCs w:val="24"/>
        </w:rPr>
        <w:t>Relevant Resources</w:t>
      </w:r>
    </w:p>
    <w:p w14:paraId="751AEF2D" w14:textId="3B8168F7" w:rsidR="0007279B" w:rsidRPr="003966AF" w:rsidRDefault="0007279B" w:rsidP="006D7DE6">
      <w:pPr>
        <w:pStyle w:val="BodyTextFirstIndent"/>
      </w:pPr>
      <w:r>
        <w:fldChar w:fldCharType="begin"/>
      </w:r>
      <w:r>
        <w:instrText xml:space="preserve"> REF _Ref172532740 \h </w:instrText>
      </w:r>
      <w:r>
        <w:fldChar w:fldCharType="separate"/>
      </w:r>
      <w:r w:rsidR="00307850">
        <w:t xml:space="preserve">Table </w:t>
      </w:r>
      <w:r w:rsidR="00307850">
        <w:rPr>
          <w:noProof/>
        </w:rPr>
        <w:t>57</w:t>
      </w:r>
      <w:r>
        <w:fldChar w:fldCharType="end"/>
      </w:r>
      <w:r>
        <w:t xml:space="preserve"> </w:t>
      </w:r>
      <w:r w:rsidRPr="003966AF">
        <w:t>provides a summary of resources related to enhancing climate resilience in schools.</w:t>
      </w:r>
    </w:p>
    <w:p w14:paraId="25567D8C" w14:textId="04E36B1B" w:rsidR="0007279B" w:rsidRPr="003966AF" w:rsidRDefault="0007279B" w:rsidP="00B30C96">
      <w:pPr>
        <w:pStyle w:val="Caption"/>
      </w:pPr>
      <w:bookmarkStart w:id="507" w:name="_Ref172532740"/>
      <w:bookmarkStart w:id="508" w:name="_Toc192711723"/>
      <w:bookmarkStart w:id="509" w:name="_Toc193112605"/>
      <w:bookmarkStart w:id="510" w:name="_Toc193117004"/>
      <w:r>
        <w:t xml:space="preserve">Table </w:t>
      </w:r>
      <w:r>
        <w:fldChar w:fldCharType="begin"/>
      </w:r>
      <w:r w:rsidRPr="003966AF">
        <w:instrText xml:space="preserve"> SEQ Table \* ARABIC </w:instrText>
      </w:r>
      <w:r>
        <w:fldChar w:fldCharType="separate"/>
      </w:r>
      <w:r w:rsidR="00307850">
        <w:rPr>
          <w:noProof/>
        </w:rPr>
        <w:t>57</w:t>
      </w:r>
      <w:r>
        <w:fldChar w:fldCharType="end"/>
      </w:r>
      <w:bookmarkEnd w:id="507"/>
      <w:r w:rsidRPr="003966AF">
        <w:t xml:space="preserve">. Resources </w:t>
      </w:r>
      <w:r>
        <w:t>for</w:t>
      </w:r>
      <w:r w:rsidRPr="003966AF">
        <w:t xml:space="preserve"> Enhancing Climate Resilience in Schools</w:t>
      </w:r>
      <w:bookmarkEnd w:id="508"/>
      <w:bookmarkEnd w:id="509"/>
      <w:bookmarkEnd w:id="510"/>
    </w:p>
    <w:tbl>
      <w:tblPr>
        <w:tblStyle w:val="TableGrid"/>
        <w:tblW w:w="0" w:type="auto"/>
        <w:tblLayout w:type="fixed"/>
        <w:tblLook w:val="04A0" w:firstRow="1" w:lastRow="0" w:firstColumn="1" w:lastColumn="0" w:noHBand="0" w:noVBand="1"/>
        <w:tblDescription w:val="Table listing resources with active URLs for enhancing climate resilience in schools."/>
      </w:tblPr>
      <w:tblGrid>
        <w:gridCol w:w="2605"/>
        <w:gridCol w:w="2070"/>
        <w:gridCol w:w="4675"/>
      </w:tblGrid>
      <w:tr w:rsidR="0007279B" w:rsidRPr="003966AF" w14:paraId="36F0554B" w14:textId="77777777" w:rsidTr="00D84AB5">
        <w:trPr>
          <w:tblHeader/>
        </w:trPr>
        <w:tc>
          <w:tcPr>
            <w:tcW w:w="2605" w:type="dxa"/>
            <w:shd w:val="clear" w:color="auto" w:fill="C6D9F1" w:themeFill="text2" w:themeFillTint="33"/>
          </w:tcPr>
          <w:p w14:paraId="021B226E" w14:textId="77777777" w:rsidR="0007279B" w:rsidRPr="003966AF" w:rsidRDefault="0007279B">
            <w:pPr>
              <w:jc w:val="center"/>
              <w:rPr>
                <w:rFonts w:ascii="Arial" w:hAnsi="Arial" w:cs="Arial"/>
                <w:b/>
                <w:bCs/>
                <w:sz w:val="24"/>
              </w:rPr>
            </w:pPr>
            <w:r w:rsidRPr="003966AF">
              <w:rPr>
                <w:rFonts w:ascii="Arial" w:hAnsi="Arial" w:cs="Arial"/>
                <w:b/>
                <w:bCs/>
                <w:sz w:val="24"/>
              </w:rPr>
              <w:t>Resource</w:t>
            </w:r>
          </w:p>
        </w:tc>
        <w:tc>
          <w:tcPr>
            <w:tcW w:w="2070" w:type="dxa"/>
            <w:shd w:val="clear" w:color="auto" w:fill="C6D9F1" w:themeFill="text2" w:themeFillTint="33"/>
          </w:tcPr>
          <w:p w14:paraId="66047CC6" w14:textId="77777777" w:rsidR="0007279B" w:rsidRPr="003966AF" w:rsidRDefault="0007279B">
            <w:pPr>
              <w:jc w:val="center"/>
              <w:rPr>
                <w:rFonts w:ascii="Arial" w:hAnsi="Arial" w:cs="Arial"/>
                <w:b/>
                <w:bCs/>
                <w:sz w:val="24"/>
              </w:rPr>
            </w:pPr>
            <w:r w:rsidRPr="003966AF">
              <w:rPr>
                <w:rFonts w:ascii="Arial" w:hAnsi="Arial" w:cs="Arial"/>
                <w:b/>
                <w:bCs/>
                <w:sz w:val="24"/>
              </w:rPr>
              <w:t>Author</w:t>
            </w:r>
          </w:p>
        </w:tc>
        <w:tc>
          <w:tcPr>
            <w:tcW w:w="4675" w:type="dxa"/>
            <w:shd w:val="clear" w:color="auto" w:fill="C6D9F1" w:themeFill="text2" w:themeFillTint="33"/>
          </w:tcPr>
          <w:p w14:paraId="55339537" w14:textId="77777777" w:rsidR="0007279B" w:rsidRPr="003966AF" w:rsidRDefault="0007279B">
            <w:pPr>
              <w:jc w:val="center"/>
              <w:rPr>
                <w:rFonts w:ascii="Arial" w:hAnsi="Arial" w:cs="Arial"/>
                <w:b/>
                <w:bCs/>
                <w:sz w:val="24"/>
              </w:rPr>
            </w:pPr>
            <w:r w:rsidRPr="003966AF">
              <w:rPr>
                <w:rFonts w:ascii="Arial" w:hAnsi="Arial" w:cs="Arial"/>
                <w:b/>
                <w:bCs/>
                <w:sz w:val="24"/>
              </w:rPr>
              <w:t>URL</w:t>
            </w:r>
          </w:p>
        </w:tc>
      </w:tr>
      <w:tr w:rsidR="0007279B" w:rsidRPr="003966AF" w14:paraId="2B4EE05D" w14:textId="77777777" w:rsidTr="00D84AB5">
        <w:tc>
          <w:tcPr>
            <w:tcW w:w="2605" w:type="dxa"/>
          </w:tcPr>
          <w:p w14:paraId="3D04F0D1" w14:textId="77777777" w:rsidR="0007279B" w:rsidRPr="003966AF" w:rsidRDefault="0007279B">
            <w:pPr>
              <w:rPr>
                <w:rFonts w:ascii="Arial" w:hAnsi="Arial" w:cs="Arial"/>
                <w:sz w:val="24"/>
              </w:rPr>
            </w:pPr>
            <w:r>
              <w:rPr>
                <w:rFonts w:ascii="Arial" w:hAnsi="Arial" w:cs="Arial"/>
                <w:sz w:val="24"/>
              </w:rPr>
              <w:t>Climate Enhanced Community Profiles</w:t>
            </w:r>
          </w:p>
        </w:tc>
        <w:tc>
          <w:tcPr>
            <w:tcW w:w="2070" w:type="dxa"/>
          </w:tcPr>
          <w:p w14:paraId="01976236" w14:textId="77777777" w:rsidR="0007279B" w:rsidRPr="003966AF" w:rsidRDefault="0007279B">
            <w:pPr>
              <w:rPr>
                <w:rFonts w:ascii="Arial" w:hAnsi="Arial" w:cs="Arial"/>
                <w:sz w:val="24"/>
              </w:rPr>
            </w:pPr>
            <w:r>
              <w:rPr>
                <w:rFonts w:ascii="Arial" w:hAnsi="Arial" w:cs="Arial"/>
                <w:sz w:val="24"/>
              </w:rPr>
              <w:t>DPH</w:t>
            </w:r>
          </w:p>
        </w:tc>
        <w:tc>
          <w:tcPr>
            <w:tcW w:w="4675" w:type="dxa"/>
          </w:tcPr>
          <w:p w14:paraId="279F74C1" w14:textId="723A7747" w:rsidR="0007279B" w:rsidRPr="003966AF" w:rsidRDefault="0007279B">
            <w:pPr>
              <w:rPr>
                <w:rFonts w:ascii="Arial" w:hAnsi="Arial" w:cs="Arial"/>
                <w:sz w:val="24"/>
              </w:rPr>
            </w:pPr>
            <w:hyperlink r:id="rId264" w:history="1">
              <w:r w:rsidRPr="00316C53">
                <w:rPr>
                  <w:rStyle w:val="Hyperlink"/>
                  <w:rFonts w:cs="Arial"/>
                </w:rPr>
                <w:t>https://matracking.ehs.state.ma.us/Climate-Change/climate_and_health_profile.html</w:t>
              </w:r>
            </w:hyperlink>
            <w:r>
              <w:rPr>
                <w:rFonts w:ascii="Arial" w:hAnsi="Arial" w:cs="Arial"/>
                <w:sz w:val="24"/>
              </w:rPr>
              <w:t xml:space="preserve"> </w:t>
            </w:r>
          </w:p>
        </w:tc>
      </w:tr>
      <w:tr w:rsidR="0007279B" w:rsidRPr="003966AF" w14:paraId="3E38E2C2" w14:textId="77777777" w:rsidTr="00D84AB5">
        <w:tc>
          <w:tcPr>
            <w:tcW w:w="2605" w:type="dxa"/>
          </w:tcPr>
          <w:p w14:paraId="0C02235F" w14:textId="77777777" w:rsidR="0007279B" w:rsidRPr="003966AF" w:rsidRDefault="0007279B">
            <w:pPr>
              <w:rPr>
                <w:rFonts w:ascii="Arial" w:hAnsi="Arial" w:cs="Arial"/>
                <w:sz w:val="24"/>
              </w:rPr>
            </w:pPr>
            <w:r w:rsidRPr="003966AF">
              <w:rPr>
                <w:rFonts w:ascii="Arial" w:hAnsi="Arial" w:cs="Arial"/>
                <w:sz w:val="24"/>
              </w:rPr>
              <w:t>Climate Resilience Design Standards &amp; Guidance</w:t>
            </w:r>
          </w:p>
        </w:tc>
        <w:tc>
          <w:tcPr>
            <w:tcW w:w="2070" w:type="dxa"/>
          </w:tcPr>
          <w:p w14:paraId="4913AB98" w14:textId="77777777" w:rsidR="0007279B" w:rsidRPr="003966AF" w:rsidRDefault="0007279B">
            <w:pPr>
              <w:rPr>
                <w:rFonts w:ascii="Arial" w:hAnsi="Arial" w:cs="Arial"/>
                <w:sz w:val="24"/>
              </w:rPr>
            </w:pPr>
            <w:r w:rsidRPr="003966AF">
              <w:rPr>
                <w:rFonts w:ascii="Arial" w:hAnsi="Arial" w:cs="Arial"/>
                <w:sz w:val="24"/>
              </w:rPr>
              <w:t>ResilientMass</w:t>
            </w:r>
          </w:p>
        </w:tc>
        <w:tc>
          <w:tcPr>
            <w:tcW w:w="4675" w:type="dxa"/>
          </w:tcPr>
          <w:p w14:paraId="12AAD1A2" w14:textId="139EBDC6" w:rsidR="0007279B" w:rsidRDefault="0007279B">
            <w:hyperlink r:id="rId265" w:history="1">
              <w:r w:rsidRPr="00DF5EFC">
                <w:rPr>
                  <w:rStyle w:val="Hyperlink"/>
                  <w:rFonts w:cs="Arial"/>
                </w:rPr>
                <w:t>https://resilient.mass.gov/rmat_home/designstandards/</w:t>
              </w:r>
            </w:hyperlink>
          </w:p>
        </w:tc>
      </w:tr>
      <w:tr w:rsidR="0007279B" w:rsidRPr="003966AF" w14:paraId="3208A4C5" w14:textId="77777777" w:rsidTr="00D84AB5">
        <w:tc>
          <w:tcPr>
            <w:tcW w:w="2605" w:type="dxa"/>
          </w:tcPr>
          <w:p w14:paraId="275FFB14" w14:textId="77777777" w:rsidR="0007279B" w:rsidRPr="003966AF" w:rsidRDefault="0007279B">
            <w:pPr>
              <w:pStyle w:val="TableText"/>
              <w:rPr>
                <w:rFonts w:cs="Arial"/>
              </w:rPr>
            </w:pPr>
            <w:r>
              <w:t>Extreme Heat Resource Guide</w:t>
            </w:r>
          </w:p>
        </w:tc>
        <w:tc>
          <w:tcPr>
            <w:tcW w:w="2070" w:type="dxa"/>
          </w:tcPr>
          <w:p w14:paraId="282FF680" w14:textId="77777777" w:rsidR="0007279B" w:rsidRPr="003966AF" w:rsidRDefault="0007279B">
            <w:pPr>
              <w:pStyle w:val="TableText"/>
              <w:rPr>
                <w:rFonts w:cs="Arial"/>
              </w:rPr>
            </w:pPr>
            <w:r>
              <w:t>DPH, BCEH</w:t>
            </w:r>
          </w:p>
        </w:tc>
        <w:tc>
          <w:tcPr>
            <w:tcW w:w="4675" w:type="dxa"/>
          </w:tcPr>
          <w:p w14:paraId="531043DF" w14:textId="6224D42A" w:rsidR="0007279B" w:rsidRPr="00391066" w:rsidRDefault="0007279B">
            <w:pPr>
              <w:rPr>
                <w:rFonts w:ascii="Arial" w:hAnsi="Arial" w:cs="Arial"/>
                <w:sz w:val="24"/>
              </w:rPr>
            </w:pPr>
            <w:hyperlink r:id="rId266" w:history="1">
              <w:r w:rsidRPr="006E6C86">
                <w:rPr>
                  <w:rStyle w:val="Hyperlink"/>
                </w:rPr>
                <w:t>https://www.mass.gov/doc/extreme-heat-resource-guide-pdf/download</w:t>
              </w:r>
            </w:hyperlink>
          </w:p>
        </w:tc>
      </w:tr>
      <w:tr w:rsidR="0007279B" w:rsidRPr="003966AF" w14:paraId="5D145E95" w14:textId="77777777" w:rsidTr="00D84AB5">
        <w:tc>
          <w:tcPr>
            <w:tcW w:w="2605" w:type="dxa"/>
          </w:tcPr>
          <w:p w14:paraId="10A5DC7B" w14:textId="77777777" w:rsidR="0007279B" w:rsidRPr="003966AF" w:rsidRDefault="0007279B">
            <w:pPr>
              <w:rPr>
                <w:rFonts w:ascii="Arial" w:hAnsi="Arial" w:cs="Arial"/>
                <w:sz w:val="24"/>
              </w:rPr>
            </w:pPr>
            <w:r w:rsidRPr="003966AF">
              <w:rPr>
                <w:rFonts w:ascii="Arial" w:hAnsi="Arial" w:cs="Arial"/>
                <w:sz w:val="24"/>
              </w:rPr>
              <w:t>Local Hazard Mitigation Planning</w:t>
            </w:r>
          </w:p>
        </w:tc>
        <w:tc>
          <w:tcPr>
            <w:tcW w:w="2070" w:type="dxa"/>
          </w:tcPr>
          <w:p w14:paraId="46081607" w14:textId="77777777" w:rsidR="0007279B" w:rsidRPr="003966AF" w:rsidRDefault="0007279B">
            <w:pPr>
              <w:rPr>
                <w:rFonts w:ascii="Arial" w:hAnsi="Arial" w:cs="Arial"/>
                <w:sz w:val="24"/>
              </w:rPr>
            </w:pPr>
            <w:r w:rsidRPr="003966AF">
              <w:rPr>
                <w:rFonts w:ascii="Arial" w:hAnsi="Arial" w:cs="Arial"/>
                <w:sz w:val="24"/>
              </w:rPr>
              <w:t>MEMA</w:t>
            </w:r>
          </w:p>
        </w:tc>
        <w:tc>
          <w:tcPr>
            <w:tcW w:w="4675" w:type="dxa"/>
          </w:tcPr>
          <w:p w14:paraId="3F41DEFD" w14:textId="35CBC06B" w:rsidR="0007279B" w:rsidRPr="003966AF" w:rsidRDefault="0007279B">
            <w:pPr>
              <w:rPr>
                <w:rFonts w:ascii="Arial" w:hAnsi="Arial" w:cs="Arial"/>
                <w:sz w:val="24"/>
              </w:rPr>
            </w:pPr>
            <w:hyperlink r:id="rId267" w:history="1">
              <w:r w:rsidRPr="00DF5EFC">
                <w:rPr>
                  <w:rStyle w:val="Hyperlink"/>
                  <w:rFonts w:cs="Arial"/>
                </w:rPr>
                <w:t>https://www.mass.gov/info-details/local-hazard-mitigation-planning</w:t>
              </w:r>
            </w:hyperlink>
          </w:p>
        </w:tc>
      </w:tr>
      <w:tr w:rsidR="0007279B" w:rsidRPr="003966AF" w14:paraId="10ED8A8C" w14:textId="77777777" w:rsidTr="00D84AB5">
        <w:tc>
          <w:tcPr>
            <w:tcW w:w="2605" w:type="dxa"/>
          </w:tcPr>
          <w:p w14:paraId="717D6FB0" w14:textId="77777777" w:rsidR="0007279B" w:rsidRPr="003966AF" w:rsidRDefault="0007279B">
            <w:pPr>
              <w:rPr>
                <w:rFonts w:ascii="Arial" w:hAnsi="Arial" w:cs="Arial"/>
                <w:sz w:val="24"/>
              </w:rPr>
            </w:pPr>
            <w:r w:rsidRPr="003966AF">
              <w:rPr>
                <w:rFonts w:ascii="Arial" w:hAnsi="Arial" w:cs="Arial"/>
                <w:sz w:val="24"/>
              </w:rPr>
              <w:t>MVP Planning 2.0</w:t>
            </w:r>
          </w:p>
        </w:tc>
        <w:tc>
          <w:tcPr>
            <w:tcW w:w="2070" w:type="dxa"/>
          </w:tcPr>
          <w:p w14:paraId="7432B2EA" w14:textId="77777777" w:rsidR="0007279B" w:rsidRPr="003966AF" w:rsidRDefault="0007279B">
            <w:pPr>
              <w:rPr>
                <w:rFonts w:ascii="Arial" w:hAnsi="Arial" w:cs="Arial"/>
                <w:sz w:val="24"/>
              </w:rPr>
            </w:pPr>
            <w:r w:rsidRPr="003966AF">
              <w:rPr>
                <w:rFonts w:ascii="Arial" w:hAnsi="Arial" w:cs="Arial"/>
                <w:sz w:val="24"/>
              </w:rPr>
              <w:t>MA EEA</w:t>
            </w:r>
          </w:p>
        </w:tc>
        <w:tc>
          <w:tcPr>
            <w:tcW w:w="4675" w:type="dxa"/>
          </w:tcPr>
          <w:p w14:paraId="58069E23" w14:textId="23B0428C" w:rsidR="0007279B" w:rsidRPr="003966AF" w:rsidRDefault="0007279B">
            <w:pPr>
              <w:rPr>
                <w:rFonts w:ascii="Arial" w:hAnsi="Arial" w:cs="Arial"/>
                <w:sz w:val="24"/>
              </w:rPr>
            </w:pPr>
            <w:hyperlink r:id="rId268" w:history="1">
              <w:r w:rsidRPr="00DF5EFC">
                <w:rPr>
                  <w:rStyle w:val="Hyperlink"/>
                  <w:rFonts w:cs="Arial"/>
                </w:rPr>
                <w:t>https://www.mass.gov/info-details/mvp-20</w:t>
              </w:r>
            </w:hyperlink>
          </w:p>
        </w:tc>
      </w:tr>
      <w:tr w:rsidR="0007279B" w:rsidRPr="003966AF" w14:paraId="0D6A5DAC" w14:textId="77777777" w:rsidTr="00D84AB5">
        <w:tc>
          <w:tcPr>
            <w:tcW w:w="2605" w:type="dxa"/>
          </w:tcPr>
          <w:p w14:paraId="03E8CA92" w14:textId="77777777" w:rsidR="0007279B" w:rsidRPr="003966AF" w:rsidRDefault="0007279B">
            <w:pPr>
              <w:rPr>
                <w:rFonts w:ascii="Arial" w:hAnsi="Arial" w:cs="Arial"/>
                <w:sz w:val="24"/>
              </w:rPr>
            </w:pPr>
            <w:r>
              <w:rPr>
                <w:rFonts w:ascii="Arial" w:hAnsi="Arial" w:cs="Arial"/>
                <w:sz w:val="24"/>
              </w:rPr>
              <w:t xml:space="preserve">ResilientMass Plan </w:t>
            </w:r>
          </w:p>
        </w:tc>
        <w:tc>
          <w:tcPr>
            <w:tcW w:w="2070" w:type="dxa"/>
          </w:tcPr>
          <w:p w14:paraId="14AFEEE0" w14:textId="77777777" w:rsidR="0007279B" w:rsidRPr="003966AF" w:rsidRDefault="0007279B">
            <w:pPr>
              <w:rPr>
                <w:rFonts w:ascii="Arial" w:hAnsi="Arial" w:cs="Arial"/>
                <w:sz w:val="24"/>
              </w:rPr>
            </w:pPr>
            <w:r>
              <w:rPr>
                <w:rFonts w:ascii="Arial" w:hAnsi="Arial" w:cs="Arial"/>
                <w:sz w:val="24"/>
              </w:rPr>
              <w:t>MEMA and MA EEA</w:t>
            </w:r>
          </w:p>
        </w:tc>
        <w:tc>
          <w:tcPr>
            <w:tcW w:w="4675" w:type="dxa"/>
          </w:tcPr>
          <w:p w14:paraId="3C6BC4D1" w14:textId="5D137CB6" w:rsidR="0007279B" w:rsidRPr="003966AF" w:rsidRDefault="0007279B">
            <w:pPr>
              <w:rPr>
                <w:rFonts w:ascii="Arial" w:hAnsi="Arial" w:cs="Arial"/>
                <w:sz w:val="24"/>
              </w:rPr>
            </w:pPr>
            <w:hyperlink r:id="rId269" w:history="1">
              <w:r w:rsidRPr="00DF5EFC">
                <w:rPr>
                  <w:rStyle w:val="Hyperlink"/>
                  <w:rFonts w:cs="Arial"/>
                </w:rPr>
                <w:t>https://www.mass.gov/info-details/2023-resilientmass-plan</w:t>
              </w:r>
            </w:hyperlink>
          </w:p>
        </w:tc>
      </w:tr>
      <w:tr w:rsidR="009C597A" w:rsidRPr="003966AF" w14:paraId="0B390B73" w14:textId="77777777" w:rsidTr="00D84AB5">
        <w:tc>
          <w:tcPr>
            <w:tcW w:w="2605" w:type="dxa"/>
          </w:tcPr>
          <w:p w14:paraId="54AA39B2" w14:textId="43258311" w:rsidR="009C597A" w:rsidRDefault="009C597A" w:rsidP="00D84AB5">
            <w:pPr>
              <w:pStyle w:val="TableText"/>
            </w:pPr>
            <w:r>
              <w:t>Climate Resil</w:t>
            </w:r>
            <w:r w:rsidR="00D84AB5">
              <w:t>ient Schools Coalition</w:t>
            </w:r>
          </w:p>
        </w:tc>
        <w:tc>
          <w:tcPr>
            <w:tcW w:w="2070" w:type="dxa"/>
          </w:tcPr>
          <w:p w14:paraId="217442D9" w14:textId="4285FE8C" w:rsidR="009C597A" w:rsidRDefault="00D84AB5" w:rsidP="00D84AB5">
            <w:pPr>
              <w:pStyle w:val="TableText"/>
            </w:pPr>
            <w:r w:rsidRPr="00D84AB5">
              <w:t>Climate Resilient Schools Coalition</w:t>
            </w:r>
          </w:p>
        </w:tc>
        <w:tc>
          <w:tcPr>
            <w:tcW w:w="4675" w:type="dxa"/>
          </w:tcPr>
          <w:p w14:paraId="20EA5F7C" w14:textId="6998B7C4" w:rsidR="00D84AB5" w:rsidRDefault="00D84AB5" w:rsidP="00D84AB5">
            <w:pPr>
              <w:pStyle w:val="TableText"/>
            </w:pPr>
            <w:hyperlink r:id="rId270" w:history="1">
              <w:r w:rsidRPr="007350B0">
                <w:rPr>
                  <w:rStyle w:val="Hyperlink"/>
                </w:rPr>
                <w:t>https://www.climateresilientschoolsma.org</w:t>
              </w:r>
            </w:hyperlink>
          </w:p>
          <w:p w14:paraId="043548DD" w14:textId="614255CA" w:rsidR="00D84AB5" w:rsidRDefault="00D84AB5" w:rsidP="00D84AB5">
            <w:pPr>
              <w:pStyle w:val="TableText"/>
            </w:pPr>
          </w:p>
        </w:tc>
      </w:tr>
      <w:tr w:rsidR="0007279B" w:rsidRPr="003966AF" w14:paraId="619CCB61" w14:textId="77777777" w:rsidTr="00D84AB5">
        <w:tc>
          <w:tcPr>
            <w:tcW w:w="2605" w:type="dxa"/>
          </w:tcPr>
          <w:p w14:paraId="6EE21347" w14:textId="77777777" w:rsidR="0007279B" w:rsidRDefault="0007279B">
            <w:pPr>
              <w:rPr>
                <w:rFonts w:ascii="Arial" w:hAnsi="Arial" w:cs="Arial"/>
                <w:sz w:val="24"/>
              </w:rPr>
            </w:pPr>
            <w:r w:rsidRPr="003966AF">
              <w:rPr>
                <w:rFonts w:ascii="Arial" w:hAnsi="Arial" w:cs="Arial"/>
                <w:sz w:val="24"/>
              </w:rPr>
              <w:t>School Decarbonization Strategy Spotlight: Resiliency</w:t>
            </w:r>
          </w:p>
          <w:p w14:paraId="1BB7726E" w14:textId="77777777" w:rsidR="00B43A4A" w:rsidRDefault="00B43A4A">
            <w:pPr>
              <w:rPr>
                <w:rFonts w:ascii="Arial" w:hAnsi="Arial" w:cs="Arial"/>
                <w:sz w:val="24"/>
              </w:rPr>
            </w:pPr>
          </w:p>
          <w:p w14:paraId="4498377F" w14:textId="77777777" w:rsidR="00B43A4A" w:rsidRPr="003966AF" w:rsidRDefault="00B43A4A">
            <w:pPr>
              <w:rPr>
                <w:rFonts w:ascii="Arial" w:hAnsi="Arial" w:cs="Arial"/>
                <w:sz w:val="24"/>
              </w:rPr>
            </w:pPr>
          </w:p>
        </w:tc>
        <w:tc>
          <w:tcPr>
            <w:tcW w:w="2070" w:type="dxa"/>
          </w:tcPr>
          <w:p w14:paraId="1E95DCD4" w14:textId="77777777" w:rsidR="0007279B" w:rsidRPr="003966AF" w:rsidRDefault="0007279B">
            <w:pPr>
              <w:rPr>
                <w:rFonts w:ascii="Arial" w:hAnsi="Arial" w:cs="Arial"/>
                <w:sz w:val="24"/>
              </w:rPr>
            </w:pPr>
            <w:r w:rsidRPr="003966AF">
              <w:rPr>
                <w:rFonts w:ascii="Arial" w:hAnsi="Arial" w:cs="Arial"/>
                <w:sz w:val="24"/>
              </w:rPr>
              <w:t>New Buildings Institute</w:t>
            </w:r>
          </w:p>
        </w:tc>
        <w:tc>
          <w:tcPr>
            <w:tcW w:w="4675" w:type="dxa"/>
          </w:tcPr>
          <w:p w14:paraId="764574BF" w14:textId="73530853" w:rsidR="0007279B" w:rsidRDefault="0007279B">
            <w:hyperlink r:id="rId271" w:history="1">
              <w:r w:rsidRPr="00DF5EFC">
                <w:rPr>
                  <w:rStyle w:val="Hyperlink"/>
                  <w:rFonts w:cs="Arial"/>
                </w:rPr>
                <w:t>https://newbuildings.org/wp-content/uploads/2024/03/School-Decarbonization-Spotlight_Resiliency_NBI-122923.pdf</w:t>
              </w:r>
            </w:hyperlink>
          </w:p>
        </w:tc>
      </w:tr>
      <w:tr w:rsidR="0007279B" w:rsidRPr="003966AF" w14:paraId="7F058C8D" w14:textId="77777777" w:rsidTr="00D84AB5">
        <w:tc>
          <w:tcPr>
            <w:tcW w:w="2605" w:type="dxa"/>
          </w:tcPr>
          <w:p w14:paraId="57333C27" w14:textId="77777777" w:rsidR="0007279B" w:rsidRPr="003966AF" w:rsidRDefault="0007279B">
            <w:pPr>
              <w:rPr>
                <w:rFonts w:ascii="Arial" w:hAnsi="Arial" w:cs="Arial"/>
                <w:sz w:val="24"/>
              </w:rPr>
            </w:pPr>
            <w:r w:rsidRPr="009A47C6">
              <w:rPr>
                <w:rFonts w:ascii="Arial" w:hAnsi="Arial" w:cs="Arial"/>
                <w:sz w:val="24"/>
              </w:rPr>
              <w:lastRenderedPageBreak/>
              <w:t>Template Policy Language for Addressing Extreme Heat and Air Quality in Schools</w:t>
            </w:r>
          </w:p>
        </w:tc>
        <w:tc>
          <w:tcPr>
            <w:tcW w:w="2070" w:type="dxa"/>
          </w:tcPr>
          <w:p w14:paraId="63977DEE" w14:textId="77777777" w:rsidR="0007279B" w:rsidRPr="003966AF" w:rsidRDefault="0007279B">
            <w:pPr>
              <w:rPr>
                <w:rFonts w:ascii="Arial" w:hAnsi="Arial" w:cs="Arial"/>
                <w:sz w:val="24"/>
              </w:rPr>
            </w:pPr>
            <w:r>
              <w:rPr>
                <w:rFonts w:ascii="Arial" w:hAnsi="Arial" w:cs="Arial"/>
                <w:sz w:val="24"/>
              </w:rPr>
              <w:t>MAPC</w:t>
            </w:r>
          </w:p>
        </w:tc>
        <w:tc>
          <w:tcPr>
            <w:tcW w:w="4675" w:type="dxa"/>
          </w:tcPr>
          <w:p w14:paraId="45C70487" w14:textId="0748B878" w:rsidR="0007279B" w:rsidRPr="003966AF" w:rsidRDefault="0007279B">
            <w:pPr>
              <w:rPr>
                <w:rFonts w:ascii="Arial" w:hAnsi="Arial" w:cs="Arial"/>
                <w:sz w:val="24"/>
              </w:rPr>
            </w:pPr>
            <w:hyperlink r:id="rId272" w:history="1">
              <w:r w:rsidRPr="00391066">
                <w:rPr>
                  <w:rStyle w:val="Hyperlink"/>
                  <w:rFonts w:cs="Arial"/>
                </w:rPr>
                <w:t>https://www.mapc.org/planning101/extreme-heat-air-quality-in-schools/</w:t>
              </w:r>
            </w:hyperlink>
            <w:r w:rsidRPr="00391066">
              <w:rPr>
                <w:rFonts w:ascii="Arial" w:hAnsi="Arial" w:cs="Arial"/>
                <w:sz w:val="24"/>
              </w:rPr>
              <w:t xml:space="preserve"> </w:t>
            </w:r>
          </w:p>
        </w:tc>
      </w:tr>
      <w:tr w:rsidR="009F00A6" w:rsidRPr="003966AF" w14:paraId="11F20BE1" w14:textId="77777777" w:rsidTr="00D84AB5">
        <w:tc>
          <w:tcPr>
            <w:tcW w:w="2605" w:type="dxa"/>
          </w:tcPr>
          <w:p w14:paraId="4CD674C6" w14:textId="63E039EB" w:rsidR="009F00A6" w:rsidRPr="009A47C6" w:rsidRDefault="00EB7CBC">
            <w:pPr>
              <w:rPr>
                <w:rFonts w:ascii="Arial" w:hAnsi="Arial" w:cs="Arial"/>
                <w:sz w:val="24"/>
              </w:rPr>
            </w:pPr>
            <w:r>
              <w:rPr>
                <w:rFonts w:ascii="Arial" w:hAnsi="Arial" w:cs="Arial"/>
                <w:sz w:val="24"/>
              </w:rPr>
              <w:t>UndauntedK12 – Work in Massachusetts</w:t>
            </w:r>
          </w:p>
        </w:tc>
        <w:tc>
          <w:tcPr>
            <w:tcW w:w="2070" w:type="dxa"/>
          </w:tcPr>
          <w:p w14:paraId="5A4AA98B" w14:textId="18B3DFEE" w:rsidR="009F00A6" w:rsidRDefault="007000E3">
            <w:pPr>
              <w:rPr>
                <w:rFonts w:ascii="Arial" w:hAnsi="Arial" w:cs="Arial"/>
                <w:sz w:val="24"/>
              </w:rPr>
            </w:pPr>
            <w:r>
              <w:rPr>
                <w:rFonts w:ascii="Arial" w:hAnsi="Arial" w:cs="Arial"/>
                <w:sz w:val="24"/>
              </w:rPr>
              <w:t>UndauntedK12</w:t>
            </w:r>
          </w:p>
        </w:tc>
        <w:tc>
          <w:tcPr>
            <w:tcW w:w="4675" w:type="dxa"/>
          </w:tcPr>
          <w:p w14:paraId="7D571C9F" w14:textId="308D4CD4" w:rsidR="009F00A6" w:rsidRDefault="007000E3" w:rsidP="007000E3">
            <w:pPr>
              <w:pStyle w:val="TableText"/>
            </w:pPr>
            <w:hyperlink r:id="rId273" w:history="1">
              <w:r w:rsidRPr="00993F54">
                <w:rPr>
                  <w:rStyle w:val="Hyperlink"/>
                </w:rPr>
                <w:t>https://www.undauntedk12.org/massachusetts</w:t>
              </w:r>
            </w:hyperlink>
          </w:p>
        </w:tc>
      </w:tr>
    </w:tbl>
    <w:p w14:paraId="2BFE60EA" w14:textId="77777777" w:rsidR="008C7545" w:rsidRDefault="008C7545" w:rsidP="008C7545">
      <w:pPr>
        <w:sectPr w:rsidR="008C7545" w:rsidSect="008C7545">
          <w:headerReference w:type="even" r:id="rId274"/>
          <w:headerReference w:type="default" r:id="rId275"/>
          <w:footerReference w:type="default" r:id="rId276"/>
          <w:headerReference w:type="first" r:id="rId277"/>
          <w:pgSz w:w="12240" w:h="15840"/>
          <w:pgMar w:top="1440" w:right="1440" w:bottom="1440" w:left="1440" w:header="720" w:footer="720" w:gutter="0"/>
          <w:cols w:space="720"/>
          <w:docGrid w:linePitch="360"/>
        </w:sectPr>
      </w:pPr>
    </w:p>
    <w:p w14:paraId="58D8BB43" w14:textId="5AC4A38C" w:rsidR="008C7545" w:rsidRDefault="001D5510" w:rsidP="00A90558">
      <w:pPr>
        <w:pStyle w:val="Heading1"/>
      </w:pPr>
      <w:bookmarkStart w:id="511" w:name="Appendix_B"/>
      <w:bookmarkStart w:id="512" w:name="Section_VII"/>
      <w:bookmarkStart w:id="513" w:name="_Toc171518386"/>
      <w:bookmarkStart w:id="514" w:name="_Toc171519339"/>
      <w:bookmarkStart w:id="515" w:name="_Toc193116932"/>
      <w:bookmarkEnd w:id="511"/>
      <w:bookmarkEnd w:id="512"/>
      <w:r>
        <w:lastRenderedPageBreak/>
        <w:t>VII.</w:t>
      </w:r>
      <w:r w:rsidR="008C7545">
        <w:t xml:space="preserve"> </w:t>
      </w:r>
      <w:bookmarkEnd w:id="513"/>
      <w:bookmarkEnd w:id="514"/>
      <w:r w:rsidR="00177552">
        <w:t>Additional Details Related to Goal 2: Achieve Healthy Schools</w:t>
      </w:r>
      <w:bookmarkEnd w:id="515"/>
    </w:p>
    <w:p w14:paraId="53D919D5" w14:textId="60AF1C68" w:rsidR="00D136F5" w:rsidRDefault="00D136F5" w:rsidP="006D7DE6">
      <w:pPr>
        <w:pStyle w:val="BodyTextFirstIndent"/>
      </w:pPr>
      <w:r>
        <w:t xml:space="preserve">This </w:t>
      </w:r>
      <w:r w:rsidR="001D5510">
        <w:t>section</w:t>
      </w:r>
      <w:r>
        <w:t xml:space="preserve"> presents the following content:</w:t>
      </w:r>
    </w:p>
    <w:p w14:paraId="4AC0E0D0" w14:textId="5E891E4B" w:rsidR="00D136F5" w:rsidRDefault="00D136F5" w:rsidP="008131EB">
      <w:pPr>
        <w:pStyle w:val="ListBullet"/>
      </w:pPr>
      <w:r>
        <w:t xml:space="preserve">A more detailed narrative description of the methods and best practices presented in </w:t>
      </w:r>
      <w:r w:rsidR="004F3E10">
        <w:t>Goal 2: Achieve Healthy Schools (</w:t>
      </w:r>
      <w:r>
        <w:t xml:space="preserve">Section </w:t>
      </w:r>
      <w:r w:rsidR="004F3E10">
        <w:t>I</w:t>
      </w:r>
      <w:r>
        <w:t>II</w:t>
      </w:r>
      <w:r w:rsidR="004F3E10">
        <w:t>)</w:t>
      </w:r>
    </w:p>
    <w:p w14:paraId="647D5CA2" w14:textId="21B67691" w:rsidR="00D136F5" w:rsidRDefault="00D136F5" w:rsidP="008131EB">
      <w:pPr>
        <w:pStyle w:val="ListBullet"/>
      </w:pPr>
      <w:r>
        <w:t>A narrative and tabular summary of the relevant statutory/regulatory framework and notable standards</w:t>
      </w:r>
    </w:p>
    <w:p w14:paraId="3857A139" w14:textId="77777777" w:rsidR="00D136F5" w:rsidRDefault="00D136F5" w:rsidP="008131EB">
      <w:pPr>
        <w:pStyle w:val="ListBullet"/>
      </w:pPr>
      <w:r>
        <w:t xml:space="preserve">A tabular summary of relevant resources that can help school districts across the Commonwealth achieve green schools </w:t>
      </w:r>
    </w:p>
    <w:p w14:paraId="14D0D08A" w14:textId="6485C53F" w:rsidR="00D136F5" w:rsidRDefault="00D136F5" w:rsidP="006D7DE6">
      <w:pPr>
        <w:pStyle w:val="BodyTextFirstIndent"/>
      </w:pPr>
      <w:r>
        <w:t xml:space="preserve">Content is provided across the following </w:t>
      </w:r>
      <w:r w:rsidR="000E05AA">
        <w:t>10</w:t>
      </w:r>
      <w:r>
        <w:t xml:space="preserve"> objectives: </w:t>
      </w:r>
    </w:p>
    <w:p w14:paraId="7B105A7B" w14:textId="77777777" w:rsidR="000E05AA" w:rsidRPr="000E05AA" w:rsidRDefault="000E05AA" w:rsidP="0073680D">
      <w:pPr>
        <w:pStyle w:val="ListLetter"/>
        <w:numPr>
          <w:ilvl w:val="0"/>
          <w:numId w:val="31"/>
        </w:numPr>
      </w:pPr>
      <w:r w:rsidRPr="000E05AA">
        <w:t>Improve air quality</w:t>
      </w:r>
    </w:p>
    <w:p w14:paraId="3D6C0CE1" w14:textId="77777777" w:rsidR="000E05AA" w:rsidRPr="000E05AA" w:rsidRDefault="000E05AA" w:rsidP="0073680D">
      <w:pPr>
        <w:pStyle w:val="ListLetter"/>
        <w:numPr>
          <w:ilvl w:val="0"/>
          <w:numId w:val="31"/>
        </w:numPr>
      </w:pPr>
      <w:r w:rsidRPr="000E05AA">
        <w:t>Improve water quality</w:t>
      </w:r>
    </w:p>
    <w:p w14:paraId="7536F8AA" w14:textId="77777777" w:rsidR="000E05AA" w:rsidRPr="000E05AA" w:rsidRDefault="000E05AA" w:rsidP="0073680D">
      <w:pPr>
        <w:pStyle w:val="ListLetter"/>
        <w:numPr>
          <w:ilvl w:val="0"/>
          <w:numId w:val="31"/>
        </w:numPr>
      </w:pPr>
      <w:r w:rsidRPr="000E05AA">
        <w:t>Maintain thermal comfort</w:t>
      </w:r>
    </w:p>
    <w:p w14:paraId="58EE854C" w14:textId="34576889" w:rsidR="000E05AA" w:rsidRPr="000E05AA" w:rsidRDefault="000E05AA" w:rsidP="0073680D">
      <w:pPr>
        <w:pStyle w:val="ListLetter"/>
        <w:numPr>
          <w:ilvl w:val="0"/>
          <w:numId w:val="31"/>
        </w:numPr>
      </w:pPr>
      <w:r w:rsidRPr="000E05AA">
        <w:t>U</w:t>
      </w:r>
      <w:r w:rsidR="006D0486">
        <w:t>s</w:t>
      </w:r>
      <w:r w:rsidRPr="000E05AA">
        <w:t>e integrate</w:t>
      </w:r>
      <w:r w:rsidR="00224680">
        <w:t>d</w:t>
      </w:r>
      <w:r w:rsidRPr="000E05AA">
        <w:t xml:space="preserve"> pest management</w:t>
      </w:r>
    </w:p>
    <w:p w14:paraId="517C920B" w14:textId="77777777" w:rsidR="000E05AA" w:rsidRPr="000E05AA" w:rsidRDefault="000E05AA" w:rsidP="0073680D">
      <w:pPr>
        <w:pStyle w:val="ListLetter"/>
        <w:numPr>
          <w:ilvl w:val="0"/>
          <w:numId w:val="31"/>
        </w:numPr>
      </w:pPr>
      <w:r w:rsidRPr="000E05AA">
        <w:t>Procure and use green cleaning supplies/chemicals</w:t>
      </w:r>
    </w:p>
    <w:p w14:paraId="32FB9D3E" w14:textId="77777777" w:rsidR="000E05AA" w:rsidRPr="000E05AA" w:rsidRDefault="000E05AA" w:rsidP="0073680D">
      <w:pPr>
        <w:pStyle w:val="ListLetter"/>
        <w:numPr>
          <w:ilvl w:val="0"/>
          <w:numId w:val="31"/>
        </w:numPr>
      </w:pPr>
      <w:r w:rsidRPr="000E05AA">
        <w:t>Minimize exposure to hazardous substances</w:t>
      </w:r>
    </w:p>
    <w:p w14:paraId="79CC26EA" w14:textId="77777777" w:rsidR="000E05AA" w:rsidRPr="000E05AA" w:rsidRDefault="000E05AA" w:rsidP="0073680D">
      <w:pPr>
        <w:pStyle w:val="ListLetter"/>
        <w:numPr>
          <w:ilvl w:val="0"/>
          <w:numId w:val="31"/>
        </w:numPr>
      </w:pPr>
      <w:r w:rsidRPr="000E05AA">
        <w:t>Safely procure, use, and dispose of crumb rubber</w:t>
      </w:r>
    </w:p>
    <w:p w14:paraId="27FDE595" w14:textId="77777777" w:rsidR="000E05AA" w:rsidRPr="000E05AA" w:rsidRDefault="000E05AA" w:rsidP="0073680D">
      <w:pPr>
        <w:pStyle w:val="ListLetter"/>
        <w:numPr>
          <w:ilvl w:val="0"/>
          <w:numId w:val="31"/>
        </w:numPr>
      </w:pPr>
      <w:r w:rsidRPr="000E05AA">
        <w:t>Create a safe environment for students with life-threatening food allergies</w:t>
      </w:r>
    </w:p>
    <w:p w14:paraId="525D414C" w14:textId="77777777" w:rsidR="000E05AA" w:rsidRPr="000E05AA" w:rsidRDefault="000E05AA" w:rsidP="0073680D">
      <w:pPr>
        <w:pStyle w:val="ListLetter"/>
        <w:numPr>
          <w:ilvl w:val="0"/>
          <w:numId w:val="31"/>
        </w:numPr>
      </w:pPr>
      <w:r w:rsidRPr="000E05AA">
        <w:t>Create a productive learning environment for all students</w:t>
      </w:r>
    </w:p>
    <w:p w14:paraId="0D94E1CB" w14:textId="5E9ED4FA" w:rsidR="008C7545" w:rsidRDefault="000E05AA" w:rsidP="0073680D">
      <w:pPr>
        <w:pStyle w:val="ListLetter"/>
        <w:numPr>
          <w:ilvl w:val="0"/>
          <w:numId w:val="31"/>
        </w:numPr>
      </w:pPr>
      <w:r w:rsidRPr="000E05AA">
        <w:t>Design the Built Environment to Foster a Peaceful School Community</w:t>
      </w:r>
      <w:r w:rsidR="008C7545" w:rsidRPr="00A85749">
        <w:t xml:space="preserve">  </w:t>
      </w:r>
    </w:p>
    <w:p w14:paraId="41508A9B" w14:textId="2BD1F683" w:rsidR="00FD43CA" w:rsidRDefault="00FD43CA" w:rsidP="006D7DE6">
      <w:pPr>
        <w:pStyle w:val="BodyTextFirstIndent"/>
      </w:pPr>
      <w:r>
        <w:br w:type="page"/>
      </w:r>
    </w:p>
    <w:p w14:paraId="7FF28126" w14:textId="4406E382" w:rsidR="00FD43CA" w:rsidRDefault="00FD43CA" w:rsidP="001C7888">
      <w:pPr>
        <w:pStyle w:val="Heading2"/>
      </w:pPr>
      <w:bookmarkStart w:id="516" w:name="_Toc193116933"/>
      <w:r>
        <w:lastRenderedPageBreak/>
        <w:t>Objective 2a. Improve Air Quality</w:t>
      </w:r>
      <w:bookmarkEnd w:id="516"/>
    </w:p>
    <w:p w14:paraId="30EADBE7" w14:textId="131C7703" w:rsidR="00FD43CA" w:rsidRPr="00073C90" w:rsidRDefault="00454DFB" w:rsidP="001D30AE">
      <w:pPr>
        <w:pStyle w:val="AirQualitySubheading"/>
      </w:pPr>
      <w:bookmarkStart w:id="517" w:name="SectVII_2a1"/>
      <w:bookmarkEnd w:id="517"/>
      <w:r>
        <w:t>2a(1)</w:t>
      </w:r>
      <w:r>
        <w:tab/>
      </w:r>
      <w:r w:rsidR="00672A2E" w:rsidRPr="00073C90">
        <w:t>Reduce Airborne Transmission of Disease</w:t>
      </w:r>
    </w:p>
    <w:p w14:paraId="6C1D3484" w14:textId="77777777" w:rsidR="00E40804" w:rsidRDefault="00E40804" w:rsidP="00E40804">
      <w:pPr>
        <w:pStyle w:val="Heading3"/>
      </w:pPr>
      <w:r>
        <w:t>Methods and Best Practices</w:t>
      </w:r>
    </w:p>
    <w:p w14:paraId="377495C1" w14:textId="77777777" w:rsidR="00E40804" w:rsidRPr="00AC684F" w:rsidRDefault="00E40804" w:rsidP="006D7DE6">
      <w:pPr>
        <w:pStyle w:val="BodyTextFirstIndent"/>
      </w:pPr>
      <w:r>
        <w:t>The first category of recommendations are practices that schools can use in their daily operations to reduce the airborne transmission of disease. The second category is steps for when an individual is sick or when rates of disease are high in a school community.</w:t>
      </w:r>
    </w:p>
    <w:p w14:paraId="0EA1D2E0" w14:textId="77777777" w:rsidR="00E40804" w:rsidRDefault="00E40804" w:rsidP="00E40804">
      <w:pPr>
        <w:pStyle w:val="Heading4"/>
      </w:pPr>
      <w:r>
        <w:t>In Everyday Operations</w:t>
      </w:r>
    </w:p>
    <w:p w14:paraId="712392F8" w14:textId="77777777" w:rsidR="00E40804" w:rsidRPr="00645F0D" w:rsidRDefault="00E40804" w:rsidP="006D7DE6">
      <w:pPr>
        <w:pStyle w:val="BodyTextFirstIndent"/>
      </w:pPr>
      <w:r>
        <w:t>These recommendations are steps that schools can take in their everyday operations to reduce the airborne transmission of diseases. Schools may want to increase these practices during winter months when respiratory virus transmission is typically highest.</w:t>
      </w:r>
    </w:p>
    <w:p w14:paraId="7CCA2BC0" w14:textId="77777777" w:rsidR="00E40804" w:rsidRDefault="00E40804" w:rsidP="00E40804">
      <w:pPr>
        <w:pStyle w:val="Heading5"/>
      </w:pPr>
      <w:r w:rsidRPr="001209F8">
        <w:t>(1) Increase ventilation to bring more outdoor air to indoor spaces</w:t>
      </w:r>
      <w:r>
        <w:t xml:space="preserve"> </w:t>
      </w:r>
    </w:p>
    <w:p w14:paraId="72FD6819" w14:textId="2BA80A27" w:rsidR="00E40804" w:rsidRPr="00894635" w:rsidRDefault="00E40804" w:rsidP="006D7DE6">
      <w:pPr>
        <w:pStyle w:val="BodyTextFirstIndent"/>
      </w:pPr>
      <w:r w:rsidRPr="00894635">
        <w:t>Improving indoor air quality can reduce the concentration of pathogens and</w:t>
      </w:r>
      <w:r>
        <w:t>,</w:t>
      </w:r>
      <w:r w:rsidRPr="00894635">
        <w:t xml:space="preserve"> therefore</w:t>
      </w:r>
      <w:r>
        <w:t>,</w:t>
      </w:r>
      <w:r w:rsidRPr="00894635">
        <w:t xml:space="preserve"> reduce airborne transmission of diseases.</w:t>
      </w:r>
      <w:r w:rsidRPr="00894635">
        <w:fldChar w:fldCharType="begin"/>
      </w:r>
      <w:r w:rsidR="00251634">
        <w:instrText xml:space="preserve"> ADDIN ZOTERO_ITEM CSL_CITATION {"citationID":"WStbH379","properties":{"formattedCitation":"\\super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rsidRPr="00894635">
        <w:fldChar w:fldCharType="separate"/>
      </w:r>
      <w:r w:rsidR="00251634" w:rsidRPr="00251634">
        <w:rPr>
          <w:rFonts w:cs="Arial"/>
          <w:vertAlign w:val="superscript"/>
        </w:rPr>
        <w:t>280,281</w:t>
      </w:r>
      <w:r w:rsidRPr="00894635">
        <w:fldChar w:fldCharType="end"/>
      </w:r>
      <w:r w:rsidRPr="00894635">
        <w:t xml:space="preserve"> One major way to improve air quality for this purpose is to bring more outdoor air indoors, which dilutes the concentration of pathogens released by anyone who may be sick. HVAC systems </w:t>
      </w:r>
      <w:r w:rsidR="001F0474">
        <w:t xml:space="preserve">should meet </w:t>
      </w:r>
      <w:r w:rsidRPr="00894635">
        <w:t>the minimum outdoor air ventilation requirements in accordance with design codes and consider enhancements to ventilation systems when remodeling or planning new construction.</w:t>
      </w:r>
      <w:r w:rsidRPr="00894635">
        <w:fldChar w:fldCharType="begin"/>
      </w:r>
      <w:r w:rsidR="009A0F53">
        <w:instrText xml:space="preserve"> ADDIN ZOTERO_ITEM CSL_CITATION {"citationID":"53LWSIaU","properties":{"formattedCitation":"\\super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rsidRPr="00894635">
        <w:fldChar w:fldCharType="separate"/>
      </w:r>
      <w:r w:rsidR="009A0F53" w:rsidRPr="009A0F53">
        <w:rPr>
          <w:rFonts w:cs="Arial"/>
          <w:vertAlign w:val="superscript"/>
        </w:rPr>
        <w:t>280,281</w:t>
      </w:r>
      <w:r w:rsidRPr="00894635">
        <w:fldChar w:fldCharType="end"/>
      </w:r>
      <w:r w:rsidRPr="00894635">
        <w:t xml:space="preserve"> HVAC systems that mix outdoor air with recirculated indoor air should be set to maximize outdoor air</w:t>
      </w:r>
      <w:r>
        <w:t>, within manufacturer’s recommendations,</w:t>
      </w:r>
      <w:r w:rsidRPr="00894635">
        <w:t xml:space="preserve"> during periods of high disease transmission.</w:t>
      </w:r>
      <w:r w:rsidRPr="00894635">
        <w:fldChar w:fldCharType="begin"/>
      </w:r>
      <w:r w:rsidR="00705434">
        <w:instrText xml:space="preserve"> ADDIN ZOTERO_ITEM CSL_CITATION {"citationID":"CRTW42DA","properties":{"formattedCitation":"\\super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rsidRPr="00894635">
        <w:fldChar w:fldCharType="separate"/>
      </w:r>
      <w:r w:rsidR="00705434" w:rsidRPr="00705434">
        <w:rPr>
          <w:rFonts w:cs="Arial"/>
          <w:vertAlign w:val="superscript"/>
        </w:rPr>
        <w:t>281</w:t>
      </w:r>
      <w:r w:rsidRPr="00894635">
        <w:fldChar w:fldCharType="end"/>
      </w:r>
      <w:r>
        <w:t xml:space="preserve"> Note that in conditions of high humidity when the HVAC system is providing chilled air, there are more opportunities for condensation and mold growth if the system and building are not designed to accommodate 100 percent fresh air. In these conditions, check for condensation more frequently to avoid mold growth. </w:t>
      </w:r>
    </w:p>
    <w:p w14:paraId="7E8F70F4" w14:textId="57B04BF7" w:rsidR="00E40804" w:rsidRDefault="00E40804" w:rsidP="006D7DE6">
      <w:pPr>
        <w:pStyle w:val="BodyTextFirstIndent"/>
      </w:pPr>
      <w:r>
        <w:t>Opening windows can help bring more outdoor air to indoor spaces without mechanical ventilation, such as rooms with low airflow, schools without ventilation systems, or school buses.</w:t>
      </w:r>
      <w:r>
        <w:fldChar w:fldCharType="begin"/>
      </w:r>
      <w:r w:rsidR="00043F5A">
        <w:instrText xml:space="preserve"> ADDIN ZOTERO_ITEM CSL_CITATION {"citationID":"xlY9uE06","properties":{"formattedCitation":"\\super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043F5A" w:rsidRPr="00043F5A">
        <w:rPr>
          <w:rFonts w:cs="Arial"/>
          <w:vertAlign w:val="superscript"/>
        </w:rPr>
        <w:t>280,281</w:t>
      </w:r>
      <w:r>
        <w:fldChar w:fldCharType="end"/>
      </w:r>
      <w:r>
        <w:t xml:space="preserve"> This is a short-term solution when mechanical ventilation systems are not available and is not an energy efficient solution to outdated building heating systems. Even cracking a few windows open is better than keeping all shut.</w:t>
      </w:r>
      <w:r>
        <w:fldChar w:fldCharType="begin"/>
      </w:r>
      <w:r w:rsidR="00F01F1C">
        <w:instrText xml:space="preserve"> ADDIN ZOTERO_ITEM CSL_CITATION {"citationID":"pxAFzHcS","properties":{"formattedCitation":"\\super 280\\nosupersub{}","plainCitation":"280","noteIndex":0},"citationItems":[{"id":719,"uris":["http://zotero.org/groups/5563646/items/4ZHVI3I2"],"itemData":{"id":719,"type":"webpage","abstract":"Center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schema":"https://github.com/citation-style-language/schema/raw/master/csl-citation.json"} </w:instrText>
      </w:r>
      <w:r>
        <w:fldChar w:fldCharType="separate"/>
      </w:r>
      <w:r w:rsidR="00F01F1C" w:rsidRPr="00F01F1C">
        <w:rPr>
          <w:rFonts w:cs="Arial"/>
          <w:vertAlign w:val="superscript"/>
        </w:rPr>
        <w:t>280</w:t>
      </w:r>
      <w:r>
        <w:fldChar w:fldCharType="end"/>
      </w:r>
      <w:r>
        <w:t xml:space="preserve"> Using fans to draw in outdoor air can help increase the effectiveness of open windows.</w:t>
      </w:r>
      <w:r>
        <w:fldChar w:fldCharType="begin"/>
      </w:r>
      <w:r w:rsidR="002D7B4C">
        <w:instrText xml:space="preserve"> ADDIN ZOTERO_ITEM CSL_CITATION {"citationID":"VKUoWlul","properties":{"formattedCitation":"\\super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2D7B4C" w:rsidRPr="002D7B4C">
        <w:rPr>
          <w:rFonts w:cs="Arial"/>
          <w:vertAlign w:val="superscript"/>
        </w:rPr>
        <w:t>280,281</w:t>
      </w:r>
      <w:r>
        <w:fldChar w:fldCharType="end"/>
      </w:r>
      <w:r>
        <w:t xml:space="preserve"> However, opening windows may not always be possible on very hot summer days, very cold winter days, days when outdoor air pollution is high, or in areas with outdoor safety concerns.</w:t>
      </w:r>
      <w:r>
        <w:fldChar w:fldCharType="begin"/>
      </w:r>
      <w:r w:rsidR="005F2482">
        <w:instrText xml:space="preserve"> ADDIN ZOTERO_ITEM CSL_CITATION {"citationID":"hZlOkGSQ","properties":{"formattedCitation":"\\super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5F2482" w:rsidRPr="005F2482">
        <w:rPr>
          <w:rFonts w:cs="Arial"/>
          <w:vertAlign w:val="superscript"/>
        </w:rPr>
        <w:t>281</w:t>
      </w:r>
      <w:r>
        <w:fldChar w:fldCharType="end"/>
      </w:r>
      <w:r>
        <w:t xml:space="preserve"> Schools should keep windows closed during periods of elevated relative humidity (&gt;60 percent) and when air conditioning is operating so as to prevent condensation and mold growth. See the </w:t>
      </w:r>
      <w:hyperlink w:anchor="ReduceExposure_Mold" w:history="1">
        <w:r w:rsidRPr="006E7DEA">
          <w:rPr>
            <w:rStyle w:val="Hyperlink"/>
          </w:rPr>
          <w:t>Reduce Exposure to Mold and Moisture</w:t>
        </w:r>
      </w:hyperlink>
      <w:r>
        <w:t xml:space="preserve"> section for additional details about the use of sensor technology to monitor indoor relative humidity and other air quality parameters.</w:t>
      </w:r>
    </w:p>
    <w:p w14:paraId="5FED33CE" w14:textId="77777777" w:rsidR="00E40804" w:rsidRDefault="00E40804" w:rsidP="00E40804">
      <w:pPr>
        <w:pStyle w:val="Heading5"/>
      </w:pPr>
      <w:r w:rsidRPr="00A105ED">
        <w:lastRenderedPageBreak/>
        <w:t>(2) Filter indoor air</w:t>
      </w:r>
      <w:r>
        <w:t xml:space="preserve"> </w:t>
      </w:r>
    </w:p>
    <w:p w14:paraId="29E946B8" w14:textId="782A5DCE" w:rsidR="00E40804" w:rsidRDefault="00E40804" w:rsidP="006D7DE6">
      <w:pPr>
        <w:pStyle w:val="BodyTextFirstIndent"/>
      </w:pPr>
      <w:r>
        <w:t>For buildings with ventilation systems that recirculate air, schools should increase the level of their air filter to MERV 13 or higher, if appropriate for the system.</w:t>
      </w:r>
      <w:r>
        <w:fldChar w:fldCharType="begin"/>
      </w:r>
      <w:r w:rsidR="00702681">
        <w:instrText xml:space="preserve"> ADDIN ZOTERO_ITEM CSL_CITATION {"citationID":"1vgum6jv","properties":{"formattedCitation":"\\super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702681" w:rsidRPr="00702681">
        <w:rPr>
          <w:rFonts w:cs="Arial"/>
          <w:vertAlign w:val="superscript"/>
        </w:rPr>
        <w:t>281</w:t>
      </w:r>
      <w:r>
        <w:fldChar w:fldCharType="end"/>
      </w:r>
      <w:r>
        <w:t xml:space="preserve"> In addition, whoever manages the air filtration system should </w:t>
      </w:r>
      <w:r w:rsidR="003D3836">
        <w:t xml:space="preserve">check that </w:t>
      </w:r>
      <w:r w:rsidR="00C27CCA">
        <w:t>the</w:t>
      </w:r>
      <w:r>
        <w:t xml:space="preserve"> filters are installed correctly and fit well, check that sufficient airflow is maintained across the filter, and maintain and change filters based on the manufacturer’s recommendation.</w:t>
      </w:r>
      <w:r>
        <w:fldChar w:fldCharType="begin"/>
      </w:r>
      <w:r w:rsidR="00D51241">
        <w:instrText xml:space="preserve"> ADDIN ZOTERO_ITEM CSL_CITATION {"citationID":"lIpykDob","properties":{"formattedCitation":"\\super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D51241" w:rsidRPr="00D51241">
        <w:rPr>
          <w:rFonts w:cs="Arial"/>
          <w:vertAlign w:val="superscript"/>
        </w:rPr>
        <w:t>281</w:t>
      </w:r>
      <w:r>
        <w:fldChar w:fldCharType="end"/>
      </w:r>
      <w:r>
        <w:t xml:space="preserve"> For spaces with low ventilation or to supplement ventilation, schools can filter the air with portable air cleaners with </w:t>
      </w:r>
      <w:r w:rsidRPr="00083C1D">
        <w:t>high-efficiency particulate air</w:t>
      </w:r>
      <w:r>
        <w:t xml:space="preserve"> (HEPA) filters.</w:t>
      </w:r>
      <w:r>
        <w:fldChar w:fldCharType="begin"/>
      </w:r>
      <w:r w:rsidR="001A217A">
        <w:instrText xml:space="preserve"> ADDIN ZOTERO_ITEM CSL_CITATION {"citationID":"rqTkA46F","properties":{"formattedCitation":"\\super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1A217A" w:rsidRPr="001A217A">
        <w:rPr>
          <w:rFonts w:cs="Arial"/>
          <w:vertAlign w:val="superscript"/>
        </w:rPr>
        <w:t>280,281</w:t>
      </w:r>
      <w:r>
        <w:fldChar w:fldCharType="end"/>
      </w:r>
      <w:r>
        <w:t xml:space="preserve"> When selecting a portable air cleaner with a HEPA filter, school staff should consider the size of the room, the clean air delivery rate of the unit, the airflow pattern of the room, the distribution of people in the room, and decibel or sound rating of the device.</w:t>
      </w:r>
      <w:r>
        <w:fldChar w:fldCharType="begin"/>
      </w:r>
      <w:r w:rsidR="001B58F8">
        <w:instrText xml:space="preserve"> ADDIN ZOTERO_ITEM CSL_CITATION {"citationID":"U1BeMVzC","properties":{"formattedCitation":"\\super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1B58F8" w:rsidRPr="001B58F8">
        <w:rPr>
          <w:rFonts w:cs="Arial"/>
          <w:vertAlign w:val="superscript"/>
        </w:rPr>
        <w:t>281</w:t>
      </w:r>
      <w:r>
        <w:fldChar w:fldCharType="end"/>
      </w:r>
    </w:p>
    <w:p w14:paraId="754AD55C" w14:textId="77777777" w:rsidR="00E40804" w:rsidRPr="00E01713" w:rsidRDefault="00E40804" w:rsidP="00E40804">
      <w:pPr>
        <w:pStyle w:val="Heading5"/>
      </w:pPr>
      <w:r w:rsidRPr="00E01713">
        <w:t xml:space="preserve">(3) Move large gatherings to outdoor spaces </w:t>
      </w:r>
    </w:p>
    <w:p w14:paraId="52E8266D" w14:textId="6A76B7E7" w:rsidR="00E40804" w:rsidRDefault="00E40804" w:rsidP="006D7DE6">
      <w:pPr>
        <w:pStyle w:val="BodyTextFirstIndent"/>
      </w:pPr>
      <w:r>
        <w:t>Holding large gatherings of students and staff outdoors can greatly reduce the risk of airborne disease transmission.</w:t>
      </w:r>
      <w:r>
        <w:fldChar w:fldCharType="begin"/>
      </w:r>
      <w:r w:rsidR="00804B53">
        <w:instrText xml:space="preserve"> ADDIN ZOTERO_ITEM CSL_CITATION {"citationID":"8Qq1Eggs","properties":{"formattedCitation":"\\super 280\\nosupersub{}","plainCitation":"280","noteIndex":0},"citationItems":[{"id":719,"uris":["http://zotero.org/groups/5563646/items/4ZHVI3I2"],"itemData":{"id":719,"type":"webpage","abstract":"Center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schema":"https://github.com/citation-style-language/schema/raw/master/csl-citation.json"} </w:instrText>
      </w:r>
      <w:r>
        <w:fldChar w:fldCharType="separate"/>
      </w:r>
      <w:r w:rsidR="00804B53" w:rsidRPr="00804B53">
        <w:rPr>
          <w:rFonts w:cs="Arial"/>
          <w:vertAlign w:val="superscript"/>
        </w:rPr>
        <w:t>280</w:t>
      </w:r>
      <w:r>
        <w:fldChar w:fldCharType="end"/>
      </w:r>
      <w:r>
        <w:t xml:space="preserve"> This may include assemblies, lunch, certain classes (e.g., physical education, music, theater), and recess or social periods.</w:t>
      </w:r>
      <w:r>
        <w:fldChar w:fldCharType="begin"/>
      </w:r>
      <w:r w:rsidR="0095309B">
        <w:instrText xml:space="preserve"> ADDIN ZOTERO_ITEM CSL_CITATION {"citationID":"KiBCVj66","properties":{"formattedCitation":"\\super 280,281\\nosupersub{}","plainCitation":"280,281","noteIndex":0},"citationItems":[{"id":719,"uris":["http://zotero.org/groups/5563646/items/4ZHVI3I2"],"itemData":{"id":719,"type":"webpage","abstract":"Center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95309B" w:rsidRPr="0095309B">
        <w:rPr>
          <w:rFonts w:cs="Arial"/>
          <w:vertAlign w:val="superscript"/>
        </w:rPr>
        <w:t>280,281</w:t>
      </w:r>
      <w:r>
        <w:fldChar w:fldCharType="end"/>
      </w:r>
      <w:r>
        <w:t xml:space="preserve"> New construction can include shaded outdoor green space to accommodate outdoor gatherings in warmer weather in accordance with climate model projections indicating warmer temperatures and more frequent heat waves in Massachusetts throughout the 21</w:t>
      </w:r>
      <w:r w:rsidRPr="00D20A18">
        <w:rPr>
          <w:vertAlign w:val="superscript"/>
        </w:rPr>
        <w:t>st</w:t>
      </w:r>
      <w:r>
        <w:t xml:space="preserve"> century in Massachusetts.</w:t>
      </w:r>
      <w:r>
        <w:fldChar w:fldCharType="begin"/>
      </w:r>
      <w:r w:rsidR="00535E6D">
        <w:instrText xml:space="preserve"> ADDIN ZOTERO_ITEM CSL_CITATION {"citationID":"a1o2qt9dp5v","properties":{"formattedCitation":"\\super 22\\nosupersub{}","plainCitation":"22","noteIndex":0},"citationItems":[{"id":1103,"uris":["http://zotero.org/groups/5563646/items/3E8VUIJ4"],"itemData":{"id":1103,"type":"webpage","abstract":"The MA Climate Change Assessment is a statewide analysis detailing how Massachusetts people, environments, and infrastructure may be affected by climate change and related hazards through the end of the century. This assessment directly informed the first five-year update to the State Hazard Mitigation and Climate Adaptation Plan (SHMCAP), ResilientMass, that was released in Fall 2023.","language":"en","title":"2022 Massachusetts Climate Change Assessment","URL":"https://www.mass.gov/info-details/massachusetts-climate-change-assessment#read-the-report-","author":[{"family":"Executive Office of Energy and Environmental Affairs","given":""}],"accessed":{"date-parts":[["2024",9,25]]},"issued":{"date-parts":[["2022",12]]}}}],"schema":"https://github.com/citation-style-language/schema/raw/master/csl-citation.json"} </w:instrText>
      </w:r>
      <w:r>
        <w:fldChar w:fldCharType="separate"/>
      </w:r>
      <w:r w:rsidR="00535E6D" w:rsidRPr="00535E6D">
        <w:rPr>
          <w:rFonts w:cs="Arial"/>
          <w:vertAlign w:val="superscript"/>
        </w:rPr>
        <w:t>22</w:t>
      </w:r>
      <w:r>
        <w:fldChar w:fldCharType="end"/>
      </w:r>
      <w:r>
        <w:t xml:space="preserve"> </w:t>
      </w:r>
    </w:p>
    <w:p w14:paraId="2F17151E" w14:textId="77777777" w:rsidR="00E40804" w:rsidRDefault="00E40804" w:rsidP="00E40804">
      <w:pPr>
        <w:pStyle w:val="Heading5"/>
      </w:pPr>
      <w:bookmarkStart w:id="518" w:name="_Ref177993019"/>
      <w:r w:rsidRPr="0013059A">
        <w:t>(4) Teach and reinforce respiratory etiquette</w:t>
      </w:r>
      <w:bookmarkEnd w:id="518"/>
      <w:r>
        <w:t xml:space="preserve"> </w:t>
      </w:r>
    </w:p>
    <w:p w14:paraId="2391DA7F" w14:textId="7DC6E72A" w:rsidR="00E40804" w:rsidRDefault="00E40804" w:rsidP="006D7DE6">
      <w:pPr>
        <w:pStyle w:val="BodyTextFirstIndent"/>
      </w:pPr>
      <w:r>
        <w:t>Schools should teach and reinforce respiratory etiquette to reduce the amount of airborne pathogens expelled by individuals who may be sick.</w:t>
      </w:r>
      <w:r>
        <w:fldChar w:fldCharType="begin"/>
      </w:r>
      <w:r w:rsidR="003A594B">
        <w:instrText xml:space="preserve"> ADDIN ZOTERO_ITEM CSL_CITATION {"citationID":"QyVUGiny","properties":{"formattedCitation":"\\super 280\\nosupersub{}","plainCitation":"280","noteIndex":0},"citationItems":[{"id":719,"uris":["http://zotero.org/groups/5563646/items/4ZHVI3I2"],"itemData":{"id":719,"type":"webpage","abstract":"Center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schema":"https://github.com/citation-style-language/schema/raw/master/csl-citation.json"} </w:instrText>
      </w:r>
      <w:r>
        <w:fldChar w:fldCharType="separate"/>
      </w:r>
      <w:r w:rsidR="003A594B" w:rsidRPr="003A594B">
        <w:rPr>
          <w:rFonts w:cs="Arial"/>
          <w:vertAlign w:val="superscript"/>
        </w:rPr>
        <w:t>280</w:t>
      </w:r>
      <w:r>
        <w:fldChar w:fldCharType="end"/>
      </w:r>
      <w:r>
        <w:t xml:space="preserve"> CDC recommends covering the mouth and nose with a tissue when coughing or sneezing, throwing the used tissue in the trash, and then washing hands. If a tissue is not available, coughing or sneezing into the elbow is better than into the hands. Teachers should </w:t>
      </w:r>
      <w:r w:rsidR="008A2579">
        <w:t>provide</w:t>
      </w:r>
      <w:r>
        <w:t xml:space="preserve"> tissues in easily accessible areas around the classroom.</w:t>
      </w:r>
      <w:r>
        <w:fldChar w:fldCharType="begin"/>
      </w:r>
      <w:r w:rsidR="00992A33">
        <w:instrText xml:space="preserve"> ADDIN ZOTERO_ITEM CSL_CITATION {"citationID":"8WxhDxqq","properties":{"formattedCitation":"\\super 280\\nosupersub{}","plainCitation":"280","noteIndex":0},"citationItems":[{"id":719,"uris":["http://zotero.org/groups/5563646/items/4ZHVI3I2"],"itemData":{"id":719,"type":"webpage","abstract":"Center for Preparedness and Response","container-title":"CDC.gov","language":"en-us","title":"Everyday Actions for Schools to Prevent and Control the Spread of Infections","URL":"https://www.cdc.gov/orr/school-preparedness/infection-prevention/actions.html","author":[{"family":"CDC","given":""}],"accessed":{"date-parts":[["2024",7,19]]},"issued":{"date-parts":[["2024",5,17]]}}}],"schema":"https://github.com/citation-style-language/schema/raw/master/csl-citation.json"} </w:instrText>
      </w:r>
      <w:r>
        <w:fldChar w:fldCharType="separate"/>
      </w:r>
      <w:r w:rsidR="00992A33" w:rsidRPr="00992A33">
        <w:rPr>
          <w:rFonts w:cs="Arial"/>
          <w:vertAlign w:val="superscript"/>
        </w:rPr>
        <w:t>280</w:t>
      </w:r>
      <w:r>
        <w:fldChar w:fldCharType="end"/>
      </w:r>
      <w:r>
        <w:t xml:space="preserve"> Encourage students</w:t>
      </w:r>
      <w:r w:rsidR="00947B60">
        <w:t xml:space="preserve"> and staff</w:t>
      </w:r>
      <w:r>
        <w:t xml:space="preserve"> to wash hands frequently, especially after coughing, sneezing, or blowing their nose. Good hygiene practices, such as hand</w:t>
      </w:r>
      <w:r w:rsidR="00B46732">
        <w:t>-</w:t>
      </w:r>
      <w:r>
        <w:t xml:space="preserve">washing, help to prevent the spread of illness as well as ingestion of contaminants like PCBs or lead that may end up on hands (see best practice </w:t>
      </w:r>
      <w:r>
        <w:fldChar w:fldCharType="begin"/>
      </w:r>
      <w:r>
        <w:instrText xml:space="preserve"> REF _Ref177992869 \h </w:instrText>
      </w:r>
      <w:r>
        <w:fldChar w:fldCharType="separate"/>
      </w:r>
      <w:r w:rsidR="00307850">
        <w:t>(10) Teach and reinforce good hand</w:t>
      </w:r>
      <w:r w:rsidR="00B46732">
        <w:t>-</w:t>
      </w:r>
      <w:r w:rsidR="00307850">
        <w:t>washing etiquette, particularly before eating and drinking</w:t>
      </w:r>
      <w:r>
        <w:fldChar w:fldCharType="end"/>
      </w:r>
      <w:r>
        <w:t xml:space="preserve"> in the </w:t>
      </w:r>
      <w:hyperlink w:anchor="ReduceExposure_PCBs" w:history="1">
        <w:r w:rsidRPr="00BF2014">
          <w:rPr>
            <w:rStyle w:val="Hyperlink"/>
          </w:rPr>
          <w:t>Reduce Exposure to Polychlorinated Biphenyls [PCBs]</w:t>
        </w:r>
      </w:hyperlink>
      <w:r>
        <w:t xml:space="preserve"> section).  </w:t>
      </w:r>
    </w:p>
    <w:p w14:paraId="2D77EF43" w14:textId="77777777" w:rsidR="00E40804" w:rsidRDefault="00E40804" w:rsidP="00E40804">
      <w:pPr>
        <w:pStyle w:val="Heading4"/>
      </w:pPr>
      <w:r>
        <w:t>During Times of Illness</w:t>
      </w:r>
    </w:p>
    <w:p w14:paraId="6D22AEDC" w14:textId="77777777" w:rsidR="00E40804" w:rsidRDefault="00E40804" w:rsidP="006D7DE6">
      <w:pPr>
        <w:pStyle w:val="BodyTextFirstIndent"/>
      </w:pPr>
      <w:r>
        <w:t xml:space="preserve">The last two recommendations here apply during times of illness, whether for a sick individual or for a school community at large. </w:t>
      </w:r>
    </w:p>
    <w:p w14:paraId="669B1FBC" w14:textId="77777777" w:rsidR="00E40804" w:rsidRDefault="00E40804" w:rsidP="00E40804">
      <w:pPr>
        <w:pStyle w:val="Heading5"/>
      </w:pPr>
      <w:r w:rsidRPr="00B02C7A">
        <w:t>(5) Encourage students and staff to stay home when sick</w:t>
      </w:r>
      <w:r>
        <w:t xml:space="preserve"> </w:t>
      </w:r>
    </w:p>
    <w:p w14:paraId="681D6C33" w14:textId="3FF0E2B8" w:rsidR="00E40804" w:rsidRDefault="00E40804" w:rsidP="006D7DE6">
      <w:pPr>
        <w:pStyle w:val="BodyTextFirstIndent"/>
      </w:pPr>
      <w:r>
        <w:t>When students or staff members are sick, school administrators should encourage them to stay home while they are contagious.</w:t>
      </w:r>
      <w:r>
        <w:fldChar w:fldCharType="begin"/>
      </w:r>
      <w:r w:rsidR="00543B43">
        <w:instrText xml:space="preserve"> ADDIN ZOTERO_ITEM CSL_CITATION {"citationID":"jyL0Izdh","properties":{"formattedCitation":"\\super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543B43" w:rsidRPr="00543B43">
        <w:rPr>
          <w:rFonts w:cs="Arial"/>
          <w:vertAlign w:val="superscript"/>
        </w:rPr>
        <w:t>281</w:t>
      </w:r>
      <w:r>
        <w:fldChar w:fldCharType="end"/>
      </w:r>
      <w:r>
        <w:t xml:space="preserve"> 105 CMR 300.00 provides minimum periods </w:t>
      </w:r>
      <w:r>
        <w:lastRenderedPageBreak/>
        <w:t>of isolation, which includes staying home from school, for some illnesses transmissible through air, such as measles and pertussis.</w:t>
      </w:r>
      <w:r>
        <w:fldChar w:fldCharType="begin"/>
      </w:r>
      <w:r w:rsidR="00DF0E5F">
        <w:instrText xml:space="preserve"> ADDIN ZOTERO_ITEM CSL_CITATION {"citationID":"NRuOvLEF","properties":{"formattedCitation":"\\super 282\\nosupersub{}","plainCitation":"282","noteIndex":0},"citationItems":[{"id":721,"uris":["http://zotero.org/groups/5563646/items/BFAPE76F"],"itemData":{"id":721,"type":"legislation","container-title":"Code of Massachusetts Register","title":"105 CMR 300.00: Reportable diseases, surveillance, and isolation and quarantine requirements","URL":"https://www.mass.gov/regulations/105-CMR-30000-reportable-diseases-surveillance-and-isolation-and-quarantine-requirements","volume":"105 CMR 300.00","author":[{"family":"MA DPH","given":""}],"accessed":{"date-parts":[["2024",7,19]]},"issued":{"date-parts":[["2022",5,27]]}}}],"schema":"https://github.com/citation-style-language/schema/raw/master/csl-citation.json"} </w:instrText>
      </w:r>
      <w:r>
        <w:fldChar w:fldCharType="separate"/>
      </w:r>
      <w:r w:rsidR="00DF0E5F" w:rsidRPr="00DF0E5F">
        <w:rPr>
          <w:rFonts w:cs="Arial"/>
          <w:vertAlign w:val="superscript"/>
        </w:rPr>
        <w:t>282</w:t>
      </w:r>
      <w:r>
        <w:fldChar w:fldCharType="end"/>
      </w:r>
    </w:p>
    <w:p w14:paraId="4BCCD8DD" w14:textId="77777777" w:rsidR="00E40804" w:rsidRDefault="00E40804" w:rsidP="00E40804">
      <w:pPr>
        <w:pStyle w:val="Heading5"/>
      </w:pPr>
      <w:r w:rsidRPr="00377E78">
        <w:t>(6) Take additional steps to minimize transmission during times of elevated rates of illness</w:t>
      </w:r>
      <w:r>
        <w:t xml:space="preserve"> </w:t>
      </w:r>
    </w:p>
    <w:p w14:paraId="0CA86530" w14:textId="05829B66" w:rsidR="00E40804" w:rsidRDefault="00E40804" w:rsidP="006D7DE6">
      <w:pPr>
        <w:pStyle w:val="BodyTextFirstIndent"/>
      </w:pPr>
      <w:r>
        <w:t>During periods of increased illness in a school, as indicated by high rates of absenteeism, or during an epidemic, pandemic, or public health emergency, the CDC or the DPH may recommend additional steps to reduce airborne transmission of disease in schools.</w:t>
      </w:r>
      <w:r>
        <w:fldChar w:fldCharType="begin"/>
      </w:r>
      <w:r w:rsidR="000C0C15">
        <w:instrText xml:space="preserve"> ADDIN ZOTERO_ITEM CSL_CITATION {"citationID":"Ibck43q7","properties":{"formattedCitation":"\\super 283\\nosupersub{}","plainCitation":"283","noteIndex":0},"citationItems":[{"id":718,"uris":["http://zotero.org/groups/5563646/items/78JES2A8"],"itemData":{"id":718,"type":"webpage","abstract":"Center for Preparedness and Response","container-title":"CDC.gov","language":"en-us","title":"Additional Strategies that May Be Used to Minimize Infectious Disease Transmission in Schools during Times of Elevated Illness Activity | CDC","URL":"https://www.cdc.gov/orr/school-preparedness/infection-prevention/strategies.html","author":[{"family":"CDC","given":""}],"accessed":{"date-parts":[["2024",7,19]]},"issued":{"date-parts":[["2024",5,17]]}}}],"schema":"https://github.com/citation-style-language/schema/raw/master/csl-citation.json"} </w:instrText>
      </w:r>
      <w:r>
        <w:fldChar w:fldCharType="separate"/>
      </w:r>
      <w:r w:rsidR="000C0C15" w:rsidRPr="000C0C15">
        <w:rPr>
          <w:rFonts w:cs="Arial"/>
          <w:vertAlign w:val="superscript"/>
        </w:rPr>
        <w:t>283</w:t>
      </w:r>
      <w:r>
        <w:fldChar w:fldCharType="end"/>
      </w:r>
      <w:r>
        <w:t xml:space="preserve"> These could include wearing masks or respiratory protection, physically distancing students</w:t>
      </w:r>
      <w:r w:rsidR="00C26577">
        <w:t xml:space="preserve"> and staff</w:t>
      </w:r>
      <w:r>
        <w:t xml:space="preserve"> within classrooms, and grouping students in cohorts to minimize the spread of disease throughout the community, monitoring for signs and symptoms of illness, testing if available, and creating spaces where sick students can isolate while waiting to leave school.</w:t>
      </w:r>
      <w:r>
        <w:fldChar w:fldCharType="begin"/>
      </w:r>
      <w:r w:rsidR="00E66178">
        <w:instrText xml:space="preserve"> ADDIN ZOTERO_ITEM CSL_CITATION {"citationID":"NqQ4hLvL","properties":{"formattedCitation":"\\super 283\\nosupersub{}","plainCitation":"283","noteIndex":0},"citationItems":[{"id":718,"uris":["http://zotero.org/groups/5563646/items/78JES2A8"],"itemData":{"id":718,"type":"webpage","abstract":"Center for Preparedness and Response","container-title":"CDC.gov","language":"en-us","title":"Additional Strategies that May Be Used to Minimize Infectious Disease Transmission in Schools during Times of Elevated Illness Activity | CDC","URL":"https://www.cdc.gov/orr/school-preparedness/infection-prevention/strategies.html","author":[{"family":"CDC","given":""}],"accessed":{"date-parts":[["2024",7,19]]},"issued":{"date-parts":[["2024",5,17]]}}}],"schema":"https://github.com/citation-style-language/schema/raw/master/csl-citation.json"} </w:instrText>
      </w:r>
      <w:r>
        <w:fldChar w:fldCharType="separate"/>
      </w:r>
      <w:r w:rsidR="00E66178" w:rsidRPr="00E66178">
        <w:rPr>
          <w:rFonts w:cs="Arial"/>
          <w:vertAlign w:val="superscript"/>
        </w:rPr>
        <w:t>283</w:t>
      </w:r>
      <w:r>
        <w:fldChar w:fldCharType="end"/>
      </w:r>
      <w:r>
        <w:t xml:space="preserve"> Other strategies to reduce airborne transmission of disease in schools may include staggering arrival/dismissal times, transition times, and lunch times; holding staff or parent-teacher meetings via videoconferencing; and providing additional protections for people at higher risk of severe disease.</w:t>
      </w:r>
      <w:r>
        <w:fldChar w:fldCharType="begin"/>
      </w:r>
      <w:r w:rsidR="00776D51">
        <w:instrText xml:space="preserve"> ADDIN ZOTERO_ITEM CSL_CITATION {"citationID":"Kl2QhYjr","properties":{"formattedCitation":"\\super 281\\nosupersub{}","plainCitation":"281","noteIndex":0},"citationItems":[{"id":423,"uris":["http://zotero.org/groups/5563646/items/BYQUZ5ZX"],"itemData":{"id":423,"type":"report","language":"en","publisher":"Harvard T.H. Chan School of Public Health, Healthy Buildings program","source":"Zotero","title":"Schools for Health: Risk Reduction Strategies for Reopening Schools","URL":"https://schools.forhealth.org/wp-content/uploads/sites/19/2020/11/Harvard-Healthy-Buildings-Program-COVID19-Risk-Reduction-in-Schools-Nov-2020.pdf","author":[{"family":"Jones","given":"Emily"},{"family":"Young","given":"Anna"},{"family":"Clevenger","given":"Kimberly"},{"family":"Salimifard","given":"Parichehr"},{"family":"Wu","given":"Erica"},{"family":"Luna","given":"Marianne Lahaie"},{"family":"Lahvis","given":"Mahala"},{"family":"Lang","given":"Jenna"},{"family":"Bliss","given":"Maya"},{"family":"Azimi","given":"Parham"},{"family":"Cedeno-Laurent","given":"Jose"},{"family":"Wilson","given":"Cecelia"},{"family":"Segule","given":"Marjorie Naila"},{"family":"Keshavarz","given":"Zahra"},{"family":"Chin","given":"Winnie"},{"family":"Dedesko","given":"Sandra"},{"family":"Parikh","given":"Shivani"},{"family":"Vallarino","given":"Jose"},{"family":"Allen","given":"Joseph"}],"issued":{"date-parts":[["2020",11]]}}}],"schema":"https://github.com/citation-style-language/schema/raw/master/csl-citation.json"} </w:instrText>
      </w:r>
      <w:r>
        <w:fldChar w:fldCharType="separate"/>
      </w:r>
      <w:r w:rsidR="00776D51" w:rsidRPr="00776D51">
        <w:rPr>
          <w:rFonts w:cs="Arial"/>
          <w:vertAlign w:val="superscript"/>
        </w:rPr>
        <w:t>281</w:t>
      </w:r>
      <w:r>
        <w:fldChar w:fldCharType="end"/>
      </w:r>
    </w:p>
    <w:p w14:paraId="2F99DF7B" w14:textId="77777777" w:rsidR="00C4001E" w:rsidRDefault="00C4001E" w:rsidP="00C4001E">
      <w:pPr>
        <w:pStyle w:val="Heading3"/>
      </w:pPr>
      <w:r>
        <w:t>Statutes, Regulations, and Standards</w:t>
      </w:r>
    </w:p>
    <w:p w14:paraId="3D1F43E2" w14:textId="77777777" w:rsidR="00C4001E" w:rsidRPr="00E549B2" w:rsidRDefault="00C4001E" w:rsidP="006D7DE6">
      <w:pPr>
        <w:pStyle w:val="BodyTextFirstIndent"/>
      </w:pPr>
      <w:r>
        <w:t>Statutes, regulations, and standards that include a focus on airborne transmission of respiratory disease and illness are detailed below.</w:t>
      </w:r>
    </w:p>
    <w:p w14:paraId="737C00ED" w14:textId="77777777" w:rsidR="00C4001E" w:rsidRDefault="00C4001E" w:rsidP="00C4001E">
      <w:pPr>
        <w:pStyle w:val="Heading4"/>
      </w:pPr>
      <w:r>
        <w:t>Relevant Regulations</w:t>
      </w:r>
    </w:p>
    <w:p w14:paraId="773C7D67" w14:textId="1BD1E731" w:rsidR="00C4001E" w:rsidRDefault="00C4001E" w:rsidP="006D7DE6">
      <w:pPr>
        <w:pStyle w:val="BodyTextFirstIndent"/>
      </w:pPr>
      <w:r w:rsidRPr="005A72C5">
        <w:rPr>
          <w:b/>
        </w:rPr>
        <w:t>105 CMR 300.00: Reportable Diseases, Surveillance, and Isolation and Quarantine Requirements</w:t>
      </w:r>
      <w:r>
        <w:t xml:space="preserve"> describes isolation and quarantine requirements for certain infectious diseases, which would apply to schools. Any students or staff with diseases listed here with isolation or quarantine requirements would need to comply by staying home as required by this law. Infections transmitted through the air that have isolation and quarantine requirements include measles and pertussis.</w:t>
      </w:r>
      <w:r>
        <w:fldChar w:fldCharType="begin"/>
      </w:r>
      <w:r w:rsidR="00DB5B64">
        <w:instrText xml:space="preserve"> ADDIN ZOTERO_ITEM CSL_CITATION {"citationID":"a16oieuim1p","properties":{"formattedCitation":"\\super 282\\nosupersub{}","plainCitation":"282","noteIndex":0},"citationItems":[{"id":721,"uris":["http://zotero.org/groups/5563646/items/BFAPE76F"],"itemData":{"id":721,"type":"legislation","container-title":"Code of Massachusetts Register","title":"105 CMR 300.00: Reportable diseases, surveillance, and isolation and quarantine requirements","URL":"https://www.mass.gov/regulations/105-CMR-30000-reportable-diseases-surveillance-and-isolation-and-quarantine-requirements","volume":"105 CMR 300.00","author":[{"family":"MA DPH","given":""}],"accessed":{"date-parts":[["2024",7,19]]},"issued":{"date-parts":[["2022",5,27]]}}}],"schema":"https://github.com/citation-style-language/schema/raw/master/csl-citation.json"} </w:instrText>
      </w:r>
      <w:r>
        <w:fldChar w:fldCharType="separate"/>
      </w:r>
      <w:r w:rsidR="00DB5B64" w:rsidRPr="00DB5B64">
        <w:rPr>
          <w:rFonts w:cs="Arial"/>
          <w:vertAlign w:val="superscript"/>
        </w:rPr>
        <w:t>282</w:t>
      </w:r>
      <w:r>
        <w:fldChar w:fldCharType="end"/>
      </w:r>
      <w:r>
        <w:t xml:space="preserve"> </w:t>
      </w:r>
    </w:p>
    <w:p w14:paraId="66A3DB9E" w14:textId="64FA1490" w:rsidR="00C4001E" w:rsidRDefault="00C4001E" w:rsidP="006D7DE6">
      <w:pPr>
        <w:pStyle w:val="BodyTextFirstIndent"/>
      </w:pPr>
      <w:r>
        <w:fldChar w:fldCharType="begin"/>
      </w:r>
      <w:r>
        <w:instrText xml:space="preserve"> REF _Ref171606422 \h </w:instrText>
      </w:r>
      <w:r>
        <w:fldChar w:fldCharType="separate"/>
      </w:r>
      <w:r w:rsidR="00307850">
        <w:t xml:space="preserve">Table </w:t>
      </w:r>
      <w:r w:rsidR="00307850">
        <w:rPr>
          <w:noProof/>
        </w:rPr>
        <w:t>58</w:t>
      </w:r>
      <w:r>
        <w:fldChar w:fldCharType="end"/>
      </w:r>
      <w:r w:rsidRPr="007935AE">
        <w:t xml:space="preserve"> summarizes the statutes, regulations, and standards related to </w:t>
      </w:r>
      <w:r>
        <w:t>reducing airborne transmission of respiratory disease/illness in</w:t>
      </w:r>
      <w:r w:rsidRPr="007935AE">
        <w:t xml:space="preserve"> schools</w:t>
      </w:r>
      <w:r>
        <w:t xml:space="preserve"> outlined above</w:t>
      </w:r>
      <w:r w:rsidRPr="007935AE">
        <w:t>.</w:t>
      </w:r>
    </w:p>
    <w:p w14:paraId="372D1856" w14:textId="475B876D" w:rsidR="00C4001E" w:rsidRDefault="00C4001E" w:rsidP="00B30C96">
      <w:pPr>
        <w:pStyle w:val="TableTitle"/>
      </w:pPr>
      <w:bookmarkStart w:id="519" w:name="_Ref171606422"/>
      <w:bookmarkStart w:id="520" w:name="_Toc192711724"/>
      <w:bookmarkStart w:id="521" w:name="_Toc193112606"/>
      <w:bookmarkStart w:id="522" w:name="_Toc193117005"/>
      <w:r>
        <w:lastRenderedPageBreak/>
        <w:t xml:space="preserve">Table </w:t>
      </w:r>
      <w:fldSimple w:instr=" SEQ Table \* ARABIC ">
        <w:r w:rsidR="00307850">
          <w:rPr>
            <w:noProof/>
          </w:rPr>
          <w:t>58</w:t>
        </w:r>
      </w:fldSimple>
      <w:bookmarkEnd w:id="519"/>
      <w:r>
        <w:t xml:space="preserve">. Statutory/Regulatory Framework and Notable Standards for </w:t>
      </w:r>
      <w:r w:rsidRPr="008F652D">
        <w:t>Reduc</w:t>
      </w:r>
      <w:r>
        <w:t>ing</w:t>
      </w:r>
      <w:r w:rsidRPr="008F652D">
        <w:t xml:space="preserve"> Airborne Transmission of Respiratory Disease/Illness</w:t>
      </w:r>
      <w:bookmarkEnd w:id="520"/>
      <w:bookmarkEnd w:id="521"/>
      <w:bookmarkEnd w:id="522"/>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airborne transmission of respiratory disease/illness."/>
      </w:tblPr>
      <w:tblGrid>
        <w:gridCol w:w="6834"/>
        <w:gridCol w:w="838"/>
        <w:gridCol w:w="840"/>
        <w:gridCol w:w="838"/>
      </w:tblGrid>
      <w:tr w:rsidR="00C4001E" w:rsidRPr="00E11392" w14:paraId="1413A8DC"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580B7036" w14:textId="77777777" w:rsidR="00C4001E" w:rsidRPr="00E11392" w:rsidRDefault="00C4001E">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49DCA0B5" w14:textId="77777777" w:rsidR="00C4001E" w:rsidRPr="00E11392" w:rsidRDefault="00C4001E">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00E1878" w14:textId="77777777" w:rsidR="00C4001E" w:rsidRPr="00E11392" w:rsidRDefault="00C4001E">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7CD8FD5" w14:textId="77777777" w:rsidR="00C4001E" w:rsidRPr="00E11392" w:rsidRDefault="00C4001E">
            <w:pPr>
              <w:pStyle w:val="TableColumnHeader"/>
              <w:jc w:val="left"/>
            </w:pPr>
            <w:r w:rsidRPr="00E11392">
              <w:t>Standard</w:t>
            </w:r>
          </w:p>
        </w:tc>
      </w:tr>
      <w:tr w:rsidR="00C4001E" w:rsidRPr="00E11392" w14:paraId="63B6BD41"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141C887" w14:textId="77777777" w:rsidR="00C4001E" w:rsidRPr="00E11392" w:rsidRDefault="00C4001E">
            <w:pPr>
              <w:pStyle w:val="TableRowHeader"/>
            </w:pPr>
            <w:r w:rsidRPr="00E11392">
              <w:t>Regulations</w:t>
            </w:r>
          </w:p>
        </w:tc>
      </w:tr>
      <w:tr w:rsidR="00C4001E" w:rsidRPr="00E11392" w14:paraId="6A66EC8B"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4875B20" w14:textId="77777777" w:rsidR="00C4001E" w:rsidRPr="00E11392" w:rsidRDefault="00C4001E">
            <w:pPr>
              <w:pStyle w:val="TableText"/>
            </w:pPr>
            <w:r>
              <w:t xml:space="preserve">105 CMR 300.00: </w:t>
            </w:r>
            <w:r w:rsidRPr="00DE5F62">
              <w:t>Reportable Diseases, Surveillance, and Isolation and Quarantine Requirements</w:t>
            </w:r>
          </w:p>
        </w:tc>
        <w:tc>
          <w:tcPr>
            <w:tcW w:w="448" w:type="pct"/>
            <w:tcBorders>
              <w:top w:val="nil"/>
              <w:left w:val="single" w:sz="4" w:space="0" w:color="auto"/>
              <w:bottom w:val="single" w:sz="4" w:space="0" w:color="auto"/>
              <w:right w:val="single" w:sz="4" w:space="0" w:color="auto"/>
            </w:tcBorders>
            <w:shd w:val="clear" w:color="auto" w:fill="auto"/>
            <w:vAlign w:val="center"/>
          </w:tcPr>
          <w:p w14:paraId="07BFC5C7" w14:textId="77777777" w:rsidR="00C4001E" w:rsidRPr="00E11392" w:rsidRDefault="00C4001E">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63130D2D" w14:textId="77777777" w:rsidR="00C4001E" w:rsidRPr="00E11392" w:rsidRDefault="00C4001E">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6CED65CA" w14:textId="77777777" w:rsidR="00C4001E" w:rsidRPr="00E11392" w:rsidRDefault="00C4001E">
            <w:pPr>
              <w:jc w:val="center"/>
              <w:rPr>
                <w:rFonts w:ascii="Arial" w:hAnsi="Arial" w:cs="Arial"/>
                <w:b/>
                <w:bCs/>
                <w:sz w:val="24"/>
              </w:rPr>
            </w:pPr>
          </w:p>
        </w:tc>
      </w:tr>
    </w:tbl>
    <w:p w14:paraId="193431CF" w14:textId="77777777" w:rsidR="00C4001E" w:rsidRDefault="00C4001E" w:rsidP="00C4001E">
      <w:pPr>
        <w:pStyle w:val="Heading3"/>
      </w:pPr>
      <w:r>
        <w:t>Relevant Resources</w:t>
      </w:r>
    </w:p>
    <w:p w14:paraId="0267848E" w14:textId="6AE613D0" w:rsidR="00C4001E" w:rsidRDefault="00C4001E" w:rsidP="006D7DE6">
      <w:pPr>
        <w:pStyle w:val="BodyTextFirstIndent"/>
      </w:pPr>
      <w:r>
        <w:fldChar w:fldCharType="begin"/>
      </w:r>
      <w:r>
        <w:instrText xml:space="preserve"> REF _Ref171606558 \h </w:instrText>
      </w:r>
      <w:r>
        <w:fldChar w:fldCharType="separate"/>
      </w:r>
      <w:r w:rsidR="00307850">
        <w:t xml:space="preserve">Table </w:t>
      </w:r>
      <w:r w:rsidR="00307850">
        <w:rPr>
          <w:noProof/>
        </w:rPr>
        <w:t>59</w:t>
      </w:r>
      <w:r>
        <w:fldChar w:fldCharType="end"/>
      </w:r>
      <w:r>
        <w:t xml:space="preserve"> provides a summary of resources related to reducing airborne transmission of respiratory disease/illness in schools.</w:t>
      </w:r>
    </w:p>
    <w:p w14:paraId="5854FCF6" w14:textId="4DDC63DB" w:rsidR="00C4001E" w:rsidRDefault="00C4001E" w:rsidP="00B30C96">
      <w:pPr>
        <w:pStyle w:val="TableTitle"/>
      </w:pPr>
      <w:bookmarkStart w:id="523" w:name="_Ref171606558"/>
      <w:bookmarkStart w:id="524" w:name="_Toc192711725"/>
      <w:bookmarkStart w:id="525" w:name="_Toc193112607"/>
      <w:bookmarkStart w:id="526" w:name="_Toc193117006"/>
      <w:r>
        <w:t xml:space="preserve">Table </w:t>
      </w:r>
      <w:fldSimple w:instr=" SEQ Table \* ARABIC ">
        <w:r w:rsidR="00307850">
          <w:rPr>
            <w:noProof/>
          </w:rPr>
          <w:t>59</w:t>
        </w:r>
      </w:fldSimple>
      <w:bookmarkEnd w:id="523"/>
      <w:r>
        <w:t>. Resources for Reducing Airborne Transmission of Disease/Illness</w:t>
      </w:r>
      <w:bookmarkEnd w:id="524"/>
      <w:bookmarkEnd w:id="525"/>
      <w:bookmarkEnd w:id="526"/>
    </w:p>
    <w:tbl>
      <w:tblPr>
        <w:tblStyle w:val="TableGrid"/>
        <w:tblW w:w="0" w:type="auto"/>
        <w:tblLayout w:type="fixed"/>
        <w:tblLook w:val="04A0" w:firstRow="1" w:lastRow="0" w:firstColumn="1" w:lastColumn="0" w:noHBand="0" w:noVBand="1"/>
        <w:tblDescription w:val="Table listing resources with active URLs for airborne transmission of disease/illness."/>
      </w:tblPr>
      <w:tblGrid>
        <w:gridCol w:w="3145"/>
        <w:gridCol w:w="1980"/>
        <w:gridCol w:w="4225"/>
      </w:tblGrid>
      <w:tr w:rsidR="00C4001E" w:rsidRPr="00276B41" w14:paraId="28B4C133" w14:textId="77777777">
        <w:trPr>
          <w:tblHeader/>
        </w:trPr>
        <w:tc>
          <w:tcPr>
            <w:tcW w:w="3145" w:type="dxa"/>
            <w:shd w:val="clear" w:color="auto" w:fill="C6D9F1" w:themeFill="text2" w:themeFillTint="33"/>
          </w:tcPr>
          <w:p w14:paraId="4F79427F" w14:textId="77777777" w:rsidR="00C4001E" w:rsidRPr="004C3A1C" w:rsidRDefault="00C4001E">
            <w:pPr>
              <w:pStyle w:val="TableColumnHeader"/>
            </w:pPr>
            <w:r w:rsidRPr="004C3A1C">
              <w:t>Resource</w:t>
            </w:r>
          </w:p>
        </w:tc>
        <w:tc>
          <w:tcPr>
            <w:tcW w:w="1980" w:type="dxa"/>
            <w:shd w:val="clear" w:color="auto" w:fill="C6D9F1" w:themeFill="text2" w:themeFillTint="33"/>
          </w:tcPr>
          <w:p w14:paraId="79F8E21E" w14:textId="77777777" w:rsidR="00C4001E" w:rsidRPr="004C3A1C" w:rsidRDefault="00C4001E">
            <w:pPr>
              <w:pStyle w:val="TableColumnHeader"/>
            </w:pPr>
            <w:r w:rsidRPr="004C3A1C">
              <w:t>Author</w:t>
            </w:r>
          </w:p>
        </w:tc>
        <w:tc>
          <w:tcPr>
            <w:tcW w:w="4225" w:type="dxa"/>
            <w:shd w:val="clear" w:color="auto" w:fill="C6D9F1" w:themeFill="text2" w:themeFillTint="33"/>
          </w:tcPr>
          <w:p w14:paraId="5C078CE3" w14:textId="77777777" w:rsidR="00C4001E" w:rsidRPr="004C3A1C" w:rsidRDefault="00C4001E">
            <w:pPr>
              <w:pStyle w:val="TableColumnHeader"/>
            </w:pPr>
            <w:r w:rsidRPr="004C3A1C">
              <w:t>URL</w:t>
            </w:r>
          </w:p>
        </w:tc>
      </w:tr>
      <w:tr w:rsidR="00C4001E" w:rsidRPr="00276B41" w14:paraId="35633053" w14:textId="77777777">
        <w:tc>
          <w:tcPr>
            <w:tcW w:w="3145" w:type="dxa"/>
          </w:tcPr>
          <w:p w14:paraId="3964881C" w14:textId="77777777" w:rsidR="00C4001E" w:rsidRPr="00276B41" w:rsidRDefault="00C4001E">
            <w:pPr>
              <w:pStyle w:val="TableText"/>
            </w:pPr>
            <w:r>
              <w:t>Preventing Spread of Infections in K–12 Schools</w:t>
            </w:r>
          </w:p>
        </w:tc>
        <w:tc>
          <w:tcPr>
            <w:tcW w:w="1980" w:type="dxa"/>
          </w:tcPr>
          <w:p w14:paraId="60C6780E" w14:textId="77777777" w:rsidR="00C4001E" w:rsidRPr="00276B41" w:rsidRDefault="00C4001E">
            <w:pPr>
              <w:pStyle w:val="TableText"/>
            </w:pPr>
            <w:r>
              <w:t>CDC</w:t>
            </w:r>
          </w:p>
        </w:tc>
        <w:tc>
          <w:tcPr>
            <w:tcW w:w="4225" w:type="dxa"/>
          </w:tcPr>
          <w:p w14:paraId="38F8A1C7" w14:textId="4F4A9895" w:rsidR="00C4001E" w:rsidRPr="00276B41" w:rsidRDefault="00C4001E">
            <w:pPr>
              <w:pStyle w:val="TableText"/>
            </w:pPr>
            <w:hyperlink r:id="rId278" w:history="1">
              <w:r w:rsidRPr="003A5993">
                <w:rPr>
                  <w:rStyle w:val="Hyperlink"/>
                </w:rPr>
                <w:t>https://www.cdc.gov/orr/school-preparedness/infection-prevention/index.html</w:t>
              </w:r>
            </w:hyperlink>
            <w:r>
              <w:t xml:space="preserve"> </w:t>
            </w:r>
          </w:p>
        </w:tc>
      </w:tr>
      <w:tr w:rsidR="007700CA" w:rsidRPr="00276B41" w14:paraId="785F573D" w14:textId="77777777">
        <w:tc>
          <w:tcPr>
            <w:tcW w:w="3145" w:type="dxa"/>
          </w:tcPr>
          <w:p w14:paraId="498102AE" w14:textId="585E2A95" w:rsidR="007700CA" w:rsidRDefault="007700CA">
            <w:pPr>
              <w:pStyle w:val="TableText"/>
            </w:pPr>
            <w:r>
              <w:t>Preventing the Spread of Respiratory Viruses in Public Indoor Spaces</w:t>
            </w:r>
          </w:p>
        </w:tc>
        <w:tc>
          <w:tcPr>
            <w:tcW w:w="1980" w:type="dxa"/>
          </w:tcPr>
          <w:p w14:paraId="7550B8CE" w14:textId="72D14A80" w:rsidR="007700CA" w:rsidRDefault="007C7E2B">
            <w:pPr>
              <w:pStyle w:val="TableText"/>
            </w:pPr>
            <w:r>
              <w:t>US EPA</w:t>
            </w:r>
          </w:p>
        </w:tc>
        <w:tc>
          <w:tcPr>
            <w:tcW w:w="4225" w:type="dxa"/>
          </w:tcPr>
          <w:p w14:paraId="34CEB0BF" w14:textId="6CD7FC99" w:rsidR="007C7E2B" w:rsidRDefault="007C7E2B" w:rsidP="007C7E2B">
            <w:pPr>
              <w:pStyle w:val="TableText"/>
            </w:pPr>
            <w:hyperlink r:id="rId279" w:history="1">
              <w:r w:rsidRPr="00FC1B12">
                <w:rPr>
                  <w:rStyle w:val="Hyperlink"/>
                </w:rPr>
                <w:t>https://www.epa.gov/indoor-air-quality-iaq/preventing-spread-respiratory-viruses-public-indoor-spaces</w:t>
              </w:r>
            </w:hyperlink>
          </w:p>
        </w:tc>
      </w:tr>
      <w:tr w:rsidR="00C4001E" w:rsidRPr="00276B41" w14:paraId="7D6654E0" w14:textId="77777777">
        <w:tc>
          <w:tcPr>
            <w:tcW w:w="3145" w:type="dxa"/>
          </w:tcPr>
          <w:p w14:paraId="3941C29C" w14:textId="77777777" w:rsidR="00C4001E" w:rsidRDefault="00C4001E">
            <w:pPr>
              <w:pStyle w:val="TableText"/>
            </w:pPr>
            <w:r>
              <w:t>Schools for Health (website and tools)</w:t>
            </w:r>
          </w:p>
        </w:tc>
        <w:tc>
          <w:tcPr>
            <w:tcW w:w="1980" w:type="dxa"/>
          </w:tcPr>
          <w:p w14:paraId="2AD3A813" w14:textId="77777777" w:rsidR="00C4001E" w:rsidRDefault="00C4001E">
            <w:pPr>
              <w:pStyle w:val="TableText"/>
            </w:pPr>
            <w:r>
              <w:t>Harvard T.H. Chan School of Public Health</w:t>
            </w:r>
          </w:p>
        </w:tc>
        <w:tc>
          <w:tcPr>
            <w:tcW w:w="4225" w:type="dxa"/>
          </w:tcPr>
          <w:p w14:paraId="14E3ACBC" w14:textId="388302BC" w:rsidR="00C4001E" w:rsidRDefault="00C4001E">
            <w:pPr>
              <w:pStyle w:val="TableText"/>
            </w:pPr>
            <w:hyperlink r:id="rId280" w:history="1">
              <w:r w:rsidRPr="003A5993">
                <w:rPr>
                  <w:rStyle w:val="Hyperlink"/>
                </w:rPr>
                <w:t>https://schools.forhealth.org/</w:t>
              </w:r>
            </w:hyperlink>
            <w:r>
              <w:t xml:space="preserve"> </w:t>
            </w:r>
          </w:p>
        </w:tc>
      </w:tr>
      <w:tr w:rsidR="00C01F6A" w:rsidRPr="00276B41" w14:paraId="4737F2DD" w14:textId="77777777">
        <w:tc>
          <w:tcPr>
            <w:tcW w:w="3145" w:type="dxa"/>
          </w:tcPr>
          <w:p w14:paraId="5B208E7E" w14:textId="1EC371F1" w:rsidR="00C01F6A" w:rsidRDefault="00C01F6A">
            <w:pPr>
              <w:pStyle w:val="TableText"/>
            </w:pPr>
            <w:r w:rsidRPr="00C01F6A">
              <w:t>Ventilation and Respiratory Viruses</w:t>
            </w:r>
          </w:p>
        </w:tc>
        <w:tc>
          <w:tcPr>
            <w:tcW w:w="1980" w:type="dxa"/>
          </w:tcPr>
          <w:p w14:paraId="0B0753DD" w14:textId="5E558B57" w:rsidR="00C01F6A" w:rsidRDefault="00C01F6A">
            <w:pPr>
              <w:pStyle w:val="TableText"/>
            </w:pPr>
            <w:r>
              <w:t>US EPA</w:t>
            </w:r>
          </w:p>
        </w:tc>
        <w:tc>
          <w:tcPr>
            <w:tcW w:w="4225" w:type="dxa"/>
          </w:tcPr>
          <w:p w14:paraId="332901D4" w14:textId="2689E100" w:rsidR="00C01F6A" w:rsidRDefault="00C01F6A">
            <w:pPr>
              <w:pStyle w:val="TableText"/>
            </w:pPr>
            <w:hyperlink r:id="rId281" w:history="1">
              <w:r w:rsidRPr="00FC1B12">
                <w:rPr>
                  <w:rStyle w:val="Hyperlink"/>
                </w:rPr>
                <w:t>https://www.epa.gov/indoor-air-quality-iaq/ventilation-and-respiratory-viruses</w:t>
              </w:r>
            </w:hyperlink>
          </w:p>
        </w:tc>
      </w:tr>
    </w:tbl>
    <w:p w14:paraId="6034DBC2" w14:textId="374ED4DE" w:rsidR="00672A2E" w:rsidRPr="00073C90" w:rsidRDefault="00454DFB" w:rsidP="001D30AE">
      <w:pPr>
        <w:pStyle w:val="AirQualitySubheading"/>
      </w:pPr>
      <w:bookmarkStart w:id="527" w:name="SectVII_2a2"/>
      <w:bookmarkEnd w:id="527"/>
      <w:r>
        <w:t>2a(2)</w:t>
      </w:r>
      <w:r>
        <w:tab/>
      </w:r>
      <w:r w:rsidR="00073C90" w:rsidRPr="00073C90">
        <w:t>Prevent Exposure to Asbestos</w:t>
      </w:r>
    </w:p>
    <w:p w14:paraId="1592B17B" w14:textId="77777777" w:rsidR="007C10E6" w:rsidRDefault="007C10E6" w:rsidP="007C10E6">
      <w:pPr>
        <w:pStyle w:val="Heading3"/>
        <w:keepNext/>
      </w:pPr>
      <w:r>
        <w:t>Methods and Best Practices</w:t>
      </w:r>
    </w:p>
    <w:p w14:paraId="37AF7CA6" w14:textId="77777777" w:rsidR="007C10E6" w:rsidRPr="00110FB3" w:rsidRDefault="007C10E6" w:rsidP="006D7DE6">
      <w:pPr>
        <w:pStyle w:val="BodyTextFirstIndent"/>
      </w:pPr>
      <w:r>
        <w:t>This section summarizes methods and best practices for preventing exposure to asbestos across three areas: preparation; continual monitoring and exposure mitigation; and exposure mitigation during renovations or abatement.</w:t>
      </w:r>
    </w:p>
    <w:p w14:paraId="624DB249" w14:textId="77777777" w:rsidR="007C10E6" w:rsidRDefault="007C10E6" w:rsidP="007C10E6">
      <w:pPr>
        <w:pStyle w:val="Heading4"/>
      </w:pPr>
      <w:r>
        <w:lastRenderedPageBreak/>
        <w:t>Preparation (Education and Planning)</w:t>
      </w:r>
    </w:p>
    <w:p w14:paraId="59BD8D62" w14:textId="77777777" w:rsidR="007C10E6" w:rsidRDefault="007C10E6" w:rsidP="007C10E6">
      <w:pPr>
        <w:pStyle w:val="Heading5"/>
      </w:pPr>
      <w:r>
        <w:t xml:space="preserve">(1) </w:t>
      </w:r>
      <w:r w:rsidRPr="00DB0AA5">
        <w:t xml:space="preserve">Develop an </w:t>
      </w:r>
      <w:r>
        <w:t>A</w:t>
      </w:r>
      <w:r w:rsidRPr="00DB0AA5">
        <w:t xml:space="preserve">sbestos </w:t>
      </w:r>
      <w:r>
        <w:t>M</w:t>
      </w:r>
      <w:r w:rsidRPr="00DB0AA5">
        <w:t xml:space="preserve">anagement </w:t>
      </w:r>
      <w:r>
        <w:t>P</w:t>
      </w:r>
      <w:r w:rsidRPr="00DB0AA5">
        <w:t xml:space="preserve">lan (AMP) in </w:t>
      </w:r>
      <w:r>
        <w:t>a</w:t>
      </w:r>
      <w:r w:rsidRPr="00DB0AA5">
        <w:t xml:space="preserve">ccordance with </w:t>
      </w:r>
      <w:r>
        <w:t xml:space="preserve">the </w:t>
      </w:r>
      <w:r w:rsidRPr="00DC4693">
        <w:t>Asbestos Hazard Emergency Response Act</w:t>
      </w:r>
      <w:r>
        <w:t xml:space="preserve"> and 454 CMR 28.00</w:t>
      </w:r>
    </w:p>
    <w:p w14:paraId="57E5D3E6" w14:textId="53A81354" w:rsidR="007C10E6" w:rsidRDefault="007C10E6" w:rsidP="006D7DE6">
      <w:pPr>
        <w:pStyle w:val="BodyTextFirstIndent"/>
      </w:pPr>
      <w:r>
        <w:t xml:space="preserve">As required by the </w:t>
      </w:r>
      <w:r w:rsidRPr="003A3F59">
        <w:t xml:space="preserve">Asbestos Hazard Emergency Response Act </w:t>
      </w:r>
      <w:r>
        <w:t xml:space="preserve">(AHERA) and 454 CMR 28.00, districts must have school buildings, </w:t>
      </w:r>
      <w:r w:rsidRPr="003B5B5E">
        <w:t>porticos</w:t>
      </w:r>
      <w:r>
        <w:t>,</w:t>
      </w:r>
      <w:r w:rsidRPr="003B5B5E">
        <w:t xml:space="preserve"> and roof mounted ventilation components</w:t>
      </w:r>
      <w:r>
        <w:t xml:space="preserve"> inspected for ACM, then prepare an AMP to prevent and reduce asbestos hazards in school buildings.</w:t>
      </w:r>
      <w:r>
        <w:rPr>
          <w:color w:val="000000"/>
          <w:sz w:val="20"/>
          <w:szCs w:val="20"/>
        </w:rPr>
        <w:fldChar w:fldCharType="begin"/>
      </w:r>
      <w:r w:rsidR="00BA18CE">
        <w:rPr>
          <w:color w:val="000000"/>
          <w:sz w:val="20"/>
          <w:szCs w:val="20"/>
        </w:rPr>
        <w:instrText xml:space="preserve"> ADDIN ZOTERO_ITEM CSL_CITATION {"citationID":"GeHfWiNO","properties":{"formattedCitation":"\\super 99,101,284,285\\nosupersub{}","plainCitation":"99,101,284,285","noteIndex":0},"citationItems":[{"id":12,"uris":["http://zotero.org/groups/5563646/items/4P4TGQ7E"],"itemData":{"id":12,"type":"report","language":"en","source":"Zotero","title":"Chemical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EPA","given":""}],"issued":{"date-parts":[["2006"]]}}},{"id":10,"uris":["http://zotero.org/groups/5563646/items/RET9EIZX"],"itemData":{"id":10,"type":"report","language":"en","number":"EPA-908-R-12-0001","source":"Zotero","title":"Sensible Steps to Healthier School Environments","URL":"https://www.epa.gov/sites/default/files/2014-05/documents/sensible_steps.pdf","author":[{"family":"US EPA","given":""}],"issued":{"date-parts":[["2012",7]]}}},{"id":359,"uris":["http://zotero.org/groups/5563646/items/LTSLHGMA"],"itemData":{"id":359,"type":"report","title":"454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Standards","given":""}],"accessed":{"date-parts":[["2024",6,26]]},"issued":{"date-parts":[["2023",2,17]]}}},{"id":14,"uris":["http://zotero.org/groups/5563646/items/7GQN7Y5L"],"itemData":{"id":14,"type":"webpage","abstract":"This page provides a listing of the laws and regulations pertaining to asbestos implemented by the EPA and certain other federal agencies.","genre":"Overviews and Factsheets","language":"en","title":"Asbestos Laws and Regulations","URL":"https://www.epa.gov/asbestos/asbestos-laws-and-regulations","author":[{"family":"US EPA","given":""}],"accessed":{"date-parts":[["2024",6,11]]},"issued":{"date-parts":[["2013",3,12]]}}}],"schema":"https://github.com/citation-style-language/schema/raw/master/csl-citation.json"} </w:instrText>
      </w:r>
      <w:r>
        <w:rPr>
          <w:color w:val="000000"/>
          <w:sz w:val="20"/>
          <w:szCs w:val="20"/>
        </w:rPr>
        <w:fldChar w:fldCharType="separate"/>
      </w:r>
      <w:r w:rsidR="00BA18CE" w:rsidRPr="00BA18CE">
        <w:rPr>
          <w:rFonts w:cs="Arial"/>
          <w:sz w:val="20"/>
          <w:vertAlign w:val="superscript"/>
        </w:rPr>
        <w:t>99,101,284,285</w:t>
      </w:r>
      <w:r>
        <w:rPr>
          <w:color w:val="000000"/>
          <w:sz w:val="20"/>
          <w:szCs w:val="20"/>
        </w:rPr>
        <w:fldChar w:fldCharType="end"/>
      </w:r>
      <w:r>
        <w:t xml:space="preserve"> The MA Department of Labor Standards (DLS) uses EPA</w:t>
      </w:r>
      <w:r w:rsidR="002C3A64">
        <w:t>’s</w:t>
      </w:r>
      <w:r>
        <w:t xml:space="preserve"> model AMP for schools, </w:t>
      </w:r>
      <w:r w:rsidRPr="00190AC8">
        <w:t xml:space="preserve">which is available for schools to use on the DLS and EPA websites (see list of resources in </w:t>
      </w:r>
      <w:r w:rsidRPr="00190AC8">
        <w:fldChar w:fldCharType="begin"/>
      </w:r>
      <w:r w:rsidRPr="00190AC8">
        <w:instrText xml:space="preserve"> REF _Ref170249317 \h  \* MERGEFORMAT </w:instrText>
      </w:r>
      <w:r w:rsidRPr="00190AC8">
        <w:fldChar w:fldCharType="separate"/>
      </w:r>
      <w:r w:rsidR="00307850">
        <w:t>Table 61</w:t>
      </w:r>
      <w:r w:rsidRPr="00190AC8">
        <w:fldChar w:fldCharType="end"/>
      </w:r>
      <w:r w:rsidRPr="00190AC8">
        <w:t>).</w:t>
      </w:r>
      <w:r w:rsidRPr="00190AC8">
        <w:fldChar w:fldCharType="begin"/>
      </w:r>
      <w:r w:rsidR="00497CED">
        <w:rPr>
          <w:highlight w:val="green"/>
        </w:rPr>
        <w:instrText xml:space="preserve"> ADDIN ZOTERO_ITEM CSL_CITATION {"citationID":"s85IdiiD","properties":{"formattedCitation":"\\super 286\\nosupersub{}","plainCitation":"286","noteIndex":0},"citationItems":[{"id":232,"uris":["http://zotero.org/groups/5563646/items/DSGTXXYP"],"itemData":{"id":232,"type":"webpage","abstract":"Includes General Information Forms, Inspection and Reinspection Forms, Response Action Forms, Operations and Maintenance Forms, Periodic Surveillance Form, and Notification Form","genre":"Other Policies and Guidance","language":"en","title":"Model AHERA Asbestos Management Plan for Local Education Agencies","URL":"https://www.epa.gov/asbestos/model-ahera-asbestos-management-plan-local-education-agencies","author":[{"family":"US EPA","given":""}],"accessed":{"date-parts":[["2024",6,19]]},"issued":{"date-parts":[["2023",9,1]]}}}],"schema":"https://github.com/citation-style-language/schema/raw/master/csl-citation.json"} </w:instrText>
      </w:r>
      <w:r w:rsidRPr="00190AC8">
        <w:fldChar w:fldCharType="separate"/>
      </w:r>
      <w:r w:rsidR="00497CED" w:rsidRPr="00497CED">
        <w:rPr>
          <w:rFonts w:cs="Arial"/>
          <w:vertAlign w:val="superscript"/>
        </w:rPr>
        <w:t>286</w:t>
      </w:r>
      <w:r w:rsidRPr="00190AC8">
        <w:fldChar w:fldCharType="end"/>
      </w:r>
      <w:r>
        <w:t xml:space="preserve"> In accordance with AHERA and 454 CMR 28.00, the AMP should specify a “designated person” to oversee asbestos-related activities in the school.</w:t>
      </w:r>
      <w:r>
        <w:fldChar w:fldCharType="begin"/>
      </w:r>
      <w:r w:rsidR="00C13843">
        <w:instrText xml:space="preserve"> ADDIN ZOTERO_ITEM CSL_CITATION {"citationID":"pqbYw3Pf","properties":{"formattedCitation":"\\super 286\\nosupersub{}","plainCitation":"286","noteIndex":0},"citationItems":[{"id":232,"uris":["http://zotero.org/groups/5563646/items/DSGTXXYP"],"itemData":{"id":232,"type":"webpage","abstract":"Includes General Information Forms, Inspection and Reinspection Forms, Response Action Forms, Operations and Maintenance Forms, Periodic Surveillance Form, and Notification Form","genre":"Other Policies and Guidance","language":"en","title":"Model AHERA Asbestos Management Plan for Local Education Agencies","URL":"https://www.epa.gov/asbestos/model-ahera-asbestos-management-plan-local-education-agencies","author":[{"family":"US EPA","given":""}],"accessed":{"date-parts":[["2024",6,19]]},"issued":{"date-parts":[["2023",9,1]]}}}],"schema":"https://github.com/citation-style-language/schema/raw/master/csl-citation.json"} </w:instrText>
      </w:r>
      <w:r>
        <w:fldChar w:fldCharType="separate"/>
      </w:r>
      <w:r w:rsidR="00C13843" w:rsidRPr="00C13843">
        <w:rPr>
          <w:rFonts w:cs="Arial"/>
          <w:vertAlign w:val="superscript"/>
        </w:rPr>
        <w:t>286</w:t>
      </w:r>
      <w:r>
        <w:fldChar w:fldCharType="end"/>
      </w:r>
      <w:r>
        <w:t xml:space="preserve"> Table 30 includes Massachusetts resources that may be helpful for the designated person. Once developed, schools should store the AMP on site and keep it up to date. The plan should also include records of relevant events such as response actions, training, and inspections.</w:t>
      </w:r>
      <w:r>
        <w:fldChar w:fldCharType="begin"/>
      </w:r>
      <w:r w:rsidR="00DB5990">
        <w:instrText xml:space="preserve"> ADDIN ZOTERO_ITEM CSL_CITATION {"citationID":"pAalqWwY","properties":{"formattedCitation":"\\super 287\\nosupersub{}","plainCitation":"287","noteIndex":0},"citationItems":[{"id":13,"uris":["http://zotero.org/groups/5563646/items/ASKMUJY7"],"itemData":{"id":13,"type":"report","title":"Checklist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DB5990" w:rsidRPr="00DB5990">
        <w:rPr>
          <w:rFonts w:cs="Arial"/>
          <w:vertAlign w:val="superscript"/>
        </w:rPr>
        <w:t>287</w:t>
      </w:r>
      <w:r>
        <w:fldChar w:fldCharType="end"/>
      </w:r>
      <w:r>
        <w:t xml:space="preserve"> </w:t>
      </w:r>
    </w:p>
    <w:p w14:paraId="26FEFC97" w14:textId="1311D278" w:rsidR="007C10E6" w:rsidRPr="000863D0" w:rsidRDefault="007C10E6" w:rsidP="007C10E6">
      <w:pPr>
        <w:pStyle w:val="Heading5"/>
      </w:pPr>
      <w:r w:rsidRPr="00A622EE">
        <w:t>(</w:t>
      </w:r>
      <w:r>
        <w:t>2</w:t>
      </w:r>
      <w:r w:rsidRPr="00A622EE">
        <w:t xml:space="preserve">) </w:t>
      </w:r>
      <w:r>
        <w:t xml:space="preserve">Provide easy access to and training </w:t>
      </w:r>
      <w:r w:rsidR="003D2862">
        <w:t>for</w:t>
      </w:r>
      <w:r>
        <w:t xml:space="preserve"> the effective implementation of</w:t>
      </w:r>
      <w:r w:rsidRPr="000863D0">
        <w:t xml:space="preserve"> </w:t>
      </w:r>
      <w:r>
        <w:t xml:space="preserve">the </w:t>
      </w:r>
      <w:r w:rsidRPr="000863D0">
        <w:t xml:space="preserve">AMP </w:t>
      </w:r>
    </w:p>
    <w:p w14:paraId="1F2D0520" w14:textId="0AA158EE" w:rsidR="007C10E6" w:rsidRDefault="007C10E6" w:rsidP="006D7DE6">
      <w:pPr>
        <w:pStyle w:val="BodyTextFirstIndent"/>
      </w:pPr>
      <w:r>
        <w:t xml:space="preserve">School leaders should </w:t>
      </w:r>
      <w:r w:rsidR="001D2EC4">
        <w:t>confirm</w:t>
      </w:r>
      <w:r>
        <w:t xml:space="preserve"> that all O&amp;M staff thoroughly understand the AMP and how to minimize asbestos exposure. This may require training on the AMP, review, and frequently sharing the AMP. The AMP should be available to anyone who is interested without restricitons.</w:t>
      </w:r>
      <w:r>
        <w:fldChar w:fldCharType="begin"/>
      </w:r>
      <w:r w:rsidR="001251FC">
        <w:instrText xml:space="preserve"> ADDIN ZOTERO_ITEM CSL_CITATION {"citationID":"fiU6Vk4z","properties":{"formattedCitation":"\\super 101,287\\nosupersub{}","plainCitation":"101,287","noteIndex":0},"citationItems":[{"id":10,"uris":["http://zotero.org/groups/5563646/items/RET9EIZX"],"itemData":{"id":10,"type":"report","language":"en","number":"EPA-908-R-12-0001","source":"Zotero","title":"Sensible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1251FC" w:rsidRPr="001251FC">
        <w:rPr>
          <w:rFonts w:cs="Arial"/>
          <w:vertAlign w:val="superscript"/>
        </w:rPr>
        <w:t>101,287</w:t>
      </w:r>
      <w:r>
        <w:fldChar w:fldCharType="end"/>
      </w:r>
    </w:p>
    <w:p w14:paraId="1D2A4F0E" w14:textId="77777777" w:rsidR="007C10E6" w:rsidRDefault="007C10E6" w:rsidP="007C10E6">
      <w:pPr>
        <w:pStyle w:val="Heading4"/>
      </w:pPr>
      <w:r w:rsidRPr="00AD69B5">
        <w:t>Continual Monitoring and Exposure Mitigation</w:t>
      </w:r>
    </w:p>
    <w:p w14:paraId="7B2788ED" w14:textId="77777777" w:rsidR="007C10E6" w:rsidRDefault="007C10E6" w:rsidP="007C10E6">
      <w:pPr>
        <w:pStyle w:val="Heading5"/>
      </w:pPr>
      <w:r w:rsidRPr="00A622EE">
        <w:t>(</w:t>
      </w:r>
      <w:r>
        <w:t>3</w:t>
      </w:r>
      <w:r w:rsidRPr="00A622EE">
        <w:t xml:space="preserve">) </w:t>
      </w:r>
      <w:r w:rsidRPr="00D06E2A">
        <w:t xml:space="preserve">Inspect schools for </w:t>
      </w:r>
      <w:r>
        <w:t>ACM</w:t>
      </w:r>
      <w:r w:rsidRPr="00D06E2A">
        <w:t xml:space="preserve"> every three years</w:t>
      </w:r>
    </w:p>
    <w:p w14:paraId="36BCD8D2" w14:textId="58B0D471" w:rsidR="007C10E6" w:rsidRDefault="007C10E6" w:rsidP="006D7DE6">
      <w:pPr>
        <w:pStyle w:val="BodyTextFirstIndent"/>
      </w:pPr>
      <w:r>
        <w:t>Schools should be inspected for ACM by licensed asbestos inspectors in compliance with 454 CMR 28.00. A licensed inspector should re-inspect ACM at least every six months, as required by 454 CMR 28.00, to look for any changes in the condition of the materials and any suspected ACM not previously identified.</w:t>
      </w:r>
      <w:r>
        <w:fldChar w:fldCharType="begin"/>
      </w:r>
      <w:r w:rsidR="00B72F9D">
        <w:instrText xml:space="preserve"> ADDIN ZOTERO_ITEM CSL_CITATION {"citationID":"LyhRA2P5","properties":{"formattedCitation":"\\super 100,284,287\\nosupersub{}","plainCitation":"100,284,287","noteIndex":0},"citationItems":[{"id":8,"uris":["http://zotero.org/groups/5563646/items/KSFS3HQF"],"itemData":{"id":8,"type":"report","number":"EPA-909-R-15-002","publisher":"Environmental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B72F9D" w:rsidRPr="00B72F9D">
        <w:rPr>
          <w:rFonts w:cs="Arial"/>
          <w:vertAlign w:val="superscript"/>
        </w:rPr>
        <w:t>100,284,287</w:t>
      </w:r>
      <w:r>
        <w:fldChar w:fldCharType="end"/>
      </w:r>
    </w:p>
    <w:p w14:paraId="05D6B959" w14:textId="77777777" w:rsidR="007C10E6" w:rsidRDefault="007C10E6" w:rsidP="007C10E6">
      <w:pPr>
        <w:pStyle w:val="Heading5"/>
      </w:pPr>
      <w:r>
        <w:t xml:space="preserve">(4) </w:t>
      </w:r>
      <w:r w:rsidRPr="000863D0">
        <w:t xml:space="preserve">Label all </w:t>
      </w:r>
      <w:r>
        <w:t>ACM</w:t>
      </w:r>
    </w:p>
    <w:p w14:paraId="199142A2" w14:textId="16F6D0D2" w:rsidR="007C10E6" w:rsidRDefault="007C10E6" w:rsidP="006D7DE6">
      <w:pPr>
        <w:pStyle w:val="BodyTextFirstIndent"/>
      </w:pPr>
      <w:r>
        <w:t>All ACM should be prominently labeled.</w:t>
      </w:r>
      <w:r>
        <w:fldChar w:fldCharType="begin"/>
      </w:r>
      <w:r w:rsidR="00ED35C9">
        <w:instrText xml:space="preserve"> ADDIN ZOTERO_ITEM CSL_CITATION {"citationID":"txjgoQgR","properties":{"formattedCitation":"\\super 287\\nosupersub{}","plainCitation":"287","noteIndex":0},"citationItems":[{"id":13,"uris":["http://zotero.org/groups/5563646/items/ASKMUJY7"],"itemData":{"id":13,"type":"report","title":"Checklist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ED35C9" w:rsidRPr="00ED35C9">
        <w:rPr>
          <w:rFonts w:cs="Arial"/>
          <w:vertAlign w:val="superscript"/>
        </w:rPr>
        <w:t>287</w:t>
      </w:r>
      <w:r>
        <w:fldChar w:fldCharType="end"/>
      </w:r>
      <w:r>
        <w:t xml:space="preserve"> They typically do not need to be removed unless severely damaged or disturbed, but should be identifiable.</w:t>
      </w:r>
      <w:r>
        <w:fldChar w:fldCharType="begin"/>
      </w:r>
      <w:r w:rsidR="00FC03EE">
        <w:instrText xml:space="preserve"> ADDIN ZOTERO_ITEM CSL_CITATION {"citationID":"qnFS63P6","properties":{"formattedCitation":"\\super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FC03EE" w:rsidRPr="00FC03EE">
        <w:rPr>
          <w:rFonts w:cs="Arial"/>
          <w:vertAlign w:val="superscript"/>
        </w:rPr>
        <w:t>101</w:t>
      </w:r>
      <w:r>
        <w:fldChar w:fldCharType="end"/>
      </w:r>
    </w:p>
    <w:p w14:paraId="74B5F646" w14:textId="77777777" w:rsidR="007C10E6" w:rsidRPr="00D06E2A" w:rsidRDefault="007C10E6" w:rsidP="007C10E6">
      <w:pPr>
        <w:pStyle w:val="Heading5"/>
      </w:pPr>
      <w:r w:rsidRPr="00A622EE">
        <w:t>(</w:t>
      </w:r>
      <w:r>
        <w:t>5</w:t>
      </w:r>
      <w:r w:rsidRPr="00A622EE">
        <w:t xml:space="preserve">) </w:t>
      </w:r>
      <w:r>
        <w:t>Train staff to r</w:t>
      </w:r>
      <w:r w:rsidRPr="00D06E2A">
        <w:t xml:space="preserve">eport any asbestos exposure </w:t>
      </w:r>
      <w:r>
        <w:t xml:space="preserve">risks </w:t>
      </w:r>
      <w:r w:rsidRPr="00D06E2A">
        <w:t>to the building administrator</w:t>
      </w:r>
    </w:p>
    <w:p w14:paraId="03B5C8D4" w14:textId="364FD5B3" w:rsidR="007C10E6" w:rsidRDefault="007C10E6" w:rsidP="006D7DE6">
      <w:pPr>
        <w:pStyle w:val="BodyTextFirstIndent"/>
      </w:pPr>
      <w:r>
        <w:t>Train staff about common locations of and procedures for identifying ACM. Urge staff to report any concerns about damage or deterioration of ACM to the school building administrator.</w:t>
      </w:r>
      <w:r>
        <w:fldChar w:fldCharType="begin"/>
      </w:r>
      <w:r w:rsidR="00BC098F">
        <w:instrText xml:space="preserve"> ADDIN ZOTERO_ITEM CSL_CITATION {"citationID":"Rqva6S94","properties":{"formattedCitation":"\\super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BC098F" w:rsidRPr="00BC098F">
        <w:rPr>
          <w:rFonts w:cs="Arial"/>
          <w:vertAlign w:val="superscript"/>
        </w:rPr>
        <w:t>101</w:t>
      </w:r>
      <w:r>
        <w:fldChar w:fldCharType="end"/>
      </w:r>
    </w:p>
    <w:p w14:paraId="12E36F44" w14:textId="77777777" w:rsidR="00CD6B90" w:rsidRDefault="00CD6B90">
      <w:pPr>
        <w:rPr>
          <w:rFonts w:ascii="Arial" w:hAnsi="Arial"/>
          <w:b/>
          <w:i/>
          <w:color w:val="1F497D"/>
          <w:sz w:val="24"/>
        </w:rPr>
      </w:pPr>
      <w:r>
        <w:br w:type="page"/>
      </w:r>
    </w:p>
    <w:p w14:paraId="6FE627FB" w14:textId="298949DD" w:rsidR="007C10E6" w:rsidRDefault="007C10E6" w:rsidP="007C10E6">
      <w:pPr>
        <w:pStyle w:val="Heading5"/>
      </w:pPr>
      <w:r>
        <w:lastRenderedPageBreak/>
        <w:t xml:space="preserve">(6) </w:t>
      </w:r>
      <w:r w:rsidRPr="00D06E2A">
        <w:t xml:space="preserve">Conduct asbestos response actions to reduce exposure risk in </w:t>
      </w:r>
      <w:r w:rsidRPr="00DD597D">
        <w:t>accordance</w:t>
      </w:r>
      <w:r w:rsidRPr="00D06E2A">
        <w:t xml:space="preserve"> with AHERA</w:t>
      </w:r>
      <w:r>
        <w:t xml:space="preserve"> and 454 CMR 28.00</w:t>
      </w:r>
    </w:p>
    <w:p w14:paraId="6B98C683" w14:textId="272BD369" w:rsidR="007C10E6" w:rsidRDefault="007C10E6" w:rsidP="006D7DE6">
      <w:pPr>
        <w:pStyle w:val="BodyTextFirstIndent"/>
        <w:rPr>
          <w:rFonts w:cs="Arial"/>
          <w:vertAlign w:val="superscript"/>
        </w:rPr>
      </w:pPr>
      <w:r>
        <w:t>In accordance with 454 CMR 28.00, response actions must be consistent with the assessment.</w:t>
      </w:r>
      <w:r>
        <w:fldChar w:fldCharType="begin"/>
      </w:r>
      <w:r w:rsidR="00716B1C">
        <w:instrText xml:space="preserve"> ADDIN ZOTERO_ITEM CSL_CITATION {"citationID":"afvu7qkjs4","properties":{"formattedCitation":"\\super 288\\nosupersub{}","plainCitation":"288","noteIndex":0},"citationItems":[{"id":1061,"uris":["http://zotero.org/groups/5563646/items/KYIFTZQE"],"itemData":{"id":1061,"type":"report","number":"Doc #2021-022","title":"AHERA Regulation Changes under 454 CMR 28.00","URL":"https://www.mass.gov/doc/faqs-about-ahera-regulation-changes-under-454-cmr-28/download","author":[{"family":"Massachusetts Department of Labor Standards","given":""}],"accessed":{"date-parts":[["2024",9,23]]},"issued":{"date-parts":[["2021"]]}}}],"schema":"https://github.com/citation-style-language/schema/raw/master/csl-citation.json"} </w:instrText>
      </w:r>
      <w:r>
        <w:fldChar w:fldCharType="separate"/>
      </w:r>
      <w:r w:rsidR="00716B1C" w:rsidRPr="00716B1C">
        <w:rPr>
          <w:rFonts w:cs="Arial"/>
          <w:vertAlign w:val="superscript"/>
        </w:rPr>
        <w:t>288</w:t>
      </w:r>
      <w:r>
        <w:fldChar w:fldCharType="end"/>
      </w:r>
      <w:r>
        <w:t xml:space="preserve"> Minimizing the risks of asbestos, as mandated by AHERA, is based on the principle of “in-place” management. The goal of this approach is to teach people to recognize and monitor ACM, then manage it as necessary without removing it. Removal is not usually necessary unless the ACM is severely damaged or disturbed, which may happen during a major renovation project or during an incident such as a burst pipe or flooding event.</w:t>
      </w:r>
      <w:r>
        <w:fldChar w:fldCharType="begin"/>
      </w:r>
      <w:r w:rsidR="0041601E">
        <w:instrText xml:space="preserve"> ADDIN ZOTERO_ITEM CSL_CITATION {"citationID":"aoisVYFC","properties":{"formattedCitation":"\\super 101,284,285\\nosupersub{}","plainCitation":"101,284,285","noteIndex":0},"citationItems":[{"id":10,"uris":["http://zotero.org/groups/5563646/items/RET9EIZX"],"itemData":{"id":10,"type":"report","language":"en","number":"EPA-908-R-12-0001","source":"Zotero","title":"Sensible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Standards","given":""}],"accessed":{"date-parts":[["2024",6,26]]},"issued":{"date-parts":[["2023",2,17]]}}},{"id":14,"uris":["http://zotero.org/groups/5563646/items/7GQN7Y5L"],"itemData":{"id":14,"type":"webpage","abstract":"This page provides a listing of the laws and regulations pertaining to asbestos implemented by the EPA and certain other federal agencies.","genre":"Overviews and Factsheets","language":"en","title":"Asbestos Laws and Regulations","URL":"https://www.epa.gov/asbestos/asbestos-laws-and-regulations","author":[{"family":"US EPA","given":""}],"accessed":{"date-parts":[["2024",6,11]]},"issued":{"date-parts":[["2013",3,12]]}}}],"schema":"https://github.com/citation-style-language/schema/raw/master/csl-citation.json"} </w:instrText>
      </w:r>
      <w:r>
        <w:fldChar w:fldCharType="separate"/>
      </w:r>
      <w:r w:rsidR="0041601E" w:rsidRPr="0041601E">
        <w:rPr>
          <w:rFonts w:cs="Arial"/>
          <w:vertAlign w:val="superscript"/>
        </w:rPr>
        <w:t>101,284,285</w:t>
      </w:r>
      <w:r>
        <w:fldChar w:fldCharType="end"/>
      </w:r>
      <w:r>
        <w:t xml:space="preserve"> Air clearance monitoring must be conducted after a response action.</w:t>
      </w:r>
      <w:r>
        <w:fldChar w:fldCharType="begin"/>
      </w:r>
      <w:r w:rsidR="004052F8">
        <w:instrText xml:space="preserve"> ADDIN ZOTERO_ITEM CSL_CITATION {"citationID":"XeKKQMLq","properties":{"formattedCitation":"\\super 288\\nosupersub{}","plainCitation":"288","noteIndex":0},"citationItems":[{"id":1061,"uris":["http://zotero.org/groups/5563646/items/KYIFTZQE"],"itemData":{"id":1061,"type":"report","number":"Doc #2021-022","title":"AHERA Regulation Changes under 454 CMR 28.00","URL":"https://www.mass.gov/doc/faqs-about-ahera-regulation-changes-under-454-cmr-28/download","author":[{"family":"Massachusetts Department of Labor Standards","given":""}],"accessed":{"date-parts":[["2024",9,23]]},"issued":{"date-parts":[["2021"]]}}}],"schema":"https://github.com/citation-style-language/schema/raw/master/csl-citation.json"} </w:instrText>
      </w:r>
      <w:r>
        <w:fldChar w:fldCharType="separate"/>
      </w:r>
      <w:r w:rsidR="004052F8" w:rsidRPr="004052F8">
        <w:rPr>
          <w:rFonts w:cs="Arial"/>
          <w:vertAlign w:val="superscript"/>
        </w:rPr>
        <w:t>288</w:t>
      </w:r>
      <w:r>
        <w:fldChar w:fldCharType="end"/>
      </w:r>
    </w:p>
    <w:p w14:paraId="5F047305" w14:textId="77777777" w:rsidR="007C10E6" w:rsidRDefault="007C10E6" w:rsidP="007C10E6">
      <w:pPr>
        <w:pStyle w:val="Heading4"/>
      </w:pPr>
      <w:r w:rsidRPr="00AD69B5">
        <w:t>Exposure Mitigation During Renovations</w:t>
      </w:r>
      <w:r>
        <w:t xml:space="preserve"> or Abatement</w:t>
      </w:r>
    </w:p>
    <w:p w14:paraId="48BD6227" w14:textId="77777777" w:rsidR="007C10E6" w:rsidRPr="001F7C48" w:rsidRDefault="007C10E6" w:rsidP="007C10E6">
      <w:pPr>
        <w:pStyle w:val="Heading5"/>
      </w:pPr>
      <w:r w:rsidRPr="00A622EE">
        <w:t>(</w:t>
      </w:r>
      <w:r>
        <w:t>7</w:t>
      </w:r>
      <w:r w:rsidRPr="00A622EE">
        <w:t xml:space="preserve">) </w:t>
      </w:r>
      <w:r w:rsidRPr="001F7C48">
        <w:t xml:space="preserve">Minimize disturbance of </w:t>
      </w:r>
      <w:r>
        <w:t>ACM</w:t>
      </w:r>
      <w:r w:rsidRPr="001F7C48">
        <w:t xml:space="preserve"> during renovations or </w:t>
      </w:r>
      <w:r>
        <w:t>conduct</w:t>
      </w:r>
      <w:r w:rsidRPr="001F7C48">
        <w:t xml:space="preserve"> appropriate abatement action</w:t>
      </w:r>
      <w:r>
        <w:t>s</w:t>
      </w:r>
      <w:r w:rsidRPr="001F7C48">
        <w:t xml:space="preserve">  </w:t>
      </w:r>
    </w:p>
    <w:p w14:paraId="246B5C1E" w14:textId="6F15E121" w:rsidR="007C10E6" w:rsidRDefault="007C10E6" w:rsidP="006D7DE6">
      <w:pPr>
        <w:pStyle w:val="BodyTextFirstIndent"/>
        <w:rPr>
          <w:vertAlign w:val="superscript"/>
        </w:rPr>
      </w:pPr>
      <w:r>
        <w:t>Before undertaking renovations, school personnel should review the AMP and location of any ACM.</w:t>
      </w:r>
      <w:r>
        <w:fldChar w:fldCharType="begin"/>
      </w:r>
      <w:r w:rsidR="006133F9">
        <w:instrText xml:space="preserve"> ADDIN ZOTERO_ITEM CSL_CITATION {"citationID":"uAj4lhBj","properties":{"formattedCitation":"\\super 100,287\\nosupersub{}","plainCitation":"100,287","noteIndex":0},"citationItems":[{"id":8,"uris":["http://zotero.org/groups/5563646/items/KSFS3HQF"],"itemData":{"id":8,"type":"report","number":"EPA-909-R-15-002","publisher":"Environmental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6133F9" w:rsidRPr="006133F9">
        <w:rPr>
          <w:rFonts w:cs="Arial"/>
          <w:vertAlign w:val="superscript"/>
        </w:rPr>
        <w:t>100,287</w:t>
      </w:r>
      <w:r>
        <w:fldChar w:fldCharType="end"/>
      </w:r>
      <w:r>
        <w:t xml:space="preserve"> Schools should </w:t>
      </w:r>
      <w:r w:rsidR="00BB1219">
        <w:t xml:space="preserve">create barriers so </w:t>
      </w:r>
      <w:r>
        <w:t xml:space="preserve">that ACM </w:t>
      </w:r>
      <w:r w:rsidR="006D64E8">
        <w:t xml:space="preserve">is not </w:t>
      </w:r>
      <w:r>
        <w:t xml:space="preserve">touched during renovations or </w:t>
      </w:r>
      <w:r w:rsidR="006D64E8">
        <w:t xml:space="preserve">should </w:t>
      </w:r>
      <w:r>
        <w:t>take appropriate abatement actions. Abatement procedures should be included in the design of the renovation project.</w:t>
      </w:r>
      <w:r>
        <w:fldChar w:fldCharType="begin"/>
      </w:r>
      <w:r w:rsidR="00001840">
        <w:instrText xml:space="preserve"> ADDIN ZOTERO_ITEM CSL_CITATION {"citationID":"YO3xnzag","properties":{"formattedCitation":"\\super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001840" w:rsidRPr="00001840">
        <w:rPr>
          <w:rFonts w:cs="Arial"/>
          <w:vertAlign w:val="superscript"/>
        </w:rPr>
        <w:t>100</w:t>
      </w:r>
      <w:r>
        <w:fldChar w:fldCharType="end"/>
      </w:r>
      <w:r>
        <w:t xml:space="preserve"> All renovations must be completed in compliance with </w:t>
      </w:r>
      <w:r w:rsidRPr="00EB767B">
        <w:t xml:space="preserve">National Emission Standards for Hazardous Air Pollutants </w:t>
      </w:r>
      <w:r>
        <w:t xml:space="preserve">(NESHAP), which requires that schools notify the appropriate state agency before any demolition or renovation of buildings with a certain amount of ACM. In Massachusetts, schools should contact MassDEP and DLS at least 10 business days before conducting renovations that involve ACM or, </w:t>
      </w:r>
      <w:r w:rsidRPr="00781781">
        <w:t xml:space="preserve">in the case of an </w:t>
      </w:r>
      <w:r>
        <w:t>e</w:t>
      </w:r>
      <w:r w:rsidRPr="00781781">
        <w:t xml:space="preserve">mergency </w:t>
      </w:r>
      <w:r>
        <w:t>p</w:t>
      </w:r>
      <w:r w:rsidRPr="00781781">
        <w:t xml:space="preserve">roject, within one working day after the project </w:t>
      </w:r>
      <w:r>
        <w:t>begins.</w:t>
      </w:r>
      <w:r>
        <w:fldChar w:fldCharType="begin"/>
      </w:r>
      <w:r w:rsidR="0036776C">
        <w:instrText xml:space="preserve"> ADDIN ZOTERO_ITEM CSL_CITATION {"citationID":"NO57uJsS","properties":{"formattedCitation":"\\super 100,287\\nosupersub{}","plainCitation":"100,287","noteIndex":0},"citationItems":[{"id":8,"uris":["http://zotero.org/groups/5563646/items/KSFS3HQF"],"itemData":{"id":8,"type":"report","number":"EPA-909-R-15-002","publisher":"Environmental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36776C" w:rsidRPr="0036776C">
        <w:rPr>
          <w:rFonts w:cs="Arial"/>
          <w:vertAlign w:val="superscript"/>
        </w:rPr>
        <w:t>100,287</w:t>
      </w:r>
      <w:r>
        <w:fldChar w:fldCharType="end"/>
      </w:r>
    </w:p>
    <w:p w14:paraId="45B9BE98" w14:textId="77777777" w:rsidR="007C10E6" w:rsidRDefault="007C10E6" w:rsidP="007C10E6">
      <w:pPr>
        <w:pStyle w:val="Heading5"/>
      </w:pPr>
      <w:r w:rsidRPr="00A622EE">
        <w:t>(</w:t>
      </w:r>
      <w:r>
        <w:t>8</w:t>
      </w:r>
      <w:r w:rsidRPr="00A622EE">
        <w:t>) Schedule renovations or asbestos abatement activities when students and staff are not in the building</w:t>
      </w:r>
    </w:p>
    <w:p w14:paraId="01D1A2F1" w14:textId="3E9EFF90" w:rsidR="007C10E6" w:rsidRDefault="007C10E6" w:rsidP="006D7DE6">
      <w:pPr>
        <w:pStyle w:val="BodyTextFirstIndent"/>
        <w:rPr>
          <w:rFonts w:cs="Arial"/>
          <w:vertAlign w:val="superscript"/>
        </w:rPr>
      </w:pPr>
      <w:r>
        <w:t>Renovations that involve ACM or asbestos abatement activities should not occur when students or staff are in the building. Schools should schedule renovations outside the school year or during school breaks, unless in emergency situations.</w:t>
      </w:r>
      <w:r>
        <w:fldChar w:fldCharType="begin"/>
      </w:r>
      <w:r w:rsidR="00E00149">
        <w:instrText xml:space="preserve"> ADDIN ZOTERO_ITEM CSL_CITATION {"citationID":"mO4uuYsK","properties":{"formattedCitation":"\\super 100,288\\nosupersub{}","plainCitation":"100,288","noteIndex":0},"citationItems":[{"id":1061,"uris":["http://zotero.org/groups/5563646/items/KYIFTZQE"],"itemData":{"id":1061,"type":"report","number":"Doc #2021-022","title":"AHERA Regulation Changes under 454 CMR 28.00","URL":"https://www.mass.gov/doc/faqs-about-ahera-regulation-changes-under-454-cmr-28/download","author":[{"family":"Massachusetts Department of Labor Standards","given":""}],"accessed":{"date-parts":[["2024",9,23]]},"issued":{"date-parts":[["2021"]]}}},{"id":8,"uris":["http://zotero.org/groups/5563646/items/KSFS3HQF"],"itemData":{"id":8,"type":"report","number":"EPA-909-R-15-002","publisher":"Environmental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E00149" w:rsidRPr="00E00149">
        <w:rPr>
          <w:rFonts w:cs="Arial"/>
          <w:vertAlign w:val="superscript"/>
        </w:rPr>
        <w:t>100,288</w:t>
      </w:r>
      <w:r>
        <w:fldChar w:fldCharType="end"/>
      </w:r>
    </w:p>
    <w:p w14:paraId="6264A33B" w14:textId="21F27084" w:rsidR="007C10E6" w:rsidRDefault="007C10E6" w:rsidP="007C10E6">
      <w:pPr>
        <w:pStyle w:val="Heading5"/>
      </w:pPr>
      <w:r>
        <w:t xml:space="preserve">(9) </w:t>
      </w:r>
      <w:r w:rsidR="00FA0826">
        <w:t>Confirm</w:t>
      </w:r>
      <w:r w:rsidRPr="00A622EE">
        <w:t xml:space="preserve"> safe air quality sampling results prior to allowing students and staff to return to the building</w:t>
      </w:r>
    </w:p>
    <w:p w14:paraId="49D70AAB" w14:textId="08B4E587" w:rsidR="007C10E6" w:rsidRDefault="007C10E6" w:rsidP="006D7DE6">
      <w:pPr>
        <w:pStyle w:val="BodyTextFirstIndent"/>
      </w:pPr>
      <w:r>
        <w:t xml:space="preserve">After completing renovations involving ACM or asbestos abatement activities, schools </w:t>
      </w:r>
      <w:r w:rsidR="00FB445C" w:rsidRPr="00FB445C">
        <w:t>must contract for asbestos clearance air monitoring in accordance with 454 CMR 28.00</w:t>
      </w:r>
      <w:r>
        <w:t>. Students and staff should only be allowed back into the building once the air has been cleared of asbestos.</w:t>
      </w:r>
      <w:r w:rsidR="00EB0785">
        <w:fldChar w:fldCharType="begin"/>
      </w:r>
      <w:r w:rsidR="00342CE4">
        <w:instrText xml:space="preserve"> ADDIN ZOTERO_ITEM CSL_CITATION {"citationID":"a114k8qteg4","properties":{"formattedCitation":"\\super 289\\nosupersub{}","plainCitation":"289","noteIndex":0},"citationItems":[{"id":1170,"uris":["http://zotero.org/groups/5563646/items/J6VXGKTP"],"itemData":{"id":1170,"type":"document","title":"PCM Clearance Air Sampling Guidance for Asbestos Project Monitors","URL":"https://www.mass.gov/doc/pcm-clearance-air-sampling-guidance-for-asbestos-project-monitors/download","author":[{"literal":"Commonwealth of Massachusetts, Executive Office of Labor and Workforce Development, Department of Labor Standards"}],"issued":{"date-parts":[["2014",5]]}}}],"schema":"https://github.com/citation-style-language/schema/raw/master/csl-citation.json"} </w:instrText>
      </w:r>
      <w:r w:rsidR="00EB0785">
        <w:fldChar w:fldCharType="separate"/>
      </w:r>
      <w:r w:rsidR="002A50D9" w:rsidRPr="002A50D9">
        <w:rPr>
          <w:rFonts w:cs="Arial"/>
          <w:vertAlign w:val="superscript"/>
        </w:rPr>
        <w:t>289</w:t>
      </w:r>
      <w:r w:rsidR="00EB0785">
        <w:fldChar w:fldCharType="end"/>
      </w:r>
      <w:r w:rsidR="00EB0785">
        <w:t xml:space="preserve"> </w:t>
      </w:r>
    </w:p>
    <w:p w14:paraId="53A9C650" w14:textId="77777777" w:rsidR="00CD6B90" w:rsidRDefault="00CD6B90">
      <w:pPr>
        <w:rPr>
          <w:rFonts w:ascii="Arial" w:hAnsi="Arial" w:cs="Arial"/>
          <w:b/>
          <w:bCs/>
          <w:color w:val="4F6228" w:themeColor="accent3" w:themeShade="80"/>
          <w:sz w:val="26"/>
          <w:szCs w:val="22"/>
        </w:rPr>
      </w:pPr>
      <w:r>
        <w:br w:type="page"/>
      </w:r>
    </w:p>
    <w:p w14:paraId="615E2B13" w14:textId="44538889" w:rsidR="00BC0B3E" w:rsidRDefault="00BC0B3E" w:rsidP="00BC0B3E">
      <w:pPr>
        <w:pStyle w:val="Heading3"/>
      </w:pPr>
      <w:r>
        <w:lastRenderedPageBreak/>
        <w:t>Statutes, Regulations, and Standards</w:t>
      </w:r>
    </w:p>
    <w:p w14:paraId="74A76DB0" w14:textId="77777777" w:rsidR="00BC0B3E" w:rsidRPr="006B757B" w:rsidRDefault="00BC0B3E" w:rsidP="006D7DE6">
      <w:pPr>
        <w:pStyle w:val="BodyTextFirstIndent"/>
      </w:pPr>
      <w:r>
        <w:t>Statutes, regulations, and standards that include a focus on exposure to asbestos are detailed below.</w:t>
      </w:r>
    </w:p>
    <w:p w14:paraId="5627E775" w14:textId="77777777" w:rsidR="00BC0B3E" w:rsidRDefault="00BC0B3E" w:rsidP="00BC0B3E">
      <w:pPr>
        <w:pStyle w:val="Heading4"/>
      </w:pPr>
      <w:r>
        <w:t>Relevant Regulations</w:t>
      </w:r>
    </w:p>
    <w:p w14:paraId="53E74A58" w14:textId="2147CF16" w:rsidR="00BC0B3E" w:rsidRPr="005F3D3B" w:rsidRDefault="00BC0B3E" w:rsidP="006D7DE6">
      <w:pPr>
        <w:pStyle w:val="BodyTextFirstIndent"/>
      </w:pPr>
      <w:r w:rsidRPr="653D8BA2">
        <w:rPr>
          <w:b/>
        </w:rPr>
        <w:t>310 CMR 7.15 U Asbestos</w:t>
      </w:r>
      <w:r>
        <w:rPr>
          <w:b/>
        </w:rPr>
        <w:t xml:space="preserve"> </w:t>
      </w:r>
      <w:r>
        <w:t>applies to anyone engaged in or associated with asbestos abatement activities, including surveys, visual inspections, and record-keeping.</w:t>
      </w:r>
      <w:r>
        <w:fldChar w:fldCharType="begin"/>
      </w:r>
      <w:r w:rsidR="00A017B7">
        <w:instrText xml:space="preserve"> ADDIN ZOTERO_ITEM CSL_CITATION {"citationID":"P36gbDc1","properties":{"formattedCitation":"\\super 290\\nosupersub{}","plainCitation":"290","noteIndex":0},"citationItems":[{"id":360,"uris":["http://zotero.org/groups/5563646/items/I6PPYT2V"],"itemData":{"id":360,"type":"report","collection-title":"Air Pollution Control Regulation","publisher":"Massachusetts Department of Environmental Protection","title":"310 CMR 7.15: U Asbestos","URL":"https://www.mass.gov/doc/310-cmr-700-air-pollution-control-regulation/download","author":[{"family":"MassDEP","given":""}],"accessed":{"date-parts":[["2024",6,26]]}}}],"schema":"https://github.com/citation-style-language/schema/raw/master/csl-citation.json"} </w:instrText>
      </w:r>
      <w:r>
        <w:fldChar w:fldCharType="separate"/>
      </w:r>
      <w:r w:rsidR="00A017B7" w:rsidRPr="00A017B7">
        <w:rPr>
          <w:rFonts w:cs="Arial"/>
          <w:vertAlign w:val="superscript"/>
        </w:rPr>
        <w:t>290</w:t>
      </w:r>
      <w:r>
        <w:fldChar w:fldCharType="end"/>
      </w:r>
      <w:r>
        <w:t xml:space="preserve"> The regulation specifies how to conduct asbestos-related activities. Prior to renovations, facility operators are required to have an asbestos inspector identify any ACM that may be affected and prepare the findings in a written asbestos survey report, as described in 4) Survey Requirements.</w:t>
      </w:r>
      <w:r>
        <w:fldChar w:fldCharType="begin"/>
      </w:r>
      <w:r w:rsidR="00AD1085">
        <w:instrText xml:space="preserve"> ADDIN ZOTERO_ITEM CSL_CITATION {"citationID":"oc6y8Up2","properties":{"formattedCitation":"\\super 290\\nosupersub{}","plainCitation":"290","noteIndex":0},"citationItems":[{"id":360,"uris":["http://zotero.org/groups/5563646/items/I6PPYT2V"],"itemData":{"id":360,"type":"report","collection-title":"Air Pollution Control Regulation","publisher":"Massachusetts Department of Environmental Protection","title":"310 CMR 7.15: U Asbestos","URL":"https://www.mass.gov/doc/310-cmr-700-air-pollution-control-regulation/download","author":[{"family":"MassDEP","given":""}],"accessed":{"date-parts":[["2024",6,26]]}}}],"schema":"https://github.com/citation-style-language/schema/raw/master/csl-citation.json"} </w:instrText>
      </w:r>
      <w:r>
        <w:fldChar w:fldCharType="separate"/>
      </w:r>
      <w:r w:rsidR="00AD1085" w:rsidRPr="00AD1085">
        <w:rPr>
          <w:rFonts w:cs="Arial"/>
          <w:vertAlign w:val="superscript"/>
        </w:rPr>
        <w:t>290</w:t>
      </w:r>
      <w:r>
        <w:fldChar w:fldCharType="end"/>
      </w:r>
      <w:r>
        <w:t xml:space="preserve"> The facility operators must remove or encapsulate</w:t>
      </w:r>
      <w:r w:rsidR="0095754D">
        <w:t xml:space="preserve"> ACM</w:t>
      </w:r>
      <w:r>
        <w:t xml:space="preserve"> during demolition or renovation. Facility operators are required to notify MassDEP of ACM and obtain authorization before conducting any asbestos abatement activities unless any exceptions described in 6) Notification Requirements apply.</w:t>
      </w:r>
      <w:r>
        <w:fldChar w:fldCharType="begin"/>
      </w:r>
      <w:r w:rsidR="00477002">
        <w:instrText xml:space="preserve"> ADDIN ZOTERO_ITEM CSL_CITATION {"citationID":"CzoNawSz","properties":{"formattedCitation":"\\super 290\\nosupersub{}","plainCitation":"290","noteIndex":0},"citationItems":[{"id":360,"uris":["http://zotero.org/groups/5563646/items/I6PPYT2V"],"itemData":{"id":360,"type":"report","collection-title":"Air Pollution Control Regulation","publisher":"Massachusetts Department of Environmental Protection","title":"310 CMR 7.15: U Asbestos","URL":"https://www.mass.gov/doc/310-cmr-700-air-pollution-control-regulation/download","author":[{"family":"MassDEP","given":""}],"accessed":{"date-parts":[["2024",6,26]]}}}],"schema":"https://github.com/citation-style-language/schema/raw/master/csl-citation.json"} </w:instrText>
      </w:r>
      <w:r>
        <w:fldChar w:fldCharType="separate"/>
      </w:r>
      <w:r w:rsidR="00477002" w:rsidRPr="00477002">
        <w:rPr>
          <w:rFonts w:cs="Arial"/>
          <w:vertAlign w:val="superscript"/>
        </w:rPr>
        <w:t>290</w:t>
      </w:r>
      <w:r>
        <w:fldChar w:fldCharType="end"/>
      </w:r>
      <w:r>
        <w:t xml:space="preserve"> The regulation includes specific requirements for working with ACM found in certain types of materials such as asphaltic roofing, siding materials, window glaze or caulking, cement pipes, floor tiles, and gypsum wallboard. Requirements for worker safety, packaging of removed ACM, and labeling of ACM are also described.</w:t>
      </w:r>
      <w:r>
        <w:fldChar w:fldCharType="begin"/>
      </w:r>
      <w:r w:rsidR="00AC709C">
        <w:instrText xml:space="preserve"> ADDIN ZOTERO_ITEM CSL_CITATION {"citationID":"KaSqzZiS","properties":{"formattedCitation":"\\super 290\\nosupersub{}","plainCitation":"290","noteIndex":0},"citationItems":[{"id":360,"uris":["http://zotero.org/groups/5563646/items/I6PPYT2V"],"itemData":{"id":360,"type":"report","collection-title":"Air Pollution Control Regulation","publisher":"Massachusetts Department of Environmental Protection","title":"310 CMR 7.15: U Asbestos","URL":"https://www.mass.gov/doc/310-cmr-700-air-pollution-control-regulation/download","author":[{"family":"MassDEP","given":""}],"accessed":{"date-parts":[["2024",6,26]]}}}],"schema":"https://github.com/citation-style-language/schema/raw/master/csl-citation.json"} </w:instrText>
      </w:r>
      <w:r>
        <w:fldChar w:fldCharType="separate"/>
      </w:r>
      <w:r w:rsidR="00AC709C" w:rsidRPr="00AC709C">
        <w:rPr>
          <w:rFonts w:cs="Arial"/>
          <w:vertAlign w:val="superscript"/>
        </w:rPr>
        <w:t>290</w:t>
      </w:r>
      <w:r>
        <w:fldChar w:fldCharType="end"/>
      </w:r>
    </w:p>
    <w:p w14:paraId="6B1BFFD0" w14:textId="6245F7B1" w:rsidR="00BC0B3E" w:rsidRDefault="00BC0B3E" w:rsidP="006D7DE6">
      <w:pPr>
        <w:pStyle w:val="BodyTextFirstIndent"/>
      </w:pPr>
      <w:r w:rsidRPr="653D8BA2">
        <w:rPr>
          <w:b/>
          <w:bCs/>
        </w:rPr>
        <w:t>454 CMR 28.00: The Removal, Containment, Maintenance, or Encapsulation of Asbestos</w:t>
      </w:r>
      <w:r>
        <w:t xml:space="preserve"> protects the health and safety of workers and the public from asbestos.</w:t>
      </w:r>
      <w:r>
        <w:fldChar w:fldCharType="begin"/>
      </w:r>
      <w:r w:rsidR="009B1DA3">
        <w:instrText xml:space="preserve"> ADDIN ZOTERO_ITEM CSL_CITATION {"citationID":"NaDu0BXS","properties":{"formattedCitation":"\\super 284\\nosupersub{}","plainCitation":"284","noteIndex":0},"citationItems":[{"id":359,"uris":["http://zotero.org/groups/5563646/items/LTSLHGMA"],"itemData":{"id":359,"type":"report","title":"454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Standards","given":""}],"accessed":{"date-parts":[["2024",6,26]]},"issued":{"date-parts":[["2023",2,17]]}}}],"schema":"https://github.com/citation-style-language/schema/raw/master/csl-citation.json"} </w:instrText>
      </w:r>
      <w:r>
        <w:fldChar w:fldCharType="separate"/>
      </w:r>
      <w:r w:rsidR="009B1DA3" w:rsidRPr="009B1DA3">
        <w:rPr>
          <w:rFonts w:cs="Arial"/>
          <w:vertAlign w:val="superscript"/>
        </w:rPr>
        <w:t>284</w:t>
      </w:r>
      <w:r>
        <w:fldChar w:fldCharType="end"/>
      </w:r>
      <w:r>
        <w:t xml:space="preserve"> It establishes health and safety requirements for when dealing with ACM and standards for competency, certification, and licensure for those who work with ACM.</w:t>
      </w:r>
      <w:r>
        <w:fldChar w:fldCharType="begin"/>
      </w:r>
      <w:r w:rsidR="00943A59">
        <w:instrText xml:space="preserve"> ADDIN ZOTERO_ITEM CSL_CITATION {"citationID":"26oEDlQf","properties":{"formattedCitation":"\\super 284\\nosupersub{}","plainCitation":"284","noteIndex":0},"citationItems":[{"id":359,"uris":["http://zotero.org/groups/5563646/items/LTSLHGMA"],"itemData":{"id":359,"type":"report","title":"454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Standards","given":""}],"accessed":{"date-parts":[["2024",6,26]]},"issued":{"date-parts":[["2023",2,17]]}}}],"schema":"https://github.com/citation-style-language/schema/raw/master/csl-citation.json"} </w:instrText>
      </w:r>
      <w:r>
        <w:fldChar w:fldCharType="separate"/>
      </w:r>
      <w:r w:rsidR="00943A59" w:rsidRPr="00943A59">
        <w:rPr>
          <w:rFonts w:cs="Arial"/>
          <w:vertAlign w:val="superscript"/>
        </w:rPr>
        <w:t>284</w:t>
      </w:r>
      <w:r>
        <w:fldChar w:fldCharType="end"/>
      </w:r>
      <w:r>
        <w:t xml:space="preserve"> All schools subject to the Asbestos Hazard Emergency Response Act (AHERA) must comply with section 28.13, which describes how local education agencies must: </w:t>
      </w:r>
    </w:p>
    <w:p w14:paraId="2C31B358" w14:textId="77777777" w:rsidR="00BC0B3E" w:rsidRDefault="00BC0B3E" w:rsidP="006D7DE6">
      <w:pPr>
        <w:pStyle w:val="BodyTextFirstIndent"/>
        <w:numPr>
          <w:ilvl w:val="0"/>
          <w:numId w:val="13"/>
        </w:numPr>
      </w:pPr>
      <w:r>
        <w:t xml:space="preserve">Develop an asbestos management plan </w:t>
      </w:r>
    </w:p>
    <w:p w14:paraId="09B9F649" w14:textId="77777777" w:rsidR="00BC0B3E" w:rsidRDefault="00BC0B3E" w:rsidP="006D7DE6">
      <w:pPr>
        <w:pStyle w:val="BodyTextFirstIndent"/>
        <w:numPr>
          <w:ilvl w:val="0"/>
          <w:numId w:val="13"/>
        </w:numPr>
      </w:pPr>
      <w:r>
        <w:t xml:space="preserve">Ensure that any asbestos-related activities are carried out in compliance with these laws and regulations </w:t>
      </w:r>
    </w:p>
    <w:p w14:paraId="3E2A14A7" w14:textId="3EE0355B" w:rsidR="00BC0B3E" w:rsidRDefault="00BC0B3E" w:rsidP="006D7DE6">
      <w:pPr>
        <w:pStyle w:val="BodyTextFirstIndent"/>
        <w:numPr>
          <w:ilvl w:val="0"/>
          <w:numId w:val="13"/>
        </w:numPr>
      </w:pPr>
      <w:r>
        <w:t xml:space="preserve">Designate a person to </w:t>
      </w:r>
      <w:r w:rsidR="00013608">
        <w:t>implement</w:t>
      </w:r>
      <w:r>
        <w:t xml:space="preserve"> requirements </w:t>
      </w:r>
    </w:p>
    <w:p w14:paraId="6F67251B" w14:textId="77777777" w:rsidR="00BC0B3E" w:rsidRDefault="00BC0B3E" w:rsidP="006D7DE6">
      <w:pPr>
        <w:pStyle w:val="BodyTextFirstIndent"/>
        <w:numPr>
          <w:ilvl w:val="0"/>
          <w:numId w:val="13"/>
        </w:numPr>
      </w:pPr>
      <w:r>
        <w:t xml:space="preserve">Inspect each school building unless they have documentation of a recent inspection compliant with AHERA </w:t>
      </w:r>
    </w:p>
    <w:p w14:paraId="63075FDD" w14:textId="77777777" w:rsidR="00BC0B3E" w:rsidRDefault="00BC0B3E" w:rsidP="006D7DE6">
      <w:pPr>
        <w:pStyle w:val="BodyTextFirstIndent"/>
        <w:numPr>
          <w:ilvl w:val="0"/>
          <w:numId w:val="13"/>
        </w:numPr>
      </w:pPr>
      <w:r>
        <w:t xml:space="preserve">Implement appropriate response actions </w:t>
      </w:r>
    </w:p>
    <w:p w14:paraId="2CF58039" w14:textId="77777777" w:rsidR="00BC0B3E" w:rsidRDefault="00BC0B3E" w:rsidP="006D7DE6">
      <w:pPr>
        <w:pStyle w:val="BodyTextFirstIndent"/>
        <w:numPr>
          <w:ilvl w:val="0"/>
          <w:numId w:val="13"/>
        </w:numPr>
      </w:pPr>
      <w:r>
        <w:t xml:space="preserve">Adhere to the law for all operation and management of buildings with ACM </w:t>
      </w:r>
    </w:p>
    <w:p w14:paraId="6144C380" w14:textId="46C647A7" w:rsidR="00BC0B3E" w:rsidRPr="00D37D0A" w:rsidRDefault="00BC0B3E" w:rsidP="006D7DE6">
      <w:pPr>
        <w:pStyle w:val="BodyTextFirstIndent"/>
        <w:numPr>
          <w:ilvl w:val="0"/>
          <w:numId w:val="13"/>
        </w:numPr>
      </w:pPr>
      <w:r>
        <w:t>Maintain records of ACM and asbestos-related activities</w:t>
      </w:r>
      <w:r>
        <w:fldChar w:fldCharType="begin"/>
      </w:r>
      <w:r w:rsidR="00BB4BB2">
        <w:instrText xml:space="preserve"> ADDIN ZOTERO_ITEM CSL_CITATION {"citationID":"iCcYp8FR","properties":{"formattedCitation":"\\super 284\\nosupersub{}","plainCitation":"284","noteIndex":0},"citationItems":[{"id":359,"uris":["http://zotero.org/groups/5563646/items/LTSLHGMA"],"itemData":{"id":359,"type":"report","title":"454 CMR 28.00: The Removal, Containment, Maintenance, or Encapsulation of Asbestos","URL":"https://www.mass.gov/doc/454-cmr-28-the-removal-containment-maintenance-or-encapsulation-of-asbestos/download","author":[{"family":"Massachusetts Department of Labor Standards","given":""}],"accessed":{"date-parts":[["2024",6,26]]},"issued":{"date-parts":[["2023",2,17]]}}}],"schema":"https://github.com/citation-style-language/schema/raw/master/csl-citation.json"} </w:instrText>
      </w:r>
      <w:r>
        <w:fldChar w:fldCharType="separate"/>
      </w:r>
      <w:r w:rsidR="00BB4BB2" w:rsidRPr="00BB4BB2">
        <w:rPr>
          <w:rFonts w:cs="Arial"/>
          <w:vertAlign w:val="superscript"/>
        </w:rPr>
        <w:t>284</w:t>
      </w:r>
      <w:r>
        <w:fldChar w:fldCharType="end"/>
      </w:r>
    </w:p>
    <w:p w14:paraId="260CF991" w14:textId="7FACEB4F" w:rsidR="00BC0B3E" w:rsidRDefault="00BC0B3E" w:rsidP="006D7DE6">
      <w:pPr>
        <w:pStyle w:val="BodyTextFirstIndent"/>
        <w:rPr>
          <w:b/>
        </w:rPr>
      </w:pPr>
      <w:r w:rsidRPr="00306B62">
        <w:rPr>
          <w:b/>
        </w:rPr>
        <w:t>Asbestos-Containing Materials in Schools Rule</w:t>
      </w:r>
      <w:r w:rsidRPr="00844AD5">
        <w:t xml:space="preserve"> requires sc</w:t>
      </w:r>
      <w:r>
        <w:t>hools to develop an AMP, conduct inspections every three years to determine the presence of ACM, and take steps to prevent or reduce exposure to asbestos.</w:t>
      </w:r>
      <w:r>
        <w:fldChar w:fldCharType="begin"/>
      </w:r>
      <w:r w:rsidR="0098374F">
        <w:instrText xml:space="preserve"> ADDIN ZOTERO_ITEM CSL_CITATION {"citationID":"OnJMhI4R","properties":{"formattedCitation":"\\super 100,285\\nosupersub{}","plainCitation":"100,285","noteIndex":0},"citationItems":[{"id":8,"uris":["http://zotero.org/groups/5563646/items/KSFS3HQF"],"itemData":{"id":8,"type":"report","number":"EPA-909-R-15-002","publisher":"Environmental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EPA","given":""}],"accessed":{"date-parts":[["2024",6,11]]},"issued":{"date-parts":[["2016",1]]}}},{"id":14,"uris":["http://zotero.org/groups/5563646/items/7GQN7Y5L"],"itemData":{"id":14,"type":"webpage","abstract":"This page provides a listing of the laws and regulations pertaining to asbestos implemented by the EPA and certain other federal agencies.","genre":"Overviews and Factsheets","language":"en","title":"Asbestos Laws and Regulations","URL":"https://www.epa.gov/asbestos/asbestos-laws-and-regulations","author":[{"family":"US EPA","given":""}],"accessed":{"date-parts":[["2024",6,11]]},"issued":{"date-parts":[["2013",3,12]]}}}],"schema":"https://github.com/citation-style-language/schema/raw/master/csl-citation.json"} </w:instrText>
      </w:r>
      <w:r>
        <w:fldChar w:fldCharType="separate"/>
      </w:r>
      <w:r w:rsidR="0098374F" w:rsidRPr="0098374F">
        <w:rPr>
          <w:rFonts w:cs="Arial"/>
          <w:vertAlign w:val="superscript"/>
        </w:rPr>
        <w:t>100,285</w:t>
      </w:r>
      <w:r>
        <w:fldChar w:fldCharType="end"/>
      </w:r>
      <w:r>
        <w:t xml:space="preserve"> </w:t>
      </w:r>
    </w:p>
    <w:p w14:paraId="5ACEF103" w14:textId="68CA5FC7" w:rsidR="00BC0B3E" w:rsidRDefault="00BC0B3E" w:rsidP="006D7DE6">
      <w:pPr>
        <w:pStyle w:val="BodyTextFirstIndent"/>
      </w:pPr>
      <w:r w:rsidRPr="653D8BA2">
        <w:rPr>
          <w:b/>
        </w:rPr>
        <w:lastRenderedPageBreak/>
        <w:t>Asbestos NESHAP</w:t>
      </w:r>
      <w:r>
        <w:rPr>
          <w:b/>
        </w:rPr>
        <w:t xml:space="preserve"> </w:t>
      </w:r>
      <w:r w:rsidRPr="00EB767B">
        <w:rPr>
          <w:bCs/>
        </w:rPr>
        <w:t>s</w:t>
      </w:r>
      <w:r>
        <w:t>pecifies work practices and notification requirements for schools undergoing demolition or renovations of structures that meet a certain threshold level of asbestos or ACM.</w:t>
      </w:r>
      <w:r>
        <w:fldChar w:fldCharType="begin"/>
      </w:r>
      <w:r w:rsidR="008635F5">
        <w:instrText xml:space="preserve"> ADDIN ZOTERO_ITEM CSL_CITATION {"citationID":"frTnYpOO","properties":{"formattedCitation":"\\super 100,285\\nosupersub{}","plainCitation":"100,285","noteIndex":0},"citationItems":[{"id":8,"uris":["http://zotero.org/groups/5563646/items/KSFS3HQF"],"itemData":{"id":8,"type":"report","number":"EPA-909-R-15-002","publisher":"Environmental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EPA","given":""}],"accessed":{"date-parts":[["2024",6,11]]},"issued":{"date-parts":[["2016",1]]}}},{"id":14,"uris":["http://zotero.org/groups/5563646/items/7GQN7Y5L"],"itemData":{"id":14,"type":"webpage","abstract":"This page provides a listing of the laws and regulations pertaining to asbestos implemented by the EPA and certain other federal agencies.","genre":"Overviews and Factsheets","language":"en","title":"Asbestos Laws and Regulations","URL":"https://www.epa.gov/asbestos/asbestos-laws-and-regulations","author":[{"family":"US EPA","given":""}],"accessed":{"date-parts":[["2024",6,11]]},"issued":{"date-parts":[["2013",3,12]]}}}],"schema":"https://github.com/citation-style-language/schema/raw/master/csl-citation.json"} </w:instrText>
      </w:r>
      <w:r>
        <w:fldChar w:fldCharType="separate"/>
      </w:r>
      <w:r w:rsidR="008635F5" w:rsidRPr="008635F5">
        <w:rPr>
          <w:rFonts w:cs="Arial"/>
          <w:vertAlign w:val="superscript"/>
        </w:rPr>
        <w:t>100,285</w:t>
      </w:r>
      <w:r>
        <w:fldChar w:fldCharType="end"/>
      </w:r>
    </w:p>
    <w:p w14:paraId="5000E8EA" w14:textId="24462352" w:rsidR="00BC0B3E" w:rsidRDefault="00BC0B3E" w:rsidP="006D7DE6">
      <w:pPr>
        <w:pStyle w:val="BodyTextFirstIndent"/>
      </w:pPr>
      <w:r>
        <w:t xml:space="preserve">For additional information regarding the regulation of asbestos, see EPA’s Asbestos Laws and Regulations page at </w:t>
      </w:r>
      <w:hyperlink r:id="rId282" w:anchor="neshap" w:history="1">
        <w:r w:rsidRPr="00921884">
          <w:rPr>
            <w:rStyle w:val="Hyperlink"/>
          </w:rPr>
          <w:t>https://www.epa.gov/asbestos/asbestos-laws-and-regulations#neshap</w:t>
        </w:r>
      </w:hyperlink>
      <w:r>
        <w:t>.</w:t>
      </w:r>
    </w:p>
    <w:p w14:paraId="4DF43744" w14:textId="013FC53A" w:rsidR="00BC0B3E" w:rsidRDefault="00BC0B3E" w:rsidP="006D7DE6">
      <w:pPr>
        <w:pStyle w:val="BodyTextFirstIndent"/>
      </w:pPr>
      <w:r>
        <w:fldChar w:fldCharType="begin"/>
      </w:r>
      <w:r>
        <w:instrText xml:space="preserve"> REF _Ref170249244 \h </w:instrText>
      </w:r>
      <w:r>
        <w:fldChar w:fldCharType="separate"/>
      </w:r>
      <w:r w:rsidR="00307850">
        <w:t xml:space="preserve">Table </w:t>
      </w:r>
      <w:r w:rsidR="00307850">
        <w:rPr>
          <w:noProof/>
        </w:rPr>
        <w:t>60</w:t>
      </w:r>
      <w:r>
        <w:fldChar w:fldCharType="end"/>
      </w:r>
      <w:r>
        <w:t xml:space="preserve"> summarizes the statutes, regulations, and standards related to preventing asbestos exposure in schools outlined above. </w:t>
      </w:r>
    </w:p>
    <w:p w14:paraId="2CF918E0" w14:textId="504EE6C0" w:rsidR="00BC0B3E" w:rsidRDefault="00BC0B3E" w:rsidP="00B30C96">
      <w:pPr>
        <w:pStyle w:val="TableTitle"/>
      </w:pPr>
      <w:bookmarkStart w:id="528" w:name="_Ref170249244"/>
      <w:bookmarkStart w:id="529" w:name="_Toc170345788"/>
      <w:bookmarkStart w:id="530" w:name="_Toc192711726"/>
      <w:bookmarkStart w:id="531" w:name="_Toc193112608"/>
      <w:bookmarkStart w:id="532" w:name="_Toc193117007"/>
      <w:r>
        <w:t xml:space="preserve">Table </w:t>
      </w:r>
      <w:fldSimple w:instr=" SEQ Table \* ARABIC ">
        <w:r w:rsidR="00307850">
          <w:rPr>
            <w:noProof/>
          </w:rPr>
          <w:t>60</w:t>
        </w:r>
      </w:fldSimple>
      <w:bookmarkEnd w:id="528"/>
      <w:r>
        <w:t>.</w:t>
      </w:r>
      <w:r w:rsidRPr="00AD43CE">
        <w:t xml:space="preserve"> </w:t>
      </w:r>
      <w:r>
        <w:t>Statutory/Regulatory Framework and Notable Standards for Preventing Exposure to Asbestos</w:t>
      </w:r>
      <w:bookmarkEnd w:id="529"/>
      <w:bookmarkEnd w:id="530"/>
      <w:bookmarkEnd w:id="531"/>
      <w:bookmarkEnd w:id="532"/>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eventing exposure to asbestos."/>
      </w:tblPr>
      <w:tblGrid>
        <w:gridCol w:w="6741"/>
        <w:gridCol w:w="924"/>
        <w:gridCol w:w="842"/>
        <w:gridCol w:w="843"/>
      </w:tblGrid>
      <w:tr w:rsidR="00BC0B3E" w:rsidRPr="00C8094D" w14:paraId="54CAE24F" w14:textId="77777777">
        <w:trPr>
          <w:cantSplit/>
          <w:trHeight w:val="1718"/>
          <w:tblHeader/>
          <w:jc w:val="center"/>
        </w:trPr>
        <w:tc>
          <w:tcPr>
            <w:tcW w:w="360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6B3C15CD" w14:textId="77777777" w:rsidR="00BC0B3E" w:rsidRDefault="00BC0B3E">
            <w:pPr>
              <w:pStyle w:val="TableColumnHeader"/>
            </w:pPr>
            <w:r>
              <w:t>Statute/Regulation/Standard</w:t>
            </w:r>
          </w:p>
        </w:tc>
        <w:tc>
          <w:tcPr>
            <w:tcW w:w="494"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7B1D3DCC" w14:textId="77777777" w:rsidR="00BC0B3E" w:rsidRDefault="00BC0B3E">
            <w:pPr>
              <w:pStyle w:val="TableColumnHeader"/>
              <w:jc w:val="left"/>
            </w:pPr>
            <w:r>
              <w:t>State Statute/ Regulation</w:t>
            </w:r>
          </w:p>
        </w:tc>
        <w:tc>
          <w:tcPr>
            <w:tcW w:w="450"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BD8C3B5" w14:textId="77777777" w:rsidR="00BC0B3E" w:rsidRDefault="00BC0B3E">
            <w:pPr>
              <w:pStyle w:val="TableColumnHeader"/>
              <w:jc w:val="left"/>
            </w:pPr>
            <w:r>
              <w:t>Other Statute/ Regulation</w:t>
            </w:r>
          </w:p>
        </w:tc>
        <w:tc>
          <w:tcPr>
            <w:tcW w:w="45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5D8AF53" w14:textId="77777777" w:rsidR="00BC0B3E" w:rsidRDefault="00BC0B3E">
            <w:pPr>
              <w:pStyle w:val="TableColumnHeader"/>
              <w:jc w:val="left"/>
            </w:pPr>
            <w:r>
              <w:t>Standard</w:t>
            </w:r>
          </w:p>
        </w:tc>
      </w:tr>
      <w:tr w:rsidR="00BC0B3E" w:rsidRPr="00C8094D" w14:paraId="1B4CF48B"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0658E4C4" w14:textId="77777777" w:rsidR="00BC0B3E" w:rsidRPr="00592C22" w:rsidRDefault="00BC0B3E">
            <w:pPr>
              <w:pStyle w:val="TableRowHeader"/>
            </w:pPr>
            <w:r>
              <w:t>Regulations</w:t>
            </w:r>
          </w:p>
        </w:tc>
      </w:tr>
      <w:tr w:rsidR="00BC0B3E" w:rsidRPr="00C8094D" w14:paraId="43AC7990" w14:textId="77777777">
        <w:trPr>
          <w:cantSplit/>
          <w:trHeight w:val="255"/>
          <w:tblHeader/>
          <w:jc w:val="center"/>
        </w:trPr>
        <w:tc>
          <w:tcPr>
            <w:tcW w:w="3605" w:type="pct"/>
            <w:tcBorders>
              <w:top w:val="nil"/>
              <w:left w:val="single" w:sz="4" w:space="0" w:color="auto"/>
              <w:bottom w:val="single" w:sz="4" w:space="0" w:color="auto"/>
              <w:right w:val="single" w:sz="4" w:space="0" w:color="auto"/>
            </w:tcBorders>
            <w:shd w:val="clear" w:color="auto" w:fill="auto"/>
          </w:tcPr>
          <w:p w14:paraId="724E3AF4" w14:textId="77777777" w:rsidR="00BC0B3E" w:rsidRPr="00F503E3" w:rsidRDefault="00BC0B3E">
            <w:pPr>
              <w:pStyle w:val="TableText"/>
            </w:pPr>
            <w:r>
              <w:t>310 CMR 7.15: U Asbestos</w:t>
            </w:r>
          </w:p>
        </w:tc>
        <w:tc>
          <w:tcPr>
            <w:tcW w:w="494" w:type="pct"/>
            <w:tcBorders>
              <w:top w:val="nil"/>
              <w:left w:val="single" w:sz="4" w:space="0" w:color="auto"/>
              <w:bottom w:val="single" w:sz="4" w:space="0" w:color="auto"/>
              <w:right w:val="single" w:sz="4" w:space="0" w:color="auto"/>
            </w:tcBorders>
            <w:shd w:val="clear" w:color="auto" w:fill="auto"/>
            <w:vAlign w:val="center"/>
          </w:tcPr>
          <w:p w14:paraId="3E38A744" w14:textId="77777777" w:rsidR="00BC0B3E" w:rsidRPr="004245DB" w:rsidRDefault="00BC0B3E">
            <w:pPr>
              <w:pStyle w:val="TableText"/>
              <w:jc w:val="center"/>
            </w:pPr>
            <w:r>
              <w:rPr>
                <w:color w:val="00B050"/>
              </w:rPr>
              <w:t>X</w:t>
            </w:r>
          </w:p>
        </w:tc>
        <w:tc>
          <w:tcPr>
            <w:tcW w:w="450" w:type="pct"/>
            <w:tcBorders>
              <w:top w:val="nil"/>
              <w:left w:val="single" w:sz="4" w:space="0" w:color="auto"/>
              <w:bottom w:val="single" w:sz="4" w:space="0" w:color="auto"/>
              <w:right w:val="single" w:sz="4" w:space="0" w:color="auto"/>
            </w:tcBorders>
            <w:shd w:val="clear" w:color="auto" w:fill="auto"/>
            <w:vAlign w:val="center"/>
          </w:tcPr>
          <w:p w14:paraId="1E75A2AA" w14:textId="77777777" w:rsidR="00BC0B3E" w:rsidRPr="00B21E6A" w:rsidRDefault="00BC0B3E">
            <w:pPr>
              <w:pStyle w:val="TableText"/>
              <w:jc w:val="center"/>
              <w:rPr>
                <w:color w:val="00B050"/>
              </w:rPr>
            </w:pPr>
          </w:p>
        </w:tc>
        <w:tc>
          <w:tcPr>
            <w:tcW w:w="451" w:type="pct"/>
            <w:tcBorders>
              <w:top w:val="nil"/>
              <w:left w:val="single" w:sz="4" w:space="0" w:color="auto"/>
              <w:bottom w:val="single" w:sz="4" w:space="0" w:color="auto"/>
              <w:right w:val="single" w:sz="4" w:space="0" w:color="auto"/>
            </w:tcBorders>
            <w:shd w:val="clear" w:color="auto" w:fill="auto"/>
            <w:vAlign w:val="center"/>
          </w:tcPr>
          <w:p w14:paraId="21EE07C3" w14:textId="77777777" w:rsidR="00BC0B3E" w:rsidRPr="004245DB" w:rsidRDefault="00BC0B3E">
            <w:pPr>
              <w:pStyle w:val="TableText"/>
              <w:jc w:val="center"/>
            </w:pPr>
          </w:p>
        </w:tc>
      </w:tr>
      <w:tr w:rsidR="00BC0B3E" w:rsidRPr="00C8094D" w14:paraId="51AFBE43" w14:textId="77777777">
        <w:trPr>
          <w:cantSplit/>
          <w:trHeight w:val="255"/>
          <w:tblHeader/>
          <w:jc w:val="center"/>
        </w:trPr>
        <w:tc>
          <w:tcPr>
            <w:tcW w:w="3605" w:type="pct"/>
            <w:tcBorders>
              <w:top w:val="nil"/>
              <w:left w:val="single" w:sz="4" w:space="0" w:color="auto"/>
              <w:bottom w:val="single" w:sz="4" w:space="0" w:color="auto"/>
              <w:right w:val="single" w:sz="4" w:space="0" w:color="auto"/>
            </w:tcBorders>
            <w:shd w:val="clear" w:color="auto" w:fill="auto"/>
          </w:tcPr>
          <w:p w14:paraId="4AC06C38" w14:textId="77777777" w:rsidR="00BC0B3E" w:rsidRPr="002A4889" w:rsidRDefault="00BC0B3E">
            <w:pPr>
              <w:pStyle w:val="TableText"/>
            </w:pPr>
            <w:r w:rsidRPr="009B11DC">
              <w:t xml:space="preserve">454 CMR 28.00: The </w:t>
            </w:r>
            <w:r>
              <w:t>R</w:t>
            </w:r>
            <w:r w:rsidRPr="009B11DC">
              <w:t xml:space="preserve">emoval, </w:t>
            </w:r>
            <w:r>
              <w:t>C</w:t>
            </w:r>
            <w:r w:rsidRPr="009B11DC">
              <w:t xml:space="preserve">ontainment, </w:t>
            </w:r>
            <w:r>
              <w:t>M</w:t>
            </w:r>
            <w:r w:rsidRPr="009B11DC">
              <w:t xml:space="preserve">aintenance, or </w:t>
            </w:r>
            <w:r>
              <w:t>E</w:t>
            </w:r>
            <w:r w:rsidRPr="009B11DC">
              <w:t xml:space="preserve">ncapsulation of </w:t>
            </w:r>
            <w:r>
              <w:t>A</w:t>
            </w:r>
            <w:r w:rsidRPr="009B11DC">
              <w:t>sbestos</w:t>
            </w:r>
          </w:p>
        </w:tc>
        <w:tc>
          <w:tcPr>
            <w:tcW w:w="494" w:type="pct"/>
            <w:tcBorders>
              <w:top w:val="nil"/>
              <w:left w:val="single" w:sz="4" w:space="0" w:color="auto"/>
              <w:bottom w:val="single" w:sz="4" w:space="0" w:color="auto"/>
              <w:right w:val="single" w:sz="4" w:space="0" w:color="auto"/>
            </w:tcBorders>
            <w:shd w:val="clear" w:color="auto" w:fill="auto"/>
            <w:vAlign w:val="center"/>
          </w:tcPr>
          <w:p w14:paraId="53047131" w14:textId="77777777" w:rsidR="00BC0B3E" w:rsidRDefault="00BC0B3E">
            <w:pPr>
              <w:pStyle w:val="TableText"/>
              <w:jc w:val="center"/>
              <w:rPr>
                <w:color w:val="00B050"/>
              </w:rPr>
            </w:pPr>
            <w:r>
              <w:rPr>
                <w:color w:val="00B050"/>
              </w:rPr>
              <w:t>X</w:t>
            </w:r>
          </w:p>
        </w:tc>
        <w:tc>
          <w:tcPr>
            <w:tcW w:w="450" w:type="pct"/>
            <w:tcBorders>
              <w:top w:val="nil"/>
              <w:left w:val="single" w:sz="4" w:space="0" w:color="auto"/>
              <w:bottom w:val="single" w:sz="4" w:space="0" w:color="auto"/>
              <w:right w:val="single" w:sz="4" w:space="0" w:color="auto"/>
            </w:tcBorders>
            <w:shd w:val="clear" w:color="auto" w:fill="auto"/>
            <w:vAlign w:val="center"/>
          </w:tcPr>
          <w:p w14:paraId="6C773E43" w14:textId="77777777" w:rsidR="00BC0B3E" w:rsidRPr="00B21E6A" w:rsidRDefault="00BC0B3E">
            <w:pPr>
              <w:pStyle w:val="TableText"/>
              <w:jc w:val="center"/>
              <w:rPr>
                <w:color w:val="00B050"/>
              </w:rPr>
            </w:pPr>
          </w:p>
        </w:tc>
        <w:tc>
          <w:tcPr>
            <w:tcW w:w="451" w:type="pct"/>
            <w:tcBorders>
              <w:top w:val="nil"/>
              <w:left w:val="single" w:sz="4" w:space="0" w:color="auto"/>
              <w:bottom w:val="single" w:sz="4" w:space="0" w:color="auto"/>
              <w:right w:val="single" w:sz="4" w:space="0" w:color="auto"/>
            </w:tcBorders>
            <w:shd w:val="clear" w:color="auto" w:fill="auto"/>
            <w:vAlign w:val="center"/>
          </w:tcPr>
          <w:p w14:paraId="359C8BE6" w14:textId="77777777" w:rsidR="00BC0B3E" w:rsidRPr="004245DB" w:rsidRDefault="00BC0B3E">
            <w:pPr>
              <w:pStyle w:val="TableText"/>
              <w:jc w:val="center"/>
            </w:pPr>
          </w:p>
        </w:tc>
      </w:tr>
      <w:tr w:rsidR="00BC0B3E" w:rsidRPr="00C8094D" w14:paraId="732A8EE3" w14:textId="77777777">
        <w:trPr>
          <w:cantSplit/>
          <w:trHeight w:val="255"/>
          <w:tblHeader/>
          <w:jc w:val="center"/>
        </w:trPr>
        <w:tc>
          <w:tcPr>
            <w:tcW w:w="3605" w:type="pct"/>
            <w:tcBorders>
              <w:top w:val="nil"/>
              <w:left w:val="single" w:sz="4" w:space="0" w:color="auto"/>
              <w:bottom w:val="single" w:sz="4" w:space="0" w:color="auto"/>
              <w:right w:val="single" w:sz="4" w:space="0" w:color="auto"/>
            </w:tcBorders>
            <w:shd w:val="clear" w:color="auto" w:fill="auto"/>
          </w:tcPr>
          <w:p w14:paraId="5E22E3A9" w14:textId="77777777" w:rsidR="00BC0B3E" w:rsidRPr="002A4889" w:rsidRDefault="00BC0B3E">
            <w:pPr>
              <w:pStyle w:val="TableText"/>
            </w:pPr>
            <w:r w:rsidRPr="002A4889">
              <w:t>Asbestos-Containing Materials in Schools Rule</w:t>
            </w:r>
            <w:r w:rsidRPr="002A4889">
              <w:rPr>
                <w:highlight w:val="yellow"/>
              </w:rPr>
              <w:t xml:space="preserve"> </w:t>
            </w:r>
          </w:p>
        </w:tc>
        <w:tc>
          <w:tcPr>
            <w:tcW w:w="494" w:type="pct"/>
            <w:tcBorders>
              <w:top w:val="nil"/>
              <w:left w:val="single" w:sz="4" w:space="0" w:color="auto"/>
              <w:bottom w:val="single" w:sz="4" w:space="0" w:color="auto"/>
              <w:right w:val="single" w:sz="4" w:space="0" w:color="auto"/>
            </w:tcBorders>
            <w:shd w:val="clear" w:color="auto" w:fill="auto"/>
            <w:vAlign w:val="center"/>
          </w:tcPr>
          <w:p w14:paraId="7B84A3A1" w14:textId="77777777" w:rsidR="00BC0B3E" w:rsidRDefault="00BC0B3E">
            <w:pPr>
              <w:pStyle w:val="TableText"/>
              <w:jc w:val="center"/>
              <w:rPr>
                <w:color w:val="00B050"/>
              </w:rPr>
            </w:pPr>
          </w:p>
        </w:tc>
        <w:tc>
          <w:tcPr>
            <w:tcW w:w="450" w:type="pct"/>
            <w:tcBorders>
              <w:top w:val="nil"/>
              <w:left w:val="single" w:sz="4" w:space="0" w:color="auto"/>
              <w:bottom w:val="single" w:sz="4" w:space="0" w:color="auto"/>
              <w:right w:val="single" w:sz="4" w:space="0" w:color="auto"/>
            </w:tcBorders>
            <w:shd w:val="clear" w:color="auto" w:fill="auto"/>
            <w:vAlign w:val="center"/>
          </w:tcPr>
          <w:p w14:paraId="2A866481" w14:textId="77777777" w:rsidR="00BC0B3E" w:rsidRPr="004245DB" w:rsidRDefault="00BC0B3E">
            <w:pPr>
              <w:pStyle w:val="TableText"/>
              <w:jc w:val="center"/>
            </w:pPr>
            <w:r>
              <w:rPr>
                <w:color w:val="00B050"/>
              </w:rPr>
              <w:t>X</w:t>
            </w:r>
          </w:p>
        </w:tc>
        <w:tc>
          <w:tcPr>
            <w:tcW w:w="451" w:type="pct"/>
            <w:tcBorders>
              <w:top w:val="nil"/>
              <w:left w:val="single" w:sz="4" w:space="0" w:color="auto"/>
              <w:bottom w:val="single" w:sz="4" w:space="0" w:color="auto"/>
              <w:right w:val="single" w:sz="4" w:space="0" w:color="auto"/>
            </w:tcBorders>
            <w:shd w:val="clear" w:color="auto" w:fill="auto"/>
            <w:vAlign w:val="center"/>
          </w:tcPr>
          <w:p w14:paraId="00CA7D03" w14:textId="77777777" w:rsidR="00BC0B3E" w:rsidRPr="004245DB" w:rsidRDefault="00BC0B3E">
            <w:pPr>
              <w:pStyle w:val="TableText"/>
              <w:jc w:val="center"/>
            </w:pPr>
          </w:p>
        </w:tc>
      </w:tr>
      <w:tr w:rsidR="00BC0B3E" w:rsidRPr="00C8094D" w14:paraId="165B8F84" w14:textId="77777777">
        <w:trPr>
          <w:cantSplit/>
          <w:trHeight w:val="255"/>
          <w:tblHeader/>
          <w:jc w:val="center"/>
        </w:trPr>
        <w:tc>
          <w:tcPr>
            <w:tcW w:w="3605" w:type="pct"/>
            <w:tcBorders>
              <w:top w:val="nil"/>
              <w:left w:val="single" w:sz="4" w:space="0" w:color="auto"/>
              <w:bottom w:val="single" w:sz="4" w:space="0" w:color="auto"/>
              <w:right w:val="single" w:sz="4" w:space="0" w:color="auto"/>
            </w:tcBorders>
            <w:shd w:val="clear" w:color="auto" w:fill="auto"/>
          </w:tcPr>
          <w:p w14:paraId="42B8A083" w14:textId="77777777" w:rsidR="00BC0B3E" w:rsidRPr="004245DB" w:rsidRDefault="00BC0B3E">
            <w:pPr>
              <w:pStyle w:val="TableText"/>
            </w:pPr>
            <w:r>
              <w:t>Asbestos</w:t>
            </w:r>
            <w:r w:rsidRPr="002A4889">
              <w:t xml:space="preserve"> National Emission Standards for Hazardous Air Pollutants</w:t>
            </w:r>
            <w:r>
              <w:t xml:space="preserve"> (NESHAP)</w:t>
            </w:r>
          </w:p>
        </w:tc>
        <w:tc>
          <w:tcPr>
            <w:tcW w:w="494" w:type="pct"/>
            <w:tcBorders>
              <w:top w:val="nil"/>
              <w:left w:val="single" w:sz="4" w:space="0" w:color="auto"/>
              <w:bottom w:val="single" w:sz="4" w:space="0" w:color="auto"/>
              <w:right w:val="single" w:sz="4" w:space="0" w:color="auto"/>
            </w:tcBorders>
            <w:shd w:val="clear" w:color="auto" w:fill="auto"/>
            <w:vAlign w:val="center"/>
          </w:tcPr>
          <w:p w14:paraId="3FF2A552" w14:textId="77777777" w:rsidR="00BC0B3E" w:rsidRPr="004245DB" w:rsidRDefault="00BC0B3E">
            <w:pPr>
              <w:pStyle w:val="TableText"/>
              <w:jc w:val="center"/>
            </w:pPr>
          </w:p>
        </w:tc>
        <w:tc>
          <w:tcPr>
            <w:tcW w:w="450" w:type="pct"/>
            <w:tcBorders>
              <w:top w:val="nil"/>
              <w:left w:val="single" w:sz="4" w:space="0" w:color="auto"/>
              <w:bottom w:val="single" w:sz="4" w:space="0" w:color="auto"/>
              <w:right w:val="single" w:sz="4" w:space="0" w:color="auto"/>
            </w:tcBorders>
            <w:shd w:val="clear" w:color="auto" w:fill="auto"/>
            <w:vAlign w:val="center"/>
          </w:tcPr>
          <w:p w14:paraId="5ABD0B8F" w14:textId="77777777" w:rsidR="00BC0B3E" w:rsidRPr="004245DB" w:rsidRDefault="00BC0B3E">
            <w:pPr>
              <w:pStyle w:val="TableText"/>
              <w:jc w:val="center"/>
            </w:pPr>
            <w:r>
              <w:rPr>
                <w:color w:val="00B050"/>
              </w:rPr>
              <w:t>X</w:t>
            </w:r>
          </w:p>
        </w:tc>
        <w:tc>
          <w:tcPr>
            <w:tcW w:w="451" w:type="pct"/>
            <w:tcBorders>
              <w:top w:val="nil"/>
              <w:left w:val="single" w:sz="4" w:space="0" w:color="auto"/>
              <w:bottom w:val="single" w:sz="4" w:space="0" w:color="auto"/>
              <w:right w:val="single" w:sz="4" w:space="0" w:color="auto"/>
            </w:tcBorders>
            <w:shd w:val="clear" w:color="auto" w:fill="auto"/>
            <w:vAlign w:val="center"/>
          </w:tcPr>
          <w:p w14:paraId="217165D0" w14:textId="77777777" w:rsidR="00BC0B3E" w:rsidRPr="004245DB" w:rsidRDefault="00BC0B3E">
            <w:pPr>
              <w:pStyle w:val="TableText"/>
              <w:jc w:val="center"/>
            </w:pPr>
          </w:p>
        </w:tc>
      </w:tr>
    </w:tbl>
    <w:p w14:paraId="261E70FE" w14:textId="77777777" w:rsidR="00BC0B3E" w:rsidRDefault="00BC0B3E" w:rsidP="00BC0B3E">
      <w:pPr>
        <w:pStyle w:val="Heading3"/>
      </w:pPr>
      <w:r>
        <w:t>Relevant Resources</w:t>
      </w:r>
    </w:p>
    <w:p w14:paraId="78E19145" w14:textId="4EEAD4C7" w:rsidR="00BC0B3E" w:rsidRDefault="00BC0B3E" w:rsidP="006D7DE6">
      <w:pPr>
        <w:pStyle w:val="BodyTextFirstIndent"/>
      </w:pPr>
      <w:r>
        <w:fldChar w:fldCharType="begin"/>
      </w:r>
      <w:r>
        <w:instrText xml:space="preserve"> REF _Ref170249317 \h </w:instrText>
      </w:r>
      <w:r>
        <w:fldChar w:fldCharType="separate"/>
      </w:r>
      <w:r w:rsidR="00307850">
        <w:t xml:space="preserve">Table </w:t>
      </w:r>
      <w:r w:rsidR="00307850">
        <w:rPr>
          <w:noProof/>
        </w:rPr>
        <w:t>61</w:t>
      </w:r>
      <w:r>
        <w:fldChar w:fldCharType="end"/>
      </w:r>
      <w:r>
        <w:t xml:space="preserve"> provides a summary of resources related to preventing asbestos exposure in schools.</w:t>
      </w:r>
    </w:p>
    <w:p w14:paraId="008EEB79" w14:textId="38DA6DBF" w:rsidR="00BC0B3E" w:rsidRDefault="00BC0B3E" w:rsidP="00B30C96">
      <w:pPr>
        <w:pStyle w:val="TableTitle"/>
      </w:pPr>
      <w:bookmarkStart w:id="533" w:name="_Ref170249317"/>
      <w:bookmarkStart w:id="534" w:name="_Toc170345790"/>
      <w:bookmarkStart w:id="535" w:name="_Toc192711727"/>
      <w:bookmarkStart w:id="536" w:name="_Toc193112609"/>
      <w:bookmarkStart w:id="537" w:name="_Toc193117008"/>
      <w:r>
        <w:t xml:space="preserve">Table </w:t>
      </w:r>
      <w:fldSimple w:instr=" SEQ Table \* ARABIC ">
        <w:r w:rsidR="00307850">
          <w:rPr>
            <w:noProof/>
          </w:rPr>
          <w:t>61</w:t>
        </w:r>
      </w:fldSimple>
      <w:bookmarkEnd w:id="533"/>
      <w:r>
        <w:t>. Resources for Preventing Asbestos Exposure</w:t>
      </w:r>
      <w:bookmarkEnd w:id="534"/>
      <w:bookmarkEnd w:id="535"/>
      <w:bookmarkEnd w:id="536"/>
      <w:bookmarkEnd w:id="537"/>
    </w:p>
    <w:tbl>
      <w:tblPr>
        <w:tblStyle w:val="TableGrid"/>
        <w:tblW w:w="0" w:type="auto"/>
        <w:tblLayout w:type="fixed"/>
        <w:tblLook w:val="04A0" w:firstRow="1" w:lastRow="0" w:firstColumn="1" w:lastColumn="0" w:noHBand="0" w:noVBand="1"/>
        <w:tblDescription w:val="Table listing resources with active URLs for preventing asbestos exposure."/>
      </w:tblPr>
      <w:tblGrid>
        <w:gridCol w:w="2875"/>
        <w:gridCol w:w="2070"/>
        <w:gridCol w:w="4405"/>
      </w:tblGrid>
      <w:tr w:rsidR="00BC0B3E" w:rsidRPr="00276B41" w14:paraId="32B12513" w14:textId="77777777">
        <w:trPr>
          <w:tblHeader/>
        </w:trPr>
        <w:tc>
          <w:tcPr>
            <w:tcW w:w="2875" w:type="dxa"/>
            <w:shd w:val="clear" w:color="auto" w:fill="C6D9F1" w:themeFill="text2" w:themeFillTint="33"/>
          </w:tcPr>
          <w:p w14:paraId="05EC278D" w14:textId="77777777" w:rsidR="00BC0B3E" w:rsidRPr="004C3A1C" w:rsidRDefault="00BC0B3E">
            <w:pPr>
              <w:pStyle w:val="TableColumnHeader"/>
            </w:pPr>
            <w:r w:rsidRPr="004C3A1C">
              <w:t>Resource</w:t>
            </w:r>
          </w:p>
        </w:tc>
        <w:tc>
          <w:tcPr>
            <w:tcW w:w="2070" w:type="dxa"/>
            <w:shd w:val="clear" w:color="auto" w:fill="C6D9F1" w:themeFill="text2" w:themeFillTint="33"/>
          </w:tcPr>
          <w:p w14:paraId="4FB5EE3E" w14:textId="77777777" w:rsidR="00BC0B3E" w:rsidRPr="004C3A1C" w:rsidRDefault="00BC0B3E">
            <w:pPr>
              <w:pStyle w:val="TableColumnHeader"/>
            </w:pPr>
            <w:r w:rsidRPr="004C3A1C">
              <w:t>Author</w:t>
            </w:r>
          </w:p>
        </w:tc>
        <w:tc>
          <w:tcPr>
            <w:tcW w:w="4405" w:type="dxa"/>
            <w:shd w:val="clear" w:color="auto" w:fill="C6D9F1" w:themeFill="text2" w:themeFillTint="33"/>
          </w:tcPr>
          <w:p w14:paraId="11819155" w14:textId="77777777" w:rsidR="00BC0B3E" w:rsidRPr="004C3A1C" w:rsidRDefault="00BC0B3E">
            <w:pPr>
              <w:pStyle w:val="TableColumnHeader"/>
            </w:pPr>
            <w:r w:rsidRPr="004C3A1C">
              <w:t>URL</w:t>
            </w:r>
          </w:p>
        </w:tc>
      </w:tr>
      <w:tr w:rsidR="00BC0B3E" w:rsidRPr="00276B41" w14:paraId="51538A12" w14:textId="77777777">
        <w:tc>
          <w:tcPr>
            <w:tcW w:w="2875" w:type="dxa"/>
          </w:tcPr>
          <w:p w14:paraId="50E81069" w14:textId="77777777" w:rsidR="00BC0B3E" w:rsidRDefault="00BC0B3E">
            <w:pPr>
              <w:pStyle w:val="TableText"/>
            </w:pPr>
            <w:r>
              <w:t>Asbestos in Schools</w:t>
            </w:r>
          </w:p>
        </w:tc>
        <w:tc>
          <w:tcPr>
            <w:tcW w:w="2070" w:type="dxa"/>
          </w:tcPr>
          <w:p w14:paraId="71CA630F" w14:textId="77777777" w:rsidR="00BC0B3E" w:rsidRDefault="00BC0B3E">
            <w:pPr>
              <w:pStyle w:val="TableText"/>
            </w:pPr>
            <w:r>
              <w:t>DLS Lead and Asbestos Program</w:t>
            </w:r>
          </w:p>
        </w:tc>
        <w:tc>
          <w:tcPr>
            <w:tcW w:w="4405" w:type="dxa"/>
          </w:tcPr>
          <w:p w14:paraId="7C472B42" w14:textId="720E4FD2" w:rsidR="00BC0B3E" w:rsidRDefault="00BC0B3E">
            <w:pPr>
              <w:pStyle w:val="TableText"/>
            </w:pPr>
            <w:hyperlink r:id="rId283" w:history="1">
              <w:r w:rsidRPr="006744CC">
                <w:rPr>
                  <w:rStyle w:val="Hyperlink"/>
                </w:rPr>
                <w:t>https://www.mass.gov/info-details/asbestos-in-schools</w:t>
              </w:r>
            </w:hyperlink>
            <w:r>
              <w:rPr>
                <w:color w:val="auto"/>
              </w:rPr>
              <w:t xml:space="preserve"> </w:t>
            </w:r>
          </w:p>
        </w:tc>
      </w:tr>
      <w:tr w:rsidR="00BC0B3E" w:rsidRPr="00276B41" w14:paraId="4A5188DB" w14:textId="77777777">
        <w:tc>
          <w:tcPr>
            <w:tcW w:w="2875" w:type="dxa"/>
          </w:tcPr>
          <w:p w14:paraId="0CE4C190" w14:textId="77777777" w:rsidR="00BC0B3E" w:rsidRDefault="00BC0B3E">
            <w:pPr>
              <w:pStyle w:val="TableText"/>
            </w:pPr>
            <w:r>
              <w:t>Department of Labor Standards – Lead and Asbestos Program</w:t>
            </w:r>
          </w:p>
        </w:tc>
        <w:tc>
          <w:tcPr>
            <w:tcW w:w="2070" w:type="dxa"/>
          </w:tcPr>
          <w:p w14:paraId="3EE26FCE" w14:textId="77777777" w:rsidR="00BC0B3E" w:rsidRDefault="00BC0B3E">
            <w:pPr>
              <w:pStyle w:val="TableText"/>
            </w:pPr>
            <w:r>
              <w:t>DLS</w:t>
            </w:r>
          </w:p>
        </w:tc>
        <w:tc>
          <w:tcPr>
            <w:tcW w:w="4405" w:type="dxa"/>
          </w:tcPr>
          <w:p w14:paraId="0FE7F80C" w14:textId="77777777" w:rsidR="00BC0B3E" w:rsidRDefault="00BC0B3E">
            <w:pPr>
              <w:pStyle w:val="TableText"/>
              <w:rPr>
                <w:color w:val="auto"/>
              </w:rPr>
            </w:pPr>
            <w:r>
              <w:rPr>
                <w:color w:val="auto"/>
              </w:rPr>
              <w:t>Hotline: (617) 626-6030</w:t>
            </w:r>
          </w:p>
          <w:p w14:paraId="51239F67" w14:textId="212DC364" w:rsidR="00BC0B3E" w:rsidRDefault="00BC0B3E">
            <w:pPr>
              <w:pStyle w:val="TableText"/>
              <w:rPr>
                <w:color w:val="auto"/>
              </w:rPr>
            </w:pPr>
            <w:r>
              <w:rPr>
                <w:color w:val="auto"/>
              </w:rPr>
              <w:t xml:space="preserve">Email: </w:t>
            </w:r>
            <w:hyperlink r:id="rId284" w:history="1">
              <w:r w:rsidRPr="0065719E">
                <w:rPr>
                  <w:rStyle w:val="Hyperlink"/>
                </w:rPr>
                <w:t>DLSfeedback@MassMail.State.MA.US</w:t>
              </w:r>
            </w:hyperlink>
          </w:p>
          <w:p w14:paraId="5EA7115A" w14:textId="77777777" w:rsidR="00BC0B3E" w:rsidRDefault="00BC0B3E">
            <w:pPr>
              <w:pStyle w:val="TableText"/>
            </w:pPr>
          </w:p>
        </w:tc>
      </w:tr>
      <w:tr w:rsidR="00BC0B3E" w:rsidRPr="00276B41" w14:paraId="7D088BBE" w14:textId="77777777">
        <w:tc>
          <w:tcPr>
            <w:tcW w:w="2875" w:type="dxa"/>
          </w:tcPr>
          <w:p w14:paraId="34FC0743" w14:textId="77777777" w:rsidR="00BC0B3E" w:rsidRDefault="00BC0B3E">
            <w:pPr>
              <w:pStyle w:val="TableText"/>
            </w:pPr>
            <w:r>
              <w:t>MassDEP Asbestos, Construction &amp; Demolition Notifications</w:t>
            </w:r>
          </w:p>
        </w:tc>
        <w:tc>
          <w:tcPr>
            <w:tcW w:w="2070" w:type="dxa"/>
          </w:tcPr>
          <w:p w14:paraId="43AF56AD" w14:textId="77777777" w:rsidR="00BC0B3E" w:rsidRDefault="00BC0B3E">
            <w:pPr>
              <w:pStyle w:val="TableText"/>
            </w:pPr>
            <w:r>
              <w:t>MassDEP</w:t>
            </w:r>
          </w:p>
        </w:tc>
        <w:tc>
          <w:tcPr>
            <w:tcW w:w="4405" w:type="dxa"/>
          </w:tcPr>
          <w:p w14:paraId="389D13AC" w14:textId="63727A7F" w:rsidR="00BC0B3E" w:rsidRDefault="00BC0B3E">
            <w:pPr>
              <w:pStyle w:val="TableText"/>
            </w:pPr>
            <w:hyperlink r:id="rId285" w:history="1">
              <w:r w:rsidRPr="006744CC">
                <w:rPr>
                  <w:rStyle w:val="Hyperlink"/>
                </w:rPr>
                <w:t>https://www.mass.gov/guides/massdep-asbestos-construction-demolition-notifications</w:t>
              </w:r>
            </w:hyperlink>
            <w:r>
              <w:rPr>
                <w:color w:val="auto"/>
              </w:rPr>
              <w:t xml:space="preserve"> </w:t>
            </w:r>
          </w:p>
        </w:tc>
      </w:tr>
      <w:tr w:rsidR="00BC0B3E" w:rsidRPr="00276B41" w14:paraId="21E9EC88" w14:textId="77777777">
        <w:tc>
          <w:tcPr>
            <w:tcW w:w="2875" w:type="dxa"/>
          </w:tcPr>
          <w:p w14:paraId="4BE5E532" w14:textId="77777777" w:rsidR="00BC0B3E" w:rsidRDefault="00BC0B3E">
            <w:pPr>
              <w:pStyle w:val="TableText"/>
            </w:pPr>
            <w:r>
              <w:lastRenderedPageBreak/>
              <w:t>Tips on Organizing and Maintaining the AHERA Management Plan</w:t>
            </w:r>
          </w:p>
        </w:tc>
        <w:tc>
          <w:tcPr>
            <w:tcW w:w="2070" w:type="dxa"/>
          </w:tcPr>
          <w:p w14:paraId="4D967BAA" w14:textId="77777777" w:rsidR="00BC0B3E" w:rsidRDefault="00BC0B3E">
            <w:pPr>
              <w:pStyle w:val="TableText"/>
            </w:pPr>
            <w:r>
              <w:t>DLS</w:t>
            </w:r>
          </w:p>
        </w:tc>
        <w:tc>
          <w:tcPr>
            <w:tcW w:w="4405" w:type="dxa"/>
          </w:tcPr>
          <w:p w14:paraId="2113140F" w14:textId="53EC63C7" w:rsidR="00BC0B3E" w:rsidRDefault="00BC0B3E">
            <w:pPr>
              <w:pStyle w:val="TableText"/>
            </w:pPr>
            <w:hyperlink r:id="rId286" w:history="1">
              <w:r w:rsidRPr="009F6C4A">
                <w:rPr>
                  <w:rStyle w:val="Hyperlink"/>
                </w:rPr>
                <w:t>https://www.mass.gov/doc/organizing-the-management-plan-2021/download</w:t>
              </w:r>
            </w:hyperlink>
          </w:p>
          <w:p w14:paraId="73F53B1E" w14:textId="77777777" w:rsidR="00BC0B3E" w:rsidRDefault="00BC0B3E">
            <w:pPr>
              <w:pStyle w:val="TableText"/>
            </w:pPr>
          </w:p>
        </w:tc>
      </w:tr>
      <w:tr w:rsidR="00BC0B3E" w:rsidRPr="00276B41" w14:paraId="2AC31D95" w14:textId="77777777">
        <w:tc>
          <w:tcPr>
            <w:tcW w:w="2875" w:type="dxa"/>
          </w:tcPr>
          <w:p w14:paraId="2623CFFC" w14:textId="77777777" w:rsidR="00BC0B3E" w:rsidRPr="00276B41" w:rsidRDefault="00BC0B3E">
            <w:pPr>
              <w:pStyle w:val="TableText"/>
            </w:pPr>
            <w:r>
              <w:t>Model AHERA Asbestos Management Plan for Local Education Agencies</w:t>
            </w:r>
          </w:p>
        </w:tc>
        <w:tc>
          <w:tcPr>
            <w:tcW w:w="2070" w:type="dxa"/>
          </w:tcPr>
          <w:p w14:paraId="46EEC153" w14:textId="77777777" w:rsidR="00BC0B3E" w:rsidRPr="00276B41" w:rsidRDefault="00BC0B3E">
            <w:pPr>
              <w:pStyle w:val="TableText"/>
            </w:pPr>
            <w:r>
              <w:t>EPA</w:t>
            </w:r>
          </w:p>
        </w:tc>
        <w:tc>
          <w:tcPr>
            <w:tcW w:w="4405" w:type="dxa"/>
          </w:tcPr>
          <w:p w14:paraId="507B71A1" w14:textId="19B37405" w:rsidR="00BC0B3E" w:rsidRPr="00276B41" w:rsidRDefault="00BC0B3E">
            <w:pPr>
              <w:pStyle w:val="TableText"/>
            </w:pPr>
            <w:hyperlink r:id="rId287" w:history="1">
              <w:r w:rsidRPr="00C603D3">
                <w:rPr>
                  <w:rStyle w:val="Hyperlink"/>
                </w:rPr>
                <w:t>https://www.epa.gov/sites/default/files/2013-12/documents/modelamp_0.pdf</w:t>
              </w:r>
            </w:hyperlink>
            <w:r>
              <w:t xml:space="preserve"> </w:t>
            </w:r>
          </w:p>
        </w:tc>
      </w:tr>
      <w:tr w:rsidR="00BC0B3E" w:rsidRPr="00276B41" w14:paraId="2699F2F2" w14:textId="77777777">
        <w:tc>
          <w:tcPr>
            <w:tcW w:w="2875" w:type="dxa"/>
          </w:tcPr>
          <w:p w14:paraId="1A52ACC8" w14:textId="77777777" w:rsidR="00BC0B3E" w:rsidRDefault="00BC0B3E">
            <w:pPr>
              <w:pStyle w:val="TableText"/>
            </w:pPr>
            <w:r>
              <w:t>Sensible Guide for Healthier School Renovations</w:t>
            </w:r>
          </w:p>
        </w:tc>
        <w:tc>
          <w:tcPr>
            <w:tcW w:w="2070" w:type="dxa"/>
          </w:tcPr>
          <w:p w14:paraId="70BB2B5A" w14:textId="77777777" w:rsidR="00BC0B3E" w:rsidRDefault="00BC0B3E">
            <w:pPr>
              <w:pStyle w:val="TableText"/>
            </w:pPr>
            <w:r>
              <w:t>EPA</w:t>
            </w:r>
          </w:p>
        </w:tc>
        <w:tc>
          <w:tcPr>
            <w:tcW w:w="4405" w:type="dxa"/>
          </w:tcPr>
          <w:p w14:paraId="577B0C76" w14:textId="281201D4" w:rsidR="00BC0B3E" w:rsidRDefault="00BC0B3E">
            <w:pPr>
              <w:pStyle w:val="TableText"/>
            </w:pPr>
            <w:hyperlink r:id="rId288">
              <w:r w:rsidRPr="653D8BA2">
                <w:rPr>
                  <w:rStyle w:val="Hyperlink"/>
                </w:rPr>
                <w:t>https://www.epa.gov/sites/default/files/2016-01/documents/schools_renov_brochure-8_5x11_final.pdf</w:t>
              </w:r>
            </w:hyperlink>
            <w:r>
              <w:t xml:space="preserve"> </w:t>
            </w:r>
          </w:p>
        </w:tc>
      </w:tr>
    </w:tbl>
    <w:p w14:paraId="7B09ECDA" w14:textId="77777777" w:rsidR="00BC0B3E" w:rsidRDefault="00BC0B3E" w:rsidP="00BC0B3E"/>
    <w:p w14:paraId="545534F8" w14:textId="711E0B36" w:rsidR="00073C90" w:rsidRPr="00073C90" w:rsidRDefault="00630894" w:rsidP="001D30AE">
      <w:pPr>
        <w:pStyle w:val="AirQualitySubheading"/>
      </w:pPr>
      <w:bookmarkStart w:id="538" w:name="SectVII_2a3"/>
      <w:bookmarkEnd w:id="538"/>
      <w:r>
        <w:t>2a(3)</w:t>
      </w:r>
      <w:r>
        <w:tab/>
      </w:r>
      <w:r w:rsidR="00073C90" w:rsidRPr="00073C90">
        <w:t>Reduce Exposure to Carbon Monoxide</w:t>
      </w:r>
    </w:p>
    <w:p w14:paraId="456E5E0F" w14:textId="77777777" w:rsidR="00E552B3" w:rsidRDefault="00E552B3" w:rsidP="00E552B3">
      <w:pPr>
        <w:pStyle w:val="Heading3"/>
      </w:pPr>
      <w:r>
        <w:t>Methods and Best Practices</w:t>
      </w:r>
    </w:p>
    <w:p w14:paraId="361B40F0" w14:textId="77777777" w:rsidR="00E552B3" w:rsidRPr="00941E49" w:rsidRDefault="00E552B3" w:rsidP="006D7DE6">
      <w:pPr>
        <w:pStyle w:val="BodyTextFirstIndent"/>
      </w:pPr>
      <w:r>
        <w:t xml:space="preserve">This section summarizes the methods and best practices for reducing exposure to carbon monoxide in schools in two areas: planning and management; and technical interventions. </w:t>
      </w:r>
    </w:p>
    <w:p w14:paraId="4E9708B5" w14:textId="77777777" w:rsidR="00E552B3" w:rsidRDefault="00E552B3" w:rsidP="00E552B3">
      <w:pPr>
        <w:pStyle w:val="Heading4"/>
      </w:pPr>
      <w:r>
        <w:t>Planning and Management</w:t>
      </w:r>
    </w:p>
    <w:p w14:paraId="1335F993" w14:textId="77777777" w:rsidR="00E552B3" w:rsidRPr="00941E49" w:rsidRDefault="00E552B3" w:rsidP="006D7DE6">
      <w:pPr>
        <w:pStyle w:val="BodyTextFirstIndent"/>
      </w:pPr>
      <w:r>
        <w:t xml:space="preserve">The following recommendations involve planning measures and interventions to monitor carbon monoxide. </w:t>
      </w:r>
    </w:p>
    <w:p w14:paraId="18B42C82" w14:textId="77777777" w:rsidR="00E552B3" w:rsidRPr="00BE40A8" w:rsidRDefault="00E552B3" w:rsidP="00E552B3">
      <w:pPr>
        <w:pStyle w:val="Heading5"/>
      </w:pPr>
      <w:r>
        <w:t>(1) Annually inventory and inspect all gas-burning appliances</w:t>
      </w:r>
    </w:p>
    <w:p w14:paraId="531C423B" w14:textId="2789D1F9" w:rsidR="00E552B3" w:rsidRPr="00584762" w:rsidRDefault="00E552B3" w:rsidP="006D7DE6">
      <w:pPr>
        <w:pStyle w:val="BodyTextFirstIndent"/>
      </w:pPr>
      <w:r>
        <w:t xml:space="preserve">Carbon monoxide is produced by appliances which use combustion to generate energy. Incomplete combustion results in more carbon monoxide. To prevent excess carbon monoxide from being released at schools, it is best practice to annually inspect all gas burning appliances, including stoves, furnaces, and water heaters, to </w:t>
      </w:r>
      <w:r w:rsidR="00036043">
        <w:t>confirm</w:t>
      </w:r>
      <w:r>
        <w:t xml:space="preserve"> they are working properly and are ventilated to the outside.</w:t>
      </w:r>
      <w:r>
        <w:fldChar w:fldCharType="begin"/>
      </w:r>
      <w:r w:rsidR="00B71A9B">
        <w:instrText xml:space="preserve"> ADDIN ZOTERO_ITEM CSL_CITATION {"citationID":"a1ppgchpjv0","properties":{"formattedCitation":"\\super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B71A9B" w:rsidRPr="00B71A9B">
        <w:rPr>
          <w:rFonts w:cs="Arial"/>
          <w:vertAlign w:val="superscript"/>
        </w:rPr>
        <w:t>101</w:t>
      </w:r>
      <w:r>
        <w:fldChar w:fldCharType="end"/>
      </w:r>
      <w:r>
        <w:t xml:space="preserve"> </w:t>
      </w:r>
    </w:p>
    <w:p w14:paraId="7E25A473" w14:textId="77777777" w:rsidR="00E552B3" w:rsidRPr="00BE40A8" w:rsidRDefault="00E552B3" w:rsidP="00E552B3">
      <w:pPr>
        <w:pStyle w:val="Heading5"/>
      </w:pPr>
      <w:r w:rsidRPr="00BE40A8">
        <w:t xml:space="preserve">(2) Install carbon monoxide alarms near </w:t>
      </w:r>
      <w:r>
        <w:t xml:space="preserve">fossil fuel-fired </w:t>
      </w:r>
      <w:r w:rsidRPr="00BE40A8">
        <w:t>appliances</w:t>
      </w:r>
    </w:p>
    <w:p w14:paraId="0522D9E0" w14:textId="661FEB19" w:rsidR="00E552B3" w:rsidRDefault="00E552B3" w:rsidP="006D7DE6">
      <w:pPr>
        <w:pStyle w:val="BodyTextFirstIndent"/>
      </w:pPr>
      <w:r>
        <w:t>Carbon monoxide alarms should be installed, at a minimum, near all appliances that burn natural gas, oil, wood, or gas.</w:t>
      </w:r>
      <w:r>
        <w:fldChar w:fldCharType="begin"/>
      </w:r>
      <w:r w:rsidR="00CD63EB">
        <w:instrText xml:space="preserve"> ADDIN ZOTERO_ITEM CSL_CITATION {"citationID":"ait7jbbmps","properties":{"formattedCitation":"\\super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CD63EB" w:rsidRPr="00CD63EB">
        <w:rPr>
          <w:rFonts w:cs="Arial"/>
          <w:vertAlign w:val="superscript"/>
        </w:rPr>
        <w:t>101</w:t>
      </w:r>
      <w:r>
        <w:fldChar w:fldCharType="end"/>
      </w:r>
      <w:r>
        <w:t xml:space="preserve"> Carbon monoxide alarms are devices that can warn of excess carbon monoxide and allow schools to mitigate the carbon monoxide before building occupants are exposed to high levels. Schools should consider carbon monoxide alarms that can detect and store carbon monoxide levels and integrate the warning equipment into the school’s central monitoring system. Carbon monoxide alarms should be installed near sources of combustion, as these spaces have a greater risk of elevated carbon monoxide due to malfunctioning equipment or inadequate ventilation.</w:t>
      </w:r>
      <w:r>
        <w:fldChar w:fldCharType="begin"/>
      </w:r>
      <w:r w:rsidR="0078015C">
        <w:instrText xml:space="preserve"> ADDIN ZOTERO_ITEM CSL_CITATION {"citationID":"akpfatif7f","properties":{"formattedCitation":"\\super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78015C" w:rsidRPr="0078015C">
        <w:rPr>
          <w:rFonts w:cs="Arial"/>
          <w:vertAlign w:val="superscript"/>
        </w:rPr>
        <w:t>104</w:t>
      </w:r>
      <w:r>
        <w:fldChar w:fldCharType="end"/>
      </w:r>
      <w:r>
        <w:t xml:space="preserve"> DPH also recommends installing sensor technology in classrooms that measure carbon monoxide as a best practice.  </w:t>
      </w:r>
    </w:p>
    <w:p w14:paraId="250D10DC" w14:textId="77777777" w:rsidR="00E552B3" w:rsidRPr="00525D9F" w:rsidRDefault="00E552B3" w:rsidP="00E552B3">
      <w:pPr>
        <w:pStyle w:val="Heading5"/>
      </w:pPr>
      <w:r>
        <w:lastRenderedPageBreak/>
        <w:t>(</w:t>
      </w:r>
      <w:r w:rsidRPr="00525D9F">
        <w:t xml:space="preserve">3) </w:t>
      </w:r>
      <w:r>
        <w:t>Restrict school buses and other vehicles from idling directly outside of the school</w:t>
      </w:r>
    </w:p>
    <w:p w14:paraId="014CA164" w14:textId="57EF8C88" w:rsidR="00E552B3" w:rsidRDefault="00E552B3" w:rsidP="006D7DE6">
      <w:pPr>
        <w:pStyle w:val="BodyTextFirstIndent"/>
      </w:pPr>
      <w:r w:rsidRPr="00525D9F">
        <w:t>Carbon monoxide is a byproduct of gas or diesel combustion in vehicles. Avoid vehicle idling directly outside of the school, particularly where products of combustion, including carbon monoxide, can be drawn into the school through air handling intakes, windows, or exit doors.</w:t>
      </w:r>
      <w:r w:rsidRPr="00525D9F">
        <w:fldChar w:fldCharType="begin"/>
      </w:r>
      <w:r w:rsidR="00AF3FE9">
        <w:instrText xml:space="preserve"> ADDIN ZOTERO_ITEM CSL_CITATION {"citationID":"a1j8i96k1v3","properties":{"formattedCitation":"\\super 101,104\\nosupersub{}","plainCitation":"101,104","noteIndex":0},"citationItems":[{"id":10,"uris":["http://zotero.org/groups/5563646/items/RET9EIZX"],"itemData":{"id":10,"type":"report","language":"en","number":"EPA-908-R-12-0001","source":"Zotero","title":"Sensible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Pr="00525D9F">
        <w:fldChar w:fldCharType="separate"/>
      </w:r>
      <w:r w:rsidR="00AF3FE9" w:rsidRPr="00AF3FE9">
        <w:rPr>
          <w:rFonts w:cs="Arial"/>
          <w:vertAlign w:val="superscript"/>
        </w:rPr>
        <w:t>101,104</w:t>
      </w:r>
      <w:r w:rsidRPr="00525D9F">
        <w:fldChar w:fldCharType="end"/>
      </w:r>
      <w:r>
        <w:t xml:space="preserve"> See the </w:t>
      </w:r>
      <w:hyperlink w:anchor="Objective_2a_Bus_Idling" w:history="1">
        <w:r w:rsidRPr="002C0D10">
          <w:rPr>
            <w:rStyle w:val="Hyperlink"/>
          </w:rPr>
          <w:t>Reduce Exposure to Emissions from School Bus Idling</w:t>
        </w:r>
      </w:hyperlink>
      <w:r>
        <w:t xml:space="preserve"> section for additional details about best practices on this topic. </w:t>
      </w:r>
    </w:p>
    <w:p w14:paraId="73D82828" w14:textId="77777777" w:rsidR="00E552B3" w:rsidRDefault="00E552B3" w:rsidP="00E552B3">
      <w:pPr>
        <w:pStyle w:val="Heading4"/>
      </w:pPr>
      <w:r>
        <w:t>Technical Interventions</w:t>
      </w:r>
    </w:p>
    <w:p w14:paraId="46897487" w14:textId="77777777" w:rsidR="00E552B3" w:rsidRPr="00941E49" w:rsidRDefault="00E552B3" w:rsidP="006D7DE6">
      <w:pPr>
        <w:pStyle w:val="BodyTextFirstIndent"/>
      </w:pPr>
      <w:r>
        <w:t xml:space="preserve">The following methods and best practices concern school equipment and equipment operations. </w:t>
      </w:r>
    </w:p>
    <w:p w14:paraId="224836F0" w14:textId="77777777" w:rsidR="00E552B3" w:rsidRPr="00BE40A8" w:rsidRDefault="00E552B3" w:rsidP="00E552B3">
      <w:pPr>
        <w:pStyle w:val="Heading5"/>
      </w:pPr>
      <w:r w:rsidRPr="00BE40A8">
        <w:t>(</w:t>
      </w:r>
      <w:r>
        <w:t>4</w:t>
      </w:r>
      <w:r w:rsidRPr="00BE40A8">
        <w:t xml:space="preserve">) </w:t>
      </w:r>
      <w:r>
        <w:t>Ensure negative pressure in</w:t>
      </w:r>
      <w:r w:rsidRPr="00BE40A8">
        <w:t xml:space="preserve"> rooms where carbon monoxide is likely to be generated</w:t>
      </w:r>
    </w:p>
    <w:p w14:paraId="47704B23" w14:textId="6F977DA7" w:rsidR="00E552B3" w:rsidRPr="00191871" w:rsidRDefault="00E552B3" w:rsidP="006D7DE6">
      <w:pPr>
        <w:pStyle w:val="BodyTextFirstIndent"/>
      </w:pPr>
      <w:r w:rsidRPr="00191871">
        <w:t xml:space="preserve">Rooms with certain equipment, like kitchens, science laboratories, and vocational classrooms, are more likely to contain equipment that can generate carbon monoxide. Ventilation in these rooms should be operated at negative pressure compared to surrounding rooms (i.e., </w:t>
      </w:r>
      <w:r>
        <w:t xml:space="preserve">the </w:t>
      </w:r>
      <w:r w:rsidRPr="00191871">
        <w:t xml:space="preserve">air is removed at a greater rate) so that carbon monoxide does not spread to other areas in the school. </w:t>
      </w:r>
      <w:r>
        <w:t xml:space="preserve">This can be done by adjusting components of the mechanical ventilation or by installing local exhaust ventilation. </w:t>
      </w:r>
      <w:r w:rsidRPr="00191871">
        <w:t>Ventilation in these rooms should be maintained such that it complies with other guidelines.</w:t>
      </w:r>
      <w:r w:rsidRPr="00191871">
        <w:fldChar w:fldCharType="begin"/>
      </w:r>
      <w:r w:rsidR="00285D85">
        <w:instrText xml:space="preserve"> ADDIN ZOTERO_ITEM CSL_CITATION {"citationID":"a24dr5c7goc","properties":{"formattedCitation":"\\super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Pr="00191871">
        <w:fldChar w:fldCharType="separate"/>
      </w:r>
      <w:r w:rsidR="00285D85" w:rsidRPr="00285D85">
        <w:rPr>
          <w:rFonts w:cs="Arial"/>
          <w:vertAlign w:val="superscript"/>
        </w:rPr>
        <w:t>104</w:t>
      </w:r>
      <w:r w:rsidRPr="00191871">
        <w:fldChar w:fldCharType="end"/>
      </w:r>
      <w:r w:rsidRPr="00191871">
        <w:t xml:space="preserve"> </w:t>
      </w:r>
    </w:p>
    <w:p w14:paraId="39FF4F2A" w14:textId="77777777" w:rsidR="00E552B3" w:rsidRPr="00BE40A8" w:rsidRDefault="00E552B3" w:rsidP="00E552B3">
      <w:pPr>
        <w:pStyle w:val="Heading5"/>
      </w:pPr>
      <w:r>
        <w:t>(5) Remove or replace any unvented gas or kerosene space heaters</w:t>
      </w:r>
    </w:p>
    <w:p w14:paraId="066D700B" w14:textId="375BCC87" w:rsidR="00073C90" w:rsidRDefault="00E552B3" w:rsidP="006D7DE6">
      <w:pPr>
        <w:pStyle w:val="BodyTextFirstIndent"/>
      </w:pPr>
      <w:r>
        <w:t>While uncommon in schools, r</w:t>
      </w:r>
      <w:r w:rsidRPr="00042A1F">
        <w:t>emov</w:t>
      </w:r>
      <w:r>
        <w:t>ing</w:t>
      </w:r>
      <w:r w:rsidRPr="00042A1F">
        <w:t xml:space="preserve"> any unvented gas or keros</w:t>
      </w:r>
      <w:r>
        <w:t>e</w:t>
      </w:r>
      <w:r w:rsidRPr="00042A1F">
        <w:t>ne space heaters</w:t>
      </w:r>
      <w:r>
        <w:t xml:space="preserve"> and restricting their use by contractors is essential</w:t>
      </w:r>
      <w:r w:rsidRPr="00042A1F">
        <w:t>. Incomplete combustion of these fuels will lead to the formation of carbon monoxide and lack of ventilation will allow carbon monoxide to accumulate. If the heaters are used as a primary heat source, replace them with electric or vented, code-compliant heating systems.</w:t>
      </w:r>
      <w:r w:rsidRPr="00042A1F">
        <w:fldChar w:fldCharType="begin"/>
      </w:r>
      <w:r w:rsidR="006104F0">
        <w:instrText xml:space="preserve"> ADDIN ZOTERO_ITEM CSL_CITATION {"citationID":"a13n6cm53sv","properties":{"formattedCitation":"\\super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Pr="00042A1F">
        <w:fldChar w:fldCharType="separate"/>
      </w:r>
      <w:r w:rsidR="006104F0" w:rsidRPr="006104F0">
        <w:rPr>
          <w:rFonts w:cs="Arial"/>
          <w:vertAlign w:val="superscript"/>
        </w:rPr>
        <w:t>104</w:t>
      </w:r>
      <w:r w:rsidRPr="00042A1F">
        <w:fldChar w:fldCharType="end"/>
      </w:r>
    </w:p>
    <w:p w14:paraId="33DCA94C" w14:textId="77777777" w:rsidR="0067226D" w:rsidRDefault="0067226D" w:rsidP="0067226D">
      <w:pPr>
        <w:pStyle w:val="Heading3"/>
      </w:pPr>
      <w:r>
        <w:t>Statutes, Regulations, and Standards</w:t>
      </w:r>
    </w:p>
    <w:p w14:paraId="335796C3" w14:textId="77777777" w:rsidR="0067226D" w:rsidRPr="00926175" w:rsidRDefault="0067226D" w:rsidP="006D7DE6">
      <w:pPr>
        <w:pStyle w:val="BodyTextFirstIndent"/>
      </w:pPr>
      <w:r>
        <w:t>Statutes, regulations, and standards that include a focus on exposure to carbon monoxide are detailed below.</w:t>
      </w:r>
    </w:p>
    <w:p w14:paraId="423F7BA0" w14:textId="77777777" w:rsidR="0067226D" w:rsidRPr="00B96268" w:rsidRDefault="0067226D" w:rsidP="0067226D">
      <w:pPr>
        <w:pStyle w:val="Heading4"/>
        <w:rPr>
          <w:b w:val="0"/>
          <w:bCs/>
        </w:rPr>
      </w:pPr>
      <w:r w:rsidRPr="00B96268">
        <w:rPr>
          <w:b w:val="0"/>
          <w:bCs/>
        </w:rPr>
        <w:t>Relevant Regulations</w:t>
      </w:r>
    </w:p>
    <w:p w14:paraId="1876793A" w14:textId="50085936" w:rsidR="0067226D" w:rsidRDefault="0067226D" w:rsidP="006D7DE6">
      <w:pPr>
        <w:pStyle w:val="BodyTextFirstIndent"/>
      </w:pPr>
      <w:r>
        <w:rPr>
          <w:b/>
        </w:rPr>
        <w:t xml:space="preserve">105 CMR 675 </w:t>
      </w:r>
      <w:r w:rsidRPr="0060008F">
        <w:t>establishes a corrective action air level of 30 parts per million (ppm) for carbon monoxide in indoor ice staking rinks with ice resurfacing machinery powered by combustible fuels. The same regulation establishes an evacuation air level of 125 ppm for carbon monoxide.</w:t>
      </w:r>
      <w:r>
        <w:fldChar w:fldCharType="begin"/>
      </w:r>
      <w:r w:rsidR="00916779">
        <w:instrText xml:space="preserve"> ADDIN ZOTERO_ITEM CSL_CITATION {"citationID":"ah0pf82p2r","properties":{"formattedCitation":"\\super 291\\nosupersub{}","plainCitation":"291","noteIndex":0},"citationItems":[{"id":228,"uris":["http://zotero.org/groups/5563646/items/YEZDY9HS"],"itemData":{"id":228,"type":"legislation","container-title":"State Sanitary Code, Chapter XI","title":"Requirements to Maintain Air Quality in Indoor Skating Rinks","URL":"https://www.mass.gov/doc/105-cmr-675-state-sanitary-code-chapter-xi-requirements-to-maintain-air-quality-in-indoor-skating-rinks/download","volume":"105 CMR 675.000","issued":{"date-parts":[["2004",7,9]]}}}],"schema":"https://github.com/citation-style-language/schema/raw/master/csl-citation.json"} </w:instrText>
      </w:r>
      <w:r>
        <w:fldChar w:fldCharType="separate"/>
      </w:r>
      <w:r w:rsidR="00916779" w:rsidRPr="00916779">
        <w:rPr>
          <w:rFonts w:cs="Arial"/>
          <w:vertAlign w:val="superscript"/>
        </w:rPr>
        <w:t>291</w:t>
      </w:r>
      <w:r>
        <w:fldChar w:fldCharType="end"/>
      </w:r>
    </w:p>
    <w:p w14:paraId="14156038" w14:textId="63887C7A" w:rsidR="0067226D" w:rsidRDefault="0067226D" w:rsidP="006D7DE6">
      <w:pPr>
        <w:pStyle w:val="BodyTextFirstIndent"/>
      </w:pPr>
      <w:r w:rsidRPr="000E282E">
        <w:rPr>
          <w:b/>
        </w:rPr>
        <w:t>NAAQS</w:t>
      </w:r>
      <w:r>
        <w:rPr>
          <w:b/>
        </w:rPr>
        <w:t xml:space="preserve"> for carbon monoxide</w:t>
      </w:r>
      <w:r w:rsidRPr="00F54628">
        <w:rPr>
          <w:b/>
          <w:bCs/>
        </w:rPr>
        <w:t>:</w:t>
      </w:r>
      <w:r>
        <w:t xml:space="preserve"> EPA sets National Ambient Air Quality Standards (NAAQS) for six pollutants, including carbon monoxide, to protect public health and the </w:t>
      </w:r>
      <w:r>
        <w:lastRenderedPageBreak/>
        <w:t>environment. The current NAAQS for carbon monoxide are an eight-hour time-weighted average of 9 ppm and a one-hour time-weighted average of 35 ppm.</w:t>
      </w:r>
      <w:r>
        <w:fldChar w:fldCharType="begin"/>
      </w:r>
      <w:r w:rsidR="004D7E42">
        <w:instrText xml:space="preserve"> ADDIN ZOTERO_ITEM CSL_CITATION {"citationID":"a1qlhh2ljkh","properties":{"formattedCitation":"\\super 292\\nosupersub{}","plainCitation":"292","noteIndex":0},"citationItems":[{"id":226,"uris":["http://zotero.org/groups/5563646/items/S2DXLKFS"],"itemData":{"id":226,"type":"webpage","container-title":"Criteria Air Pollutants","language":"en","title":"NAAQS Table","URL":"https://www.epa.gov/criteria-air-pollutants/naaqs-table","author":[{"family":"US EPA","given":""}],"accessed":{"date-parts":[["2024",6,19]]},"issued":{"date-parts":[["2024",2,7]]}}}],"schema":"https://github.com/citation-style-language/schema/raw/master/csl-citation.json"} </w:instrText>
      </w:r>
      <w:r>
        <w:fldChar w:fldCharType="separate"/>
      </w:r>
      <w:r w:rsidR="004D7E42" w:rsidRPr="004D7E42">
        <w:rPr>
          <w:rFonts w:cs="Arial"/>
          <w:vertAlign w:val="superscript"/>
        </w:rPr>
        <w:t>292</w:t>
      </w:r>
      <w:r>
        <w:fldChar w:fldCharType="end"/>
      </w:r>
    </w:p>
    <w:p w14:paraId="1318F606" w14:textId="0CFA3655" w:rsidR="0067226D" w:rsidRPr="0005416B" w:rsidRDefault="0067226D" w:rsidP="006D7DE6">
      <w:pPr>
        <w:pStyle w:val="BodyTextFirstIndent"/>
      </w:pPr>
      <w:r>
        <w:rPr>
          <w:b/>
        </w:rPr>
        <w:t>Permissible Exposure Level</w:t>
      </w:r>
      <w:r w:rsidRPr="0005416B">
        <w:rPr>
          <w:b/>
        </w:rPr>
        <w:t xml:space="preserve">: </w:t>
      </w:r>
      <w:r>
        <w:rPr>
          <w:bCs/>
        </w:rPr>
        <w:t>T</w:t>
      </w:r>
      <w:r w:rsidRPr="0002114E">
        <w:rPr>
          <w:bCs/>
        </w:rPr>
        <w:t xml:space="preserve">he </w:t>
      </w:r>
      <w:r>
        <w:rPr>
          <w:bCs/>
        </w:rPr>
        <w:t>Occupational Safety and Health Administration (</w:t>
      </w:r>
      <w:r w:rsidRPr="0005416B">
        <w:t>OSHA</w:t>
      </w:r>
      <w:r>
        <w:t>)</w:t>
      </w:r>
      <w:r w:rsidRPr="0005416B">
        <w:t xml:space="preserve"> has established the </w:t>
      </w:r>
      <w:r>
        <w:t>permissible exposure level (</w:t>
      </w:r>
      <w:r w:rsidRPr="0005416B">
        <w:t>PEL</w:t>
      </w:r>
      <w:r>
        <w:t>)</w:t>
      </w:r>
      <w:r w:rsidRPr="0005416B">
        <w:t xml:space="preserve"> for carbon monoxide as an </w:t>
      </w:r>
      <w:r>
        <w:t>eight</w:t>
      </w:r>
      <w:r w:rsidRPr="0005416B">
        <w:t xml:space="preserve">-hour time-weighted average concentration of 50 </w:t>
      </w:r>
      <w:r>
        <w:t>ppm</w:t>
      </w:r>
      <w:r w:rsidRPr="0005416B">
        <w:t>. This is established in CFR Title 29, Part 1910, Subpart Z.</w:t>
      </w:r>
      <w:r w:rsidRPr="0005416B">
        <w:fldChar w:fldCharType="begin"/>
      </w:r>
      <w:r w:rsidR="00145F47">
        <w:instrText xml:space="preserve"> ADDIN ZOTERO_ITEM CSL_CITATION {"citationID":"a2lglc30n96","properties":{"formattedCitation":"\\super 293\\nosupersub{}","plainCitation":"293","noteIndex":0},"citationItems":[{"id":222,"uris":["http://zotero.org/groups/5563646/items/HILYUT6N"],"itemData":{"id":222,"type":"standard","number":"1910.1000 Subpart Z: Toxic and Hazardous Substances","title":"Limits for Air Contaminants","URL":"https://www.osha.gov/laws-regs/regulations/standardnumber/1910/1910.1000TABLEZ1","author":[{"family":"OSHA","given":""}],"accessed":{"date-parts":[["2024",6,19]]}}}],"schema":"https://github.com/citation-style-language/schema/raw/master/csl-citation.json"} </w:instrText>
      </w:r>
      <w:r w:rsidRPr="0005416B">
        <w:fldChar w:fldCharType="separate"/>
      </w:r>
      <w:r w:rsidR="00145F47" w:rsidRPr="00145F47">
        <w:rPr>
          <w:rFonts w:cs="Arial"/>
          <w:vertAlign w:val="superscript"/>
        </w:rPr>
        <w:t>293</w:t>
      </w:r>
      <w:r w:rsidRPr="0005416B">
        <w:fldChar w:fldCharType="end"/>
      </w:r>
      <w:r w:rsidRPr="0005416B">
        <w:t xml:space="preserve"> </w:t>
      </w:r>
    </w:p>
    <w:p w14:paraId="3FA30811" w14:textId="77777777" w:rsidR="0067226D" w:rsidRDefault="0067226D" w:rsidP="0067226D">
      <w:pPr>
        <w:pStyle w:val="Heading4"/>
      </w:pPr>
      <w:r>
        <w:t>Relevant Standards</w:t>
      </w:r>
    </w:p>
    <w:p w14:paraId="6C793D61" w14:textId="3FB7FE54" w:rsidR="0067226D" w:rsidRDefault="0067226D" w:rsidP="006D7DE6">
      <w:pPr>
        <w:pStyle w:val="BodyTextFirstIndent"/>
      </w:pPr>
      <w:r w:rsidRPr="00885D33">
        <w:rPr>
          <w:b/>
          <w:bCs/>
        </w:rPr>
        <w:t>American Conference of Governmental Industrial Hygienist</w:t>
      </w:r>
      <w:r>
        <w:rPr>
          <w:b/>
          <w:bCs/>
        </w:rPr>
        <w:t>s</w:t>
      </w:r>
      <w:r w:rsidRPr="00885D33">
        <w:rPr>
          <w:b/>
          <w:bCs/>
        </w:rPr>
        <w:t xml:space="preserve"> </w:t>
      </w:r>
      <w:r>
        <w:rPr>
          <w:b/>
          <w:bCs/>
        </w:rPr>
        <w:t>(</w:t>
      </w:r>
      <w:r w:rsidRPr="00C01720">
        <w:rPr>
          <w:b/>
          <w:bCs/>
        </w:rPr>
        <w:t>ACGIH</w:t>
      </w:r>
      <w:r>
        <w:rPr>
          <w:b/>
          <w:bCs/>
        </w:rPr>
        <w:t>) Threshold Limit Values</w:t>
      </w:r>
      <w:r w:rsidRPr="00C01720">
        <w:rPr>
          <w:b/>
          <w:bCs/>
        </w:rPr>
        <w:t xml:space="preserve"> </w:t>
      </w:r>
      <w:r>
        <w:rPr>
          <w:b/>
          <w:bCs/>
        </w:rPr>
        <w:t>(</w:t>
      </w:r>
      <w:r w:rsidRPr="00C01720">
        <w:rPr>
          <w:b/>
          <w:bCs/>
        </w:rPr>
        <w:t>TLV</w:t>
      </w:r>
      <w:r>
        <w:rPr>
          <w:b/>
          <w:bCs/>
        </w:rPr>
        <w:t>s)</w:t>
      </w:r>
      <w:r>
        <w:t xml:space="preserve"> recommends a TLV as an eight-hour time-weighted average concentration of 25 ppm.</w:t>
      </w:r>
      <w:r>
        <w:fldChar w:fldCharType="begin"/>
      </w:r>
      <w:r w:rsidR="0055208B">
        <w:instrText xml:space="preserve"> ADDIN ZOTERO_ITEM CSL_CITATION {"citationID":"a5nfo4aa62","properties":{"formattedCitation":"\\super 294\\nosupersub{}","plainCitation":"294","noteIndex":0},"citationItems":[{"id":223,"uris":["http://zotero.org/groups/5563646/items/KPXW3D5R"],"itemData":{"id":223,"type":"webpage","language":"en-US","title":"Carbon monoxide","URL":"https://www.acgih.org/carbon-monoxide-3/","author":[{"family":"ACGIH","given":""}],"accessed":{"date-parts":[["2024",6,19]]}}}],"schema":"https://github.com/citation-style-language/schema/raw/master/csl-citation.json"} </w:instrText>
      </w:r>
      <w:r>
        <w:fldChar w:fldCharType="separate"/>
      </w:r>
      <w:r w:rsidR="0055208B" w:rsidRPr="0055208B">
        <w:rPr>
          <w:rFonts w:cs="Arial"/>
          <w:vertAlign w:val="superscript"/>
        </w:rPr>
        <w:t>294</w:t>
      </w:r>
      <w:r>
        <w:fldChar w:fldCharType="end"/>
      </w:r>
    </w:p>
    <w:p w14:paraId="02349DD7" w14:textId="082679CE" w:rsidR="0067226D" w:rsidRDefault="0067226D" w:rsidP="006D7DE6">
      <w:pPr>
        <w:pStyle w:val="BodyTextFirstIndent"/>
      </w:pPr>
      <w:r w:rsidRPr="00B9203C">
        <w:rPr>
          <w:b/>
        </w:rPr>
        <w:t>ASHRAE</w:t>
      </w:r>
      <w:r>
        <w:rPr>
          <w:b/>
        </w:rPr>
        <w:t xml:space="preserve"> 62.1</w:t>
      </w:r>
      <w:r w:rsidRPr="00B9203C">
        <w:rPr>
          <w:b/>
        </w:rPr>
        <w:t xml:space="preserve">: </w:t>
      </w:r>
      <w:r w:rsidRPr="00A82EC5">
        <w:t xml:space="preserve">ASHRAE uses </w:t>
      </w:r>
      <w:r>
        <w:t>EPA’s one-hour NAAQS for carbon monoxide as a component in their guidelines for “Ventilation and Acceptable Indoor Air Quality.”</w:t>
      </w:r>
      <w:r>
        <w:fldChar w:fldCharType="begin"/>
      </w:r>
      <w:r w:rsidR="000B746F">
        <w:instrText xml:space="preserve"> ADDIN ZOTERO_ITEM CSL_CITATION {"citationID":"a2gtke20te8","properties":{"formattedCitation":"\\super 295\\nosupersub{}","plainCitation":"295","noteIndex":0},"citationItems":[{"id":227,"uris":["http://zotero.org/groups/5563646/items/NSHTSIDV"],"itemData":{"id":227,"type":"standard","title":"Standard 62.1, Ventilation and Acceptable Indoor Air Quality","URL":"https://ashrae.iwrapper.com/ASHRAE_PREVIEW_ONLY_STANDARDS/STD_62.1_2022","author":[{"family":"ANSI/ASHRAE","given":""}],"accessed":{"date-parts":[["2024",6,19]]},"issued":{"date-parts":[["2022"]]}}}],"schema":"https://github.com/citation-style-language/schema/raw/master/csl-citation.json"} </w:instrText>
      </w:r>
      <w:r>
        <w:fldChar w:fldCharType="separate"/>
      </w:r>
      <w:r w:rsidR="000B746F" w:rsidRPr="000B746F">
        <w:rPr>
          <w:rFonts w:cs="Arial"/>
          <w:vertAlign w:val="superscript"/>
        </w:rPr>
        <w:t>295</w:t>
      </w:r>
      <w:r>
        <w:fldChar w:fldCharType="end"/>
      </w:r>
    </w:p>
    <w:p w14:paraId="3797EE4A" w14:textId="599EFAF2" w:rsidR="0067226D" w:rsidRPr="00ED0428" w:rsidRDefault="0067226D" w:rsidP="006D7DE6">
      <w:pPr>
        <w:pStyle w:val="BodyTextFirstIndent"/>
      </w:pPr>
      <w:r w:rsidRPr="00871341">
        <w:rPr>
          <w:b/>
        </w:rPr>
        <w:t>DPH IAQ Assessment Manual</w:t>
      </w:r>
      <w:r>
        <w:t xml:space="preserve"> states that carbon monoxide should not be present in a typical indoor environment. If present, carbon monoxide levels should be less than or equal to outdoor levels.</w:t>
      </w:r>
      <w:r>
        <w:fldChar w:fldCharType="begin"/>
      </w:r>
      <w:r w:rsidR="00C9521C">
        <w:instrText xml:space="preserve"> ADDIN ZOTERO_ITEM CSL_CITATION {"citationID":"a2i9ssbmji7","properties":{"formattedCitation":"\\super 296\\nosupersub{}","plainCitation":"296","noteIndex":0},"citationItems":[{"id":229,"uris":["http://zotero.org/groups/5563646/items/JFPJMGHG"],"itemData":{"id":229,"type":"document","title":"Chapter II: Indoor Air Quality Results Interpretation","URL":"https://www.mass.gov/lists/indoor-air-quality-manual-and-appendices#indoor-air-quality-manual-","author":[{"family":"MA DPH Indoor Air Quality Program","given":""}],"issued":{"date-parts":[["2015",9]]}}}],"schema":"https://github.com/citation-style-language/schema/raw/master/csl-citation.json"} </w:instrText>
      </w:r>
      <w:r>
        <w:fldChar w:fldCharType="separate"/>
      </w:r>
      <w:r w:rsidR="00C9521C" w:rsidRPr="00C9521C">
        <w:rPr>
          <w:rFonts w:cs="Arial"/>
          <w:vertAlign w:val="superscript"/>
        </w:rPr>
        <w:t>296</w:t>
      </w:r>
      <w:r>
        <w:fldChar w:fldCharType="end"/>
      </w:r>
      <w:r>
        <w:t xml:space="preserve">  </w:t>
      </w:r>
    </w:p>
    <w:p w14:paraId="5A9D54AA" w14:textId="1AA6B51A" w:rsidR="0067226D" w:rsidRDefault="0067226D" w:rsidP="006D7DE6">
      <w:pPr>
        <w:pStyle w:val="BodyTextFirstIndent"/>
      </w:pPr>
      <w:r>
        <w:rPr>
          <w:b/>
        </w:rPr>
        <w:t>Recommended Exposure Limit:</w:t>
      </w:r>
      <w:r w:rsidRPr="0005416B">
        <w:t xml:space="preserve"> </w:t>
      </w:r>
      <w:r>
        <w:t xml:space="preserve">The </w:t>
      </w:r>
      <w:r w:rsidRPr="000F7C6A">
        <w:rPr>
          <w:bCs/>
        </w:rPr>
        <w:t xml:space="preserve">National Institute for Occupational Safety and Health (NIOSH) </w:t>
      </w:r>
      <w:r w:rsidRPr="0005416B">
        <w:t>establishe</w:t>
      </w:r>
      <w:r>
        <w:t>d</w:t>
      </w:r>
      <w:r w:rsidRPr="0005416B">
        <w:t xml:space="preserve"> a </w:t>
      </w:r>
      <w:r>
        <w:t>recommended exposure limit (</w:t>
      </w:r>
      <w:r w:rsidRPr="0005416B">
        <w:t>REL</w:t>
      </w:r>
      <w:r>
        <w:t>)</w:t>
      </w:r>
      <w:r w:rsidRPr="0005416B">
        <w:t xml:space="preserve"> for carbon monoxide as an </w:t>
      </w:r>
      <w:r>
        <w:t>eight</w:t>
      </w:r>
      <w:r w:rsidRPr="0005416B">
        <w:t xml:space="preserve">-hour time-weighted average concentration of 35 </w:t>
      </w:r>
      <w:r>
        <w:t>ppm</w:t>
      </w:r>
      <w:r w:rsidRPr="0005416B">
        <w:t>.</w:t>
      </w:r>
      <w:r>
        <w:fldChar w:fldCharType="begin"/>
      </w:r>
      <w:r w:rsidR="00F10132">
        <w:instrText xml:space="preserve"> ADDIN ZOTERO_ITEM CSL_CITATION {"citationID":"a3ub3k28fu","properties":{"formattedCitation":"\\super 297\\nosupersub{}","plainCitation":"297","noteIndex":0},"citationItems":[{"id":225,"uris":["http://zotero.org/groups/5563646/items/HXLUXQ86"],"itemData":{"id":225,"type":"webpage","title":"Pocket Guide to Chemical Hazards - Carbon monoxide","URL":"https://www.cdc.gov/niosh/npg/npgd0105.html","author":[{"family":"NIOSH","given":""}],"accessed":{"date-parts":[["2024",6,19]]},"issued":{"date-parts":[["2019",10,30]]}}}],"schema":"https://github.com/citation-style-language/schema/raw/master/csl-citation.json"} </w:instrText>
      </w:r>
      <w:r>
        <w:fldChar w:fldCharType="separate"/>
      </w:r>
      <w:r w:rsidR="00F10132" w:rsidRPr="00F10132">
        <w:rPr>
          <w:rFonts w:cs="Arial"/>
          <w:vertAlign w:val="superscript"/>
        </w:rPr>
        <w:t>297</w:t>
      </w:r>
      <w:r>
        <w:fldChar w:fldCharType="end"/>
      </w:r>
    </w:p>
    <w:p w14:paraId="60C5EF0C" w14:textId="2A2F4BAC" w:rsidR="0067226D" w:rsidRDefault="0067226D" w:rsidP="006D7DE6">
      <w:pPr>
        <w:pStyle w:val="BodyTextFirstIndent"/>
      </w:pPr>
      <w:r>
        <w:fldChar w:fldCharType="begin"/>
      </w:r>
      <w:r>
        <w:instrText xml:space="preserve"> REF _Ref170249329 \h  \* MERGEFORMAT </w:instrText>
      </w:r>
      <w:r>
        <w:fldChar w:fldCharType="separate"/>
      </w:r>
      <w:r w:rsidR="00307850">
        <w:t xml:space="preserve">Table </w:t>
      </w:r>
      <w:r w:rsidR="00307850">
        <w:rPr>
          <w:noProof/>
        </w:rPr>
        <w:t>62</w:t>
      </w:r>
      <w:r>
        <w:fldChar w:fldCharType="end"/>
      </w:r>
      <w:r>
        <w:t xml:space="preserve"> summarizes the statutes, regulations, and standards related </w:t>
      </w:r>
      <w:r w:rsidRPr="00932D21">
        <w:t>to reducing carbon monoxide exposure in schools</w:t>
      </w:r>
      <w:r>
        <w:t xml:space="preserve"> outlined above</w:t>
      </w:r>
      <w:r w:rsidRPr="00932D21">
        <w:t>.</w:t>
      </w:r>
      <w:r>
        <w:t xml:space="preserve"> </w:t>
      </w:r>
    </w:p>
    <w:p w14:paraId="247091C7" w14:textId="4E630048" w:rsidR="0067226D" w:rsidRDefault="0067226D" w:rsidP="00B30C96">
      <w:pPr>
        <w:pStyle w:val="TableTitle"/>
      </w:pPr>
      <w:bookmarkStart w:id="539" w:name="_Ref170249329"/>
      <w:bookmarkStart w:id="540" w:name="_Toc170345791"/>
      <w:bookmarkStart w:id="541" w:name="_Toc192711728"/>
      <w:bookmarkStart w:id="542" w:name="_Toc193112610"/>
      <w:bookmarkStart w:id="543" w:name="_Toc193117009"/>
      <w:r>
        <w:t xml:space="preserve">Table </w:t>
      </w:r>
      <w:fldSimple w:instr=" SEQ Table \* ARABIC ">
        <w:r w:rsidR="00307850">
          <w:rPr>
            <w:noProof/>
          </w:rPr>
          <w:t>62</w:t>
        </w:r>
      </w:fldSimple>
      <w:bookmarkEnd w:id="539"/>
      <w:r>
        <w:t>.</w:t>
      </w:r>
      <w:r w:rsidRPr="00AD43CE">
        <w:t xml:space="preserve"> </w:t>
      </w:r>
      <w:r>
        <w:t xml:space="preserve">Statutory/Regulatory Framework and Notable Standards for </w:t>
      </w:r>
      <w:r w:rsidRPr="00B15BB4">
        <w:t>Reduc</w:t>
      </w:r>
      <w:r>
        <w:t>ing Exposure to</w:t>
      </w:r>
      <w:r w:rsidRPr="00B15BB4">
        <w:t xml:space="preserve"> </w:t>
      </w:r>
      <w:r>
        <w:t>Carbon Monoxide</w:t>
      </w:r>
      <w:bookmarkEnd w:id="540"/>
      <w:bookmarkEnd w:id="541"/>
      <w:bookmarkEnd w:id="542"/>
      <w:bookmarkEnd w:id="543"/>
    </w:p>
    <w:tbl>
      <w:tblPr>
        <w:tblW w:w="5000" w:type="pct"/>
        <w:jc w:val="center"/>
        <w:tblLayout w:type="fixed"/>
        <w:tblCellMar>
          <w:left w:w="58" w:type="dxa"/>
          <w:right w:w="58" w:type="dxa"/>
        </w:tblCellMar>
        <w:tblLook w:val="04A0" w:firstRow="1" w:lastRow="0" w:firstColumn="1" w:lastColumn="0" w:noHBand="0" w:noVBand="1"/>
        <w:tblDescription w:val="Table listing statutes, regulations, and standards relevant to preventing exposure to carbon monoxide."/>
      </w:tblPr>
      <w:tblGrid>
        <w:gridCol w:w="6655"/>
        <w:gridCol w:w="898"/>
        <w:gridCol w:w="898"/>
        <w:gridCol w:w="899"/>
      </w:tblGrid>
      <w:tr w:rsidR="0067226D" w:rsidRPr="00C8094D" w14:paraId="492D569B" w14:textId="77777777">
        <w:trPr>
          <w:cantSplit/>
          <w:trHeight w:val="1853"/>
          <w:tblHeader/>
          <w:jc w:val="center"/>
        </w:trPr>
        <w:tc>
          <w:tcPr>
            <w:tcW w:w="3559"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0D9540C9" w14:textId="77777777" w:rsidR="0067226D" w:rsidRDefault="0067226D">
            <w:pPr>
              <w:pStyle w:val="TableColumnHeader"/>
            </w:pPr>
            <w:r>
              <w:t>Statute/Regulation/Standard</w:t>
            </w:r>
          </w:p>
        </w:tc>
        <w:tc>
          <w:tcPr>
            <w:tcW w:w="480"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31E3090E" w14:textId="77777777" w:rsidR="0067226D" w:rsidRDefault="0067226D">
            <w:pPr>
              <w:pStyle w:val="TableColumnHeader"/>
              <w:jc w:val="left"/>
            </w:pPr>
            <w:r>
              <w:t>State Statute/ Regulation</w:t>
            </w:r>
          </w:p>
        </w:tc>
        <w:tc>
          <w:tcPr>
            <w:tcW w:w="480"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6DDF341A" w14:textId="77777777" w:rsidR="0067226D" w:rsidRDefault="0067226D">
            <w:pPr>
              <w:pStyle w:val="TableColumnHeader"/>
              <w:jc w:val="left"/>
            </w:pPr>
            <w:r>
              <w:t>Other Statute/ Regulation</w:t>
            </w:r>
          </w:p>
        </w:tc>
        <w:tc>
          <w:tcPr>
            <w:tcW w:w="481"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6DEB75E" w14:textId="77777777" w:rsidR="0067226D" w:rsidRDefault="0067226D">
            <w:pPr>
              <w:pStyle w:val="TableColumnHeader"/>
              <w:jc w:val="left"/>
            </w:pPr>
            <w:r>
              <w:t>Standard</w:t>
            </w:r>
          </w:p>
        </w:tc>
      </w:tr>
      <w:tr w:rsidR="0067226D" w:rsidRPr="00C8094D" w14:paraId="6B6CD441"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6B6060C2" w14:textId="77777777" w:rsidR="0067226D" w:rsidRPr="00D21C51" w:rsidRDefault="0067226D">
            <w:pPr>
              <w:pStyle w:val="TableRowHeader"/>
            </w:pPr>
            <w:r>
              <w:t>Regulations</w:t>
            </w:r>
          </w:p>
        </w:tc>
      </w:tr>
      <w:tr w:rsidR="0067226D" w:rsidRPr="00C8094D" w14:paraId="2B7373B9" w14:textId="77777777">
        <w:trPr>
          <w:cantSplit/>
          <w:trHeight w:val="255"/>
          <w:tblHeader/>
          <w:jc w:val="center"/>
        </w:trPr>
        <w:tc>
          <w:tcPr>
            <w:tcW w:w="3559" w:type="pct"/>
            <w:tcBorders>
              <w:top w:val="nil"/>
              <w:left w:val="single" w:sz="4" w:space="0" w:color="auto"/>
              <w:bottom w:val="single" w:sz="4" w:space="0" w:color="auto"/>
              <w:right w:val="single" w:sz="4" w:space="0" w:color="auto"/>
            </w:tcBorders>
            <w:shd w:val="clear" w:color="auto" w:fill="auto"/>
          </w:tcPr>
          <w:p w14:paraId="4917C377" w14:textId="3D0626D3" w:rsidR="0067226D" w:rsidRPr="00141ED5" w:rsidRDefault="0067226D">
            <w:pPr>
              <w:pStyle w:val="TableText"/>
            </w:pPr>
            <w:r>
              <w:t>105 CMR 6</w:t>
            </w:r>
            <w:r w:rsidR="1988F07C">
              <w:t>7</w:t>
            </w:r>
            <w:r>
              <w:t>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FB27DD4"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D92006F" w14:textId="77777777" w:rsidR="0067226D" w:rsidRPr="007A6AAB" w:rsidRDefault="0067226D">
            <w:pPr>
              <w:jc w:val="center"/>
              <w:rPr>
                <w:rFonts w:ascii="Calibri" w:hAnsi="Calibri" w:cs="Calibri"/>
                <w:b/>
                <w:bCs/>
                <w:color w:val="00B050"/>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5279B09" w14:textId="77777777" w:rsidR="0067226D" w:rsidRDefault="0067226D">
            <w:pPr>
              <w:jc w:val="center"/>
              <w:rPr>
                <w:rFonts w:ascii="Calibri" w:hAnsi="Calibri" w:cs="Calibri"/>
                <w:b/>
                <w:bCs/>
                <w:color w:val="00B050"/>
                <w:sz w:val="20"/>
                <w:szCs w:val="20"/>
              </w:rPr>
            </w:pPr>
          </w:p>
        </w:tc>
      </w:tr>
      <w:tr w:rsidR="0067226D" w:rsidRPr="00C8094D" w14:paraId="292DCAE5" w14:textId="77777777">
        <w:trPr>
          <w:cantSplit/>
          <w:trHeight w:val="255"/>
          <w:tblHeader/>
          <w:jc w:val="center"/>
        </w:trPr>
        <w:tc>
          <w:tcPr>
            <w:tcW w:w="3559" w:type="pct"/>
            <w:tcBorders>
              <w:top w:val="nil"/>
              <w:left w:val="single" w:sz="4" w:space="0" w:color="auto"/>
              <w:bottom w:val="single" w:sz="4" w:space="0" w:color="auto"/>
              <w:right w:val="single" w:sz="4" w:space="0" w:color="auto"/>
            </w:tcBorders>
            <w:shd w:val="clear" w:color="auto" w:fill="auto"/>
          </w:tcPr>
          <w:p w14:paraId="072B56AE" w14:textId="77777777" w:rsidR="0067226D" w:rsidRPr="00141ED5" w:rsidRDefault="0067226D">
            <w:pPr>
              <w:pStyle w:val="TableText"/>
            </w:pPr>
            <w:r w:rsidRPr="00141ED5">
              <w:t>NAAQS for carbon monoxide</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4A8F5DA" w14:textId="77777777" w:rsidR="0067226D"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0EC7F38"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0BD944B7" w14:textId="77777777" w:rsidR="0067226D" w:rsidRDefault="0067226D">
            <w:pPr>
              <w:jc w:val="center"/>
              <w:rPr>
                <w:rFonts w:ascii="Calibri" w:hAnsi="Calibri" w:cs="Calibri"/>
                <w:b/>
                <w:bCs/>
                <w:color w:val="00B050"/>
                <w:sz w:val="20"/>
                <w:szCs w:val="20"/>
              </w:rPr>
            </w:pPr>
          </w:p>
        </w:tc>
      </w:tr>
      <w:tr w:rsidR="0067226D" w:rsidRPr="00C8094D" w14:paraId="73EF6956" w14:textId="77777777">
        <w:trPr>
          <w:cantSplit/>
          <w:trHeight w:val="255"/>
          <w:tblHeader/>
          <w:jc w:val="center"/>
        </w:trPr>
        <w:tc>
          <w:tcPr>
            <w:tcW w:w="3559" w:type="pct"/>
            <w:tcBorders>
              <w:top w:val="nil"/>
              <w:left w:val="single" w:sz="4" w:space="0" w:color="auto"/>
              <w:bottom w:val="single" w:sz="4" w:space="0" w:color="auto"/>
              <w:right w:val="single" w:sz="4" w:space="0" w:color="auto"/>
            </w:tcBorders>
            <w:shd w:val="clear" w:color="auto" w:fill="auto"/>
          </w:tcPr>
          <w:p w14:paraId="5CCD6AD3" w14:textId="77777777" w:rsidR="0067226D" w:rsidRPr="00141ED5" w:rsidRDefault="0067226D">
            <w:pPr>
              <w:pStyle w:val="TableText"/>
            </w:pPr>
            <w:r w:rsidRPr="00141ED5">
              <w:t xml:space="preserve">OSHA PEL </w:t>
            </w:r>
            <w:r>
              <w:t>for carbon monoxide</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F88089D" w14:textId="77777777" w:rsidR="0067226D" w:rsidRPr="007A6AAB"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0BF5D08" w14:textId="77777777" w:rsidR="0067226D" w:rsidRPr="007A6AAB"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3860C842" w14:textId="77777777" w:rsidR="0067226D" w:rsidRDefault="0067226D">
            <w:pPr>
              <w:jc w:val="center"/>
              <w:rPr>
                <w:rFonts w:ascii="Calibri" w:hAnsi="Calibri" w:cs="Calibri"/>
                <w:b/>
                <w:bCs/>
                <w:color w:val="00B050"/>
                <w:sz w:val="20"/>
                <w:szCs w:val="20"/>
              </w:rPr>
            </w:pPr>
          </w:p>
        </w:tc>
      </w:tr>
      <w:tr w:rsidR="0067226D" w:rsidRPr="00C8094D" w14:paraId="13E34C60" w14:textId="77777777">
        <w:trPr>
          <w:cantSplit/>
          <w:trHeight w:val="255"/>
          <w:tblHeader/>
          <w:jc w:val="center"/>
        </w:trPr>
        <w:tc>
          <w:tcPr>
            <w:tcW w:w="3559" w:type="pct"/>
            <w:tcBorders>
              <w:top w:val="single" w:sz="4" w:space="0" w:color="auto"/>
              <w:left w:val="single" w:sz="4" w:space="0" w:color="auto"/>
              <w:bottom w:val="single" w:sz="4" w:space="0" w:color="auto"/>
              <w:right w:val="single" w:sz="4" w:space="0" w:color="auto"/>
            </w:tcBorders>
            <w:shd w:val="clear" w:color="auto" w:fill="002060"/>
          </w:tcPr>
          <w:p w14:paraId="42A8EE85" w14:textId="77777777" w:rsidR="0067226D" w:rsidRPr="00141ED5" w:rsidRDefault="0067226D">
            <w:pPr>
              <w:pStyle w:val="TableRowHeader"/>
            </w:pPr>
            <w:r w:rsidRPr="00141ED5">
              <w:t>Standards</w:t>
            </w:r>
          </w:p>
        </w:tc>
        <w:tc>
          <w:tcPr>
            <w:tcW w:w="480" w:type="pct"/>
            <w:tcBorders>
              <w:top w:val="single" w:sz="4" w:space="0" w:color="auto"/>
              <w:left w:val="single" w:sz="4" w:space="0" w:color="auto"/>
              <w:bottom w:val="single" w:sz="4" w:space="0" w:color="auto"/>
              <w:right w:val="single" w:sz="4" w:space="0" w:color="auto"/>
            </w:tcBorders>
            <w:shd w:val="clear" w:color="auto" w:fill="002060"/>
            <w:vAlign w:val="center"/>
          </w:tcPr>
          <w:p w14:paraId="65D33BE8" w14:textId="77777777" w:rsidR="0067226D" w:rsidRPr="00DC3B8D" w:rsidRDefault="0067226D">
            <w:pPr>
              <w:jc w:val="center"/>
              <w:rPr>
                <w:rFonts w:ascii="Calibri" w:hAnsi="Calibri" w:cs="Calibri"/>
                <w:b/>
                <w:bCs/>
                <w:color w:val="FFFFFF" w:themeColor="background1"/>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002060"/>
            <w:vAlign w:val="center"/>
          </w:tcPr>
          <w:p w14:paraId="73AE1A14" w14:textId="77777777" w:rsidR="0067226D" w:rsidRPr="00DC3B8D" w:rsidRDefault="0067226D">
            <w:pPr>
              <w:jc w:val="center"/>
              <w:rPr>
                <w:rFonts w:ascii="Calibri" w:hAnsi="Calibri" w:cs="Calibri"/>
                <w:b/>
                <w:bCs/>
                <w:color w:val="FFFFFF" w:themeColor="background1"/>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002060"/>
            <w:vAlign w:val="center"/>
          </w:tcPr>
          <w:p w14:paraId="792B798F" w14:textId="77777777" w:rsidR="0067226D" w:rsidRPr="00DC3B8D" w:rsidRDefault="0067226D">
            <w:pPr>
              <w:jc w:val="center"/>
              <w:rPr>
                <w:rFonts w:ascii="Calibri" w:hAnsi="Calibri" w:cs="Calibri"/>
                <w:b/>
                <w:bCs/>
                <w:color w:val="FFFFFF" w:themeColor="background1"/>
                <w:sz w:val="20"/>
                <w:szCs w:val="20"/>
              </w:rPr>
            </w:pPr>
          </w:p>
        </w:tc>
      </w:tr>
      <w:tr w:rsidR="0067226D" w:rsidRPr="00C8094D" w14:paraId="1C62C7EC" w14:textId="77777777">
        <w:trPr>
          <w:cantSplit/>
          <w:trHeight w:val="255"/>
          <w:tblHeader/>
          <w:jc w:val="center"/>
        </w:trPr>
        <w:tc>
          <w:tcPr>
            <w:tcW w:w="3559" w:type="pct"/>
            <w:tcBorders>
              <w:top w:val="single" w:sz="4" w:space="0" w:color="auto"/>
              <w:left w:val="single" w:sz="4" w:space="0" w:color="auto"/>
              <w:bottom w:val="single" w:sz="4" w:space="0" w:color="auto"/>
              <w:right w:val="single" w:sz="4" w:space="0" w:color="auto"/>
            </w:tcBorders>
            <w:shd w:val="clear" w:color="auto" w:fill="auto"/>
          </w:tcPr>
          <w:p w14:paraId="11F5C83C" w14:textId="77777777" w:rsidR="0067226D" w:rsidRPr="00141ED5" w:rsidRDefault="0067226D">
            <w:pPr>
              <w:pStyle w:val="TableText"/>
            </w:pPr>
            <w:r w:rsidRPr="00141ED5">
              <w:t>ACGIH TLV</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D0F529B" w14:textId="77777777" w:rsidR="0067226D"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FE0CF9C" w14:textId="77777777" w:rsidR="0067226D" w:rsidRPr="007A6AAB" w:rsidRDefault="0067226D">
            <w:pPr>
              <w:jc w:val="center"/>
              <w:rPr>
                <w:rFonts w:ascii="Calibri" w:hAnsi="Calibri" w:cs="Calibri"/>
                <w:b/>
                <w:bCs/>
                <w:color w:val="00B050"/>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E898291"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r>
      <w:tr w:rsidR="0067226D" w:rsidRPr="00C8094D" w14:paraId="330F1571" w14:textId="77777777">
        <w:trPr>
          <w:cantSplit/>
          <w:trHeight w:val="255"/>
          <w:tblHeader/>
          <w:jc w:val="center"/>
        </w:trPr>
        <w:tc>
          <w:tcPr>
            <w:tcW w:w="3559" w:type="pct"/>
            <w:tcBorders>
              <w:top w:val="single" w:sz="4" w:space="0" w:color="auto"/>
              <w:left w:val="single" w:sz="4" w:space="0" w:color="auto"/>
              <w:bottom w:val="single" w:sz="4" w:space="0" w:color="auto"/>
              <w:right w:val="single" w:sz="4" w:space="0" w:color="auto"/>
            </w:tcBorders>
            <w:shd w:val="clear" w:color="auto" w:fill="auto"/>
          </w:tcPr>
          <w:p w14:paraId="149C7B02" w14:textId="77777777" w:rsidR="0067226D" w:rsidRPr="00141ED5" w:rsidRDefault="0067226D">
            <w:pPr>
              <w:pStyle w:val="TableText"/>
            </w:pPr>
            <w:r w:rsidRPr="00141ED5">
              <w:t>ASHRAE</w:t>
            </w:r>
            <w:r>
              <w:t xml:space="preserve"> 62.1: </w:t>
            </w:r>
            <w:r w:rsidRPr="006A0AB7">
              <w:t>Ventilation and Acceptable Indoor Air Quality</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227C023" w14:textId="77777777" w:rsidR="0067226D"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A02D255" w14:textId="77777777" w:rsidR="0067226D" w:rsidRPr="007A6AAB" w:rsidRDefault="0067226D">
            <w:pPr>
              <w:jc w:val="center"/>
              <w:rPr>
                <w:rFonts w:ascii="Calibri" w:hAnsi="Calibri" w:cs="Calibri"/>
                <w:b/>
                <w:bCs/>
                <w:color w:val="00B050"/>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394BFBFE"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r>
      <w:tr w:rsidR="0067226D" w:rsidRPr="00C8094D" w14:paraId="4BEAB270" w14:textId="77777777">
        <w:trPr>
          <w:cantSplit/>
          <w:trHeight w:val="255"/>
          <w:tblHeader/>
          <w:jc w:val="center"/>
        </w:trPr>
        <w:tc>
          <w:tcPr>
            <w:tcW w:w="3559" w:type="pct"/>
            <w:tcBorders>
              <w:top w:val="single" w:sz="4" w:space="0" w:color="auto"/>
              <w:left w:val="single" w:sz="4" w:space="0" w:color="auto"/>
              <w:bottom w:val="single" w:sz="4" w:space="0" w:color="auto"/>
              <w:right w:val="single" w:sz="4" w:space="0" w:color="auto"/>
            </w:tcBorders>
            <w:shd w:val="clear" w:color="auto" w:fill="auto"/>
          </w:tcPr>
          <w:p w14:paraId="64B6658B" w14:textId="77777777" w:rsidR="0067226D" w:rsidRPr="00141ED5" w:rsidRDefault="0067226D">
            <w:pPr>
              <w:pStyle w:val="TableText"/>
            </w:pPr>
            <w:r w:rsidRPr="00141ED5">
              <w:t>DPH IAQ Assessment Manual</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4626900" w14:textId="77777777" w:rsidR="0067226D"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E63073C" w14:textId="77777777" w:rsidR="0067226D" w:rsidRPr="007A6AAB" w:rsidRDefault="0067226D">
            <w:pPr>
              <w:jc w:val="center"/>
              <w:rPr>
                <w:rFonts w:ascii="Calibri" w:hAnsi="Calibri" w:cs="Calibri"/>
                <w:b/>
                <w:bCs/>
                <w:color w:val="00B050"/>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0819414C"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r>
      <w:tr w:rsidR="0067226D" w:rsidRPr="00C8094D" w14:paraId="460F156E" w14:textId="77777777">
        <w:trPr>
          <w:cantSplit/>
          <w:trHeight w:val="255"/>
          <w:tblHeader/>
          <w:jc w:val="center"/>
        </w:trPr>
        <w:tc>
          <w:tcPr>
            <w:tcW w:w="3559" w:type="pct"/>
            <w:tcBorders>
              <w:top w:val="single" w:sz="4" w:space="0" w:color="auto"/>
              <w:left w:val="single" w:sz="4" w:space="0" w:color="auto"/>
              <w:bottom w:val="single" w:sz="4" w:space="0" w:color="auto"/>
              <w:right w:val="single" w:sz="4" w:space="0" w:color="auto"/>
            </w:tcBorders>
            <w:shd w:val="clear" w:color="auto" w:fill="auto"/>
          </w:tcPr>
          <w:p w14:paraId="05CC4483" w14:textId="77777777" w:rsidR="0067226D" w:rsidRPr="00141ED5" w:rsidRDefault="0067226D">
            <w:pPr>
              <w:pStyle w:val="TableText"/>
            </w:pPr>
            <w:r w:rsidRPr="00141ED5">
              <w:t>NIOSH REL</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86D168E" w14:textId="77777777" w:rsidR="0067226D" w:rsidRDefault="0067226D">
            <w:pPr>
              <w:jc w:val="center"/>
              <w:rPr>
                <w:rFonts w:ascii="Calibri" w:hAnsi="Calibri" w:cs="Calibri"/>
                <w:b/>
                <w:bCs/>
                <w:color w:val="00B05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C070B91" w14:textId="77777777" w:rsidR="0067226D" w:rsidRPr="007A6AAB" w:rsidRDefault="0067226D">
            <w:pPr>
              <w:jc w:val="center"/>
              <w:rPr>
                <w:rFonts w:ascii="Calibri" w:hAnsi="Calibri" w:cs="Calibri"/>
                <w:b/>
                <w:bCs/>
                <w:color w:val="00B050"/>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553AC8B" w14:textId="77777777" w:rsidR="0067226D" w:rsidRDefault="0067226D">
            <w:pPr>
              <w:jc w:val="center"/>
              <w:rPr>
                <w:rFonts w:ascii="Calibri" w:hAnsi="Calibri" w:cs="Calibri"/>
                <w:b/>
                <w:bCs/>
                <w:color w:val="00B050"/>
                <w:sz w:val="20"/>
                <w:szCs w:val="20"/>
              </w:rPr>
            </w:pPr>
            <w:r>
              <w:rPr>
                <w:rFonts w:ascii="Calibri" w:hAnsi="Calibri" w:cs="Calibri"/>
                <w:b/>
                <w:bCs/>
                <w:color w:val="00B050"/>
                <w:sz w:val="20"/>
                <w:szCs w:val="20"/>
              </w:rPr>
              <w:t>X</w:t>
            </w:r>
          </w:p>
        </w:tc>
      </w:tr>
    </w:tbl>
    <w:p w14:paraId="28E9A04C" w14:textId="77777777" w:rsidR="0067226D" w:rsidRPr="00F7721C" w:rsidRDefault="0067226D" w:rsidP="0067226D">
      <w:pPr>
        <w:pStyle w:val="Heading3"/>
      </w:pPr>
      <w:r w:rsidRPr="00F7721C">
        <w:lastRenderedPageBreak/>
        <w:t>Relevant Resources</w:t>
      </w:r>
    </w:p>
    <w:p w14:paraId="25B742B3" w14:textId="6AAEA7D5" w:rsidR="0067226D" w:rsidRPr="00F7721C" w:rsidRDefault="0067226D" w:rsidP="006D7DE6">
      <w:pPr>
        <w:pStyle w:val="BodyTextFirstIndent"/>
      </w:pPr>
      <w:r>
        <w:fldChar w:fldCharType="begin"/>
      </w:r>
      <w:r>
        <w:instrText xml:space="preserve"> REF _Ref170249430 \h </w:instrText>
      </w:r>
      <w:r>
        <w:fldChar w:fldCharType="separate"/>
      </w:r>
      <w:r w:rsidR="00C40980" w:rsidRPr="00F7721C">
        <w:t xml:space="preserve">Table </w:t>
      </w:r>
      <w:r w:rsidR="00C40980">
        <w:rPr>
          <w:noProof/>
        </w:rPr>
        <w:t>63</w:t>
      </w:r>
      <w:r>
        <w:fldChar w:fldCharType="end"/>
      </w:r>
      <w:r>
        <w:t xml:space="preserve"> </w:t>
      </w:r>
      <w:r w:rsidRPr="00F7721C">
        <w:t>provides a summary of resources related to reducing carbon monoxide exposure in schools.</w:t>
      </w:r>
    </w:p>
    <w:p w14:paraId="0286A49F" w14:textId="76179124" w:rsidR="0067226D" w:rsidRPr="00F7721C" w:rsidRDefault="0067226D" w:rsidP="00B30C96">
      <w:pPr>
        <w:pStyle w:val="TableTitle"/>
      </w:pPr>
      <w:bookmarkStart w:id="544" w:name="_Ref170249430"/>
      <w:bookmarkStart w:id="545" w:name="_Toc170345793"/>
      <w:bookmarkStart w:id="546" w:name="_Toc192711729"/>
      <w:bookmarkStart w:id="547" w:name="_Toc193112611"/>
      <w:bookmarkStart w:id="548" w:name="_Toc193117010"/>
      <w:r w:rsidRPr="00F7721C">
        <w:t xml:space="preserve">Table </w:t>
      </w:r>
      <w:fldSimple w:instr=" SEQ Table \* ARABIC ">
        <w:r w:rsidR="00307850">
          <w:rPr>
            <w:noProof/>
          </w:rPr>
          <w:t>63</w:t>
        </w:r>
      </w:fldSimple>
      <w:bookmarkEnd w:id="544"/>
      <w:r w:rsidRPr="00F7721C">
        <w:t xml:space="preserve">. Resources </w:t>
      </w:r>
      <w:r>
        <w:t>for</w:t>
      </w:r>
      <w:r w:rsidRPr="00F7721C">
        <w:t xml:space="preserve"> Reducing Carbon Monoxide Exposure in Schools</w:t>
      </w:r>
      <w:bookmarkEnd w:id="545"/>
      <w:bookmarkEnd w:id="546"/>
      <w:bookmarkEnd w:id="547"/>
      <w:bookmarkEnd w:id="548"/>
    </w:p>
    <w:tbl>
      <w:tblPr>
        <w:tblStyle w:val="TableGrid"/>
        <w:tblW w:w="0" w:type="auto"/>
        <w:tblLayout w:type="fixed"/>
        <w:tblLook w:val="04A0" w:firstRow="1" w:lastRow="0" w:firstColumn="1" w:lastColumn="0" w:noHBand="0" w:noVBand="1"/>
        <w:tblDescription w:val="Table listing resources with active URLs for reducing carbon monoxide"/>
      </w:tblPr>
      <w:tblGrid>
        <w:gridCol w:w="3145"/>
        <w:gridCol w:w="1890"/>
        <w:gridCol w:w="4315"/>
      </w:tblGrid>
      <w:tr w:rsidR="0067226D" w:rsidRPr="002B710A" w14:paraId="34BEE92A" w14:textId="77777777">
        <w:trPr>
          <w:tblHeader/>
        </w:trPr>
        <w:tc>
          <w:tcPr>
            <w:tcW w:w="3145" w:type="dxa"/>
            <w:shd w:val="clear" w:color="auto" w:fill="C6D9F1" w:themeFill="text2" w:themeFillTint="33"/>
          </w:tcPr>
          <w:p w14:paraId="02662834" w14:textId="77777777" w:rsidR="0067226D" w:rsidRPr="00895986" w:rsidRDefault="0067226D">
            <w:pPr>
              <w:pStyle w:val="TableColumnHeader"/>
            </w:pPr>
            <w:r w:rsidRPr="00895986">
              <w:t>Resource</w:t>
            </w:r>
          </w:p>
        </w:tc>
        <w:tc>
          <w:tcPr>
            <w:tcW w:w="1890" w:type="dxa"/>
            <w:shd w:val="clear" w:color="auto" w:fill="C6D9F1" w:themeFill="text2" w:themeFillTint="33"/>
          </w:tcPr>
          <w:p w14:paraId="24210E77" w14:textId="77777777" w:rsidR="0067226D" w:rsidRPr="00895986" w:rsidRDefault="0067226D">
            <w:pPr>
              <w:pStyle w:val="TableColumnHeader"/>
            </w:pPr>
            <w:r w:rsidRPr="00895986">
              <w:t>Author</w:t>
            </w:r>
          </w:p>
        </w:tc>
        <w:tc>
          <w:tcPr>
            <w:tcW w:w="4315" w:type="dxa"/>
            <w:shd w:val="clear" w:color="auto" w:fill="C6D9F1" w:themeFill="text2" w:themeFillTint="33"/>
          </w:tcPr>
          <w:p w14:paraId="23349EDA" w14:textId="77777777" w:rsidR="0067226D" w:rsidRPr="00895986" w:rsidRDefault="0067226D">
            <w:pPr>
              <w:pStyle w:val="TableColumnHeader"/>
            </w:pPr>
            <w:r w:rsidRPr="00895986">
              <w:t>URL</w:t>
            </w:r>
          </w:p>
        </w:tc>
      </w:tr>
      <w:tr w:rsidR="0067226D" w:rsidRPr="002B710A" w14:paraId="18ADC7E6" w14:textId="77777777">
        <w:tc>
          <w:tcPr>
            <w:tcW w:w="3145" w:type="dxa"/>
          </w:tcPr>
          <w:p w14:paraId="1B03AD2D" w14:textId="77777777" w:rsidR="0067226D" w:rsidRPr="001C4945" w:rsidRDefault="0067226D">
            <w:pPr>
              <w:pStyle w:val="TableText"/>
            </w:pPr>
            <w:r w:rsidRPr="001C4945">
              <w:t>Energy Savings Plus Health: Indoor Air Quality Guidelines for School Building Upgrades</w:t>
            </w:r>
          </w:p>
        </w:tc>
        <w:tc>
          <w:tcPr>
            <w:tcW w:w="1890" w:type="dxa"/>
          </w:tcPr>
          <w:p w14:paraId="771764AC" w14:textId="77777777" w:rsidR="0067226D" w:rsidRPr="00FF524B" w:rsidRDefault="0067226D">
            <w:pPr>
              <w:pStyle w:val="TableText"/>
              <w:rPr>
                <w:rFonts w:cstheme="minorHAnsi"/>
              </w:rPr>
            </w:pPr>
            <w:r w:rsidRPr="00FF524B">
              <w:rPr>
                <w:rFonts w:cstheme="minorHAnsi"/>
              </w:rPr>
              <w:t>US EPA</w:t>
            </w:r>
          </w:p>
        </w:tc>
        <w:tc>
          <w:tcPr>
            <w:tcW w:w="4315" w:type="dxa"/>
          </w:tcPr>
          <w:p w14:paraId="577E05B5" w14:textId="7093CD9D" w:rsidR="0067226D" w:rsidRPr="00FF524B" w:rsidRDefault="0067226D">
            <w:pPr>
              <w:pStyle w:val="TableText"/>
              <w:rPr>
                <w:rFonts w:cstheme="minorHAnsi"/>
                <w:color w:val="467886"/>
                <w:szCs w:val="22"/>
                <w:u w:val="single"/>
              </w:rPr>
            </w:pPr>
            <w:hyperlink r:id="rId289" w:history="1">
              <w:r w:rsidRPr="00FF524B">
                <w:rPr>
                  <w:rStyle w:val="Hyperlink"/>
                  <w:rFonts w:cstheme="minorHAnsi"/>
                  <w:szCs w:val="22"/>
                </w:rPr>
                <w:t>https://www.epa.gov/sites/default/files/2014-10/documents/energy_savings_plus_health_guideline.pdf</w:t>
              </w:r>
            </w:hyperlink>
          </w:p>
        </w:tc>
      </w:tr>
      <w:tr w:rsidR="0067226D" w:rsidRPr="002B710A" w14:paraId="231B9383" w14:textId="77777777">
        <w:tc>
          <w:tcPr>
            <w:tcW w:w="3145" w:type="dxa"/>
          </w:tcPr>
          <w:p w14:paraId="5DDA7F8B" w14:textId="77777777" w:rsidR="0067226D" w:rsidRPr="001C4945" w:rsidRDefault="0067226D">
            <w:pPr>
              <w:pStyle w:val="TableText"/>
              <w:rPr>
                <w:rFonts w:cstheme="minorHAnsi"/>
              </w:rPr>
            </w:pPr>
            <w:r w:rsidRPr="001C4945">
              <w:rPr>
                <w:rFonts w:cstheme="minorHAnsi"/>
              </w:rPr>
              <w:t>Sensible Steps to Healthier School Environments</w:t>
            </w:r>
          </w:p>
        </w:tc>
        <w:tc>
          <w:tcPr>
            <w:tcW w:w="1890" w:type="dxa"/>
          </w:tcPr>
          <w:p w14:paraId="225BF228" w14:textId="77777777" w:rsidR="0067226D" w:rsidRPr="00FF524B" w:rsidRDefault="0067226D">
            <w:pPr>
              <w:pStyle w:val="TableText"/>
              <w:rPr>
                <w:rFonts w:cstheme="minorHAnsi"/>
              </w:rPr>
            </w:pPr>
            <w:r w:rsidRPr="00FF524B">
              <w:rPr>
                <w:rFonts w:cstheme="minorHAnsi"/>
              </w:rPr>
              <w:t>US EPA</w:t>
            </w:r>
          </w:p>
        </w:tc>
        <w:tc>
          <w:tcPr>
            <w:tcW w:w="4315" w:type="dxa"/>
          </w:tcPr>
          <w:p w14:paraId="3C65A945" w14:textId="56BECD71" w:rsidR="0067226D" w:rsidRPr="00FF524B" w:rsidRDefault="0067226D">
            <w:pPr>
              <w:pStyle w:val="TableText"/>
              <w:rPr>
                <w:rFonts w:cstheme="minorHAnsi"/>
                <w:color w:val="467886"/>
                <w:szCs w:val="22"/>
                <w:u w:val="single"/>
              </w:rPr>
            </w:pPr>
            <w:hyperlink r:id="rId290" w:history="1">
              <w:r w:rsidRPr="00FF524B">
                <w:rPr>
                  <w:rStyle w:val="Hyperlink"/>
                  <w:rFonts w:cstheme="minorHAnsi"/>
                  <w:szCs w:val="22"/>
                </w:rPr>
                <w:t>https://www.epa.gov/sites/default/files/2014-05/documents/sensible_steps.pdf</w:t>
              </w:r>
            </w:hyperlink>
          </w:p>
        </w:tc>
      </w:tr>
      <w:tr w:rsidR="0067226D" w:rsidRPr="002B710A" w14:paraId="0011FD2C" w14:textId="77777777">
        <w:tc>
          <w:tcPr>
            <w:tcW w:w="3145" w:type="dxa"/>
          </w:tcPr>
          <w:p w14:paraId="73F6BB17" w14:textId="77777777" w:rsidR="0067226D" w:rsidRPr="001C4945" w:rsidRDefault="0067226D">
            <w:pPr>
              <w:pStyle w:val="TableText"/>
              <w:rPr>
                <w:rFonts w:cstheme="minorHAnsi"/>
              </w:rPr>
            </w:pPr>
            <w:r>
              <w:rPr>
                <w:rFonts w:cstheme="minorHAnsi"/>
              </w:rPr>
              <w:t>The Massachusetts Anti-Idling Law – Frequently Asked Questions</w:t>
            </w:r>
          </w:p>
        </w:tc>
        <w:tc>
          <w:tcPr>
            <w:tcW w:w="1890" w:type="dxa"/>
          </w:tcPr>
          <w:p w14:paraId="5B744B87" w14:textId="77777777" w:rsidR="0067226D" w:rsidRPr="00FF524B" w:rsidRDefault="0067226D">
            <w:pPr>
              <w:pStyle w:val="TableText"/>
              <w:rPr>
                <w:rFonts w:cstheme="minorHAnsi"/>
              </w:rPr>
            </w:pPr>
            <w:r>
              <w:rPr>
                <w:rFonts w:cstheme="minorHAnsi"/>
              </w:rPr>
              <w:t>MassDEP</w:t>
            </w:r>
          </w:p>
        </w:tc>
        <w:tc>
          <w:tcPr>
            <w:tcW w:w="4315" w:type="dxa"/>
          </w:tcPr>
          <w:p w14:paraId="178262B8" w14:textId="510029A6" w:rsidR="0067226D" w:rsidRDefault="0067226D">
            <w:pPr>
              <w:pStyle w:val="TableText"/>
            </w:pPr>
            <w:hyperlink r:id="rId291" w:history="1">
              <w:r w:rsidRPr="008C366C">
                <w:rPr>
                  <w:rStyle w:val="Hyperlink"/>
                </w:rPr>
                <w:t>https://www.mass.gov/doc/massdep-faq-the-massachusetts-anti-idling-law/download</w:t>
              </w:r>
            </w:hyperlink>
          </w:p>
        </w:tc>
      </w:tr>
    </w:tbl>
    <w:p w14:paraId="1CF892CB" w14:textId="29E993D1" w:rsidR="00073C90" w:rsidRPr="00073C90" w:rsidRDefault="00630894" w:rsidP="001D30AE">
      <w:pPr>
        <w:pStyle w:val="AirQualitySubheading"/>
      </w:pPr>
      <w:bookmarkStart w:id="549" w:name="SectVII_2a4"/>
      <w:bookmarkEnd w:id="549"/>
      <w:r>
        <w:t>2a(4)</w:t>
      </w:r>
      <w:r>
        <w:tab/>
      </w:r>
      <w:r w:rsidR="00073C90" w:rsidRPr="00073C90">
        <w:t>Reduce Exposure to Mold and Moisture</w:t>
      </w:r>
    </w:p>
    <w:p w14:paraId="44BFE109" w14:textId="77777777" w:rsidR="00820E18" w:rsidRDefault="00820E18" w:rsidP="00820E18">
      <w:pPr>
        <w:pStyle w:val="Heading3"/>
      </w:pPr>
      <w:r>
        <w:rPr>
          <w:noProof/>
        </w:rPr>
        <mc:AlternateContent>
          <mc:Choice Requires="wps">
            <w:drawing>
              <wp:anchor distT="0" distB="0" distL="114300" distR="114300" simplePos="0" relativeHeight="251684352" behindDoc="0" locked="0" layoutInCell="1" allowOverlap="1" wp14:anchorId="7C9910CF" wp14:editId="1726D747">
                <wp:simplePos x="0" y="0"/>
                <wp:positionH relativeFrom="margin">
                  <wp:posOffset>2770505</wp:posOffset>
                </wp:positionH>
                <wp:positionV relativeFrom="paragraph">
                  <wp:posOffset>6350</wp:posOffset>
                </wp:positionV>
                <wp:extent cx="3147695" cy="2751455"/>
                <wp:effectExtent l="0" t="0" r="14605" b="10795"/>
                <wp:wrapSquare wrapText="bothSides"/>
                <wp:docPr id="2132611611" name="Text Box 1"/>
                <wp:cNvGraphicFramePr/>
                <a:graphic xmlns:a="http://schemas.openxmlformats.org/drawingml/2006/main">
                  <a:graphicData uri="http://schemas.microsoft.com/office/word/2010/wordprocessingShape">
                    <wps:wsp>
                      <wps:cNvSpPr txBox="1"/>
                      <wps:spPr bwMode="auto">
                        <a:xfrm>
                          <a:off x="0" y="0"/>
                          <a:ext cx="3147695" cy="2751455"/>
                        </a:xfrm>
                        <a:prstGeom prst="rect">
                          <a:avLst/>
                        </a:prstGeom>
                        <a:solidFill>
                          <a:schemeClr val="accent1">
                            <a:lumMod val="20000"/>
                            <a:lumOff val="80000"/>
                          </a:schemeClr>
                        </a:solidFill>
                        <a:ln w="9525">
                          <a:solidFill>
                            <a:schemeClr val="tx1"/>
                          </a:solidFill>
                          <a:miter lim="800000"/>
                          <a:headEnd/>
                          <a:tailEnd/>
                        </a:ln>
                      </wps:spPr>
                      <wps:txbx>
                        <w:txbxContent>
                          <w:p w14:paraId="058675C4" w14:textId="77777777" w:rsidR="00820E18" w:rsidRDefault="00820E18" w:rsidP="00820E18">
                            <w:pPr>
                              <w:pStyle w:val="TextBoxTitle"/>
                            </w:pPr>
                            <w:r>
                              <w:t>Numerous Co-benefits of Optimized HVAC Systems and Building Envelope Improvements</w:t>
                            </w:r>
                          </w:p>
                          <w:p w14:paraId="12608AEA" w14:textId="77777777" w:rsidR="00820E18" w:rsidRPr="00C61717" w:rsidRDefault="00820E18" w:rsidP="00820E18">
                            <w:pPr>
                              <w:pStyle w:val="TextBoxText"/>
                            </w:pPr>
                            <w:r w:rsidRPr="002804F6">
                              <w:t>Many of the methods and best practices in this section (especially those related to the optimized operation of HVAC systems and building envelope improvements) not only promote healthier learning environments, but also promote schools that are more energy efficient and resilient to the impacts of climate change</w:t>
                            </w:r>
                            <w:r>
                              <w:t>.</w:t>
                            </w:r>
                            <w:r w:rsidRPr="002804F6">
                              <w:t xml:space="preserve"> </w:t>
                            </w:r>
                            <w:r>
                              <w:t>See</w:t>
                            </w:r>
                            <w:r w:rsidRPr="002804F6">
                              <w:t xml:space="preserve"> </w:t>
                            </w:r>
                            <w:hyperlink w:anchor="Objective_1a" w:history="1">
                              <w:r w:rsidRPr="004B0EA4">
                                <w:rPr>
                                  <w:rStyle w:val="Hyperlink"/>
                                </w:rPr>
                                <w:t>Objective 1a. Decarboniz</w:t>
                              </w:r>
                              <w:r>
                                <w:rPr>
                                  <w:rStyle w:val="Hyperlink"/>
                                </w:rPr>
                                <w:t>e Buildings</w:t>
                              </w:r>
                            </w:hyperlink>
                            <w:r>
                              <w:t xml:space="preserve"> and </w:t>
                            </w:r>
                            <w:hyperlink w:anchor="Objective_1f" w:history="1">
                              <w:r w:rsidRPr="00433051">
                                <w:rPr>
                                  <w:rStyle w:val="Hyperlink"/>
                                </w:rPr>
                                <w:t>Objective 1f. Enhance Climate Resilience</w:t>
                              </w:r>
                            </w:hyperlink>
                            <w:r w:rsidRPr="002804F6">
                              <w:t xml:space="preserve"> </w:t>
                            </w:r>
                            <w:r>
                              <w:t>for additional details on these co-benefits.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9910CF" id="_x0000_s1064" type="#_x0000_t202" style="position:absolute;margin-left:218.15pt;margin-top:.5pt;width:247.85pt;height:216.6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" fillcolor="#dbe5f1 [660]" strokecolor="black [3213]">
                <v:textbox>
                  <w:txbxContent>
                    <w:p w14:paraId="058675C4" w14:textId="77777777" w:rsidR="00820E18" w:rsidRDefault="00820E18" w:rsidP="00820E18">
                      <w:pPr>
                        <w:pStyle w:val="TextBoxTitle"/>
                      </w:pPr>
                      <w:r>
                        <w:t>Numerous Co-benefits of Optimized HVAC Systems and Building Envelope Improvements</w:t>
                      </w:r>
                    </w:p>
                    <w:p w14:paraId="12608AEA" w14:textId="77777777" w:rsidR="00820E18" w:rsidRPr="00C61717" w:rsidRDefault="00820E18" w:rsidP="00820E18">
                      <w:pPr>
                        <w:pStyle w:val="TextBoxText"/>
                      </w:pPr>
                      <w:r w:rsidRPr="002804F6">
                        <w:t>Many of the methods and best practices in this section (especially those related to the optimized operation of HVAC systems and building envelope improvements) not only promote healthier learning environments, but also promote schools that are more energy efficient and resilient to the impacts of climate change</w:t>
                      </w:r>
                      <w:r>
                        <w:t>.</w:t>
                      </w:r>
                      <w:r w:rsidRPr="002804F6">
                        <w:t xml:space="preserve"> </w:t>
                      </w:r>
                      <w:r>
                        <w:t>See</w:t>
                      </w:r>
                      <w:r w:rsidRPr="002804F6">
                        <w:t xml:space="preserve"> </w:t>
                      </w:r>
                      <w:hyperlink w:anchor="Objective_1a" w:history="1">
                        <w:r w:rsidRPr="004B0EA4">
                          <w:rPr>
                            <w:rStyle w:val="Hyperlink"/>
                          </w:rPr>
                          <w:t>Objective 1a. Decarboniz</w:t>
                        </w:r>
                        <w:r>
                          <w:rPr>
                            <w:rStyle w:val="Hyperlink"/>
                          </w:rPr>
                          <w:t>e Buildings</w:t>
                        </w:r>
                      </w:hyperlink>
                      <w:r>
                        <w:t xml:space="preserve"> and </w:t>
                      </w:r>
                      <w:hyperlink w:anchor="Objective_1f" w:history="1">
                        <w:r w:rsidRPr="00433051">
                          <w:rPr>
                            <w:rStyle w:val="Hyperlink"/>
                          </w:rPr>
                          <w:t>Objective 1f. Enhance Climate Resilience</w:t>
                        </w:r>
                      </w:hyperlink>
                      <w:r w:rsidRPr="002804F6">
                        <w:t xml:space="preserve"> </w:t>
                      </w:r>
                      <w:r>
                        <w:t>for additional details on these co-benefits.</w:t>
                      </w:r>
                    </w:p>
                  </w:txbxContent>
                </v:textbox>
                <w10:wrap type="square" anchorx="margin"/>
              </v:shape>
            </w:pict>
          </mc:Fallback>
        </mc:AlternateContent>
      </w:r>
      <w:r>
        <w:t>Methods and Best Practices</w:t>
      </w:r>
    </w:p>
    <w:p w14:paraId="1029022B" w14:textId="77777777" w:rsidR="00820E18" w:rsidRPr="00645F0D" w:rsidRDefault="00820E18" w:rsidP="006D7DE6">
      <w:pPr>
        <w:pStyle w:val="BodyTextFirstIndent"/>
      </w:pPr>
      <w:r>
        <w:t xml:space="preserve">The following are methods and best practices related to reducing mold exposure during construction, O&amp;M, remediation. </w:t>
      </w:r>
    </w:p>
    <w:p w14:paraId="1044F4AE" w14:textId="77777777" w:rsidR="00820E18" w:rsidRDefault="00820E18" w:rsidP="00820E18">
      <w:pPr>
        <w:pStyle w:val="Heading4"/>
      </w:pPr>
      <w:r>
        <w:t>Construction</w:t>
      </w:r>
    </w:p>
    <w:p w14:paraId="406B6E82" w14:textId="77777777" w:rsidR="00820E18" w:rsidRPr="00645F0D" w:rsidRDefault="00820E18" w:rsidP="006D7DE6">
      <w:pPr>
        <w:pStyle w:val="BodyTextFirstIndent"/>
      </w:pPr>
      <w:r>
        <w:t xml:space="preserve">Measures can be taken during school construction and renovation projects to reduce moisture problems in buildings and prevent mold growth. The following methods and best practices can be implemented during construction and renovation projects. </w:t>
      </w:r>
    </w:p>
    <w:p w14:paraId="747B4D03" w14:textId="77777777" w:rsidR="00820E18" w:rsidRDefault="00820E18" w:rsidP="00820E18">
      <w:pPr>
        <w:pStyle w:val="Heading5"/>
      </w:pPr>
      <w:r>
        <w:rPr>
          <w:bCs/>
        </w:rPr>
        <w:t>(1</w:t>
      </w:r>
      <w:r>
        <w:t>) Choose materials that will control moisture</w:t>
      </w:r>
    </w:p>
    <w:p w14:paraId="3946597C" w14:textId="70463022" w:rsidR="00820E18" w:rsidRDefault="00820E18" w:rsidP="006D7DE6">
      <w:pPr>
        <w:pStyle w:val="BodyTextFirstIndent"/>
      </w:pPr>
      <w:r>
        <w:t>During construction or renovation projects, review the types of materials chosen and select those that will control moisture in areas which may be prone to wetness or humidity (e.g., insulation, sealant, basement moisture barriers). For example, use nonporous or moisture-resistant materials in areas that are likely to become wet frequently, like around water fountains or bathrooms.</w:t>
      </w:r>
      <w:r>
        <w:fldChar w:fldCharType="begin"/>
      </w:r>
      <w:r w:rsidR="00001539">
        <w:instrText xml:space="preserve"> ADDIN ZOTERO_ITEM CSL_CITATION {"citationID":"a69iqkpl09","properties":{"formattedCitation":"\\super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001539" w:rsidRPr="00001539">
        <w:rPr>
          <w:rFonts w:cs="Arial"/>
          <w:vertAlign w:val="superscript"/>
        </w:rPr>
        <w:t>104</w:t>
      </w:r>
      <w:r>
        <w:fldChar w:fldCharType="end"/>
      </w:r>
      <w:r>
        <w:t xml:space="preserve"> Use proper moisture barriers in roofing systems and repairs and in the foundation.</w:t>
      </w:r>
      <w:r>
        <w:fldChar w:fldCharType="begin"/>
      </w:r>
      <w:r w:rsidR="00074B9B">
        <w:instrText xml:space="preserve"> ADDIN ZOTERO_ITEM CSL_CITATION {"citationID":"a22dv9upos4","properties":{"formattedCitation":"\\super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074B9B" w:rsidRPr="00074B9B">
        <w:rPr>
          <w:rFonts w:cs="Arial"/>
          <w:vertAlign w:val="superscript"/>
        </w:rPr>
        <w:t>104</w:t>
      </w:r>
      <w:r>
        <w:fldChar w:fldCharType="end"/>
      </w:r>
      <w:r>
        <w:t xml:space="preserve"> Also, below-grade space should not be converted to occupied space if it is subject to chronic dampness.</w:t>
      </w:r>
      <w:r>
        <w:fldChar w:fldCharType="begin"/>
      </w:r>
      <w:r w:rsidR="00C00EF6">
        <w:instrText xml:space="preserve"> ADDIN ZOTERO_ITEM CSL_CITATION {"citationID":"a2b9n8lhdj0","properties":{"formattedCitation":"\\super 298\\nosupersub{}","plainCitation":"298","noteIndex":0},"citationItems":[{"id":838,"uris":["http://zotero.org/groups/5563646/items/BFX88JEU"],"itemData":{"id":838,"type":"webpage","abstract":"Mold growth inside buildings can lead to adverse health symptoms in building occupants. Preventing or minimizing exposure to mold and its contaminants is essential to reduce indoor air-related symptoms in building occupants.","language":"en","title":"Remediation and prevention of mold growth and water damage in public schools and buildings to maintain air quality | Mass.gov","URL":"https://www.mass.gov/info-details/remediation-and-prevention-of-mold-growth-and-water-damage-in-public-schools-and-buildings-to-maintain-air-quality","accessed":{"date-parts":[["2024",7,24]]}}}],"schema":"https://github.com/citation-style-language/schema/raw/master/csl-citation.json"} </w:instrText>
      </w:r>
      <w:r>
        <w:fldChar w:fldCharType="separate"/>
      </w:r>
      <w:r w:rsidR="00C00EF6" w:rsidRPr="00C00EF6">
        <w:rPr>
          <w:rFonts w:cs="Arial"/>
          <w:vertAlign w:val="superscript"/>
        </w:rPr>
        <w:t>298</w:t>
      </w:r>
      <w:r>
        <w:fldChar w:fldCharType="end"/>
      </w:r>
    </w:p>
    <w:p w14:paraId="5AE3CB61" w14:textId="77777777" w:rsidR="00820E18" w:rsidRDefault="00820E18" w:rsidP="00820E18">
      <w:pPr>
        <w:pStyle w:val="Heading5"/>
      </w:pPr>
      <w:r>
        <w:lastRenderedPageBreak/>
        <w:t>(2) Seal unwanted openings and leaks in the building envelope</w:t>
      </w:r>
    </w:p>
    <w:p w14:paraId="6FFE2034" w14:textId="61F6F993" w:rsidR="00820E18" w:rsidRDefault="00820E18" w:rsidP="006D7DE6">
      <w:pPr>
        <w:pStyle w:val="BodyTextFirstIndent"/>
      </w:pPr>
      <w:r>
        <w:t>The building envelope plays a part in keeping water and moisture out of the building and ensuring that systems designed to maintain the ambient conditions and air quality inside the building are working efficiently. Seal unwanted openings and leaks in the building envelope to reduce infiltration using long-lasting sealants with low contents of volatile organic compounds (VOCs).</w:t>
      </w:r>
      <w:r>
        <w:fldChar w:fldCharType="begin"/>
      </w:r>
      <w:r w:rsidR="00EF235C">
        <w:instrText xml:space="preserve"> ADDIN ZOTERO_ITEM CSL_CITATION {"citationID":"a21so0pg0ce","properties":{"formattedCitation":"\\super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EF235C" w:rsidRPr="00EF235C">
        <w:rPr>
          <w:rFonts w:cs="Arial"/>
          <w:vertAlign w:val="superscript"/>
        </w:rPr>
        <w:t>104</w:t>
      </w:r>
      <w:r>
        <w:fldChar w:fldCharType="end"/>
      </w:r>
      <w:r>
        <w:t xml:space="preserve"> </w:t>
      </w:r>
    </w:p>
    <w:p w14:paraId="03264E2D" w14:textId="77777777" w:rsidR="00820E18" w:rsidRDefault="00820E18" w:rsidP="00820E18">
      <w:pPr>
        <w:pStyle w:val="Heading5"/>
      </w:pPr>
      <w:r>
        <w:t>(3) Keep building materials dry to prevent the growth of mold and bacteria</w:t>
      </w:r>
    </w:p>
    <w:p w14:paraId="6F91BB62" w14:textId="7537FFE2" w:rsidR="00820E18" w:rsidRDefault="00820E18" w:rsidP="006D7DE6">
      <w:pPr>
        <w:pStyle w:val="BodyTextFirstIndent"/>
      </w:pPr>
      <w:r>
        <w:t>There is a greater likelihood of mold developing if building materials are installed moist or wet. Keep building materials dry to prevent the growth of mold and bacteria.</w:t>
      </w:r>
      <w:r>
        <w:fldChar w:fldCharType="begin"/>
      </w:r>
      <w:r w:rsidR="006413AE">
        <w:instrText xml:space="preserve"> ADDIN ZOTERO_ITEM CSL_CITATION {"citationID":"a2cd04csmml","properties":{"formattedCitation":"\\super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6413AE" w:rsidRPr="006413AE">
        <w:rPr>
          <w:rFonts w:cs="Arial"/>
          <w:vertAlign w:val="superscript"/>
        </w:rPr>
        <w:t>183</w:t>
      </w:r>
      <w:r>
        <w:fldChar w:fldCharType="end"/>
      </w:r>
      <w:r>
        <w:t xml:space="preserve"> If materials become wet, dry them within 24 hours; if materials do not dry, they should be replaced.</w:t>
      </w:r>
      <w:r>
        <w:fldChar w:fldCharType="begin"/>
      </w:r>
      <w:r w:rsidR="0089441A">
        <w:instrText xml:space="preserve"> ADDIN ZOTERO_ITEM CSL_CITATION {"citationID":"a1l8q9lo43q","properties":{"formattedCitation":"\\super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89441A" w:rsidRPr="0089441A">
        <w:rPr>
          <w:rFonts w:cs="Arial"/>
          <w:vertAlign w:val="superscript"/>
        </w:rPr>
        <w:t>183</w:t>
      </w:r>
      <w:r>
        <w:fldChar w:fldCharType="end"/>
      </w:r>
      <w:r>
        <w:t xml:space="preserve"> </w:t>
      </w:r>
    </w:p>
    <w:p w14:paraId="44CE90CB" w14:textId="77777777" w:rsidR="00820E18" w:rsidRDefault="00820E18" w:rsidP="00820E18">
      <w:pPr>
        <w:pStyle w:val="Heading4"/>
      </w:pPr>
      <w:r>
        <w:t>O&amp;M</w:t>
      </w:r>
    </w:p>
    <w:p w14:paraId="4395A5C5" w14:textId="77777777" w:rsidR="00820E18" w:rsidRPr="00645F0D" w:rsidRDefault="00820E18" w:rsidP="006D7DE6">
      <w:pPr>
        <w:pStyle w:val="BodyTextFirstIndent"/>
      </w:pPr>
      <w:r>
        <w:t xml:space="preserve">Routine O&amp;M best practices can help to prevent mold growth by controlling moisture and catching and remediating leaks before they lead to mold problems. The following methods and best practices relate to routine maintenance of school buildings. </w:t>
      </w:r>
    </w:p>
    <w:p w14:paraId="5F05513A" w14:textId="77777777" w:rsidR="00820E18" w:rsidRDefault="00820E18" w:rsidP="00820E18">
      <w:pPr>
        <w:pStyle w:val="Heading5"/>
      </w:pPr>
      <w:r>
        <w:t>(4) Maintain interior relative humidity levels below 60 percent</w:t>
      </w:r>
    </w:p>
    <w:p w14:paraId="6A0A1607" w14:textId="662AA144" w:rsidR="00820E18" w:rsidRDefault="00BF2753" w:rsidP="006D7DE6">
      <w:pPr>
        <w:pStyle w:val="BodyTextFirstIndent"/>
      </w:pPr>
      <w:r>
        <w:rPr>
          <w:noProof/>
        </w:rPr>
        <mc:AlternateContent>
          <mc:Choice Requires="wps">
            <w:drawing>
              <wp:anchor distT="0" distB="0" distL="114300" distR="114300" simplePos="0" relativeHeight="251682304" behindDoc="0" locked="0" layoutInCell="1" allowOverlap="1" wp14:anchorId="481D7EDB" wp14:editId="0E224914">
                <wp:simplePos x="0" y="0"/>
                <wp:positionH relativeFrom="margin">
                  <wp:posOffset>2973705</wp:posOffset>
                </wp:positionH>
                <wp:positionV relativeFrom="paragraph">
                  <wp:posOffset>-3702685</wp:posOffset>
                </wp:positionV>
                <wp:extent cx="2955290" cy="4937760"/>
                <wp:effectExtent l="0" t="0" r="16510" b="15240"/>
                <wp:wrapSquare wrapText="bothSides"/>
                <wp:docPr id="1448200129" name="Text Box 1"/>
                <wp:cNvGraphicFramePr/>
                <a:graphic xmlns:a="http://schemas.openxmlformats.org/drawingml/2006/main">
                  <a:graphicData uri="http://schemas.microsoft.com/office/word/2010/wordprocessingShape">
                    <wps:wsp>
                      <wps:cNvSpPr txBox="1"/>
                      <wps:spPr bwMode="auto">
                        <a:xfrm>
                          <a:off x="0" y="0"/>
                          <a:ext cx="2955290" cy="4937760"/>
                        </a:xfrm>
                        <a:prstGeom prst="rect">
                          <a:avLst/>
                        </a:prstGeom>
                        <a:solidFill>
                          <a:schemeClr val="accent1">
                            <a:lumMod val="20000"/>
                            <a:lumOff val="80000"/>
                          </a:schemeClr>
                        </a:solidFill>
                        <a:ln w="9525">
                          <a:solidFill>
                            <a:schemeClr val="tx1"/>
                          </a:solidFill>
                          <a:miter lim="800000"/>
                          <a:headEnd/>
                          <a:tailEnd/>
                        </a:ln>
                      </wps:spPr>
                      <wps:txbx>
                        <w:txbxContent>
                          <w:p w14:paraId="1CBDFB04" w14:textId="77777777" w:rsidR="00820E18" w:rsidRDefault="00820E18" w:rsidP="00820E18">
                            <w:pPr>
                              <w:pStyle w:val="TextBoxTitle"/>
                            </w:pPr>
                            <w:bookmarkStart w:id="550" w:name="Indoor_Air_Mon"/>
                            <w:r>
                              <w:t>Indoor Air Monitoring</w:t>
                            </w:r>
                            <w:bookmarkEnd w:id="550"/>
                          </w:p>
                          <w:p w14:paraId="3F539149" w14:textId="77777777" w:rsidR="00820E18" w:rsidRDefault="00820E18" w:rsidP="00820E18">
                            <w:pPr>
                              <w:pStyle w:val="TextBoxText"/>
                            </w:pPr>
                            <w:r>
                              <w:t xml:space="preserve">Sensor technology in classrooms can provide continuous monitoring of multiple parameters, including temperature, relative humidity, particulate matter, carbon monoxide, and carbon dioxide. As air quality sensor technology becomes more sophisticated and less expensive, schools can place sensors in classrooms to provide accurate, real-time information via an application or web-based dashboard, eliminating the need for personnel to take measurements with hand-held equipment. </w:t>
                            </w:r>
                          </w:p>
                          <w:p w14:paraId="03F96647" w14:textId="77777777" w:rsidR="00820E18" w:rsidRDefault="00820E18" w:rsidP="00820E18">
                            <w:pPr>
                              <w:pStyle w:val="TextBoxText"/>
                            </w:pPr>
                          </w:p>
                          <w:p w14:paraId="11D57395" w14:textId="77777777" w:rsidR="00820E18" w:rsidRPr="00C61717" w:rsidRDefault="00820E18" w:rsidP="00820E18">
                            <w:pPr>
                              <w:pStyle w:val="TextBoxText"/>
                            </w:pPr>
                            <w:r>
                              <w:t xml:space="preserve">Boston Public Schools (BPS) has implemented IAQ sensors in all classrooms in schools across the district and publishes real-time monitoring information on its web-based </w:t>
                            </w:r>
                            <w:hyperlink r:id="rId292" w:history="1">
                              <w:r w:rsidRPr="00B53E91">
                                <w:rPr>
                                  <w:rStyle w:val="Hyperlink"/>
                                </w:rPr>
                                <w:t>IAQ Sensor Dashboard</w:t>
                              </w:r>
                            </w:hyperlink>
                            <w:r>
                              <w:t xml:space="preserve">. These sensors have allowed BPS to make timely temperature adjustments, immediately identify issues with ventilation systems, and rapidly respond to air quality events.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1D7EDB" id="_x0000_s1065" type="#_x0000_t202" style="position:absolute;margin-left:234.15pt;margin-top:-291.55pt;width:232.7pt;height:388.8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" fillcolor="#dbe5f1 [660]" strokecolor="black [3213]">
                <v:textbox>
                  <w:txbxContent>
                    <w:p w14:paraId="1CBDFB04" w14:textId="77777777" w:rsidR="00820E18" w:rsidRDefault="00820E18" w:rsidP="00820E18">
                      <w:pPr>
                        <w:pStyle w:val="TextBoxTitle"/>
                      </w:pPr>
                      <w:bookmarkStart w:id="551" w:name="Indoor_Air_Mon"/>
                      <w:r>
                        <w:t>Indoor Air Monitoring</w:t>
                      </w:r>
                      <w:bookmarkEnd w:id="551"/>
                    </w:p>
                    <w:p w14:paraId="3F539149" w14:textId="77777777" w:rsidR="00820E18" w:rsidRDefault="00820E18" w:rsidP="00820E18">
                      <w:pPr>
                        <w:pStyle w:val="TextBoxText"/>
                      </w:pPr>
                      <w:r>
                        <w:t xml:space="preserve">Sensor technology in classrooms can provide continuous monitoring of multiple parameters, including temperature, relative humidity, particulate matter, carbon monoxide, and carbon dioxide. As air quality sensor technology becomes more sophisticated and less expensive, schools can place sensors in classrooms to provide accurate, real-time information via an application or web-based dashboard, eliminating the need for personnel to take measurements with hand-held equipment. </w:t>
                      </w:r>
                    </w:p>
                    <w:p w14:paraId="03F96647" w14:textId="77777777" w:rsidR="00820E18" w:rsidRDefault="00820E18" w:rsidP="00820E18">
                      <w:pPr>
                        <w:pStyle w:val="TextBoxText"/>
                      </w:pPr>
                    </w:p>
                    <w:p w14:paraId="11D57395" w14:textId="77777777" w:rsidR="00820E18" w:rsidRPr="00C61717" w:rsidRDefault="00820E18" w:rsidP="00820E18">
                      <w:pPr>
                        <w:pStyle w:val="TextBoxText"/>
                      </w:pPr>
                      <w:r>
                        <w:t xml:space="preserve">Boston Public Schools (BPS) has implemented IAQ sensors in all classrooms in schools across the district and publishes real-time monitoring information on its web-based </w:t>
                      </w:r>
                      <w:hyperlink r:id="rId293" w:history="1">
                        <w:r w:rsidRPr="00B53E91">
                          <w:rPr>
                            <w:rStyle w:val="Hyperlink"/>
                          </w:rPr>
                          <w:t>IAQ Sensor Dashboard</w:t>
                        </w:r>
                      </w:hyperlink>
                      <w:r>
                        <w:t xml:space="preserve">. These sensors have allowed BPS to make timely temperature adjustments, immediately identify issues with ventilation systems, and rapidly respond to air quality events. </w:t>
                      </w:r>
                    </w:p>
                  </w:txbxContent>
                </v:textbox>
                <w10:wrap type="square" anchorx="margin"/>
              </v:shape>
            </w:pict>
          </mc:Fallback>
        </mc:AlternateContent>
      </w:r>
      <w:r w:rsidR="00820E18">
        <w:t>High humidity encourages mold growth. Indoor relative humidity should be maintained at a level below 60 percent, but ideally between 30–50 percent.</w:t>
      </w:r>
      <w:r w:rsidR="00820E18">
        <w:fldChar w:fldCharType="begin"/>
      </w:r>
      <w:r w:rsidR="00187966">
        <w:instrText xml:space="preserve"> ADDIN ZOTERO_ITEM CSL_CITATION {"citationID":"a2eh09dm63f","properties":{"formattedCitation":"\\super 100,101,104\\nosupersub{}","plainCitation":"100,101,104","noteIndex":0},"citationItems":[{"id":9,"uris":["http://zotero.org/groups/5563646/items/PIGDCZW8"],"itemData":{"id":9,"type":"report","language":"en","publisher":"Environmental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EPA","given":""}],"issued":{"date-parts":[["2014"]]}}},{"id":10,"uris":["http://zotero.org/groups/5563646/items/RET9EIZX"],"itemData":{"id":10,"type":"report","language":"en","number":"EPA-908-R-12-0001","source":"Zotero","title":"Sensible Steps to Healthier School Environments","URL":"https://www.epa.gov/sites/default/files/2014-05/documents/sensible_steps.pdf","author":[{"family":"US EPA","given":""}],"issued":{"date-parts":[["2012",7]]}}},{"id":8,"uris":["http://zotero.org/groups/5563646/items/KSFS3HQF"],"itemData":{"id":8,"type":"report","number":"EPA-909-R-15-002","publisher":"Environmental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rsidR="00820E18">
        <w:fldChar w:fldCharType="separate"/>
      </w:r>
      <w:r w:rsidR="00187966" w:rsidRPr="00187966">
        <w:rPr>
          <w:rFonts w:cs="Arial"/>
          <w:vertAlign w:val="superscript"/>
        </w:rPr>
        <w:t>100,101,104</w:t>
      </w:r>
      <w:r w:rsidR="00820E18">
        <w:fldChar w:fldCharType="end"/>
      </w:r>
      <w:r w:rsidR="00820E18">
        <w:t xml:space="preserve"> Humidity levels can be maintained using an HVAC system or dehumidifiers. Schools can measure indoor relative humidity with hygrometers; these devices range from low-cost handheld instruments that can be carried from room-to-room, to devices integrated into building systems that can transmit readings to centralized building monitoring systems and create alerts when humidity is outside of the target range. Hygrometers are often paired with thermometers to measure temperature. Sensors should be re-calibrated quarterly or according to the manufacturer’s specification. </w:t>
      </w:r>
    </w:p>
    <w:p w14:paraId="0E0F51F4" w14:textId="77777777" w:rsidR="006B4C68" w:rsidRDefault="006B4C68">
      <w:pPr>
        <w:rPr>
          <w:rFonts w:ascii="Arial" w:hAnsi="Arial"/>
          <w:b/>
          <w:i/>
          <w:color w:val="1F497D"/>
          <w:sz w:val="24"/>
        </w:rPr>
      </w:pPr>
      <w:r>
        <w:br w:type="page"/>
      </w:r>
    </w:p>
    <w:p w14:paraId="1FFC0354" w14:textId="40F83B7F" w:rsidR="00820E18" w:rsidRPr="008359B1" w:rsidRDefault="00820E18" w:rsidP="00820E18">
      <w:pPr>
        <w:pStyle w:val="Heading5"/>
      </w:pPr>
      <w:r>
        <w:lastRenderedPageBreak/>
        <w:t>(5) Maintain a properly balanced HVAC system</w:t>
      </w:r>
    </w:p>
    <w:p w14:paraId="22187FDD" w14:textId="751FFD0A" w:rsidR="00820E18" w:rsidRDefault="00820E18" w:rsidP="006D7DE6">
      <w:pPr>
        <w:pStyle w:val="BodyTextFirstIndent"/>
      </w:pPr>
      <w:r>
        <w:t>A balanced, properly sealed HVAC system will maintain the indoor climate at an appropriate temperature and humidity, thus reducing mold and moisture issues.</w:t>
      </w:r>
      <w:r>
        <w:fldChar w:fldCharType="begin"/>
      </w:r>
      <w:r w:rsidR="00E228A3">
        <w:instrText xml:space="preserve"> ADDIN ZOTERO_ITEM CSL_CITATION {"citationID":"at3ptgq6l5","properties":{"formattedCitation":"\\super 298\\nosupersub{}","plainCitation":"298","noteIndex":0},"citationItems":[{"id":838,"uris":["http://zotero.org/groups/5563646/items/BFX88JEU"],"itemData":{"id":838,"type":"webpage","abstract":"Mold growth inside buildings can lead to adverse health symptoms in building occupants. Preventing or minimizing exposure to mold and its contaminants is essential to reduce indoor air-related symptoms in building occupants.","language":"en","title":"Remediation and prevention of mold growth and water damage in public schools and buildings to maintain air quality | Mass.gov","URL":"https://www.mass.gov/info-details/remediation-and-prevention-of-mold-growth-and-water-damage-in-public-schools-and-buildings-to-maintain-air-quality","accessed":{"date-parts":[["2024",7,24]]}}}],"schema":"https://github.com/citation-style-language/schema/raw/master/csl-citation.json"} </w:instrText>
      </w:r>
      <w:r>
        <w:fldChar w:fldCharType="separate"/>
      </w:r>
      <w:r w:rsidR="00E228A3" w:rsidRPr="00E228A3">
        <w:rPr>
          <w:rFonts w:cs="Arial"/>
          <w:vertAlign w:val="superscript"/>
        </w:rPr>
        <w:t>298</w:t>
      </w:r>
      <w:r>
        <w:fldChar w:fldCharType="end"/>
      </w:r>
      <w:r>
        <w:t xml:space="preserve"> Positive pressure can help reduce moisture intrusion into the building envelope.</w:t>
      </w:r>
      <w:r>
        <w:fldChar w:fldCharType="begin"/>
      </w:r>
      <w:r w:rsidR="00850FCD">
        <w:instrText xml:space="preserve"> ADDIN ZOTERO_ITEM CSL_CITATION {"citationID":"a1o02h5shhd","properties":{"formattedCitation":"\\super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850FCD" w:rsidRPr="00850FCD">
        <w:rPr>
          <w:rFonts w:cs="Arial"/>
          <w:vertAlign w:val="superscript"/>
        </w:rPr>
        <w:t>104</w:t>
      </w:r>
      <w:r>
        <w:fldChar w:fldCharType="end"/>
      </w:r>
      <w:r>
        <w:t xml:space="preserve"> </w:t>
      </w:r>
    </w:p>
    <w:p w14:paraId="20EE0CAA" w14:textId="16218938" w:rsidR="00820E18" w:rsidRPr="008359B1" w:rsidRDefault="00820E18" w:rsidP="00820E18">
      <w:pPr>
        <w:pStyle w:val="Heading5"/>
      </w:pPr>
      <w:r>
        <w:t>(6) Clean any wet or damp areas within 48 hours and promptly repair all observed leaks</w:t>
      </w:r>
    </w:p>
    <w:p w14:paraId="6768A541" w14:textId="2DD64C62" w:rsidR="00820E18" w:rsidRDefault="00820E18" w:rsidP="006D7DE6">
      <w:pPr>
        <w:pStyle w:val="BodyTextFirstIndent"/>
      </w:pPr>
      <w:r>
        <w:t>When wet or damp areas are discovered, dry and clean the area within 48 hours.</w:t>
      </w:r>
      <w:r>
        <w:fldChar w:fldCharType="begin"/>
      </w:r>
      <w:r w:rsidR="005C38D0">
        <w:instrText xml:space="preserve"> ADDIN ZOTERO_ITEM CSL_CITATION {"citationID":"a1p7001c32m","properties":{"formattedCitation":"\\super 100,299,300\\nosupersub{}","plainCitation":"100,299,300","noteIndex":0},"citationItems":[{"id":8,"uris":["http://zotero.org/groups/5563646/items/KSFS3HQF"],"itemData":{"id":8,"type":"report","number":"EPA-909-R-15-002","publisher":"Environmental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EPA","given":""}],"accessed":{"date-parts":[["2024",6,11]]},"issued":{"date-parts":[["2016",1]]}}},{"id":453,"uris":["http://zotero.org/groups/5563646/items/BVJ9L56H"],"itemData":{"id":453,"type":"document","language":"en","source":"Zotero","title":"Asthma and Your Environment","author":[{"family":"MDPH","given":""}],"issued":{"date-parts":[["2016"]]}}},{"id":842,"uris":["http://zotero.org/groups/5563646/items/EASLVTBA"],"itemData":{"id":842,"type":"webpage","container-title":"Asthma Prevention and Control","language":"en-US","title":"Leaks &amp; Moisture","URL":"https://www.maasthma.org/toolkit/leaks","accessed":{"date-parts":[["2024",7,24]]}}}],"schema":"https://github.com/citation-style-language/schema/raw/master/csl-citation.json"} </w:instrText>
      </w:r>
      <w:r>
        <w:fldChar w:fldCharType="separate"/>
      </w:r>
      <w:r w:rsidR="005C38D0" w:rsidRPr="005C38D0">
        <w:rPr>
          <w:rFonts w:cs="Arial"/>
          <w:vertAlign w:val="superscript"/>
        </w:rPr>
        <w:t>100,299,300</w:t>
      </w:r>
      <w:r>
        <w:fldChar w:fldCharType="end"/>
      </w:r>
      <w:r>
        <w:t xml:space="preserve"> Investigate the cause of the wet or damp spots and fix any leaks or problems that led to the water buildup.</w:t>
      </w:r>
      <w:r>
        <w:fldChar w:fldCharType="begin"/>
      </w:r>
      <w:r w:rsidR="00662EEE">
        <w:instrText xml:space="preserve"> ADDIN ZOTERO_ITEM CSL_CITATION {"citationID":"a1d43fq55k2","properties":{"formattedCitation":"\\super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EPA","given":""}],"issued":{"date-parts":[["2012",7]]}},"label":"page"}],"schema":"https://github.com/citation-style-language/schema/raw/master/csl-citation.json"} </w:instrText>
      </w:r>
      <w:r>
        <w:fldChar w:fldCharType="separate"/>
      </w:r>
      <w:r w:rsidR="00662EEE" w:rsidRPr="00662EEE">
        <w:rPr>
          <w:rFonts w:cs="Arial"/>
          <w:vertAlign w:val="superscript"/>
        </w:rPr>
        <w:t>101</w:t>
      </w:r>
      <w:r>
        <w:fldChar w:fldCharType="end"/>
      </w:r>
      <w:r>
        <w:t xml:space="preserve"> This will help to prevent the growth of mold.</w:t>
      </w:r>
      <w:r>
        <w:fldChar w:fldCharType="begin"/>
      </w:r>
      <w:r w:rsidR="007C40A0">
        <w:instrText xml:space="preserve"> ADDIN ZOTERO_ITEM CSL_CITATION {"citationID":"a1dk47hl30t","properties":{"formattedCitation":"\\super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7C40A0" w:rsidRPr="007C40A0">
        <w:rPr>
          <w:rFonts w:cs="Arial"/>
          <w:vertAlign w:val="superscript"/>
        </w:rPr>
        <w:t>100</w:t>
      </w:r>
      <w:r>
        <w:fldChar w:fldCharType="end"/>
      </w:r>
      <w:r>
        <w:t xml:space="preserve"> </w:t>
      </w:r>
    </w:p>
    <w:p w14:paraId="3498A41A" w14:textId="77777777" w:rsidR="00820E18" w:rsidRPr="008359B1" w:rsidRDefault="00820E18" w:rsidP="00820E18">
      <w:pPr>
        <w:pStyle w:val="Heading5"/>
      </w:pPr>
      <w:r>
        <w:t>(7) Perform regular checks for condensation, wet spots, and signs of mold</w:t>
      </w:r>
    </w:p>
    <w:p w14:paraId="5EDC4C17" w14:textId="2AC8A4FA" w:rsidR="00820E18" w:rsidRDefault="00820E18" w:rsidP="006D7DE6">
      <w:pPr>
        <w:pStyle w:val="BodyTextFirstIndent"/>
        <w:rPr>
          <w:rFonts w:cs="Arial"/>
          <w:vertAlign w:val="superscript"/>
        </w:rPr>
      </w:pPr>
      <w:r>
        <w:t>Routinely check the school for areas of condensation, wet spots, and signs of mold. Proactively searching can help to prevent mold or stop moldy areas from expanding.</w:t>
      </w:r>
      <w:r>
        <w:fldChar w:fldCharType="begin"/>
      </w:r>
      <w:r w:rsidR="00AB7DF1">
        <w:instrText xml:space="preserve"> ADDIN ZOTERO_ITEM CSL_CITATION {"citationID":"a3iqqjhru0","properties":{"formattedCitation":"\\super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AB7DF1" w:rsidRPr="00AB7DF1">
        <w:rPr>
          <w:rFonts w:cs="Arial"/>
          <w:vertAlign w:val="superscript"/>
        </w:rPr>
        <w:t>101</w:t>
      </w:r>
      <w:r>
        <w:fldChar w:fldCharType="end"/>
      </w:r>
      <w:r>
        <w:t xml:space="preserve"> Areas prone to moisture or leaks should be prioritized. BCEH recommends that schools inspect below-grade spaces in school buildings at least quarterly, as well as after heavy rainfall or snowmelt, for evidence of water penetration or water damage.</w:t>
      </w:r>
    </w:p>
    <w:p w14:paraId="445FF59B" w14:textId="77777777" w:rsidR="00820E18" w:rsidRPr="008359B1" w:rsidRDefault="00820E18" w:rsidP="00820E18">
      <w:pPr>
        <w:pStyle w:val="Heading5"/>
      </w:pPr>
      <w:r>
        <w:t>(8) Consider using dehumidifiers</w:t>
      </w:r>
    </w:p>
    <w:p w14:paraId="305E20B0" w14:textId="4D9E5C2C" w:rsidR="00820E18" w:rsidRDefault="00820E18" w:rsidP="006D7DE6">
      <w:pPr>
        <w:pStyle w:val="BodyTextFirstIndent"/>
      </w:pPr>
      <w:r>
        <w:t>When other ventilation systems are insufficient or for buildings without an HVAC system, use dehumidifiers to reduce humidity to 30–60 percent.</w:t>
      </w:r>
      <w:r>
        <w:fldChar w:fldCharType="begin"/>
      </w:r>
      <w:r w:rsidR="00282439">
        <w:instrText xml:space="preserve"> ADDIN ZOTERO_ITEM CSL_CITATION {"citationID":"a14pbkugo5q","properties":{"formattedCitation":"\\super 104,299\\nosupersub{}","plainCitation":"104,299","noteIndex":0},"citationItems":[{"id":9,"uris":["http://zotero.org/groups/5563646/items/PIGDCZW8"],"itemData":{"id":9,"type":"report","language":"en","publisher":"Environmental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EPA","given":""}],"issued":{"date-parts":[["2014"]]}}},{"id":453,"uris":["http://zotero.org/groups/5563646/items/BVJ9L56H"],"itemData":{"id":453,"type":"document","language":"en","source":"Zotero","title":"Asthma and Your Environment","author":[{"family":"MDPH","given":""}],"issued":{"date-parts":[["2016"]]}}}],"schema":"https://github.com/citation-style-language/schema/raw/master/csl-citation.json"} </w:instrText>
      </w:r>
      <w:r>
        <w:fldChar w:fldCharType="separate"/>
      </w:r>
      <w:r w:rsidR="00282439" w:rsidRPr="00282439">
        <w:rPr>
          <w:rFonts w:cs="Arial"/>
          <w:vertAlign w:val="superscript"/>
        </w:rPr>
        <w:t>104,299</w:t>
      </w:r>
      <w:r>
        <w:fldChar w:fldCharType="end"/>
      </w:r>
      <w:r>
        <w:t xml:space="preserve"> Dehumidifiers may be necessary when HVAC systems are undergoing maintenance, outdoor heat and humidity levels are unusually high, or after activities like carpet cleaning introduce extra moisture into the school building.</w:t>
      </w:r>
      <w:r>
        <w:fldChar w:fldCharType="begin"/>
      </w:r>
      <w:r w:rsidR="0049625D">
        <w:instrText xml:space="preserve"> ADDIN ZOTERO_ITEM CSL_CITATION {"citationID":"a2bgs4pks4j","properties":{"formattedCitation":"\\super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49625D" w:rsidRPr="0049625D">
        <w:rPr>
          <w:rFonts w:cs="Arial"/>
          <w:vertAlign w:val="superscript"/>
        </w:rPr>
        <w:t>104</w:t>
      </w:r>
      <w:r>
        <w:fldChar w:fldCharType="end"/>
      </w:r>
      <w:r>
        <w:t xml:space="preserve"> If sinks or drains are available, configure dehumidifiers to empty directly into the sinks/drains to reduce maintenance and prevent mold growth and associated odors. </w:t>
      </w:r>
    </w:p>
    <w:p w14:paraId="2618D090" w14:textId="77777777" w:rsidR="00820E18" w:rsidRDefault="00820E18" w:rsidP="00820E18">
      <w:pPr>
        <w:pStyle w:val="Heading4"/>
      </w:pPr>
      <w:r>
        <w:t>Remediation</w:t>
      </w:r>
    </w:p>
    <w:p w14:paraId="2105E8E0" w14:textId="3DBBB0EE" w:rsidR="00820E18" w:rsidRPr="00645F0D" w:rsidRDefault="00820E18" w:rsidP="006D7DE6">
      <w:pPr>
        <w:pStyle w:val="BodyTextFirstIndent"/>
      </w:pPr>
      <w:r>
        <w:t>When mold has already grown in a school building, it must be properly cleaned to avoid exposing students</w:t>
      </w:r>
      <w:r w:rsidR="001C5425">
        <w:t xml:space="preserve"> and staff</w:t>
      </w:r>
      <w:r>
        <w:t xml:space="preserve"> to the mold as much as possible and to prevent recurrence. Implement the following methods and best practices when mold is found at a school. </w:t>
      </w:r>
    </w:p>
    <w:p w14:paraId="7AC39491" w14:textId="77777777" w:rsidR="00820E18" w:rsidRDefault="00820E18" w:rsidP="00820E18">
      <w:pPr>
        <w:pStyle w:val="Heading5"/>
      </w:pPr>
      <w:r>
        <w:t>(9) Contain and do not disturb areas with significant mold until they can be remediated</w:t>
      </w:r>
    </w:p>
    <w:p w14:paraId="3C276B8C" w14:textId="6A1716B1" w:rsidR="00820E18" w:rsidRDefault="00820E18" w:rsidP="006D7DE6">
      <w:pPr>
        <w:pStyle w:val="BodyTextFirstIndent"/>
      </w:pPr>
      <w:r>
        <w:t>Disturbing mold can cause spores to become airborne and increase the likelihood of exposure among building occupants. To prevent this, when significant amounts of mold are found, contain the area and do not disturb the mold until proper remediation is arranged.</w:t>
      </w:r>
      <w:r>
        <w:fldChar w:fldCharType="begin"/>
      </w:r>
      <w:r w:rsidR="00C22CA5">
        <w:instrText xml:space="preserve"> ADDIN ZOTERO_ITEM CSL_CITATION {"citationID":"a2qmvebj281","properties":{"formattedCitation":"\\super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C22CA5" w:rsidRPr="00C22CA5">
        <w:rPr>
          <w:rFonts w:cs="Arial"/>
          <w:vertAlign w:val="superscript"/>
        </w:rPr>
        <w:t>104</w:t>
      </w:r>
      <w:r>
        <w:fldChar w:fldCharType="end"/>
      </w:r>
      <w:r>
        <w:t xml:space="preserve"> Remediate mold and damaged materials as quickly as possible. In addition, if mold growth is severe, it should be removed outside of school hours to avoid student exposure.</w:t>
      </w:r>
      <w:r>
        <w:fldChar w:fldCharType="begin"/>
      </w:r>
      <w:r w:rsidR="000A3BC6">
        <w:instrText xml:space="preserve"> ADDIN ZOTERO_ITEM CSL_CITATION {"citationID":"a1l6og5fm71","properties":{"formattedCitation":"\\super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0A3BC6" w:rsidRPr="000A3BC6">
        <w:rPr>
          <w:rFonts w:cs="Arial"/>
          <w:vertAlign w:val="superscript"/>
        </w:rPr>
        <w:t>100</w:t>
      </w:r>
      <w:r>
        <w:fldChar w:fldCharType="end"/>
      </w:r>
      <w:r>
        <w:t xml:space="preserve"> </w:t>
      </w:r>
    </w:p>
    <w:p w14:paraId="43AEA85C" w14:textId="77777777" w:rsidR="006B4C68" w:rsidRDefault="006B4C68">
      <w:pPr>
        <w:rPr>
          <w:rFonts w:ascii="Arial" w:hAnsi="Arial"/>
          <w:b/>
          <w:i/>
          <w:color w:val="1F497D"/>
          <w:sz w:val="24"/>
        </w:rPr>
      </w:pPr>
      <w:r>
        <w:br w:type="page"/>
      </w:r>
    </w:p>
    <w:p w14:paraId="4F55B0DA" w14:textId="123984F7" w:rsidR="00820E18" w:rsidRDefault="00820E18" w:rsidP="00820E18">
      <w:pPr>
        <w:pStyle w:val="Heading5"/>
      </w:pPr>
      <w:r>
        <w:lastRenderedPageBreak/>
        <w:t>(10) Clean small areas of mold with proper cleaning supplies</w:t>
      </w:r>
    </w:p>
    <w:p w14:paraId="256E709E" w14:textId="2D9C9A25" w:rsidR="00820E18" w:rsidRDefault="00820E18" w:rsidP="006D7DE6">
      <w:pPr>
        <w:pStyle w:val="BodyTextFirstIndent"/>
      </w:pPr>
      <w:r>
        <w:t>Mold can be removed from hard surfaces by scrubbing with water and the appropriate cleaning supplies.</w:t>
      </w:r>
      <w:r>
        <w:fldChar w:fldCharType="begin"/>
      </w:r>
      <w:r w:rsidR="00AE6937">
        <w:instrText xml:space="preserve"> ADDIN ZOTERO_ITEM CSL_CITATION {"citationID":"a1c54hc5e9c","properties":{"formattedCitation":"\\super 101,299\\nosupersub{}","plainCitation":"101,299","noteIndex":0},"citationItems":[{"id":10,"uris":["http://zotero.org/groups/5563646/items/RET9EIZX"],"itemData":{"id":10,"type":"report","language":"en","number":"EPA-908-R-12-0001","source":"Zotero","title":"Sensible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EPA","given":""}],"issued":{"date-parts":[["2012",7]]}}},{"id":453,"uris":["http://zotero.org/groups/5563646/items/BVJ9L56H"],"itemData":{"id":453,"type":"document","language":"en","source":"Zotero","title":"Asthma and Your Environment","author":[{"family":"MDPH","given":""}],"issued":{"date-parts":[["2016"]]}}}],"schema":"https://github.com/citation-style-language/schema/raw/master/csl-citation.json"} </w:instrText>
      </w:r>
      <w:r>
        <w:fldChar w:fldCharType="separate"/>
      </w:r>
      <w:r w:rsidR="00AE6937" w:rsidRPr="00AE6937">
        <w:rPr>
          <w:rFonts w:cs="Arial"/>
          <w:vertAlign w:val="superscript"/>
        </w:rPr>
        <w:t>101,299</w:t>
      </w:r>
      <w:r>
        <w:fldChar w:fldCharType="end"/>
      </w:r>
      <w:r>
        <w:t xml:space="preserve"> Where possible, use “green” cleaning products and dry the surface completely after cleaning. Note that some cleaning products, such as bleach, can trigger asthma attacks.</w:t>
      </w:r>
      <w:r>
        <w:fldChar w:fldCharType="begin"/>
      </w:r>
      <w:r w:rsidR="008549C4">
        <w:instrText xml:space="preserve"> ADDIN ZOTERO_ITEM CSL_CITATION {"citationID":"a1c6p5b71p6","properties":{"formattedCitation":"\\super 299\\nosupersub{}","plainCitation":"299","noteIndex":0},"citationItems":[{"id":453,"uris":["http://zotero.org/groups/5563646/items/BVJ9L56H"],"itemData":{"id":453,"type":"document","language":"en","source":"Zotero","title":"Asthma and Your Environment","author":[{"family":"MDPH","given":""}],"issued":{"date-parts":[["2016"]]}}}],"schema":"https://github.com/citation-style-language/schema/raw/master/csl-citation.json"} </w:instrText>
      </w:r>
      <w:r>
        <w:fldChar w:fldCharType="separate"/>
      </w:r>
      <w:r w:rsidR="008549C4" w:rsidRPr="008549C4">
        <w:rPr>
          <w:rFonts w:cs="Arial"/>
          <w:vertAlign w:val="superscript"/>
        </w:rPr>
        <w:t>299</w:t>
      </w:r>
      <w:r>
        <w:fldChar w:fldCharType="end"/>
      </w:r>
      <w:r>
        <w:t xml:space="preserve"> Do not paint or caulk over mold without cleaning or removing the mold and ensuring that the cause of the mold is addressed.</w:t>
      </w:r>
      <w:r>
        <w:fldChar w:fldCharType="begin"/>
      </w:r>
      <w:r w:rsidR="00507B2B">
        <w:instrText xml:space="preserve"> ADDIN ZOTERO_ITEM CSL_CITATION {"citationID":"an79m3vvfj","properties":{"formattedCitation":"\\super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507B2B" w:rsidRPr="00507B2B">
        <w:rPr>
          <w:rFonts w:cs="Arial"/>
          <w:vertAlign w:val="superscript"/>
        </w:rPr>
        <w:t>100</w:t>
      </w:r>
      <w:r>
        <w:fldChar w:fldCharType="end"/>
      </w:r>
      <w:r>
        <w:t xml:space="preserve"> </w:t>
      </w:r>
    </w:p>
    <w:p w14:paraId="18E31393" w14:textId="77777777" w:rsidR="00820E18" w:rsidRDefault="00820E18" w:rsidP="00820E18">
      <w:pPr>
        <w:pStyle w:val="Heading5"/>
      </w:pPr>
      <w:r>
        <w:t>(11) Repair or replace moldy ceiling tiles and carpet</w:t>
      </w:r>
    </w:p>
    <w:p w14:paraId="5A72AE64" w14:textId="12043D4D" w:rsidR="00820E18" w:rsidRDefault="00820E18" w:rsidP="006D7DE6">
      <w:pPr>
        <w:pStyle w:val="BodyTextFirstIndent"/>
      </w:pPr>
      <w:r>
        <w:t>Porous and slow-drying materials such as carpet or ceiling tiles with mold growth should be replaced or repaired.</w:t>
      </w:r>
      <w:r>
        <w:fldChar w:fldCharType="begin"/>
      </w:r>
      <w:r w:rsidR="005E02C6">
        <w:instrText xml:space="preserve"> ADDIN ZOTERO_ITEM CSL_CITATION {"citationID":"a1ulc47mmpv","properties":{"formattedCitation":"\\super 299\\nosupersub{}","plainCitation":"299","noteIndex":0},"citationItems":[{"id":453,"uris":["http://zotero.org/groups/5563646/items/BVJ9L56H"],"itemData":{"id":453,"type":"document","language":"en","source":"Zotero","title":"Asthma and Your Environment","author":[{"family":"MDPH","given":""}],"issued":{"date-parts":[["2016"]]}}}],"schema":"https://github.com/citation-style-language/schema/raw/master/csl-citation.json"} </w:instrText>
      </w:r>
      <w:r>
        <w:fldChar w:fldCharType="separate"/>
      </w:r>
      <w:r w:rsidR="005E02C6" w:rsidRPr="005E02C6">
        <w:rPr>
          <w:rFonts w:cs="Arial"/>
          <w:vertAlign w:val="superscript"/>
        </w:rPr>
        <w:t>299</w:t>
      </w:r>
      <w:r>
        <w:fldChar w:fldCharType="end"/>
      </w:r>
      <w:r>
        <w:t xml:space="preserve"> These types of materials are difficult to rid of mold once it has started growing, and often the most foolproof and cost effective way to address mold in carpets or ceiling tiles is to replace them. </w:t>
      </w:r>
    </w:p>
    <w:p w14:paraId="0BECDDD4" w14:textId="77777777" w:rsidR="0021481E" w:rsidRDefault="0021481E" w:rsidP="0021481E">
      <w:pPr>
        <w:pStyle w:val="Heading3"/>
      </w:pPr>
      <w:r>
        <w:t>Statutes, Regulations, and Standards</w:t>
      </w:r>
    </w:p>
    <w:p w14:paraId="1906BB0D" w14:textId="77777777" w:rsidR="0021481E" w:rsidRPr="00E549B2" w:rsidRDefault="0021481E" w:rsidP="006D7DE6">
      <w:pPr>
        <w:pStyle w:val="BodyTextFirstIndent"/>
      </w:pPr>
      <w:r w:rsidRPr="004B70AA">
        <w:t>There are</w:t>
      </w:r>
      <w:r>
        <w:t xml:space="preserve"> currently</w:t>
      </w:r>
      <w:r w:rsidRPr="004B70AA">
        <w:t xml:space="preserve"> no federal or state standards to determine a safe or unsafe amount of mold</w:t>
      </w:r>
      <w:r>
        <w:t>.</w:t>
      </w:r>
    </w:p>
    <w:p w14:paraId="285AF1BE" w14:textId="77777777" w:rsidR="00BF2753" w:rsidRDefault="00BF2753">
      <w:pPr>
        <w:rPr>
          <w:rFonts w:ascii="Arial" w:hAnsi="Arial" w:cs="Arial"/>
          <w:b/>
          <w:bCs/>
          <w:color w:val="4F6228" w:themeColor="accent3" w:themeShade="80"/>
          <w:sz w:val="26"/>
          <w:szCs w:val="22"/>
        </w:rPr>
      </w:pPr>
      <w:r>
        <w:br w:type="page"/>
      </w:r>
    </w:p>
    <w:p w14:paraId="7D3C3B0F" w14:textId="582897F8" w:rsidR="0021481E" w:rsidRDefault="0021481E" w:rsidP="0021481E">
      <w:pPr>
        <w:pStyle w:val="Heading3"/>
      </w:pPr>
      <w:r>
        <w:lastRenderedPageBreak/>
        <w:t>Relevant Resources</w:t>
      </w:r>
    </w:p>
    <w:p w14:paraId="0AB2AB5C" w14:textId="66AF1012" w:rsidR="0021481E" w:rsidRDefault="0021481E" w:rsidP="006D7DE6">
      <w:pPr>
        <w:pStyle w:val="BodyTextFirstIndent"/>
      </w:pPr>
      <w:r>
        <w:fldChar w:fldCharType="begin"/>
      </w:r>
      <w:r>
        <w:instrText xml:space="preserve"> REF _Ref171628694 \h </w:instrText>
      </w:r>
      <w:r>
        <w:fldChar w:fldCharType="separate"/>
      </w:r>
      <w:r w:rsidR="00307850">
        <w:t xml:space="preserve">Table </w:t>
      </w:r>
      <w:r w:rsidR="00307850">
        <w:rPr>
          <w:noProof/>
        </w:rPr>
        <w:t>64</w:t>
      </w:r>
      <w:r>
        <w:fldChar w:fldCharType="end"/>
      </w:r>
      <w:r>
        <w:t xml:space="preserve"> provides a summary of resources related to reducing exposure to mold in schools.</w:t>
      </w:r>
    </w:p>
    <w:p w14:paraId="0364941C" w14:textId="2EE10106" w:rsidR="0021481E" w:rsidRDefault="0021481E" w:rsidP="00B30C96">
      <w:pPr>
        <w:pStyle w:val="TableTitle"/>
      </w:pPr>
      <w:bookmarkStart w:id="552" w:name="_Ref171628694"/>
      <w:bookmarkStart w:id="553" w:name="_Toc192711730"/>
      <w:bookmarkStart w:id="554" w:name="_Toc193112612"/>
      <w:bookmarkStart w:id="555" w:name="_Toc193117011"/>
      <w:r>
        <w:t xml:space="preserve">Table </w:t>
      </w:r>
      <w:fldSimple w:instr=" SEQ Table \* ARABIC ">
        <w:r w:rsidR="00307850">
          <w:rPr>
            <w:noProof/>
          </w:rPr>
          <w:t>64</w:t>
        </w:r>
      </w:fldSimple>
      <w:bookmarkEnd w:id="552"/>
      <w:r>
        <w:t>. Resources for Reducing Exposure to Mold</w:t>
      </w:r>
      <w:bookmarkEnd w:id="553"/>
      <w:bookmarkEnd w:id="554"/>
      <w:bookmarkEnd w:id="555"/>
    </w:p>
    <w:tbl>
      <w:tblPr>
        <w:tblStyle w:val="TableGrid"/>
        <w:tblW w:w="0" w:type="auto"/>
        <w:tblLayout w:type="fixed"/>
        <w:tblLook w:val="04A0" w:firstRow="1" w:lastRow="0" w:firstColumn="1" w:lastColumn="0" w:noHBand="0" w:noVBand="1"/>
        <w:tblDescription w:val="Table listing resources with active URLs for reducing mold exposure."/>
      </w:tblPr>
      <w:tblGrid>
        <w:gridCol w:w="2785"/>
        <w:gridCol w:w="2160"/>
        <w:gridCol w:w="4405"/>
      </w:tblGrid>
      <w:tr w:rsidR="0021481E" w:rsidRPr="00276B41" w14:paraId="2E99A119" w14:textId="77777777">
        <w:trPr>
          <w:tblHeader/>
        </w:trPr>
        <w:tc>
          <w:tcPr>
            <w:tcW w:w="2785" w:type="dxa"/>
            <w:shd w:val="clear" w:color="auto" w:fill="C6D9F1" w:themeFill="text2" w:themeFillTint="33"/>
          </w:tcPr>
          <w:p w14:paraId="4492A5AD" w14:textId="77777777" w:rsidR="0021481E" w:rsidRPr="004C3A1C" w:rsidRDefault="0021481E">
            <w:pPr>
              <w:pStyle w:val="TableColumnHeader"/>
            </w:pPr>
            <w:r w:rsidRPr="004C3A1C">
              <w:t>Resource</w:t>
            </w:r>
          </w:p>
        </w:tc>
        <w:tc>
          <w:tcPr>
            <w:tcW w:w="2160" w:type="dxa"/>
            <w:shd w:val="clear" w:color="auto" w:fill="C6D9F1" w:themeFill="text2" w:themeFillTint="33"/>
          </w:tcPr>
          <w:p w14:paraId="48EABDD5" w14:textId="77777777" w:rsidR="0021481E" w:rsidRPr="004C3A1C" w:rsidRDefault="0021481E">
            <w:pPr>
              <w:pStyle w:val="TableColumnHeader"/>
            </w:pPr>
            <w:r w:rsidRPr="004C3A1C">
              <w:t>Author</w:t>
            </w:r>
          </w:p>
        </w:tc>
        <w:tc>
          <w:tcPr>
            <w:tcW w:w="4405" w:type="dxa"/>
            <w:shd w:val="clear" w:color="auto" w:fill="C6D9F1" w:themeFill="text2" w:themeFillTint="33"/>
          </w:tcPr>
          <w:p w14:paraId="70816201" w14:textId="77777777" w:rsidR="0021481E" w:rsidRPr="004C3A1C" w:rsidRDefault="0021481E">
            <w:pPr>
              <w:pStyle w:val="TableColumnHeader"/>
            </w:pPr>
            <w:r w:rsidRPr="004C3A1C">
              <w:t>URL</w:t>
            </w:r>
          </w:p>
        </w:tc>
      </w:tr>
      <w:tr w:rsidR="0021481E" w:rsidRPr="00276B41" w14:paraId="1E5FD54E" w14:textId="77777777">
        <w:tc>
          <w:tcPr>
            <w:tcW w:w="2785" w:type="dxa"/>
          </w:tcPr>
          <w:p w14:paraId="56C602BD" w14:textId="77777777" w:rsidR="0021481E" w:rsidRPr="00964E51" w:rsidRDefault="0021481E">
            <w:pPr>
              <w:pStyle w:val="TableText"/>
            </w:pPr>
            <w:r>
              <w:t>Asthma and Your Environment</w:t>
            </w:r>
          </w:p>
        </w:tc>
        <w:tc>
          <w:tcPr>
            <w:tcW w:w="2160" w:type="dxa"/>
          </w:tcPr>
          <w:p w14:paraId="0563F184" w14:textId="77777777" w:rsidR="0021481E" w:rsidRDefault="0021481E">
            <w:pPr>
              <w:pStyle w:val="TableText"/>
            </w:pPr>
            <w:r>
              <w:t>DPH</w:t>
            </w:r>
          </w:p>
        </w:tc>
        <w:tc>
          <w:tcPr>
            <w:tcW w:w="4405" w:type="dxa"/>
          </w:tcPr>
          <w:p w14:paraId="66351B29" w14:textId="6892CC42" w:rsidR="0021481E" w:rsidRDefault="0021481E">
            <w:pPr>
              <w:pStyle w:val="TableText"/>
            </w:pPr>
            <w:hyperlink r:id="rId294" w:history="1">
              <w:r w:rsidRPr="00613B86">
                <w:rPr>
                  <w:rStyle w:val="Hyperlink"/>
                </w:rPr>
                <w:t>https://www.mass.gov/doc/asthma-and-your-environment-english/download</w:t>
              </w:r>
            </w:hyperlink>
            <w:r>
              <w:t xml:space="preserve"> </w:t>
            </w:r>
          </w:p>
        </w:tc>
      </w:tr>
      <w:tr w:rsidR="0021481E" w:rsidRPr="00276B41" w14:paraId="4B46E173" w14:textId="77777777">
        <w:tc>
          <w:tcPr>
            <w:tcW w:w="2785" w:type="dxa"/>
          </w:tcPr>
          <w:p w14:paraId="5D86C9E8" w14:textId="77777777" w:rsidR="0021481E" w:rsidRPr="00276B41" w:rsidRDefault="0021481E">
            <w:pPr>
              <w:pStyle w:val="TableText"/>
            </w:pPr>
            <w:r>
              <w:t>Clearing the Air: An Asthma Toolkit for Healthy Schools: Leaks &amp; Moisture</w:t>
            </w:r>
          </w:p>
        </w:tc>
        <w:tc>
          <w:tcPr>
            <w:tcW w:w="2160" w:type="dxa"/>
          </w:tcPr>
          <w:p w14:paraId="16FCA871" w14:textId="77777777" w:rsidR="0021481E" w:rsidRPr="00276B41" w:rsidRDefault="0021481E">
            <w:pPr>
              <w:pStyle w:val="TableText"/>
            </w:pPr>
            <w:r>
              <w:t>DPH, Health Resources in Action, MAAP</w:t>
            </w:r>
          </w:p>
        </w:tc>
        <w:tc>
          <w:tcPr>
            <w:tcW w:w="4405" w:type="dxa"/>
          </w:tcPr>
          <w:p w14:paraId="75D6C4C0" w14:textId="02AB74FB" w:rsidR="0021481E" w:rsidRPr="00276B41" w:rsidRDefault="0021481E">
            <w:pPr>
              <w:pStyle w:val="TableText"/>
            </w:pPr>
            <w:hyperlink r:id="rId295" w:history="1">
              <w:r w:rsidRPr="00613B86">
                <w:rPr>
                  <w:rStyle w:val="Hyperlink"/>
                </w:rPr>
                <w:t>https://www.maasthma.org/toolkit/leaks</w:t>
              </w:r>
            </w:hyperlink>
            <w:r>
              <w:t xml:space="preserve"> </w:t>
            </w:r>
          </w:p>
        </w:tc>
      </w:tr>
      <w:tr w:rsidR="0021481E" w:rsidRPr="00276B41" w14:paraId="44EA30FB" w14:textId="77777777">
        <w:tc>
          <w:tcPr>
            <w:tcW w:w="2785" w:type="dxa"/>
          </w:tcPr>
          <w:p w14:paraId="7943E199" w14:textId="77777777" w:rsidR="0021481E" w:rsidRPr="00276B41" w:rsidRDefault="0021481E">
            <w:pPr>
              <w:pStyle w:val="TableText"/>
            </w:pPr>
            <w:r>
              <w:t>Energy Savings Plus Health: Indoor Air Quality Guidelines for School Building Upgrades</w:t>
            </w:r>
          </w:p>
        </w:tc>
        <w:tc>
          <w:tcPr>
            <w:tcW w:w="2160" w:type="dxa"/>
          </w:tcPr>
          <w:p w14:paraId="3C32AF35" w14:textId="77777777" w:rsidR="0021481E" w:rsidRPr="00276B41" w:rsidRDefault="0021481E">
            <w:pPr>
              <w:pStyle w:val="TableText"/>
            </w:pPr>
            <w:r>
              <w:t>EPA</w:t>
            </w:r>
          </w:p>
        </w:tc>
        <w:tc>
          <w:tcPr>
            <w:tcW w:w="4405" w:type="dxa"/>
          </w:tcPr>
          <w:p w14:paraId="7F784B35" w14:textId="2D728A5D" w:rsidR="0021481E" w:rsidRPr="00276B41" w:rsidRDefault="0021481E">
            <w:pPr>
              <w:pStyle w:val="TableText"/>
            </w:pPr>
            <w:hyperlink r:id="rId296" w:history="1">
              <w:r w:rsidRPr="00613B86">
                <w:rPr>
                  <w:rStyle w:val="Hyperlink"/>
                </w:rPr>
                <w:t>https://www.epa.gov/sites/default/files/2014-10/documents/energy_savings_plus_health_guideline.pdf</w:t>
              </w:r>
            </w:hyperlink>
            <w:r>
              <w:t xml:space="preserve"> </w:t>
            </w:r>
          </w:p>
        </w:tc>
      </w:tr>
      <w:tr w:rsidR="0021481E" w:rsidRPr="00276B41" w14:paraId="13237535" w14:textId="77777777">
        <w:tc>
          <w:tcPr>
            <w:tcW w:w="2785" w:type="dxa"/>
          </w:tcPr>
          <w:p w14:paraId="6765E96B" w14:textId="77777777" w:rsidR="0021481E" w:rsidRDefault="0021481E">
            <w:pPr>
              <w:pStyle w:val="TableText"/>
            </w:pPr>
            <w:r>
              <w:t>Northeast CHPS Criteria for New Construction and Renovations, Version 4.0</w:t>
            </w:r>
          </w:p>
        </w:tc>
        <w:tc>
          <w:tcPr>
            <w:tcW w:w="2160" w:type="dxa"/>
          </w:tcPr>
          <w:p w14:paraId="4BB89EB6" w14:textId="77777777" w:rsidR="0021481E" w:rsidRDefault="0021481E">
            <w:pPr>
              <w:pStyle w:val="TableText"/>
            </w:pPr>
            <w:r>
              <w:t>NE-CHPS</w:t>
            </w:r>
          </w:p>
        </w:tc>
        <w:tc>
          <w:tcPr>
            <w:tcW w:w="4405" w:type="dxa"/>
          </w:tcPr>
          <w:p w14:paraId="04AD9B17" w14:textId="20948533" w:rsidR="0021481E" w:rsidRDefault="0021481E">
            <w:pPr>
              <w:pStyle w:val="TableText"/>
            </w:pPr>
            <w:hyperlink r:id="rId297" w:history="1">
              <w:r w:rsidRPr="00613B86">
                <w:rPr>
                  <w:rStyle w:val="Hyperlink"/>
                </w:rPr>
                <w:t>https://neep.org/sites/default/files/media-files/NE%20CHPS%20v4.0%20Clean%20Final%20Draft%20May%202022.pdf</w:t>
              </w:r>
            </w:hyperlink>
            <w:r>
              <w:t xml:space="preserve"> </w:t>
            </w:r>
          </w:p>
        </w:tc>
      </w:tr>
      <w:tr w:rsidR="0021481E" w:rsidRPr="00276B41" w14:paraId="228C9870" w14:textId="77777777">
        <w:tc>
          <w:tcPr>
            <w:tcW w:w="2785" w:type="dxa"/>
          </w:tcPr>
          <w:p w14:paraId="52544067" w14:textId="77777777" w:rsidR="0021481E" w:rsidRDefault="0021481E">
            <w:pPr>
              <w:pStyle w:val="TableText"/>
            </w:pPr>
            <w:r w:rsidRPr="00964E51">
              <w:t>Remediation and prevention of mold growth and water damage in public schools and buildings to maintain air quality</w:t>
            </w:r>
          </w:p>
        </w:tc>
        <w:tc>
          <w:tcPr>
            <w:tcW w:w="2160" w:type="dxa"/>
          </w:tcPr>
          <w:p w14:paraId="05379A92" w14:textId="77777777" w:rsidR="0021481E" w:rsidRDefault="0021481E">
            <w:pPr>
              <w:pStyle w:val="TableText"/>
            </w:pPr>
            <w:r>
              <w:t>DPH</w:t>
            </w:r>
          </w:p>
        </w:tc>
        <w:tc>
          <w:tcPr>
            <w:tcW w:w="4405" w:type="dxa"/>
          </w:tcPr>
          <w:p w14:paraId="41317CC6" w14:textId="6CEDE5DB" w:rsidR="0021481E" w:rsidRDefault="0021481E">
            <w:pPr>
              <w:pStyle w:val="TableText"/>
            </w:pPr>
            <w:hyperlink r:id="rId298" w:history="1">
              <w:r w:rsidRPr="00613B86">
                <w:rPr>
                  <w:rStyle w:val="Hyperlink"/>
                </w:rPr>
                <w:t>https://www.mass.gov/info-details/remediation-and-prevention-of-mold-growth-and-water-damage-in-public-schools-and-buildings-to-maintain-air-quality</w:t>
              </w:r>
            </w:hyperlink>
            <w:r>
              <w:t xml:space="preserve"> </w:t>
            </w:r>
          </w:p>
        </w:tc>
      </w:tr>
      <w:tr w:rsidR="0021481E" w:rsidRPr="00276B41" w14:paraId="44C8735F" w14:textId="77777777">
        <w:tc>
          <w:tcPr>
            <w:tcW w:w="2785" w:type="dxa"/>
          </w:tcPr>
          <w:p w14:paraId="06C0D8BB" w14:textId="77777777" w:rsidR="0021481E" w:rsidRPr="00276B41" w:rsidRDefault="0021481E">
            <w:pPr>
              <w:pStyle w:val="TableText"/>
            </w:pPr>
            <w:r>
              <w:t>Sensible Steps to Healthier School Environments</w:t>
            </w:r>
          </w:p>
        </w:tc>
        <w:tc>
          <w:tcPr>
            <w:tcW w:w="2160" w:type="dxa"/>
          </w:tcPr>
          <w:p w14:paraId="2F4741D2" w14:textId="77777777" w:rsidR="0021481E" w:rsidRPr="00276B41" w:rsidRDefault="0021481E">
            <w:pPr>
              <w:pStyle w:val="TableText"/>
            </w:pPr>
            <w:r>
              <w:t>EPA</w:t>
            </w:r>
          </w:p>
        </w:tc>
        <w:tc>
          <w:tcPr>
            <w:tcW w:w="4405" w:type="dxa"/>
          </w:tcPr>
          <w:p w14:paraId="5BB4DE7E" w14:textId="48F723E2" w:rsidR="0021481E" w:rsidRPr="00276B41" w:rsidRDefault="0021481E">
            <w:pPr>
              <w:pStyle w:val="TableText"/>
            </w:pPr>
            <w:hyperlink r:id="rId299" w:history="1">
              <w:r w:rsidRPr="00613B86">
                <w:rPr>
                  <w:rStyle w:val="Hyperlink"/>
                </w:rPr>
                <w:t>https://www.epa.gov/sites/default/files/2014-05/documents/sensible_steps.pdf</w:t>
              </w:r>
            </w:hyperlink>
            <w:r>
              <w:t xml:space="preserve"> </w:t>
            </w:r>
          </w:p>
        </w:tc>
      </w:tr>
      <w:tr w:rsidR="0021481E" w:rsidRPr="00276B41" w14:paraId="44398D53" w14:textId="77777777">
        <w:tc>
          <w:tcPr>
            <w:tcW w:w="2785" w:type="dxa"/>
          </w:tcPr>
          <w:p w14:paraId="58FED70E" w14:textId="77777777" w:rsidR="0021481E" w:rsidRDefault="0021481E">
            <w:pPr>
              <w:pStyle w:val="TableText"/>
            </w:pPr>
            <w:r>
              <w:t>Sensible Guide for Healthier School Renovations</w:t>
            </w:r>
          </w:p>
        </w:tc>
        <w:tc>
          <w:tcPr>
            <w:tcW w:w="2160" w:type="dxa"/>
          </w:tcPr>
          <w:p w14:paraId="438D223B" w14:textId="77777777" w:rsidR="0021481E" w:rsidRDefault="0021481E">
            <w:pPr>
              <w:pStyle w:val="TableText"/>
            </w:pPr>
            <w:r>
              <w:t>EPA</w:t>
            </w:r>
          </w:p>
        </w:tc>
        <w:tc>
          <w:tcPr>
            <w:tcW w:w="4405" w:type="dxa"/>
          </w:tcPr>
          <w:p w14:paraId="18670BBA" w14:textId="472C1A1A" w:rsidR="0021481E" w:rsidRDefault="0021481E">
            <w:pPr>
              <w:pStyle w:val="TableText"/>
            </w:pPr>
            <w:hyperlink r:id="rId300" w:history="1">
              <w:r w:rsidRPr="00613B86">
                <w:rPr>
                  <w:rStyle w:val="Hyperlink"/>
                </w:rPr>
                <w:t>https://www.epa.gov/sites/default/files/2016-01/documents/schools_renov_brochure-8_5x11_final.pdf</w:t>
              </w:r>
            </w:hyperlink>
            <w:r>
              <w:t xml:space="preserve"> </w:t>
            </w:r>
          </w:p>
        </w:tc>
      </w:tr>
    </w:tbl>
    <w:p w14:paraId="6EEF902D" w14:textId="77777777" w:rsidR="0021481E" w:rsidRPr="00263A6B" w:rsidRDefault="0021481E" w:rsidP="0021481E"/>
    <w:p w14:paraId="43CD970B" w14:textId="0CF38D1F" w:rsidR="007937B9" w:rsidRDefault="00630894" w:rsidP="001D30AE">
      <w:pPr>
        <w:pStyle w:val="AirQualitySubheading"/>
      </w:pPr>
      <w:bookmarkStart w:id="556" w:name="SectVII_2a5"/>
      <w:bookmarkEnd w:id="556"/>
      <w:r>
        <w:t>2a(5)</w:t>
      </w:r>
      <w:r>
        <w:tab/>
      </w:r>
      <w:r w:rsidR="007937B9" w:rsidRPr="007937B9">
        <w:t>Reduce Exposure to PCBs</w:t>
      </w:r>
    </w:p>
    <w:p w14:paraId="396EC6B5" w14:textId="77777777" w:rsidR="00AC06EB" w:rsidRDefault="00AC06EB" w:rsidP="00AC06EB">
      <w:pPr>
        <w:pStyle w:val="Heading3"/>
      </w:pPr>
      <w:r>
        <w:t>Methods and Best Practices</w:t>
      </w:r>
    </w:p>
    <w:p w14:paraId="69C9D742" w14:textId="77777777" w:rsidR="00AC06EB" w:rsidRPr="00645F0D" w:rsidRDefault="00AC06EB" w:rsidP="006D7DE6">
      <w:pPr>
        <w:pStyle w:val="BodyTextFirstIndent"/>
      </w:pPr>
      <w:r>
        <w:t>The methods and best practices described here cover identifying and removing PCBs from schools, considerations during renovations and repairs, and simple steps to reduce exposure to PCBs found in air and dust.</w:t>
      </w:r>
    </w:p>
    <w:p w14:paraId="7F53E015" w14:textId="77777777" w:rsidR="00AC06EB" w:rsidRDefault="00AC06EB" w:rsidP="00AC06EB">
      <w:pPr>
        <w:pStyle w:val="Heading4"/>
      </w:pPr>
      <w:r>
        <w:lastRenderedPageBreak/>
        <w:t>Identify and Remove Sources of PCBs</w:t>
      </w:r>
    </w:p>
    <w:p w14:paraId="4FC86F0D" w14:textId="77777777" w:rsidR="00AC06EB" w:rsidRPr="00645F0D" w:rsidRDefault="00AC06EB" w:rsidP="006D7DE6">
      <w:pPr>
        <w:pStyle w:val="BodyTextFirstIndent"/>
      </w:pPr>
      <w:r>
        <w:t>This section describes how to identify and remove PCBs from schools, starting with an inventory of potential PCB-containing materials and continuing with best practices for removing, encapsulating, and disposing of PCBs.</w:t>
      </w:r>
    </w:p>
    <w:p w14:paraId="57593571" w14:textId="77777777" w:rsidR="00AC06EB" w:rsidRDefault="00AC06EB" w:rsidP="00AC06EB">
      <w:pPr>
        <w:pStyle w:val="Heading5"/>
      </w:pPr>
      <w:r>
        <w:t>(1) Conduct an inventory of possible locations of PCB-containing materials</w:t>
      </w:r>
    </w:p>
    <w:p w14:paraId="14640339" w14:textId="5FCC1F5D" w:rsidR="00AC06EB" w:rsidRDefault="00AC06EB" w:rsidP="006D7DE6">
      <w:pPr>
        <w:pStyle w:val="BodyTextFirstIndent"/>
      </w:pPr>
      <w:r>
        <w:t xml:space="preserve">The first step in determining whether students and staff at a school are at risk of PCB exposure is determining where PCBs ≥50 ppm may be present in building materials. There is no visual standard for determining whether or not PCBs are present in building materials, </w:t>
      </w:r>
      <w:r w:rsidRPr="00801063">
        <w:t>but inspecting schools for potential sources of PCBs is a good place to</w:t>
      </w:r>
      <w:r>
        <w:t xml:space="preserve"> start.</w:t>
      </w:r>
      <w:r>
        <w:fldChar w:fldCharType="begin"/>
      </w:r>
      <w:r w:rsidR="002079E5">
        <w:instrText xml:space="preserve"> ADDIN ZOTERO_ITEM CSL_CITATION {"citationID":"ymDwNP93","properties":{"formattedCitation":"\\super 301,302\\nosupersub{}","plainCitation":"301,302","noteIndex":0},"citationItems":[{"id":292,"uris":["http://zotero.org/groups/5563646/items/S787C2SD"],"itemData":{"id":292,"type":"report","event-place":"Washington,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EPA","given":""}],"issued":{"date-parts":[["2021",5]]}}},{"id":455,"uris":["http://zotero.org/groups/5563646/items/V2PGCJMK"],"itemData":{"id":455,"type":"report","language":"en","number":"EPA-530-R-23-015","publisher":"U.S. Environmental Protection Agency","source":"Zotero","title":"Technical Guidance for Determining the Presence of Manufactured PCB Products in Buildings and Other Structures","URL":"https://www.epa.gov/system/files/documents/2023-09/Technical_Guidance_Determining_Presence_Manufactured_PCB_Products_Buildings_Structures.pdf","author":[{"family":"US EPA","given":""}],"issued":{"date-parts":[["2023",9]]}}}],"schema":"https://github.com/citation-style-language/schema/raw/master/csl-citation.json"} </w:instrText>
      </w:r>
      <w:r>
        <w:fldChar w:fldCharType="separate"/>
      </w:r>
      <w:r w:rsidR="002079E5" w:rsidRPr="002079E5">
        <w:rPr>
          <w:rFonts w:cs="Arial"/>
          <w:vertAlign w:val="superscript"/>
        </w:rPr>
        <w:t>301,302</w:t>
      </w:r>
      <w:r>
        <w:fldChar w:fldCharType="end"/>
      </w:r>
      <w:r>
        <w:t xml:space="preserve"> EPA recommends developing an inventory of all materials in the building that may contain PCBs. Historical records can help identify materials, areas, or parts of the school that were constructed or renovated between 1950 and 1979 or shortly after, and, therefore may contain PCBs.</w:t>
      </w:r>
      <w:r>
        <w:fldChar w:fldCharType="begin"/>
      </w:r>
      <w:r w:rsidR="00D80D0C">
        <w:instrText xml:space="preserve"> ADDIN ZOTERO_ITEM CSL_CITATION {"citationID":"3VRz5WHK","properties":{"formattedCitation":"\\super 301,302\\nosupersub{}","plainCitation":"301,302","noteIndex":0},"citationItems":[{"id":292,"uris":["http://zotero.org/groups/5563646/items/S787C2SD"],"itemData":{"id":292,"type":"report","event-place":"Washington,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EPA","given":""}],"issued":{"date-parts":[["2021",5]]}}},{"id":455,"uris":["http://zotero.org/groups/5563646/items/V2PGCJMK"],"itemData":{"id":455,"type":"report","language":"en","number":"EPA-530-R-23-015","publisher":"U.S. Environmental Protection Agency","source":"Zotero","title":"Technical Guidance for Determining the Presence of Manufactured PCB Products in Buildings and Other Structures","URL":"https://www.epa.gov/system/files/documents/2023-09/Technical_Guidance_Determining_Presence_Manufactured_PCB_Products_Buildings_Structures.pdf","author":[{"family":"US EPA","given":""}],"issued":{"date-parts":[["2023",9]]}}}],"schema":"https://github.com/citation-style-language/schema/raw/master/csl-citation.json"} </w:instrText>
      </w:r>
      <w:r>
        <w:fldChar w:fldCharType="separate"/>
      </w:r>
      <w:r w:rsidR="00D80D0C" w:rsidRPr="00D80D0C">
        <w:rPr>
          <w:rFonts w:cs="Arial"/>
          <w:vertAlign w:val="superscript"/>
        </w:rPr>
        <w:t>301,302</w:t>
      </w:r>
      <w:r>
        <w:fldChar w:fldCharType="end"/>
      </w:r>
    </w:p>
    <w:p w14:paraId="5BDC6D02" w14:textId="222921CF" w:rsidR="00AC06EB" w:rsidRDefault="00AC06EB" w:rsidP="006D7DE6">
      <w:pPr>
        <w:pStyle w:val="BodyTextFirstIndent"/>
      </w:pPr>
      <w:r>
        <w:t>PCBs have frequently been found in and around window and door frames, on surfaces, within expansion joints, and in areas subject to high heat or fires, such as boiler rooms.</w:t>
      </w:r>
      <w:r>
        <w:fldChar w:fldCharType="begin"/>
      </w:r>
      <w:r w:rsidR="00EE7563">
        <w:instrText xml:space="preserve"> ADDIN ZOTERO_ITEM CSL_CITATION {"citationID":"w6oj93ze","properties":{"formattedCitation":"\\super 301,302\\nosupersub{}","plainCitation":"301,302","noteIndex":0},"citationItems":[{"id":292,"uris":["http://zotero.org/groups/5563646/items/S787C2SD"],"itemData":{"id":292,"type":"report","event-place":"Washington,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EPA","given":""}],"issued":{"date-parts":[["2021",5]]}}},{"id":455,"uris":["http://zotero.org/groups/5563646/items/V2PGCJMK"],"itemData":{"id":455,"type":"report","language":"en","number":"EPA-530-R-23-015","publisher":"U.S. Environmental Protection Agency","source":"Zotero","title":"Technical Guidance for Determining the Presence of Manufactured PCB Products in Buildings and Other Structures","URL":"https://www.epa.gov/system/files/documents/2023-09/Technical_Guidance_Determining_Presence_Manufactured_PCB_Products_Buildings_Structures.pdf","author":[{"family":"US EPA","given":""}],"issued":{"date-parts":[["2023",9]]}}}],"schema":"https://github.com/citation-style-language/schema/raw/master/csl-citation.json"} </w:instrText>
      </w:r>
      <w:r>
        <w:fldChar w:fldCharType="separate"/>
      </w:r>
      <w:r w:rsidR="00EE7563" w:rsidRPr="00EE7563">
        <w:rPr>
          <w:rFonts w:cs="Arial"/>
          <w:vertAlign w:val="superscript"/>
        </w:rPr>
        <w:t>301,302</w:t>
      </w:r>
      <w:r>
        <w:fldChar w:fldCharType="end"/>
      </w:r>
      <w:r>
        <w:t xml:space="preserve"> Potential manufactured PCB products that may be present in schools include:</w:t>
      </w:r>
    </w:p>
    <w:p w14:paraId="324ED49F" w14:textId="77777777" w:rsidR="00AC06EB" w:rsidRPr="005F2B05" w:rsidRDefault="00AC06EB" w:rsidP="008131EB">
      <w:pPr>
        <w:pStyle w:val="ListBullet"/>
      </w:pPr>
      <w:r w:rsidRPr="005F2B05">
        <w:t>Paint, varnishes, and lacquers</w:t>
      </w:r>
    </w:p>
    <w:p w14:paraId="153FAB03" w14:textId="77777777" w:rsidR="00AC06EB" w:rsidRPr="005F2B05" w:rsidRDefault="00AC06EB" w:rsidP="008131EB">
      <w:pPr>
        <w:pStyle w:val="ListBullet"/>
      </w:pPr>
      <w:r w:rsidRPr="005F2B05">
        <w:t>Non-conducting materials in electrical cables (e.g., plastic and rubber)</w:t>
      </w:r>
    </w:p>
    <w:p w14:paraId="46903DFF" w14:textId="77777777" w:rsidR="00AC06EB" w:rsidRPr="005F2B05" w:rsidRDefault="00AC06EB" w:rsidP="008131EB">
      <w:pPr>
        <w:pStyle w:val="ListBullet"/>
      </w:pPr>
      <w:r w:rsidRPr="005F2B05">
        <w:t>Rubber and felt gaskets</w:t>
      </w:r>
    </w:p>
    <w:p w14:paraId="26A74A69" w14:textId="77777777" w:rsidR="00AC06EB" w:rsidRPr="005F2B05" w:rsidRDefault="00AC06EB" w:rsidP="008131EB">
      <w:pPr>
        <w:pStyle w:val="ListBullet"/>
      </w:pPr>
      <w:r w:rsidRPr="005F2B05">
        <w:t>Coal-tar enamel coatings (e.g., pipe coating) and rust inhibitor coatings</w:t>
      </w:r>
    </w:p>
    <w:p w14:paraId="7ADE71C3" w14:textId="77777777" w:rsidR="00AC06EB" w:rsidRPr="005F2B05" w:rsidRDefault="00AC06EB" w:rsidP="008131EB">
      <w:pPr>
        <w:pStyle w:val="ListBullet"/>
      </w:pPr>
      <w:r w:rsidRPr="005F2B05">
        <w:t>Insulation materials (e.g., fiberglass, felt, foam, and cork)</w:t>
      </w:r>
    </w:p>
    <w:p w14:paraId="42BF3AF4" w14:textId="77777777" w:rsidR="00AC06EB" w:rsidRPr="005F2B05" w:rsidRDefault="00AC06EB" w:rsidP="008131EB">
      <w:pPr>
        <w:pStyle w:val="ListBullet"/>
      </w:pPr>
      <w:r w:rsidRPr="005F2B05">
        <w:t>Adhesives and tapes</w:t>
      </w:r>
    </w:p>
    <w:p w14:paraId="3D4578E2" w14:textId="77777777" w:rsidR="00AC06EB" w:rsidRPr="005F2B05" w:rsidRDefault="00AC06EB" w:rsidP="008131EB">
      <w:pPr>
        <w:pStyle w:val="ListBullet"/>
      </w:pPr>
      <w:r w:rsidRPr="005F2B05">
        <w:t>Caulk, grout, and joint material (e.g., putty, silicon, and bitumen)</w:t>
      </w:r>
    </w:p>
    <w:p w14:paraId="2D3B5291" w14:textId="77777777" w:rsidR="00AC06EB" w:rsidRPr="005F2B05" w:rsidRDefault="00AC06EB" w:rsidP="008131EB">
      <w:pPr>
        <w:pStyle w:val="ListBullet"/>
      </w:pPr>
      <w:r w:rsidRPr="005F2B05">
        <w:t>Pipe hangers</w:t>
      </w:r>
    </w:p>
    <w:p w14:paraId="57DB3DB2" w14:textId="77777777" w:rsidR="00AC06EB" w:rsidRPr="005F2B05" w:rsidRDefault="00AC06EB" w:rsidP="008131EB">
      <w:pPr>
        <w:pStyle w:val="ListBullet"/>
      </w:pPr>
      <w:r w:rsidRPr="005F2B05">
        <w:t xml:space="preserve">Plastic applications, including vinyl and </w:t>
      </w:r>
      <w:r>
        <w:t>polyvinyl chloride</w:t>
      </w:r>
    </w:p>
    <w:p w14:paraId="10DAB846" w14:textId="77777777" w:rsidR="00AC06EB" w:rsidRPr="005F2B05" w:rsidRDefault="00AC06EB" w:rsidP="008131EB">
      <w:pPr>
        <w:pStyle w:val="ListBullet"/>
      </w:pPr>
      <w:r w:rsidRPr="005F2B05">
        <w:t>Galbestos siding</w:t>
      </w:r>
    </w:p>
    <w:p w14:paraId="31DC0A68" w14:textId="77777777" w:rsidR="00AC06EB" w:rsidRPr="005F2B05" w:rsidRDefault="00AC06EB" w:rsidP="008131EB">
      <w:pPr>
        <w:pStyle w:val="ListBullet"/>
      </w:pPr>
      <w:r w:rsidRPr="005F2B05">
        <w:t>Mastics</w:t>
      </w:r>
    </w:p>
    <w:p w14:paraId="6187FB5D" w14:textId="77777777" w:rsidR="00AC06EB" w:rsidRPr="005F2B05" w:rsidRDefault="00AC06EB" w:rsidP="008131EB">
      <w:pPr>
        <w:pStyle w:val="ListBullet"/>
      </w:pPr>
      <w:r w:rsidRPr="005F2B05">
        <w:t>Acoustic ceiling and floor tiles</w:t>
      </w:r>
    </w:p>
    <w:p w14:paraId="38C318D8" w14:textId="77777777" w:rsidR="00AC06EB" w:rsidRPr="005F2B05" w:rsidRDefault="00AC06EB" w:rsidP="008131EB">
      <w:pPr>
        <w:pStyle w:val="ListBullet"/>
      </w:pPr>
      <w:r w:rsidRPr="005F2B05">
        <w:t>Asphalt roofing and tar paper</w:t>
      </w:r>
    </w:p>
    <w:p w14:paraId="2F9CEC30" w14:textId="77777777" w:rsidR="00AC06EB" w:rsidRPr="005F2B05" w:rsidRDefault="00AC06EB" w:rsidP="008131EB">
      <w:pPr>
        <w:pStyle w:val="ListBullet"/>
      </w:pPr>
      <w:r w:rsidRPr="005F2B05">
        <w:t>Synthetic resins and floor varnish</w:t>
      </w:r>
    </w:p>
    <w:p w14:paraId="321DBF7C" w14:textId="47D3AED5" w:rsidR="00AC06EB" w:rsidRDefault="00AC06EB" w:rsidP="008131EB">
      <w:pPr>
        <w:pStyle w:val="ListBullet"/>
      </w:pPr>
      <w:r w:rsidRPr="005F2B05">
        <w:t>Sprayed-on fireproofing</w:t>
      </w:r>
      <w:r>
        <w:fldChar w:fldCharType="begin"/>
      </w:r>
      <w:r w:rsidR="004D0B2D">
        <w:instrText xml:space="preserve"> ADDIN ZOTERO_ITEM CSL_CITATION {"citationID":"Wzijh6U4","properties":{"formattedCitation":"\\super 301\\nosupersub{}","plainCitation":"301","noteIndex":0},"citationItems":[{"id":292,"uris":["http://zotero.org/groups/5563646/items/S787C2SD"],"itemData":{"id":292,"type":"report","event-place":"Washington,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4D0B2D" w:rsidRPr="004D0B2D">
        <w:rPr>
          <w:rFonts w:cs="Arial"/>
          <w:vertAlign w:val="superscript"/>
        </w:rPr>
        <w:t>301</w:t>
      </w:r>
      <w:r>
        <w:fldChar w:fldCharType="end"/>
      </w:r>
    </w:p>
    <w:p w14:paraId="3A47CDEA" w14:textId="202A6113" w:rsidR="00AC06EB" w:rsidRPr="005F2B05" w:rsidRDefault="00AC06EB" w:rsidP="008131EB">
      <w:pPr>
        <w:pStyle w:val="ListBullet"/>
      </w:pPr>
      <w:r>
        <w:t>Fluorescent light ballasts</w:t>
      </w:r>
      <w:r>
        <w:fldChar w:fldCharType="begin"/>
      </w:r>
      <w:r w:rsidR="00EF4D48">
        <w:instrText xml:space="preserve"> ADDIN ZOTERO_ITEM CSL_CITATION {"citationID":"34RdqBUI","properties":{"formattedCitation":"\\super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EF4D48" w:rsidRPr="00EF4D48">
        <w:rPr>
          <w:rFonts w:cs="Arial"/>
          <w:vertAlign w:val="superscript"/>
        </w:rPr>
        <w:t>101</w:t>
      </w:r>
      <w:r>
        <w:fldChar w:fldCharType="end"/>
      </w:r>
    </w:p>
    <w:p w14:paraId="6FB369FD" w14:textId="323EDC44" w:rsidR="00AC06EB" w:rsidRPr="00884BF9" w:rsidRDefault="00AC06EB" w:rsidP="006D7DE6">
      <w:pPr>
        <w:pStyle w:val="BodyTextFirstIndent"/>
      </w:pPr>
      <w:r w:rsidRPr="00926BF3">
        <w:rPr>
          <w:noProof/>
        </w:rPr>
        <w:lastRenderedPageBreak/>
        <mc:AlternateContent>
          <mc:Choice Requires="wps">
            <w:drawing>
              <wp:anchor distT="0" distB="0" distL="114300" distR="114300" simplePos="0" relativeHeight="251686400" behindDoc="0" locked="0" layoutInCell="1" allowOverlap="1" wp14:anchorId="778E0116" wp14:editId="1DCCAF31">
                <wp:simplePos x="0" y="0"/>
                <wp:positionH relativeFrom="margin">
                  <wp:posOffset>4356735</wp:posOffset>
                </wp:positionH>
                <wp:positionV relativeFrom="paragraph">
                  <wp:posOffset>273685</wp:posOffset>
                </wp:positionV>
                <wp:extent cx="1466850" cy="1473200"/>
                <wp:effectExtent l="0" t="0" r="19050" b="12700"/>
                <wp:wrapSquare wrapText="bothSides"/>
                <wp:docPr id="1584168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73200"/>
                        </a:xfrm>
                        <a:prstGeom prst="rect">
                          <a:avLst/>
                        </a:prstGeom>
                        <a:solidFill>
                          <a:srgbClr val="DCE6F2"/>
                        </a:solidFill>
                        <a:ln w="9525">
                          <a:solidFill>
                            <a:srgbClr val="000000"/>
                          </a:solidFill>
                          <a:miter lim="800000"/>
                          <a:headEnd/>
                          <a:tailEnd/>
                        </a:ln>
                      </wps:spPr>
                      <wps:txbx>
                        <w:txbxContent>
                          <w:p w14:paraId="2535C979" w14:textId="77777777" w:rsidR="00AC06EB" w:rsidRDefault="00AC06EB" w:rsidP="00AC06EB">
                            <w:pPr>
                              <w:pStyle w:val="TextBoxTitle"/>
                            </w:pPr>
                            <w:r>
                              <w:t>Check FLBs for PCBs</w:t>
                            </w:r>
                          </w:p>
                          <w:p w14:paraId="1B7EE3A7" w14:textId="77777777" w:rsidR="00AC06EB" w:rsidRPr="00DE1CDE" w:rsidRDefault="00AC06EB" w:rsidP="00AC06EB">
                            <w:pPr>
                              <w:pStyle w:val="TextBoxText"/>
                            </w:pPr>
                            <w:r w:rsidRPr="00B649D7">
                              <w:t xml:space="preserve">EPA provides detailed </w:t>
                            </w:r>
                            <w:hyperlink r:id="rId301" w:history="1">
                              <w:r w:rsidRPr="00B649D7">
                                <w:rPr>
                                  <w:rStyle w:val="Hyperlink"/>
                                </w:rPr>
                                <w:t>recommendations on how to check FLBs for PCBs</w:t>
                              </w:r>
                            </w:hyperlink>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8E0116" id="_x0000_s1066" type="#_x0000_t202" style="position:absolute;margin-left:343.05pt;margin-top:21.55pt;width:115.5pt;height:116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" fillcolor="#dce6f2">
                <v:textbox>
                  <w:txbxContent>
                    <w:p w14:paraId="2535C979" w14:textId="77777777" w:rsidR="00AC06EB" w:rsidRDefault="00AC06EB" w:rsidP="00AC06EB">
                      <w:pPr>
                        <w:pStyle w:val="TextBoxTitle"/>
                      </w:pPr>
                      <w:r>
                        <w:t>Check FLBs for PCBs</w:t>
                      </w:r>
                    </w:p>
                    <w:p w14:paraId="1B7EE3A7" w14:textId="77777777" w:rsidR="00AC06EB" w:rsidRPr="00DE1CDE" w:rsidRDefault="00AC06EB" w:rsidP="00AC06EB">
                      <w:pPr>
                        <w:pStyle w:val="TextBoxText"/>
                      </w:pPr>
                      <w:r w:rsidRPr="00B649D7">
                        <w:t xml:space="preserve">EPA provides detailed </w:t>
                      </w:r>
                      <w:hyperlink r:id="rId302" w:history="1">
                        <w:r w:rsidRPr="00B649D7">
                          <w:rPr>
                            <w:rStyle w:val="Hyperlink"/>
                          </w:rPr>
                          <w:t>recommendations on how to check FLBs for PCBs</w:t>
                        </w:r>
                      </w:hyperlink>
                      <w:r>
                        <w:t>.</w:t>
                      </w:r>
                    </w:p>
                  </w:txbxContent>
                </v:textbox>
                <w10:wrap type="square" anchorx="margin"/>
              </v:shape>
            </w:pict>
          </mc:Fallback>
        </mc:AlternateContent>
      </w:r>
      <w:r>
        <w:t>Fluorescent light ballasts (FLBs) manufactured before 1979 are another common source of PCBs in schools.</w:t>
      </w:r>
      <w:r>
        <w:fldChar w:fldCharType="begin"/>
      </w:r>
      <w:r w:rsidR="00152C8F">
        <w:instrText xml:space="preserve"> ADDIN ZOTERO_ITEM CSL_CITATION {"citationID":"H09mqc0W","properties":{"formattedCitation":"\\super 104,303\\nosupersub{}","plainCitation":"104,303","noteIndex":0},"citationItems":[{"id":291,"uris":["http://zotero.org/groups/5563646/items/T66VYICJ"],"itemData":{"id":291,"type":"webpage","abstract":"PCB-Containing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152C8F" w:rsidRPr="00152C8F">
        <w:rPr>
          <w:rFonts w:cs="Arial"/>
          <w:vertAlign w:val="superscript"/>
        </w:rPr>
        <w:t>104,303</w:t>
      </w:r>
      <w:r>
        <w:fldChar w:fldCharType="end"/>
      </w:r>
      <w:r>
        <w:t xml:space="preserve"> </w:t>
      </w:r>
      <w:r w:rsidRPr="007B0DCD">
        <w:t xml:space="preserve">PCBs </w:t>
      </w:r>
      <w:r>
        <w:t>can be found in</w:t>
      </w:r>
      <w:r w:rsidRPr="007B0DCD">
        <w:t xml:space="preserve"> the FLB capacitors and interior potting material of old magnetic T12 lighting fixtures.</w:t>
      </w:r>
      <w:r>
        <w:fldChar w:fldCharType="begin"/>
      </w:r>
      <w:r w:rsidR="00B77976">
        <w:instrText xml:space="preserve"> ADDIN ZOTERO_ITEM CSL_CITATION {"citationID":"eU0U9egY","properties":{"formattedCitation":"\\super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fldChar w:fldCharType="separate"/>
      </w:r>
      <w:r w:rsidR="00B77976" w:rsidRPr="00B77976">
        <w:rPr>
          <w:rFonts w:cs="Arial"/>
          <w:vertAlign w:val="superscript"/>
        </w:rPr>
        <w:t>303</w:t>
      </w:r>
      <w:r>
        <w:fldChar w:fldCharType="end"/>
      </w:r>
      <w:r>
        <w:t xml:space="preserve"> FLBs manufactured between 1978 and 1998 that do not contain PCBs were required to be labeled “No PCBs,” and newer lighting tends to use electronic ballasts that do not contain PCBs and should be marked as electronic. FLBs that are not electronic or manufactured before 1998 and not labeled as “No PCBs” should be assumed to contain PCBs unless the manufacturer can confirm otherwise.</w:t>
      </w:r>
      <w:r>
        <w:fldChar w:fldCharType="begin"/>
      </w:r>
      <w:r w:rsidR="00DE329E">
        <w:instrText xml:space="preserve"> ADDIN ZOTERO_ITEM CSL_CITATION {"citationID":"Dsfpt0PR","properties":{"formattedCitation":"\\super 104,303\\nosupersub{}","plainCitation":"104,303","noteIndex":0},"citationItems":[{"id":291,"uris":["http://zotero.org/groups/5563646/items/T66VYICJ"],"itemData":{"id":291,"type":"webpage","abstract":"PCB-Containing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DE329E" w:rsidRPr="00DE329E">
        <w:rPr>
          <w:rFonts w:cs="Arial"/>
          <w:vertAlign w:val="superscript"/>
        </w:rPr>
        <w:t>104,303</w:t>
      </w:r>
      <w:r>
        <w:fldChar w:fldCharType="end"/>
      </w:r>
      <w:r>
        <w:t xml:space="preserve">  </w:t>
      </w:r>
    </w:p>
    <w:p w14:paraId="50F602E6" w14:textId="77777777" w:rsidR="00AC06EB" w:rsidRPr="00547BC7" w:rsidRDefault="00AC06EB" w:rsidP="00AC06EB">
      <w:pPr>
        <w:pStyle w:val="Heading5"/>
      </w:pPr>
      <w:r>
        <w:t>(2) Conduct PCB sampling to confirm presence of PCBs</w:t>
      </w:r>
    </w:p>
    <w:p w14:paraId="08DA124A" w14:textId="1C7B205F" w:rsidR="00AC06EB" w:rsidRDefault="00AC06EB" w:rsidP="006D7DE6">
      <w:pPr>
        <w:pStyle w:val="BodyTextFirstIndent"/>
      </w:pPr>
      <w:r>
        <w:t>If leaders suspect that PCBs are present in school building materials, then schools should test the air and surfaces around the potential sources of PCBs to determine whether PCB exposure is occurring.</w:t>
      </w:r>
      <w:r>
        <w:fldChar w:fldCharType="begin"/>
      </w:r>
      <w:r w:rsidR="00A67CF0">
        <w:instrText xml:space="preserve"> ADDIN ZOTERO_ITEM CSL_CITATION {"citationID":"P9jXDi4y","properties":{"formattedCitation":"\\super 106,301\\nosupersub{}","plainCitation":"106,301","noteIndex":0},"citationItems":[{"id":216,"uris":["http://zotero.org/groups/5563646/items/GXPG886H"],"itemData":{"id":216,"type":"webpage","abstract":"Information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A67CF0" w:rsidRPr="00A67CF0">
        <w:rPr>
          <w:rFonts w:cs="Arial"/>
          <w:vertAlign w:val="superscript"/>
        </w:rPr>
        <w:t>106,301</w:t>
      </w:r>
      <w:r>
        <w:fldChar w:fldCharType="end"/>
      </w:r>
      <w:r>
        <w:t xml:space="preserve"> If PCBs are present in an intact material, such as caulking that is not deteriorating, then no appreciable PCB exposure or health effects would be expected.</w:t>
      </w:r>
      <w:r>
        <w:fldChar w:fldCharType="begin"/>
      </w:r>
      <w:r w:rsidR="0045128D">
        <w:instrText xml:space="preserve"> ADDIN ZOTERO_ITEM CSL_CITATION {"citationID":"MINvF4X2","properties":{"formattedCitation":"\\super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fldChar w:fldCharType="separate"/>
      </w:r>
      <w:r w:rsidR="0045128D" w:rsidRPr="0045128D">
        <w:rPr>
          <w:rFonts w:cs="Arial"/>
          <w:vertAlign w:val="superscript"/>
        </w:rPr>
        <w:t>106</w:t>
      </w:r>
      <w:r>
        <w:fldChar w:fldCharType="end"/>
      </w:r>
      <w:r>
        <w:t xml:space="preserve"> If caulking or other PCB-containing materials are deteriorating or damaged, then air and surface wipe testing near the source is recommended.</w:t>
      </w:r>
      <w:r>
        <w:fldChar w:fldCharType="begin"/>
      </w:r>
      <w:r w:rsidR="00F22625">
        <w:instrText xml:space="preserve"> ADDIN ZOTERO_ITEM CSL_CITATION {"citationID":"dQjFsK07","properties":{"formattedCitation":"\\super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fldChar w:fldCharType="separate"/>
      </w:r>
      <w:r w:rsidR="00F22625" w:rsidRPr="00F22625">
        <w:rPr>
          <w:rFonts w:cs="Arial"/>
          <w:vertAlign w:val="superscript"/>
        </w:rPr>
        <w:t>106</w:t>
      </w:r>
      <w:r>
        <w:fldChar w:fldCharType="end"/>
      </w:r>
      <w:r>
        <w:t xml:space="preserve"> Similar testing should be conducted in an area without deteriorating caulking to use as a comparison.</w:t>
      </w:r>
      <w:r>
        <w:fldChar w:fldCharType="begin"/>
      </w:r>
      <w:r w:rsidR="00E956E5">
        <w:instrText xml:space="preserve"> ADDIN ZOTERO_ITEM CSL_CITATION {"citationID":"bXhnIdSO","properties":{"formattedCitation":"\\super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fldChar w:fldCharType="separate"/>
      </w:r>
      <w:r w:rsidR="00E956E5" w:rsidRPr="00E956E5">
        <w:rPr>
          <w:rFonts w:cs="Arial"/>
          <w:vertAlign w:val="superscript"/>
        </w:rPr>
        <w:t>106</w:t>
      </w:r>
      <w:r>
        <w:fldChar w:fldCharType="end"/>
      </w:r>
      <w:r>
        <w:t xml:space="preserve"> The results of this testing can inform abatement activities, cleaning procedures, and the implementation of other measures to reduce exposure.</w:t>
      </w:r>
      <w:r>
        <w:fldChar w:fldCharType="begin"/>
      </w:r>
      <w:r w:rsidR="004E2906">
        <w:instrText xml:space="preserve"> ADDIN ZOTERO_ITEM CSL_CITATION {"citationID":"4J8KxjQr","properties":{"formattedCitation":"\\super 106,301\\nosupersub{}","plainCitation":"106,301","noteIndex":0},"citationItems":[{"id":216,"uris":["http://zotero.org/groups/5563646/items/GXPG886H"],"itemData":{"id":216,"type":"webpage","abstract":"Information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4E2906" w:rsidRPr="004E2906">
        <w:rPr>
          <w:rFonts w:cs="Arial"/>
          <w:vertAlign w:val="superscript"/>
        </w:rPr>
        <w:t>106,301</w:t>
      </w:r>
      <w:r>
        <w:fldChar w:fldCharType="end"/>
      </w:r>
    </w:p>
    <w:p w14:paraId="30FC6777" w14:textId="3F937C00" w:rsidR="00AC06EB" w:rsidRDefault="00AC06EB" w:rsidP="006D7DE6">
      <w:pPr>
        <w:pStyle w:val="BodyTextFirstIndent"/>
      </w:pPr>
      <w:r>
        <w:t>Following the inventory of potential PCB-containing materials, the building operator may choose to assume that they contain PCBs ≥ 50 ppm or test the composition of the potential PCB-containing materials.</w:t>
      </w:r>
      <w:r>
        <w:fldChar w:fldCharType="begin"/>
      </w:r>
      <w:r w:rsidR="008D218E">
        <w:instrText xml:space="preserve"> ADDIN ZOTERO_ITEM CSL_CITATION {"citationID":"5YP6NGvc","properties":{"formattedCitation":"\\super 301\\nosupersub{}","plainCitation":"301","noteIndex":0},"citationItems":[{"id":292,"uris":["http://zotero.org/groups/5563646/items/S787C2SD"],"itemData":{"id":292,"type":"report","event-place":"Washington,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8D218E" w:rsidRPr="008D218E">
        <w:rPr>
          <w:rFonts w:cs="Arial"/>
          <w:vertAlign w:val="superscript"/>
        </w:rPr>
        <w:t>301</w:t>
      </w:r>
      <w:r>
        <w:fldChar w:fldCharType="end"/>
      </w:r>
      <w:r>
        <w:t xml:space="preserve"> If a school chooses to test materials, EPA recommends developing a building material sampling plan that considers current and future building use as well as remediation goals.</w:t>
      </w:r>
      <w:r>
        <w:fldChar w:fldCharType="begin"/>
      </w:r>
      <w:r w:rsidR="008F690A">
        <w:instrText xml:space="preserve"> ADDIN ZOTERO_ITEM CSL_CITATION {"citationID":"oo3uX193","properties":{"formattedCitation":"\\super 301\\nosupersub{}","plainCitation":"301","noteIndex":0},"citationItems":[{"id":292,"uris":["http://zotero.org/groups/5563646/items/S787C2SD"],"itemData":{"id":292,"type":"report","event-place":"Washington,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8F690A" w:rsidRPr="008F690A">
        <w:rPr>
          <w:rFonts w:cs="Arial"/>
          <w:vertAlign w:val="superscript"/>
        </w:rPr>
        <w:t>301</w:t>
      </w:r>
      <w:r>
        <w:fldChar w:fldCharType="end"/>
      </w:r>
      <w:r w:rsidRPr="00E32206">
        <w:t xml:space="preserve"> </w:t>
      </w:r>
      <w:r>
        <w:t>When testing for PCBs present in building materials, it is also important to consider porous materials that surround the materials that contain PCBs.</w:t>
      </w:r>
      <w:r>
        <w:fldChar w:fldCharType="begin"/>
      </w:r>
      <w:r w:rsidR="009A2241">
        <w:instrText xml:space="preserve"> ADDIN ZOTERO_ITEM CSL_CITATION {"citationID":"e8NRPmdF","properties":{"formattedCitation":"\\super 301\\nosupersub{}","plainCitation":"301","noteIndex":0},"citationItems":[{"id":292,"uris":["http://zotero.org/groups/5563646/items/S787C2SD"],"itemData":{"id":292,"type":"report","event-place":"Washington, DC","language":"en","publisher":"U.S. Environmental Protection Agency","publisher-place":"Washington, DC","source":"Zotero","title":"PCBs in Building Materials: Determining the Presence of Manufactured PCB Products in Buildings or Other Structures","URL":"https://www.epa.gov/sites/default/files/2021-05/documents/final_pcb_buildings_fact_sheet_05-10-2021_to_upload.pdf","author":[{"family":"US EPA","given":""}],"issued":{"date-parts":[["2021",5]]}}}],"schema":"https://github.com/citation-style-language/schema/raw/master/csl-citation.json"} </w:instrText>
      </w:r>
      <w:r>
        <w:fldChar w:fldCharType="separate"/>
      </w:r>
      <w:r w:rsidR="009A2241" w:rsidRPr="009A2241">
        <w:rPr>
          <w:rFonts w:cs="Arial"/>
          <w:vertAlign w:val="superscript"/>
        </w:rPr>
        <w:t>301</w:t>
      </w:r>
      <w:r>
        <w:fldChar w:fldCharType="end"/>
      </w:r>
      <w:r>
        <w:t xml:space="preserve"> The </w:t>
      </w:r>
      <w:hyperlink r:id="rId303" w:history="1">
        <w:r w:rsidRPr="00D65136">
          <w:rPr>
            <w:rStyle w:val="Hyperlink"/>
          </w:rPr>
          <w:t>EPA Technical Guidance for Determining the Presence of Manufactured PCB Products in Buildings and Other Structures</w:t>
        </w:r>
      </w:hyperlink>
      <w:r>
        <w:t xml:space="preserve"> can be used as a guide for sampling site selection, collection, and analysis.</w:t>
      </w:r>
      <w:r>
        <w:fldChar w:fldCharType="begin"/>
      </w:r>
      <w:r w:rsidR="009C1AEC">
        <w:instrText xml:space="preserve"> ADDIN ZOTERO_ITEM CSL_CITATION {"citationID":"fluChzeC","properties":{"formattedCitation":"\\super 302\\nosupersub{}","plainCitation":"302","noteIndex":0},"citationItems":[{"id":455,"uris":["http://zotero.org/groups/5563646/items/V2PGCJMK"],"itemData":{"id":455,"type":"report","language":"en","number":"EPA-530-R-23-015","publisher":"U.S. Environmental Protection Agency","source":"Zotero","title":"Technical Guidance for Determining the Presence of Manufactured PCB Products in Buildings and Other Structures","URL":"https://www.epa.gov/system/files/documents/2023-09/Technical_Guidance_Determining_Presence_Manufactured_PCB_Products_Buildings_Structures.pdf","author":[{"family":"US EPA","given":""}],"issued":{"date-parts":[["2023",9]]}}}],"schema":"https://github.com/citation-style-language/schema/raw/master/csl-citation.json"} </w:instrText>
      </w:r>
      <w:r>
        <w:fldChar w:fldCharType="separate"/>
      </w:r>
      <w:r w:rsidR="009C1AEC" w:rsidRPr="009C1AEC">
        <w:rPr>
          <w:rFonts w:cs="Arial"/>
          <w:vertAlign w:val="superscript"/>
        </w:rPr>
        <w:t>302</w:t>
      </w:r>
      <w:r>
        <w:fldChar w:fldCharType="end"/>
      </w:r>
      <w:r>
        <w:t xml:space="preserve"> DPH does not recommend disturbing intact materials for testing, as available data suggest that no appreciable exposure is likely from intact materials containing PCBs.</w:t>
      </w:r>
      <w:r>
        <w:fldChar w:fldCharType="begin"/>
      </w:r>
      <w:r w:rsidR="00D420CE">
        <w:instrText xml:space="preserve"> ADDIN ZOTERO_ITEM CSL_CITATION {"citationID":"veFkirBT","properties":{"formattedCitation":"\\super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fldChar w:fldCharType="separate"/>
      </w:r>
      <w:r w:rsidR="00D420CE" w:rsidRPr="00D420CE">
        <w:rPr>
          <w:rFonts w:cs="Arial"/>
          <w:vertAlign w:val="superscript"/>
        </w:rPr>
        <w:t>106</w:t>
      </w:r>
      <w:r>
        <w:fldChar w:fldCharType="end"/>
      </w:r>
      <w:r>
        <w:t xml:space="preserve"> Information about exposure can be determined through air and surface wipe testing as described above.</w:t>
      </w:r>
      <w:r>
        <w:fldChar w:fldCharType="begin"/>
      </w:r>
      <w:r w:rsidR="002003B6">
        <w:instrText xml:space="preserve"> ADDIN ZOTERO_ITEM CSL_CITATION {"citationID":"qnC69GuY","properties":{"formattedCitation":"\\super 106\\nosupersub{}","plainCitation":"106","noteIndex":0},"citationItems":[{"id":216,"uris":["http://zotero.org/groups/5563646/items/GXPG886H"],"itemData":{"id":216,"type":"webpage","abstract":"Information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schema":"https://github.com/citation-style-language/schema/raw/master/csl-citation.json"} </w:instrText>
      </w:r>
      <w:r>
        <w:fldChar w:fldCharType="separate"/>
      </w:r>
      <w:r w:rsidR="002003B6" w:rsidRPr="002003B6">
        <w:rPr>
          <w:rFonts w:cs="Arial"/>
          <w:vertAlign w:val="superscript"/>
        </w:rPr>
        <w:t>106</w:t>
      </w:r>
      <w:r>
        <w:fldChar w:fldCharType="end"/>
      </w:r>
      <w:r>
        <w:t xml:space="preserve"> A consultant can be hired to conduct surface wipe testing or testing can be done by school personnel and sent to an analytical laboratory. EPA</w:t>
      </w:r>
      <w:r w:rsidR="002C3A64">
        <w:t>’s</w:t>
      </w:r>
      <w:r>
        <w:t xml:space="preserve"> regional office can help identify contractors or laboratories for testing (see </w:t>
      </w:r>
      <w:r>
        <w:fldChar w:fldCharType="begin"/>
      </w:r>
      <w:r>
        <w:instrText xml:space="preserve"> REF _Ref171628755 \h </w:instrText>
      </w:r>
      <w:r>
        <w:fldChar w:fldCharType="separate"/>
      </w:r>
      <w:r w:rsidR="00307850">
        <w:t xml:space="preserve">Table </w:t>
      </w:r>
      <w:r w:rsidR="00307850">
        <w:rPr>
          <w:noProof/>
        </w:rPr>
        <w:t>67</w:t>
      </w:r>
      <w:r>
        <w:fldChar w:fldCharType="end"/>
      </w:r>
      <w:r>
        <w:t xml:space="preserve"> for relevant contact information for EPA Region 1, which encompasses Massachusetts). </w:t>
      </w:r>
    </w:p>
    <w:p w14:paraId="15AD3C5E" w14:textId="77777777" w:rsidR="00BF2753" w:rsidRDefault="00BF2753">
      <w:pPr>
        <w:rPr>
          <w:rFonts w:ascii="Arial" w:hAnsi="Arial"/>
          <w:b/>
          <w:i/>
          <w:color w:val="1F497D"/>
          <w:sz w:val="24"/>
        </w:rPr>
      </w:pPr>
      <w:r>
        <w:br w:type="page"/>
      </w:r>
    </w:p>
    <w:p w14:paraId="5E1A1E1D" w14:textId="65876151" w:rsidR="00AC06EB" w:rsidRDefault="00AC06EB" w:rsidP="00AC06EB">
      <w:pPr>
        <w:pStyle w:val="Heading5"/>
      </w:pPr>
      <w:r>
        <w:lastRenderedPageBreak/>
        <w:t>(3) Remove building materials with PCBs ≥50 ppm</w:t>
      </w:r>
    </w:p>
    <w:p w14:paraId="2B022F3B" w14:textId="05E722AC" w:rsidR="00AC06EB" w:rsidRDefault="00AC06EB" w:rsidP="006D7DE6">
      <w:pPr>
        <w:pStyle w:val="BodyTextFirstIndent"/>
      </w:pPr>
      <w:r w:rsidRPr="00926BF3">
        <w:rPr>
          <w:noProof/>
        </w:rPr>
        <mc:AlternateContent>
          <mc:Choice Requires="wps">
            <w:drawing>
              <wp:anchor distT="0" distB="0" distL="114300" distR="114300" simplePos="0" relativeHeight="251688448" behindDoc="0" locked="0" layoutInCell="1" allowOverlap="1" wp14:anchorId="5069AA90" wp14:editId="00C14642">
                <wp:simplePos x="0" y="0"/>
                <wp:positionH relativeFrom="margin">
                  <wp:align>left</wp:align>
                </wp:positionH>
                <wp:positionV relativeFrom="paragraph">
                  <wp:posOffset>698500</wp:posOffset>
                </wp:positionV>
                <wp:extent cx="1860550" cy="1851660"/>
                <wp:effectExtent l="0" t="0" r="25400" b="15240"/>
                <wp:wrapSquare wrapText="bothSides"/>
                <wp:docPr id="304905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851660"/>
                        </a:xfrm>
                        <a:prstGeom prst="rect">
                          <a:avLst/>
                        </a:prstGeom>
                        <a:solidFill>
                          <a:srgbClr val="DCE6F2"/>
                        </a:solidFill>
                        <a:ln w="9525">
                          <a:solidFill>
                            <a:srgbClr val="000000"/>
                          </a:solidFill>
                          <a:miter lim="800000"/>
                          <a:headEnd/>
                          <a:tailEnd/>
                        </a:ln>
                      </wps:spPr>
                      <wps:txbx>
                        <w:txbxContent>
                          <w:p w14:paraId="6DF03616" w14:textId="77777777" w:rsidR="00AC06EB" w:rsidRPr="00DE1CDE" w:rsidRDefault="00AC06EB" w:rsidP="00AC06EB">
                            <w:pPr>
                              <w:pStyle w:val="TextBoxText"/>
                            </w:pPr>
                            <w:r>
                              <w:t xml:space="preserve">EPA provides </w:t>
                            </w:r>
                            <w:hyperlink r:id="rId304" w:history="1">
                              <w:r w:rsidRPr="00F615C0">
                                <w:rPr>
                                  <w:rStyle w:val="Hyperlink"/>
                                </w:rPr>
                                <w:t>steps for safe PCB abatement activities</w:t>
                              </w:r>
                            </w:hyperlink>
                            <w:r>
                              <w:t xml:space="preserve"> that helps building owners and contactors</w:t>
                            </w:r>
                            <w:r w:rsidRPr="00081092">
                              <w:t xml:space="preserve"> </w:t>
                            </w:r>
                            <w:r>
                              <w:t xml:space="preserve">plan for </w:t>
                            </w:r>
                            <w:r w:rsidRPr="00081092">
                              <w:t>abatement projects of caulking and other building materials potentially contaminated with PCBs</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69AA90" id="_x0000_s1067" type="#_x0000_t202" style="position:absolute;margin-left:0;margin-top:55pt;width:146.5pt;height:145.8pt;z-index:251688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" fillcolor="#dce6f2">
                <v:textbox>
                  <w:txbxContent>
                    <w:p w14:paraId="6DF03616" w14:textId="77777777" w:rsidR="00AC06EB" w:rsidRPr="00DE1CDE" w:rsidRDefault="00AC06EB" w:rsidP="00AC06EB">
                      <w:pPr>
                        <w:pStyle w:val="TextBoxText"/>
                      </w:pPr>
                      <w:r>
                        <w:t xml:space="preserve">EPA provides </w:t>
                      </w:r>
                      <w:hyperlink r:id="rId305" w:history="1">
                        <w:r w:rsidRPr="00F615C0">
                          <w:rPr>
                            <w:rStyle w:val="Hyperlink"/>
                          </w:rPr>
                          <w:t>steps for safe PCB abatement activities</w:t>
                        </w:r>
                      </w:hyperlink>
                      <w:r>
                        <w:t xml:space="preserve"> that helps building owners and contactors</w:t>
                      </w:r>
                      <w:r w:rsidRPr="00081092">
                        <w:t xml:space="preserve"> </w:t>
                      </w:r>
                      <w:r>
                        <w:t xml:space="preserve">plan for </w:t>
                      </w:r>
                      <w:r w:rsidRPr="00081092">
                        <w:t>abatement projects of caulking and other building materials potentially contaminated with PCBs</w:t>
                      </w:r>
                      <w:r>
                        <w:t>.</w:t>
                      </w:r>
                    </w:p>
                  </w:txbxContent>
                </v:textbox>
                <w10:wrap type="square" anchorx="margin"/>
              </v:shape>
            </w:pict>
          </mc:Fallback>
        </mc:AlternateContent>
      </w:r>
      <w:r>
        <w:t>The most effective way to reduce PCB exposure or risk of future exposure is to remove materials that contain PCBs ≥ 50 ppm or that are assumed to contain the regulated level of PCBs.</w:t>
      </w:r>
      <w:r>
        <w:fldChar w:fldCharType="begin"/>
      </w:r>
      <w:r w:rsidR="00873F99">
        <w:instrText xml:space="preserve"> ADDIN ZOTERO_ITEM CSL_CITATION {"citationID":"3ZqJOWSc","properties":{"formattedCitation":"\\super 109\\nosupersub{}","plainCitation":"109","noteIndex":0},"citationItems":[{"id":217,"uris":["http://zotero.org/groups/5563646/items/RP789U2H"],"itemData":{"id":217,"type":"report","publisher":"Western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fldChar w:fldCharType="separate"/>
      </w:r>
      <w:r w:rsidR="00873F99" w:rsidRPr="00873F99">
        <w:rPr>
          <w:rFonts w:cs="Arial"/>
          <w:vertAlign w:val="superscript"/>
        </w:rPr>
        <w:t>109</w:t>
      </w:r>
      <w:r>
        <w:fldChar w:fldCharType="end"/>
      </w:r>
      <w:r>
        <w:t xml:space="preserve"> Caulk and other building materials with PCBs should be removed by personnel wearing appropriate</w:t>
      </w:r>
      <w:r w:rsidR="002A48A9">
        <w:t xml:space="preserve"> </w:t>
      </w:r>
      <w:r>
        <w:t>PPE, following procedures to minimize the spread of PCBs, and in compliance with the Toxic Substances Control Act (TSCA).</w:t>
      </w:r>
      <w:r>
        <w:fldChar w:fldCharType="begin"/>
      </w:r>
      <w:r w:rsidR="009A7EB7">
        <w:instrText xml:space="preserve"> ADDIN ZOTERO_ITEM CSL_CITATION {"citationID":"sabvI7Ve","properties":{"formattedCitation":"\\super 101,110,304\\nosupersub{}","plainCitation":"101,110,304","noteIndex":0},"citationItems":[{"id":389,"uris":["http://zotero.org/groups/5563646/items/TE89T6W3"],"itemData":{"id":389,"type":"legislation","container-title":"Code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761","accessed":{"date-parts":[["2024",6,26]]},"issued":{"date-parts":[["1976",10,11]]}}},{"id":10,"uris":["http://zotero.org/groups/5563646/items/RET9EIZX"],"itemData":{"id":10,"type":"report","language":"en","number":"EPA-908-R-12-0001","source":"Zotero","title":"Sensible Steps to Healthier School Environments","URL":"https://www.epa.gov/sites/default/files/2014-05/documents/sensible_steps.pdf","author":[{"family":"US EPA","given":""}],"issued":{"date-parts":[["2012",7]]}}},{"id":219,"uris":["http://zotero.org/groups/5563646/items/CV4993IP"],"itemData":{"id":219,"type":"report","language":"en","source":"Zotero","title":"Practical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9A7EB7" w:rsidRPr="009A7EB7">
        <w:rPr>
          <w:rFonts w:cs="Arial"/>
          <w:vertAlign w:val="superscript"/>
        </w:rPr>
        <w:t>101,110,304</w:t>
      </w:r>
      <w:r>
        <w:fldChar w:fldCharType="end"/>
      </w:r>
      <w:r>
        <w:t xml:space="preserve"> During any renovations involving PCBs or abatement activities, school building occupants should be notified, and the parts of the building undergoing PCB-related activities should be physically isolated and possibly negatively pressurized if staff and students are still in the building.</w:t>
      </w:r>
      <w:r>
        <w:fldChar w:fldCharType="begin"/>
      </w:r>
      <w:r w:rsidR="007077EA">
        <w:instrText xml:space="preserve"> ADDIN ZOTERO_ITEM CSL_CITATION {"citationID":"UM2xV5sw","properties":{"formattedCitation":"\\super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7077EA" w:rsidRPr="007077EA">
        <w:rPr>
          <w:rFonts w:cs="Arial"/>
          <w:vertAlign w:val="superscript"/>
        </w:rPr>
        <w:t>304</w:t>
      </w:r>
      <w:r>
        <w:fldChar w:fldCharType="end"/>
      </w:r>
      <w:r>
        <w:t xml:space="preserve"> Disposal of </w:t>
      </w:r>
      <w:r w:rsidRPr="00A8582D">
        <w:t>building materials with PCBs ≥50 ppm</w:t>
      </w:r>
      <w:r>
        <w:t xml:space="preserve"> must be performed in accordance with TSCA.</w:t>
      </w:r>
      <w:r>
        <w:fldChar w:fldCharType="begin"/>
      </w:r>
      <w:r w:rsidR="00B169A9">
        <w:instrText xml:space="preserve"> ADDIN ZOTERO_ITEM CSL_CITATION {"citationID":"RgJsTcG8","properties":{"formattedCitation":"\\super 110\\nosupersub{}","plainCitation":"110","noteIndex":0},"citationItems":[{"id":389,"uris":["http://zotero.org/groups/5563646/items/TE89T6W3"],"itemData":{"id":389,"type":"legislation","container-title":"Code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761","accessed":{"date-parts":[["2024",6,26]]},"issued":{"date-parts":[["1976",10,11]]}}}],"schema":"https://github.com/citation-style-language/schema/raw/master/csl-citation.json"} </w:instrText>
      </w:r>
      <w:r>
        <w:fldChar w:fldCharType="separate"/>
      </w:r>
      <w:r w:rsidR="00B169A9" w:rsidRPr="00B169A9">
        <w:rPr>
          <w:rFonts w:cs="Arial"/>
          <w:vertAlign w:val="superscript"/>
        </w:rPr>
        <w:t>110</w:t>
      </w:r>
      <w:r>
        <w:fldChar w:fldCharType="end"/>
      </w:r>
      <w:r>
        <w:t xml:space="preserve"> </w:t>
      </w:r>
    </w:p>
    <w:p w14:paraId="0DDAA51B" w14:textId="77777777" w:rsidR="00AC06EB" w:rsidRDefault="00AC06EB" w:rsidP="00AC06EB">
      <w:pPr>
        <w:pStyle w:val="Heading5"/>
      </w:pPr>
      <w:r>
        <w:t>(4) Replace and properly dispose of PCB-containing light ballasts</w:t>
      </w:r>
    </w:p>
    <w:p w14:paraId="17FCB8E7" w14:textId="69B1F273" w:rsidR="00AC06EB" w:rsidRDefault="00AC06EB" w:rsidP="006D7DE6">
      <w:pPr>
        <w:pStyle w:val="BodyTextFirstIndent"/>
        <w:rPr>
          <w:color w:val="000000"/>
          <w:sz w:val="20"/>
          <w:szCs w:val="20"/>
        </w:rPr>
      </w:pPr>
      <w:r>
        <w:t>Although intact FLBs with PCBs are not an appreciable source of exposure when functioning properly, they can release PCBs into the air as they degrade or if they break or catch fire.</w:t>
      </w:r>
      <w:r>
        <w:fldChar w:fldCharType="begin"/>
      </w:r>
      <w:r w:rsidR="00545FA5">
        <w:instrText xml:space="preserve"> ADDIN ZOTERO_ITEM CSL_CITATION {"citationID":"zQOKILv0","properties":{"formattedCitation":"\\super 106,303\\nosupersub{}","plainCitation":"106,303","noteIndex":0},"citationItems":[{"id":216,"uris":["http://zotero.org/groups/5563646/items/GXPG886H"],"itemData":{"id":216,"type":"webpage","abstract":"Information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fldChar w:fldCharType="separate"/>
      </w:r>
      <w:r w:rsidR="00545FA5" w:rsidRPr="00545FA5">
        <w:rPr>
          <w:rFonts w:cs="Arial"/>
          <w:vertAlign w:val="superscript"/>
        </w:rPr>
        <w:t>106,303</w:t>
      </w:r>
      <w:r>
        <w:fldChar w:fldCharType="end"/>
      </w:r>
      <w:r>
        <w:t xml:space="preserve"> Consequently, the best way to avoid PCB exposure from FLBs is to remove all PCB-containing FLBs identified in the inventory.</w:t>
      </w:r>
      <w:r>
        <w:fldChar w:fldCharType="begin"/>
      </w:r>
      <w:r w:rsidR="00F35CD4">
        <w:instrText xml:space="preserve"> ADDIN ZOTERO_ITEM CSL_CITATION {"citationID":"mJhch9OD","properties":{"formattedCitation":"\\super 106,303,304\\nosupersub{}","plainCitation":"106,303,304","noteIndex":0},"citationItems":[{"id":216,"uris":["http://zotero.org/groups/5563646/items/GXPG886H"],"itemData":{"id":216,"type":"webpage","abstract":"Information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F35CD4" w:rsidRPr="00F35CD4">
        <w:rPr>
          <w:rFonts w:cs="Arial"/>
          <w:vertAlign w:val="superscript"/>
        </w:rPr>
        <w:t>106,303,304</w:t>
      </w:r>
      <w:r>
        <w:fldChar w:fldCharType="end"/>
      </w:r>
      <w:r>
        <w:t xml:space="preserve"> FLBs must be removed and disposed of in compliance with TSCA.</w:t>
      </w:r>
      <w:r>
        <w:fldChar w:fldCharType="begin"/>
      </w:r>
      <w:r w:rsidR="00211E4E">
        <w:instrText xml:space="preserve"> ADDIN ZOTERO_ITEM CSL_CITATION {"citationID":"toU2JuTo","properties":{"formattedCitation":"\\super 110,304\\nosupersub{}","plainCitation":"110,304","noteIndex":0},"citationItems":[{"id":389,"uris":["http://zotero.org/groups/5563646/items/TE89T6W3"],"itemData":{"id":389,"type":"legislation","container-title":"Code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211E4E" w:rsidRPr="00211E4E">
        <w:rPr>
          <w:rFonts w:cs="Arial"/>
          <w:vertAlign w:val="superscript"/>
        </w:rPr>
        <w:t>110,304</w:t>
      </w:r>
      <w:r>
        <w:fldChar w:fldCharType="end"/>
      </w:r>
      <w:r>
        <w:t xml:space="preserve"> Any oil and stains leaked from </w:t>
      </w:r>
      <w:r w:rsidRPr="00926BF3">
        <w:rPr>
          <w:noProof/>
        </w:rPr>
        <mc:AlternateContent>
          <mc:Choice Requires="wps">
            <w:drawing>
              <wp:anchor distT="0" distB="0" distL="114300" distR="114300" simplePos="0" relativeHeight="251690496" behindDoc="0" locked="0" layoutInCell="1" allowOverlap="1" wp14:anchorId="11B113B1" wp14:editId="514D2C3E">
                <wp:simplePos x="0" y="0"/>
                <wp:positionH relativeFrom="margin">
                  <wp:posOffset>3148330</wp:posOffset>
                </wp:positionH>
                <wp:positionV relativeFrom="paragraph">
                  <wp:posOffset>0</wp:posOffset>
                </wp:positionV>
                <wp:extent cx="2766695" cy="1899920"/>
                <wp:effectExtent l="0" t="0" r="14605" b="24130"/>
                <wp:wrapSquare wrapText="bothSides"/>
                <wp:docPr id="560576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1899920"/>
                        </a:xfrm>
                        <a:prstGeom prst="rect">
                          <a:avLst/>
                        </a:prstGeom>
                        <a:solidFill>
                          <a:srgbClr val="DCE6F2"/>
                        </a:solidFill>
                        <a:ln w="9525">
                          <a:solidFill>
                            <a:srgbClr val="000000"/>
                          </a:solidFill>
                          <a:miter lim="800000"/>
                          <a:headEnd/>
                          <a:tailEnd/>
                        </a:ln>
                      </wps:spPr>
                      <wps:txbx>
                        <w:txbxContent>
                          <w:p w14:paraId="3357E194" w14:textId="77777777" w:rsidR="00AC06EB" w:rsidRPr="00DE1CDE" w:rsidRDefault="00AC06EB" w:rsidP="00AC06EB">
                            <w:pPr>
                              <w:pStyle w:val="TextBoxText"/>
                            </w:pPr>
                            <w:r>
                              <w:t xml:space="preserve">EPA’s </w:t>
                            </w:r>
                            <w:hyperlink r:id="rId306" w:history="1">
                              <w:r w:rsidRPr="000F2E27">
                                <w:rPr>
                                  <w:rStyle w:val="Hyperlink"/>
                                </w:rPr>
                                <w:t>PCB-Containing FLBs in School Buildings</w:t>
                              </w:r>
                            </w:hyperlink>
                            <w:r>
                              <w:t xml:space="preserve"> website provides </w:t>
                            </w:r>
                            <w:r w:rsidRPr="000F2E27">
                              <w:t xml:space="preserve">information to school administrators and maintenance personnel on the hazards posed by PCBs in PCB-containing </w:t>
                            </w:r>
                            <w:r>
                              <w:t>FLB</w:t>
                            </w:r>
                            <w:r w:rsidRPr="000F2E27">
                              <w:t>s, how to properly handle and dispose of these items, and how to properly retrofit the lighting fixtures in school</w:t>
                            </w:r>
                            <w:r>
                              <w:t>s</w:t>
                            </w:r>
                            <w:r w:rsidRPr="000F2E27">
                              <w:t xml:space="preserve"> to remove potential PCB hazards</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1B113B1" id="_x0000_s1068" type="#_x0000_t202" style="position:absolute;margin-left:247.9pt;margin-top:0;width:217.85pt;height:149.6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" fillcolor="#dce6f2">
                <v:textbox>
                  <w:txbxContent>
                    <w:p w14:paraId="3357E194" w14:textId="77777777" w:rsidR="00AC06EB" w:rsidRPr="00DE1CDE" w:rsidRDefault="00AC06EB" w:rsidP="00AC06EB">
                      <w:pPr>
                        <w:pStyle w:val="TextBoxText"/>
                      </w:pPr>
                      <w:r>
                        <w:t xml:space="preserve">EPA’s </w:t>
                      </w:r>
                      <w:hyperlink r:id="rId307" w:history="1">
                        <w:r w:rsidRPr="000F2E27">
                          <w:rPr>
                            <w:rStyle w:val="Hyperlink"/>
                          </w:rPr>
                          <w:t>PCB-Containing FLBs in School Buildings</w:t>
                        </w:r>
                      </w:hyperlink>
                      <w:r>
                        <w:t xml:space="preserve"> website provides </w:t>
                      </w:r>
                      <w:r w:rsidRPr="000F2E27">
                        <w:t xml:space="preserve">information to school administrators and maintenance personnel on the hazards posed by PCBs in PCB-containing </w:t>
                      </w:r>
                      <w:r>
                        <w:t>FLB</w:t>
                      </w:r>
                      <w:r w:rsidRPr="000F2E27">
                        <w:t>s, how to properly handle and dispose of these items, and how to properly retrofit the lighting fixtures in school</w:t>
                      </w:r>
                      <w:r>
                        <w:t>s</w:t>
                      </w:r>
                      <w:r w:rsidRPr="000F2E27">
                        <w:t xml:space="preserve"> to remove potential PCB hazards</w:t>
                      </w:r>
                      <w:r>
                        <w:t>.</w:t>
                      </w:r>
                    </w:p>
                  </w:txbxContent>
                </v:textbox>
                <w10:wrap type="square" anchorx="margin"/>
              </v:shape>
            </w:pict>
          </mc:Fallback>
        </mc:AlternateContent>
      </w:r>
      <w:r>
        <w:t>FLBs with PCBs must also be cleaned up or disposed of in accordance with TSCA.</w:t>
      </w:r>
      <w:r>
        <w:fldChar w:fldCharType="begin"/>
      </w:r>
      <w:r w:rsidR="00282718">
        <w:instrText xml:space="preserve"> ADDIN ZOTERO_ITEM CSL_CITATION {"citationID":"C88hzc0B","properties":{"formattedCitation":"\\super 104,110\\nosupersub{}","plainCitation":"104,110","noteIndex":0},"citationItems":[{"id":389,"uris":["http://zotero.org/groups/5563646/items/TE89T6W3"],"itemData":{"id":389,"type":"legislation","container-title":"Code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282718" w:rsidRPr="00282718">
        <w:rPr>
          <w:rFonts w:cs="Arial"/>
          <w:vertAlign w:val="superscript"/>
        </w:rPr>
        <w:t>104,110</w:t>
      </w:r>
      <w:r>
        <w:fldChar w:fldCharType="end"/>
      </w:r>
      <w:r>
        <w:t xml:space="preserve"> Schools should select an experienced contractor or facilities staff person to remove PCB-containing FLBs and decontaminate the surrounding area.</w:t>
      </w:r>
      <w:r>
        <w:fldChar w:fldCharType="begin"/>
      </w:r>
      <w:r w:rsidR="007B4208">
        <w:instrText xml:space="preserve"> ADDIN ZOTERO_ITEM CSL_CITATION {"citationID":"MMO71yP8","properties":{"formattedCitation":"\\super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fldChar w:fldCharType="separate"/>
      </w:r>
      <w:r w:rsidR="007B4208" w:rsidRPr="007B4208">
        <w:rPr>
          <w:rFonts w:cs="Arial"/>
          <w:vertAlign w:val="superscript"/>
        </w:rPr>
        <w:t>303</w:t>
      </w:r>
      <w:r>
        <w:fldChar w:fldCharType="end"/>
      </w:r>
      <w:r>
        <w:t xml:space="preserve"> In preparation for removal, the area should be isolated from the rest of the building and ventilated separately; workers should wear proper PPE, and furniture under the fixtures should be removed.</w:t>
      </w:r>
      <w:r>
        <w:fldChar w:fldCharType="begin"/>
      </w:r>
      <w:r w:rsidR="0030485B">
        <w:instrText xml:space="preserve"> ADDIN ZOTERO_ITEM CSL_CITATION {"citationID":"GJfGlBpQ","properties":{"formattedCitation":"\\super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fldChar w:fldCharType="separate"/>
      </w:r>
      <w:r w:rsidR="0030485B" w:rsidRPr="0030485B">
        <w:rPr>
          <w:rFonts w:cs="Arial"/>
          <w:vertAlign w:val="superscript"/>
        </w:rPr>
        <w:t>303</w:t>
      </w:r>
      <w:r>
        <w:fldChar w:fldCharType="end"/>
      </w:r>
      <w:r>
        <w:t xml:space="preserve"> </w:t>
      </w:r>
    </w:p>
    <w:p w14:paraId="554E4351" w14:textId="77777777" w:rsidR="00AC06EB" w:rsidRDefault="00AC06EB" w:rsidP="00AC06EB">
      <w:pPr>
        <w:pStyle w:val="Heading5"/>
      </w:pPr>
      <w:r>
        <w:t>(5) Consider encapsulation of PCBs to reduce exposure</w:t>
      </w:r>
    </w:p>
    <w:p w14:paraId="36796C9E" w14:textId="1FFEC81E" w:rsidR="00AC06EB" w:rsidRDefault="00AC06EB" w:rsidP="006D7DE6">
      <w:pPr>
        <w:pStyle w:val="BodyTextFirstIndent"/>
      </w:pPr>
      <w:r>
        <w:t>Encapsulation is the practice of painting a contaminated surface with a barrier coating that prevents the release of PCBs from the painted material.</w:t>
      </w:r>
      <w:r>
        <w:fldChar w:fldCharType="begin"/>
      </w:r>
      <w:r w:rsidR="00C80505">
        <w:instrText xml:space="preserve"> ADDIN ZOTERO_ITEM CSL_CITATION {"citationID":"IyLMrStG","properties":{"formattedCitation":"\\super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C80505" w:rsidRPr="00C80505">
        <w:rPr>
          <w:rFonts w:cs="Arial"/>
          <w:vertAlign w:val="superscript"/>
        </w:rPr>
        <w:t>305</w:t>
      </w:r>
      <w:r>
        <w:fldChar w:fldCharType="end"/>
      </w:r>
      <w:r>
        <w:t xml:space="preserve"> Encapsulation may be helpful to reduce PCB emissions from sources contaminated by PCB-containing materials once the PCB materials have been removed.</w:t>
      </w:r>
      <w:r>
        <w:rPr>
          <w:color w:val="000000"/>
          <w:sz w:val="20"/>
          <w:szCs w:val="20"/>
        </w:rPr>
        <w:fldChar w:fldCharType="begin"/>
      </w:r>
      <w:r w:rsidR="00E160F1">
        <w:rPr>
          <w:color w:val="000000"/>
          <w:sz w:val="20"/>
          <w:szCs w:val="20"/>
        </w:rPr>
        <w:instrText xml:space="preserve"> ADDIN ZOTERO_ITEM CSL_CITATION {"citationID":"ZGqM0WBA","properties":{"formattedCitation":"\\super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EPA","given":""}],"issued":{"date-parts":[["2015",7,28]]}},"label":"page"}],"schema":"https://github.com/citation-style-language/schema/raw/master/csl-citation.json"} </w:instrText>
      </w:r>
      <w:r>
        <w:rPr>
          <w:color w:val="000000"/>
          <w:sz w:val="20"/>
          <w:szCs w:val="20"/>
        </w:rPr>
        <w:fldChar w:fldCharType="separate"/>
      </w:r>
      <w:r w:rsidR="00E160F1" w:rsidRPr="00E160F1">
        <w:rPr>
          <w:rFonts w:cs="Arial"/>
          <w:sz w:val="20"/>
          <w:vertAlign w:val="superscript"/>
        </w:rPr>
        <w:t>304</w:t>
      </w:r>
      <w:r>
        <w:rPr>
          <w:color w:val="000000"/>
          <w:sz w:val="20"/>
          <w:szCs w:val="20"/>
        </w:rPr>
        <w:fldChar w:fldCharType="end"/>
      </w:r>
      <w:r>
        <w:t xml:space="preserve"> For example, materials that were touching PCB-contaminated caulking or paint could be possible sites for encapsulation.</w:t>
      </w:r>
      <w:r>
        <w:rPr>
          <w:color w:val="000000"/>
          <w:sz w:val="20"/>
          <w:szCs w:val="20"/>
        </w:rPr>
        <w:fldChar w:fldCharType="begin"/>
      </w:r>
      <w:r w:rsidR="00C951F8">
        <w:rPr>
          <w:color w:val="000000"/>
          <w:sz w:val="20"/>
          <w:szCs w:val="20"/>
        </w:rPr>
        <w:instrText xml:space="preserve"> ADDIN ZOTERO_ITEM CSL_CITATION {"citationID":"uZevpEBL","properties":{"formattedCitation":"\\super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EPA","given":""}],"issued":{"date-parts":[["2015",7,28]]}},"label":"page"}],"schema":"https://github.com/citation-style-language/schema/raw/master/csl-citation.json"} </w:instrText>
      </w:r>
      <w:r>
        <w:rPr>
          <w:color w:val="000000"/>
          <w:sz w:val="20"/>
          <w:szCs w:val="20"/>
        </w:rPr>
        <w:fldChar w:fldCharType="separate"/>
      </w:r>
      <w:r w:rsidR="00C951F8" w:rsidRPr="00C951F8">
        <w:rPr>
          <w:rFonts w:cs="Arial"/>
          <w:sz w:val="20"/>
          <w:vertAlign w:val="superscript"/>
        </w:rPr>
        <w:t>304</w:t>
      </w:r>
      <w:r>
        <w:rPr>
          <w:color w:val="000000"/>
          <w:sz w:val="20"/>
          <w:szCs w:val="20"/>
        </w:rPr>
        <w:fldChar w:fldCharType="end"/>
      </w:r>
      <w:r>
        <w:t xml:space="preserve"> Encapsulation is only suitable for building materials with low PCB contents. Properties of the coating, properties of the source building materials, environmental conditions, and mitigation goals must be considered when determining whether encapsulation is appropriate.</w:t>
      </w:r>
      <w:r>
        <w:fldChar w:fldCharType="begin"/>
      </w:r>
      <w:r w:rsidR="008B7440">
        <w:instrText xml:space="preserve"> ADDIN ZOTERO_ITEM CSL_CITATION {"citationID":"8rN6yegA","properties":{"formattedCitation":"\\super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8B7440" w:rsidRPr="008B7440">
        <w:rPr>
          <w:rFonts w:cs="Arial"/>
          <w:vertAlign w:val="superscript"/>
        </w:rPr>
        <w:t>305</w:t>
      </w:r>
      <w:r>
        <w:fldChar w:fldCharType="end"/>
      </w:r>
      <w:r>
        <w:t xml:space="preserve"> EPA recommends contacting your regional PCB coordinator because the applicability of encapsulation can vary on a case-by-case </w:t>
      </w:r>
      <w:r w:rsidRPr="00275FFA">
        <w:lastRenderedPageBreak/>
        <w:t>basis.</w:t>
      </w:r>
      <w:r>
        <w:rPr>
          <w:color w:val="000000"/>
          <w:sz w:val="20"/>
          <w:szCs w:val="20"/>
        </w:rPr>
        <w:fldChar w:fldCharType="begin"/>
      </w:r>
      <w:r w:rsidR="007E0C61">
        <w:rPr>
          <w:color w:val="000000"/>
          <w:sz w:val="20"/>
          <w:szCs w:val="20"/>
        </w:rPr>
        <w:instrText xml:space="preserve"> ADDIN ZOTERO_ITEM CSL_CITATION {"citationID":"U52xUZd1","properties":{"formattedCitation":"\\super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EPA","given":""}],"issued":{"date-parts":[["2015",7,28]]}},"label":"page"}],"schema":"https://github.com/citation-style-language/schema/raw/master/csl-citation.json"} </w:instrText>
      </w:r>
      <w:r>
        <w:rPr>
          <w:color w:val="000000"/>
          <w:sz w:val="20"/>
          <w:szCs w:val="20"/>
        </w:rPr>
        <w:fldChar w:fldCharType="separate"/>
      </w:r>
      <w:r w:rsidR="007E0C61" w:rsidRPr="007E0C61">
        <w:rPr>
          <w:rFonts w:cs="Arial"/>
          <w:sz w:val="20"/>
          <w:vertAlign w:val="superscript"/>
        </w:rPr>
        <w:t>304</w:t>
      </w:r>
      <w:r>
        <w:rPr>
          <w:color w:val="000000"/>
          <w:sz w:val="20"/>
          <w:szCs w:val="20"/>
        </w:rPr>
        <w:fldChar w:fldCharType="end"/>
      </w:r>
      <w:r w:rsidRPr="00275FFA">
        <w:t xml:space="preserve"> </w:t>
      </w:r>
      <w:r>
        <w:t>Post-encapsulation monitoring with either air or surface wipe sampling will show whether the encapsulation was effective.</w:t>
      </w:r>
      <w:r>
        <w:fldChar w:fldCharType="begin"/>
      </w:r>
      <w:r w:rsidR="00B74A49">
        <w:instrText xml:space="preserve"> ADDIN ZOTERO_ITEM CSL_CITATION {"citationID":"22tBg95L","properties":{"formattedCitation":"\\super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B74A49" w:rsidRPr="00B74A49">
        <w:rPr>
          <w:rFonts w:cs="Arial"/>
          <w:vertAlign w:val="superscript"/>
        </w:rPr>
        <w:t>305</w:t>
      </w:r>
      <w:r>
        <w:fldChar w:fldCharType="end"/>
      </w:r>
    </w:p>
    <w:p w14:paraId="6B48BC57" w14:textId="58CB893D" w:rsidR="00AC06EB" w:rsidRDefault="00AC06EB" w:rsidP="006D7DE6">
      <w:pPr>
        <w:pStyle w:val="BodyTextFirstIndent"/>
      </w:pPr>
      <w:r w:rsidRPr="00275FFA">
        <w:t>EPA research</w:t>
      </w:r>
      <w:r>
        <w:t>ers</w:t>
      </w:r>
      <w:r w:rsidRPr="00275FFA">
        <w:t xml:space="preserve"> </w:t>
      </w:r>
      <w:r>
        <w:t>tested the efficacy of ten coatings used for PCB encapsulation and found that the three epoxy coatings performed better than the other coating materials.</w:t>
      </w:r>
      <w:r>
        <w:fldChar w:fldCharType="begin"/>
      </w:r>
      <w:r w:rsidR="00441902">
        <w:instrText xml:space="preserve"> ADDIN ZOTERO_ITEM CSL_CITATION {"citationID":"4HZc3UBW","properties":{"formattedCitation":"\\super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441902" w:rsidRPr="00441902">
        <w:rPr>
          <w:rFonts w:cs="Arial"/>
          <w:vertAlign w:val="superscript"/>
        </w:rPr>
        <w:t>305</w:t>
      </w:r>
      <w:r>
        <w:fldChar w:fldCharType="end"/>
      </w:r>
      <w:r>
        <w:t xml:space="preserve"> Generally, coatings that have smaller material/air partition coefficients and smaller diffusion coefficients for PCBs are better at reducing PCB emissions.</w:t>
      </w:r>
      <w:r>
        <w:fldChar w:fldCharType="begin"/>
      </w:r>
      <w:r w:rsidR="00553A06">
        <w:instrText xml:space="preserve"> ADDIN ZOTERO_ITEM CSL_CITATION {"citationID":"fDhyhoTo","properties":{"formattedCitation":"\\super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553A06" w:rsidRPr="00553A06">
        <w:rPr>
          <w:rFonts w:cs="Arial"/>
          <w:vertAlign w:val="superscript"/>
        </w:rPr>
        <w:t>305</w:t>
      </w:r>
      <w:r>
        <w:fldChar w:fldCharType="end"/>
      </w:r>
      <w:r>
        <w:t xml:space="preserve"> However, no coatings are truly impenetrable to PCBs, so encapsulation may not meet the mitigation goals of every situation.</w:t>
      </w:r>
      <w:r>
        <w:fldChar w:fldCharType="begin"/>
      </w:r>
      <w:r w:rsidR="002116DF">
        <w:instrText xml:space="preserve"> ADDIN ZOTERO_ITEM CSL_CITATION {"citationID":"g0rymg0B","properties":{"formattedCitation":"\\super 305\\nosupersub{}","plainCitation":"305","noteIndex":0},"citationItems":[{"id":454,"uris":["http://zotero.org/groups/5563646/items/UIMVCHVJ"],"itemData":{"id":454,"type":"report","collection-title":"Science in Action","publisher":"U.S. Environmental Protection Agency","title":"Laboratory Study of Polychlorinated Biphenyl (PCB) Contamination in Buildings Evaluation of the Encapsulation Method","URL":"https://www.epa.gov/sites/default/files/2015-08/documents/pcb_encapsulation_fs.pdf","author":[{"family":"US EPA","given":""}],"accessed":{"date-parts":[["2024",6,27]]},"issued":{"date-parts":[["2015"]]}}}],"schema":"https://github.com/citation-style-language/schema/raw/master/csl-citation.json"} </w:instrText>
      </w:r>
      <w:r>
        <w:fldChar w:fldCharType="separate"/>
      </w:r>
      <w:r w:rsidR="002116DF" w:rsidRPr="002116DF">
        <w:rPr>
          <w:rFonts w:cs="Arial"/>
          <w:vertAlign w:val="superscript"/>
        </w:rPr>
        <w:t>305</w:t>
      </w:r>
      <w:r>
        <w:fldChar w:fldCharType="end"/>
      </w:r>
    </w:p>
    <w:p w14:paraId="606E58BA" w14:textId="77777777" w:rsidR="00AC06EB" w:rsidRDefault="00AC06EB" w:rsidP="00AC06EB">
      <w:pPr>
        <w:pStyle w:val="Heading4"/>
      </w:pPr>
      <w:r>
        <w:t>Renovations and Repairs</w:t>
      </w:r>
    </w:p>
    <w:p w14:paraId="044ED2FB" w14:textId="77777777" w:rsidR="00AC06EB" w:rsidRPr="00645F0D" w:rsidRDefault="00AC06EB" w:rsidP="006D7DE6">
      <w:pPr>
        <w:pStyle w:val="BodyTextFirstIndent"/>
      </w:pPr>
      <w:r>
        <w:t xml:space="preserve">Schools planning renovations and repairs should consider the best practices described here when planning for and carrying out the projects. </w:t>
      </w:r>
    </w:p>
    <w:p w14:paraId="5F00A0E0" w14:textId="77777777" w:rsidR="00AC06EB" w:rsidRPr="00547BC7" w:rsidRDefault="00AC06EB" w:rsidP="00AC06EB">
      <w:pPr>
        <w:pStyle w:val="Heading5"/>
      </w:pPr>
      <w:r>
        <w:t xml:space="preserve">(6) </w:t>
      </w:r>
      <w:r w:rsidRPr="00DC5272">
        <w:t>Remove PCB-containing materials disturbed during renovations and repairs and minimize PCB exposure</w:t>
      </w:r>
    </w:p>
    <w:p w14:paraId="3628AC55" w14:textId="46C6D80E" w:rsidR="00AC06EB" w:rsidRDefault="00AC06EB" w:rsidP="006D7DE6">
      <w:pPr>
        <w:pStyle w:val="BodyTextFirstIndent"/>
        <w:rPr>
          <w:color w:val="000000"/>
          <w:sz w:val="20"/>
          <w:szCs w:val="20"/>
        </w:rPr>
      </w:pPr>
      <w:r>
        <w:t>When undertaking normal renovations or repairs, school leaders and those planning for renovations or repairs should consider whether caulk or other building materials that contain PCBs may be disturbed.</w:t>
      </w:r>
      <w:r>
        <w:fldChar w:fldCharType="begin"/>
      </w:r>
      <w:r w:rsidR="00D54515">
        <w:instrText xml:space="preserve"> ADDIN ZOTERO_ITEM CSL_CITATION {"citationID":"YRESSbjR","properties":{"formattedCitation":"\\super 104,304\\nosupersub{}","plainCitation":"104,304","noteIndex":0},"citationItems":[{"id":9,"uris":["http://zotero.org/groups/5563646/items/PIGDCZW8"],"itemData":{"id":9,"type":"report","language":"en","publisher":"Environmental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D54515" w:rsidRPr="00D54515">
        <w:rPr>
          <w:rFonts w:cs="Arial"/>
          <w:vertAlign w:val="superscript"/>
        </w:rPr>
        <w:t>104,304</w:t>
      </w:r>
      <w:r>
        <w:fldChar w:fldCharType="end"/>
      </w:r>
      <w:r>
        <w:t xml:space="preserve"> EPA recommends using planning renovations and repairs as opportunities to remove PCB-containing materials (see </w:t>
      </w:r>
      <w:r>
        <w:rPr>
          <w:i/>
          <w:iCs/>
        </w:rPr>
        <w:t xml:space="preserve">Remove building materials with PCBs </w:t>
      </w:r>
      <w:r w:rsidRPr="00D45713">
        <w:rPr>
          <w:i/>
          <w:iCs/>
        </w:rPr>
        <w:t>≥50 ppm in compliance with TSCA</w:t>
      </w:r>
      <w:r>
        <w:t>).</w:t>
      </w:r>
      <w:r>
        <w:fldChar w:fldCharType="begin"/>
      </w:r>
      <w:r w:rsidR="00762B77">
        <w:instrText xml:space="preserve"> ADDIN ZOTERO_ITEM CSL_CITATION {"citationID":"PNIpZ5rO","properties":{"formattedCitation":"\\super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762B77" w:rsidRPr="00762B77">
        <w:rPr>
          <w:rFonts w:cs="Arial"/>
          <w:vertAlign w:val="superscript"/>
        </w:rPr>
        <w:t>304</w:t>
      </w:r>
      <w:r>
        <w:fldChar w:fldCharType="end"/>
      </w:r>
      <w:r>
        <w:t xml:space="preserve"> Even if not removed, renovations that affect PCB-containing materials require additional caution. If PCBs are present in building materials that will be disturbed during renovations, schools and contractors should take appropriate precautions to minimize exposure to PCBs during renovations.</w:t>
      </w:r>
      <w:r>
        <w:fldChar w:fldCharType="begin"/>
      </w:r>
      <w:r w:rsidR="0022442D">
        <w:instrText xml:space="preserve"> ADDIN ZOTERO_ITEM CSL_CITATION {"citationID":"vmqdGohK","properties":{"formattedCitation":"\\super 104,304\\nosupersub{}","plainCitation":"104,304","noteIndex":0},"citationItems":[{"id":9,"uris":["http://zotero.org/groups/5563646/items/PIGDCZW8"],"itemData":{"id":9,"type":"report","language":"en","publisher":"Environmental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22442D" w:rsidRPr="0022442D">
        <w:rPr>
          <w:rFonts w:cs="Arial"/>
          <w:vertAlign w:val="superscript"/>
        </w:rPr>
        <w:t>104,304</w:t>
      </w:r>
      <w:r>
        <w:fldChar w:fldCharType="end"/>
      </w:r>
      <w:r>
        <w:t xml:space="preserve"> This may include informing school occupants about the renovations, isolating the area undergoing renovations, regularly wet-mopping renovation areas, modifying the HVAC system to keep PCBs in the affected part of the building, and </w:t>
      </w:r>
      <w:r w:rsidRPr="00926BF3">
        <w:rPr>
          <w:noProof/>
        </w:rPr>
        <mc:AlternateContent>
          <mc:Choice Requires="wps">
            <w:drawing>
              <wp:anchor distT="0" distB="0" distL="114300" distR="114300" simplePos="0" relativeHeight="251692544" behindDoc="0" locked="0" layoutInCell="1" allowOverlap="1" wp14:anchorId="18A71BAF" wp14:editId="5DDDB993">
                <wp:simplePos x="0" y="0"/>
                <wp:positionH relativeFrom="margin">
                  <wp:posOffset>3315363</wp:posOffset>
                </wp:positionH>
                <wp:positionV relativeFrom="paragraph">
                  <wp:posOffset>1136954</wp:posOffset>
                </wp:positionV>
                <wp:extent cx="2527935" cy="1398905"/>
                <wp:effectExtent l="0" t="0" r="24765" b="10795"/>
                <wp:wrapSquare wrapText="bothSides"/>
                <wp:docPr id="119474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1398905"/>
                        </a:xfrm>
                        <a:prstGeom prst="rect">
                          <a:avLst/>
                        </a:prstGeom>
                        <a:solidFill>
                          <a:srgbClr val="DCE6F2"/>
                        </a:solidFill>
                        <a:ln w="9525">
                          <a:solidFill>
                            <a:srgbClr val="000000"/>
                          </a:solidFill>
                          <a:miter lim="800000"/>
                          <a:headEnd/>
                          <a:tailEnd/>
                        </a:ln>
                      </wps:spPr>
                      <wps:txbx>
                        <w:txbxContent>
                          <w:p w14:paraId="4D75C0B5" w14:textId="77777777" w:rsidR="00AC06EB" w:rsidRPr="00DE1CDE" w:rsidRDefault="00AC06EB" w:rsidP="00AC06EB">
                            <w:pPr>
                              <w:pStyle w:val="TextBoxText"/>
                            </w:pPr>
                            <w:r>
                              <w:t xml:space="preserve">EPA’s </w:t>
                            </w:r>
                            <w:hyperlink r:id="rId308" w:history="1">
                              <w:r w:rsidRPr="00D33A2C">
                                <w:rPr>
                                  <w:rStyle w:val="Hyperlink"/>
                                </w:rPr>
                                <w:t>Steps to Safe Renovation and Repair Activities</w:t>
                              </w:r>
                            </w:hyperlink>
                            <w:r>
                              <w:t xml:space="preserve"> website </w:t>
                            </w:r>
                            <w:r w:rsidRPr="00D33A2C">
                              <w:t>highlights precautionary measures and best work practices for conducting repairs or renovations in older buildings that have PCB-containing building materials</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8A71BAF" id="_x0000_s1069" type="#_x0000_t202" style="position:absolute;margin-left:261.05pt;margin-top:89.5pt;width:199.05pt;height:110.1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" fillcolor="#dce6f2">
                <v:textbox>
                  <w:txbxContent>
                    <w:p w14:paraId="4D75C0B5" w14:textId="77777777" w:rsidR="00AC06EB" w:rsidRPr="00DE1CDE" w:rsidRDefault="00AC06EB" w:rsidP="00AC06EB">
                      <w:pPr>
                        <w:pStyle w:val="TextBoxText"/>
                      </w:pPr>
                      <w:r>
                        <w:t xml:space="preserve">EPA’s </w:t>
                      </w:r>
                      <w:hyperlink r:id="rId309" w:history="1">
                        <w:r w:rsidRPr="00D33A2C">
                          <w:rPr>
                            <w:rStyle w:val="Hyperlink"/>
                          </w:rPr>
                          <w:t>Steps to Safe Renovation and Repair Activities</w:t>
                        </w:r>
                      </w:hyperlink>
                      <w:r>
                        <w:t xml:space="preserve"> website </w:t>
                      </w:r>
                      <w:r w:rsidRPr="00D33A2C">
                        <w:t>highlights precautionary measures and best work practices for conducting repairs or renovations in older buildings that have PCB-containing building materials</w:t>
                      </w:r>
                      <w:r>
                        <w:t>.</w:t>
                      </w:r>
                    </w:p>
                  </w:txbxContent>
                </v:textbox>
                <w10:wrap type="square" anchorx="margin"/>
              </v:shape>
            </w:pict>
          </mc:Fallback>
        </mc:AlternateContent>
      </w:r>
      <w:r>
        <w:t xml:space="preserve">taking precautions to protect workers. Once materials containing PCBs </w:t>
      </w:r>
      <w:r w:rsidRPr="00D810FE">
        <w:t>≥50 ppm</w:t>
      </w:r>
      <w:r>
        <w:t xml:space="preserve"> are removed, they must be handled and discarded properly in accordance with TSCA waste disposal requirements.</w:t>
      </w:r>
      <w:r>
        <w:fldChar w:fldCharType="begin"/>
      </w:r>
      <w:r w:rsidR="0099245D">
        <w:instrText xml:space="preserve"> ADDIN ZOTERO_ITEM CSL_CITATION {"citationID":"AcSV5pCt","properties":{"formattedCitation":"\\super 104,110\\nosupersub{}","plainCitation":"104,110","noteIndex":0},"citationItems":[{"id":389,"uris":["http://zotero.org/groups/5563646/items/TE89T6W3"],"itemData":{"id":389,"type":"legislation","container-title":"Code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99245D" w:rsidRPr="0099245D">
        <w:rPr>
          <w:rFonts w:cs="Arial"/>
          <w:vertAlign w:val="superscript"/>
        </w:rPr>
        <w:t>104,110</w:t>
      </w:r>
      <w:r>
        <w:fldChar w:fldCharType="end"/>
      </w:r>
      <w:r>
        <w:t xml:space="preserve"> Schools should maintain all documentation of PCB testing results (if tested), sampling locations, disposal measures, disposal companies used, and final destination of waste materials.</w:t>
      </w:r>
      <w:r>
        <w:fldChar w:fldCharType="begin"/>
      </w:r>
      <w:r w:rsidR="007B238C">
        <w:instrText xml:space="preserve"> ADDIN ZOTERO_ITEM CSL_CITATION {"citationID":"DC6MdVjW","properties":{"formattedCitation":"\\super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7B238C" w:rsidRPr="007B238C">
        <w:rPr>
          <w:rFonts w:cs="Arial"/>
          <w:vertAlign w:val="superscript"/>
        </w:rPr>
        <w:t>104</w:t>
      </w:r>
      <w:r>
        <w:fldChar w:fldCharType="end"/>
      </w:r>
    </w:p>
    <w:p w14:paraId="5168157D" w14:textId="77777777" w:rsidR="00AC06EB" w:rsidRPr="00862343" w:rsidRDefault="00AC06EB" w:rsidP="00AC06EB">
      <w:pPr>
        <w:pStyle w:val="Heading5"/>
      </w:pPr>
      <w:r w:rsidRPr="00862343">
        <w:t>(7) Follow EPA recommended steps for cleanup and decontamination if a PCB-containing FLB leaks, smokes, or catches fire</w:t>
      </w:r>
    </w:p>
    <w:p w14:paraId="210D49BC" w14:textId="139EBEBD" w:rsidR="00AC06EB" w:rsidRPr="00653A88" w:rsidRDefault="00AC06EB" w:rsidP="006D7DE6">
      <w:pPr>
        <w:pStyle w:val="BodyTextFirstIndent"/>
      </w:pPr>
      <w:r w:rsidRPr="00653A88">
        <w:t>If a</w:t>
      </w:r>
      <w:r>
        <w:t>n</w:t>
      </w:r>
      <w:r w:rsidRPr="00653A88">
        <w:t xml:space="preserve"> FLB that contains PCBs leaks, smokes, or catches fire, then the school must properly remove and dispose of the fixture and clean up the surrounding area.</w:t>
      </w:r>
      <w:r w:rsidRPr="00653A88">
        <w:fldChar w:fldCharType="begin"/>
      </w:r>
      <w:r w:rsidR="002464D2">
        <w:instrText xml:space="preserve"> ADDIN ZOTERO_ITEM CSL_CITATION {"citationID":"JmwReDzd","properties":{"formattedCitation":"\\super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653A88">
        <w:fldChar w:fldCharType="separate"/>
      </w:r>
      <w:r w:rsidR="002464D2" w:rsidRPr="002464D2">
        <w:rPr>
          <w:rFonts w:cs="Arial"/>
          <w:vertAlign w:val="superscript"/>
        </w:rPr>
        <w:t>303</w:t>
      </w:r>
      <w:r w:rsidRPr="00653A88">
        <w:fldChar w:fldCharType="end"/>
      </w:r>
      <w:r w:rsidRPr="00653A88">
        <w:t xml:space="preserve"> EPA recommends that only experienced contractors or facilities staff should remove, clean up, and decontaminate areas around FLBs that leak, smoke, or catch fire.</w:t>
      </w:r>
      <w:r w:rsidRPr="00653A88">
        <w:fldChar w:fldCharType="begin"/>
      </w:r>
      <w:r w:rsidR="00816074">
        <w:instrText xml:space="preserve"> ADDIN ZOTERO_ITEM CSL_CITATION {"citationID":"gc3nKGSZ","properties":{"formattedCitation":"\\super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653A88">
        <w:fldChar w:fldCharType="separate"/>
      </w:r>
      <w:r w:rsidR="00816074" w:rsidRPr="00816074">
        <w:rPr>
          <w:rFonts w:cs="Arial"/>
          <w:vertAlign w:val="superscript"/>
        </w:rPr>
        <w:t>303</w:t>
      </w:r>
      <w:r w:rsidRPr="00653A88">
        <w:fldChar w:fldCharType="end"/>
      </w:r>
      <w:r w:rsidRPr="00653A88">
        <w:t xml:space="preserve"> The </w:t>
      </w:r>
      <w:r w:rsidRPr="00653A88">
        <w:lastRenderedPageBreak/>
        <w:t>process should begin with preparation of the space</w:t>
      </w:r>
      <w:r>
        <w:t>,</w:t>
      </w:r>
      <w:r w:rsidRPr="00653A88">
        <w:t xml:space="preserve"> including isolating the affected area from the central ventilation system, ventilating the area separately, moving furniture and other objects out from under the fixture and covering them with plastic sheets, and turning off light switches and fuses or breakers.</w:t>
      </w:r>
      <w:r w:rsidRPr="00653A88">
        <w:fldChar w:fldCharType="begin"/>
      </w:r>
      <w:r w:rsidR="00E7601E">
        <w:instrText xml:space="preserve"> ADDIN ZOTERO_ITEM CSL_CITATION {"citationID":"pWSt9yVp","properties":{"formattedCitation":"\\super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653A88">
        <w:fldChar w:fldCharType="separate"/>
      </w:r>
      <w:r w:rsidR="00E7601E" w:rsidRPr="00E7601E">
        <w:rPr>
          <w:rFonts w:cs="Arial"/>
          <w:vertAlign w:val="superscript"/>
        </w:rPr>
        <w:t>303</w:t>
      </w:r>
      <w:r w:rsidRPr="00653A88">
        <w:fldChar w:fldCharType="end"/>
      </w:r>
      <w:r w:rsidRPr="00653A88">
        <w:t xml:space="preserve"> Workers should wear appropriate PPE.</w:t>
      </w:r>
      <w:r w:rsidRPr="00653A88">
        <w:fldChar w:fldCharType="begin"/>
      </w:r>
      <w:r w:rsidR="00B5158A">
        <w:instrText xml:space="preserve"> ADDIN ZOTERO_ITEM CSL_CITATION {"citationID":"JvBgYrY8","properties":{"formattedCitation":"\\super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653A88">
        <w:fldChar w:fldCharType="separate"/>
      </w:r>
      <w:r w:rsidR="00B5158A" w:rsidRPr="00B5158A">
        <w:rPr>
          <w:rFonts w:cs="Arial"/>
          <w:vertAlign w:val="superscript"/>
        </w:rPr>
        <w:t>303</w:t>
      </w:r>
      <w:r w:rsidRPr="00653A88">
        <w:fldChar w:fldCharType="end"/>
      </w:r>
      <w:r w:rsidRPr="00653A88">
        <w:t xml:space="preserve"> EPA describes </w:t>
      </w:r>
      <w:hyperlink r:id="rId310" w:anchor="procedures" w:history="1">
        <w:r w:rsidRPr="00486834">
          <w:rPr>
            <w:rStyle w:val="Hyperlink"/>
          </w:rPr>
          <w:t>detailed steps</w:t>
        </w:r>
      </w:hyperlink>
      <w:r w:rsidRPr="00653A88">
        <w:t xml:space="preserve"> for inspection of damaged FLBs, removal and disposal of FLBs and other materials contaminated with PCBs, and cleanup of PCBs spilled in the surrounding areas. </w:t>
      </w:r>
    </w:p>
    <w:p w14:paraId="15D2654D" w14:textId="77777777" w:rsidR="00AC06EB" w:rsidRDefault="00AC06EB" w:rsidP="00AC06EB">
      <w:pPr>
        <w:pStyle w:val="Heading5"/>
      </w:pPr>
      <w:r w:rsidRPr="00290AD7">
        <w:t>(8) Follow EPA recommended steps when performing a retrofit for non-leaking PCB-containing FLBs</w:t>
      </w:r>
    </w:p>
    <w:p w14:paraId="4384F0B2" w14:textId="21259D2C" w:rsidR="00AC06EB" w:rsidRPr="00941AC3" w:rsidRDefault="00AC06EB" w:rsidP="006D7DE6">
      <w:pPr>
        <w:pStyle w:val="BodyTextFirstIndent"/>
      </w:pPr>
      <w:r w:rsidRPr="00941AC3">
        <w:t>Even when performing a retrofit of undamaged PCB-containing FLBs, schools should follow EPA</w:t>
      </w:r>
      <w:r>
        <w:t>-</w:t>
      </w:r>
      <w:r w:rsidRPr="00941AC3">
        <w:t>recommended steps.</w:t>
      </w:r>
      <w:r w:rsidRPr="00941AC3">
        <w:fldChar w:fldCharType="begin"/>
      </w:r>
      <w:r w:rsidR="00553665">
        <w:instrText xml:space="preserve"> ADDIN ZOTERO_ITEM CSL_CITATION {"citationID":"cm46buez","properties":{"formattedCitation":"\\super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941AC3">
        <w:fldChar w:fldCharType="separate"/>
      </w:r>
      <w:r w:rsidR="00553665" w:rsidRPr="00553665">
        <w:rPr>
          <w:rFonts w:cs="Arial"/>
          <w:vertAlign w:val="superscript"/>
        </w:rPr>
        <w:t>303</w:t>
      </w:r>
      <w:r w:rsidRPr="00941AC3">
        <w:fldChar w:fldCharType="end"/>
      </w:r>
      <w:r w:rsidRPr="00941AC3">
        <w:t xml:space="preserve"> This applies to retrofits as part of other renovations and repairs or in an effort to remove all PCB-containing FLBs. EPA recommends that only experienced contractors or facilities staff should perform the lighting retrofit.</w:t>
      </w:r>
      <w:r w:rsidRPr="00941AC3">
        <w:fldChar w:fldCharType="begin"/>
      </w:r>
      <w:r w:rsidR="00744CE0">
        <w:instrText xml:space="preserve"> ADDIN ZOTERO_ITEM CSL_CITATION {"citationID":"t0jALSVo","properties":{"formattedCitation":"\\super 303\\nosupersub{}","plainCitation":"303","noteIndex":0},"citationItems":[{"id":291,"uris":["http://zotero.org/groups/5563646/items/T66VYICJ"],"itemData":{"id":291,"type":"webpage","abstract":"PCB-Containing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941AC3">
        <w:fldChar w:fldCharType="separate"/>
      </w:r>
      <w:r w:rsidR="00744CE0" w:rsidRPr="00744CE0">
        <w:rPr>
          <w:rFonts w:cs="Arial"/>
          <w:vertAlign w:val="superscript"/>
        </w:rPr>
        <w:t>303</w:t>
      </w:r>
      <w:r w:rsidRPr="00941AC3">
        <w:fldChar w:fldCharType="end"/>
      </w:r>
      <w:r w:rsidRPr="00941AC3">
        <w:t xml:space="preserve"> </w:t>
      </w:r>
      <w:r>
        <w:t xml:space="preserve">EPA describes </w:t>
      </w:r>
      <w:hyperlink r:id="rId311" w:anchor="procedures" w:history="1">
        <w:r w:rsidRPr="00486834">
          <w:rPr>
            <w:rStyle w:val="Hyperlink"/>
          </w:rPr>
          <w:t>detailed steps</w:t>
        </w:r>
      </w:hyperlink>
      <w:r w:rsidRPr="00941AC3">
        <w:t xml:space="preserve"> for removing and disposing of PCB-containing FLBs. </w:t>
      </w:r>
    </w:p>
    <w:p w14:paraId="5E12BF91" w14:textId="77777777" w:rsidR="00AC06EB" w:rsidRDefault="00AC06EB" w:rsidP="00AC06EB">
      <w:pPr>
        <w:pStyle w:val="Heading4"/>
      </w:pPr>
      <w:r>
        <w:t>Reduce PCB Exposure Through Air and Dust</w:t>
      </w:r>
    </w:p>
    <w:p w14:paraId="104C14E4" w14:textId="77777777" w:rsidR="00AC06EB" w:rsidRPr="00005C18" w:rsidRDefault="00AC06EB" w:rsidP="006D7DE6">
      <w:pPr>
        <w:pStyle w:val="BodyTextFirstIndent"/>
      </w:pPr>
      <w:r>
        <w:t>Given that it may not always be possible to identify all PCB sources or remove PCBs immediately, it is important to take steps in ventilation and cleaning to reduce PCB exposure through air and dust.</w:t>
      </w:r>
    </w:p>
    <w:p w14:paraId="51CA21EE" w14:textId="7496484D" w:rsidR="00AC06EB" w:rsidRDefault="00AC06EB" w:rsidP="00AC06EB">
      <w:pPr>
        <w:pStyle w:val="Heading5"/>
      </w:pPr>
      <w:r>
        <w:t xml:space="preserve">(9) Regularly inspect and maintain ventilation systems </w:t>
      </w:r>
      <w:r w:rsidR="009C44EA">
        <w:t>for</w:t>
      </w:r>
      <w:r>
        <w:t xml:space="preserve"> proper operations</w:t>
      </w:r>
    </w:p>
    <w:p w14:paraId="52847CA7" w14:textId="2DDE0D20" w:rsidR="00AC06EB" w:rsidRPr="003A4DB4" w:rsidRDefault="00AC06EB" w:rsidP="006D7DE6">
      <w:pPr>
        <w:pStyle w:val="BodyTextFirstIndent"/>
        <w:rPr>
          <w:color w:val="000000"/>
          <w:sz w:val="20"/>
          <w:szCs w:val="20"/>
        </w:rPr>
      </w:pPr>
      <w:r>
        <w:t>While the strategies described above can be used to reduce or remove PCB hazards, not all schools may be ready to undertake full PCB removal, and removal may not mean all residual PCBs are gone from school buildings. As a result, it is important to consider strategies to reduce exposure to PCBs through air and dust.</w:t>
      </w:r>
      <w:r>
        <w:rPr>
          <w:color w:val="000000"/>
          <w:sz w:val="20"/>
          <w:szCs w:val="20"/>
        </w:rPr>
        <w:fldChar w:fldCharType="begin"/>
      </w:r>
      <w:r w:rsidR="00566DF0">
        <w:rPr>
          <w:color w:val="000000"/>
          <w:sz w:val="20"/>
          <w:szCs w:val="20"/>
        </w:rPr>
        <w:instrText xml:space="preserve"> ADDIN ZOTERO_ITEM CSL_CITATION {"citationID":"LE7g64Bs","properties":{"formattedCitation":"\\super 109,304\\nosupersub{}","plainCitation":"109,304","noteIndex":0},"citationItems":[{"id":217,"uris":["http://zotero.org/groups/5563646/items/RP789U2H"],"itemData":{"id":217,"type":"report","publisher":"Western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EPA","given":""}],"issued":{"date-parts":[["2015",7,28]]}},"label":"page"}],"schema":"https://github.com/citation-style-language/schema/raw/master/csl-citation.json"} </w:instrText>
      </w:r>
      <w:r>
        <w:rPr>
          <w:color w:val="000000"/>
          <w:sz w:val="20"/>
          <w:szCs w:val="20"/>
        </w:rPr>
        <w:fldChar w:fldCharType="separate"/>
      </w:r>
      <w:r w:rsidR="00566DF0" w:rsidRPr="00566DF0">
        <w:rPr>
          <w:rFonts w:cs="Arial"/>
          <w:sz w:val="20"/>
          <w:vertAlign w:val="superscript"/>
        </w:rPr>
        <w:t>109,304</w:t>
      </w:r>
      <w:r>
        <w:rPr>
          <w:color w:val="000000"/>
          <w:sz w:val="20"/>
          <w:szCs w:val="20"/>
        </w:rPr>
        <w:fldChar w:fldCharType="end"/>
      </w:r>
      <w:r>
        <w:rPr>
          <w:color w:val="000000"/>
          <w:sz w:val="20"/>
          <w:szCs w:val="20"/>
        </w:rPr>
        <w:t xml:space="preserve"> </w:t>
      </w:r>
      <w:r>
        <w:t>One common route of PCB exposure is through inhalation into the lungs.</w:t>
      </w:r>
      <w:r>
        <w:fldChar w:fldCharType="begin"/>
      </w:r>
      <w:r w:rsidR="00241091">
        <w:instrText xml:space="preserve"> ADDIN ZOTERO_ITEM CSL_CITATION {"citationID":"tFtsanN8","properties":{"formattedCitation":"\\super 109\\nosupersub{}","plainCitation":"109","noteIndex":0},"citationItems":[{"id":217,"uris":["http://zotero.org/groups/5563646/items/RP789U2H"],"itemData":{"id":217,"type":"report","publisher":"Western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fldChar w:fldCharType="separate"/>
      </w:r>
      <w:r w:rsidR="00241091" w:rsidRPr="00241091">
        <w:rPr>
          <w:rFonts w:cs="Arial"/>
          <w:vertAlign w:val="superscript"/>
        </w:rPr>
        <w:t>109</w:t>
      </w:r>
      <w:r>
        <w:fldChar w:fldCharType="end"/>
      </w:r>
      <w:r>
        <w:t xml:space="preserve"> </w:t>
      </w:r>
      <w:r w:rsidRPr="00B06172">
        <w:t>Increas</w:t>
      </w:r>
      <w:r>
        <w:t>ing</w:t>
      </w:r>
      <w:r w:rsidRPr="00B06172">
        <w:t xml:space="preserve"> ventilation to remove </w:t>
      </w:r>
      <w:r>
        <w:t>indoor</w:t>
      </w:r>
      <w:r w:rsidRPr="00B06172">
        <w:t xml:space="preserve"> air </w:t>
      </w:r>
      <w:r>
        <w:t xml:space="preserve">containing PCBs </w:t>
      </w:r>
      <w:r w:rsidRPr="00B06172">
        <w:t>and bring outdoor air into the building</w:t>
      </w:r>
      <w:r>
        <w:t xml:space="preserve"> reduces inhalation </w:t>
      </w:r>
      <w:r w:rsidRPr="00B06172">
        <w:t>exposure to PCBs.</w:t>
      </w:r>
      <w:r>
        <w:fldChar w:fldCharType="begin"/>
      </w:r>
      <w:r w:rsidR="00EE6726">
        <w:instrText xml:space="preserve"> ADDIN ZOTERO_ITEM CSL_CITATION {"citationID":"dtCzu4s9","properties":{"formattedCitation":"\\super 109\\nosupersub{}","plainCitation":"109","noteIndex":0},"citationItems":[{"id":217,"uris":["http://zotero.org/groups/5563646/items/RP789U2H"],"itemData":{"id":217,"type":"report","publisher":"Western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fldChar w:fldCharType="separate"/>
      </w:r>
      <w:r w:rsidR="00EE6726" w:rsidRPr="00EE6726">
        <w:rPr>
          <w:rFonts w:cs="Arial"/>
          <w:vertAlign w:val="superscript"/>
        </w:rPr>
        <w:t>109</w:t>
      </w:r>
      <w:r>
        <w:fldChar w:fldCharType="end"/>
      </w:r>
      <w:r>
        <w:t xml:space="preserve"> Schools should </w:t>
      </w:r>
      <w:r w:rsidR="0052526E">
        <w:t>confirm</w:t>
      </w:r>
      <w:r w:rsidRPr="006F6028">
        <w:t xml:space="preserve"> that ventilation systems are operating properly</w:t>
      </w:r>
      <w:r>
        <w:t>, regularly inspected, and maintained</w:t>
      </w:r>
      <w:r w:rsidRPr="006F6028">
        <w:t xml:space="preserve"> according to system manufacturer instructions and guidelines</w:t>
      </w:r>
      <w:r>
        <w:t>.</w:t>
      </w:r>
      <w:r>
        <w:fldChar w:fldCharType="begin"/>
      </w:r>
      <w:r w:rsidR="00363EB6">
        <w:instrText xml:space="preserve"> ADDIN ZOTERO_ITEM CSL_CITATION {"citationID":"Xed8kA5R","properties":{"formattedCitation":"\\super 109,304\\nosupersub{}","plainCitation":"109,304","noteIndex":0},"citationItems":[{"id":217,"uris":["http://zotero.org/groups/5563646/items/RP789U2H"],"itemData":{"id":217,"type":"report","publisher":"Western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363EB6" w:rsidRPr="00363EB6">
        <w:rPr>
          <w:rFonts w:cs="Arial"/>
          <w:vertAlign w:val="superscript"/>
        </w:rPr>
        <w:t>109,304</w:t>
      </w:r>
      <w:r>
        <w:fldChar w:fldCharType="end"/>
      </w:r>
      <w:r>
        <w:t xml:space="preserve"> EPA recommends use of </w:t>
      </w:r>
      <w:r w:rsidRPr="006F6028">
        <w:t>ANSI/ASHRAE/</w:t>
      </w:r>
      <w:r>
        <w:t>Air Conditioning Contractors of America (</w:t>
      </w:r>
      <w:r w:rsidRPr="006F6028">
        <w:t>ACCA</w:t>
      </w:r>
      <w:r>
        <w:t>)</w:t>
      </w:r>
      <w:r w:rsidRPr="006F6028">
        <w:t xml:space="preserve"> Standard 180-2012—Standard Practice for Inspection and Maintenance of Commercial Building HVAC Systems.</w:t>
      </w:r>
      <w:r>
        <w:fldChar w:fldCharType="begin"/>
      </w:r>
      <w:r w:rsidR="007052C7">
        <w:instrText xml:space="preserve"> ADDIN ZOTERO_ITEM CSL_CITATION {"citationID":"036nu6D0","properties":{"formattedCitation":"\\super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7052C7" w:rsidRPr="007052C7">
        <w:rPr>
          <w:rFonts w:cs="Arial"/>
          <w:vertAlign w:val="superscript"/>
        </w:rPr>
        <w:t>304</w:t>
      </w:r>
      <w:r>
        <w:fldChar w:fldCharType="end"/>
      </w:r>
      <w:r w:rsidRPr="006F6028">
        <w:t xml:space="preserve"> If system cleaning is needed, </w:t>
      </w:r>
      <w:r>
        <w:t xml:space="preserve">EPA recommends </w:t>
      </w:r>
      <w:r w:rsidRPr="006F6028">
        <w:t>follow</w:t>
      </w:r>
      <w:r>
        <w:t>ing</w:t>
      </w:r>
      <w:r w:rsidRPr="006F6028">
        <w:t xml:space="preserve"> ANSI/ACCA Standard 6–Restoring the Cleanliness of HVAC Systems (2007).</w:t>
      </w:r>
      <w:r>
        <w:fldChar w:fldCharType="begin"/>
      </w:r>
      <w:r w:rsidR="00F4548A">
        <w:instrText xml:space="preserve"> ADDIN ZOTERO_ITEM CSL_CITATION {"citationID":"t6PLJDw1","properties":{"formattedCitation":"\\super 304\\nosupersub{}","plainCitation":"304","noteIndex":0},"citationItems":[{"id":219,"uris":["http://zotero.org/groups/5563646/items/CV4993IP"],"itemData":{"id":219,"type":"report","language":"en","source":"Zotero","title":"Practical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fldChar w:fldCharType="separate"/>
      </w:r>
      <w:r w:rsidR="00F4548A" w:rsidRPr="00F4548A">
        <w:rPr>
          <w:rFonts w:cs="Arial"/>
          <w:vertAlign w:val="superscript"/>
        </w:rPr>
        <w:t>304</w:t>
      </w:r>
      <w:r>
        <w:fldChar w:fldCharType="end"/>
      </w:r>
      <w:r>
        <w:t xml:space="preserve"> In addition to creating a healthy learning environment, a well-operating HVAC system also contributes to energy efficiency and climate resilience (see </w:t>
      </w:r>
      <w:hyperlink w:anchor="Objective_1a" w:history="1">
        <w:r w:rsidRPr="00724498">
          <w:rPr>
            <w:rStyle w:val="Hyperlink"/>
          </w:rPr>
          <w:t>Objective 1a. Decarbonize Buildings</w:t>
        </w:r>
      </w:hyperlink>
      <w:r>
        <w:t xml:space="preserve"> and </w:t>
      </w:r>
      <w:hyperlink w:anchor="Objective_1f" w:history="1">
        <w:r w:rsidRPr="00E65E4D">
          <w:rPr>
            <w:rStyle w:val="Hyperlink"/>
          </w:rPr>
          <w:t>Objective 1f. Enhance Climate Resilience</w:t>
        </w:r>
      </w:hyperlink>
      <w:r>
        <w:t xml:space="preserve"> for additional details about these co-benefits).</w:t>
      </w:r>
    </w:p>
    <w:p w14:paraId="3FAF00AA" w14:textId="51E3487A" w:rsidR="00AC06EB" w:rsidRDefault="00AC06EB" w:rsidP="00AC06EB">
      <w:pPr>
        <w:pStyle w:val="Heading5"/>
      </w:pPr>
      <w:bookmarkStart w:id="557" w:name="_Ref177992869"/>
      <w:r>
        <w:t>(10) Teach and reinforce good hand</w:t>
      </w:r>
      <w:r w:rsidR="00B46732">
        <w:t>-</w:t>
      </w:r>
      <w:r>
        <w:t>washing etiquette, particularly before eating and drinking</w:t>
      </w:r>
      <w:bookmarkEnd w:id="557"/>
    </w:p>
    <w:p w14:paraId="37B9461C" w14:textId="707C4EEA" w:rsidR="00AC06EB" w:rsidRDefault="00AC06EB" w:rsidP="006D7DE6">
      <w:pPr>
        <w:pStyle w:val="BodyTextFirstIndent"/>
      </w:pPr>
      <w:r w:rsidRPr="0005493C">
        <w:t>Another common route of exposure is through ingestion of PCBs in dust found on surfaces and hands.</w:t>
      </w:r>
      <w:r w:rsidRPr="0005493C">
        <w:fldChar w:fldCharType="begin"/>
      </w:r>
      <w:r w:rsidR="00E01552">
        <w:instrText xml:space="preserve"> ADDIN ZOTERO_ITEM CSL_CITATION {"citationID":"3j0U54oC","properties":{"formattedCitation":"\\super 109\\nosupersub{}","plainCitation":"109","noteIndex":0},"citationItems":[{"id":217,"uris":["http://zotero.org/groups/5563646/items/RP789U2H"],"itemData":{"id":217,"type":"report","publisher":"Western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PEHSU","given":""}],"accessed":{"date-parts":[["2024",6,20]]},"issued":{"date-parts":[["2017"]]}}}],"schema":"https://github.com/citation-style-language/schema/raw/master/csl-citation.json"} </w:instrText>
      </w:r>
      <w:r w:rsidRPr="0005493C">
        <w:fldChar w:fldCharType="separate"/>
      </w:r>
      <w:r w:rsidR="00E01552" w:rsidRPr="00E01552">
        <w:rPr>
          <w:rFonts w:cs="Arial"/>
          <w:vertAlign w:val="superscript"/>
        </w:rPr>
        <w:t>109</w:t>
      </w:r>
      <w:r w:rsidRPr="0005493C">
        <w:fldChar w:fldCharType="end"/>
      </w:r>
      <w:r w:rsidRPr="0005493C">
        <w:t xml:space="preserve"> Students and staff should wash hands with soap and water frequently, particularly before eating and drinking.</w:t>
      </w:r>
      <w:r w:rsidRPr="0005493C">
        <w:fldChar w:fldCharType="begin"/>
      </w:r>
      <w:r w:rsidR="00CC6EF2">
        <w:instrText xml:space="preserve"> ADDIN ZOTERO_ITEM CSL_CITATION {"citationID":"vyqEm10O","properties":{"formattedCitation":"\\super 101,109,304\\nosupersub{}","plainCitation":"101,109,304","noteIndex":0},"citationItems":[{"id":217,"uris":["http://zotero.org/groups/5563646/items/RP789U2H"],"itemData":{"id":217,"type":"report","publisher":"Western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10,"uris":["http://zotero.org/groups/5563646/items/RET9EIZX"],"itemData":{"id":10,"type":"report","language":"en","number":"EPA-908-R-12-0001","source":"Zotero","title":"Sensible Steps to Healthier School Environments","URL":"https://www.epa.gov/sites/default/files/2014-05/documents/sensible_steps.pdf","author":[{"family":"US EPA","given":""}],"issued":{"date-parts":[["2012",7]]}}},{"id":219,"uris":["http://zotero.org/groups/5563646/items/CV4993IP"],"itemData":{"id":219,"type":"report","language":"en","source":"Zotero","title":"Practical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rsidRPr="0005493C">
        <w:fldChar w:fldCharType="separate"/>
      </w:r>
      <w:r w:rsidR="00CC6EF2" w:rsidRPr="00CC6EF2">
        <w:rPr>
          <w:rFonts w:cs="Arial"/>
          <w:vertAlign w:val="superscript"/>
        </w:rPr>
        <w:t>101,109,304</w:t>
      </w:r>
      <w:r w:rsidRPr="0005493C">
        <w:fldChar w:fldCharType="end"/>
      </w:r>
      <w:r w:rsidRPr="0005493C">
        <w:t xml:space="preserve"> In classrooms with younger </w:t>
      </w:r>
      <w:r w:rsidRPr="0005493C">
        <w:lastRenderedPageBreak/>
        <w:t>children, staff should regularly wash toys and frequently touched objects with soap and water.</w:t>
      </w:r>
      <w:r w:rsidRPr="0005493C">
        <w:fldChar w:fldCharType="begin"/>
      </w:r>
      <w:r w:rsidR="004A589C">
        <w:instrText xml:space="preserve"> ADDIN ZOTERO_ITEM CSL_CITATION {"citationID":"6xMpjGfY","properties":{"formattedCitation":"\\super 101,109,304\\nosupersub{}","plainCitation":"101,109,304","noteIndex":0},"citationItems":[{"id":217,"uris":["http://zotero.org/groups/5563646/items/RP789U2H"],"itemData":{"id":217,"type":"report","publisher":"Western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10,"uris":["http://zotero.org/groups/5563646/items/RET9EIZX"],"itemData":{"id":10,"type":"report","language":"en","number":"EPA-908-R-12-0001","source":"Zotero","title":"Sensible Steps to Healthier School Environments","URL":"https://www.epa.gov/sites/default/files/2014-05/documents/sensible_steps.pdf","author":[{"family":"US EPA","given":""}],"issued":{"date-parts":[["2012",7]]}}},{"id":219,"uris":["http://zotero.org/groups/5563646/items/CV4993IP"],"itemData":{"id":219,"type":"report","language":"en","source":"Zotero","title":"Practical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rsidRPr="0005493C">
        <w:fldChar w:fldCharType="separate"/>
      </w:r>
      <w:r w:rsidR="004A589C" w:rsidRPr="004A589C">
        <w:rPr>
          <w:rFonts w:cs="Arial"/>
          <w:vertAlign w:val="superscript"/>
        </w:rPr>
        <w:t>101,109,304</w:t>
      </w:r>
      <w:r w:rsidRPr="0005493C">
        <w:fldChar w:fldCharType="end"/>
      </w:r>
      <w:r>
        <w:t xml:space="preserve"> In addition to preventing the accidental ingestion of PCBs, good hygiene practices such as hand</w:t>
      </w:r>
      <w:r w:rsidR="00B46732">
        <w:t>-</w:t>
      </w:r>
      <w:r>
        <w:t xml:space="preserve">washing can prevent the accidental ingestion of other contaminants, such as lead, that may end up on hands, as well as prevent the spread of illness (see best practice </w:t>
      </w:r>
      <w:r>
        <w:fldChar w:fldCharType="begin"/>
      </w:r>
      <w:r>
        <w:instrText xml:space="preserve"> REF _Ref177993019 \h </w:instrText>
      </w:r>
      <w:r>
        <w:fldChar w:fldCharType="separate"/>
      </w:r>
      <w:r w:rsidR="00307850" w:rsidRPr="0013059A">
        <w:t>(4) Teach and reinforce respiratory etiquette</w:t>
      </w:r>
      <w:r>
        <w:fldChar w:fldCharType="end"/>
      </w:r>
      <w:r>
        <w:t xml:space="preserve"> under </w:t>
      </w:r>
      <w:hyperlink w:anchor="ReduceAirTransmission" w:history="1">
        <w:r w:rsidRPr="000A1D2E">
          <w:rPr>
            <w:rStyle w:val="Hyperlink"/>
          </w:rPr>
          <w:t>Reduce Airborne Transmission of Disease</w:t>
        </w:r>
      </w:hyperlink>
      <w:r>
        <w:t>)</w:t>
      </w:r>
    </w:p>
    <w:p w14:paraId="59C37D88" w14:textId="77777777" w:rsidR="00AC06EB" w:rsidRDefault="00AC06EB" w:rsidP="00AC06EB">
      <w:pPr>
        <w:pStyle w:val="Heading5"/>
      </w:pPr>
      <w:r w:rsidRPr="007234DE">
        <w:t>(11) Reduce dust while cleaning</w:t>
      </w:r>
    </w:p>
    <w:p w14:paraId="3BB3B0AF" w14:textId="37C7D3A9" w:rsidR="00AC06EB" w:rsidRDefault="00AC06EB" w:rsidP="006D7DE6">
      <w:pPr>
        <w:pStyle w:val="BodyTextFirstIndent"/>
      </w:pPr>
      <w:r w:rsidRPr="00005C18">
        <w:t>During some cleaning practices</w:t>
      </w:r>
      <w:r>
        <w:t xml:space="preserve"> </w:t>
      </w:r>
      <w:r w:rsidRPr="00005C18">
        <w:t>dust containing PCBs can be resuspended into the air. In buildings with known or suspected PCBs, cleaning staff should help reduce PCB exposure by using vacuums with HEPA filters and cleaning surfaces</w:t>
      </w:r>
      <w:r>
        <w:t>,</w:t>
      </w:r>
      <w:r w:rsidRPr="00005C18">
        <w:t xml:space="preserve"> including floors, walls, and window sills regularly with wet microfiber mops and cloths.</w:t>
      </w:r>
      <w:r w:rsidRPr="00005C18">
        <w:fldChar w:fldCharType="begin"/>
      </w:r>
      <w:r w:rsidR="00D063DB">
        <w:instrText xml:space="preserve"> ADDIN ZOTERO_ITEM CSL_CITATION {"citationID":"YKoRFVLg","properties":{"formattedCitation":"\\super 101,109,304\\nosupersub{}","plainCitation":"101,109,304","noteIndex":0},"citationItems":[{"id":217,"uris":["http://zotero.org/groups/5563646/items/RP789U2H"],"itemData":{"id":217,"type":"report","publisher":"Western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10,"uris":["http://zotero.org/groups/5563646/items/RET9EIZX"],"itemData":{"id":10,"type":"report","language":"en","number":"EPA-908-R-12-0001","source":"Zotero","title":"Sensible Steps to Healthier School Environments","URL":"https://www.epa.gov/sites/default/files/2014-05/documents/sensible_steps.pdf","author":[{"family":"US EPA","given":""}],"issued":{"date-parts":[["2012",7]]}}},{"id":219,"uris":["http://zotero.org/groups/5563646/items/CV4993IP"],"itemData":{"id":219,"type":"report","language":"en","source":"Zotero","title":"Practical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rsidRPr="00005C18">
        <w:fldChar w:fldCharType="separate"/>
      </w:r>
      <w:r w:rsidR="00D063DB" w:rsidRPr="00D063DB">
        <w:rPr>
          <w:rFonts w:cs="Arial"/>
          <w:vertAlign w:val="superscript"/>
        </w:rPr>
        <w:t>101,109,304</w:t>
      </w:r>
      <w:r w:rsidRPr="00005C18">
        <w:fldChar w:fldCharType="end"/>
      </w:r>
      <w:r w:rsidRPr="00005C18">
        <w:t xml:space="preserve"> Cleaning staff should not sweep with dry brooms or dust with dry dusters or cloths, as both can resuspend PCBs in dust into the air.</w:t>
      </w:r>
      <w:r w:rsidRPr="00005C18">
        <w:fldChar w:fldCharType="begin"/>
      </w:r>
      <w:r w:rsidR="00AE0D91">
        <w:instrText xml:space="preserve"> ADDIN ZOTERO_ITEM CSL_CITATION {"citationID":"QZXEBmFX","properties":{"formattedCitation":"\\super 101,109,304\\nosupersub{}","plainCitation":"101,109,304","noteIndex":0},"citationItems":[{"id":217,"uris":["http://zotero.org/groups/5563646/items/RP789U2H"],"itemData":{"id":217,"type":"report","publisher":"Western States Pediatric Environmental Health Specialty Unit","title":"Managing PCBs in Schools","URL":"https://wspehsu.ucsf.edu/wp-content/uploads/2017/10/the-final_managing-pcbs-in-schools-poster_2017.pdf","author":[{"family":"Western States PEHSU","given":""}],"accessed":{"date-parts":[["2024",6,20]]},"issued":{"date-parts":[["2017"]]}}},{"id":10,"uris":["http://zotero.org/groups/5563646/items/RET9EIZX"],"itemData":{"id":10,"type":"report","language":"en","number":"EPA-908-R-12-0001","source":"Zotero","title":"Sensible Steps to Healthier School Environments","URL":"https://www.epa.gov/sites/default/files/2014-05/documents/sensible_steps.pdf","author":[{"family":"US EPA","given":""}],"issued":{"date-parts":[["2012",7]]}}},{"id":219,"uris":["http://zotero.org/groups/5563646/items/CV4993IP"],"itemData":{"id":219,"type":"report","language":"en","source":"Zotero","title":"Practical Actions for Reducing Exposure to PCBs in Schools and Other Buildings","URL":"https://www.epa.gov/sites/default/files/2016-03/documents/practical_actions_for_reducing_exposure_to_pcbs_in_schools_and_other_buildings.pdf","author":[{"family":"US EPA","given":""}],"issued":{"date-parts":[["2015",7,28]]}}}],"schema":"https://github.com/citation-style-language/schema/raw/master/csl-citation.json"} </w:instrText>
      </w:r>
      <w:r w:rsidRPr="00005C18">
        <w:fldChar w:fldCharType="separate"/>
      </w:r>
      <w:r w:rsidR="00AE0D91" w:rsidRPr="00AE0D91">
        <w:rPr>
          <w:rFonts w:cs="Arial"/>
          <w:vertAlign w:val="superscript"/>
        </w:rPr>
        <w:t>101,109,304</w:t>
      </w:r>
      <w:r w:rsidRPr="00005C18">
        <w:fldChar w:fldCharType="end"/>
      </w:r>
    </w:p>
    <w:p w14:paraId="409C6CF6" w14:textId="77777777" w:rsidR="00120772" w:rsidRDefault="00120772" w:rsidP="00120772">
      <w:pPr>
        <w:pStyle w:val="Heading3"/>
      </w:pPr>
      <w:r>
        <w:t>Statutes, Regulations, and Standards</w:t>
      </w:r>
    </w:p>
    <w:p w14:paraId="4C0CFE72" w14:textId="77777777" w:rsidR="00120772" w:rsidRPr="00E549B2" w:rsidRDefault="00120772" w:rsidP="006D7DE6">
      <w:pPr>
        <w:pStyle w:val="BodyTextFirstIndent"/>
      </w:pPr>
      <w:r>
        <w:t>This section summarizes the regulation that governs PCB testing and removal as well as the standard oral reference dose (RfD) recommended for schools.</w:t>
      </w:r>
    </w:p>
    <w:p w14:paraId="298A3687" w14:textId="77777777" w:rsidR="00120772" w:rsidRDefault="00120772" w:rsidP="00120772">
      <w:pPr>
        <w:pStyle w:val="Heading4"/>
      </w:pPr>
      <w:r>
        <w:t>Relevant Regulations</w:t>
      </w:r>
    </w:p>
    <w:p w14:paraId="365AAE16" w14:textId="685ADC50" w:rsidR="00120772" w:rsidRDefault="00120772" w:rsidP="006D7DE6">
      <w:pPr>
        <w:pStyle w:val="BodyTextFirstIndent"/>
      </w:pPr>
      <w:r w:rsidRPr="00F55A91">
        <w:t>40 CFR § 761: Toxic Substances Control Act (TSCA) – PCBs Manufacturing, Processing, Distribution in Commerce, and Use Prohibitions</w:t>
      </w:r>
      <w:r>
        <w:t xml:space="preserve"> </w:t>
      </w:r>
      <w:r w:rsidRPr="00FB54AC">
        <w:t>prohibit</w:t>
      </w:r>
      <w:r>
        <w:t>s PCB production</w:t>
      </w:r>
      <w:r w:rsidRPr="00FB54AC">
        <w:t xml:space="preserve"> and</w:t>
      </w:r>
      <w:r>
        <w:t xml:space="preserve"> establishes</w:t>
      </w:r>
      <w:r w:rsidRPr="00FB54AC">
        <w:t xml:space="preserve"> requirements for</w:t>
      </w:r>
      <w:r>
        <w:t xml:space="preserve"> </w:t>
      </w:r>
      <w:r w:rsidRPr="00FB54AC">
        <w:t xml:space="preserve">the manufacture, processing, distribution, use, disposal, storage, and marking of </w:t>
      </w:r>
      <w:r>
        <w:t>items containing PCBs</w:t>
      </w:r>
      <w:r w:rsidRPr="00FB54AC">
        <w:t>.</w:t>
      </w:r>
      <w:r>
        <w:fldChar w:fldCharType="begin"/>
      </w:r>
      <w:r w:rsidR="004359AF">
        <w:instrText xml:space="preserve"> ADDIN ZOTERO_ITEM CSL_CITATION {"citationID":"HObWsSNS","properties":{"formattedCitation":"\\super 110\\nosupersub{}","plainCitation":"110","noteIndex":0},"citationItems":[{"id":389,"uris":["http://zotero.org/groups/5563646/items/TE89T6W3"],"itemData":{"id":389,"type":"legislation","container-title":"Code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761","accessed":{"date-parts":[["2024",6,26]]},"issued":{"date-parts":[["1976",10,11]]}}}],"schema":"https://github.com/citation-style-language/schema/raw/master/csl-citation.json"} </w:instrText>
      </w:r>
      <w:r>
        <w:fldChar w:fldCharType="separate"/>
      </w:r>
      <w:r w:rsidR="004359AF" w:rsidRPr="004359AF">
        <w:rPr>
          <w:rFonts w:cs="Arial"/>
          <w:vertAlign w:val="superscript"/>
        </w:rPr>
        <w:t>110</w:t>
      </w:r>
      <w:r>
        <w:fldChar w:fldCharType="end"/>
      </w:r>
      <w:r>
        <w:t xml:space="preserve"> Several subparts may be relevant for schools managing, cleaning up, or disposing of PCBs:</w:t>
      </w:r>
    </w:p>
    <w:p w14:paraId="4FD5620D" w14:textId="4C1D46DD" w:rsidR="00120772" w:rsidRDefault="00120772" w:rsidP="006D7DE6">
      <w:pPr>
        <w:pStyle w:val="BodyTextFirstIndent"/>
      </w:pPr>
      <w:r w:rsidRPr="000B58D7">
        <w:rPr>
          <w:b/>
          <w:bCs/>
        </w:rPr>
        <w:t>40 CFR § 761.60</w:t>
      </w:r>
      <w:r>
        <w:rPr>
          <w:b/>
          <w:bCs/>
        </w:rPr>
        <w:t>:</w:t>
      </w:r>
      <w:r w:rsidRPr="000B58D7">
        <w:rPr>
          <w:b/>
          <w:bCs/>
        </w:rPr>
        <w:t xml:space="preserve"> Disposal </w:t>
      </w:r>
      <w:r w:rsidRPr="00353635">
        <w:t>and</w:t>
      </w:r>
      <w:r w:rsidRPr="000B58D7">
        <w:rPr>
          <w:b/>
          <w:bCs/>
        </w:rPr>
        <w:t xml:space="preserve"> 40 CFR § 761.62: Disposal of PCB Bulk Product Waste</w:t>
      </w:r>
      <w:r>
        <w:t xml:space="preserve"> describe appropriate ways to dispose of waste that contains PCBs. If schools are undertaking renovations to remove PCBs, they are responsible for properly disposing of PCBs whether in caulk, fluorescent light ballasts, or other sources in accordance with </w:t>
      </w:r>
      <w:r w:rsidRPr="00C94234">
        <w:t>40 CFR § 761</w:t>
      </w:r>
      <w:r>
        <w:t>.</w:t>
      </w:r>
      <w:r>
        <w:fldChar w:fldCharType="begin"/>
      </w:r>
      <w:r w:rsidR="00237E68">
        <w:instrText xml:space="preserve"> ADDIN ZOTERO_ITEM CSL_CITATION {"citationID":"yUJ09tdw","properties":{"formattedCitation":"\\super 106,110,303\\nosupersub{}","plainCitation":"106,110,303","noteIndex":0},"citationItems":[{"id":216,"uris":["http://zotero.org/groups/5563646/items/GXPG886H"],"itemData":{"id":216,"type":"webpage","abstract":"Information about PCB-containing materials in the indoor environment of schools and other public buildings.","container-title":"Mass.gov","language":"en","title":"PCBs (Polychlorinated Biphenyls) in building materials","URL":"https://www.mass.gov/info-details/pcbs-polychlorinated-biphenyls-in-building-materials","author":[{"family":"MDPH","given":""}],"accessed":{"date-parts":[["2024",6,20]]}}},{"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fldChar w:fldCharType="separate"/>
      </w:r>
      <w:r w:rsidR="00237E68" w:rsidRPr="00237E68">
        <w:rPr>
          <w:rFonts w:cs="Arial"/>
          <w:vertAlign w:val="superscript"/>
        </w:rPr>
        <w:t>106,110,303</w:t>
      </w:r>
      <w:r>
        <w:fldChar w:fldCharType="end"/>
      </w:r>
      <w:r>
        <w:t xml:space="preserve"> </w:t>
      </w:r>
    </w:p>
    <w:p w14:paraId="481F6151" w14:textId="7F188427" w:rsidR="00120772" w:rsidRDefault="00120772" w:rsidP="006D7DE6">
      <w:pPr>
        <w:pStyle w:val="BodyTextFirstIndent"/>
      </w:pPr>
      <w:r w:rsidRPr="000D1428">
        <w:rPr>
          <w:b/>
          <w:bCs/>
        </w:rPr>
        <w:t>40 CFR § 761.65</w:t>
      </w:r>
      <w:r>
        <w:rPr>
          <w:b/>
          <w:bCs/>
        </w:rPr>
        <w:t xml:space="preserve">: </w:t>
      </w:r>
      <w:r w:rsidRPr="000D1428">
        <w:rPr>
          <w:b/>
          <w:bCs/>
        </w:rPr>
        <w:t>Storage for Disposal</w:t>
      </w:r>
      <w:r w:rsidRPr="000D1428">
        <w:t xml:space="preserve"> describes how waste containing PCBs must be stored while awaiting disposal.</w:t>
      </w:r>
      <w:r w:rsidRPr="000D1428">
        <w:fldChar w:fldCharType="begin"/>
      </w:r>
      <w:r w:rsidR="002560C9">
        <w:instrText xml:space="preserve"> ADDIN ZOTERO_ITEM CSL_CITATION {"citationID":"MJUL1BHD","properties":{"formattedCitation":"\\super 110,303\\nosupersub{}","plainCitation":"110,303","noteIndex":0},"citationItems":[{"id":389,"uris":["http://zotero.org/groups/5563646/items/TE89T6W3"],"itemData":{"id":389,"type":"legislation","container-title":"Code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0D1428">
        <w:fldChar w:fldCharType="separate"/>
      </w:r>
      <w:r w:rsidR="002560C9" w:rsidRPr="002560C9">
        <w:rPr>
          <w:rFonts w:cs="Arial"/>
          <w:vertAlign w:val="superscript"/>
        </w:rPr>
        <w:t>110,303</w:t>
      </w:r>
      <w:r w:rsidRPr="000D1428">
        <w:fldChar w:fldCharType="end"/>
      </w:r>
    </w:p>
    <w:p w14:paraId="76E53D09" w14:textId="58344CDE" w:rsidR="00120772" w:rsidRPr="000D1428" w:rsidRDefault="00120772" w:rsidP="006D7DE6">
      <w:pPr>
        <w:pStyle w:val="BodyTextFirstIndent"/>
      </w:pPr>
      <w:r w:rsidRPr="00185EBC">
        <w:rPr>
          <w:b/>
          <w:bCs/>
        </w:rPr>
        <w:t>40 CFR § 761.125: Requirements for PCB Spill Cleanup</w:t>
      </w:r>
      <w:r w:rsidRPr="002B48A6">
        <w:t xml:space="preserve"> pertains to all spills of PCBs at concentrations of 50 ppm or greater.</w:t>
      </w:r>
      <w:r w:rsidRPr="002B48A6">
        <w:fldChar w:fldCharType="begin"/>
      </w:r>
      <w:r w:rsidR="00CB44AF">
        <w:instrText xml:space="preserve"> ADDIN ZOTERO_ITEM CSL_CITATION {"citationID":"gTSRWQxm","properties":{"formattedCitation":"\\super 110\\nosupersub{}","plainCitation":"110","noteIndex":0},"citationItems":[{"id":389,"uris":["http://zotero.org/groups/5563646/items/TE89T6W3"],"itemData":{"id":389,"type":"legislation","container-title":"Code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761","accessed":{"date-parts":[["2024",6,26]]},"issued":{"date-parts":[["1976",10,11]]}}}],"schema":"https://github.com/citation-style-language/schema/raw/master/csl-citation.json"} </w:instrText>
      </w:r>
      <w:r w:rsidRPr="002B48A6">
        <w:fldChar w:fldCharType="separate"/>
      </w:r>
      <w:r w:rsidR="00CB44AF" w:rsidRPr="00CB44AF">
        <w:rPr>
          <w:rFonts w:cs="Arial"/>
          <w:vertAlign w:val="superscript"/>
        </w:rPr>
        <w:t>110</w:t>
      </w:r>
      <w:r w:rsidRPr="002B48A6">
        <w:fldChar w:fldCharType="end"/>
      </w:r>
      <w:r w:rsidRPr="002B48A6">
        <w:t xml:space="preserve"> If such a spill were to occur at a school, for example, from broken fluorescent light ballasts that contain PCBs, the school would have to report, clean up, and certify clean up from the spill in compliance with 40 CFR § 761.125.</w:t>
      </w:r>
      <w:r w:rsidRPr="002B48A6">
        <w:fldChar w:fldCharType="begin"/>
      </w:r>
      <w:r w:rsidR="00D62185">
        <w:instrText xml:space="preserve"> ADDIN ZOTERO_ITEM CSL_CITATION {"citationID":"sWmDtlcL","properties":{"formattedCitation":"\\super 110,303\\nosupersub{}","plainCitation":"110,303","noteIndex":0},"citationItems":[{"id":389,"uris":["http://zotero.org/groups/5563646/items/TE89T6W3"],"itemData":{"id":389,"type":"legislation","container-title":"Code of Federal Regulations","language":"en","number":"94-469","title":"Toxic Substances Control Act, 40 CFR 761 - Polychlorinated Biphenyls (PCBs) Manufacturing, Processing, Distribution in Commerce, and Use Prohibitions","URL":"https://www.ecfr.gov/current/title-40/part-761","volume":"40 CFR 761","accessed":{"date-parts":[["2024",6,26]]},"issued":{"date-parts":[["1976",10,11]]}}},{"id":291,"uris":["http://zotero.org/groups/5563646/items/T66VYICJ"],"itemData":{"id":291,"type":"webpage","abstract":"PCB-Containing Fluorescent Light Ballasts (FLBs) in School Buildings A Guide for School Administrators, Building Owners and Managers and Maintenance Personnel","genre":"Other Policies and Guidance","language":"en","title":"Polychlorinated Biphenyl (PCB)-Containing Fluorescent Light Ballasts (FLBs) in School Buildings","URL":"https://www.epa.gov/pcbs/polychlorinated-biphenyl-pcb-containing-fluorescent-light-ballasts-flbs-school-buildings","author":[{"family":"US EPA","given":""}],"accessed":{"date-parts":[["2024",6,25]]},"issued":{"date-parts":[["2023",11,4]]}}}],"schema":"https://github.com/citation-style-language/schema/raw/master/csl-citation.json"} </w:instrText>
      </w:r>
      <w:r w:rsidRPr="002B48A6">
        <w:fldChar w:fldCharType="separate"/>
      </w:r>
      <w:r w:rsidR="00D62185" w:rsidRPr="00D62185">
        <w:rPr>
          <w:rFonts w:cs="Arial"/>
          <w:vertAlign w:val="superscript"/>
        </w:rPr>
        <w:t>110,303</w:t>
      </w:r>
      <w:r w:rsidRPr="002B48A6">
        <w:fldChar w:fldCharType="end"/>
      </w:r>
    </w:p>
    <w:p w14:paraId="53636F97" w14:textId="77777777" w:rsidR="00120772" w:rsidRDefault="00120772" w:rsidP="00120772">
      <w:pPr>
        <w:pStyle w:val="Heading4"/>
      </w:pPr>
      <w:r>
        <w:t>Relevant Standards</w:t>
      </w:r>
    </w:p>
    <w:p w14:paraId="28BCCE4C" w14:textId="6D8D96C1" w:rsidR="00120772" w:rsidRPr="00663CB1" w:rsidRDefault="00120772" w:rsidP="006D7DE6">
      <w:pPr>
        <w:pStyle w:val="BodyTextFirstIndent"/>
      </w:pPr>
      <w:r w:rsidRPr="00C0024B">
        <w:rPr>
          <w:b/>
          <w:bCs/>
        </w:rPr>
        <w:t>Exposure Levels for Evaluating PCBs in Indoor School Air and the Oral RfD</w:t>
      </w:r>
      <w:r>
        <w:t xml:space="preserve">: EPA has defined the oral RfD of PCBs as 20 ng PCB/kg body weight per day. The RfD is the </w:t>
      </w:r>
      <w:r>
        <w:lastRenderedPageBreak/>
        <w:t>estimated dose of daily exposure that is unlikely to have an appreciable risk of harmful health effects during a lifetime.</w:t>
      </w:r>
      <w:r>
        <w:fldChar w:fldCharType="begin"/>
      </w:r>
      <w:r w:rsidR="00B82ED4">
        <w:instrText xml:space="preserve"> ADDIN ZOTERO_ITEM CSL_CITATION {"citationID":"4PUfW13t","properties":{"formattedCitation":"\\super 306\\nosupersub{}","plainCitation":"306","noteIndex":0},"citationItems":[{"id":290,"uris":["http://zotero.org/groups/5563646/items/Y7ML7VXU"],"itemData":{"id":290,"type":"webpage","abstract":"Exposure Levels for Evaluating PCBs in Indoor School Air","genre":"Other Policies and Guidance","language":"en","title":"Exposure Levels for Evaluating Polychlorinated Biphenyls (PCBs) in Indoor School Air","URL":"https://www.epa.gov/pcbs/exposure-levels-evaluating-polychlorinated-biphenyls-pcbs-indoor-school-air","author":[{"family":"US EPA","given":""}],"accessed":{"date-parts":[["2024",6,25]]},"issued":{"date-parts":[["2023",10,25]]}}}],"schema":"https://github.com/citation-style-language/schema/raw/master/csl-citation.json"} </w:instrText>
      </w:r>
      <w:r>
        <w:fldChar w:fldCharType="separate"/>
      </w:r>
      <w:r w:rsidR="00B82ED4" w:rsidRPr="00B82ED4">
        <w:rPr>
          <w:rFonts w:cs="Arial"/>
          <w:vertAlign w:val="superscript"/>
        </w:rPr>
        <w:t>306</w:t>
      </w:r>
      <w:r>
        <w:fldChar w:fldCharType="end"/>
      </w:r>
      <w:r>
        <w:t xml:space="preserve"> Considering all exposure pathways in school and non-school settings, EPA calculated indoor air concentrations of PCBs that would result in an estimated total PCB exposure equal to the RfD by age group, assuming other school and non-school exposures were average background levels.</w:t>
      </w:r>
      <w:r>
        <w:fldChar w:fldCharType="begin"/>
      </w:r>
      <w:r w:rsidR="00B51245">
        <w:instrText xml:space="preserve"> ADDIN ZOTERO_ITEM CSL_CITATION {"citationID":"au2GBeXc","properties":{"formattedCitation":"\\super 306\\nosupersub{}","plainCitation":"306","noteIndex":0},"citationItems":[{"id":290,"uris":["http://zotero.org/groups/5563646/items/Y7ML7VXU"],"itemData":{"id":290,"type":"webpage","abstract":"Exposure Levels for Evaluating PCBs in Indoor School Air","genre":"Other Policies and Guidance","language":"en","title":"Exposure Levels for Evaluating Polychlorinated Biphenyls (PCBs) in Indoor School Air","URL":"https://www.epa.gov/pcbs/exposure-levels-evaluating-polychlorinated-biphenyls-pcbs-indoor-school-air","author":[{"family":"US EPA","given":""}],"accessed":{"date-parts":[["2024",6,25]]},"issued":{"date-parts":[["2023",10,25]]}}}],"schema":"https://github.com/citation-style-language/schema/raw/master/csl-citation.json"} </w:instrText>
      </w:r>
      <w:r>
        <w:fldChar w:fldCharType="separate"/>
      </w:r>
      <w:r w:rsidR="00B51245" w:rsidRPr="00B51245">
        <w:rPr>
          <w:rFonts w:cs="Arial"/>
          <w:vertAlign w:val="superscript"/>
        </w:rPr>
        <w:t>306</w:t>
      </w:r>
      <w:r>
        <w:fldChar w:fldCharType="end"/>
      </w:r>
      <w:r>
        <w:t xml:space="preserve"> Acceptable concentrations in indoor air may vary by school and other background exposures.</w:t>
      </w:r>
      <w:r>
        <w:fldChar w:fldCharType="begin"/>
      </w:r>
      <w:r w:rsidR="00061C26">
        <w:instrText xml:space="preserve"> ADDIN ZOTERO_ITEM CSL_CITATION {"citationID":"QNlHhle5","properties":{"formattedCitation":"\\super 306\\nosupersub{}","plainCitation":"306","noteIndex":0},"citationItems":[{"id":290,"uris":["http://zotero.org/groups/5563646/items/Y7ML7VXU"],"itemData":{"id":290,"type":"webpage","abstract":"Exposure Levels for Evaluating PCBs in Indoor School Air","genre":"Other Policies and Guidance","language":"en","title":"Exposure Levels for Evaluating Polychlorinated Biphenyls (PCBs) in Indoor School Air","URL":"https://www.epa.gov/pcbs/exposure-levels-evaluating-polychlorinated-biphenyls-pcbs-indoor-school-air","author":[{"family":"US EPA","given":""}],"accessed":{"date-parts":[["2024",6,25]]},"issued":{"date-parts":[["2023",10,25]]}}}],"schema":"https://github.com/citation-style-language/schema/raw/master/csl-citation.json"} </w:instrText>
      </w:r>
      <w:r>
        <w:fldChar w:fldCharType="separate"/>
      </w:r>
      <w:r w:rsidR="00061C26" w:rsidRPr="00061C26">
        <w:rPr>
          <w:rFonts w:cs="Arial"/>
          <w:vertAlign w:val="superscript"/>
        </w:rPr>
        <w:t>306</w:t>
      </w:r>
      <w:r>
        <w:fldChar w:fldCharType="end"/>
      </w:r>
      <w:r>
        <w:t xml:space="preserve"> The exposure levels for evaluating PCBs in school indoor air are outlined in </w:t>
      </w:r>
      <w:r>
        <w:fldChar w:fldCharType="begin"/>
      </w:r>
      <w:r>
        <w:instrText xml:space="preserve"> REF _Ref173830450 \h </w:instrText>
      </w:r>
      <w:r>
        <w:fldChar w:fldCharType="separate"/>
      </w:r>
      <w:r w:rsidR="00307850">
        <w:t xml:space="preserve">Table </w:t>
      </w:r>
      <w:r w:rsidR="00307850">
        <w:rPr>
          <w:noProof/>
        </w:rPr>
        <w:t>65</w:t>
      </w:r>
      <w:r>
        <w:fldChar w:fldCharType="end"/>
      </w:r>
      <w:r>
        <w:t>.</w:t>
      </w:r>
    </w:p>
    <w:p w14:paraId="6E42F64C" w14:textId="42EC0EDD" w:rsidR="00120772" w:rsidRPr="00074B37" w:rsidRDefault="00120772" w:rsidP="00B30C96">
      <w:pPr>
        <w:pStyle w:val="Caption"/>
      </w:pPr>
      <w:bookmarkStart w:id="558" w:name="_Ref173830450"/>
      <w:bookmarkStart w:id="559" w:name="_Toc192711731"/>
      <w:bookmarkStart w:id="560" w:name="_Toc193112613"/>
      <w:bookmarkStart w:id="561" w:name="_Toc193117012"/>
      <w:r>
        <w:t xml:space="preserve">Table </w:t>
      </w:r>
      <w:fldSimple w:instr=" SEQ Table \* ARABIC ">
        <w:r w:rsidR="00307850">
          <w:rPr>
            <w:noProof/>
          </w:rPr>
          <w:t>65</w:t>
        </w:r>
      </w:fldSimple>
      <w:bookmarkEnd w:id="558"/>
      <w:r>
        <w:t>. Exposure Levels for Evaluating PCBs in School Indoor Air by Age</w:t>
      </w:r>
      <w:bookmarkEnd w:id="559"/>
      <w:bookmarkEnd w:id="560"/>
      <w:bookmarkEnd w:id="561"/>
    </w:p>
    <w:tbl>
      <w:tblPr>
        <w:tblStyle w:val="TableGrid"/>
        <w:tblW w:w="0" w:type="auto"/>
        <w:tblLook w:val="04A0" w:firstRow="1" w:lastRow="0" w:firstColumn="1" w:lastColumn="0" w:noHBand="0" w:noVBand="1"/>
        <w:tblDescription w:val="Table listing PCB exposure levels grouped by age."/>
      </w:tblPr>
      <w:tblGrid>
        <w:gridCol w:w="4675"/>
        <w:gridCol w:w="4675"/>
      </w:tblGrid>
      <w:tr w:rsidR="00120772" w14:paraId="4D8475D7" w14:textId="77777777">
        <w:trPr>
          <w:tblHeader/>
        </w:trPr>
        <w:tc>
          <w:tcPr>
            <w:tcW w:w="4675" w:type="dxa"/>
            <w:shd w:val="clear" w:color="auto" w:fill="C6D9F1" w:themeFill="text2" w:themeFillTint="33"/>
          </w:tcPr>
          <w:p w14:paraId="19EFC6C2" w14:textId="77777777" w:rsidR="00120772" w:rsidRDefault="00120772">
            <w:pPr>
              <w:pStyle w:val="TableColumnHeader"/>
            </w:pPr>
            <w:r>
              <w:t>Age</w:t>
            </w:r>
          </w:p>
        </w:tc>
        <w:tc>
          <w:tcPr>
            <w:tcW w:w="4675" w:type="dxa"/>
            <w:shd w:val="clear" w:color="auto" w:fill="C6D9F1" w:themeFill="text2" w:themeFillTint="33"/>
          </w:tcPr>
          <w:p w14:paraId="1EA8D1C7" w14:textId="77777777" w:rsidR="00120772" w:rsidRDefault="00120772">
            <w:pPr>
              <w:pStyle w:val="TableColumnHeader"/>
            </w:pPr>
            <w:r>
              <w:t>E</w:t>
            </w:r>
            <w:r w:rsidRPr="004F2EDB">
              <w:t xml:space="preserve">xposure </w:t>
            </w:r>
            <w:r>
              <w:t>L</w:t>
            </w:r>
            <w:r w:rsidRPr="004F2EDB">
              <w:t xml:space="preserve">evels for </w:t>
            </w:r>
            <w:r>
              <w:t>E</w:t>
            </w:r>
            <w:r w:rsidRPr="004F2EDB">
              <w:t xml:space="preserve">valuating PCBs in </w:t>
            </w:r>
            <w:r>
              <w:t>S</w:t>
            </w:r>
            <w:r w:rsidRPr="004F2EDB">
              <w:t xml:space="preserve">chool </w:t>
            </w:r>
            <w:r>
              <w:t>I</w:t>
            </w:r>
            <w:r w:rsidRPr="004F2EDB">
              <w:t xml:space="preserve">ndoor </w:t>
            </w:r>
            <w:r>
              <w:t>A</w:t>
            </w:r>
            <w:r w:rsidRPr="004F2EDB">
              <w:t>ir</w:t>
            </w:r>
            <w:r>
              <w:t xml:space="preserve"> (ng/m</w:t>
            </w:r>
            <w:r w:rsidRPr="006F088C">
              <w:rPr>
                <w:vertAlign w:val="superscript"/>
              </w:rPr>
              <w:t>3</w:t>
            </w:r>
            <w:r>
              <w:rPr>
                <w:vertAlign w:val="superscript"/>
              </w:rPr>
              <w:t>)</w:t>
            </w:r>
          </w:p>
        </w:tc>
      </w:tr>
      <w:tr w:rsidR="00120772" w14:paraId="2F0539EA" w14:textId="77777777">
        <w:tc>
          <w:tcPr>
            <w:tcW w:w="4675" w:type="dxa"/>
          </w:tcPr>
          <w:p w14:paraId="6DA99BEF" w14:textId="77777777" w:rsidR="00120772" w:rsidRDefault="00120772">
            <w:pPr>
              <w:pStyle w:val="TableText"/>
              <w:jc w:val="center"/>
            </w:pPr>
            <w:r>
              <w:t>1 to &lt;2 yr</w:t>
            </w:r>
          </w:p>
        </w:tc>
        <w:tc>
          <w:tcPr>
            <w:tcW w:w="4675" w:type="dxa"/>
          </w:tcPr>
          <w:p w14:paraId="1ED01012" w14:textId="77777777" w:rsidR="00120772" w:rsidRDefault="00120772">
            <w:pPr>
              <w:pStyle w:val="TableText"/>
              <w:jc w:val="center"/>
            </w:pPr>
            <w:r>
              <w:t>100</w:t>
            </w:r>
          </w:p>
        </w:tc>
      </w:tr>
      <w:tr w:rsidR="00120772" w14:paraId="3446B44C" w14:textId="77777777">
        <w:tc>
          <w:tcPr>
            <w:tcW w:w="4675" w:type="dxa"/>
          </w:tcPr>
          <w:p w14:paraId="768B8266" w14:textId="77777777" w:rsidR="00120772" w:rsidRDefault="00120772">
            <w:pPr>
              <w:pStyle w:val="TableText"/>
              <w:jc w:val="center"/>
            </w:pPr>
            <w:r>
              <w:t>2 to &lt; 3 yr</w:t>
            </w:r>
          </w:p>
        </w:tc>
        <w:tc>
          <w:tcPr>
            <w:tcW w:w="4675" w:type="dxa"/>
          </w:tcPr>
          <w:p w14:paraId="61166C54" w14:textId="77777777" w:rsidR="00120772" w:rsidRDefault="00120772">
            <w:pPr>
              <w:pStyle w:val="TableText"/>
              <w:jc w:val="center"/>
            </w:pPr>
            <w:r>
              <w:t>100</w:t>
            </w:r>
          </w:p>
        </w:tc>
      </w:tr>
      <w:tr w:rsidR="00120772" w14:paraId="42CFE6DF" w14:textId="77777777">
        <w:tc>
          <w:tcPr>
            <w:tcW w:w="4675" w:type="dxa"/>
          </w:tcPr>
          <w:p w14:paraId="177FA306" w14:textId="77777777" w:rsidR="00120772" w:rsidRDefault="00120772">
            <w:pPr>
              <w:pStyle w:val="TableText"/>
              <w:jc w:val="center"/>
            </w:pPr>
            <w:r>
              <w:t>3 to &lt;6 yr</w:t>
            </w:r>
          </w:p>
        </w:tc>
        <w:tc>
          <w:tcPr>
            <w:tcW w:w="4675" w:type="dxa"/>
          </w:tcPr>
          <w:p w14:paraId="169DE7BC" w14:textId="77777777" w:rsidR="00120772" w:rsidRDefault="00120772">
            <w:pPr>
              <w:pStyle w:val="TableText"/>
              <w:jc w:val="center"/>
            </w:pPr>
            <w:r>
              <w:t>200</w:t>
            </w:r>
          </w:p>
        </w:tc>
      </w:tr>
      <w:tr w:rsidR="00120772" w14:paraId="38A25D81" w14:textId="77777777">
        <w:tc>
          <w:tcPr>
            <w:tcW w:w="4675" w:type="dxa"/>
          </w:tcPr>
          <w:p w14:paraId="3CD8CF1B" w14:textId="77777777" w:rsidR="00120772" w:rsidRDefault="00120772">
            <w:pPr>
              <w:pStyle w:val="TableText"/>
              <w:jc w:val="center"/>
            </w:pPr>
            <w:r>
              <w:t>6 to &lt; 12 yr (elementary school)</w:t>
            </w:r>
          </w:p>
        </w:tc>
        <w:tc>
          <w:tcPr>
            <w:tcW w:w="4675" w:type="dxa"/>
          </w:tcPr>
          <w:p w14:paraId="648E0D55" w14:textId="77777777" w:rsidR="00120772" w:rsidRDefault="00120772">
            <w:pPr>
              <w:pStyle w:val="TableText"/>
              <w:jc w:val="center"/>
            </w:pPr>
            <w:r>
              <w:t>300</w:t>
            </w:r>
          </w:p>
        </w:tc>
      </w:tr>
      <w:tr w:rsidR="00120772" w14:paraId="73222F80" w14:textId="77777777">
        <w:tc>
          <w:tcPr>
            <w:tcW w:w="4675" w:type="dxa"/>
          </w:tcPr>
          <w:p w14:paraId="47E9FFB8" w14:textId="77777777" w:rsidR="00120772" w:rsidRDefault="00120772">
            <w:pPr>
              <w:pStyle w:val="TableText"/>
              <w:jc w:val="center"/>
            </w:pPr>
            <w:r>
              <w:t>12 to &lt; 15 yr (middle school)</w:t>
            </w:r>
          </w:p>
        </w:tc>
        <w:tc>
          <w:tcPr>
            <w:tcW w:w="4675" w:type="dxa"/>
          </w:tcPr>
          <w:p w14:paraId="77041839" w14:textId="77777777" w:rsidR="00120772" w:rsidRDefault="00120772">
            <w:pPr>
              <w:pStyle w:val="TableText"/>
              <w:jc w:val="center"/>
            </w:pPr>
            <w:r>
              <w:t>500</w:t>
            </w:r>
          </w:p>
        </w:tc>
      </w:tr>
      <w:tr w:rsidR="00120772" w14:paraId="15F74D82" w14:textId="77777777">
        <w:tc>
          <w:tcPr>
            <w:tcW w:w="4675" w:type="dxa"/>
          </w:tcPr>
          <w:p w14:paraId="018537D1" w14:textId="77777777" w:rsidR="00120772" w:rsidRDefault="00120772">
            <w:pPr>
              <w:pStyle w:val="TableText"/>
              <w:jc w:val="center"/>
            </w:pPr>
            <w:r>
              <w:t>15 to &lt;19 yr (high school)</w:t>
            </w:r>
          </w:p>
        </w:tc>
        <w:tc>
          <w:tcPr>
            <w:tcW w:w="4675" w:type="dxa"/>
          </w:tcPr>
          <w:p w14:paraId="6EBAF935" w14:textId="77777777" w:rsidR="00120772" w:rsidRDefault="00120772">
            <w:pPr>
              <w:pStyle w:val="TableText"/>
              <w:jc w:val="center"/>
            </w:pPr>
            <w:r>
              <w:t>600</w:t>
            </w:r>
          </w:p>
        </w:tc>
      </w:tr>
      <w:tr w:rsidR="00120772" w14:paraId="06940388" w14:textId="77777777">
        <w:tc>
          <w:tcPr>
            <w:tcW w:w="4675" w:type="dxa"/>
          </w:tcPr>
          <w:p w14:paraId="4B653EC8" w14:textId="77777777" w:rsidR="00120772" w:rsidRDefault="00120772">
            <w:pPr>
              <w:pStyle w:val="TableText"/>
              <w:jc w:val="center"/>
            </w:pPr>
            <w:r>
              <w:t>19+ yr (adult)</w:t>
            </w:r>
          </w:p>
        </w:tc>
        <w:tc>
          <w:tcPr>
            <w:tcW w:w="4675" w:type="dxa"/>
          </w:tcPr>
          <w:p w14:paraId="06264E3C" w14:textId="77777777" w:rsidR="00120772" w:rsidRDefault="00120772">
            <w:pPr>
              <w:pStyle w:val="TableText"/>
              <w:jc w:val="center"/>
            </w:pPr>
            <w:r>
              <w:t>500</w:t>
            </w:r>
          </w:p>
        </w:tc>
      </w:tr>
    </w:tbl>
    <w:p w14:paraId="77582091" w14:textId="028957D9" w:rsidR="00120772" w:rsidRDefault="00120772" w:rsidP="006D7DE6">
      <w:pPr>
        <w:pStyle w:val="BodyTextFirstIndent"/>
      </w:pPr>
      <w:r>
        <w:t>EPA recommends that these indoor air concentrations be used as a guide for thoughtful evaluation of indoor air quality in schools, not strict criteria. PCBs in indoor air should be as low as reasonably achievable, and total exposure should remain below the RfD.</w:t>
      </w:r>
      <w:r>
        <w:fldChar w:fldCharType="begin"/>
      </w:r>
      <w:r w:rsidR="00C87447">
        <w:instrText xml:space="preserve"> ADDIN ZOTERO_ITEM CSL_CITATION {"citationID":"c3wlmNNG","properties":{"formattedCitation":"\\super 306\\nosupersub{}","plainCitation":"306","noteIndex":0},"citationItems":[{"id":290,"uris":["http://zotero.org/groups/5563646/items/Y7ML7VXU"],"itemData":{"id":290,"type":"webpage","abstract":"Exposure Levels for Evaluating PCBs in Indoor School Air","genre":"Other Policies and Guidance","language":"en","title":"Exposure Levels for Evaluating Polychlorinated Biphenyls (PCBs) in Indoor School Air","URL":"https://www.epa.gov/pcbs/exposure-levels-evaluating-polychlorinated-biphenyls-pcbs-indoor-school-air","author":[{"family":"US EPA","given":""}],"accessed":{"date-parts":[["2024",6,25]]},"issued":{"date-parts":[["2023",10,25]]}}}],"schema":"https://github.com/citation-style-language/schema/raw/master/csl-citation.json"} </w:instrText>
      </w:r>
      <w:r>
        <w:fldChar w:fldCharType="separate"/>
      </w:r>
      <w:r w:rsidR="00C87447" w:rsidRPr="00C87447">
        <w:rPr>
          <w:rFonts w:cs="Arial"/>
          <w:vertAlign w:val="superscript"/>
        </w:rPr>
        <w:t>306</w:t>
      </w:r>
      <w:r>
        <w:fldChar w:fldCharType="end"/>
      </w:r>
    </w:p>
    <w:p w14:paraId="0AE6424E" w14:textId="12573EF3" w:rsidR="00120772" w:rsidRDefault="00120772" w:rsidP="006D7DE6">
      <w:pPr>
        <w:pStyle w:val="BodyTextFirstIndent"/>
      </w:pPr>
      <w:r>
        <w:fldChar w:fldCharType="begin"/>
      </w:r>
      <w:r>
        <w:instrText xml:space="preserve"> REF _Ref171628743 \h </w:instrText>
      </w:r>
      <w:r>
        <w:fldChar w:fldCharType="separate"/>
      </w:r>
      <w:r w:rsidR="00307850">
        <w:t xml:space="preserve">Table </w:t>
      </w:r>
      <w:r w:rsidR="00307850">
        <w:rPr>
          <w:noProof/>
        </w:rPr>
        <w:t>66</w:t>
      </w:r>
      <w:r>
        <w:fldChar w:fldCharType="end"/>
      </w:r>
      <w:r>
        <w:t xml:space="preserve"> </w:t>
      </w:r>
      <w:r w:rsidRPr="007935AE">
        <w:t xml:space="preserve">summarizes the statutes, regulations, and standards related to </w:t>
      </w:r>
      <w:r>
        <w:t>reducing exposure to PCBs in</w:t>
      </w:r>
      <w:r w:rsidRPr="007935AE">
        <w:t xml:space="preserve"> schools</w:t>
      </w:r>
      <w:r>
        <w:t xml:space="preserve"> outlined above</w:t>
      </w:r>
      <w:r w:rsidRPr="007935AE">
        <w:t>.</w:t>
      </w:r>
    </w:p>
    <w:p w14:paraId="3E8A65E8" w14:textId="264166C7" w:rsidR="00120772" w:rsidRDefault="00120772" w:rsidP="00B30C96">
      <w:pPr>
        <w:pStyle w:val="TableTitle"/>
      </w:pPr>
      <w:bookmarkStart w:id="562" w:name="_Ref171628743"/>
      <w:bookmarkStart w:id="563" w:name="_Toc192711732"/>
      <w:bookmarkStart w:id="564" w:name="_Toc193112614"/>
      <w:bookmarkStart w:id="565" w:name="_Toc193117013"/>
      <w:r>
        <w:lastRenderedPageBreak/>
        <w:t xml:space="preserve">Table </w:t>
      </w:r>
      <w:fldSimple w:instr=" SEQ Table \* ARABIC ">
        <w:r w:rsidR="00307850">
          <w:rPr>
            <w:noProof/>
          </w:rPr>
          <w:t>66</w:t>
        </w:r>
      </w:fldSimple>
      <w:bookmarkEnd w:id="562"/>
      <w:r>
        <w:t xml:space="preserve">. Statutory/Regulatory Framework and Notable Standards for </w:t>
      </w:r>
      <w:r w:rsidRPr="008F652D">
        <w:t>Reduc</w:t>
      </w:r>
      <w:r>
        <w:t>ing</w:t>
      </w:r>
      <w:r w:rsidRPr="008F652D">
        <w:t xml:space="preserve"> </w:t>
      </w:r>
      <w:r>
        <w:t>Exposure to PCBs</w:t>
      </w:r>
      <w:bookmarkEnd w:id="563"/>
      <w:bookmarkEnd w:id="564"/>
      <w:bookmarkEnd w:id="565"/>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eventing exposure to PCBs."/>
      </w:tblPr>
      <w:tblGrid>
        <w:gridCol w:w="6834"/>
        <w:gridCol w:w="838"/>
        <w:gridCol w:w="840"/>
        <w:gridCol w:w="838"/>
      </w:tblGrid>
      <w:tr w:rsidR="00120772" w:rsidRPr="00E11392" w14:paraId="7EDDC876"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5E743844" w14:textId="77777777" w:rsidR="00120772" w:rsidRPr="00E11392" w:rsidRDefault="00120772">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2B9F7161" w14:textId="77777777" w:rsidR="00120772" w:rsidRPr="00E11392" w:rsidRDefault="00120772">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ECD6690" w14:textId="77777777" w:rsidR="00120772" w:rsidRPr="00E11392" w:rsidRDefault="00120772">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8E4715D" w14:textId="77777777" w:rsidR="00120772" w:rsidRPr="00E11392" w:rsidRDefault="00120772">
            <w:pPr>
              <w:pStyle w:val="TableColumnHeader"/>
              <w:jc w:val="left"/>
            </w:pPr>
            <w:r w:rsidRPr="00E11392">
              <w:t>Standard</w:t>
            </w:r>
          </w:p>
        </w:tc>
      </w:tr>
      <w:tr w:rsidR="00120772" w:rsidRPr="00E11392" w14:paraId="10DA033E"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D60423E" w14:textId="77777777" w:rsidR="00120772" w:rsidRPr="00E11392" w:rsidRDefault="00120772">
            <w:pPr>
              <w:pStyle w:val="TableRowHeader"/>
            </w:pPr>
            <w:r w:rsidRPr="00E11392">
              <w:t>Regulations</w:t>
            </w:r>
          </w:p>
        </w:tc>
      </w:tr>
      <w:tr w:rsidR="00120772" w:rsidRPr="00E11392" w14:paraId="0531C0FA"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6BB1647" w14:textId="77777777" w:rsidR="00120772" w:rsidRPr="00E11392" w:rsidRDefault="00120772">
            <w:pPr>
              <w:pStyle w:val="TableText"/>
            </w:pPr>
            <w:r w:rsidRPr="009A3BF0">
              <w:t xml:space="preserve">40 CFR § 761: </w:t>
            </w:r>
            <w:r>
              <w:t xml:space="preserve">TSCA – </w:t>
            </w:r>
            <w:r w:rsidRPr="009A3BF0">
              <w:t>PCBs Manufacturing, Processing, Distribution in Commerce, and Use Prohibitions</w:t>
            </w:r>
          </w:p>
        </w:tc>
        <w:tc>
          <w:tcPr>
            <w:tcW w:w="448" w:type="pct"/>
            <w:tcBorders>
              <w:top w:val="nil"/>
              <w:left w:val="single" w:sz="4" w:space="0" w:color="auto"/>
              <w:bottom w:val="single" w:sz="4" w:space="0" w:color="auto"/>
              <w:right w:val="single" w:sz="4" w:space="0" w:color="auto"/>
            </w:tcBorders>
            <w:shd w:val="clear" w:color="auto" w:fill="auto"/>
            <w:vAlign w:val="center"/>
          </w:tcPr>
          <w:p w14:paraId="2252507A" w14:textId="77777777" w:rsidR="00120772" w:rsidRPr="00E11392" w:rsidRDefault="00120772">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4AE61204"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774DF80B" w14:textId="77777777" w:rsidR="00120772" w:rsidRPr="00E11392" w:rsidRDefault="00120772">
            <w:pPr>
              <w:jc w:val="center"/>
              <w:rPr>
                <w:rFonts w:ascii="Arial" w:hAnsi="Arial" w:cs="Arial"/>
                <w:b/>
                <w:bCs/>
                <w:sz w:val="24"/>
              </w:rPr>
            </w:pPr>
          </w:p>
        </w:tc>
      </w:tr>
      <w:tr w:rsidR="00120772" w:rsidRPr="00E11392" w14:paraId="648B09B4"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0C4D76A" w14:textId="77777777" w:rsidR="00120772" w:rsidRPr="009A3BF0" w:rsidRDefault="00120772">
            <w:pPr>
              <w:pStyle w:val="TableText"/>
            </w:pPr>
            <w:r w:rsidRPr="00035D99">
              <w:t>40 CFR § 761.60</w:t>
            </w:r>
            <w:r>
              <w:t xml:space="preserve">: </w:t>
            </w:r>
            <w:r w:rsidRPr="00035D99">
              <w:t>Disposal</w:t>
            </w:r>
          </w:p>
        </w:tc>
        <w:tc>
          <w:tcPr>
            <w:tcW w:w="448" w:type="pct"/>
            <w:tcBorders>
              <w:top w:val="nil"/>
              <w:left w:val="single" w:sz="4" w:space="0" w:color="auto"/>
              <w:bottom w:val="single" w:sz="4" w:space="0" w:color="auto"/>
              <w:right w:val="single" w:sz="4" w:space="0" w:color="auto"/>
            </w:tcBorders>
            <w:shd w:val="clear" w:color="auto" w:fill="auto"/>
            <w:vAlign w:val="center"/>
          </w:tcPr>
          <w:p w14:paraId="7A88D7DE" w14:textId="77777777" w:rsidR="00120772" w:rsidRPr="00E11392" w:rsidRDefault="00120772">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6ECE6219"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7E963C0F" w14:textId="77777777" w:rsidR="00120772" w:rsidRPr="00E11392" w:rsidRDefault="00120772">
            <w:pPr>
              <w:jc w:val="center"/>
              <w:rPr>
                <w:rFonts w:ascii="Arial" w:hAnsi="Arial" w:cs="Arial"/>
                <w:b/>
                <w:bCs/>
                <w:sz w:val="24"/>
              </w:rPr>
            </w:pPr>
          </w:p>
        </w:tc>
      </w:tr>
      <w:tr w:rsidR="00120772" w:rsidRPr="00E11392" w14:paraId="0D646E91"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5001AC7" w14:textId="77777777" w:rsidR="00120772" w:rsidRPr="009A3BF0" w:rsidRDefault="00120772">
            <w:pPr>
              <w:pStyle w:val="TableText"/>
            </w:pPr>
            <w:r w:rsidRPr="00992E62">
              <w:t>40 CFR § 761.62: Disposal of PCB Bulk Product Waste</w:t>
            </w:r>
          </w:p>
        </w:tc>
        <w:tc>
          <w:tcPr>
            <w:tcW w:w="448" w:type="pct"/>
            <w:tcBorders>
              <w:top w:val="nil"/>
              <w:left w:val="single" w:sz="4" w:space="0" w:color="auto"/>
              <w:bottom w:val="single" w:sz="4" w:space="0" w:color="auto"/>
              <w:right w:val="single" w:sz="4" w:space="0" w:color="auto"/>
            </w:tcBorders>
            <w:shd w:val="clear" w:color="auto" w:fill="auto"/>
            <w:vAlign w:val="center"/>
          </w:tcPr>
          <w:p w14:paraId="30101CB6" w14:textId="77777777" w:rsidR="00120772" w:rsidRPr="00E11392" w:rsidRDefault="00120772">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752A327A"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6EDF73A5" w14:textId="77777777" w:rsidR="00120772" w:rsidRPr="00E11392" w:rsidRDefault="00120772">
            <w:pPr>
              <w:jc w:val="center"/>
              <w:rPr>
                <w:rFonts w:ascii="Arial" w:hAnsi="Arial" w:cs="Arial"/>
                <w:b/>
                <w:bCs/>
                <w:sz w:val="24"/>
              </w:rPr>
            </w:pPr>
          </w:p>
        </w:tc>
      </w:tr>
      <w:tr w:rsidR="00120772" w:rsidRPr="00E11392" w14:paraId="21F4B6D5"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0F25A42" w14:textId="77777777" w:rsidR="00120772" w:rsidRPr="009A3BF0" w:rsidRDefault="00120772">
            <w:pPr>
              <w:pStyle w:val="TableText"/>
            </w:pPr>
            <w:r w:rsidRPr="00992E62">
              <w:t>40 CFR § 761.65</w:t>
            </w:r>
            <w:r>
              <w:t>:</w:t>
            </w:r>
            <w:r w:rsidRPr="00992E62">
              <w:t xml:space="preserve"> Storage for Disposal</w:t>
            </w:r>
          </w:p>
        </w:tc>
        <w:tc>
          <w:tcPr>
            <w:tcW w:w="448" w:type="pct"/>
            <w:tcBorders>
              <w:top w:val="nil"/>
              <w:left w:val="single" w:sz="4" w:space="0" w:color="auto"/>
              <w:bottom w:val="single" w:sz="4" w:space="0" w:color="auto"/>
              <w:right w:val="single" w:sz="4" w:space="0" w:color="auto"/>
            </w:tcBorders>
            <w:shd w:val="clear" w:color="auto" w:fill="auto"/>
            <w:vAlign w:val="center"/>
          </w:tcPr>
          <w:p w14:paraId="4C7D8EE9" w14:textId="77777777" w:rsidR="00120772" w:rsidRPr="00E11392" w:rsidRDefault="00120772">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07E060EE"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45F34D99" w14:textId="77777777" w:rsidR="00120772" w:rsidRPr="00E11392" w:rsidRDefault="00120772">
            <w:pPr>
              <w:jc w:val="center"/>
              <w:rPr>
                <w:rFonts w:ascii="Arial" w:hAnsi="Arial" w:cs="Arial"/>
                <w:b/>
                <w:bCs/>
                <w:sz w:val="24"/>
              </w:rPr>
            </w:pPr>
          </w:p>
        </w:tc>
      </w:tr>
      <w:tr w:rsidR="00120772" w:rsidRPr="00E11392" w14:paraId="0C87F4F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416D176" w14:textId="77777777" w:rsidR="00120772" w:rsidRPr="009A3BF0" w:rsidRDefault="00120772">
            <w:pPr>
              <w:pStyle w:val="TableText"/>
            </w:pPr>
            <w:r w:rsidRPr="0011522D">
              <w:t>40 CFR § 761.125: Requirements for PCB Spill Cleanup</w:t>
            </w:r>
          </w:p>
        </w:tc>
        <w:tc>
          <w:tcPr>
            <w:tcW w:w="448" w:type="pct"/>
            <w:tcBorders>
              <w:top w:val="nil"/>
              <w:left w:val="single" w:sz="4" w:space="0" w:color="auto"/>
              <w:bottom w:val="single" w:sz="4" w:space="0" w:color="auto"/>
              <w:right w:val="single" w:sz="4" w:space="0" w:color="auto"/>
            </w:tcBorders>
            <w:shd w:val="clear" w:color="auto" w:fill="auto"/>
            <w:vAlign w:val="center"/>
          </w:tcPr>
          <w:p w14:paraId="3A6E6BAB" w14:textId="77777777" w:rsidR="00120772" w:rsidRPr="00E11392" w:rsidRDefault="00120772">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392543C2"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65A52BA3" w14:textId="77777777" w:rsidR="00120772" w:rsidRPr="00E11392" w:rsidRDefault="00120772">
            <w:pPr>
              <w:jc w:val="center"/>
              <w:rPr>
                <w:rFonts w:ascii="Arial" w:hAnsi="Arial" w:cs="Arial"/>
                <w:b/>
                <w:bCs/>
                <w:sz w:val="24"/>
              </w:rPr>
            </w:pPr>
          </w:p>
        </w:tc>
      </w:tr>
      <w:tr w:rsidR="00120772" w:rsidRPr="00E11392" w14:paraId="248ED41C"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6CD7F05" w14:textId="77777777" w:rsidR="00120772" w:rsidRPr="00E11392" w:rsidRDefault="00120772">
            <w:pPr>
              <w:pStyle w:val="TableRowHeader"/>
            </w:pPr>
            <w:r w:rsidRPr="00E11392">
              <w:t>Standards</w:t>
            </w:r>
          </w:p>
        </w:tc>
      </w:tr>
      <w:tr w:rsidR="00120772" w:rsidRPr="00E11392" w14:paraId="6F43CA40"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66C023A" w14:textId="77777777" w:rsidR="00120772" w:rsidRPr="00E11392" w:rsidRDefault="00120772">
            <w:pPr>
              <w:pStyle w:val="TableText"/>
            </w:pPr>
            <w:r w:rsidRPr="00C02B0F">
              <w:t>Exposure Levels for Evaluating PCBs in Indoor School Air and the Oral Reference Dose (RfD)</w:t>
            </w:r>
            <w:r w:rsidRPr="00E11392">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89E2C8F" w14:textId="77777777" w:rsidR="00120772" w:rsidRPr="00E11392" w:rsidRDefault="00120772">
            <w:pPr>
              <w:jc w:val="center"/>
              <w:rPr>
                <w:rFonts w:ascii="Arial" w:hAnsi="Arial" w:cs="Arial"/>
                <w:b/>
                <w:bCs/>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77203A58" w14:textId="77777777" w:rsidR="00120772" w:rsidRPr="00E11392" w:rsidRDefault="00120772">
            <w:pPr>
              <w:jc w:val="center"/>
              <w:rPr>
                <w:rFonts w:ascii="Arial" w:hAnsi="Arial" w:cs="Arial"/>
                <w:b/>
                <w:bCs/>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A6B3E5A" w14:textId="77777777" w:rsidR="00120772" w:rsidRPr="00E11392" w:rsidRDefault="00120772">
            <w:pPr>
              <w:jc w:val="center"/>
              <w:rPr>
                <w:rFonts w:ascii="Arial" w:hAnsi="Arial" w:cs="Arial"/>
                <w:b/>
                <w:bCs/>
                <w:color w:val="00B050"/>
                <w:sz w:val="24"/>
              </w:rPr>
            </w:pPr>
            <w:r w:rsidRPr="00E11392">
              <w:rPr>
                <w:rFonts w:ascii="Arial" w:hAnsi="Arial" w:cs="Arial"/>
                <w:b/>
                <w:bCs/>
                <w:color w:val="00B050"/>
                <w:sz w:val="24"/>
              </w:rPr>
              <w:t>X</w:t>
            </w:r>
          </w:p>
        </w:tc>
      </w:tr>
    </w:tbl>
    <w:p w14:paraId="0D687649" w14:textId="77777777" w:rsidR="00120772" w:rsidRDefault="00120772" w:rsidP="00120772">
      <w:pPr>
        <w:pStyle w:val="Heading3"/>
      </w:pPr>
      <w:r>
        <w:t>Relevant Resources</w:t>
      </w:r>
    </w:p>
    <w:p w14:paraId="7B8E885C" w14:textId="3230BE3D" w:rsidR="00120772" w:rsidRDefault="00120772" w:rsidP="006D7DE6">
      <w:pPr>
        <w:pStyle w:val="BodyTextFirstIndent"/>
      </w:pPr>
      <w:r>
        <w:fldChar w:fldCharType="begin"/>
      </w:r>
      <w:r>
        <w:instrText xml:space="preserve"> REF _Ref171628755 \h </w:instrText>
      </w:r>
      <w:r>
        <w:fldChar w:fldCharType="separate"/>
      </w:r>
      <w:r w:rsidR="00307850">
        <w:t xml:space="preserve">Table </w:t>
      </w:r>
      <w:r w:rsidR="00307850">
        <w:rPr>
          <w:noProof/>
        </w:rPr>
        <w:t>67</w:t>
      </w:r>
      <w:r>
        <w:fldChar w:fldCharType="end"/>
      </w:r>
      <w:r>
        <w:t xml:space="preserve"> provides a summary of resources related to reducing airborne transmission of respiratory disease/illness in schools.</w:t>
      </w:r>
    </w:p>
    <w:p w14:paraId="26123A51" w14:textId="2C3242F9" w:rsidR="00120772" w:rsidRDefault="00120772" w:rsidP="00B30C96">
      <w:pPr>
        <w:pStyle w:val="TableTitle"/>
      </w:pPr>
      <w:bookmarkStart w:id="566" w:name="_Ref171628755"/>
      <w:bookmarkStart w:id="567" w:name="_Toc192711733"/>
      <w:bookmarkStart w:id="568" w:name="_Toc193112615"/>
      <w:bookmarkStart w:id="569" w:name="_Toc193117014"/>
      <w:r>
        <w:t xml:space="preserve">Table </w:t>
      </w:r>
      <w:fldSimple w:instr=" SEQ Table \* ARABIC ">
        <w:r w:rsidR="00307850">
          <w:rPr>
            <w:noProof/>
          </w:rPr>
          <w:t>67</w:t>
        </w:r>
      </w:fldSimple>
      <w:bookmarkEnd w:id="566"/>
      <w:r>
        <w:t>. Resources for Reducing Exposure to PCBs</w:t>
      </w:r>
      <w:bookmarkEnd w:id="567"/>
      <w:bookmarkEnd w:id="568"/>
      <w:bookmarkEnd w:id="569"/>
    </w:p>
    <w:tbl>
      <w:tblPr>
        <w:tblStyle w:val="TableGrid"/>
        <w:tblW w:w="0" w:type="auto"/>
        <w:tblLayout w:type="fixed"/>
        <w:tblLook w:val="04A0" w:firstRow="1" w:lastRow="0" w:firstColumn="1" w:lastColumn="0" w:noHBand="0" w:noVBand="1"/>
        <w:tblDescription w:val="Table listing resources with active URLs for reducing PCB exposure."/>
      </w:tblPr>
      <w:tblGrid>
        <w:gridCol w:w="4045"/>
        <w:gridCol w:w="1350"/>
        <w:gridCol w:w="3955"/>
      </w:tblGrid>
      <w:tr w:rsidR="00120772" w:rsidRPr="00276B41" w14:paraId="0F541955" w14:textId="77777777" w:rsidTr="00761367">
        <w:trPr>
          <w:tblHeader/>
        </w:trPr>
        <w:tc>
          <w:tcPr>
            <w:tcW w:w="4045" w:type="dxa"/>
            <w:shd w:val="clear" w:color="auto" w:fill="C6D9F1" w:themeFill="text2" w:themeFillTint="33"/>
          </w:tcPr>
          <w:p w14:paraId="245409DF" w14:textId="77777777" w:rsidR="00120772" w:rsidRPr="004C3A1C" w:rsidRDefault="00120772">
            <w:pPr>
              <w:pStyle w:val="TableColumnHeader"/>
            </w:pPr>
            <w:r w:rsidRPr="004C3A1C">
              <w:t>Resource</w:t>
            </w:r>
          </w:p>
        </w:tc>
        <w:tc>
          <w:tcPr>
            <w:tcW w:w="1350" w:type="dxa"/>
            <w:shd w:val="clear" w:color="auto" w:fill="C6D9F1" w:themeFill="text2" w:themeFillTint="33"/>
          </w:tcPr>
          <w:p w14:paraId="470B7EB0" w14:textId="77777777" w:rsidR="00120772" w:rsidRPr="004C3A1C" w:rsidRDefault="00120772">
            <w:pPr>
              <w:pStyle w:val="TableColumnHeader"/>
            </w:pPr>
            <w:r w:rsidRPr="004C3A1C">
              <w:t>Author</w:t>
            </w:r>
          </w:p>
        </w:tc>
        <w:tc>
          <w:tcPr>
            <w:tcW w:w="3955" w:type="dxa"/>
            <w:shd w:val="clear" w:color="auto" w:fill="C6D9F1" w:themeFill="text2" w:themeFillTint="33"/>
          </w:tcPr>
          <w:p w14:paraId="1F07F524" w14:textId="77777777" w:rsidR="00120772" w:rsidRPr="004C3A1C" w:rsidRDefault="00120772">
            <w:pPr>
              <w:pStyle w:val="TableColumnHeader"/>
            </w:pPr>
            <w:r w:rsidRPr="004C3A1C">
              <w:t>URL</w:t>
            </w:r>
          </w:p>
        </w:tc>
      </w:tr>
      <w:tr w:rsidR="00120772" w:rsidRPr="00276B41" w14:paraId="3AB6457E" w14:textId="77777777">
        <w:tc>
          <w:tcPr>
            <w:tcW w:w="4045" w:type="dxa"/>
          </w:tcPr>
          <w:p w14:paraId="285C8EA6" w14:textId="77777777" w:rsidR="00120772" w:rsidRPr="00B43831" w:rsidRDefault="00120772">
            <w:pPr>
              <w:pStyle w:val="TableText"/>
            </w:pPr>
            <w:r w:rsidRPr="00B43831">
              <w:t xml:space="preserve">EPA </w:t>
            </w:r>
            <w:r>
              <w:t>Contacts</w:t>
            </w:r>
            <w:r w:rsidRPr="00B43831">
              <w:t>:</w:t>
            </w:r>
          </w:p>
          <w:p w14:paraId="01D935B3" w14:textId="77777777" w:rsidR="00120772" w:rsidRDefault="00120772">
            <w:pPr>
              <w:pStyle w:val="TableTextIndent"/>
            </w:pPr>
            <w:r>
              <w:t>Region 1 PCB Coordinator</w:t>
            </w:r>
          </w:p>
          <w:p w14:paraId="04EDBAC5" w14:textId="77777777" w:rsidR="00120772" w:rsidRDefault="00120772">
            <w:pPr>
              <w:pStyle w:val="TableTextIndent"/>
            </w:pPr>
            <w:r>
              <w:t>Regional Hotline</w:t>
            </w:r>
          </w:p>
          <w:p w14:paraId="2F22C786" w14:textId="77777777" w:rsidR="00120772" w:rsidRPr="00276B41" w:rsidRDefault="00120772">
            <w:pPr>
              <w:pStyle w:val="TableTextIndent"/>
            </w:pPr>
            <w:r>
              <w:t>Regional 24 Hour Spill Hotline</w:t>
            </w:r>
          </w:p>
        </w:tc>
        <w:tc>
          <w:tcPr>
            <w:tcW w:w="1350" w:type="dxa"/>
          </w:tcPr>
          <w:p w14:paraId="644D33BD" w14:textId="77777777" w:rsidR="00120772" w:rsidRPr="00276B41" w:rsidRDefault="00120772">
            <w:pPr>
              <w:pStyle w:val="TableText"/>
            </w:pPr>
            <w:r>
              <w:t>EPA</w:t>
            </w:r>
          </w:p>
        </w:tc>
        <w:tc>
          <w:tcPr>
            <w:tcW w:w="3955" w:type="dxa"/>
          </w:tcPr>
          <w:p w14:paraId="00C6C2FA" w14:textId="54342AAD" w:rsidR="00120772" w:rsidRPr="00B24314" w:rsidRDefault="00120772">
            <w:pPr>
              <w:pStyle w:val="TableText"/>
              <w:rPr>
                <w:rFonts w:cs="Arial"/>
                <w:szCs w:val="24"/>
              </w:rPr>
            </w:pPr>
            <w:hyperlink r:id="rId312" w:history="1">
              <w:r w:rsidRPr="00B24314">
                <w:rPr>
                  <w:rStyle w:val="Hyperlink"/>
                  <w:rFonts w:cs="Arial"/>
                  <w:szCs w:val="24"/>
                </w:rPr>
                <w:t>https://www.epa.gov/pcbs/epa-region-1-polychlorinated-biphenyls</w:t>
              </w:r>
            </w:hyperlink>
          </w:p>
          <w:p w14:paraId="64329C6D" w14:textId="77777777" w:rsidR="00120772" w:rsidRDefault="00120772">
            <w:pPr>
              <w:pStyle w:val="TableText"/>
              <w:rPr>
                <w:rFonts w:cs="Arial"/>
                <w:szCs w:val="24"/>
              </w:rPr>
            </w:pPr>
          </w:p>
          <w:p w14:paraId="04A7F6DE" w14:textId="2F251EC9" w:rsidR="00120772" w:rsidRPr="00B24314" w:rsidRDefault="00120772">
            <w:pPr>
              <w:pStyle w:val="TableText"/>
              <w:rPr>
                <w:rFonts w:cs="Arial"/>
                <w:szCs w:val="24"/>
              </w:rPr>
            </w:pPr>
            <w:hyperlink r:id="rId313" w:history="1">
              <w:r w:rsidRPr="006F28B8">
                <w:rPr>
                  <w:rStyle w:val="Hyperlink"/>
                  <w:rFonts w:cs="Arial"/>
                  <w:szCs w:val="24"/>
                </w:rPr>
                <w:t>https://www.epa.gov/pcbs/epa-regional-polychlorinated-biphenyl-pcb-programs - r1</w:t>
              </w:r>
            </w:hyperlink>
          </w:p>
        </w:tc>
      </w:tr>
      <w:tr w:rsidR="00120772" w:rsidRPr="00276B41" w14:paraId="6EC1954A" w14:textId="77777777">
        <w:tc>
          <w:tcPr>
            <w:tcW w:w="4045" w:type="dxa"/>
          </w:tcPr>
          <w:p w14:paraId="7D94B801" w14:textId="77777777" w:rsidR="00120772" w:rsidRDefault="00120772">
            <w:pPr>
              <w:pStyle w:val="TableText"/>
            </w:pPr>
            <w:r>
              <w:t>Fact Sheet: PCBs in Building Materials: Determining the Presence of Manufactured PCB Products in Buildings or Other Structures</w:t>
            </w:r>
          </w:p>
        </w:tc>
        <w:tc>
          <w:tcPr>
            <w:tcW w:w="1350" w:type="dxa"/>
          </w:tcPr>
          <w:p w14:paraId="4D63F845" w14:textId="77777777" w:rsidR="00120772" w:rsidRDefault="00120772">
            <w:pPr>
              <w:pStyle w:val="TableText"/>
            </w:pPr>
            <w:r>
              <w:t>EPA</w:t>
            </w:r>
          </w:p>
        </w:tc>
        <w:tc>
          <w:tcPr>
            <w:tcW w:w="3955" w:type="dxa"/>
          </w:tcPr>
          <w:p w14:paraId="0F385D4A" w14:textId="23CE1EAC" w:rsidR="00120772" w:rsidRDefault="00120772">
            <w:pPr>
              <w:pStyle w:val="TableText"/>
            </w:pPr>
            <w:hyperlink r:id="rId314" w:history="1">
              <w:r w:rsidRPr="006C54DA">
                <w:rPr>
                  <w:rStyle w:val="Hyperlink"/>
                </w:rPr>
                <w:t>https://www.epa.gov/sites/default/files/2021-05/documents/final_pcb_buildings_fact_sheet_05-10-2021_to_upload.pdf</w:t>
              </w:r>
            </w:hyperlink>
          </w:p>
          <w:p w14:paraId="005F9AC8" w14:textId="77777777" w:rsidR="00120772" w:rsidRDefault="00120772">
            <w:pPr>
              <w:pStyle w:val="TableText"/>
            </w:pPr>
          </w:p>
        </w:tc>
      </w:tr>
      <w:tr w:rsidR="00120772" w:rsidRPr="00276B41" w14:paraId="4DF1A274" w14:textId="77777777">
        <w:tc>
          <w:tcPr>
            <w:tcW w:w="4045" w:type="dxa"/>
          </w:tcPr>
          <w:p w14:paraId="13891F4A" w14:textId="77777777" w:rsidR="00120772" w:rsidRDefault="00120772">
            <w:pPr>
              <w:pStyle w:val="TableText"/>
            </w:pPr>
            <w:r>
              <w:t>Fact Sheet: Practical Actions for Reducing Exposure to PCBs in Schools and Other Buildings</w:t>
            </w:r>
          </w:p>
        </w:tc>
        <w:tc>
          <w:tcPr>
            <w:tcW w:w="1350" w:type="dxa"/>
          </w:tcPr>
          <w:p w14:paraId="0E820EDC" w14:textId="77777777" w:rsidR="00120772" w:rsidRDefault="00120772">
            <w:pPr>
              <w:pStyle w:val="TableText"/>
            </w:pPr>
            <w:r>
              <w:t>EPA</w:t>
            </w:r>
          </w:p>
        </w:tc>
        <w:tc>
          <w:tcPr>
            <w:tcW w:w="3955" w:type="dxa"/>
          </w:tcPr>
          <w:p w14:paraId="2E80D182" w14:textId="59A16C17" w:rsidR="00120772" w:rsidRDefault="00120772">
            <w:pPr>
              <w:pStyle w:val="TableText"/>
            </w:pPr>
            <w:hyperlink r:id="rId315" w:history="1">
              <w:r w:rsidRPr="006C54DA">
                <w:rPr>
                  <w:rStyle w:val="Hyperlink"/>
                </w:rPr>
                <w:t>https://www.epa.gov/sites/default/files/2016-03/documents/practical_actions_for_reducing_exposure_to_pcbs_in_schools_and_other_buildings.pdf</w:t>
              </w:r>
            </w:hyperlink>
          </w:p>
          <w:p w14:paraId="1EF23BEC" w14:textId="77777777" w:rsidR="00120772" w:rsidRDefault="00120772">
            <w:pPr>
              <w:pStyle w:val="TableText"/>
            </w:pPr>
          </w:p>
        </w:tc>
      </w:tr>
      <w:tr w:rsidR="00120772" w:rsidRPr="00276B41" w14:paraId="73F42C69" w14:textId="77777777">
        <w:tc>
          <w:tcPr>
            <w:tcW w:w="4045" w:type="dxa"/>
          </w:tcPr>
          <w:p w14:paraId="49F20E30" w14:textId="77777777" w:rsidR="00120772" w:rsidRDefault="00120772">
            <w:pPr>
              <w:pStyle w:val="TableText"/>
            </w:pPr>
            <w:r>
              <w:lastRenderedPageBreak/>
              <w:t>PCBs in Building Materials Frequently Asked Questions (FAQs)</w:t>
            </w:r>
          </w:p>
        </w:tc>
        <w:tc>
          <w:tcPr>
            <w:tcW w:w="1350" w:type="dxa"/>
          </w:tcPr>
          <w:p w14:paraId="66171D4E" w14:textId="77777777" w:rsidR="00120772" w:rsidRDefault="00120772">
            <w:pPr>
              <w:pStyle w:val="TableText"/>
            </w:pPr>
            <w:r>
              <w:t>DPH</w:t>
            </w:r>
          </w:p>
        </w:tc>
        <w:tc>
          <w:tcPr>
            <w:tcW w:w="3955" w:type="dxa"/>
          </w:tcPr>
          <w:p w14:paraId="1FCC1952" w14:textId="7C06B4BB" w:rsidR="00120772" w:rsidRDefault="00120772">
            <w:pPr>
              <w:pStyle w:val="TableText"/>
            </w:pPr>
            <w:hyperlink r:id="rId316" w:history="1">
              <w:r w:rsidRPr="00337E66">
                <w:rPr>
                  <w:rStyle w:val="Hyperlink"/>
                </w:rPr>
                <w:t>https://www.mass.gov/info-details/pcbs-polychlorinated-biphenyls-in-building-materials</w:t>
              </w:r>
            </w:hyperlink>
            <w:r>
              <w:t xml:space="preserve"> </w:t>
            </w:r>
          </w:p>
        </w:tc>
      </w:tr>
    </w:tbl>
    <w:p w14:paraId="772683F3" w14:textId="32DB745D" w:rsidR="007937B9" w:rsidRDefault="00630894" w:rsidP="001D30AE">
      <w:pPr>
        <w:pStyle w:val="AirQualitySubheading"/>
      </w:pPr>
      <w:bookmarkStart w:id="570" w:name="SectVII_2a6"/>
      <w:bookmarkEnd w:id="570"/>
      <w:r>
        <w:t>2a(6)</w:t>
      </w:r>
      <w:r>
        <w:tab/>
      </w:r>
      <w:r w:rsidR="007937B9" w:rsidRPr="007937B9">
        <w:t>Reduce Exposure to Radon</w:t>
      </w:r>
    </w:p>
    <w:p w14:paraId="2F6E281F" w14:textId="77777777" w:rsidR="006A0D32" w:rsidRDefault="006A0D32" w:rsidP="006A0D32">
      <w:pPr>
        <w:pStyle w:val="Heading3"/>
      </w:pPr>
      <w:r>
        <w:t>Methods and Best Practices</w:t>
      </w:r>
    </w:p>
    <w:p w14:paraId="3005EE87" w14:textId="77777777" w:rsidR="006A0D32" w:rsidRPr="00C82DF3" w:rsidRDefault="006A0D32" w:rsidP="006D7DE6">
      <w:pPr>
        <w:pStyle w:val="BodyTextFirstIndent"/>
      </w:pPr>
      <w:r w:rsidRPr="00C82DF3">
        <w:t>Th</w:t>
      </w:r>
      <w:r>
        <w:t>is</w:t>
      </w:r>
      <w:r w:rsidRPr="00C82DF3">
        <w:t xml:space="preserve"> section covers methods and best practices </w:t>
      </w:r>
      <w:r>
        <w:t>for</w:t>
      </w:r>
      <w:r w:rsidRPr="00C82DF3">
        <w:t xml:space="preserve"> the overall radon planning, testing, and mitigation process. Some of these steps will be carried out by school staff, others by certified radon mitigation professionals, but all will be organized and managed by school or district personnel. The second section describes specific technical interventions, most of which will be performed by radon mitigation professionals, to reduce radon exposure in schools. </w:t>
      </w:r>
    </w:p>
    <w:p w14:paraId="6E9C6C89" w14:textId="77777777" w:rsidR="006A0D32" w:rsidRDefault="006A0D32" w:rsidP="006A0D32">
      <w:pPr>
        <w:pStyle w:val="Heading4"/>
      </w:pPr>
      <w:r>
        <w:t>Planning and Management</w:t>
      </w:r>
    </w:p>
    <w:p w14:paraId="01FCA628" w14:textId="77777777" w:rsidR="006A0D32" w:rsidRPr="00F66F36" w:rsidRDefault="006A0D32" w:rsidP="006D7DE6">
      <w:pPr>
        <w:pStyle w:val="BodyTextFirstIndent"/>
      </w:pPr>
      <w:r>
        <w:t>This section includes a series of methods and best practices for planning for and managing radon testing and mitigation in schools in both new and existing buildings. The best practices are arranged somewhat chronologically, beginning with considerations for new school construction (when relevant), then moving on to testing for radon, developing a mitigation plan, taking mitigation action, communicating with the school community, retesting for radon, maintaining records, and ensuring continuity.</w:t>
      </w:r>
    </w:p>
    <w:p w14:paraId="547EECAD" w14:textId="77777777" w:rsidR="006A0D32" w:rsidRDefault="006A0D32" w:rsidP="006A0D32">
      <w:pPr>
        <w:pStyle w:val="Heading5"/>
      </w:pPr>
      <w:r>
        <w:t>(1) Consider radon in the design and construction of new school buildings</w:t>
      </w:r>
    </w:p>
    <w:p w14:paraId="244A7FC5" w14:textId="7E29C371" w:rsidR="006A0D32" w:rsidRPr="001A507E" w:rsidRDefault="006A0D32" w:rsidP="006D7DE6">
      <w:pPr>
        <w:pStyle w:val="BodyTextFirstIndent"/>
      </w:pPr>
      <w:r>
        <w:t>Rather than having to mitigate radon retroactively, it is best to consider radon in the process of constructing new schools.</w:t>
      </w:r>
      <w:r>
        <w:fldChar w:fldCharType="begin"/>
      </w:r>
      <w:r w:rsidR="007C44AA">
        <w:instrText xml:space="preserve"> ADDIN ZOTERO_ITEM CSL_CITATION {"citationID":"xEbTk6vm","properties":{"formattedCitation":"\\super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7C44AA" w:rsidRPr="007C44AA">
        <w:rPr>
          <w:rFonts w:cs="Arial"/>
          <w:vertAlign w:val="superscript"/>
        </w:rPr>
        <w:t>183</w:t>
      </w:r>
      <w:r>
        <w:fldChar w:fldCharType="end"/>
      </w:r>
      <w:r>
        <w:t xml:space="preserve"> The design and construction of new schools should follow </w:t>
      </w:r>
      <w:r w:rsidRPr="001A507E">
        <w:rPr>
          <w:i/>
          <w:iCs/>
        </w:rPr>
        <w:t>Soil Gas Control Systems in New Construction of Multifamily, School, Commercial and Mixed-Use Buildings – Rev. 5/23 (ANSI/</w:t>
      </w:r>
      <w:r>
        <w:rPr>
          <w:i/>
          <w:iCs/>
        </w:rPr>
        <w:t>American Association of Radon Scientists and Technologists (</w:t>
      </w:r>
      <w:r w:rsidRPr="001A507E">
        <w:rPr>
          <w:i/>
          <w:iCs/>
        </w:rPr>
        <w:t>AARST</w:t>
      </w:r>
      <w:r>
        <w:rPr>
          <w:i/>
          <w:iCs/>
        </w:rPr>
        <w:t>)</w:t>
      </w:r>
      <w:r w:rsidRPr="001A507E">
        <w:rPr>
          <w:i/>
          <w:iCs/>
        </w:rPr>
        <w:t xml:space="preserve"> CC-1000-2018-0523)</w:t>
      </w:r>
      <w:r>
        <w:t xml:space="preserve"> for incorporating radon controls into new construction. </w:t>
      </w:r>
    </w:p>
    <w:p w14:paraId="591467A8" w14:textId="77777777" w:rsidR="006A0D32" w:rsidRDefault="006A0D32" w:rsidP="006A0D32">
      <w:pPr>
        <w:pStyle w:val="Heading5"/>
      </w:pPr>
      <w:r>
        <w:t xml:space="preserve">(2) </w:t>
      </w:r>
      <w:r w:rsidRPr="006A599B">
        <w:t xml:space="preserve">Have </w:t>
      </w:r>
      <w:r>
        <w:t>certified</w:t>
      </w:r>
      <w:r w:rsidRPr="006A599B">
        <w:t xml:space="preserve"> personnel test all </w:t>
      </w:r>
      <w:r>
        <w:t>schools</w:t>
      </w:r>
      <w:r w:rsidRPr="006A599B">
        <w:t xml:space="preserve"> for radon</w:t>
      </w:r>
    </w:p>
    <w:p w14:paraId="7ED96F9E" w14:textId="53BB9590" w:rsidR="006A0D32" w:rsidRDefault="006A0D32" w:rsidP="006D7DE6">
      <w:pPr>
        <w:pStyle w:val="BodyTextFirstIndent"/>
      </w:pPr>
      <w:r>
        <w:t>EPA recommends testing all schools for radon.</w:t>
      </w:r>
      <w:r>
        <w:fldChar w:fldCharType="begin"/>
      </w:r>
      <w:r w:rsidR="00877C82">
        <w:instrText xml:space="preserve"> ADDIN ZOTERO_ITEM CSL_CITATION {"citationID":"5cwwN2Mo","properties":{"formattedCitation":"\\super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877C82" w:rsidRPr="00877C82">
        <w:rPr>
          <w:rFonts w:cs="Arial"/>
          <w:vertAlign w:val="superscript"/>
        </w:rPr>
        <w:t>307</w:t>
      </w:r>
      <w:r>
        <w:fldChar w:fldCharType="end"/>
      </w:r>
      <w:r>
        <w:t xml:space="preserve"> Qualified professionals certified by either the National Radon Safety Board (NRSB) or AARST’s National Radon Proficiency Program (NRPP) should perform radon tests.</w:t>
      </w:r>
      <w:r>
        <w:fldChar w:fldCharType="begin"/>
      </w:r>
      <w:r w:rsidR="00AE79FE">
        <w:instrText xml:space="preserve"> ADDIN ZOTERO_ITEM CSL_CITATION {"citationID":"KeQFXUCv","properties":{"formattedCitation":"\\super 183,308\\nosupersub{}","plainCitation":"183,308","noteIndex":0},"citationItems":[{"id":18,"uris":["http://zotero.org/groups/5563646/items/5RQX2K7C"],"itemData":{"id":18,"type":"report","publisher":"Northeast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id":118,"uris":["http://zotero.org/groups/5563646/items/C58RMKKR"],"itemData":{"id":118,"type":"report","event-place":"Boston, MA","genre":"Fact Sheet","language":"en","publisher":"Massachusetts Department of Public Health, Bureau of Climate and Environmental Health","publisher-place":"Boston, MA","source":"Zotero","title":"Fixing Radon In Your Home","URL":"https://www.mass.gov/doc/fixing-radon-in-your-home/download","author":[{"family":"MDPH","given":""}]}}],"schema":"https://github.com/citation-style-language/schema/raw/master/csl-citation.json"} </w:instrText>
      </w:r>
      <w:r>
        <w:fldChar w:fldCharType="separate"/>
      </w:r>
      <w:r w:rsidR="00AE79FE" w:rsidRPr="00AE79FE">
        <w:rPr>
          <w:rFonts w:cs="Arial"/>
          <w:vertAlign w:val="superscript"/>
        </w:rPr>
        <w:t>183,308</w:t>
      </w:r>
      <w:r>
        <w:fldChar w:fldCharType="end"/>
      </w:r>
      <w:r>
        <w:t xml:space="preserve"> </w:t>
      </w:r>
    </w:p>
    <w:p w14:paraId="769C0D8F" w14:textId="09809A0D" w:rsidR="006A0D32" w:rsidRDefault="003909B3" w:rsidP="006D7DE6">
      <w:pPr>
        <w:pStyle w:val="BodyTextFirstIndent"/>
      </w:pPr>
      <w:r w:rsidRPr="00926BF3">
        <w:rPr>
          <w:noProof/>
        </w:rPr>
        <w:lastRenderedPageBreak/>
        <mc:AlternateContent>
          <mc:Choice Requires="wps">
            <w:drawing>
              <wp:anchor distT="0" distB="0" distL="114300" distR="114300" simplePos="0" relativeHeight="251694592" behindDoc="0" locked="0" layoutInCell="1" allowOverlap="1" wp14:anchorId="712B8631" wp14:editId="6615DF76">
                <wp:simplePos x="0" y="0"/>
                <wp:positionH relativeFrom="margin">
                  <wp:align>right</wp:align>
                </wp:positionH>
                <wp:positionV relativeFrom="paragraph">
                  <wp:posOffset>5715</wp:posOffset>
                </wp:positionV>
                <wp:extent cx="3107055" cy="2302510"/>
                <wp:effectExtent l="0" t="0" r="17145" b="21590"/>
                <wp:wrapSquare wrapText="bothSides"/>
                <wp:docPr id="1886861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055" cy="2302510"/>
                        </a:xfrm>
                        <a:prstGeom prst="rect">
                          <a:avLst/>
                        </a:prstGeom>
                        <a:solidFill>
                          <a:srgbClr val="DCE6F2"/>
                        </a:solidFill>
                        <a:ln w="9525">
                          <a:solidFill>
                            <a:srgbClr val="000000"/>
                          </a:solidFill>
                          <a:miter lim="800000"/>
                          <a:headEnd/>
                          <a:tailEnd/>
                        </a:ln>
                      </wps:spPr>
                      <wps:txbx>
                        <w:txbxContent>
                          <w:p w14:paraId="7B4A5D7A" w14:textId="77777777" w:rsidR="006A0D32" w:rsidRDefault="006A0D32" w:rsidP="006A0D32">
                            <w:pPr>
                              <w:pStyle w:val="TextBoxTitle"/>
                            </w:pPr>
                            <w:r>
                              <w:t>Radon Assessment Unit</w:t>
                            </w:r>
                          </w:p>
                          <w:p w14:paraId="6EF10588" w14:textId="07525D15" w:rsidR="006A0D32" w:rsidRPr="009674E4" w:rsidRDefault="006A0D32" w:rsidP="006A0D32">
                            <w:pPr>
                              <w:pStyle w:val="TextBoxText"/>
                            </w:pPr>
                            <w:r>
                              <w:t>DPH</w:t>
                            </w:r>
                            <w:r w:rsidRPr="009674E4">
                              <w:t xml:space="preserve"> has a Radon Assessment Unit (RAU) within </w:t>
                            </w:r>
                            <w:r>
                              <w:t>BCEH</w:t>
                            </w:r>
                            <w:r w:rsidRPr="009674E4">
                              <w:t xml:space="preserve"> </w:t>
                            </w:r>
                            <w:r>
                              <w:t xml:space="preserve">that </w:t>
                            </w:r>
                            <w:r w:rsidRPr="009674E4">
                              <w:t>assist</w:t>
                            </w:r>
                            <w:r>
                              <w:t>s</w:t>
                            </w:r>
                            <w:r w:rsidRPr="009674E4">
                              <w:t xml:space="preserve"> </w:t>
                            </w:r>
                            <w:r>
                              <w:t xml:space="preserve">schools </w:t>
                            </w:r>
                            <w:r w:rsidRPr="009674E4">
                              <w:t xml:space="preserve">with radon questions. </w:t>
                            </w:r>
                            <w:r>
                              <w:t>T</w:t>
                            </w:r>
                            <w:r w:rsidRPr="009674E4">
                              <w:t xml:space="preserve">he RAU does not conduct radon testing of schools </w:t>
                            </w:r>
                            <w:r>
                              <w:t>but</w:t>
                            </w:r>
                            <w:r w:rsidRPr="009674E4">
                              <w:t xml:space="preserve"> provide</w:t>
                            </w:r>
                            <w:r>
                              <w:t>s</w:t>
                            </w:r>
                            <w:r w:rsidRPr="009674E4">
                              <w:t xml:space="preserve"> technical assistance </w:t>
                            </w:r>
                            <w:r>
                              <w:t xml:space="preserve">for hiring </w:t>
                            </w:r>
                            <w:r w:rsidRPr="009674E4">
                              <w:t>certified professional</w:t>
                            </w:r>
                            <w:r>
                              <w:t>s</w:t>
                            </w:r>
                            <w:r w:rsidRPr="009674E4">
                              <w:t xml:space="preserve"> to conduct radon testing </w:t>
                            </w:r>
                            <w:r>
                              <w:t xml:space="preserve">and mitigation </w:t>
                            </w:r>
                            <w:r w:rsidRPr="009674E4">
                              <w:t>in schools. The RAU can be reached at 1-800-RADON-95 (1-800-723-6695 - Massachusetts only) or (413) 586-7525 x 3185.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12B8631" id="_x0000_s1070" type="#_x0000_t202" style="position:absolute;margin-left:193.45pt;margin-top:.45pt;width:244.65pt;height:181.3pt;z-index:251694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" fillcolor="#dce6f2">
                <v:textbox>
                  <w:txbxContent>
                    <w:p w14:paraId="7B4A5D7A" w14:textId="77777777" w:rsidR="006A0D32" w:rsidRDefault="006A0D32" w:rsidP="006A0D32">
                      <w:pPr>
                        <w:pStyle w:val="TextBoxTitle"/>
                      </w:pPr>
                      <w:r>
                        <w:t>Radon Assessment Unit</w:t>
                      </w:r>
                    </w:p>
                    <w:p w14:paraId="6EF10588" w14:textId="07525D15" w:rsidR="006A0D32" w:rsidRPr="009674E4" w:rsidRDefault="006A0D32" w:rsidP="006A0D32">
                      <w:pPr>
                        <w:pStyle w:val="TextBoxText"/>
                      </w:pPr>
                      <w:r>
                        <w:t>DPH</w:t>
                      </w:r>
                      <w:r w:rsidRPr="009674E4">
                        <w:t xml:space="preserve"> has a Radon Assessment Unit (RAU) within </w:t>
                      </w:r>
                      <w:r>
                        <w:t>BCEH</w:t>
                      </w:r>
                      <w:r w:rsidRPr="009674E4">
                        <w:t xml:space="preserve"> </w:t>
                      </w:r>
                      <w:r>
                        <w:t xml:space="preserve">that </w:t>
                      </w:r>
                      <w:r w:rsidRPr="009674E4">
                        <w:t>assist</w:t>
                      </w:r>
                      <w:r>
                        <w:t>s</w:t>
                      </w:r>
                      <w:r w:rsidRPr="009674E4">
                        <w:t xml:space="preserve"> </w:t>
                      </w:r>
                      <w:r>
                        <w:t xml:space="preserve">schools </w:t>
                      </w:r>
                      <w:r w:rsidRPr="009674E4">
                        <w:t xml:space="preserve">with radon questions. </w:t>
                      </w:r>
                      <w:r>
                        <w:t>T</w:t>
                      </w:r>
                      <w:r w:rsidRPr="009674E4">
                        <w:t xml:space="preserve">he RAU does not conduct radon testing of schools </w:t>
                      </w:r>
                      <w:r>
                        <w:t>but</w:t>
                      </w:r>
                      <w:r w:rsidRPr="009674E4">
                        <w:t xml:space="preserve"> provide</w:t>
                      </w:r>
                      <w:r>
                        <w:t>s</w:t>
                      </w:r>
                      <w:r w:rsidRPr="009674E4">
                        <w:t xml:space="preserve"> technical assistance </w:t>
                      </w:r>
                      <w:r>
                        <w:t xml:space="preserve">for hiring </w:t>
                      </w:r>
                      <w:r w:rsidRPr="009674E4">
                        <w:t>certified professional</w:t>
                      </w:r>
                      <w:r>
                        <w:t>s</w:t>
                      </w:r>
                      <w:r w:rsidRPr="009674E4">
                        <w:t xml:space="preserve"> to conduct radon testing </w:t>
                      </w:r>
                      <w:r>
                        <w:t xml:space="preserve">and mitigation </w:t>
                      </w:r>
                      <w:r w:rsidRPr="009674E4">
                        <w:t>in schools. The RAU can be reached at 1-800-RADON-95 (1-800-723-6695 - Massachusetts only) or (413) 586-7525 x 3185.</w:t>
                      </w:r>
                    </w:p>
                  </w:txbxContent>
                </v:textbox>
                <w10:wrap type="square" anchorx="margin"/>
              </v:shape>
            </w:pict>
          </mc:Fallback>
        </mc:AlternateContent>
      </w:r>
      <w:r w:rsidR="006A0D32">
        <w:t>A school planning building upgrades or renovations, should test for radon before doing the renovations so that, if needed, a radon mitigation system can be installed as part of the overall building modifications.</w:t>
      </w:r>
      <w:r w:rsidR="006A0D32">
        <w:fldChar w:fldCharType="begin"/>
      </w:r>
      <w:r w:rsidR="003F0EFF">
        <w:instrText xml:space="preserve"> ADDIN ZOTERO_ITEM CSL_CITATION {"citationID":"qMxbS1OG","properties":{"formattedCitation":"\\super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006A0D32">
        <w:fldChar w:fldCharType="separate"/>
      </w:r>
      <w:r w:rsidR="003F0EFF" w:rsidRPr="003F0EFF">
        <w:rPr>
          <w:rFonts w:cs="Arial"/>
          <w:vertAlign w:val="superscript"/>
        </w:rPr>
        <w:t>104</w:t>
      </w:r>
      <w:r w:rsidR="006A0D32">
        <w:fldChar w:fldCharType="end"/>
      </w:r>
      <w:r w:rsidR="006A0D32">
        <w:t xml:space="preserve"> Schools should be tested at least once every five years unless they have previously recorded high levels, in which case they should be tested every two years after mitigation.</w:t>
      </w:r>
      <w:r w:rsidR="006A0D32">
        <w:fldChar w:fldCharType="begin"/>
      </w:r>
      <w:r w:rsidR="00984746">
        <w:instrText xml:space="preserve"> ADDIN ZOTERO_ITEM CSL_CITATION {"citationID":"Kg9kAlEQ","properties":{"formattedCitation":"\\super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rsidR="006A0D32">
        <w:fldChar w:fldCharType="separate"/>
      </w:r>
      <w:r w:rsidR="00984746" w:rsidRPr="00984746">
        <w:rPr>
          <w:rFonts w:cs="Arial"/>
          <w:vertAlign w:val="superscript"/>
        </w:rPr>
        <w:t>183</w:t>
      </w:r>
      <w:r w:rsidR="006A0D32">
        <w:fldChar w:fldCharType="end"/>
      </w:r>
      <w:r w:rsidR="006A0D32">
        <w:t xml:space="preserve"> Rooms within schools that have demand-controlled ventilation systems may require special attention during testing, as their ventilation rates vary with occupancy. Assume a minimum outdoor air ventilation rate based on the minimum expected occupancy when testing these spaces.</w:t>
      </w:r>
      <w:r w:rsidR="006A0D32">
        <w:fldChar w:fldCharType="begin"/>
      </w:r>
      <w:r w:rsidR="00EB01BE">
        <w:instrText xml:space="preserve"> ADDIN ZOTERO_ITEM CSL_CITATION {"citationID":"E10DMgQ6","properties":{"formattedCitation":"\\super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rsidR="006A0D32">
        <w:fldChar w:fldCharType="separate"/>
      </w:r>
      <w:r w:rsidR="00EB01BE" w:rsidRPr="00EB01BE">
        <w:rPr>
          <w:rFonts w:cs="Arial"/>
          <w:vertAlign w:val="superscript"/>
        </w:rPr>
        <w:t>104</w:t>
      </w:r>
      <w:r w:rsidR="006A0D32">
        <w:fldChar w:fldCharType="end"/>
      </w:r>
    </w:p>
    <w:p w14:paraId="5BC12F3E" w14:textId="77777777" w:rsidR="006A0D32" w:rsidRDefault="006A0D32" w:rsidP="006A0D32">
      <w:pPr>
        <w:pStyle w:val="Heading5"/>
      </w:pPr>
      <w:r>
        <w:t>(3) Develop and implement a radon reduction plan</w:t>
      </w:r>
    </w:p>
    <w:p w14:paraId="1D3E46F3" w14:textId="6005E8E5" w:rsidR="006A0D32" w:rsidRPr="00E82BB2" w:rsidRDefault="006A0D32" w:rsidP="006D7DE6">
      <w:pPr>
        <w:pStyle w:val="BodyTextFirstIndent"/>
      </w:pPr>
      <w:r>
        <w:t>Planning where, when, and how to test and mitigate radon is a critical step before a school takes action.  If schools have a larger approach to improving indoor air quality or environmental health, a radon reduction plan should be incorporated into that.</w:t>
      </w:r>
      <w:r>
        <w:fldChar w:fldCharType="begin"/>
      </w:r>
      <w:r w:rsidR="00EA5078">
        <w:instrText xml:space="preserve"> ADDIN ZOTERO_ITEM CSL_CITATION {"citationID":"nL5MSlEa","properties":{"formattedCitation":"\\super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EA5078" w:rsidRPr="00EA5078">
        <w:rPr>
          <w:rFonts w:cs="Arial"/>
          <w:vertAlign w:val="superscript"/>
        </w:rPr>
        <w:t>307</w:t>
      </w:r>
      <w:r>
        <w:fldChar w:fldCharType="end"/>
      </w:r>
      <w:r>
        <w:t xml:space="preserve"> Schools may want to consult with the DPH </w:t>
      </w:r>
      <w:r w:rsidR="004E62C5">
        <w:t>Radon Assessment Unit (</w:t>
      </w:r>
      <w:r>
        <w:t>RAU</w:t>
      </w:r>
      <w:r w:rsidR="004E62C5">
        <w:t>)</w:t>
      </w:r>
      <w:r>
        <w:t xml:space="preserve"> on specific steps for their school. This planning phase can include identifying possible funding sources and planning short- and long-term steps for radon reduction.</w:t>
      </w:r>
      <w:r>
        <w:fldChar w:fldCharType="begin"/>
      </w:r>
      <w:r w:rsidR="00D97659">
        <w:instrText xml:space="preserve"> ADDIN ZOTERO_ITEM CSL_CITATION {"citationID":"ykSwZt9x","properties":{"formattedCitation":"\\super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D97659" w:rsidRPr="00D97659">
        <w:rPr>
          <w:rFonts w:cs="Arial"/>
          <w:vertAlign w:val="superscript"/>
        </w:rPr>
        <w:t>307</w:t>
      </w:r>
      <w:r>
        <w:fldChar w:fldCharType="end"/>
      </w:r>
    </w:p>
    <w:p w14:paraId="7934A18E" w14:textId="77777777" w:rsidR="006A0D32" w:rsidRDefault="006A0D32" w:rsidP="006A0D32">
      <w:pPr>
        <w:pStyle w:val="Heading5"/>
      </w:pPr>
      <w:r>
        <w:t xml:space="preserve">(4) </w:t>
      </w:r>
      <w:r w:rsidRPr="006A599B">
        <w:t xml:space="preserve">Take action to mitigate radon if levels are above or approaching EPA </w:t>
      </w:r>
      <w:r>
        <w:t>a</w:t>
      </w:r>
      <w:r w:rsidRPr="006A599B">
        <w:t>ction</w:t>
      </w:r>
      <w:r>
        <w:t xml:space="preserve"> levels</w:t>
      </w:r>
    </w:p>
    <w:p w14:paraId="7326B726" w14:textId="59AB19F8" w:rsidR="006A0D32" w:rsidRDefault="006A0D32" w:rsidP="006D7DE6">
      <w:pPr>
        <w:pStyle w:val="BodyTextFirstIndent"/>
      </w:pPr>
      <w:r>
        <w:t>EPA</w:t>
      </w:r>
      <w:r w:rsidR="002C3A64">
        <w:t>’s</w:t>
      </w:r>
      <w:r>
        <w:t xml:space="preserve"> action level for radon (described under </w:t>
      </w:r>
      <w:r>
        <w:rPr>
          <w:i/>
          <w:iCs/>
        </w:rPr>
        <w:t xml:space="preserve">Relevant </w:t>
      </w:r>
      <w:r w:rsidRPr="00973AE7">
        <w:rPr>
          <w:i/>
          <w:iCs/>
        </w:rPr>
        <w:t>Standards</w:t>
      </w:r>
      <w:r>
        <w:t>) is 4 piC/L. However, buildings should also consider mitigation if levels are between 2 and 4 piC/L.</w:t>
      </w:r>
      <w:r>
        <w:fldChar w:fldCharType="begin"/>
      </w:r>
      <w:r w:rsidR="001B6810">
        <w:instrText xml:space="preserve"> ADDIN ZOTERO_ITEM CSL_CITATION {"citationID":"48DQTPYX","properties":{"formattedCitation":"\\super 309\\nosupersub{}","plainCitation":"309","noteIndex":0},"citationItems":[{"id":129,"uris":["http://zotero.org/groups/5563646/items/5K5QVSMJ"],"itemData":{"id":129,"type":"webpage","abstract":"Radon in air is ubiquitous (existing or being everywhere at the same time). Radon is found in outdoor air and in the indoor air of buildings of all kinds.  EPA recommends homes be fixed if the radon level is 4 pCi/L (picocurries per liter) or more. Becaus","genre":"Overviews and Factsheets","language":"en","title":"What is EPA's Action Level for Radon and What Does it Mean?","URL":"https://www.epa.gov/radon/what-epas-action-level-radon-and-what-does-it-mean","author":[{"family":"US EPA","given":""}],"accessed":{"date-parts":[["2024",6,13]]},"issued":{"date-parts":[["2023",7,6]]}}}],"schema":"https://github.com/citation-style-language/schema/raw/master/csl-citation.json"} </w:instrText>
      </w:r>
      <w:r>
        <w:fldChar w:fldCharType="separate"/>
      </w:r>
      <w:r w:rsidR="001B6810" w:rsidRPr="001B6810">
        <w:rPr>
          <w:rFonts w:cs="Arial"/>
          <w:vertAlign w:val="superscript"/>
        </w:rPr>
        <w:t>309</w:t>
      </w:r>
      <w:r>
        <w:fldChar w:fldCharType="end"/>
      </w:r>
      <w:r>
        <w:t xml:space="preserve"> The main action to mitigate radon levels is to install a radon mitigation system, which removes air from indoor spaces and reduces radon exposure.</w:t>
      </w:r>
      <w:r>
        <w:fldChar w:fldCharType="begin"/>
      </w:r>
      <w:r w:rsidR="005866E4">
        <w:instrText xml:space="preserve"> ADDIN ZOTERO_ITEM CSL_CITATION {"citationID":"SwwOxGs6","properties":{"formattedCitation":"\\super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5866E4" w:rsidRPr="005866E4">
        <w:rPr>
          <w:rFonts w:cs="Arial"/>
          <w:vertAlign w:val="superscript"/>
        </w:rPr>
        <w:t>101</w:t>
      </w:r>
      <w:r>
        <w:fldChar w:fldCharType="end"/>
      </w:r>
      <w:r>
        <w:t xml:space="preserve"> Technical strategies to mitigate radon are described below in 9, 10, and 11.</w:t>
      </w:r>
    </w:p>
    <w:p w14:paraId="2F4D22AB" w14:textId="77777777" w:rsidR="006A0D32" w:rsidRDefault="006A0D32" w:rsidP="006A0D32">
      <w:pPr>
        <w:pStyle w:val="Heading5"/>
      </w:pPr>
      <w:r>
        <w:t>(5) Educate and communicate information to parents, students, and staff</w:t>
      </w:r>
    </w:p>
    <w:p w14:paraId="3D37C952" w14:textId="3C67A8E6" w:rsidR="006A0D32" w:rsidRDefault="006A0D32" w:rsidP="006D7DE6">
      <w:pPr>
        <w:pStyle w:val="BodyTextFirstIndent"/>
      </w:pPr>
      <w:r>
        <w:t>Schools should communicate with parents, students, and staff regarding radon in their building and the steps they take for mitigation.</w:t>
      </w:r>
      <w:r>
        <w:fldChar w:fldCharType="begin"/>
      </w:r>
      <w:r w:rsidR="00C10F99">
        <w:instrText xml:space="preserve"> ADDIN ZOTERO_ITEM CSL_CITATION {"citationID":"NSzOTrJM","properties":{"formattedCitation":"\\super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C10F99" w:rsidRPr="00C10F99">
        <w:rPr>
          <w:rFonts w:cs="Arial"/>
          <w:vertAlign w:val="superscript"/>
        </w:rPr>
        <w:t>100</w:t>
      </w:r>
      <w:r>
        <w:fldChar w:fldCharType="end"/>
      </w:r>
      <w:r>
        <w:t xml:space="preserve"> Schools should explain the importance of testing and the link between radon and building operations; encourage parents to test their homes for radon; share their radon reduction plan (#2 above); include teachers in your testing process; and encourage teachers to incorporate radon-related science projects into the classroom.</w:t>
      </w:r>
      <w:r>
        <w:fldChar w:fldCharType="begin"/>
      </w:r>
      <w:r w:rsidR="00A955DE">
        <w:instrText xml:space="preserve"> ADDIN ZOTERO_ITEM CSL_CITATION {"citationID":"mGhYkVvj","properties":{"formattedCitation":"\\super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A955DE" w:rsidRPr="00A955DE">
        <w:rPr>
          <w:rFonts w:cs="Arial"/>
          <w:vertAlign w:val="superscript"/>
        </w:rPr>
        <w:t>307</w:t>
      </w:r>
      <w:r>
        <w:fldChar w:fldCharType="end"/>
      </w:r>
      <w:r>
        <w:t xml:space="preserve"> It is also important to educate maintenance and facilities staff about radon and how to identify radon risks.</w:t>
      </w:r>
      <w:r>
        <w:fldChar w:fldCharType="begin"/>
      </w:r>
      <w:r w:rsidR="00966270">
        <w:instrText xml:space="preserve"> ADDIN ZOTERO_ITEM CSL_CITATION {"citationID":"Wlt6zcpM","properties":{"formattedCitation":"\\super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966270" w:rsidRPr="00966270">
        <w:rPr>
          <w:rFonts w:cs="Arial"/>
          <w:vertAlign w:val="superscript"/>
        </w:rPr>
        <w:t>307</w:t>
      </w:r>
      <w:r>
        <w:fldChar w:fldCharType="end"/>
      </w:r>
    </w:p>
    <w:p w14:paraId="4E2F0376" w14:textId="77777777" w:rsidR="00BF2753" w:rsidRDefault="00BF2753">
      <w:pPr>
        <w:rPr>
          <w:rFonts w:ascii="Arial" w:hAnsi="Arial"/>
          <w:b/>
          <w:i/>
          <w:color w:val="1F497D"/>
          <w:sz w:val="24"/>
        </w:rPr>
      </w:pPr>
      <w:r>
        <w:br w:type="page"/>
      </w:r>
    </w:p>
    <w:p w14:paraId="20332868" w14:textId="776A904E" w:rsidR="006A0D32" w:rsidRDefault="006A0D32" w:rsidP="006A0D32">
      <w:pPr>
        <w:pStyle w:val="Heading5"/>
      </w:pPr>
      <w:r>
        <w:lastRenderedPageBreak/>
        <w:t>(6) Periodically retest areas of the school after mitigation</w:t>
      </w:r>
    </w:p>
    <w:p w14:paraId="65A1DA8C" w14:textId="739EA7BF" w:rsidR="006A0D32" w:rsidRDefault="006A0D32" w:rsidP="006D7DE6">
      <w:pPr>
        <w:pStyle w:val="BodyTextFirstIndent"/>
      </w:pPr>
      <w:r>
        <w:t xml:space="preserve">Even after radon mitigation interventions, radon testing continues to be important, particularly if any renovations occur. NE-CHPS suggests that radon should be tested </w:t>
      </w:r>
      <w:r w:rsidR="00857906">
        <w:t>at least</w:t>
      </w:r>
      <w:r>
        <w:t xml:space="preserve"> every two years after you implement mitigation interventions.</w:t>
      </w:r>
      <w:r>
        <w:fldChar w:fldCharType="begin"/>
      </w:r>
      <w:r w:rsidR="00707F9D">
        <w:instrText xml:space="preserve"> ADDIN ZOTERO_ITEM CSL_CITATION {"citationID":"sVvTsJ3S","properties":{"formattedCitation":"\\super 183\\nosupersub{}","plainCitation":"183","noteIndex":0},"citationItems":[{"id":18,"uris":["http://zotero.org/groups/5563646/items/5RQX2K7C"],"itemData":{"id":18,"type":"report","publisher":"Northeast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707F9D" w:rsidRPr="00707F9D">
        <w:rPr>
          <w:rFonts w:cs="Arial"/>
          <w:vertAlign w:val="superscript"/>
        </w:rPr>
        <w:t>183</w:t>
      </w:r>
      <w:r>
        <w:fldChar w:fldCharType="end"/>
      </w:r>
      <w:r>
        <w:t xml:space="preserve"> After any renovation, the flow of indoor air can change, and EPA recommends retesting for radon.</w:t>
      </w:r>
      <w:r>
        <w:fldChar w:fldCharType="begin"/>
      </w:r>
      <w:r w:rsidR="00255971">
        <w:instrText xml:space="preserve"> ADDIN ZOTERO_ITEM CSL_CITATION {"citationID":"HLr9xMSi","properties":{"formattedCitation":"\\super 100,104\\nosupersub{}","plainCitation":"100,104","noteIndex":0},"citationItems":[{"id":9,"uris":["http://zotero.org/groups/5563646/items/PIGDCZW8"],"itemData":{"id":9,"type":"report","language":"en","publisher":"Environmental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255971" w:rsidRPr="00255971">
        <w:rPr>
          <w:rFonts w:cs="Arial"/>
          <w:vertAlign w:val="superscript"/>
        </w:rPr>
        <w:t>100,104</w:t>
      </w:r>
      <w:r>
        <w:fldChar w:fldCharType="end"/>
      </w:r>
      <w:r>
        <w:t xml:space="preserve"> Changes to the building envelope or mechanical ventilation systems, in particular, can affect indoor radon levels.</w:t>
      </w:r>
      <w:r>
        <w:fldChar w:fldCharType="begin"/>
      </w:r>
      <w:r w:rsidR="00FB008F">
        <w:instrText xml:space="preserve"> ADDIN ZOTERO_ITEM CSL_CITATION {"citationID":"x5lbGMws","properties":{"formattedCitation":"\\super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FB008F" w:rsidRPr="00FB008F">
        <w:rPr>
          <w:rFonts w:cs="Arial"/>
          <w:vertAlign w:val="superscript"/>
        </w:rPr>
        <w:t>104</w:t>
      </w:r>
      <w:r>
        <w:fldChar w:fldCharType="end"/>
      </w:r>
    </w:p>
    <w:p w14:paraId="0D4A129E" w14:textId="77777777" w:rsidR="006A0D32" w:rsidRDefault="006A0D32" w:rsidP="006A0D32">
      <w:pPr>
        <w:pStyle w:val="Heading5"/>
      </w:pPr>
      <w:r>
        <w:t>(7) Maintain records of ongoing radon testing and radon mitigation system</w:t>
      </w:r>
    </w:p>
    <w:p w14:paraId="6DB8DE22" w14:textId="068E9E52" w:rsidR="006A0D32" w:rsidRDefault="006A0D32" w:rsidP="006D7DE6">
      <w:pPr>
        <w:pStyle w:val="BodyTextFirstIndent"/>
      </w:pPr>
      <w:r>
        <w:t>Schools should maintain records of radon testing before and after mitigation, as well as records related to their mitigation system.</w:t>
      </w:r>
      <w:r>
        <w:fldChar w:fldCharType="begin"/>
      </w:r>
      <w:r w:rsidR="00045B26">
        <w:instrText xml:space="preserve"> ADDIN ZOTERO_ITEM CSL_CITATION {"citationID":"0idxyJOB","properties":{"formattedCitation":"\\super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045B26" w:rsidRPr="00045B26">
        <w:rPr>
          <w:rFonts w:cs="Arial"/>
          <w:vertAlign w:val="superscript"/>
        </w:rPr>
        <w:t>100</w:t>
      </w:r>
      <w:r>
        <w:fldChar w:fldCharType="end"/>
      </w:r>
      <w:r>
        <w:t xml:space="preserve"> Review records as needed. When doing renovations, keep radon reduction methods in mind while designing the renovation, or leave existing mitigation systems in place.</w:t>
      </w:r>
      <w:r>
        <w:fldChar w:fldCharType="begin"/>
      </w:r>
      <w:r w:rsidR="00043909">
        <w:instrText xml:space="preserve"> ADDIN ZOTERO_ITEM CSL_CITATION {"citationID":"3jzhSukd","properties":{"formattedCitation":"\\super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043909" w:rsidRPr="00043909">
        <w:rPr>
          <w:rFonts w:cs="Arial"/>
          <w:vertAlign w:val="superscript"/>
        </w:rPr>
        <w:t>100</w:t>
      </w:r>
      <w:r>
        <w:fldChar w:fldCharType="end"/>
      </w:r>
    </w:p>
    <w:p w14:paraId="682EBB08" w14:textId="57639081" w:rsidR="006A0D32" w:rsidRDefault="006A0D32" w:rsidP="006A0D32">
      <w:pPr>
        <w:pStyle w:val="Heading5"/>
      </w:pPr>
      <w:r>
        <w:t xml:space="preserve">(8) </w:t>
      </w:r>
      <w:r w:rsidR="00C13D5A">
        <w:t>Maintain</w:t>
      </w:r>
      <w:r>
        <w:t xml:space="preserve"> continuity of the school’s radon mitigation plan</w:t>
      </w:r>
    </w:p>
    <w:p w14:paraId="63CA0556" w14:textId="5CF566F2" w:rsidR="006A0D32" w:rsidRDefault="006A0D32" w:rsidP="006D7DE6">
      <w:pPr>
        <w:pStyle w:val="BodyTextFirstIndent"/>
      </w:pPr>
      <w:r>
        <w:t>After mitigating radon, schools should evaluate the success of their radon mitigation plan and program and find ways to continually improve. Determine if the school needs additional testing or mitigation and follow up with the necessary steps. Schedule future retesting with a certified professional. Consider how ongoing HVAC maintenance or upgrades may affect radon in the building.</w:t>
      </w:r>
      <w:r>
        <w:fldChar w:fldCharType="begin"/>
      </w:r>
      <w:r w:rsidR="00C75F5E">
        <w:instrText xml:space="preserve"> ADDIN ZOTERO_ITEM CSL_CITATION {"citationID":"99gNlm9Y","properties":{"formattedCitation":"\\super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C75F5E" w:rsidRPr="00C75F5E">
        <w:rPr>
          <w:rFonts w:cs="Arial"/>
          <w:vertAlign w:val="superscript"/>
        </w:rPr>
        <w:t>307</w:t>
      </w:r>
      <w:r>
        <w:fldChar w:fldCharType="end"/>
      </w:r>
    </w:p>
    <w:p w14:paraId="583B8F81" w14:textId="77777777" w:rsidR="006A0D32" w:rsidRDefault="006A0D32" w:rsidP="006A0D32">
      <w:pPr>
        <w:pStyle w:val="Heading4"/>
      </w:pPr>
      <w:r>
        <w:t>Technical Interventions</w:t>
      </w:r>
    </w:p>
    <w:p w14:paraId="7FFD2AD7" w14:textId="77777777" w:rsidR="006A0D32" w:rsidRPr="00F66F36" w:rsidRDefault="006A0D32" w:rsidP="006D7DE6">
      <w:pPr>
        <w:pStyle w:val="BodyTextFirstIndent"/>
      </w:pPr>
      <w:r>
        <w:t xml:space="preserve">This section covers technical interventions to mitigate radon exposure, some of which should be performed by a certified radon mitigation professional. </w:t>
      </w:r>
    </w:p>
    <w:p w14:paraId="2E617849" w14:textId="77777777" w:rsidR="006A0D32" w:rsidRDefault="006A0D32" w:rsidP="006A0D32">
      <w:pPr>
        <w:pStyle w:val="Heading5"/>
      </w:pPr>
      <w:r>
        <w:t>(9) Install a radon mitigation system</w:t>
      </w:r>
    </w:p>
    <w:p w14:paraId="6C505DDC" w14:textId="0CDEE51E" w:rsidR="006A0D32" w:rsidRPr="003A2A4F" w:rsidRDefault="006A0D32" w:rsidP="006D7DE6">
      <w:pPr>
        <w:pStyle w:val="BodyTextFirstIndent"/>
      </w:pPr>
      <w:r>
        <w:t>Schools should hire a certified radon mitigation contractor to install a radon mitigation system.</w:t>
      </w:r>
      <w:r>
        <w:fldChar w:fldCharType="begin"/>
      </w:r>
      <w:r w:rsidR="00DD17D7">
        <w:instrText xml:space="preserve"> ADDIN ZOTERO_ITEM CSL_CITATION {"citationID":"EfP1Nnj1","properties":{"formattedCitation":"\\super 307\\nosupersub{}","plainCitation":"307","noteIndex":0},"citationItems":[{"id":11,"uris":["http://zotero.org/groups/5563646/items/SSS2CIMC"],"itemData":{"id":11,"type":"report","collection-title":"The Indoor Air Quality Tools for Schools Approach","language":"en","publisher":"Environmental Protection Agency","source":"Zotero","title":"Managing Radon in Schools","URL":"https://www.epa.gov/sites/default/files/2014-11/documents/managing_radon.pdf","author":[{"family":"US EPA","given":""}],"issued":{"date-parts":[["2010",6]]}}}],"schema":"https://github.com/citation-style-language/schema/raw/master/csl-citation.json"} </w:instrText>
      </w:r>
      <w:r>
        <w:fldChar w:fldCharType="separate"/>
      </w:r>
      <w:r w:rsidR="00DD17D7" w:rsidRPr="00DD17D7">
        <w:rPr>
          <w:rFonts w:cs="Arial"/>
          <w:vertAlign w:val="superscript"/>
        </w:rPr>
        <w:t>307</w:t>
      </w:r>
      <w:r>
        <w:fldChar w:fldCharType="end"/>
      </w:r>
      <w:r>
        <w:t xml:space="preserve"> </w:t>
      </w:r>
      <w:r w:rsidR="00861350">
        <w:t>Confirm</w:t>
      </w:r>
      <w:r>
        <w:t xml:space="preserve"> that the contractor is certified through the NRSB or NRPP.</w:t>
      </w:r>
      <w:r>
        <w:fldChar w:fldCharType="begin"/>
      </w:r>
      <w:r w:rsidR="00F06A21">
        <w:instrText xml:space="preserve"> ADDIN ZOTERO_ITEM CSL_CITATION {"citationID":"CGHaezzy","properties":{"formattedCitation":"\\super 183,308\\nosupersub{}","plainCitation":"183,308","noteIndex":0},"citationItems":[{"id":18,"uris":["http://zotero.org/groups/5563646/items/5RQX2K7C"],"itemData":{"id":18,"type":"report","publisher":"Northeast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id":118,"uris":["http://zotero.org/groups/5563646/items/C58RMKKR"],"itemData":{"id":118,"type":"report","event-place":"Boston, MA","genre":"Fact Sheet","language":"en","publisher":"Massachusetts Department of Public Health, Bureau of Climate and Environmental Health","publisher-place":"Boston, MA","source":"Zotero","title":"Fixing Radon In Your Home","URL":"https://www.mass.gov/doc/fixing-radon-in-your-home/download","author":[{"family":"MDPH","given":""}]}}],"schema":"https://github.com/citation-style-language/schema/raw/master/csl-citation.json"} </w:instrText>
      </w:r>
      <w:r>
        <w:fldChar w:fldCharType="separate"/>
      </w:r>
      <w:r w:rsidR="00F06A21" w:rsidRPr="00F06A21">
        <w:rPr>
          <w:rFonts w:cs="Arial"/>
          <w:vertAlign w:val="superscript"/>
        </w:rPr>
        <w:t>183,308</w:t>
      </w:r>
      <w:r>
        <w:fldChar w:fldCharType="end"/>
      </w:r>
      <w:r>
        <w:t xml:space="preserve"> A radon mitigation system should follow the standards of practice described above in </w:t>
      </w:r>
      <w:r w:rsidRPr="653D8BA2">
        <w:rPr>
          <w:i/>
          <w:iCs/>
        </w:rPr>
        <w:t>Relevant Standards</w:t>
      </w:r>
      <w:r>
        <w:t>. In general, most mitigation systems use a fan to create</w:t>
      </w:r>
      <w:r w:rsidDel="58DF60DA">
        <w:t xml:space="preserve"> </w:t>
      </w:r>
      <w:r>
        <w:t>suction under the building’s slab, which is called sub-slab depressurization. The radon gas is then forced up through a pipe and released outside.</w:t>
      </w:r>
      <w:r>
        <w:fldChar w:fldCharType="begin"/>
      </w:r>
      <w:r w:rsidR="00344B9A">
        <w:instrText xml:space="preserve"> ADDIN ZOTERO_ITEM CSL_CITATION {"citationID":"M5cy4fVD","properties":{"formattedCitation":"\\super 308\\nosupersub{}","plainCitation":"308","noteIndex":0},"citationItems":[{"id":118,"uris":["http://zotero.org/groups/5563646/items/C58RMKKR"],"itemData":{"id":118,"type":"report","event-place":"Boston, MA","genre":"Fact Sheet","language":"en","publisher":"Massachusetts Department of Public Health, Bureau of Climate and Environmental Health","publisher-place":"Boston, MA","source":"Zotero","title":"Fixing Radon In Your Home","URL":"https://www.mass.gov/doc/fixing-radon-in-your-home/download","author":[{"family":"MDPH","given":""}]}}],"schema":"https://github.com/citation-style-language/schema/raw/master/csl-citation.json"} </w:instrText>
      </w:r>
      <w:r>
        <w:fldChar w:fldCharType="separate"/>
      </w:r>
      <w:r w:rsidR="00344B9A" w:rsidRPr="00344B9A">
        <w:rPr>
          <w:rFonts w:cs="Arial"/>
          <w:vertAlign w:val="superscript"/>
        </w:rPr>
        <w:t>308</w:t>
      </w:r>
      <w:r>
        <w:fldChar w:fldCharType="end"/>
      </w:r>
    </w:p>
    <w:p w14:paraId="622DBCDA" w14:textId="77777777" w:rsidR="006A0D32" w:rsidRDefault="006A0D32" w:rsidP="006A0D32">
      <w:pPr>
        <w:pStyle w:val="Heading5"/>
      </w:pPr>
      <w:r>
        <w:t>(10) Seal cracks and joints in concrete floors</w:t>
      </w:r>
    </w:p>
    <w:p w14:paraId="0FB2E1D2" w14:textId="2700F203" w:rsidR="006A0D32" w:rsidRDefault="006A0D32" w:rsidP="006D7DE6">
      <w:pPr>
        <w:pStyle w:val="BodyTextFirstIndent"/>
      </w:pPr>
      <w:r>
        <w:t>Sealing cracks and joints in concrete floors may be a key part of the radon mitigation system to prevent radon from entering from the ground below.</w:t>
      </w:r>
      <w:r>
        <w:fldChar w:fldCharType="begin"/>
      </w:r>
      <w:r w:rsidR="00A550D1">
        <w:instrText xml:space="preserve"> ADDIN ZOTERO_ITEM CSL_CITATION {"citationID":"A9m4qKR9","properties":{"formattedCitation":"\\super 104,308\\nosupersub{}","plainCitation":"104,308","noteIndex":0},"citationItems":[{"id":9,"uris":["http://zotero.org/groups/5563646/items/PIGDCZW8"],"itemData":{"id":9,"type":"report","language":"en","publisher":"Environmental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EPA","given":""}],"issued":{"date-parts":[["2014"]]}}},{"id":118,"uris":["http://zotero.org/groups/5563646/items/C58RMKKR"],"itemData":{"id":118,"type":"report","event-place":"Boston, MA","genre":"Fact Sheet","language":"en","publisher":"Massachusetts Department of Public Health, Bureau of Climate and Environmental Health","publisher-place":"Boston, MA","source":"Zotero","title":"Fixing Radon In Your Home","URL":"https://www.mass.gov/doc/fixing-radon-in-your-home/download","author":[{"family":"MDPH","given":""}]}}],"schema":"https://github.com/citation-style-language/schema/raw/master/csl-citation.json"} </w:instrText>
      </w:r>
      <w:r>
        <w:fldChar w:fldCharType="separate"/>
      </w:r>
      <w:r w:rsidR="00A550D1" w:rsidRPr="00A550D1">
        <w:rPr>
          <w:rFonts w:cs="Arial"/>
          <w:vertAlign w:val="superscript"/>
        </w:rPr>
        <w:t>104,308</w:t>
      </w:r>
      <w:r>
        <w:fldChar w:fldCharType="end"/>
      </w:r>
    </w:p>
    <w:p w14:paraId="5C8DFAF9" w14:textId="77777777" w:rsidR="006A0D32" w:rsidRDefault="006A0D32" w:rsidP="006A0D32">
      <w:pPr>
        <w:pStyle w:val="Heading5"/>
      </w:pPr>
      <w:r>
        <w:t>(11) Provide ventilation using a properly balanced HVAC system</w:t>
      </w:r>
    </w:p>
    <w:p w14:paraId="2F93B23B" w14:textId="7E789452" w:rsidR="007937B9" w:rsidRDefault="006A0D32" w:rsidP="006D7DE6">
      <w:pPr>
        <w:pStyle w:val="BodyTextFirstIndent"/>
      </w:pPr>
      <w:r>
        <w:t>A building’s HVAC system can be operated to help reduce indoor radon concentrations. A properly balanced HVAC system that maintains positive pressurization indoors can reduce the intrusion of underground contaminants such as radon into the building.</w:t>
      </w:r>
      <w:r>
        <w:fldChar w:fldCharType="begin"/>
      </w:r>
      <w:r w:rsidR="00B35892">
        <w:instrText xml:space="preserve"> ADDIN ZOTERO_ITEM CSL_CITATION {"citationID":"qidunqaW","properties":{"formattedCitation":"\\super 104\\nosupersub{}","plainCitation":"104","noteIndex":0},"citationItems":[{"id":9,"uris":["http://zotero.org/groups/5563646/items/PIGDCZW8"],"itemData":{"id":9,"type":"report","language":"en","publisher":"Environmental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B35892" w:rsidRPr="00B35892">
        <w:rPr>
          <w:rFonts w:cs="Arial"/>
          <w:vertAlign w:val="superscript"/>
        </w:rPr>
        <w:t>104</w:t>
      </w:r>
      <w:r>
        <w:fldChar w:fldCharType="end"/>
      </w:r>
      <w:r>
        <w:t xml:space="preserve"> </w:t>
      </w:r>
      <w:r>
        <w:lastRenderedPageBreak/>
        <w:t>HVAC systems should be maintained regularly and balanced upon beginning operations, when there is a problem, or when there is a change in operations (e.g., every five years).</w:t>
      </w:r>
    </w:p>
    <w:p w14:paraId="643CFFB0" w14:textId="77777777" w:rsidR="00502F95" w:rsidRDefault="00502F95" w:rsidP="00502F95">
      <w:pPr>
        <w:pStyle w:val="Heading3"/>
      </w:pPr>
      <w:r>
        <w:t>Statutes, Regulations, and Standards</w:t>
      </w:r>
    </w:p>
    <w:p w14:paraId="1329EC11" w14:textId="77777777" w:rsidR="00502F95" w:rsidRPr="00253A89" w:rsidRDefault="00502F95" w:rsidP="006D7DE6">
      <w:pPr>
        <w:pStyle w:val="BodyTextFirstIndent"/>
      </w:pPr>
      <w:r>
        <w:t xml:space="preserve">This section describes an EPA action level at which schools should take steps to mitigate radon as well as building standards pertaining to radon in schools.  </w:t>
      </w:r>
    </w:p>
    <w:p w14:paraId="4A51F595" w14:textId="77777777" w:rsidR="00502F95" w:rsidRDefault="00502F95" w:rsidP="00502F95">
      <w:pPr>
        <w:pStyle w:val="Heading4"/>
      </w:pPr>
      <w:r>
        <w:t>Relevant Standards</w:t>
      </w:r>
    </w:p>
    <w:p w14:paraId="454731D1" w14:textId="1CE1B23C" w:rsidR="00502F95" w:rsidRDefault="00502F95" w:rsidP="006D7DE6">
      <w:pPr>
        <w:pStyle w:val="BodyTextFirstIndent"/>
        <w:rPr>
          <w:b/>
        </w:rPr>
      </w:pPr>
      <w:r>
        <w:rPr>
          <w:b/>
        </w:rPr>
        <w:t xml:space="preserve">EPA Action Level </w:t>
      </w:r>
      <w:r>
        <w:t>recommends that buildings with radon levels at or above this level take steps to mitigate radon</w:t>
      </w:r>
      <w:r w:rsidRPr="007B397C">
        <w:t xml:space="preserve">. Because there is no known safe level </w:t>
      </w:r>
      <w:r>
        <w:t>of</w:t>
      </w:r>
      <w:r w:rsidRPr="007B397C">
        <w:t xml:space="preserve"> radon</w:t>
      </w:r>
      <w:r>
        <w:t xml:space="preserve"> exposure</w:t>
      </w:r>
      <w:r w:rsidRPr="007B397C">
        <w:t xml:space="preserve">, EPA also recommends that </w:t>
      </w:r>
      <w:r>
        <w:t>building owners</w:t>
      </w:r>
      <w:r w:rsidRPr="007B397C">
        <w:t xml:space="preserve"> </w:t>
      </w:r>
      <w:r>
        <w:t>consider radon mitigation when</w:t>
      </w:r>
      <w:r w:rsidRPr="007B397C">
        <w:t xml:space="preserve"> radon </w:t>
      </w:r>
      <w:r>
        <w:t>levels</w:t>
      </w:r>
      <w:r w:rsidRPr="007B397C">
        <w:t xml:space="preserve"> </w:t>
      </w:r>
      <w:r>
        <w:t xml:space="preserve">are </w:t>
      </w:r>
      <w:r w:rsidRPr="007B397C">
        <w:t>between 2 pCi/L and 4 pCi/L.</w:t>
      </w:r>
      <w:r>
        <w:fldChar w:fldCharType="begin"/>
      </w:r>
      <w:r w:rsidR="007876F0">
        <w:instrText xml:space="preserve"> ADDIN ZOTERO_ITEM CSL_CITATION {"citationID":"q9SZu920","properties":{"formattedCitation":"\\super 309\\nosupersub{}","plainCitation":"309","noteIndex":0},"citationItems":[{"id":129,"uris":["http://zotero.org/groups/5563646/items/5K5QVSMJ"],"itemData":{"id":129,"type":"webpage","abstract":"Radon in air is ubiquitous (existing or being everywhere at the same time). Radon is found in outdoor air and in the indoor air of buildings of all kinds.  EPA recommends homes be fixed if the radon level is 4 pCi/L (picocurries per liter) or more. Becaus","genre":"Overviews and Factsheets","language":"en","title":"What is EPA's Action Level for Radon and What Does it Mean?","URL":"https://www.epa.gov/radon/what-epas-action-level-radon-and-what-does-it-mean","author":[{"family":"US EPA","given":""}],"accessed":{"date-parts":[["2024",6,13]]},"issued":{"date-parts":[["2023",7,6]]}}}],"schema":"https://github.com/citation-style-language/schema/raw/master/csl-citation.json"} </w:instrText>
      </w:r>
      <w:r>
        <w:fldChar w:fldCharType="separate"/>
      </w:r>
      <w:r w:rsidR="007876F0" w:rsidRPr="007876F0">
        <w:rPr>
          <w:rFonts w:cs="Arial"/>
          <w:vertAlign w:val="superscript"/>
        </w:rPr>
        <w:t>309</w:t>
      </w:r>
      <w:r>
        <w:fldChar w:fldCharType="end"/>
      </w:r>
    </w:p>
    <w:p w14:paraId="574EECDA" w14:textId="164F42AE" w:rsidR="00502F95" w:rsidRDefault="00502F95" w:rsidP="006D7DE6">
      <w:pPr>
        <w:pStyle w:val="BodyTextFirstIndent"/>
      </w:pPr>
      <w:r w:rsidRPr="003B46F2">
        <w:t>Protocol for Conducting Measurements of Radon and Radon Decay Products in Multifamily, School, Commercial and Mixed-Use Buildings (ANSI/AARST MA-MFLB-2023)</w:t>
      </w:r>
      <w:r w:rsidRPr="4E14F620">
        <w:t xml:space="preserve"> </w:t>
      </w:r>
      <w:r>
        <w:t>specifies procedures and minimum requirements when measuring radon concentrations in structures such as schools to determine if radon mitigation is necessary. MA-MFLB 2023 consolidates ANSI/AARST MAMF (rev. 1/21) and ANSI/AARST MALB (rev. 1/21) into one publication. Compliance with this standard was effective December 1, 2023.</w:t>
      </w:r>
      <w:r>
        <w:fldChar w:fldCharType="begin"/>
      </w:r>
      <w:r w:rsidR="00F90E39">
        <w:instrText xml:space="preserve"> ADDIN ZOTERO_ITEM CSL_CITATION {"citationID":"L3UQg0gk","properties":{"formattedCitation":"\\super 310\\nosupersub{}","plainCitation":"310","noteIndex":0},"citationItems":[{"id":7,"uris":["http://zotero.org/groups/5563646/items/9KDL2AWH"],"itemData":{"id":7,"type":"webpage","abstract":"High levels of Radon have been found in a number of schools across the country. Therefore, it is important that students, teachers and parents be aware that a potential problem could exist in their school.","genre":"Overviews and Factsheets","language":"en","title":"Radon in Schools","URL":"https://www.epa.gov/radon/radon-schools","author":[{"family":"US EPA","given":""}],"accessed":{"date-parts":[["2024",6,12]]},"issued":{"date-parts":[["2024",1,30]]}}}],"schema":"https://github.com/citation-style-language/schema/raw/master/csl-citation.json"} </w:instrText>
      </w:r>
      <w:r>
        <w:fldChar w:fldCharType="separate"/>
      </w:r>
      <w:r w:rsidR="00F90E39" w:rsidRPr="00F90E39">
        <w:rPr>
          <w:rFonts w:cs="Arial"/>
          <w:vertAlign w:val="superscript"/>
        </w:rPr>
        <w:t>310</w:t>
      </w:r>
      <w:r>
        <w:fldChar w:fldCharType="end"/>
      </w:r>
      <w:r>
        <w:t xml:space="preserve"> </w:t>
      </w:r>
    </w:p>
    <w:p w14:paraId="09E13D71" w14:textId="55983A3E" w:rsidR="00502F95" w:rsidRPr="007B397C" w:rsidRDefault="00502F95" w:rsidP="006D7DE6">
      <w:pPr>
        <w:pStyle w:val="BodyTextFirstIndent"/>
      </w:pPr>
      <w:r w:rsidRPr="003B46F2">
        <w:t>Soil Gas Control Systems in New Construction of Multifamily, School, Commercial and Mixed-Use Buildings–Rev. 5/23 (ANSI/AARST CC-1000-2018-0523)</w:t>
      </w:r>
      <w:r>
        <w:t xml:space="preserve"> provides prescriptive minimum requirements for new construction, including of schools, to reduce exposure to radon and other hazardous soil gases. First published in 2017, this standard of practice was updated in 2023 for clarity and improvements such as making inspections during construction required rather than optional; clarifying qualified professionals needed; clarifying products to use for creating an air barrier between soil and indoor air; and integrating vapor intrusion design features into relevant sections. This standard should be used in the planning and construction of new school buildings.</w:t>
      </w:r>
      <w:r>
        <w:fldChar w:fldCharType="begin"/>
      </w:r>
      <w:r w:rsidR="00377128">
        <w:instrText xml:space="preserve"> ADDIN ZOTERO_ITEM CSL_CITATION {"citationID":"c0hyjNJ3","properties":{"formattedCitation":"\\super 310\\nosupersub{}","plainCitation":"310","noteIndex":0},"citationItems":[{"id":7,"uris":["http://zotero.org/groups/5563646/items/9KDL2AWH"],"itemData":{"id":7,"type":"webpage","abstract":"High levels of Radon have been found in a number of schools across the country. Therefore, it is important that students, teachers and parents be aware that a potential problem could exist in their school.","genre":"Overviews and Factsheets","language":"en","title":"Radon in Schools","URL":"https://www.epa.gov/radon/radon-schools","author":[{"family":"US EPA","given":""}],"accessed":{"date-parts":[["2024",6,12]]},"issued":{"date-parts":[["2024",1,30]]}}}],"schema":"https://github.com/citation-style-language/schema/raw/master/csl-citation.json"} </w:instrText>
      </w:r>
      <w:r>
        <w:fldChar w:fldCharType="separate"/>
      </w:r>
      <w:r w:rsidR="00377128" w:rsidRPr="00377128">
        <w:rPr>
          <w:rFonts w:cs="Arial"/>
          <w:vertAlign w:val="superscript"/>
        </w:rPr>
        <w:t>310</w:t>
      </w:r>
      <w:r>
        <w:fldChar w:fldCharType="end"/>
      </w:r>
    </w:p>
    <w:p w14:paraId="20FECE27" w14:textId="388EE22C" w:rsidR="00502F95" w:rsidRDefault="00502F95" w:rsidP="006D7DE6">
      <w:pPr>
        <w:pStyle w:val="BodyTextFirstIndent"/>
      </w:pPr>
      <w:r w:rsidRPr="00F63629">
        <w:rPr>
          <w:b/>
          <w:bCs/>
        </w:rPr>
        <w:t>Soil Gas Mitigation Standards for Existing Multifamily, School, Commercial and Mixed-Use Buildings (ANSI/AARST SGM-MFLB-2023)</w:t>
      </w:r>
      <w:r>
        <w:t xml:space="preserve"> </w:t>
      </w:r>
      <w:r w:rsidRPr="007B397C">
        <w:t xml:space="preserve">specifies minimum requirements for methods that mitigate risks posed by radon gas and </w:t>
      </w:r>
      <w:r>
        <w:t xml:space="preserve">other </w:t>
      </w:r>
      <w:r w:rsidRPr="007B397C">
        <w:t>chemical vapors or gas</w:t>
      </w:r>
      <w:r>
        <w:t>es in</w:t>
      </w:r>
      <w:r w:rsidRPr="007B397C">
        <w:t xml:space="preserve"> </w:t>
      </w:r>
      <w:r>
        <w:t>existing buildings, including schools</w:t>
      </w:r>
      <w:r w:rsidRPr="007B397C">
        <w:t>.</w:t>
      </w:r>
      <w:r>
        <w:t xml:space="preserve"> </w:t>
      </w:r>
      <w:r w:rsidRPr="007B397C">
        <w:t xml:space="preserve">SGM-MFLB consolidates </w:t>
      </w:r>
      <w:r>
        <w:t xml:space="preserve">the </w:t>
      </w:r>
      <w:r w:rsidRPr="007B397C">
        <w:t xml:space="preserve">radon mitigation ANSI/AARST RMS-MF (rev. 12/20) and ANSI/AARST RMS-LB (rev. 12/20) into a single publication and </w:t>
      </w:r>
      <w:r>
        <w:t>harmonized it</w:t>
      </w:r>
      <w:r w:rsidRPr="007B397C">
        <w:t xml:space="preserve"> with ANSI/AARST SGM-SF (Soil Gas Mitigation in Existing Homes)</w:t>
      </w:r>
      <w:r>
        <w:t xml:space="preserve"> for interactive use.</w:t>
      </w:r>
      <w:r w:rsidRPr="007B397C">
        <w:fldChar w:fldCharType="begin"/>
      </w:r>
      <w:r w:rsidR="007206F9">
        <w:instrText xml:space="preserve"> ADDIN ZOTERO_ITEM CSL_CITATION {"citationID":"VDzK26WH","properties":{"formattedCitation":"\\super 310\\nosupersub{}","plainCitation":"310","noteIndex":0},"citationItems":[{"id":7,"uris":["http://zotero.org/groups/5563646/items/9KDL2AWH"],"itemData":{"id":7,"type":"webpage","abstract":"High levels of Radon have been found in a number of schools across the country. Therefore, it is important that students, teachers and parents be aware that a potential problem could exist in their school.","genre":"Overviews and Factsheets","language":"en","title":"Radon in Schools","URL":"https://www.epa.gov/radon/radon-schools","author":[{"family":"US EPA","given":""}],"accessed":{"date-parts":[["2024",6,12]]},"issued":{"date-parts":[["2024",1,30]]}}}],"schema":"https://github.com/citation-style-language/schema/raw/master/csl-citation.json"} </w:instrText>
      </w:r>
      <w:r w:rsidRPr="007B397C">
        <w:fldChar w:fldCharType="separate"/>
      </w:r>
      <w:r w:rsidR="007206F9" w:rsidRPr="007206F9">
        <w:rPr>
          <w:rFonts w:cs="Arial"/>
          <w:vertAlign w:val="superscript"/>
        </w:rPr>
        <w:t>310</w:t>
      </w:r>
      <w:r w:rsidRPr="007B397C">
        <w:fldChar w:fldCharType="end"/>
      </w:r>
    </w:p>
    <w:p w14:paraId="6A376730" w14:textId="01087756" w:rsidR="00502F95" w:rsidRDefault="00502F95" w:rsidP="006D7DE6">
      <w:pPr>
        <w:pStyle w:val="BodyTextFirstIndent"/>
      </w:pPr>
      <w:r>
        <w:fldChar w:fldCharType="begin"/>
      </w:r>
      <w:r>
        <w:instrText xml:space="preserve"> REF _Ref172749842 \h </w:instrText>
      </w:r>
      <w:r>
        <w:fldChar w:fldCharType="separate"/>
      </w:r>
      <w:r w:rsidR="00307850">
        <w:t xml:space="preserve">Table </w:t>
      </w:r>
      <w:r w:rsidR="00307850">
        <w:rPr>
          <w:noProof/>
        </w:rPr>
        <w:t>68</w:t>
      </w:r>
      <w:r>
        <w:fldChar w:fldCharType="end"/>
      </w:r>
      <w:r>
        <w:t xml:space="preserve"> summarizes the statutes, regulations, and standards related to reducing radon exposure in schools outlined above.</w:t>
      </w:r>
    </w:p>
    <w:p w14:paraId="6A7E7F0A" w14:textId="6A74B270" w:rsidR="00502F95" w:rsidRDefault="00502F95" w:rsidP="00B30C96">
      <w:pPr>
        <w:pStyle w:val="Caption"/>
      </w:pPr>
      <w:bookmarkStart w:id="571" w:name="_Ref172749842"/>
      <w:bookmarkStart w:id="572" w:name="_Toc170345794"/>
      <w:bookmarkStart w:id="573" w:name="_Toc192711734"/>
      <w:bookmarkStart w:id="574" w:name="_Toc193112616"/>
      <w:bookmarkStart w:id="575" w:name="_Toc193117015"/>
      <w:r>
        <w:lastRenderedPageBreak/>
        <w:t xml:space="preserve">Table </w:t>
      </w:r>
      <w:fldSimple w:instr=" SEQ Table \* ARABIC ">
        <w:r w:rsidR="00307850">
          <w:rPr>
            <w:noProof/>
          </w:rPr>
          <w:t>68</w:t>
        </w:r>
      </w:fldSimple>
      <w:bookmarkEnd w:id="571"/>
      <w:r>
        <w:t xml:space="preserve">. Statutory/Regulatory Framework and Notable Standards for </w:t>
      </w:r>
      <w:r w:rsidRPr="00B15BB4">
        <w:t>Reduc</w:t>
      </w:r>
      <w:r>
        <w:t>ing</w:t>
      </w:r>
      <w:r w:rsidRPr="00B15BB4">
        <w:t xml:space="preserve"> </w:t>
      </w:r>
      <w:r>
        <w:t xml:space="preserve">Exposure to </w:t>
      </w:r>
      <w:r w:rsidRPr="00B15BB4">
        <w:t>Radon</w:t>
      </w:r>
      <w:bookmarkEnd w:id="572"/>
      <w:bookmarkEnd w:id="573"/>
      <w:bookmarkEnd w:id="574"/>
      <w:bookmarkEnd w:id="575"/>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eventing exposure to radon."/>
      </w:tblPr>
      <w:tblGrid>
        <w:gridCol w:w="7069"/>
        <w:gridCol w:w="759"/>
        <w:gridCol w:w="761"/>
        <w:gridCol w:w="761"/>
      </w:tblGrid>
      <w:tr w:rsidR="00502F95" w:rsidRPr="00C8094D" w14:paraId="554A2CCA" w14:textId="77777777">
        <w:trPr>
          <w:cantSplit/>
          <w:trHeight w:val="1916"/>
          <w:tblHeader/>
          <w:jc w:val="center"/>
        </w:trPr>
        <w:tc>
          <w:tcPr>
            <w:tcW w:w="3780"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11DCA456" w14:textId="77777777" w:rsidR="00502F95" w:rsidRDefault="00502F95">
            <w:pPr>
              <w:pStyle w:val="TableColumnHeader"/>
            </w:pPr>
            <w:r>
              <w:t>Statute/Regulation/Standard</w:t>
            </w:r>
          </w:p>
        </w:tc>
        <w:tc>
          <w:tcPr>
            <w:tcW w:w="406"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58993AD4" w14:textId="77777777" w:rsidR="00502F95" w:rsidRDefault="00502F95">
            <w:pPr>
              <w:pStyle w:val="TableColumnHeader"/>
              <w:jc w:val="left"/>
            </w:pPr>
            <w:r>
              <w:t>State Statute/ Regulation</w:t>
            </w:r>
          </w:p>
        </w:tc>
        <w:tc>
          <w:tcPr>
            <w:tcW w:w="407"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972AAB7" w14:textId="77777777" w:rsidR="00502F95" w:rsidRDefault="00502F95">
            <w:pPr>
              <w:pStyle w:val="TableColumnHeader"/>
              <w:jc w:val="left"/>
            </w:pPr>
            <w:r>
              <w:t>Other Statute/ Regulation</w:t>
            </w:r>
          </w:p>
        </w:tc>
        <w:tc>
          <w:tcPr>
            <w:tcW w:w="407"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F0BDDD7" w14:textId="77777777" w:rsidR="00502F95" w:rsidRDefault="00502F95">
            <w:pPr>
              <w:pStyle w:val="TableColumnHeader"/>
              <w:jc w:val="left"/>
            </w:pPr>
            <w:r>
              <w:t>Standard</w:t>
            </w:r>
          </w:p>
        </w:tc>
      </w:tr>
      <w:tr w:rsidR="00502F95" w:rsidRPr="00C8094D" w14:paraId="6D79D23B"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9A51741" w14:textId="77777777" w:rsidR="00502F95" w:rsidRPr="00D21C51" w:rsidRDefault="00502F95">
            <w:pPr>
              <w:pStyle w:val="TableRowHeader"/>
            </w:pPr>
            <w:r>
              <w:t>Standards</w:t>
            </w:r>
          </w:p>
        </w:tc>
      </w:tr>
      <w:tr w:rsidR="00502F95" w:rsidRPr="00C8094D" w14:paraId="56A8A2AA" w14:textId="77777777">
        <w:trPr>
          <w:cantSplit/>
          <w:trHeight w:val="255"/>
          <w:tblHeader/>
          <w:jc w:val="center"/>
        </w:trPr>
        <w:tc>
          <w:tcPr>
            <w:tcW w:w="3780" w:type="pct"/>
            <w:tcBorders>
              <w:top w:val="nil"/>
              <w:left w:val="single" w:sz="4" w:space="0" w:color="auto"/>
              <w:bottom w:val="single" w:sz="4" w:space="0" w:color="auto"/>
              <w:right w:val="single" w:sz="4" w:space="0" w:color="auto"/>
            </w:tcBorders>
            <w:shd w:val="clear" w:color="auto" w:fill="auto"/>
          </w:tcPr>
          <w:p w14:paraId="7583156B" w14:textId="77777777" w:rsidR="00502F95" w:rsidRDefault="00502F95">
            <w:pPr>
              <w:pStyle w:val="TableText"/>
            </w:pPr>
            <w:r>
              <w:t xml:space="preserve">EPA’s Action Level </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40D9B0F8"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7A66E0BF"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57C90A9A" w14:textId="77777777" w:rsidR="00502F95" w:rsidRDefault="00502F95">
            <w:pPr>
              <w:pStyle w:val="TableText"/>
              <w:jc w:val="center"/>
              <w:rPr>
                <w:color w:val="00B050"/>
              </w:rPr>
            </w:pPr>
            <w:r>
              <w:rPr>
                <w:color w:val="00B050"/>
              </w:rPr>
              <w:t>X</w:t>
            </w:r>
          </w:p>
        </w:tc>
      </w:tr>
      <w:tr w:rsidR="00502F95" w:rsidRPr="00C8094D" w14:paraId="69488A82" w14:textId="77777777">
        <w:trPr>
          <w:cantSplit/>
          <w:trHeight w:val="255"/>
          <w:tblHeader/>
          <w:jc w:val="center"/>
        </w:trPr>
        <w:tc>
          <w:tcPr>
            <w:tcW w:w="3780" w:type="pct"/>
            <w:tcBorders>
              <w:top w:val="nil"/>
              <w:left w:val="single" w:sz="4" w:space="0" w:color="auto"/>
              <w:bottom w:val="single" w:sz="4" w:space="0" w:color="auto"/>
              <w:right w:val="single" w:sz="4" w:space="0" w:color="auto"/>
            </w:tcBorders>
            <w:shd w:val="clear" w:color="auto" w:fill="auto"/>
          </w:tcPr>
          <w:p w14:paraId="1E75431B" w14:textId="77777777" w:rsidR="00502F95" w:rsidRDefault="00502F95">
            <w:pPr>
              <w:pStyle w:val="TableText"/>
            </w:pPr>
            <w:r w:rsidRPr="006F01B8">
              <w:t>Protocol for Conducting Measurements of Radon and Radon Decay Products in Multifamily, School, Commercial and Mixed-Use Buildings (ANSI/AARST MA-MFLB-2023)</w:t>
            </w:r>
            <w:r>
              <w:t xml:space="preserve"> </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139C1324"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6597059F"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6DBF91C8" w14:textId="77777777" w:rsidR="00502F95" w:rsidRDefault="00502F95">
            <w:pPr>
              <w:pStyle w:val="TableText"/>
              <w:jc w:val="center"/>
              <w:rPr>
                <w:color w:val="00B050"/>
              </w:rPr>
            </w:pPr>
            <w:r>
              <w:rPr>
                <w:color w:val="00B050"/>
              </w:rPr>
              <w:t>X</w:t>
            </w:r>
          </w:p>
        </w:tc>
      </w:tr>
      <w:tr w:rsidR="00502F95" w:rsidRPr="00C8094D" w14:paraId="1A6A3B70" w14:textId="77777777">
        <w:trPr>
          <w:cantSplit/>
          <w:trHeight w:val="255"/>
          <w:tblHeader/>
          <w:jc w:val="center"/>
        </w:trPr>
        <w:tc>
          <w:tcPr>
            <w:tcW w:w="3780" w:type="pct"/>
            <w:tcBorders>
              <w:top w:val="nil"/>
              <w:left w:val="single" w:sz="4" w:space="0" w:color="auto"/>
              <w:bottom w:val="single" w:sz="4" w:space="0" w:color="auto"/>
              <w:right w:val="single" w:sz="4" w:space="0" w:color="auto"/>
            </w:tcBorders>
            <w:shd w:val="clear" w:color="auto" w:fill="auto"/>
          </w:tcPr>
          <w:p w14:paraId="1EF689F3" w14:textId="77777777" w:rsidR="00502F95" w:rsidRDefault="00502F95">
            <w:pPr>
              <w:pStyle w:val="TableText"/>
            </w:pPr>
            <w:r w:rsidRPr="007A2E11">
              <w:t>Soil Gas Control Systems in New Construction of Multifamily, School, Commercial and Mixed-Use Buildings–Rev. 5/23 (ANSI/AARST CC-1000-2018-0523)</w:t>
            </w:r>
            <w:r>
              <w:t xml:space="preserve"> </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7316F841"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533ED2AB"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2C24CA1B" w14:textId="77777777" w:rsidR="00502F95" w:rsidRDefault="00502F95">
            <w:pPr>
              <w:pStyle w:val="TableText"/>
              <w:jc w:val="center"/>
              <w:rPr>
                <w:color w:val="00B050"/>
              </w:rPr>
            </w:pPr>
            <w:r>
              <w:rPr>
                <w:color w:val="00B050"/>
              </w:rPr>
              <w:t>X</w:t>
            </w:r>
          </w:p>
        </w:tc>
      </w:tr>
      <w:tr w:rsidR="00502F95" w:rsidRPr="00C8094D" w14:paraId="7AA26BB6" w14:textId="77777777">
        <w:trPr>
          <w:cantSplit/>
          <w:trHeight w:val="300"/>
          <w:tblHeader/>
          <w:jc w:val="center"/>
        </w:trPr>
        <w:tc>
          <w:tcPr>
            <w:tcW w:w="3780" w:type="pct"/>
            <w:tcBorders>
              <w:top w:val="nil"/>
              <w:left w:val="single" w:sz="4" w:space="0" w:color="auto"/>
              <w:bottom w:val="single" w:sz="4" w:space="0" w:color="auto"/>
              <w:right w:val="single" w:sz="4" w:space="0" w:color="auto"/>
            </w:tcBorders>
            <w:shd w:val="clear" w:color="auto" w:fill="auto"/>
          </w:tcPr>
          <w:p w14:paraId="7876F20E" w14:textId="77777777" w:rsidR="00502F95" w:rsidRPr="00C8094D" w:rsidRDefault="00502F95">
            <w:pPr>
              <w:pStyle w:val="TableText"/>
            </w:pPr>
            <w:r w:rsidRPr="007A2E11">
              <w:t>Soil Gas Mitigation Standards for Existing Multifamily, School, Commercial and Mixed-Use Buildings (ANSI/AARST SGM-MFLB-2023)</w:t>
            </w:r>
            <w:r w:rsidRPr="00C8094D">
              <w:t xml:space="preserve"> </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0630F009"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1E7540F2" w14:textId="77777777" w:rsidR="00502F95" w:rsidRPr="007A6AAB" w:rsidRDefault="00502F95">
            <w:pPr>
              <w:pStyle w:val="TableText"/>
              <w:jc w:val="center"/>
              <w:rPr>
                <w:color w:val="00B050"/>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134935D2" w14:textId="77777777" w:rsidR="00502F95" w:rsidRPr="007A6AAB" w:rsidRDefault="00502F95">
            <w:pPr>
              <w:pStyle w:val="TableText"/>
              <w:jc w:val="center"/>
              <w:rPr>
                <w:color w:val="00B050"/>
              </w:rPr>
            </w:pPr>
            <w:r>
              <w:rPr>
                <w:color w:val="00B050"/>
              </w:rPr>
              <w:t>X</w:t>
            </w:r>
          </w:p>
        </w:tc>
      </w:tr>
    </w:tbl>
    <w:p w14:paraId="202D5A7C" w14:textId="77777777" w:rsidR="00502F95" w:rsidRDefault="00502F95" w:rsidP="00502F95">
      <w:pPr>
        <w:pStyle w:val="Heading3"/>
      </w:pPr>
      <w:r>
        <w:t>Relevant Resources</w:t>
      </w:r>
    </w:p>
    <w:p w14:paraId="06F501F2" w14:textId="19DE1647" w:rsidR="00502F95" w:rsidRDefault="00502F95" w:rsidP="006D7DE6">
      <w:pPr>
        <w:pStyle w:val="BodyTextFirstIndent"/>
      </w:pPr>
      <w:r>
        <w:fldChar w:fldCharType="begin"/>
      </w:r>
      <w:r>
        <w:instrText xml:space="preserve"> REF _Ref171520412 \h </w:instrText>
      </w:r>
      <w:r>
        <w:fldChar w:fldCharType="separate"/>
      </w:r>
      <w:r w:rsidR="00307850">
        <w:t xml:space="preserve">Table </w:t>
      </w:r>
      <w:r w:rsidR="00307850">
        <w:rPr>
          <w:noProof/>
        </w:rPr>
        <w:t>69</w:t>
      </w:r>
      <w:r>
        <w:fldChar w:fldCharType="end"/>
      </w:r>
      <w:r>
        <w:t xml:space="preserve"> provides a summary of resources related to reducing radon exposure in schools.</w:t>
      </w:r>
    </w:p>
    <w:p w14:paraId="00584B8D" w14:textId="0382D36F" w:rsidR="00502F95" w:rsidRDefault="00502F95" w:rsidP="00B30C96">
      <w:pPr>
        <w:pStyle w:val="Caption"/>
      </w:pPr>
      <w:bookmarkStart w:id="576" w:name="_Ref171520412"/>
      <w:bookmarkStart w:id="577" w:name="_Toc170345796"/>
      <w:bookmarkStart w:id="578" w:name="_Toc192711735"/>
      <w:bookmarkStart w:id="579" w:name="_Toc193112617"/>
      <w:bookmarkStart w:id="580" w:name="_Toc193117016"/>
      <w:r>
        <w:t xml:space="preserve">Table </w:t>
      </w:r>
      <w:fldSimple w:instr=" SEQ Table \* ARABIC ">
        <w:r w:rsidR="00307850">
          <w:rPr>
            <w:noProof/>
          </w:rPr>
          <w:t>69</w:t>
        </w:r>
      </w:fldSimple>
      <w:bookmarkEnd w:id="576"/>
      <w:r>
        <w:t>. Resources for Reducing Radon Exposure in Schools</w:t>
      </w:r>
      <w:bookmarkEnd w:id="577"/>
      <w:bookmarkEnd w:id="578"/>
      <w:bookmarkEnd w:id="579"/>
      <w:bookmarkEnd w:id="580"/>
    </w:p>
    <w:tbl>
      <w:tblPr>
        <w:tblStyle w:val="TableGrid"/>
        <w:tblW w:w="0" w:type="auto"/>
        <w:tblLayout w:type="fixed"/>
        <w:tblLook w:val="04A0" w:firstRow="1" w:lastRow="0" w:firstColumn="1" w:lastColumn="0" w:noHBand="0" w:noVBand="1"/>
        <w:tblDescription w:val="Table listing resources with active URLs for reducing radon exposure in schools."/>
      </w:tblPr>
      <w:tblGrid>
        <w:gridCol w:w="3116"/>
        <w:gridCol w:w="3117"/>
        <w:gridCol w:w="3117"/>
      </w:tblGrid>
      <w:tr w:rsidR="00502F95" w:rsidRPr="00276B41" w14:paraId="04EA11F8" w14:textId="77777777">
        <w:trPr>
          <w:tblHeader/>
        </w:trPr>
        <w:tc>
          <w:tcPr>
            <w:tcW w:w="3116" w:type="dxa"/>
            <w:shd w:val="clear" w:color="auto" w:fill="C6D9F1" w:themeFill="text2" w:themeFillTint="33"/>
          </w:tcPr>
          <w:p w14:paraId="56572142" w14:textId="77777777" w:rsidR="00502F95" w:rsidRPr="004C3A1C" w:rsidRDefault="00502F95">
            <w:pPr>
              <w:pStyle w:val="TableColumnHeader"/>
            </w:pPr>
            <w:r w:rsidRPr="004C3A1C">
              <w:t>Resource</w:t>
            </w:r>
          </w:p>
        </w:tc>
        <w:tc>
          <w:tcPr>
            <w:tcW w:w="3117" w:type="dxa"/>
            <w:shd w:val="clear" w:color="auto" w:fill="C6D9F1" w:themeFill="text2" w:themeFillTint="33"/>
          </w:tcPr>
          <w:p w14:paraId="67A3D44A" w14:textId="77777777" w:rsidR="00502F95" w:rsidRPr="004C3A1C" w:rsidRDefault="00502F95">
            <w:pPr>
              <w:pStyle w:val="TableColumnHeader"/>
            </w:pPr>
            <w:r w:rsidRPr="004C3A1C">
              <w:t>Author</w:t>
            </w:r>
          </w:p>
        </w:tc>
        <w:tc>
          <w:tcPr>
            <w:tcW w:w="3117" w:type="dxa"/>
            <w:shd w:val="clear" w:color="auto" w:fill="C6D9F1" w:themeFill="text2" w:themeFillTint="33"/>
          </w:tcPr>
          <w:p w14:paraId="13141804" w14:textId="77777777" w:rsidR="00502F95" w:rsidRPr="004C3A1C" w:rsidRDefault="00502F95">
            <w:pPr>
              <w:pStyle w:val="TableColumnHeader"/>
            </w:pPr>
            <w:r w:rsidRPr="004C3A1C">
              <w:t>URL</w:t>
            </w:r>
          </w:p>
        </w:tc>
      </w:tr>
      <w:tr w:rsidR="00502F95" w:rsidRPr="00276B41" w14:paraId="31707935" w14:textId="77777777">
        <w:tc>
          <w:tcPr>
            <w:tcW w:w="3116" w:type="dxa"/>
          </w:tcPr>
          <w:p w14:paraId="22C019A2" w14:textId="77777777" w:rsidR="00502F95" w:rsidRPr="00467E35" w:rsidRDefault="00502F95">
            <w:pPr>
              <w:pStyle w:val="TableText"/>
            </w:pPr>
            <w:r w:rsidRPr="007B397C">
              <w:rPr>
                <w:rFonts w:cstheme="minorHAnsi"/>
              </w:rPr>
              <w:t>Radon Standards of Practice</w:t>
            </w:r>
          </w:p>
        </w:tc>
        <w:tc>
          <w:tcPr>
            <w:tcW w:w="3117" w:type="dxa"/>
          </w:tcPr>
          <w:p w14:paraId="3EA41AB8" w14:textId="77777777" w:rsidR="00502F95" w:rsidRDefault="00502F95">
            <w:pPr>
              <w:pStyle w:val="TableText"/>
            </w:pPr>
            <w:r>
              <w:t>ANSI/AARST</w:t>
            </w:r>
          </w:p>
        </w:tc>
        <w:tc>
          <w:tcPr>
            <w:tcW w:w="3117" w:type="dxa"/>
          </w:tcPr>
          <w:p w14:paraId="38A1C788" w14:textId="0DBD0F2F" w:rsidR="00502F95" w:rsidRDefault="00502F95">
            <w:pPr>
              <w:pStyle w:val="TableText"/>
            </w:pPr>
            <w:hyperlink r:id="rId317" w:history="1">
              <w:r w:rsidRPr="006E543E">
                <w:rPr>
                  <w:rStyle w:val="Hyperlink"/>
                </w:rPr>
                <w:t>https://standards.aarst.org/</w:t>
              </w:r>
            </w:hyperlink>
            <w:r>
              <w:t xml:space="preserve"> </w:t>
            </w:r>
          </w:p>
        </w:tc>
      </w:tr>
      <w:tr w:rsidR="00502F95" w:rsidRPr="00276B41" w14:paraId="1142DEEE" w14:textId="77777777">
        <w:tc>
          <w:tcPr>
            <w:tcW w:w="3116" w:type="dxa"/>
          </w:tcPr>
          <w:p w14:paraId="42E6C710" w14:textId="3AE89508" w:rsidR="00502F95" w:rsidRPr="00467E35" w:rsidRDefault="00502F95">
            <w:pPr>
              <w:pStyle w:val="TableText"/>
            </w:pPr>
            <w:r>
              <w:rPr>
                <w:rFonts w:cstheme="minorHAnsi"/>
              </w:rPr>
              <w:t>DPH Radon Assessment Unit</w:t>
            </w:r>
            <w:r w:rsidR="00857906">
              <w:rPr>
                <w:rFonts w:cstheme="minorHAnsi"/>
              </w:rPr>
              <w:t xml:space="preserve"> (RAU)</w:t>
            </w:r>
          </w:p>
        </w:tc>
        <w:tc>
          <w:tcPr>
            <w:tcW w:w="3117" w:type="dxa"/>
          </w:tcPr>
          <w:p w14:paraId="2A6F7E5D" w14:textId="77777777" w:rsidR="00502F95" w:rsidRDefault="00502F95">
            <w:pPr>
              <w:pStyle w:val="TableText"/>
            </w:pPr>
            <w:r>
              <w:t>DPH</w:t>
            </w:r>
          </w:p>
        </w:tc>
        <w:tc>
          <w:tcPr>
            <w:tcW w:w="3117" w:type="dxa"/>
          </w:tcPr>
          <w:p w14:paraId="124F8F8D" w14:textId="77777777" w:rsidR="00502F95" w:rsidRDefault="00502F95">
            <w:pPr>
              <w:pStyle w:val="TableText"/>
            </w:pPr>
            <w:r w:rsidRPr="00C572AB">
              <w:t>1-800-RADON-95 (1-800-723-6695) or (413) 586-7525 x 3185</w:t>
            </w:r>
          </w:p>
        </w:tc>
      </w:tr>
      <w:tr w:rsidR="00502F95" w:rsidRPr="00276B41" w14:paraId="34D72939" w14:textId="77777777">
        <w:tc>
          <w:tcPr>
            <w:tcW w:w="3116" w:type="dxa"/>
          </w:tcPr>
          <w:p w14:paraId="4D6F079C" w14:textId="77777777" w:rsidR="00502F95" w:rsidRPr="00467E35" w:rsidRDefault="00502F95">
            <w:pPr>
              <w:pStyle w:val="TableText"/>
            </w:pPr>
            <w:r>
              <w:t>DPH Radon in Schools home page</w:t>
            </w:r>
          </w:p>
        </w:tc>
        <w:tc>
          <w:tcPr>
            <w:tcW w:w="3117" w:type="dxa"/>
          </w:tcPr>
          <w:p w14:paraId="3783B986" w14:textId="77777777" w:rsidR="00502F95" w:rsidRDefault="00502F95">
            <w:pPr>
              <w:pStyle w:val="TableText"/>
            </w:pPr>
            <w:r>
              <w:t>DPH</w:t>
            </w:r>
          </w:p>
        </w:tc>
        <w:tc>
          <w:tcPr>
            <w:tcW w:w="3117" w:type="dxa"/>
          </w:tcPr>
          <w:p w14:paraId="537118F4" w14:textId="6FC91717" w:rsidR="00502F95" w:rsidRPr="0013138F" w:rsidRDefault="00502F95">
            <w:pPr>
              <w:pStyle w:val="TableText"/>
            </w:pPr>
            <w:hyperlink r:id="rId318" w:history="1">
              <w:r w:rsidRPr="006E543E">
                <w:rPr>
                  <w:rStyle w:val="Hyperlink"/>
                </w:rPr>
                <w:t>https://www.mass.gov/info-details/radon-in-schools</w:t>
              </w:r>
            </w:hyperlink>
            <w:r>
              <w:t xml:space="preserve"> </w:t>
            </w:r>
          </w:p>
        </w:tc>
      </w:tr>
      <w:tr w:rsidR="00502F95" w:rsidRPr="00276B41" w14:paraId="3C42A953" w14:textId="77777777">
        <w:tc>
          <w:tcPr>
            <w:tcW w:w="3116" w:type="dxa"/>
          </w:tcPr>
          <w:p w14:paraId="3D554EB7" w14:textId="77777777" w:rsidR="00502F95" w:rsidRPr="00276B41" w:rsidRDefault="00502F95">
            <w:pPr>
              <w:pStyle w:val="TableText"/>
            </w:pPr>
            <w:r w:rsidRPr="002228E2">
              <w:t>Northeast CHPS Criteria for New Construction and Renovations Version 4.0: Assessment Tool</w:t>
            </w:r>
          </w:p>
        </w:tc>
        <w:tc>
          <w:tcPr>
            <w:tcW w:w="3117" w:type="dxa"/>
          </w:tcPr>
          <w:p w14:paraId="0CB9A89C" w14:textId="77777777" w:rsidR="00502F95" w:rsidRPr="00276B41" w:rsidRDefault="00502F95">
            <w:pPr>
              <w:pStyle w:val="TableText"/>
            </w:pPr>
            <w:r>
              <w:t>NE-CHPS</w:t>
            </w:r>
          </w:p>
        </w:tc>
        <w:tc>
          <w:tcPr>
            <w:tcW w:w="3117" w:type="dxa"/>
          </w:tcPr>
          <w:p w14:paraId="49863240" w14:textId="420D0971" w:rsidR="00502F95" w:rsidRPr="00276B41" w:rsidRDefault="00502F95">
            <w:pPr>
              <w:pStyle w:val="TableText"/>
            </w:pPr>
            <w:hyperlink r:id="rId319" w:history="1">
              <w:r w:rsidRPr="006E543E">
                <w:rPr>
                  <w:rStyle w:val="Hyperlink"/>
                </w:rPr>
                <w:t>https://neep.org/sites/default/files/media-files/NE%20CHPS%20v4.0%20Clean%20Final%20Draft%20May%202022.pdf</w:t>
              </w:r>
            </w:hyperlink>
            <w:r>
              <w:t xml:space="preserve"> </w:t>
            </w:r>
          </w:p>
        </w:tc>
      </w:tr>
      <w:tr w:rsidR="00502F95" w:rsidRPr="00276B41" w14:paraId="20DB0596" w14:textId="77777777">
        <w:tc>
          <w:tcPr>
            <w:tcW w:w="3116" w:type="dxa"/>
          </w:tcPr>
          <w:p w14:paraId="6466BA74" w14:textId="77777777" w:rsidR="00502F95" w:rsidRPr="00276B41" w:rsidRDefault="00502F95">
            <w:pPr>
              <w:pStyle w:val="TableText"/>
            </w:pPr>
            <w:r>
              <w:t>Managing Air Quality for Schools (part of the Indoor Air Quality Tools for Schools Action Kit)</w:t>
            </w:r>
          </w:p>
        </w:tc>
        <w:tc>
          <w:tcPr>
            <w:tcW w:w="3117" w:type="dxa"/>
          </w:tcPr>
          <w:p w14:paraId="540BE428" w14:textId="77777777" w:rsidR="00502F95" w:rsidRPr="00276B41" w:rsidRDefault="00502F95">
            <w:pPr>
              <w:pStyle w:val="TableText"/>
            </w:pPr>
            <w:r>
              <w:t>EPA</w:t>
            </w:r>
          </w:p>
        </w:tc>
        <w:tc>
          <w:tcPr>
            <w:tcW w:w="3117" w:type="dxa"/>
          </w:tcPr>
          <w:p w14:paraId="673CC193" w14:textId="155AC0F1" w:rsidR="00502F95" w:rsidRPr="00276B41" w:rsidRDefault="00502F95">
            <w:pPr>
              <w:pStyle w:val="TableText"/>
            </w:pPr>
            <w:hyperlink r:id="rId320" w:history="1">
              <w:r w:rsidRPr="006E543E">
                <w:rPr>
                  <w:rStyle w:val="Hyperlink"/>
                </w:rPr>
                <w:t>https://www.epa.gov/sites/default/files/2014-11/documents/managing_radon.pdf</w:t>
              </w:r>
            </w:hyperlink>
            <w:r>
              <w:t xml:space="preserve"> </w:t>
            </w:r>
          </w:p>
        </w:tc>
      </w:tr>
      <w:tr w:rsidR="00502F95" w:rsidRPr="00276B41" w14:paraId="4FBB43A0" w14:textId="77777777">
        <w:tc>
          <w:tcPr>
            <w:tcW w:w="3116" w:type="dxa"/>
          </w:tcPr>
          <w:p w14:paraId="0D721586" w14:textId="77777777" w:rsidR="00502F95" w:rsidRPr="002228E2" w:rsidRDefault="00502F95">
            <w:pPr>
              <w:pStyle w:val="TableText"/>
            </w:pPr>
            <w:r>
              <w:lastRenderedPageBreak/>
              <w:t>Sensible Guide for Healthier School Renovations</w:t>
            </w:r>
          </w:p>
        </w:tc>
        <w:tc>
          <w:tcPr>
            <w:tcW w:w="3117" w:type="dxa"/>
          </w:tcPr>
          <w:p w14:paraId="6CB07AD6" w14:textId="77777777" w:rsidR="00502F95" w:rsidRDefault="00502F95">
            <w:pPr>
              <w:pStyle w:val="TableText"/>
            </w:pPr>
            <w:r>
              <w:t>EPA</w:t>
            </w:r>
          </w:p>
        </w:tc>
        <w:tc>
          <w:tcPr>
            <w:tcW w:w="3117" w:type="dxa"/>
          </w:tcPr>
          <w:p w14:paraId="496556AF" w14:textId="3E49714B" w:rsidR="00502F95" w:rsidRDefault="00502F95">
            <w:pPr>
              <w:pStyle w:val="TableText"/>
            </w:pPr>
            <w:hyperlink r:id="rId321" w:history="1">
              <w:r w:rsidRPr="006E543E">
                <w:rPr>
                  <w:rStyle w:val="Hyperlink"/>
                </w:rPr>
                <w:t>https://www.epa.gov/sites/default/files/2016-01/documents/schools_renov_brochure-8_5x11_final.pdf</w:t>
              </w:r>
            </w:hyperlink>
            <w:r>
              <w:t xml:space="preserve"> </w:t>
            </w:r>
          </w:p>
        </w:tc>
      </w:tr>
    </w:tbl>
    <w:p w14:paraId="5E1E38F9" w14:textId="77777777" w:rsidR="00502F95" w:rsidRDefault="00502F95" w:rsidP="00502F95">
      <w:pPr>
        <w:rPr>
          <w:rFonts w:cs="Arial"/>
          <w:b/>
          <w:bCs/>
          <w:color w:val="1F497D" w:themeColor="text2"/>
          <w:sz w:val="24"/>
          <w:szCs w:val="22"/>
        </w:rPr>
      </w:pPr>
    </w:p>
    <w:p w14:paraId="4C6171CC" w14:textId="28A36A4A" w:rsidR="007937B9" w:rsidRDefault="00630894" w:rsidP="001D30AE">
      <w:pPr>
        <w:pStyle w:val="AirQualitySubheading"/>
      </w:pPr>
      <w:bookmarkStart w:id="581" w:name="SectVII_2a7"/>
      <w:bookmarkEnd w:id="581"/>
      <w:r>
        <w:t>2a(7)</w:t>
      </w:r>
      <w:r>
        <w:tab/>
      </w:r>
      <w:r w:rsidR="007937B9" w:rsidRPr="007937B9">
        <w:t>Reduce Exposure to Outdoor Air Pollutants</w:t>
      </w:r>
    </w:p>
    <w:p w14:paraId="7A1A6855" w14:textId="77777777" w:rsidR="004A2700" w:rsidRDefault="004A2700" w:rsidP="004A2700">
      <w:pPr>
        <w:pStyle w:val="Heading3"/>
      </w:pPr>
      <w:r>
        <w:t>Methods and Best Practices</w:t>
      </w:r>
    </w:p>
    <w:p w14:paraId="62216FCD" w14:textId="77777777" w:rsidR="004A2700" w:rsidRDefault="004A2700" w:rsidP="006D7DE6">
      <w:pPr>
        <w:pStyle w:val="BodyTextFirstIndent"/>
      </w:pPr>
      <w:r>
        <w:t xml:space="preserve">This section summarizes methods and best practices to reduce exposure to outdoor air pollution across two areas: policy and education; and infrastructure. </w:t>
      </w:r>
    </w:p>
    <w:p w14:paraId="37CAED1B" w14:textId="77777777" w:rsidR="004A2700" w:rsidRDefault="004A2700" w:rsidP="004A2700">
      <w:pPr>
        <w:pStyle w:val="Heading4"/>
      </w:pPr>
      <w:r>
        <w:t>Policy and Education</w:t>
      </w:r>
    </w:p>
    <w:p w14:paraId="7EF6F248" w14:textId="77777777" w:rsidR="004A2700" w:rsidRPr="00645F0D" w:rsidRDefault="004A2700" w:rsidP="006D7DE6">
      <w:pPr>
        <w:pStyle w:val="BodyTextFirstIndent"/>
      </w:pPr>
      <w:r>
        <w:t xml:space="preserve">Policy and education interventions describe methods or best practices for reducing exposure to emissions, achieved through increasing awareness of the issue and creating a policy to reinforce behaviors that reduce exposure.   </w:t>
      </w:r>
    </w:p>
    <w:p w14:paraId="62B9AD50" w14:textId="77777777" w:rsidR="004A2700" w:rsidRPr="005B66D5" w:rsidRDefault="004A2700" w:rsidP="004A2700">
      <w:pPr>
        <w:pStyle w:val="Heading5"/>
      </w:pPr>
      <w:r>
        <w:t>(1) Educate staff about how outdoor air quality impacts indoor air quality</w:t>
      </w:r>
    </w:p>
    <w:p w14:paraId="083ACB54" w14:textId="081408F8" w:rsidR="004A2700" w:rsidRDefault="004A2700" w:rsidP="006D7DE6">
      <w:pPr>
        <w:pStyle w:val="BodyTextFirstIndent"/>
      </w:pPr>
      <w:r>
        <w:t xml:space="preserve">Educate school staff about how outdoor air pollution can enter the school through open doorways and windows, and what causes air pollution levels to increase. Empower school staff and students to react to poor outdoor air pollution. One way to do this is to implement an air quality flag program to increase awareness of outdoor air quality among school communities. Schools participating in this type of program will fly a colored flag that corresponds to EPA’s color-coded Air Quality Index each day. This program educates students </w:t>
      </w:r>
      <w:r w:rsidR="00A12F75">
        <w:t xml:space="preserve">and staff </w:t>
      </w:r>
      <w:r>
        <w:t>and allows schools to make informed decisions about exposure to poor outdoor air quality during activities such as recess or sports practice.</w:t>
      </w:r>
      <w:r>
        <w:fldChar w:fldCharType="begin"/>
      </w:r>
      <w:r w:rsidR="00B81F4D">
        <w:instrText xml:space="preserve"> ADDIN ZOTERO_ITEM CSL_CITATION {"citationID":"a178lip8rb5","properties":{"formattedCitation":"\\super 311\\nosupersub{}","plainCitation":"311","noteIndex":0},"citationItems":[{"id":778,"uris":["http://zotero.org/groups/5563646/items/F658XNVA"],"itemData":{"id":778,"type":"webpage","language":"en","title":"Air Quality Flag Program Main Page | AirNow.gov","URL":"https://www.airnow.gov/air-quality-flag-program/","accessed":{"date-parts":[["2024",7,22]]}}}],"schema":"https://github.com/citation-style-language/schema/raw/master/csl-citation.json"} </w:instrText>
      </w:r>
      <w:r>
        <w:fldChar w:fldCharType="separate"/>
      </w:r>
      <w:r w:rsidR="00B81F4D" w:rsidRPr="00B81F4D">
        <w:rPr>
          <w:rFonts w:cs="Arial"/>
          <w:vertAlign w:val="superscript"/>
        </w:rPr>
        <w:t>311</w:t>
      </w:r>
      <w:r>
        <w:fldChar w:fldCharType="end"/>
      </w:r>
      <w:r>
        <w:t xml:space="preserve"> Schools can use this program to decide when to reduce the impact of poor outdoor air quality on indoor air by closing doors and windows and increasing air filtration through a building’s HVAC system. </w:t>
      </w:r>
    </w:p>
    <w:p w14:paraId="52971341" w14:textId="21FB70B2" w:rsidR="004A2700" w:rsidRDefault="004A2700" w:rsidP="006D7DE6">
      <w:pPr>
        <w:pStyle w:val="BodyTextFirstIndent"/>
      </w:pPr>
      <w:r>
        <w:t>In addition, school bus operators should receive information about idling and pollution exposure.</w:t>
      </w:r>
      <w:r>
        <w:fldChar w:fldCharType="begin"/>
      </w:r>
      <w:r w:rsidR="00AC4975">
        <w:instrText xml:space="preserve"> ADDIN ZOTERO_ITEM CSL_CITATION {"citationID":"ap0kf23t6i","properties":{"formattedCitation":"\\super 183,312\\nosupersub{}","plainCitation":"183,312","noteIndex":0},"citationItems":[{"id":18,"uris":["http://zotero.org/groups/5563646/items/5RQX2K7C"],"itemData":{"id":18,"type":"report","publisher":"Northeast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id":543,"uris":["http://zotero.org/groups/5563646/items/GLV278WZ"],"itemData":{"id":543,"type":"report","title":"Engine Idling Guidance for School Bus Drivers","URL":"https://www.mass.gov/doc/engine-idling-guidance-for-school-bus-drivers/download","author":[{"family":"MA DEP","given":""}],"issued":{"date-parts":[["2020",10]]}}}],"schema":"https://github.com/citation-style-language/schema/raw/master/csl-citation.json"} </w:instrText>
      </w:r>
      <w:r>
        <w:fldChar w:fldCharType="separate"/>
      </w:r>
      <w:r w:rsidR="00AC4975" w:rsidRPr="00AC4975">
        <w:rPr>
          <w:rFonts w:cs="Arial"/>
          <w:vertAlign w:val="superscript"/>
        </w:rPr>
        <w:t>183,312</w:t>
      </w:r>
      <w:r>
        <w:fldChar w:fldCharType="end"/>
      </w:r>
      <w:r>
        <w:t xml:space="preserve"> Morning and afternoon traffic periods (i.e., rush hour) are times associated with higher pollution; schools should educate staff about not opening windows and doors during these times.</w:t>
      </w:r>
      <w:r>
        <w:fldChar w:fldCharType="begin"/>
      </w:r>
      <w:r w:rsidR="00794651">
        <w:instrText xml:space="preserve"> ADDIN ZOTERO_ITEM CSL_CITATION {"citationID":"a2mu8qpik25","properties":{"formattedCitation":"\\super 313\\nosupersub{}","plainCitation":"313","noteIndex":0},"citationItems":[{"id":1084,"uris":["http://zotero.org/groups/5563646/items/M3HULUIA"],"itemData":{"id":1084,"type":"webpage","container-title":"Asthma Prevention and Control","language":"en-US","title":"Clearing the Air: An Asthma Toolkit for Healthy Schools","URL":"https://www.maasthma.org/toolkit/outdoorairpollution","author":[{"family":"MA Department of Public Health","given":""},{"family":"Massachusetts Asthma Action Partnership","given":""}],"accessed":{"date-parts":[["2024",9,23]]},"issued":{"date-parts":[["2024"]]}}}],"schema":"https://github.com/citation-style-language/schema/raw/master/csl-citation.json"} </w:instrText>
      </w:r>
      <w:r>
        <w:fldChar w:fldCharType="separate"/>
      </w:r>
      <w:r w:rsidR="00794651" w:rsidRPr="00794651">
        <w:rPr>
          <w:rFonts w:cs="Arial"/>
          <w:vertAlign w:val="superscript"/>
        </w:rPr>
        <w:t>313</w:t>
      </w:r>
      <w:r>
        <w:fldChar w:fldCharType="end"/>
      </w:r>
      <w:r>
        <w:t xml:space="preserve"> </w:t>
      </w:r>
    </w:p>
    <w:p w14:paraId="08CA983B" w14:textId="77777777" w:rsidR="004A2700" w:rsidRDefault="004A2700" w:rsidP="004A2700">
      <w:pPr>
        <w:pStyle w:val="Heading5"/>
      </w:pPr>
      <w:r w:rsidRPr="007C105A">
        <w:rPr>
          <w:bCs/>
        </w:rPr>
        <w:t>(</w:t>
      </w:r>
      <w:r>
        <w:rPr>
          <w:bCs/>
        </w:rPr>
        <w:t>2</w:t>
      </w:r>
      <w:r>
        <w:t>) Enforce a vehicle anti-idling policy</w:t>
      </w:r>
    </w:p>
    <w:p w14:paraId="5F3ECD53" w14:textId="76471545" w:rsidR="004A2700" w:rsidRDefault="004A2700" w:rsidP="006D7DE6">
      <w:pPr>
        <w:pStyle w:val="BodyTextFirstIndent"/>
      </w:pPr>
      <w:r>
        <w:t>Schools can adopt and enforce a written idling-reduction policy that applies to all vehicles, including but not limited to school buses, cars, and delivery vehicles.</w:t>
      </w:r>
      <w:r>
        <w:fldChar w:fldCharType="begin"/>
      </w:r>
      <w:r w:rsidR="008237EC">
        <w:instrText xml:space="preserve"> ADDIN ZOTERO_ITEM CSL_CITATION {"citationID":"a1i2p1i391l","properties":{"formattedCitation":"\\super 101,314\\nosupersub{}","plainCitation":"101,314","noteIndex":0},"citationItems":[{"id":544,"uris":["http://zotero.org/groups/5563646/items/HI6C44IP"],"itemData":{"id":544,"type":"report","title":"Best Management Practices: Reducing Diesel Pollution at Schools","URL":"https://www.mass.gov/doc/massdep-best-management-practices-reducing-diesel-pollution-at-schools/download","author":[{"family":"MA DEP","given":""}]}},{"id":10,"uris":["http://zotero.org/groups/5563646/items/RET9EIZX"],"itemData":{"id":10,"type":"report","language":"en","number":"EPA-908-R-12-0001","source":"Zotero","title":"Sensible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8237EC" w:rsidRPr="008237EC">
        <w:rPr>
          <w:rFonts w:cs="Arial"/>
          <w:vertAlign w:val="superscript"/>
        </w:rPr>
        <w:t>101,314</w:t>
      </w:r>
      <w:r>
        <w:fldChar w:fldCharType="end"/>
      </w:r>
      <w:r>
        <w:t xml:space="preserve"> The policy should be explained and shared with the school community. Policies should include limits on the number of minutes that vehicles can idle (i.e., no more than 3–5 minutes).</w:t>
      </w:r>
      <w:r>
        <w:fldChar w:fldCharType="begin"/>
      </w:r>
      <w:r w:rsidR="00153D32">
        <w:instrText xml:space="preserve"> ADDIN ZOTERO_ITEM CSL_CITATION {"citationID":"anmdu9e3i5","properties":{"formattedCitation":"\\super 183,287,312\\nosupersub{}","plainCitation":"183,287,312","noteIndex":0},"citationItems":[{"id":13,"uris":["http://zotero.org/groups/5563646/items/ASKMUJY7"],"itemData":{"id":13,"type":"report","title":"Checklist Concerning Environmental Health &amp; Safety in Schools","author":[{"family":"Healthy Schools Council","given":""}],"issued":{"date-parts":[["2003",9]]}}},{"id":543,"uris":["http://zotero.org/groups/5563646/items/GLV278WZ"],"itemData":{"id":543,"type":"report","title":"Engine Idling Guidance for School Bus Drivers","URL":"https://www.mass.gov/doc/engine-idling-guidance-for-school-bus-drivers/download","author":[{"family":"MA DEP","given":""}],"issued":{"date-parts":[["2020",10]]}}},{"id":18,"uris":["http://zotero.org/groups/5563646/items/5RQX2K7C"],"itemData":{"id":18,"type":"report","publisher":"Northeast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153D32" w:rsidRPr="00153D32">
        <w:rPr>
          <w:rFonts w:cs="Arial"/>
          <w:vertAlign w:val="superscript"/>
        </w:rPr>
        <w:t>183,287,312</w:t>
      </w:r>
      <w:r>
        <w:fldChar w:fldCharType="end"/>
      </w:r>
      <w:r>
        <w:t xml:space="preserve"> </w:t>
      </w:r>
    </w:p>
    <w:p w14:paraId="0757C458" w14:textId="77777777" w:rsidR="004A2700" w:rsidRDefault="004A2700" w:rsidP="004A2700">
      <w:pPr>
        <w:pStyle w:val="Heading5"/>
      </w:pPr>
      <w:r w:rsidRPr="009A1172">
        <w:lastRenderedPageBreak/>
        <w:t>(</w:t>
      </w:r>
      <w:r>
        <w:t>3) Create a wildfire smoke readiness plan</w:t>
      </w:r>
    </w:p>
    <w:p w14:paraId="4D14199E" w14:textId="088019E8" w:rsidR="004A2700" w:rsidRDefault="004A2700" w:rsidP="006D7DE6">
      <w:pPr>
        <w:pStyle w:val="BodyTextFirstIndent"/>
      </w:pPr>
      <w:r>
        <w:t xml:space="preserve">A wildfire smoke readiness plan will prepare schools to take action when wildfire smoke events occur. Plans should include routine evaluation of the HVAC systems and routine HVAC filter maintenance </w:t>
      </w:r>
      <w:r w:rsidR="006E13EE">
        <w:t>so</w:t>
      </w:r>
      <w:r>
        <w:t xml:space="preserve"> the building systems can adequately filter polluted air. Plans should also include routine assessment of the building envelope to </w:t>
      </w:r>
      <w:r w:rsidR="00832013">
        <w:t>limit</w:t>
      </w:r>
      <w:r>
        <w:t xml:space="preserve"> wildfire smoke intrusion.</w:t>
      </w:r>
      <w:r>
        <w:fldChar w:fldCharType="begin"/>
      </w:r>
      <w:r w:rsidR="0034770D">
        <w:instrText xml:space="preserve"> ADDIN ZOTERO_ITEM CSL_CITATION {"citationID":"ahfvbd55c4","properties":{"formattedCitation":"\\super 315,316\\nosupersub{}","plainCitation":"315,316","noteIndex":0},"citationItems":[{"id":777,"uris":["http://zotero.org/groups/5563646/items/FRZCKECN"],"itemData":{"id":777,"type":"document","title":"Recommendations for Reducing Wildfire Smoke Exposure in Commercial Buildings and Schools","URL":"https://www.epa.gov/system/files/documents/2021-07/flyer-recommendations-for-reducing-wildfire-smoke-in-commercial-buildings-and-schools.pdf","author":[{"family":"EPA","given":""}]}},{"id":753,"uris":["http://zotero.org/groups/5563646/items/K5KABEYJ"],"itemData":{"id":753,"type":"document","note":"https://www.epa.gov/vcs/using-standards-protect-building-occupants-wildfire-smoke","title":"Planning Framework for Protecting Commercial Building Occupants from Smoke During Wildfire Events","URL":"https://www.ashrae.org/File%20Library/Technical%20Resources/COVID-19/Planning-Framework-for-Protecting-Commercial-Building-Occupants-from-Smoke-During-Wildfire-Events.pdf","author":[{"family":"ASHRAE","given":""}],"issued":{"date-parts":[["2021"]]}}}],"schema":"https://github.com/citation-style-language/schema/raw/master/csl-citation.json"} </w:instrText>
      </w:r>
      <w:r>
        <w:fldChar w:fldCharType="separate"/>
      </w:r>
      <w:r w:rsidR="0034770D" w:rsidRPr="0034770D">
        <w:rPr>
          <w:rFonts w:cs="Arial"/>
          <w:vertAlign w:val="superscript"/>
        </w:rPr>
        <w:t>315,316</w:t>
      </w:r>
      <w:r>
        <w:fldChar w:fldCharType="end"/>
      </w:r>
      <w:r>
        <w:t xml:space="preserve"> In addition, plans should specify other ways that the school will prepare for wildfires, including methods to monitor outdoor air quality threats, purchasing of equipment to monitor indoor air quality (see the </w:t>
      </w:r>
      <w:hyperlink w:anchor="Indoor_Air_Mon" w:history="1">
        <w:r w:rsidRPr="00A36B4D">
          <w:rPr>
            <w:rStyle w:val="Hyperlink"/>
          </w:rPr>
          <w:t>Indoor Air Monitoring text box</w:t>
        </w:r>
      </w:hyperlink>
      <w:r>
        <w:t xml:space="preserve"> for additional details), and a backup plan to supplement HVAC systems should they not be able to adequately clean the indoor air.</w:t>
      </w:r>
      <w:r>
        <w:fldChar w:fldCharType="begin"/>
      </w:r>
      <w:r w:rsidR="00DB1086">
        <w:instrText xml:space="preserve"> ADDIN ZOTERO_ITEM CSL_CITATION {"citationID":"a2q25vfau4f","properties":{"formattedCitation":"\\super 315,316\\nosupersub{}","plainCitation":"315,316","noteIndex":0},"citationItems":[{"id":777,"uris":["http://zotero.org/groups/5563646/items/FRZCKECN"],"itemData":{"id":777,"type":"document","title":"Recommendations for Reducing Wildfire Smoke Exposure in Commercial Buildings and Schools","URL":"https://www.epa.gov/system/files/documents/2021-07/flyer-recommendations-for-reducing-wildfire-smoke-in-commercial-buildings-and-schools.pdf","author":[{"family":"EPA","given":""}]}},{"id":753,"uris":["http://zotero.org/groups/5563646/items/K5KABEYJ"],"itemData":{"id":753,"type":"document","note":"https://www.epa.gov/vcs/using-standards-protect-building-occupants-wildfire-smoke","title":"Planning Framework for Protecting Commercial Building Occupants from Smoke During Wildfire Events","URL":"https://www.ashrae.org/File%20Library/Technical%20Resources/COVID-19/Planning-Framework-for-Protecting-Commercial-Building-Occupants-from-Smoke-During-Wildfire-Events.pdf","author":[{"family":"ASHRAE","given":""}],"issued":{"date-parts":[["2021"]]}}}],"schema":"https://github.com/citation-style-language/schema/raw/master/csl-citation.json"} </w:instrText>
      </w:r>
      <w:r>
        <w:fldChar w:fldCharType="separate"/>
      </w:r>
      <w:r w:rsidR="00DB1086" w:rsidRPr="00DB1086">
        <w:rPr>
          <w:rFonts w:cs="Arial"/>
          <w:vertAlign w:val="superscript"/>
        </w:rPr>
        <w:t>315,316</w:t>
      </w:r>
      <w:r>
        <w:fldChar w:fldCharType="end"/>
      </w:r>
      <w:r>
        <w:t xml:space="preserve"> </w:t>
      </w:r>
    </w:p>
    <w:p w14:paraId="17279E57" w14:textId="77777777" w:rsidR="004A2700" w:rsidRDefault="004A2700" w:rsidP="004A2700">
      <w:pPr>
        <w:pStyle w:val="Heading4"/>
      </w:pPr>
      <w:r>
        <w:t>Infrastructure</w:t>
      </w:r>
    </w:p>
    <w:p w14:paraId="65F21E35" w14:textId="77777777" w:rsidR="004A2700" w:rsidRPr="00645F0D" w:rsidRDefault="004A2700" w:rsidP="006D7DE6">
      <w:pPr>
        <w:pStyle w:val="BodyTextFirstIndent"/>
      </w:pPr>
      <w:r>
        <w:t xml:space="preserve">Infrastructure interventions include methods to reduce exposure to poor outdoor air quality that can be achieved through physical equipment and changes to the built environment. </w:t>
      </w:r>
    </w:p>
    <w:p w14:paraId="147DD6B6" w14:textId="77777777" w:rsidR="004A2700" w:rsidRDefault="004A2700" w:rsidP="004A2700">
      <w:pPr>
        <w:pStyle w:val="Heading5"/>
      </w:pPr>
      <w:r>
        <w:t>(4) Replace or retrofit legacy school buses</w:t>
      </w:r>
    </w:p>
    <w:p w14:paraId="3AA2B678" w14:textId="46A848A3" w:rsidR="004A2700" w:rsidRDefault="004A2700" w:rsidP="006D7DE6">
      <w:pPr>
        <w:pStyle w:val="BodyTextFirstIndent"/>
      </w:pPr>
      <w:r>
        <w:t xml:space="preserve">Older school buses typically emit higher levels of PM and other pollutants. Electrifying school bus fleets will greatly reduce near-school vehicle emissions. See </w:t>
      </w:r>
      <w:hyperlink w:anchor="Objective_1d" w:history="1">
        <w:r w:rsidRPr="00546DB9">
          <w:rPr>
            <w:rStyle w:val="Hyperlink"/>
          </w:rPr>
          <w:t>Objective 1d. Electrify School Bus Fleets</w:t>
        </w:r>
      </w:hyperlink>
      <w:r>
        <w:t xml:space="preserve"> for more details about electrifying school bus fleets. Alternatively, older school busses can be retrofitted with PM filters to reduce vehicle emissions or replaced with engines that are certified to use alternative, cleaner fuels.</w:t>
      </w:r>
      <w:r>
        <w:fldChar w:fldCharType="begin"/>
      </w:r>
      <w:r w:rsidR="00137CF8">
        <w:instrText xml:space="preserve"> ADDIN ZOTERO_ITEM CSL_CITATION {"citationID":"a2pvgdfsocj","properties":{"formattedCitation":"\\super 101,101,117\\nosupersub{}","plainCitation":"101,101,117","noteIndex":0},"citationItems":[{"id":547,"uris":["http://zotero.org/groups/5563646/items/2LBHABRU"],"itemData":{"id":547,"type":"report","language":"en","number":"EPA-420-R-21-022","source":"Zotero","title":"Best Practices for Reducing Near-Road Pollution Exposure at Schools","URL":"https://nepis.epa.gov/Exe/ZyPDF.cgi?Dockey=P1013GDE.pdf","author":[{"family":"US EPA","given":""}],"issued":{"date-parts":[["2021",10]]}}},{"id":10,"uris":["http://zotero.org/groups/5563646/items/RET9EIZX"],"itemData":{"id":10,"type":"report","language":"en","number":"EPA-908-R-12-0001","source":"Zotero","title":"Sensible Steps to Healthier School Environments","URL":"https://www.epa.gov/sites/default/files/2014-05/documents/sensible_steps.pdf","author":[{"family":"US EPA","given":""}],"issued":{"date-parts":[["2012",7]]}}},{"id":10,"uris":["http://zotero.org/groups/5563646/items/RET9EIZX"],"itemData":{"id":10,"type":"report","language":"en","number":"EPA-908-R-12-0001","source":"Zotero","title":"Sensible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137CF8" w:rsidRPr="00137CF8">
        <w:rPr>
          <w:rFonts w:cs="Arial"/>
          <w:vertAlign w:val="superscript"/>
        </w:rPr>
        <w:t>101,101,117</w:t>
      </w:r>
      <w:r>
        <w:fldChar w:fldCharType="end"/>
      </w:r>
      <w:r>
        <w:t xml:space="preserve"> </w:t>
      </w:r>
    </w:p>
    <w:p w14:paraId="0F3EF5D5" w14:textId="77777777" w:rsidR="004A2700" w:rsidRDefault="004A2700" w:rsidP="004A2700">
      <w:pPr>
        <w:pStyle w:val="Heading5"/>
      </w:pPr>
      <w:r>
        <w:t>(5) Establish anti-idling zones</w:t>
      </w:r>
    </w:p>
    <w:p w14:paraId="7D69B6DB" w14:textId="798696C3" w:rsidR="004A2700" w:rsidRDefault="004A2700" w:rsidP="006D7DE6">
      <w:pPr>
        <w:pStyle w:val="BodyTextFirstIndent"/>
      </w:pPr>
      <w:r>
        <w:t>Post signage indicating where vehicles are prohibited from idling.</w:t>
      </w:r>
      <w:r>
        <w:fldChar w:fldCharType="begin"/>
      </w:r>
      <w:r w:rsidR="00B367F6">
        <w:instrText xml:space="preserve"> ADDIN ZOTERO_ITEM CSL_CITATION {"citationID":"a12sqvgaoqb","properties":{"formattedCitation":"\\super 104,183,314\\nosupersub{}","plainCitation":"104,183,314","noteIndex":0},"citationItems":[{"id":544,"uris":["http://zotero.org/groups/5563646/items/HI6C44IP"],"itemData":{"id":544,"type":"report","title":"Best Management Practices: Reducing Diesel Pollution at Schools","URL":"https://www.mass.gov/doc/massdep-best-management-practices-reducing-diesel-pollution-at-schools/download","author":[{"family":"MA DEP","given":""}]}},{"id":9,"uris":["http://zotero.org/groups/5563646/items/PIGDCZW8"],"itemData":{"id":9,"type":"report","language":"en","publisher":"Environmental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EPA","given":""}],"issued":{"date-parts":[["2014"]]}}},{"id":18,"uris":["http://zotero.org/groups/5563646/items/5RQX2K7C"],"itemData":{"id":18,"type":"report","publisher":"Northeast Energy Efficiency Partnerships and Northeast Collaborative for High Performance Schools","title":"Northeast CHPS Criteria for New Construction and Renovations Version 4.0: Assessment Tool","URL":"https://neep.org/sites/default/files/media-files/NE%20CHPS%20v4.0%20Clean%20Final%20Draft%20May%202022.pdf","author":[{"family":"NEEP","given":""},{"family":"NE-CHPS","given":""}],"accessed":{"date-parts":[["2024",6,11]]},"issued":{"date-parts":[["2022",5]]}}}],"schema":"https://github.com/citation-style-language/schema/raw/master/csl-citation.json"} </w:instrText>
      </w:r>
      <w:r>
        <w:fldChar w:fldCharType="separate"/>
      </w:r>
      <w:r w:rsidR="00B367F6" w:rsidRPr="00B367F6">
        <w:rPr>
          <w:rFonts w:cs="Arial"/>
          <w:vertAlign w:val="superscript"/>
        </w:rPr>
        <w:t>104,183,314</w:t>
      </w:r>
      <w:r>
        <w:fldChar w:fldCharType="end"/>
      </w:r>
      <w:r>
        <w:t xml:space="preserve"> This can reinforce the school’s vehicle anti-idling policy. </w:t>
      </w:r>
    </w:p>
    <w:p w14:paraId="5B98DE87" w14:textId="77777777" w:rsidR="004A2700" w:rsidRDefault="004A2700" w:rsidP="004A2700">
      <w:pPr>
        <w:pStyle w:val="Heading5"/>
      </w:pPr>
      <w:r>
        <w:t>(6) Locate passenger pickup and drop-off areas away from air intakes and classroom windows</w:t>
      </w:r>
    </w:p>
    <w:p w14:paraId="129DBB56" w14:textId="4DC956D2" w:rsidR="004A2700" w:rsidRDefault="004A2700" w:rsidP="006D7DE6">
      <w:pPr>
        <w:pStyle w:val="BodyTextFirstIndent"/>
      </w:pPr>
      <w:r>
        <w:t>If necessary, redesign school bus parking zones to minimize the potential for diesel exhaust to enter inside the bus or the school. Bus parking areas, passenger pick-up and drop-off lanes, and any loading docks should be located away from the school building air intakes.</w:t>
      </w:r>
      <w:r>
        <w:fldChar w:fldCharType="begin"/>
      </w:r>
      <w:r w:rsidR="00ED636A">
        <w:instrText xml:space="preserve"> ADDIN ZOTERO_ITEM CSL_CITATION {"citationID":"a249j7m2u5r","properties":{"formattedCitation":"\\super 101,104,117,287\\nosupersub{}","plainCitation":"101,104,117,287","noteIndex":0},"citationItems":[{"id":13,"uris":["http://zotero.org/groups/5563646/items/ASKMUJY7"],"itemData":{"id":13,"type":"report","title":"Checklist Concerning Environmental Health &amp; Safety in Schools","author":[{"family":"Healthy Schools Council","given":""}],"issued":{"date-parts":[["2003",9]]}}},{"id":547,"uris":["http://zotero.org/groups/5563646/items/2LBHABRU"],"itemData":{"id":547,"type":"report","language":"en","number":"EPA-420-R-21-022","source":"Zotero","title":"Best Practices for Reducing Near-Road Pollution Exposure at Schools","URL":"https://nepis.epa.gov/Exe/ZyPDF.cgi?Dockey=P1013GDE.pdf","author":[{"family":"US EPA","given":""}],"issued":{"date-parts":[["2021",10]]}}},{"id":9,"uris":["http://zotero.org/groups/5563646/items/PIGDCZW8"],"itemData":{"id":9,"type":"report","language":"en","publisher":"Environmental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ED636A" w:rsidRPr="00ED636A">
        <w:rPr>
          <w:rFonts w:cs="Arial"/>
          <w:vertAlign w:val="superscript"/>
        </w:rPr>
        <w:t>101,104,117,287</w:t>
      </w:r>
      <w:r>
        <w:fldChar w:fldCharType="end"/>
      </w:r>
      <w:r>
        <w:t xml:space="preserve"> Consider other design features that can help minimize exhaust exposure, including diagonal school bus parking.</w:t>
      </w:r>
      <w:r>
        <w:fldChar w:fldCharType="begin"/>
      </w:r>
      <w:r w:rsidR="00661407">
        <w:instrText xml:space="preserve"> ADDIN ZOTERO_ITEM CSL_CITATION {"citationID":"a2e9n20sc8t","properties":{"formattedCitation":"\\super 314\\nosupersub{}","plainCitation":"314","noteIndex":0},"citationItems":[{"id":544,"uris":["http://zotero.org/groups/5563646/items/HI6C44IP"],"itemData":{"id":544,"type":"report","title":"Best Management Practices: Reducing Diesel Pollution at Schools","URL":"https://www.mass.gov/doc/massdep-best-management-practices-reducing-diesel-pollution-at-schools/download","author":[{"family":"MA DEP","given":""}]}}],"schema":"https://github.com/citation-style-language/schema/raw/master/csl-citation.json"} </w:instrText>
      </w:r>
      <w:r>
        <w:fldChar w:fldCharType="separate"/>
      </w:r>
      <w:r w:rsidR="00661407" w:rsidRPr="00661407">
        <w:rPr>
          <w:rFonts w:cs="Arial"/>
          <w:vertAlign w:val="superscript"/>
        </w:rPr>
        <w:t>314</w:t>
      </w:r>
      <w:r>
        <w:fldChar w:fldCharType="end"/>
      </w:r>
      <w:r>
        <w:t xml:space="preserve"> </w:t>
      </w:r>
    </w:p>
    <w:p w14:paraId="482880FF" w14:textId="77777777" w:rsidR="004A2700" w:rsidRDefault="004A2700" w:rsidP="004A2700">
      <w:pPr>
        <w:pStyle w:val="Heading5"/>
      </w:pPr>
      <w:r>
        <w:t>(7) Maintain HVAC systems and filter indoor air</w:t>
      </w:r>
    </w:p>
    <w:p w14:paraId="54E99DAA" w14:textId="5431E7BF" w:rsidR="004A2700" w:rsidRDefault="004A2700" w:rsidP="006D7DE6">
      <w:pPr>
        <w:pStyle w:val="BodyTextFirstIndent"/>
      </w:pPr>
      <w:r>
        <w:t>Ensure that HVAC systems are maintained and properly filter any air entering the school from outside.</w:t>
      </w:r>
      <w:r>
        <w:fldChar w:fldCharType="begin"/>
      </w:r>
      <w:r w:rsidR="009B3AB1">
        <w:instrText xml:space="preserve"> ADDIN ZOTERO_ITEM CSL_CITATION {"citationID":"a20p75qdsv8","properties":{"formattedCitation":"\\super 117,287\\nosupersub{}","plainCitation":"117,287","noteIndex":0},"citationItems":[{"id":547,"uris":["http://zotero.org/groups/5563646/items/2LBHABRU"],"itemData":{"id":547,"type":"report","language":"en","number":"EPA-420-R-21-022","source":"Zotero","title":"Best Practices for Reducing Near-Road Pollution Exposure at Schools","URL":"https://nepis.epa.gov/Exe/ZyPDF.cgi?Dockey=P1013GDE.pdf","author":[{"family":"US EPA","given":""}],"issued":{"date-parts":[["2021",10]]}}},{"id":13,"uris":["http://zotero.org/groups/5563646/items/ASKMUJY7"],"itemData":{"id":13,"type":"report","title":"Checklist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9B3AB1" w:rsidRPr="009B3AB1">
        <w:rPr>
          <w:rFonts w:cs="Arial"/>
          <w:vertAlign w:val="superscript"/>
        </w:rPr>
        <w:t>117,287</w:t>
      </w:r>
      <w:r>
        <w:fldChar w:fldCharType="end"/>
      </w:r>
      <w:r>
        <w:t xml:space="preserve"> Filter systems will clean outside air that may be impacted by air pollution, including vehicle exhaust, to minimize exposure within the school; air should be filtered to the highest level of high-efficiency filtration the HVAC system is designed to handle, and filters should be inspected and replaced quarterly. HVAC </w:t>
      </w:r>
      <w:r>
        <w:lastRenderedPageBreak/>
        <w:t>systems should be run continuously while the building is occupied. In addition, HVAC systems should be balanced before beginning operation and when there is a change in operations so as to keep positive pressure within the school; negative pressure can draw in outdoor contaminants through the building envelope.</w:t>
      </w:r>
      <w:r>
        <w:fldChar w:fldCharType="begin"/>
      </w:r>
      <w:r w:rsidR="004910E0">
        <w:instrText xml:space="preserve"> ADDIN ZOTERO_ITEM CSL_CITATION {"citationID":"a125tvl7qar","properties":{"formattedCitation":"\\super 104,117\\nosupersub{}","plainCitation":"104,117","noteIndex":0},"citationItems":[{"id":547,"uris":["http://zotero.org/groups/5563646/items/2LBHABRU"],"itemData":{"id":547,"type":"report","language":"en","number":"EPA-420-R-21-022","source":"Zotero","title":"Best Practices for Reducing Near-Road Pollution Exposure at Schools","URL":"https://nepis.epa.gov/Exe/ZyPDF.cgi?Dockey=P1013GDE.pdf","author":[{"family":"US EPA","given":""}],"issued":{"date-parts":[["2021",10]]}}},{"id":9,"uris":["http://zotero.org/groups/5563646/items/PIGDCZW8"],"itemData":{"id":9,"type":"report","language":"en","publisher":"Environmental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EPA","given":""}],"issued":{"date-parts":[["2014"]]}}}],"schema":"https://github.com/citation-style-language/schema/raw/master/csl-citation.json"} </w:instrText>
      </w:r>
      <w:r>
        <w:fldChar w:fldCharType="separate"/>
      </w:r>
      <w:r w:rsidR="004910E0" w:rsidRPr="004910E0">
        <w:rPr>
          <w:rFonts w:cs="Arial"/>
          <w:vertAlign w:val="superscript"/>
        </w:rPr>
        <w:t>104,117</w:t>
      </w:r>
      <w:r>
        <w:fldChar w:fldCharType="end"/>
      </w:r>
      <w:r>
        <w:t xml:space="preserve"> </w:t>
      </w:r>
    </w:p>
    <w:p w14:paraId="2152533C" w14:textId="77777777" w:rsidR="004A2700" w:rsidRDefault="004A2700" w:rsidP="004A2700">
      <w:pPr>
        <w:pStyle w:val="Heading5"/>
      </w:pPr>
      <w:r>
        <w:t>(8) Consider sources of outdoor air pollution when siting a new school</w:t>
      </w:r>
    </w:p>
    <w:p w14:paraId="6E4FDB6B" w14:textId="7FDA1E63" w:rsidR="004A2700" w:rsidRDefault="004A2700" w:rsidP="006D7DE6">
      <w:pPr>
        <w:pStyle w:val="BodyTextFirstIndent"/>
      </w:pPr>
      <w:r>
        <w:t>Significant air pollution comes from heavily trafficked roadways and can also come from industrial areas. When deciding where to locate a new school, consider these sources of air pollution. Air pollution is higher within 500 feet of a major roadway.</w:t>
      </w:r>
      <w:r>
        <w:fldChar w:fldCharType="begin"/>
      </w:r>
      <w:r w:rsidR="004F4E6D">
        <w:instrText xml:space="preserve"> ADDIN ZOTERO_ITEM CSL_CITATION {"citationID":"a2lq199susq","properties":{"formattedCitation":"\\super 313\\nosupersub{}","plainCitation":"313","noteIndex":0},"citationItems":[{"id":1084,"uris":["http://zotero.org/groups/5563646/items/M3HULUIA"],"itemData":{"id":1084,"type":"webpage","container-title":"Asthma Prevention and Control","language":"en-US","title":"Clearing the Air: An Asthma Toolkit for Healthy Schools","URL":"https://www.maasthma.org/toolkit/outdoorairpollution","author":[{"family":"MA Department of Public Health","given":""},{"family":"Massachusetts Asthma Action Partnership","given":""}],"accessed":{"date-parts":[["2024",9,23]]},"issued":{"date-parts":[["2024"]]}}}],"schema":"https://github.com/citation-style-language/schema/raw/master/csl-citation.json"} </w:instrText>
      </w:r>
      <w:r>
        <w:fldChar w:fldCharType="separate"/>
      </w:r>
      <w:r w:rsidR="004F4E6D" w:rsidRPr="004F4E6D">
        <w:rPr>
          <w:rFonts w:cs="Arial"/>
          <w:vertAlign w:val="superscript"/>
        </w:rPr>
        <w:t>313</w:t>
      </w:r>
      <w:r>
        <w:fldChar w:fldCharType="end"/>
      </w:r>
      <w:r>
        <w:t xml:space="preserve"> Municipalities and school districts should avoid siting schools immediately adjacent to highly-traveled roadways and other significant sources of air pollution to the maximum extent possible.</w:t>
      </w:r>
    </w:p>
    <w:p w14:paraId="08A181AC" w14:textId="3D133542" w:rsidR="004A2700" w:rsidRDefault="004A2700" w:rsidP="004A2700">
      <w:pPr>
        <w:pStyle w:val="Heading5"/>
      </w:pPr>
      <w:r>
        <w:t xml:space="preserve">(9) Consider community- and building-level design elements that mitigate </w:t>
      </w:r>
      <w:r w:rsidR="00A76126">
        <w:t>infiltration of</w:t>
      </w:r>
      <w:r>
        <w:t xml:space="preserve"> outdoor air pollutants from roadways and industrial areas</w:t>
      </w:r>
    </w:p>
    <w:p w14:paraId="36F8693E" w14:textId="77777777" w:rsidR="004A2700" w:rsidRDefault="004A2700" w:rsidP="006D7DE6">
      <w:pPr>
        <w:pStyle w:val="BodyTextFirstIndent"/>
      </w:pPr>
      <w:r>
        <w:t>Ideally, a school district planning to construct a new school will have the flexibility to select a site that is removed from heavily trafficked roadways and industrial sites. There are often circumstances when this is not possible, including school districts located in densely developed urban areas or instances when a school elects to undergo an in-place renovation and the existing building is located near a busy roadway and/or industrial site. If there are limitations that necessitate the siting of a new school in a location near heavily trafficked roadways or industrial areas, or when a school is undergoing an in-place renovation, school districts still have options at the community and building levels to mitigate indoor exposure to outdoor air pollutants from roadways and industrial areas, including the following:</w:t>
      </w:r>
    </w:p>
    <w:p w14:paraId="72EA4D7B" w14:textId="3418610D" w:rsidR="004A2700" w:rsidRDefault="004A2700" w:rsidP="008131EB">
      <w:pPr>
        <w:pStyle w:val="ListBullet"/>
      </w:pPr>
      <w:r>
        <w:t>Install roadside vegetation barriers (either alone or in combination with solid noise barriers) to reduce near-road air pollution</w:t>
      </w:r>
      <w:r>
        <w:fldChar w:fldCharType="begin"/>
      </w:r>
      <w:r w:rsidR="00DE36D3">
        <w:instrText xml:space="preserve"> ADDIN ZOTERO_ITEM CSL_CITATION {"citationID":"amstgver31","properties":{"formattedCitation":"\\super 317\\nosupersub{}","plainCitation":"317","noteIndex":0},"citationItems":[{"id":1112,"uris":["http://zotero.org/groups/5563646/items/E65W7NCX"],"itemData":{"id":1112,"type":"webpage","abstract":"Recommendations for external partners planting roadside vegetation. Intended for broad use, but immediate use will be to provide to project partners on the RESES roadside vegetation project and as an attachment to the RESES project QAPP Provide recommendations on the physical characteristics of roadside vegetation that can provide a local air quality benefit","language":"en","title":"Recommendations for Constructing Roadside Vegetation Barriers to Improve Near-Road Air Quality","URL":"https://cfpub.epa.gov/si/si_public_record_report.cfm?Lab=NRMRL&amp;dirEntryId=321772&amp;subject=Air%20Research&amp;showCriteria=0&amp;searchAll=Air%20and%20%28roads%20or%20road%20or%20roadway%20or%20roadways%20or%20traffic%20or%20%7Bnear%20road%7D%29&amp;actType=Product&amp;TIMSType=PUBLISHED+REPORT&amp;sortBy=revisionDate","author":[{"family":"U.S EPA","given":"Office of Research and Development"}],"accessed":{"date-parts":[["2024",10,4]]},"issued":{"date-parts":[["2016",7]]}}}],"schema":"https://github.com/citation-style-language/schema/raw/master/csl-citation.json"} </w:instrText>
      </w:r>
      <w:r>
        <w:fldChar w:fldCharType="separate"/>
      </w:r>
      <w:r w:rsidR="00DE36D3" w:rsidRPr="00DE36D3">
        <w:rPr>
          <w:rFonts w:cs="Arial"/>
          <w:vertAlign w:val="superscript"/>
        </w:rPr>
        <w:t>317</w:t>
      </w:r>
      <w:r>
        <w:fldChar w:fldCharType="end"/>
      </w:r>
    </w:p>
    <w:p w14:paraId="21AB5F59" w14:textId="57CC2B21" w:rsidR="004A2700" w:rsidRDefault="004A2700" w:rsidP="008131EB">
      <w:pPr>
        <w:pStyle w:val="ListBullet"/>
      </w:pPr>
      <w:r>
        <w:t>Locate school building spaces often occupied by people (e.g., classrooms, playgrounds, athletic fields) further from busy roadways and industrial sites</w:t>
      </w:r>
      <w:r>
        <w:fldChar w:fldCharType="begin"/>
      </w:r>
      <w:r w:rsidR="00D025BE">
        <w:instrText xml:space="preserve"> ADDIN ZOTERO_ITEM CSL_CITATION {"citationID":"a2idofsb55e","properties":{"formattedCitation":"\\super 313\\nosupersub{}","plainCitation":"313","noteIndex":0},"citationItems":[{"id":1084,"uris":["http://zotero.org/groups/5563646/items/M3HULUIA"],"itemData":{"id":1084,"type":"webpage","container-title":"Asthma Prevention and Control","language":"en-US","title":"Clearing the Air: An Asthma Toolkit for Healthy Schools","URL":"https://www.maasthma.org/toolkit/outdoorairpollution","author":[{"family":"MA Department of Public Health","given":""},{"family":"Massachusetts Asthma Action Partnership","given":""}],"accessed":{"date-parts":[["2024",9,23]]},"issued":{"date-parts":[["2024"]]}}}],"schema":"https://github.com/citation-style-language/schema/raw/master/csl-citation.json"} </w:instrText>
      </w:r>
      <w:r>
        <w:fldChar w:fldCharType="separate"/>
      </w:r>
      <w:r w:rsidR="00D025BE" w:rsidRPr="00D025BE">
        <w:rPr>
          <w:rFonts w:cs="Arial"/>
          <w:vertAlign w:val="superscript"/>
        </w:rPr>
        <w:t>313</w:t>
      </w:r>
      <w:r>
        <w:fldChar w:fldCharType="end"/>
      </w:r>
    </w:p>
    <w:p w14:paraId="1BB41383" w14:textId="40275C77" w:rsidR="007937B9" w:rsidRDefault="004A2700" w:rsidP="006D7DE6">
      <w:pPr>
        <w:pStyle w:val="BodyTextFirstIndent"/>
      </w:pPr>
      <w:r>
        <w:t xml:space="preserve">See the </w:t>
      </w:r>
      <w:hyperlink w:anchor="VaporInt" w:history="1">
        <w:r w:rsidRPr="003B46F2">
          <w:rPr>
            <w:rStyle w:val="Hyperlink"/>
          </w:rPr>
          <w:t>Mitigate Occurrences of Vapor Intrusion</w:t>
        </w:r>
      </w:hyperlink>
      <w:r>
        <w:t xml:space="preserve"> section for additional details about mitigation strategies for schools located near industrial sites.</w:t>
      </w:r>
    </w:p>
    <w:p w14:paraId="579D4924" w14:textId="77777777" w:rsidR="00005FFE" w:rsidRDefault="00005FFE" w:rsidP="00005FFE">
      <w:pPr>
        <w:pStyle w:val="Heading3"/>
      </w:pPr>
      <w:r>
        <w:t>Statutes, Regulations, and Standards</w:t>
      </w:r>
    </w:p>
    <w:p w14:paraId="480BC1AB" w14:textId="77777777" w:rsidR="00005FFE" w:rsidRDefault="00005FFE" w:rsidP="006D7DE6">
      <w:pPr>
        <w:pStyle w:val="BodyTextFirstIndent"/>
      </w:pPr>
      <w:r>
        <w:t>Statutes, regulations, and standards that include a focus on outdoor air quality around schools are detailed below.</w:t>
      </w:r>
    </w:p>
    <w:p w14:paraId="0611A3ED" w14:textId="77777777" w:rsidR="00005FFE" w:rsidRDefault="00005FFE" w:rsidP="00005FFE">
      <w:pPr>
        <w:pStyle w:val="Heading4"/>
      </w:pPr>
      <w:r>
        <w:t>Relevant Statutes</w:t>
      </w:r>
    </w:p>
    <w:p w14:paraId="6DCA76AA" w14:textId="15E5E693" w:rsidR="00005FFE" w:rsidRPr="004E418D" w:rsidRDefault="00005FFE" w:rsidP="006D7DE6">
      <w:pPr>
        <w:pStyle w:val="BodyTextFirstIndent"/>
      </w:pPr>
      <w:r w:rsidRPr="00520A04">
        <w:rPr>
          <w:b/>
          <w:bCs/>
        </w:rPr>
        <w:t>M</w:t>
      </w:r>
      <w:r>
        <w:rPr>
          <w:b/>
          <w:bCs/>
        </w:rPr>
        <w:t>.</w:t>
      </w:r>
      <w:r w:rsidRPr="00520A04">
        <w:rPr>
          <w:b/>
          <w:bCs/>
        </w:rPr>
        <w:t>G</w:t>
      </w:r>
      <w:r>
        <w:rPr>
          <w:b/>
          <w:bCs/>
        </w:rPr>
        <w:t>.</w:t>
      </w:r>
      <w:r w:rsidRPr="00520A04">
        <w:rPr>
          <w:b/>
          <w:bCs/>
        </w:rPr>
        <w:t>L</w:t>
      </w:r>
      <w:r>
        <w:rPr>
          <w:b/>
          <w:bCs/>
        </w:rPr>
        <w:t>., c.</w:t>
      </w:r>
      <w:r w:rsidRPr="00520A04">
        <w:rPr>
          <w:b/>
          <w:bCs/>
        </w:rPr>
        <w:t xml:space="preserve"> 90 </w:t>
      </w:r>
      <w:r>
        <w:rPr>
          <w:rFonts w:cs="Arial"/>
          <w:b/>
          <w:bCs/>
        </w:rPr>
        <w:t>§</w:t>
      </w:r>
      <w:r w:rsidRPr="00520A04">
        <w:rPr>
          <w:b/>
          <w:bCs/>
        </w:rPr>
        <w:t>16A</w:t>
      </w:r>
      <w:r>
        <w:t xml:space="preserve"> restricts the operation of motor vehicle engines while stopped in excess of five minutes.</w:t>
      </w:r>
      <w:r w:rsidR="00F16E56">
        <w:fldChar w:fldCharType="begin"/>
      </w:r>
      <w:r w:rsidR="00CE440C">
        <w:instrText xml:space="preserve"> ADDIN ZOTERO_ITEM CSL_CITATION {"citationID":"a1rb7a6vmjm","properties":{"formattedCitation":"\\super 318\\nosupersub{}","plainCitation":"318","noteIndex":0},"citationItems":[{"id":1127,"uris":["http://zotero.org/groups/5563646/items/6YSPGNQH"],"itemData":{"id":1127,"type":"legislation","container-title":"M.G.L., c. 90","section":"16A","title":"Motor Vehicles and Aircraft | Stopped motor vehicles; operation of engine; time limit; penalty","URL":"https://malegislature.gov/Laws/GeneralLaws/PartI/TitleXIV/Chapter90/Section16a"}}],"schema":"https://github.com/citation-style-language/schema/raw/master/csl-citation.json"} </w:instrText>
      </w:r>
      <w:r w:rsidR="00F16E56">
        <w:fldChar w:fldCharType="separate"/>
      </w:r>
      <w:r w:rsidR="00CE440C" w:rsidRPr="00CE440C">
        <w:rPr>
          <w:rFonts w:cs="Arial"/>
          <w:vertAlign w:val="superscript"/>
        </w:rPr>
        <w:t>318</w:t>
      </w:r>
      <w:r w:rsidR="00F16E56">
        <w:fldChar w:fldCharType="end"/>
      </w:r>
    </w:p>
    <w:p w14:paraId="0B37411C" w14:textId="6167BECF" w:rsidR="00005FFE" w:rsidRPr="00B34FBC" w:rsidRDefault="00005FFE" w:rsidP="006D7DE6">
      <w:pPr>
        <w:pStyle w:val="BodyTextFirstIndent"/>
      </w:pPr>
      <w:r w:rsidRPr="00BE3A71">
        <w:rPr>
          <w:b/>
        </w:rPr>
        <w:lastRenderedPageBreak/>
        <w:t>M</w:t>
      </w:r>
      <w:r>
        <w:rPr>
          <w:b/>
        </w:rPr>
        <w:t>.</w:t>
      </w:r>
      <w:r w:rsidRPr="00BE3A71">
        <w:rPr>
          <w:b/>
        </w:rPr>
        <w:t>G</w:t>
      </w:r>
      <w:r>
        <w:rPr>
          <w:b/>
        </w:rPr>
        <w:t>.</w:t>
      </w:r>
      <w:r w:rsidRPr="00BE3A71">
        <w:rPr>
          <w:b/>
        </w:rPr>
        <w:t>L</w:t>
      </w:r>
      <w:r>
        <w:rPr>
          <w:b/>
        </w:rPr>
        <w:t>.,</w:t>
      </w:r>
      <w:r w:rsidRPr="00BE3A71">
        <w:rPr>
          <w:b/>
        </w:rPr>
        <w:t xml:space="preserve"> </w:t>
      </w:r>
      <w:r>
        <w:rPr>
          <w:b/>
        </w:rPr>
        <w:t>c.</w:t>
      </w:r>
      <w:r w:rsidRPr="00BE3A71">
        <w:rPr>
          <w:b/>
        </w:rPr>
        <w:t xml:space="preserve"> 90 </w:t>
      </w:r>
      <w:r>
        <w:rPr>
          <w:rFonts w:cs="Arial"/>
          <w:b/>
        </w:rPr>
        <w:t>§</w:t>
      </w:r>
      <w:r w:rsidRPr="00BE3A71">
        <w:rPr>
          <w:b/>
        </w:rPr>
        <w:t>16B</w:t>
      </w:r>
      <w:r>
        <w:t xml:space="preserve"> restricts the prolonged idling of a motor vehicle engine on school property specifically.</w:t>
      </w:r>
      <w:r w:rsidR="00C609BD">
        <w:fldChar w:fldCharType="begin"/>
      </w:r>
      <w:r w:rsidR="007F5075">
        <w:instrText xml:space="preserve"> ADDIN ZOTERO_ITEM CSL_CITATION {"citationID":"abdij04s8p","properties":{"formattedCitation":"\\super 319\\nosupersub{}","plainCitation":"319","noteIndex":0},"citationItems":[{"id":1126,"uris":["http://zotero.org/groups/5563646/items/QPSP73TT"],"itemData":{"id":1126,"type":"legislation","container-title":"M.G.L., c. 90","section":"16B","title":"Motor Vehicles and Aircraft | Idling of a motor vehicle engine on school property; penalties; adoption of regulations","URL":"https://malegislature.gov/Laws/GeneralLaws/PartI/TitleXIV/Chapter90/Section16B"}}],"schema":"https://github.com/citation-style-language/schema/raw/master/csl-citation.json"} </w:instrText>
      </w:r>
      <w:r w:rsidR="00C609BD">
        <w:fldChar w:fldCharType="separate"/>
      </w:r>
      <w:r w:rsidR="007F5075" w:rsidRPr="007F5075">
        <w:rPr>
          <w:rFonts w:cs="Arial"/>
          <w:vertAlign w:val="superscript"/>
        </w:rPr>
        <w:t>319</w:t>
      </w:r>
      <w:r w:rsidR="00C609BD">
        <w:fldChar w:fldCharType="end"/>
      </w:r>
    </w:p>
    <w:p w14:paraId="61C991A2" w14:textId="77777777" w:rsidR="00005FFE" w:rsidRDefault="00005FFE" w:rsidP="00005FFE">
      <w:pPr>
        <w:pStyle w:val="Heading4"/>
      </w:pPr>
      <w:r>
        <w:t>Relevant Regulations</w:t>
      </w:r>
    </w:p>
    <w:p w14:paraId="0CE4D21D" w14:textId="1EFBB955" w:rsidR="00005FFE" w:rsidRDefault="00005FFE" w:rsidP="006D7DE6">
      <w:pPr>
        <w:pStyle w:val="BodyTextFirstIndent"/>
      </w:pPr>
      <w:r w:rsidRPr="00BE3A71">
        <w:rPr>
          <w:b/>
          <w:bCs/>
        </w:rPr>
        <w:t>540 CMR 27.00, Regulation of Motor Vehicle Idling on School Grounds</w:t>
      </w:r>
      <w:r w:rsidRPr="008735C0">
        <w:fldChar w:fldCharType="begin"/>
      </w:r>
      <w:r w:rsidR="00033BF6">
        <w:instrText xml:space="preserve"> ADDIN ZOTERO_ITEM CSL_CITATION {"citationID":"a2hfus2qt4f","properties":{"formattedCitation":"\\super 320\\nosupersub{}","plainCitation":"320","noteIndex":0},"citationItems":[{"id":784,"uris":["http://zotero.org/groups/5563646/items/6RLNK8NM"],"itemData":{"id":784,"type":"legislation","container-title":"MGL 90","section":"16B 540","title":"Regulation of Motor Vehicle Idling on School Grounds","URL":"https://www.mass.gov/doc/540-cmr-27-regulation-of-motor-vehicle-idling-on-school-grounds/download","volume":"27.00"}}],"schema":"https://github.com/citation-style-language/schema/raw/master/csl-citation.json"} </w:instrText>
      </w:r>
      <w:r w:rsidRPr="008735C0">
        <w:fldChar w:fldCharType="separate"/>
      </w:r>
      <w:r w:rsidR="00033BF6" w:rsidRPr="00033BF6">
        <w:rPr>
          <w:rFonts w:cs="Arial"/>
          <w:vertAlign w:val="superscript"/>
        </w:rPr>
        <w:t>320</w:t>
      </w:r>
      <w:r w:rsidRPr="008735C0">
        <w:fldChar w:fldCharType="end"/>
      </w:r>
      <w:r>
        <w:t xml:space="preserve"> </w:t>
      </w:r>
      <w:r w:rsidRPr="007C6C57">
        <w:t>restricts unnecessary idling time and governs the time during which a motor vehicle can idle on school grounds, in order to improve and protect school campus air quality. Vehicle operators are not permitted to idle motor vehicles within 100 feet of known and active school intake systems. All schools must install and maintain permanent “NO IDLING” signage in a conspicuous location and visible from a distance of 50 feet. All school bus companies operating within the Commonwealth must inform each of their respective school bus drivers of the regulation’s requirements and consequences of non-compliance</w:t>
      </w:r>
      <w:r>
        <w:t xml:space="preserve">. </w:t>
      </w:r>
    </w:p>
    <w:p w14:paraId="415D6958" w14:textId="77777777" w:rsidR="00005FFE" w:rsidRDefault="00005FFE" w:rsidP="00005FFE">
      <w:pPr>
        <w:pStyle w:val="Heading4"/>
      </w:pPr>
      <w:r>
        <w:t>Relevant Standards</w:t>
      </w:r>
    </w:p>
    <w:p w14:paraId="379F2165" w14:textId="776645B2" w:rsidR="00005FFE" w:rsidRDefault="00005FFE" w:rsidP="006D7DE6">
      <w:pPr>
        <w:pStyle w:val="BodyTextFirstIndent"/>
      </w:pPr>
      <w:r>
        <w:rPr>
          <w:b/>
          <w:bCs/>
        </w:rPr>
        <w:t xml:space="preserve">ASHRAE Planning Framework for Protecting Commercial Building Occupants from Smoke During Wildfire Events </w:t>
      </w:r>
      <w:r>
        <w:t>provides recommendations for HVAC and other building measures to minimize occupant exposures to smoke during wildfire smoke events, including components of a wildfire readiness plan.</w:t>
      </w:r>
      <w:r>
        <w:fldChar w:fldCharType="begin"/>
      </w:r>
      <w:r w:rsidR="00104564">
        <w:instrText xml:space="preserve"> ADDIN ZOTERO_ITEM CSL_CITATION {"citationID":"a3rqkse42f","properties":{"formattedCitation":"\\super 316\\nosupersub{}","plainCitation":"316","noteIndex":0},"citationItems":[{"id":753,"uris":["http://zotero.org/groups/5563646/items/K5KABEYJ"],"itemData":{"id":753,"type":"document","note":"https://www.epa.gov/vcs/using-standards-protect-building-occupants-wildfire-smoke","title":"Planning Framework for Protecting Commercial Building Occupants from Smoke During Wildfire Events","URL":"https://www.ashrae.org/File%20Library/Technical%20Resources/COVID-19/Planning-Framework-for-Protecting-Commercial-Building-Occupants-from-Smoke-During-Wildfire-Events.pdf","author":[{"family":"ASHRAE","given":""}],"issued":{"date-parts":[["2021"]]}}}],"schema":"https://github.com/citation-style-language/schema/raw/master/csl-citation.json"} </w:instrText>
      </w:r>
      <w:r>
        <w:fldChar w:fldCharType="separate"/>
      </w:r>
      <w:r w:rsidR="00104564" w:rsidRPr="00104564">
        <w:rPr>
          <w:rFonts w:cs="Arial"/>
          <w:vertAlign w:val="superscript"/>
        </w:rPr>
        <w:t>316</w:t>
      </w:r>
      <w:r>
        <w:fldChar w:fldCharType="end"/>
      </w:r>
    </w:p>
    <w:p w14:paraId="6ED10405" w14:textId="3A69F7FB" w:rsidR="00005FFE" w:rsidRDefault="00005FFE" w:rsidP="006D7DE6">
      <w:pPr>
        <w:pStyle w:val="BodyTextFirstIndent"/>
      </w:pPr>
      <w:r>
        <w:fldChar w:fldCharType="begin"/>
      </w:r>
      <w:r>
        <w:instrText xml:space="preserve"> REF _Ref171628807 \h </w:instrText>
      </w:r>
      <w:r>
        <w:fldChar w:fldCharType="separate"/>
      </w:r>
      <w:r w:rsidR="00307850">
        <w:t xml:space="preserve">Table </w:t>
      </w:r>
      <w:r w:rsidR="00307850">
        <w:rPr>
          <w:noProof/>
        </w:rPr>
        <w:t>70</w:t>
      </w:r>
      <w:r>
        <w:fldChar w:fldCharType="end"/>
      </w:r>
      <w:r>
        <w:t xml:space="preserve"> </w:t>
      </w:r>
      <w:r w:rsidRPr="007935AE">
        <w:t xml:space="preserve">summarizes the statutes, regulations, and standards related to </w:t>
      </w:r>
      <w:r>
        <w:t>reducing exposure to outdoor air pollution outlined above</w:t>
      </w:r>
      <w:r w:rsidRPr="007935AE">
        <w:t>.</w:t>
      </w:r>
    </w:p>
    <w:p w14:paraId="639415F8" w14:textId="69B20482" w:rsidR="00005FFE" w:rsidRDefault="00005FFE" w:rsidP="00B30C96">
      <w:pPr>
        <w:pStyle w:val="TableTitle"/>
      </w:pPr>
      <w:bookmarkStart w:id="582" w:name="_Ref171628807"/>
      <w:bookmarkStart w:id="583" w:name="_Toc192711736"/>
      <w:bookmarkStart w:id="584" w:name="_Toc193112618"/>
      <w:bookmarkStart w:id="585" w:name="_Toc193117017"/>
      <w:r>
        <w:t xml:space="preserve">Table </w:t>
      </w:r>
      <w:fldSimple w:instr=" SEQ Table \* ARABIC ">
        <w:r w:rsidR="00307850">
          <w:rPr>
            <w:noProof/>
          </w:rPr>
          <w:t>70</w:t>
        </w:r>
      </w:fldSimple>
      <w:bookmarkEnd w:id="582"/>
      <w:r>
        <w:t xml:space="preserve">. Statutory/Regulatory Framework and Notable Standards for </w:t>
      </w:r>
      <w:r w:rsidRPr="008F652D">
        <w:t>Reduc</w:t>
      </w:r>
      <w:r>
        <w:t>ing</w:t>
      </w:r>
      <w:r w:rsidRPr="008F652D">
        <w:t xml:space="preserve"> </w:t>
      </w:r>
      <w:r>
        <w:t>Exposure to Outdoor Air Pollutants</w:t>
      </w:r>
      <w:bookmarkEnd w:id="583"/>
      <w:bookmarkEnd w:id="584"/>
      <w:bookmarkEnd w:id="585"/>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exposure to outdoor air pollutants."/>
      </w:tblPr>
      <w:tblGrid>
        <w:gridCol w:w="6834"/>
        <w:gridCol w:w="838"/>
        <w:gridCol w:w="840"/>
        <w:gridCol w:w="838"/>
      </w:tblGrid>
      <w:tr w:rsidR="00005FFE" w:rsidRPr="00E11392" w14:paraId="293CAAE4"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431BC97F" w14:textId="77777777" w:rsidR="00005FFE" w:rsidRPr="00E11392" w:rsidRDefault="00005FFE">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1C0DF763" w14:textId="77777777" w:rsidR="00005FFE" w:rsidRPr="00E11392" w:rsidRDefault="00005FFE">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5ED85A2B" w14:textId="77777777" w:rsidR="00005FFE" w:rsidRPr="00E11392" w:rsidRDefault="00005FFE">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D080F38" w14:textId="77777777" w:rsidR="00005FFE" w:rsidRPr="00E11392" w:rsidRDefault="00005FFE">
            <w:pPr>
              <w:pStyle w:val="TableColumnHeader"/>
              <w:jc w:val="left"/>
            </w:pPr>
            <w:r w:rsidRPr="00E11392">
              <w:t>Standard</w:t>
            </w:r>
          </w:p>
        </w:tc>
      </w:tr>
      <w:tr w:rsidR="00005FFE" w:rsidRPr="00E11392" w14:paraId="73419EF5"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774B49D" w14:textId="77777777" w:rsidR="00005FFE" w:rsidRPr="00E11392" w:rsidRDefault="00005FFE">
            <w:pPr>
              <w:pStyle w:val="TableRowHeader"/>
            </w:pPr>
            <w:r>
              <w:t>Statutes</w:t>
            </w:r>
          </w:p>
        </w:tc>
      </w:tr>
      <w:tr w:rsidR="00005FFE" w:rsidRPr="00E11392" w14:paraId="73F379B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377C187D" w14:textId="77777777" w:rsidR="00005FFE" w:rsidRPr="00E11392" w:rsidRDefault="00005FFE">
            <w:pPr>
              <w:pStyle w:val="TableText"/>
            </w:pPr>
            <w:r w:rsidRPr="00F64E15">
              <w:t>M.G.L., c. 90 §16A</w:t>
            </w:r>
          </w:p>
        </w:tc>
        <w:tc>
          <w:tcPr>
            <w:tcW w:w="448" w:type="pct"/>
            <w:tcBorders>
              <w:top w:val="nil"/>
              <w:left w:val="single" w:sz="4" w:space="0" w:color="auto"/>
              <w:bottom w:val="single" w:sz="4" w:space="0" w:color="auto"/>
              <w:right w:val="single" w:sz="4" w:space="0" w:color="auto"/>
            </w:tcBorders>
            <w:shd w:val="clear" w:color="auto" w:fill="auto"/>
            <w:vAlign w:val="center"/>
          </w:tcPr>
          <w:p w14:paraId="2EC43413" w14:textId="77777777" w:rsidR="00005FFE" w:rsidRPr="00E11392" w:rsidRDefault="00005FFE">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380E8D60" w14:textId="77777777" w:rsidR="00005FFE" w:rsidRPr="00E11392" w:rsidRDefault="00005FFE">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215278DD" w14:textId="77777777" w:rsidR="00005FFE" w:rsidRPr="00E11392" w:rsidRDefault="00005FFE">
            <w:pPr>
              <w:jc w:val="center"/>
              <w:rPr>
                <w:rFonts w:ascii="Arial" w:hAnsi="Arial" w:cs="Arial"/>
                <w:b/>
                <w:bCs/>
                <w:sz w:val="24"/>
              </w:rPr>
            </w:pPr>
          </w:p>
        </w:tc>
      </w:tr>
      <w:tr w:rsidR="00005FFE" w:rsidRPr="00E11392" w14:paraId="1D4C0DCF"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5E9173F7" w14:textId="77777777" w:rsidR="00005FFE" w:rsidRPr="00E11392" w:rsidRDefault="00005FFE">
            <w:pPr>
              <w:pStyle w:val="TableText"/>
            </w:pPr>
            <w:r w:rsidRPr="00F64E15">
              <w:t>M.G.L., c. 90 §16</w:t>
            </w:r>
            <w:r>
              <w:t>B</w:t>
            </w:r>
          </w:p>
        </w:tc>
        <w:tc>
          <w:tcPr>
            <w:tcW w:w="448" w:type="pct"/>
            <w:tcBorders>
              <w:top w:val="nil"/>
              <w:left w:val="single" w:sz="4" w:space="0" w:color="auto"/>
              <w:bottom w:val="single" w:sz="4" w:space="0" w:color="auto"/>
              <w:right w:val="single" w:sz="4" w:space="0" w:color="auto"/>
            </w:tcBorders>
            <w:shd w:val="clear" w:color="auto" w:fill="auto"/>
            <w:vAlign w:val="center"/>
          </w:tcPr>
          <w:p w14:paraId="0D1AA8C5" w14:textId="77777777" w:rsidR="00005FFE" w:rsidRPr="00E11392" w:rsidRDefault="00005FFE">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2C93F78" w14:textId="77777777" w:rsidR="00005FFE" w:rsidRPr="00E11392" w:rsidRDefault="00005FFE">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0D94B763" w14:textId="77777777" w:rsidR="00005FFE" w:rsidRPr="00E11392" w:rsidRDefault="00005FFE">
            <w:pPr>
              <w:jc w:val="center"/>
              <w:rPr>
                <w:rFonts w:ascii="Arial" w:hAnsi="Arial" w:cs="Arial"/>
                <w:b/>
                <w:bCs/>
                <w:sz w:val="24"/>
              </w:rPr>
            </w:pPr>
          </w:p>
        </w:tc>
      </w:tr>
      <w:tr w:rsidR="00005FFE" w:rsidRPr="00E11392" w14:paraId="537C2AEE" w14:textId="77777777">
        <w:trPr>
          <w:cantSplit/>
          <w:trHeight w:val="255"/>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tcPr>
          <w:p w14:paraId="09BA848F" w14:textId="77777777" w:rsidR="00005FFE" w:rsidRPr="00E11392" w:rsidRDefault="00005FFE">
            <w:pPr>
              <w:pStyle w:val="TableRowHeader"/>
              <w:rPr>
                <w:rFonts w:cs="Arial"/>
              </w:rPr>
            </w:pPr>
            <w:r>
              <w:t>Regulations</w:t>
            </w:r>
          </w:p>
        </w:tc>
      </w:tr>
      <w:tr w:rsidR="00005FFE" w:rsidRPr="00E11392" w14:paraId="2EB2D911" w14:textId="77777777">
        <w:trPr>
          <w:cantSplit/>
          <w:trHeight w:val="255"/>
          <w:tblHeader/>
          <w:jc w:val="center"/>
        </w:trPr>
        <w:tc>
          <w:tcPr>
            <w:tcW w:w="3655" w:type="pct"/>
            <w:tcBorders>
              <w:top w:val="single" w:sz="4" w:space="0" w:color="auto"/>
              <w:left w:val="single" w:sz="4" w:space="0" w:color="auto"/>
              <w:bottom w:val="single" w:sz="4" w:space="0" w:color="auto"/>
              <w:right w:val="single" w:sz="4" w:space="0" w:color="auto"/>
            </w:tcBorders>
            <w:shd w:val="clear" w:color="auto" w:fill="auto"/>
          </w:tcPr>
          <w:p w14:paraId="5D87C327" w14:textId="77777777" w:rsidR="00005FFE" w:rsidRPr="00984548" w:rsidRDefault="00005FFE">
            <w:pPr>
              <w:pStyle w:val="TableText"/>
            </w:pPr>
            <w:r w:rsidRPr="00F64E15">
              <w:t>540 CMR 27.00, Regulation of Motor Vehicle Idling on School Ground</w:t>
            </w:r>
            <w:r>
              <w:t>s</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3C568F14" w14:textId="77777777" w:rsidR="00005FFE" w:rsidRPr="00E11392" w:rsidRDefault="00005FFE">
            <w:pPr>
              <w:jc w:val="center"/>
              <w:rPr>
                <w:rFonts w:ascii="Arial" w:hAnsi="Arial" w:cs="Arial"/>
                <w:b/>
                <w:bCs/>
                <w:color w:val="00B050"/>
                <w:sz w:val="24"/>
              </w:rPr>
            </w:pPr>
            <w:r w:rsidRPr="00E11392">
              <w:rPr>
                <w:rFonts w:ascii="Arial" w:hAnsi="Arial" w:cs="Arial"/>
                <w:b/>
                <w:bCs/>
                <w:color w:val="00B050"/>
                <w:sz w:val="24"/>
              </w:rPr>
              <w:t>X</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5FBBB8EC" w14:textId="77777777" w:rsidR="00005FFE" w:rsidRPr="00E11392" w:rsidRDefault="00005FFE">
            <w:pPr>
              <w:jc w:val="center"/>
              <w:rPr>
                <w:rFonts w:ascii="Arial" w:hAnsi="Arial" w:cs="Arial"/>
                <w:b/>
                <w:bCs/>
                <w:color w:val="00B050"/>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3FB21A97" w14:textId="77777777" w:rsidR="00005FFE" w:rsidRPr="00E11392" w:rsidRDefault="00005FFE">
            <w:pPr>
              <w:jc w:val="center"/>
              <w:rPr>
                <w:rFonts w:ascii="Arial" w:hAnsi="Arial" w:cs="Arial"/>
                <w:b/>
                <w:bCs/>
                <w:sz w:val="24"/>
              </w:rPr>
            </w:pPr>
          </w:p>
        </w:tc>
      </w:tr>
      <w:tr w:rsidR="00005FFE" w:rsidRPr="00E11392" w14:paraId="4FCD6F47" w14:textId="77777777">
        <w:trPr>
          <w:cantSplit/>
          <w:trHeight w:val="255"/>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tcPr>
          <w:p w14:paraId="1E3E1C39" w14:textId="77777777" w:rsidR="00005FFE" w:rsidRPr="006A4D5F" w:rsidRDefault="00005FFE">
            <w:pPr>
              <w:pStyle w:val="TableRowHeader"/>
            </w:pPr>
            <w:r>
              <w:t>Standards</w:t>
            </w:r>
          </w:p>
        </w:tc>
      </w:tr>
      <w:tr w:rsidR="00005FFE" w:rsidRPr="00E11392" w14:paraId="6E9D8C3A" w14:textId="77777777">
        <w:trPr>
          <w:cantSplit/>
          <w:trHeight w:val="255"/>
          <w:tblHeader/>
          <w:jc w:val="center"/>
        </w:trPr>
        <w:tc>
          <w:tcPr>
            <w:tcW w:w="3655" w:type="pct"/>
            <w:tcBorders>
              <w:top w:val="single" w:sz="4" w:space="0" w:color="auto"/>
              <w:left w:val="single" w:sz="4" w:space="0" w:color="auto"/>
              <w:bottom w:val="single" w:sz="4" w:space="0" w:color="auto"/>
              <w:right w:val="single" w:sz="4" w:space="0" w:color="auto"/>
            </w:tcBorders>
            <w:shd w:val="clear" w:color="auto" w:fill="auto"/>
          </w:tcPr>
          <w:p w14:paraId="1732D5F4" w14:textId="77777777" w:rsidR="00005FFE" w:rsidRPr="00F64E15" w:rsidRDefault="00005FFE">
            <w:pPr>
              <w:pStyle w:val="TableText"/>
            </w:pPr>
            <w:r w:rsidRPr="006E328A">
              <w:t>ASHRAE Planning Framework for Protecting Commercial Building Occupants from Smoke During Wildfire Events</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446BF58" w14:textId="77777777" w:rsidR="00005FFE" w:rsidRPr="00E11392" w:rsidRDefault="00005FFE">
            <w:pPr>
              <w:jc w:val="center"/>
              <w:rPr>
                <w:rFonts w:ascii="Arial" w:hAnsi="Arial" w:cs="Arial"/>
                <w:b/>
                <w:bCs/>
                <w:color w:val="00B050"/>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7927544E" w14:textId="77777777" w:rsidR="00005FFE" w:rsidRPr="00E11392" w:rsidRDefault="00005FFE">
            <w:pPr>
              <w:jc w:val="center"/>
              <w:rPr>
                <w:rFonts w:ascii="Arial" w:hAnsi="Arial" w:cs="Arial"/>
                <w:b/>
                <w:bCs/>
                <w:color w:val="00B050"/>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4DA1D28" w14:textId="77777777" w:rsidR="00005FFE" w:rsidRPr="00E11392" w:rsidRDefault="00005FFE">
            <w:pPr>
              <w:jc w:val="center"/>
              <w:rPr>
                <w:rFonts w:ascii="Arial" w:hAnsi="Arial" w:cs="Arial"/>
                <w:b/>
                <w:bCs/>
                <w:sz w:val="24"/>
              </w:rPr>
            </w:pPr>
            <w:r w:rsidRPr="00E11392">
              <w:rPr>
                <w:rFonts w:ascii="Arial" w:hAnsi="Arial" w:cs="Arial"/>
                <w:b/>
                <w:bCs/>
                <w:color w:val="00B050"/>
                <w:sz w:val="24"/>
              </w:rPr>
              <w:t>X</w:t>
            </w:r>
          </w:p>
        </w:tc>
      </w:tr>
    </w:tbl>
    <w:p w14:paraId="781038F9" w14:textId="77777777" w:rsidR="00005FFE" w:rsidRDefault="00005FFE" w:rsidP="006D7DE6">
      <w:pPr>
        <w:pStyle w:val="BodyTextFirstIndent"/>
      </w:pPr>
    </w:p>
    <w:p w14:paraId="6F84EE14" w14:textId="69E7AE22" w:rsidR="00005FFE" w:rsidRDefault="00005FFE" w:rsidP="00005FFE">
      <w:pPr>
        <w:pStyle w:val="Heading3"/>
      </w:pPr>
      <w:r>
        <w:lastRenderedPageBreak/>
        <w:t>Relevant Resources</w:t>
      </w:r>
    </w:p>
    <w:p w14:paraId="59AE770A" w14:textId="251613D3" w:rsidR="00005FFE" w:rsidRDefault="00005FFE" w:rsidP="006D7DE6">
      <w:pPr>
        <w:pStyle w:val="BodyTextFirstIndent"/>
      </w:pPr>
      <w:r>
        <w:fldChar w:fldCharType="begin"/>
      </w:r>
      <w:r>
        <w:instrText xml:space="preserve"> REF _Ref171628829 \h </w:instrText>
      </w:r>
      <w:r>
        <w:fldChar w:fldCharType="separate"/>
      </w:r>
      <w:r w:rsidR="00307850">
        <w:t xml:space="preserve">Table </w:t>
      </w:r>
      <w:r w:rsidR="00307850">
        <w:rPr>
          <w:noProof/>
        </w:rPr>
        <w:t>71</w:t>
      </w:r>
      <w:r>
        <w:fldChar w:fldCharType="end"/>
      </w:r>
      <w:r>
        <w:t xml:space="preserve"> provides a summary of resources related to reducing exposure to outdoor air pollutants at schools.</w:t>
      </w:r>
    </w:p>
    <w:p w14:paraId="1519AB8D" w14:textId="24C97ABC" w:rsidR="00005FFE" w:rsidRDefault="00005FFE" w:rsidP="00B30C96">
      <w:pPr>
        <w:pStyle w:val="TableTitle"/>
      </w:pPr>
      <w:bookmarkStart w:id="586" w:name="_Ref171628829"/>
      <w:bookmarkStart w:id="587" w:name="_Toc192711737"/>
      <w:bookmarkStart w:id="588" w:name="_Toc193112619"/>
      <w:bookmarkStart w:id="589" w:name="_Toc193117018"/>
      <w:r>
        <w:t xml:space="preserve">Table </w:t>
      </w:r>
      <w:fldSimple w:instr=" SEQ Table \* ARABIC ">
        <w:r w:rsidR="00307850">
          <w:rPr>
            <w:noProof/>
          </w:rPr>
          <w:t>71</w:t>
        </w:r>
      </w:fldSimple>
      <w:bookmarkEnd w:id="586"/>
      <w:r>
        <w:t>. Resources for Reducing Exposure to Outdoor Air Pollutants</w:t>
      </w:r>
      <w:bookmarkEnd w:id="587"/>
      <w:bookmarkEnd w:id="588"/>
      <w:bookmarkEnd w:id="589"/>
    </w:p>
    <w:tbl>
      <w:tblPr>
        <w:tblStyle w:val="TableGrid"/>
        <w:tblW w:w="0" w:type="auto"/>
        <w:tblLayout w:type="fixed"/>
        <w:tblLook w:val="04A0" w:firstRow="1" w:lastRow="0" w:firstColumn="1" w:lastColumn="0" w:noHBand="0" w:noVBand="1"/>
        <w:tblDescription w:val="Table listing resources with active URLs for reducing exposure to outdoor air pollutants."/>
      </w:tblPr>
      <w:tblGrid>
        <w:gridCol w:w="3415"/>
        <w:gridCol w:w="2250"/>
        <w:gridCol w:w="3685"/>
      </w:tblGrid>
      <w:tr w:rsidR="00005FFE" w:rsidRPr="00276B41" w14:paraId="42165222" w14:textId="77777777">
        <w:trPr>
          <w:tblHeader/>
        </w:trPr>
        <w:tc>
          <w:tcPr>
            <w:tcW w:w="3415" w:type="dxa"/>
            <w:shd w:val="clear" w:color="auto" w:fill="C6D9F1" w:themeFill="text2" w:themeFillTint="33"/>
          </w:tcPr>
          <w:p w14:paraId="14D70FCD" w14:textId="77777777" w:rsidR="00005FFE" w:rsidRPr="004C3A1C" w:rsidRDefault="00005FFE">
            <w:pPr>
              <w:pStyle w:val="TableColumnHeader"/>
            </w:pPr>
            <w:r w:rsidRPr="004C3A1C">
              <w:t>Resource</w:t>
            </w:r>
          </w:p>
        </w:tc>
        <w:tc>
          <w:tcPr>
            <w:tcW w:w="2250" w:type="dxa"/>
            <w:shd w:val="clear" w:color="auto" w:fill="C6D9F1" w:themeFill="text2" w:themeFillTint="33"/>
          </w:tcPr>
          <w:p w14:paraId="1985DB34" w14:textId="77777777" w:rsidR="00005FFE" w:rsidRPr="004C3A1C" w:rsidRDefault="00005FFE">
            <w:pPr>
              <w:pStyle w:val="TableColumnHeader"/>
            </w:pPr>
            <w:r w:rsidRPr="004C3A1C">
              <w:t>Author</w:t>
            </w:r>
          </w:p>
        </w:tc>
        <w:tc>
          <w:tcPr>
            <w:tcW w:w="3685" w:type="dxa"/>
            <w:shd w:val="clear" w:color="auto" w:fill="C6D9F1" w:themeFill="text2" w:themeFillTint="33"/>
          </w:tcPr>
          <w:p w14:paraId="3F37286A" w14:textId="77777777" w:rsidR="00005FFE" w:rsidRPr="004C3A1C" w:rsidRDefault="00005FFE">
            <w:pPr>
              <w:pStyle w:val="TableColumnHeader"/>
            </w:pPr>
            <w:r w:rsidRPr="004C3A1C">
              <w:t>URL</w:t>
            </w:r>
          </w:p>
        </w:tc>
      </w:tr>
      <w:tr w:rsidR="001B6F7C" w:rsidRPr="00984548" w14:paraId="1F92F194" w14:textId="77777777">
        <w:tc>
          <w:tcPr>
            <w:tcW w:w="3415" w:type="dxa"/>
          </w:tcPr>
          <w:p w14:paraId="5C1DAE16" w14:textId="1BE95EC6" w:rsidR="001B6F7C" w:rsidRPr="00EA4A10" w:rsidRDefault="001B6F7C">
            <w:pPr>
              <w:pStyle w:val="TableText"/>
            </w:pPr>
            <w:r>
              <w:t>Air Monitoring in Massachusetts</w:t>
            </w:r>
          </w:p>
        </w:tc>
        <w:tc>
          <w:tcPr>
            <w:tcW w:w="2250" w:type="dxa"/>
          </w:tcPr>
          <w:p w14:paraId="79AC5AEE" w14:textId="7919CC02" w:rsidR="001B6F7C" w:rsidRPr="009B2814" w:rsidRDefault="004605EA">
            <w:pPr>
              <w:pStyle w:val="TableText"/>
            </w:pPr>
            <w:r w:rsidRPr="009B2814">
              <w:t>M</w:t>
            </w:r>
            <w:r>
              <w:t>ass</w:t>
            </w:r>
            <w:r w:rsidRPr="009B2814">
              <w:t>DEP</w:t>
            </w:r>
          </w:p>
        </w:tc>
        <w:tc>
          <w:tcPr>
            <w:tcW w:w="3685" w:type="dxa"/>
          </w:tcPr>
          <w:p w14:paraId="64294D9A" w14:textId="44871F9A" w:rsidR="004605EA" w:rsidRDefault="004605EA" w:rsidP="004605EA">
            <w:pPr>
              <w:pStyle w:val="TableText"/>
            </w:pPr>
            <w:hyperlink r:id="rId322" w:history="1">
              <w:r w:rsidRPr="009F248E">
                <w:rPr>
                  <w:rStyle w:val="Hyperlink"/>
                </w:rPr>
                <w:t>https://www.mass.gov/air-monitoring-in-massachusetts</w:t>
              </w:r>
            </w:hyperlink>
          </w:p>
        </w:tc>
      </w:tr>
      <w:tr w:rsidR="00EA7F9C" w:rsidRPr="00984548" w14:paraId="0528CBA2" w14:textId="77777777">
        <w:tc>
          <w:tcPr>
            <w:tcW w:w="3415" w:type="dxa"/>
          </w:tcPr>
          <w:p w14:paraId="5BE9EC4C" w14:textId="4C400F47" w:rsidR="00EA7F9C" w:rsidRDefault="00EA7F9C">
            <w:pPr>
              <w:pStyle w:val="TableText"/>
            </w:pPr>
            <w:r>
              <w:t>Air Quality</w:t>
            </w:r>
          </w:p>
        </w:tc>
        <w:tc>
          <w:tcPr>
            <w:tcW w:w="2250" w:type="dxa"/>
          </w:tcPr>
          <w:p w14:paraId="381B0836" w14:textId="4F2ECC97" w:rsidR="00EA7F9C" w:rsidRPr="009B2814" w:rsidRDefault="00EA7F9C">
            <w:pPr>
              <w:pStyle w:val="TableText"/>
            </w:pPr>
            <w:r w:rsidRPr="009B2814">
              <w:t>M</w:t>
            </w:r>
            <w:r>
              <w:t>ass</w:t>
            </w:r>
            <w:r w:rsidRPr="009B2814">
              <w:t>DEP</w:t>
            </w:r>
          </w:p>
        </w:tc>
        <w:tc>
          <w:tcPr>
            <w:tcW w:w="3685" w:type="dxa"/>
          </w:tcPr>
          <w:p w14:paraId="0016C8FA" w14:textId="7BFBF0B9" w:rsidR="00EA7F9C" w:rsidRDefault="00EA7F9C" w:rsidP="00EA7F9C">
            <w:pPr>
              <w:pStyle w:val="TableText"/>
            </w:pPr>
            <w:hyperlink r:id="rId323" w:history="1">
              <w:r w:rsidRPr="009F248E">
                <w:rPr>
                  <w:rStyle w:val="Hyperlink"/>
                </w:rPr>
                <w:t>https://www.mass.gov/topics/air-quality</w:t>
              </w:r>
            </w:hyperlink>
          </w:p>
        </w:tc>
      </w:tr>
      <w:tr w:rsidR="00005FFE" w:rsidRPr="00984548" w14:paraId="5D3F961F" w14:textId="77777777">
        <w:tc>
          <w:tcPr>
            <w:tcW w:w="3415" w:type="dxa"/>
          </w:tcPr>
          <w:p w14:paraId="6D59C435" w14:textId="77777777" w:rsidR="00005FFE" w:rsidRPr="006019E0" w:rsidRDefault="00005FFE">
            <w:pPr>
              <w:pStyle w:val="TableText"/>
            </w:pPr>
            <w:r w:rsidRPr="00EA4A10">
              <w:t>Best Management Practices: Reducing Diesel Pollution at Schools</w:t>
            </w:r>
          </w:p>
        </w:tc>
        <w:tc>
          <w:tcPr>
            <w:tcW w:w="2250" w:type="dxa"/>
          </w:tcPr>
          <w:p w14:paraId="27C907A3" w14:textId="77777777" w:rsidR="00005FFE" w:rsidRPr="006019E0" w:rsidRDefault="00005FFE">
            <w:pPr>
              <w:pStyle w:val="TableText"/>
            </w:pPr>
            <w:r w:rsidRPr="009B2814">
              <w:t>M</w:t>
            </w:r>
            <w:r>
              <w:t>ass</w:t>
            </w:r>
            <w:r w:rsidRPr="009B2814">
              <w:t>DEP</w:t>
            </w:r>
          </w:p>
        </w:tc>
        <w:tc>
          <w:tcPr>
            <w:tcW w:w="3685" w:type="dxa"/>
          </w:tcPr>
          <w:p w14:paraId="6636BEB8" w14:textId="6F235E75" w:rsidR="00005FFE" w:rsidRDefault="00005FFE">
            <w:pPr>
              <w:pStyle w:val="TableText"/>
            </w:pPr>
            <w:hyperlink r:id="rId324" w:history="1">
              <w:r w:rsidRPr="00613B86">
                <w:rPr>
                  <w:rStyle w:val="Hyperlink"/>
                </w:rPr>
                <w:t>https://www.mass.gov/doc/massdep-best-management-practices-reducing-diesel-pollution-at-schools/download</w:t>
              </w:r>
            </w:hyperlink>
            <w:r>
              <w:t xml:space="preserve"> </w:t>
            </w:r>
          </w:p>
        </w:tc>
      </w:tr>
      <w:tr w:rsidR="00005FFE" w:rsidRPr="00984548" w14:paraId="1CD905D9" w14:textId="77777777">
        <w:tc>
          <w:tcPr>
            <w:tcW w:w="3415" w:type="dxa"/>
          </w:tcPr>
          <w:p w14:paraId="6B6F1813" w14:textId="77777777" w:rsidR="00005FFE" w:rsidRPr="00EA4A10" w:rsidRDefault="00005FFE">
            <w:pPr>
              <w:pStyle w:val="TableText"/>
            </w:pPr>
            <w:r>
              <w:t>Clearing the Air: An Asthma Toolkit for Healthy Schools</w:t>
            </w:r>
          </w:p>
        </w:tc>
        <w:tc>
          <w:tcPr>
            <w:tcW w:w="2250" w:type="dxa"/>
          </w:tcPr>
          <w:p w14:paraId="1FFB7190" w14:textId="77777777" w:rsidR="00005FFE" w:rsidRPr="009B2814" w:rsidRDefault="00005FFE">
            <w:pPr>
              <w:pStyle w:val="TableText"/>
            </w:pPr>
            <w:r>
              <w:t>DPH, Health Resources in Action, MA Asthma Action Partnership</w:t>
            </w:r>
          </w:p>
        </w:tc>
        <w:tc>
          <w:tcPr>
            <w:tcW w:w="3685" w:type="dxa"/>
          </w:tcPr>
          <w:p w14:paraId="0C406114" w14:textId="79FCBC93" w:rsidR="00005FFE" w:rsidRDefault="00005FFE">
            <w:pPr>
              <w:pStyle w:val="TableText"/>
            </w:pPr>
            <w:hyperlink r:id="rId325" w:history="1">
              <w:r w:rsidRPr="006F28B8">
                <w:rPr>
                  <w:rStyle w:val="Hyperlink"/>
                </w:rPr>
                <w:t>https://www.maasthma.org/toolkit/outdoorairpollution</w:t>
              </w:r>
            </w:hyperlink>
            <w:r>
              <w:t xml:space="preserve"> </w:t>
            </w:r>
          </w:p>
        </w:tc>
      </w:tr>
      <w:tr w:rsidR="00005FFE" w:rsidRPr="00984548" w14:paraId="3FFDA8AB" w14:textId="77777777">
        <w:tc>
          <w:tcPr>
            <w:tcW w:w="3415" w:type="dxa"/>
          </w:tcPr>
          <w:p w14:paraId="4CC2178B" w14:textId="77777777" w:rsidR="00005FFE" w:rsidRDefault="00005FFE">
            <w:pPr>
              <w:pStyle w:val="TableText"/>
            </w:pPr>
            <w:r w:rsidRPr="006019E0">
              <w:t>Engine Idling Guidance for School Bus Drivers</w:t>
            </w:r>
          </w:p>
        </w:tc>
        <w:tc>
          <w:tcPr>
            <w:tcW w:w="2250" w:type="dxa"/>
          </w:tcPr>
          <w:p w14:paraId="4D0E14CC" w14:textId="77777777" w:rsidR="00005FFE" w:rsidRDefault="00005FFE">
            <w:pPr>
              <w:pStyle w:val="TableText"/>
            </w:pPr>
            <w:r w:rsidRPr="006019E0">
              <w:t>M</w:t>
            </w:r>
            <w:r>
              <w:t>ass</w:t>
            </w:r>
            <w:r w:rsidRPr="006019E0">
              <w:t>DEP</w:t>
            </w:r>
          </w:p>
        </w:tc>
        <w:tc>
          <w:tcPr>
            <w:tcW w:w="3685" w:type="dxa"/>
          </w:tcPr>
          <w:p w14:paraId="3040C621" w14:textId="4CEF49F3" w:rsidR="00005FFE" w:rsidRDefault="00005FFE">
            <w:pPr>
              <w:pStyle w:val="TableText"/>
            </w:pPr>
            <w:hyperlink r:id="rId326" w:history="1">
              <w:r w:rsidRPr="00613B86">
                <w:rPr>
                  <w:rStyle w:val="Hyperlink"/>
                </w:rPr>
                <w:t>https://www.mass.gov/doc/engine-idling-guidance-for-school-bus-drivers/download</w:t>
              </w:r>
            </w:hyperlink>
            <w:r>
              <w:t xml:space="preserve"> </w:t>
            </w:r>
          </w:p>
        </w:tc>
      </w:tr>
      <w:tr w:rsidR="00005FFE" w:rsidRPr="00984548" w14:paraId="0ADCB4C8" w14:textId="77777777">
        <w:tc>
          <w:tcPr>
            <w:tcW w:w="3415" w:type="dxa"/>
          </w:tcPr>
          <w:p w14:paraId="013C894F" w14:textId="77777777" w:rsidR="00005FFE" w:rsidRDefault="00005FFE">
            <w:pPr>
              <w:pStyle w:val="TableText"/>
            </w:pPr>
            <w:r>
              <w:t>MassAir Online</w:t>
            </w:r>
          </w:p>
        </w:tc>
        <w:tc>
          <w:tcPr>
            <w:tcW w:w="2250" w:type="dxa"/>
          </w:tcPr>
          <w:p w14:paraId="0A6C3F5E" w14:textId="77777777" w:rsidR="00005FFE" w:rsidRDefault="00005FFE">
            <w:pPr>
              <w:pStyle w:val="TableText"/>
            </w:pPr>
            <w:r>
              <w:t>MassDEP</w:t>
            </w:r>
          </w:p>
        </w:tc>
        <w:tc>
          <w:tcPr>
            <w:tcW w:w="3685" w:type="dxa"/>
          </w:tcPr>
          <w:p w14:paraId="75C7BE4E" w14:textId="5241E7AD" w:rsidR="00005FFE" w:rsidRDefault="00005FFE">
            <w:pPr>
              <w:pStyle w:val="TableText"/>
            </w:pPr>
            <w:hyperlink r:id="rId327" w:anchor="/pollution/map/max">
              <w:r w:rsidRPr="1938AD3F">
                <w:rPr>
                  <w:rStyle w:val="Hyperlink"/>
                </w:rPr>
                <w:t>https://eeaonline.eea.state.ma.us/dep/massair/web/#/pollution/map/max</w:t>
              </w:r>
            </w:hyperlink>
            <w:r>
              <w:t xml:space="preserve"> </w:t>
            </w:r>
          </w:p>
        </w:tc>
      </w:tr>
      <w:tr w:rsidR="00005FFE" w:rsidRPr="00984548" w14:paraId="78193E4A" w14:textId="77777777">
        <w:tc>
          <w:tcPr>
            <w:tcW w:w="3415" w:type="dxa"/>
          </w:tcPr>
          <w:p w14:paraId="501010E1" w14:textId="77777777" w:rsidR="00005FFE" w:rsidRDefault="00005FFE">
            <w:pPr>
              <w:pStyle w:val="TableText"/>
            </w:pPr>
            <w:r>
              <w:t>Air Quality Flag Program</w:t>
            </w:r>
          </w:p>
        </w:tc>
        <w:tc>
          <w:tcPr>
            <w:tcW w:w="2250" w:type="dxa"/>
          </w:tcPr>
          <w:p w14:paraId="136478BC" w14:textId="77777777" w:rsidR="00005FFE" w:rsidRDefault="00005FFE">
            <w:pPr>
              <w:pStyle w:val="TableText"/>
            </w:pPr>
            <w:r>
              <w:t>AirNow</w:t>
            </w:r>
          </w:p>
        </w:tc>
        <w:tc>
          <w:tcPr>
            <w:tcW w:w="3685" w:type="dxa"/>
          </w:tcPr>
          <w:p w14:paraId="1078747B" w14:textId="5012BCCC" w:rsidR="00005FFE" w:rsidRDefault="00005FFE">
            <w:pPr>
              <w:pStyle w:val="TableText"/>
            </w:pPr>
            <w:hyperlink r:id="rId328">
              <w:r w:rsidRPr="1938AD3F">
                <w:rPr>
                  <w:rStyle w:val="Hyperlink"/>
                </w:rPr>
                <w:t>https://www.airnow.gov/air-quality-flag-program/schools/</w:t>
              </w:r>
            </w:hyperlink>
            <w:r>
              <w:t xml:space="preserve"> </w:t>
            </w:r>
          </w:p>
        </w:tc>
      </w:tr>
      <w:tr w:rsidR="00005FFE" w:rsidRPr="00984548" w14:paraId="40220930" w14:textId="77777777">
        <w:tc>
          <w:tcPr>
            <w:tcW w:w="3415" w:type="dxa"/>
          </w:tcPr>
          <w:p w14:paraId="7B779224" w14:textId="77777777" w:rsidR="00005FFE" w:rsidRPr="006019E0" w:rsidRDefault="00005FFE">
            <w:pPr>
              <w:pStyle w:val="TableText"/>
            </w:pPr>
            <w:r w:rsidRPr="003753A7">
              <w:t>Best Practices for Reducing Near-Road Pollution Exposure at Schools</w:t>
            </w:r>
          </w:p>
        </w:tc>
        <w:tc>
          <w:tcPr>
            <w:tcW w:w="2250" w:type="dxa"/>
          </w:tcPr>
          <w:p w14:paraId="352E799F" w14:textId="77777777" w:rsidR="00005FFE" w:rsidRPr="006019E0" w:rsidRDefault="00005FFE">
            <w:pPr>
              <w:pStyle w:val="TableText"/>
            </w:pPr>
            <w:r w:rsidRPr="009B2814">
              <w:t>US EPA</w:t>
            </w:r>
          </w:p>
        </w:tc>
        <w:tc>
          <w:tcPr>
            <w:tcW w:w="3685" w:type="dxa"/>
          </w:tcPr>
          <w:p w14:paraId="52FC9D0E" w14:textId="662396E0" w:rsidR="00005FFE" w:rsidRDefault="00005FFE">
            <w:pPr>
              <w:pStyle w:val="TableText"/>
            </w:pPr>
            <w:hyperlink r:id="rId329" w:history="1">
              <w:r w:rsidRPr="00613B86">
                <w:rPr>
                  <w:rStyle w:val="Hyperlink"/>
                </w:rPr>
                <w:t>https://nepis.epa.gov/Exe/ZyPDF.cgi?Dockey=P1013GDE.pdf</w:t>
              </w:r>
            </w:hyperlink>
            <w:r>
              <w:t xml:space="preserve"> </w:t>
            </w:r>
          </w:p>
        </w:tc>
      </w:tr>
      <w:tr w:rsidR="00ED1458" w:rsidRPr="00984548" w14:paraId="08E38BB5" w14:textId="77777777">
        <w:tc>
          <w:tcPr>
            <w:tcW w:w="3415" w:type="dxa"/>
          </w:tcPr>
          <w:p w14:paraId="09BF2C68" w14:textId="5F972FD5" w:rsidR="00ED1458" w:rsidRPr="003753A7" w:rsidRDefault="00ED1458">
            <w:pPr>
              <w:pStyle w:val="TableText"/>
            </w:pPr>
            <w:r>
              <w:t>Healthy Air Network</w:t>
            </w:r>
          </w:p>
        </w:tc>
        <w:tc>
          <w:tcPr>
            <w:tcW w:w="2250" w:type="dxa"/>
          </w:tcPr>
          <w:p w14:paraId="06175871" w14:textId="2FEF2C05" w:rsidR="00ED1458" w:rsidRPr="009B2814" w:rsidRDefault="00D24C64">
            <w:pPr>
              <w:pStyle w:val="TableText"/>
            </w:pPr>
            <w:r>
              <w:t>Public Health Institute of Western Massachusetts</w:t>
            </w:r>
          </w:p>
        </w:tc>
        <w:tc>
          <w:tcPr>
            <w:tcW w:w="3685" w:type="dxa"/>
          </w:tcPr>
          <w:p w14:paraId="6BD6A0F7" w14:textId="42881D60" w:rsidR="00ED1458" w:rsidRDefault="00D24C64">
            <w:pPr>
              <w:pStyle w:val="TableText"/>
            </w:pPr>
            <w:hyperlink r:id="rId330" w:history="1">
              <w:r w:rsidRPr="009F248E">
                <w:rPr>
                  <w:rStyle w:val="Hyperlink"/>
                </w:rPr>
                <w:t>https://www.publichealthwm.org/healthy-air-network</w:t>
              </w:r>
            </w:hyperlink>
          </w:p>
          <w:p w14:paraId="48A8A58A" w14:textId="65E08A30" w:rsidR="00D24C64" w:rsidRDefault="00D24C64">
            <w:pPr>
              <w:pStyle w:val="TableText"/>
            </w:pPr>
          </w:p>
        </w:tc>
      </w:tr>
      <w:tr w:rsidR="00005FFE" w:rsidRPr="00984548" w14:paraId="69C9FE3D" w14:textId="77777777">
        <w:tc>
          <w:tcPr>
            <w:tcW w:w="3415" w:type="dxa"/>
          </w:tcPr>
          <w:p w14:paraId="74C74DE0" w14:textId="77777777" w:rsidR="00005FFE" w:rsidRDefault="00005FFE">
            <w:pPr>
              <w:pStyle w:val="TableText"/>
              <w:rPr>
                <w:highlight w:val="yellow"/>
              </w:rPr>
            </w:pPr>
            <w:r>
              <w:t>NE-</w:t>
            </w:r>
            <w:r w:rsidRPr="001B4DC8">
              <w:t>CHPS Criteria for New Construction and Renovations Assessment Tool</w:t>
            </w:r>
          </w:p>
        </w:tc>
        <w:tc>
          <w:tcPr>
            <w:tcW w:w="2250" w:type="dxa"/>
          </w:tcPr>
          <w:p w14:paraId="1D03899B" w14:textId="77777777" w:rsidR="00005FFE" w:rsidRPr="009B2814" w:rsidRDefault="00005FFE">
            <w:pPr>
              <w:pStyle w:val="TableText"/>
            </w:pPr>
            <w:r>
              <w:t>NE-CHPS</w:t>
            </w:r>
          </w:p>
        </w:tc>
        <w:tc>
          <w:tcPr>
            <w:tcW w:w="3685" w:type="dxa"/>
          </w:tcPr>
          <w:p w14:paraId="2BC2C345" w14:textId="5A42E5EA" w:rsidR="00005FFE" w:rsidRDefault="00005FFE">
            <w:pPr>
              <w:pStyle w:val="TableText"/>
            </w:pPr>
            <w:hyperlink r:id="rId331" w:history="1">
              <w:r w:rsidRPr="00613B86">
                <w:rPr>
                  <w:rStyle w:val="Hyperlink"/>
                </w:rPr>
                <w:t>https://neep.org/sites/default/files/media-files/NE%20CHPS%20v4.0%20Clean%20Final%20Draft%20May%202022.pdf</w:t>
              </w:r>
            </w:hyperlink>
            <w:r>
              <w:t xml:space="preserve"> </w:t>
            </w:r>
          </w:p>
        </w:tc>
      </w:tr>
    </w:tbl>
    <w:p w14:paraId="052B51A4" w14:textId="77777777" w:rsidR="00005FFE" w:rsidRPr="00263A6B" w:rsidRDefault="00005FFE" w:rsidP="00005FFE"/>
    <w:p w14:paraId="7D88D60A" w14:textId="77777777" w:rsidR="00133A94" w:rsidRDefault="00133A94">
      <w:pPr>
        <w:rPr>
          <w:rFonts w:ascii="Arial" w:hAnsi="Arial"/>
          <w:b/>
          <w:bCs/>
          <w:color w:val="1F497D" w:themeColor="text2"/>
          <w:sz w:val="28"/>
          <w:szCs w:val="28"/>
        </w:rPr>
      </w:pPr>
      <w:r>
        <w:br w:type="page"/>
      </w:r>
    </w:p>
    <w:p w14:paraId="41DB3FCC" w14:textId="4B0442F0" w:rsidR="00FD43CA" w:rsidRDefault="00FD43CA" w:rsidP="001C7888">
      <w:pPr>
        <w:pStyle w:val="Heading2"/>
      </w:pPr>
      <w:bookmarkStart w:id="590" w:name="_Toc193116934"/>
      <w:r>
        <w:lastRenderedPageBreak/>
        <w:t>Objective 2b. Improve Water Quality</w:t>
      </w:r>
      <w:bookmarkEnd w:id="590"/>
    </w:p>
    <w:p w14:paraId="22276906" w14:textId="1D939671" w:rsidR="00E96112" w:rsidRDefault="00630894" w:rsidP="00E96112">
      <w:pPr>
        <w:pStyle w:val="AirQualitySubheading"/>
      </w:pPr>
      <w:bookmarkStart w:id="591" w:name="SectVII_2b1"/>
      <w:bookmarkEnd w:id="591"/>
      <w:r>
        <w:t>2b(1)</w:t>
      </w:r>
      <w:r>
        <w:tab/>
      </w:r>
      <w:r w:rsidR="00E96112" w:rsidRPr="00E96112">
        <w:t>Reduce Exposure to Lead in Drinking Water</w:t>
      </w:r>
    </w:p>
    <w:p w14:paraId="7BC7D489" w14:textId="77777777" w:rsidR="00662DC8" w:rsidRDefault="00662DC8" w:rsidP="00662DC8">
      <w:pPr>
        <w:pStyle w:val="Heading3"/>
      </w:pPr>
      <w:r>
        <w:t>Methods and Best Practices</w:t>
      </w:r>
    </w:p>
    <w:p w14:paraId="3C31865A" w14:textId="716D253D" w:rsidR="00662DC8" w:rsidRPr="00645F0D" w:rsidRDefault="00662DC8" w:rsidP="006D7DE6">
      <w:pPr>
        <w:pStyle w:val="BodyTextFirstIndent"/>
      </w:pPr>
      <w:r>
        <w:t xml:space="preserve">The following best practices aim to identify lead sources in drinking water, create communication, sampling, and testing plans, and remediate </w:t>
      </w:r>
      <w:r w:rsidR="00055536">
        <w:t>lead</w:t>
      </w:r>
      <w:r w:rsidR="00063740">
        <w:t xml:space="preserve"> </w:t>
      </w:r>
      <w:r>
        <w:t xml:space="preserve">contamination drinking water in schools. </w:t>
      </w:r>
    </w:p>
    <w:p w14:paraId="52FC0AD4" w14:textId="77777777" w:rsidR="00662DC8" w:rsidRDefault="00662DC8" w:rsidP="00662DC8">
      <w:pPr>
        <w:pStyle w:val="Heading5"/>
      </w:pPr>
      <w:r>
        <w:t xml:space="preserve">(1) Be familiar with the school’s water source and condition of the school’s plumbing system </w:t>
      </w:r>
    </w:p>
    <w:p w14:paraId="2A384294" w14:textId="6E8DFCE3" w:rsidR="00662DC8" w:rsidRDefault="00662DC8" w:rsidP="006D7DE6">
      <w:pPr>
        <w:pStyle w:val="BodyTextFirstIndent"/>
      </w:pPr>
      <w:r>
        <w:t>An important first step when dealing with water quality concerns is identifying the school’s drinking water source.</w:t>
      </w:r>
      <w:r>
        <w:fldChar w:fldCharType="begin"/>
      </w:r>
      <w:r w:rsidR="00A174CE">
        <w:instrText xml:space="preserve"> ADDIN ZOTERO_ITEM CSL_CITATION {"citationID":"8fNunxSs","properties":{"formattedCitation":"\\super 321\\nosupersub{}","plainCitation":"321","noteIndex":0},"citationItems":[{"id":537,"uris":["http://zotero.org/groups/5563646/items/QL4VA26Z"],"itemData":{"id":537,"type":"document","title":"Healthy Hydration: Ensuring Access to Safe Water in Schools","author":[{"family":"National Drinking Water Alliance","given":""}]}}],"schema":"https://github.com/citation-style-language/schema/raw/master/csl-citation.json"} </w:instrText>
      </w:r>
      <w:r>
        <w:fldChar w:fldCharType="separate"/>
      </w:r>
      <w:r w:rsidR="00A174CE" w:rsidRPr="00A174CE">
        <w:rPr>
          <w:rFonts w:cs="Arial"/>
          <w:sz w:val="22"/>
          <w:vertAlign w:val="superscript"/>
        </w:rPr>
        <w:t>321</w:t>
      </w:r>
      <w:r>
        <w:fldChar w:fldCharType="end"/>
      </w:r>
      <w:r>
        <w:t xml:space="preserve"> Additionally, it is essential to be aware of the condition of the plumbing system in schools since corroded systems can leach lead.</w:t>
      </w:r>
      <w:r>
        <w:fldChar w:fldCharType="begin"/>
      </w:r>
      <w:r w:rsidR="006D39DC">
        <w:instrText xml:space="preserve"> ADDIN ZOTERO_ITEM CSL_CITATION {"citationID":"raKHhlkJ","properties":{"formattedCitation":"\\super 122\\nosupersub{}","plainCitation":"122","noteIndex":0},"citationItems":[{"id":536,"uris":["http://zotero.org/groups/5563646/items/J2Q444ZQ"],"itemData":{"id":536,"type":"document","title":"Best Management Practices: Reducing and Monitoring Lead in Schools and Childcare Facilities","author":[{"family":"CT DPH","given":""}]}}],"schema":"https://github.com/citation-style-language/schema/raw/master/csl-citation.json"} </w:instrText>
      </w:r>
      <w:r>
        <w:fldChar w:fldCharType="separate"/>
      </w:r>
      <w:r w:rsidR="006D39DC" w:rsidRPr="006D39DC">
        <w:rPr>
          <w:rFonts w:cs="Arial"/>
          <w:sz w:val="22"/>
          <w:vertAlign w:val="superscript"/>
        </w:rPr>
        <w:t>122</w:t>
      </w:r>
      <w:r>
        <w:fldChar w:fldCharType="end"/>
      </w:r>
      <w:r>
        <w:t xml:space="preserve"> It is helpful to know how water enters and flows through schools and to have documented plumbing configurations for the building.</w:t>
      </w:r>
      <w:r>
        <w:fldChar w:fldCharType="begin"/>
      </w:r>
      <w:r w:rsidR="00F211D6">
        <w:instrText xml:space="preserve"> ADDIN ZOTERO_ITEM CSL_CITATION {"citationID":"zkHc2Mdp","properties":{"formattedCitation":"\\super 322\\nosupersub{}","plainCitation":"322","noteIndex":0},"citationItems":[{"id":534,"uris":["http://zotero.org/groups/5563646/items/J9W9R3SR"],"itemData":{"id":534,"type":"article-journal","language":"en","source":"Zotero","title":"Ensuring Drinking Water Quality in Schools During and After Extended Closures","author":[{"family":"US EPA","given":""}]}}],"schema":"https://github.com/citation-style-language/schema/raw/master/csl-citation.json"} </w:instrText>
      </w:r>
      <w:r>
        <w:fldChar w:fldCharType="separate"/>
      </w:r>
      <w:r w:rsidR="00F211D6" w:rsidRPr="00F211D6">
        <w:rPr>
          <w:rFonts w:cs="Arial"/>
          <w:sz w:val="22"/>
          <w:vertAlign w:val="superscript"/>
        </w:rPr>
        <w:t>322</w:t>
      </w:r>
      <w:r>
        <w:fldChar w:fldCharType="end"/>
      </w:r>
      <w:r>
        <w:t xml:space="preserve"> A water professional, such as a qualified plumber, may be able to assist schools in determining their plumbing configuration, ensure the system is functioning adequately, and identify lead-based or galvanized service lines and faucets.</w:t>
      </w:r>
      <w:r>
        <w:fldChar w:fldCharType="begin"/>
      </w:r>
      <w:r w:rsidR="003C7F15">
        <w:instrText xml:space="preserve"> ADDIN ZOTERO_ITEM CSL_CITATION {"citationID":"Kzdvcw6I","properties":{"formattedCitation":"\\super 287,322\\nosupersub{}","plainCitation":"287,322","noteIndex":0},"citationItems":[{"id":534,"uris":["http://zotero.org/groups/5563646/items/J9W9R3SR"],"itemData":{"id":534,"type":"article-journal","language":"en","source":"Zotero","title":"Ensuring Drinking Water Quality in Schools During and After Extended Closures","author":[{"family":"US EPA","given":""}]}},{"id":13,"uris":["http://zotero.org/groups/5563646/items/ASKMUJY7"],"itemData":{"id":13,"type":"report","title":"Checklist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3C7F15" w:rsidRPr="003C7F15">
        <w:rPr>
          <w:rFonts w:cs="Arial"/>
          <w:sz w:val="22"/>
          <w:vertAlign w:val="superscript"/>
        </w:rPr>
        <w:t>287,322</w:t>
      </w:r>
      <w:r>
        <w:fldChar w:fldCharType="end"/>
      </w:r>
      <w:r>
        <w:t xml:space="preserve">    </w:t>
      </w:r>
    </w:p>
    <w:p w14:paraId="4B5F0041" w14:textId="77777777" w:rsidR="00662DC8" w:rsidRDefault="00662DC8" w:rsidP="00662DC8">
      <w:pPr>
        <w:pStyle w:val="Heading5"/>
      </w:pPr>
      <w:r>
        <w:t>(2) Create a communication plan to notify stakeholders and build partnerships</w:t>
      </w:r>
    </w:p>
    <w:p w14:paraId="1699AB50" w14:textId="78BFA7C9" w:rsidR="00662DC8" w:rsidRDefault="00662DC8" w:rsidP="006D7DE6">
      <w:pPr>
        <w:pStyle w:val="BodyTextFirstIndent"/>
      </w:pPr>
      <w:r>
        <w:t>The only way to know if lead is present in drinking water is to test, though before developing a sampling plan, it is essential that schools first create a communication plan.</w:t>
      </w:r>
      <w:r>
        <w:fldChar w:fldCharType="begin"/>
      </w:r>
      <w:r w:rsidR="00F96C2C">
        <w:instrText xml:space="preserve"> ADDIN ZOTERO_ITEM CSL_CITATION {"citationID":"yDxbUfy1","properties":{"formattedCitation":"\\super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F96C2C" w:rsidRPr="00F96C2C">
        <w:rPr>
          <w:rFonts w:cs="Arial"/>
          <w:sz w:val="22"/>
          <w:vertAlign w:val="superscript"/>
        </w:rPr>
        <w:t>121</w:t>
      </w:r>
      <w:r>
        <w:fldChar w:fldCharType="end"/>
      </w:r>
      <w:r>
        <w:t xml:space="preserve"> The plan should be written for stakeholders such as staff, parents, students, public water system officials, and local elected officials. It should also detail how stakeholders will be notified regarding the health impacts of lead in drinking water, sources of lead in drinking water, sampling plans, and any results from testing. Further, schools should work to build partnerships with local community organizations or state drinking water programs to assist in communicating relevant and factual information.</w:t>
      </w:r>
      <w:r>
        <w:fldChar w:fldCharType="begin"/>
      </w:r>
      <w:r w:rsidR="004D1621">
        <w:instrText xml:space="preserve"> ADDIN ZOTERO_ITEM CSL_CITATION {"citationID":"L2Asat0G","properties":{"formattedCitation":"\\super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4D1621" w:rsidRPr="004D1621">
        <w:rPr>
          <w:rFonts w:cs="Arial"/>
          <w:sz w:val="22"/>
          <w:vertAlign w:val="superscript"/>
        </w:rPr>
        <w:t>121</w:t>
      </w:r>
      <w:r>
        <w:fldChar w:fldCharType="end"/>
      </w:r>
    </w:p>
    <w:p w14:paraId="204DCC8B" w14:textId="33B59AEE" w:rsidR="00662DC8" w:rsidRDefault="00662DC8" w:rsidP="00662DC8">
      <w:pPr>
        <w:pStyle w:val="Heading5"/>
      </w:pPr>
      <w:r>
        <w:t xml:space="preserve">(3) Implement a water sampling plan </w:t>
      </w:r>
      <w:r w:rsidR="00663C8C">
        <w:t>in</w:t>
      </w:r>
      <w:r>
        <w:t xml:space="preserve"> compliance with state guidance</w:t>
      </w:r>
    </w:p>
    <w:p w14:paraId="63ACB7FA" w14:textId="69A4F459" w:rsidR="00662DC8" w:rsidRDefault="00662DC8" w:rsidP="006D7DE6">
      <w:pPr>
        <w:pStyle w:val="BodyTextFirstIndent"/>
        <w:rPr>
          <w:rFonts w:cs="Arial"/>
          <w:sz w:val="22"/>
          <w:szCs w:val="22"/>
          <w:vertAlign w:val="superscript"/>
        </w:rPr>
      </w:pPr>
      <w:r>
        <w:t>It is important that all schools have a well-developed water sampling and testing plan to compl</w:t>
      </w:r>
      <w:r w:rsidR="00E74F58">
        <w:t>y</w:t>
      </w:r>
      <w:r>
        <w:t xml:space="preserve"> with state guidance. The first step of this plan should be to conduct a walk-through of the school to identify all sinks and fountains that provide water meant for consumption and to document the presence of aerators and filters.</w:t>
      </w:r>
      <w:r>
        <w:fldChar w:fldCharType="begin"/>
      </w:r>
      <w:r w:rsidR="00F55778">
        <w:instrText xml:space="preserve"> ADDIN ZOTERO_ITEM CSL_CITATION {"citationID":"nEYc1JMJ","properties":{"formattedCitation":"\\super 121,323\\nosupersub{}","plainCitation":"121,323","noteIndex":0},"citationItems":[{"id":539,"uris":["http://zotero.org/groups/5563646/items/JJIWVTZ7"],"itemData":{"id":539,"type":"article-journal","language":"en","source":"Zotero","title":"3Ts for Reducing Lead in Drinking Water in Schools and Child Care Facilities","author":[{"family":"US EPA","given":""}],"issued":{"date-parts":[["2018",10]]}}},{"id":538,"uris":["http://zotero.org/groups/5563646/items/QWZFQQT5"],"itemData":{"id":538,"type":"article-journal","language":"en","source":"Zotero","title":"3Ts Checklist - Establishing a Lead Testing Program","author":[{"family":"US EPA","given":""}]}}],"schema":"https://github.com/citation-style-language/schema/raw/master/csl-citation.json"} </w:instrText>
      </w:r>
      <w:r>
        <w:fldChar w:fldCharType="separate"/>
      </w:r>
      <w:r w:rsidR="00F55778" w:rsidRPr="00F55778">
        <w:rPr>
          <w:rFonts w:cs="Arial"/>
          <w:sz w:val="22"/>
          <w:vertAlign w:val="superscript"/>
        </w:rPr>
        <w:t>121,323</w:t>
      </w:r>
      <w:r>
        <w:fldChar w:fldCharType="end"/>
      </w:r>
      <w:r>
        <w:t xml:space="preserve"> Based on the information collected from the walk-through, determine which drinking water sources to sample. Multiple sources should be chosen, and they should be representative of all potential drinking water outlets, such as drinking fountains, kitchen sinks and kettles, classroom sinks, etc.</w:t>
      </w:r>
      <w:r>
        <w:fldChar w:fldCharType="begin"/>
      </w:r>
      <w:r w:rsidR="004777E0">
        <w:instrText xml:space="preserve"> ADDIN ZOTERO_ITEM CSL_CITATION {"citationID":"X6v5Nsds","properties":{"formattedCitation":"\\super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4777E0" w:rsidRPr="004777E0">
        <w:rPr>
          <w:rFonts w:cs="Arial"/>
          <w:sz w:val="22"/>
          <w:vertAlign w:val="superscript"/>
        </w:rPr>
        <w:t>121</w:t>
      </w:r>
      <w:r>
        <w:fldChar w:fldCharType="end"/>
      </w:r>
    </w:p>
    <w:p w14:paraId="741AD699" w14:textId="3A7FAC38" w:rsidR="00662DC8" w:rsidRDefault="00662DC8" w:rsidP="006D7DE6">
      <w:pPr>
        <w:pStyle w:val="BodyTextFirstIndent"/>
      </w:pPr>
      <w:r>
        <w:t>Before sampling, schools should identify a Massachusetts-certified laboratory to analyze the water samples for lead.</w:t>
      </w:r>
      <w:r>
        <w:fldChar w:fldCharType="begin"/>
      </w:r>
      <w:r w:rsidR="000E40D2">
        <w:instrText xml:space="preserve"> ADDIN ZOTERO_ITEM CSL_CITATION {"citationID":"HqPRSOcf","properties":{"formattedCitation":"\\super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0E40D2" w:rsidRPr="000E40D2">
        <w:rPr>
          <w:rFonts w:cs="Arial"/>
          <w:sz w:val="22"/>
          <w:vertAlign w:val="superscript"/>
        </w:rPr>
        <w:t>121</w:t>
      </w:r>
      <w:r>
        <w:fldChar w:fldCharType="end"/>
      </w:r>
      <w:r>
        <w:t xml:space="preserve"> Laboratories should provide details on sampling methodology, though MassDEP also provides the following information: 1) designate a </w:t>
      </w:r>
      <w:r>
        <w:lastRenderedPageBreak/>
        <w:t>school employee to lead the sampling plan or hire an experienced consultant, 2) create a diagram of where samples will be taken and assign an identification code to each location, and 3) record detailed notes during sampling such as the date and time of sampling and observations for each location (i.e., type of water source, whether an aerator or filter is present).</w:t>
      </w:r>
      <w:r>
        <w:fldChar w:fldCharType="begin"/>
      </w:r>
      <w:r w:rsidR="00B35077">
        <w:instrText xml:space="preserve"> ADDIN ZOTERO_ITEM CSL_CITATION {"citationID":"lM4MV9X3","properties":{"formattedCitation":"\\super 324,325\\nosupersub{}","plainCitation":"324,325","noteIndex":0},"citationItems":[{"id":728,"uris":["http://zotero.org/groups/5563646/items/QZSZEJ67"],"itemData":{"id":728,"type":"webpage","title":"The Lead Contamination Control Act (LLCA)","URL":"https://www.mass.gov/info-details/the-lead-contamination-control-act-lcca#:~:text=MassDEP's%20LCCA%20program%20recommends%20that,possible%20concentration%20of%20lead%20is","author":[{"family":"MA DEP","given":""}]}},{"id":532,"uris":["http://zotero.org/groups/5563646/items/J9SFKGYR"],"itemData":{"id":532,"type":"article-journal","language":"en","source":"Zotero","title":"Massachusetts Assistance Program for Lead in School Drinking Water","author":[{"family":"Tobiason","given":"John E"},{"family":"Ram","given":"Kavya"},{"family":"Hatte","given":"Marie-Françoise"},{"family":"Larson","given":"Richard"},{"family":"Reckhow","given":"David A"}],"issued":{"date-parts":[["2018"]]}}}],"schema":"https://github.com/citation-style-language/schema/raw/master/csl-citation.json"} </w:instrText>
      </w:r>
      <w:r>
        <w:fldChar w:fldCharType="separate"/>
      </w:r>
      <w:r w:rsidR="00B35077" w:rsidRPr="00B35077">
        <w:rPr>
          <w:rFonts w:cs="Arial"/>
          <w:sz w:val="22"/>
          <w:vertAlign w:val="superscript"/>
        </w:rPr>
        <w:t>324,325</w:t>
      </w:r>
      <w:r>
        <w:fldChar w:fldCharType="end"/>
      </w:r>
      <w:r>
        <w:t xml:space="preserve"> Some essential things to note are to always sample taps/outlets with aerators or filters attached if water is normally obtained using such measures and to never sample immediately after an extended closure or following a facility flush of the plumbing system.</w:t>
      </w:r>
      <w:r>
        <w:fldChar w:fldCharType="begin"/>
      </w:r>
      <w:r w:rsidR="00C31C74">
        <w:instrText xml:space="preserve"> ADDIN ZOTERO_ITEM CSL_CITATION {"citationID":"KdQFk0f0","properties":{"formattedCitation":"\\super 121,322\\nosupersub{}","plainCitation":"121,322","noteIndex":0},"citationItems":[{"id":539,"uris":["http://zotero.org/groups/5563646/items/JJIWVTZ7"],"itemData":{"id":539,"type":"article-journal","language":"en","source":"Zotero","title":"3Ts for Reducing Lead in Drinking Water in Schools and Child Care Facilities","author":[{"family":"US EPA","given":""}],"issued":{"date-parts":[["2018",10]]}}},{"id":534,"uris":["http://zotero.org/groups/5563646/items/J9W9R3SR"],"itemData":{"id":534,"type":"article-journal","language":"en","source":"Zotero","title":"Ensuring Drinking Water Quality in Schools During and After Extended Closures","author":[{"family":"US EPA","given":""}]}}],"schema":"https://github.com/citation-style-language/schema/raw/master/csl-citation.json"} </w:instrText>
      </w:r>
      <w:r>
        <w:fldChar w:fldCharType="separate"/>
      </w:r>
      <w:r w:rsidR="00C31C74" w:rsidRPr="00C31C74">
        <w:rPr>
          <w:rFonts w:cs="Arial"/>
          <w:sz w:val="22"/>
          <w:vertAlign w:val="superscript"/>
        </w:rPr>
        <w:t>121,322</w:t>
      </w:r>
      <w:r>
        <w:fldChar w:fldCharType="end"/>
      </w:r>
      <w:r>
        <w:t xml:space="preserve"> </w:t>
      </w:r>
    </w:p>
    <w:p w14:paraId="44A7912F" w14:textId="2E9E347E" w:rsidR="00662DC8" w:rsidRDefault="00662DC8" w:rsidP="006D7DE6">
      <w:pPr>
        <w:pStyle w:val="BodyTextFirstIndent"/>
      </w:pPr>
      <w:r>
        <w:t>Note that MassDEP recommends that schools conduct testing once every three years, and that results come back under the detection limit of 1 ppb.</w:t>
      </w:r>
      <w:r>
        <w:fldChar w:fldCharType="begin"/>
      </w:r>
      <w:r w:rsidR="000F7759">
        <w:instrText xml:space="preserve"> ADDIN ZOTERO_ITEM CSL_CITATION {"citationID":"H0yHP53S","properties":{"formattedCitation":"\\super 324\\nosupersub{}","plainCitation":"324","noteIndex":0},"citationItems":[{"id":728,"uris":["http://zotero.org/groups/5563646/items/QZSZEJ67"],"itemData":{"id":728,"type":"webpage","title":"The Lead Contamination Control Act (LLCA)","URL":"https://www.mass.gov/info-details/the-lead-contamination-control-act-lcca#:~:text=MassDEP's%20LCCA%20program%20recommends%20that,possible%20concentration%20of%20lead%20is","author":[{"family":"MA DEP","given":""}]}}],"schema":"https://github.com/citation-style-language/schema/raw/master/csl-citation.json"} </w:instrText>
      </w:r>
      <w:r>
        <w:fldChar w:fldCharType="separate"/>
      </w:r>
      <w:r w:rsidR="000F7759" w:rsidRPr="000F7759">
        <w:rPr>
          <w:rFonts w:cs="Arial"/>
          <w:sz w:val="22"/>
          <w:vertAlign w:val="superscript"/>
        </w:rPr>
        <w:t>324</w:t>
      </w:r>
      <w:r>
        <w:fldChar w:fldCharType="end"/>
      </w:r>
      <w:r>
        <w:t xml:space="preserve"> If results come back above this level, MassDEP recommends that schools notify the administrator and include the list of sampling locations with detectable levels and the remediation efforts the school will implement to address the contamination.</w:t>
      </w:r>
      <w:r>
        <w:fldChar w:fldCharType="begin"/>
      </w:r>
      <w:r w:rsidR="004D4654">
        <w:instrText xml:space="preserve"> ADDIN ZOTERO_ITEM CSL_CITATION {"citationID":"GDHfi70u","properties":{"formattedCitation":"\\super 324\\nosupersub{}","plainCitation":"324","noteIndex":0},"citationItems":[{"id":728,"uris":["http://zotero.org/groups/5563646/items/QZSZEJ67"],"itemData":{"id":728,"type":"webpage","title":"The Lead Contamination Control Act (LLCA)","URL":"https://www.mass.gov/info-details/the-lead-contamination-control-act-lcca#:~:text=MassDEP's%20LCCA%20program%20recommends%20that,possible%20concentration%20of%20lead%20is","author":[{"family":"MA DEP","given":""}]}}],"schema":"https://github.com/citation-style-language/schema/raw/master/csl-citation.json"} </w:instrText>
      </w:r>
      <w:r>
        <w:fldChar w:fldCharType="separate"/>
      </w:r>
      <w:r w:rsidR="004D4654" w:rsidRPr="004D4654">
        <w:rPr>
          <w:rFonts w:cs="Arial"/>
          <w:sz w:val="22"/>
          <w:vertAlign w:val="superscript"/>
        </w:rPr>
        <w:t>324</w:t>
      </w:r>
      <w:r>
        <w:fldChar w:fldCharType="end"/>
      </w:r>
      <w:r>
        <w:t xml:space="preserve"> Regardless of the results, staff, parents, students, and other stakeholders should be notified of the testing as detailed in the school’s communication plan.     </w:t>
      </w:r>
    </w:p>
    <w:p w14:paraId="6B799D9A" w14:textId="77777777" w:rsidR="00662DC8" w:rsidRDefault="00662DC8" w:rsidP="00662DC8">
      <w:pPr>
        <w:pStyle w:val="Heading5"/>
      </w:pPr>
      <w:r>
        <w:t>(4) Remediate sources of contamination and establish routine practices to minimize future contamination</w:t>
      </w:r>
    </w:p>
    <w:p w14:paraId="339FFB82" w14:textId="6ABFF316" w:rsidR="00662DC8" w:rsidRDefault="00662DC8" w:rsidP="006D7DE6">
      <w:pPr>
        <w:pStyle w:val="BodyTextFirstIndent"/>
      </w:pPr>
      <w:r w:rsidRPr="00926BF3">
        <w:rPr>
          <w:noProof/>
        </w:rPr>
        <mc:AlternateContent>
          <mc:Choice Requires="wps">
            <w:drawing>
              <wp:anchor distT="0" distB="0" distL="114300" distR="114300" simplePos="0" relativeHeight="251696640" behindDoc="0" locked="0" layoutInCell="1" allowOverlap="1" wp14:anchorId="27F0848C" wp14:editId="5119A615">
                <wp:simplePos x="0" y="0"/>
                <wp:positionH relativeFrom="margin">
                  <wp:align>right</wp:align>
                </wp:positionH>
                <wp:positionV relativeFrom="paragraph">
                  <wp:posOffset>87534</wp:posOffset>
                </wp:positionV>
                <wp:extent cx="2882265" cy="2339340"/>
                <wp:effectExtent l="0" t="0" r="13335" b="22860"/>
                <wp:wrapSquare wrapText="bothSides"/>
                <wp:docPr id="158634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2339340"/>
                        </a:xfrm>
                        <a:prstGeom prst="rect">
                          <a:avLst/>
                        </a:prstGeom>
                        <a:solidFill>
                          <a:srgbClr val="DCE6F2"/>
                        </a:solidFill>
                        <a:ln w="9525">
                          <a:solidFill>
                            <a:srgbClr val="000000"/>
                          </a:solidFill>
                          <a:miter lim="800000"/>
                          <a:headEnd/>
                          <a:tailEnd/>
                        </a:ln>
                      </wps:spPr>
                      <wps:txbx>
                        <w:txbxContent>
                          <w:p w14:paraId="426DCC4D" w14:textId="77777777" w:rsidR="00662DC8" w:rsidRDefault="00662DC8" w:rsidP="00662DC8">
                            <w:pPr>
                              <w:pStyle w:val="TextBoxTitle"/>
                            </w:pPr>
                            <w:r>
                              <w:t>Long-term vs Short-term Solutions</w:t>
                            </w:r>
                          </w:p>
                          <w:p w14:paraId="0943740D" w14:textId="77777777" w:rsidR="00662DC8" w:rsidRPr="009674E4" w:rsidRDefault="00662DC8" w:rsidP="00662DC8">
                            <w:pPr>
                              <w:pStyle w:val="TextBoxText"/>
                            </w:pPr>
                            <w:r>
                              <w:t xml:space="preserve">Flushing the taps to reduce lead exposure is an example of a short-term solution. While it helps to lower lead exposure, it increases a school’s water consumption and could further exacerbate water conservation concerns, especially during drought conditions. Ultimately, schools should work towards implementing long-term solutions that are sustainable and create a healthy learning environment.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F0848C" id="_x0000_s1071" type="#_x0000_t202" style="position:absolute;margin-left:175.75pt;margin-top:6.9pt;width:226.95pt;height:184.2pt;z-index:251696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" fillcolor="#dce6f2">
                <v:textbox>
                  <w:txbxContent>
                    <w:p w14:paraId="426DCC4D" w14:textId="77777777" w:rsidR="00662DC8" w:rsidRDefault="00662DC8" w:rsidP="00662DC8">
                      <w:pPr>
                        <w:pStyle w:val="TextBoxTitle"/>
                      </w:pPr>
                      <w:r>
                        <w:t>Long-term vs Short-term Solutions</w:t>
                      </w:r>
                    </w:p>
                    <w:p w14:paraId="0943740D" w14:textId="77777777" w:rsidR="00662DC8" w:rsidRPr="009674E4" w:rsidRDefault="00662DC8" w:rsidP="00662DC8">
                      <w:pPr>
                        <w:pStyle w:val="TextBoxText"/>
                      </w:pPr>
                      <w:r>
                        <w:t xml:space="preserve">Flushing the taps to reduce lead exposure is an example of a short-term solution. While it helps to lower lead exposure, it increases a school’s water consumption and could further exacerbate water conservation concerns, especially during drought conditions. Ultimately, schools should work towards implementing long-term solutions that are sustainable and create a healthy learning environment.  </w:t>
                      </w:r>
                    </w:p>
                  </w:txbxContent>
                </v:textbox>
                <w10:wrap type="square" anchorx="margin"/>
              </v:shape>
            </w:pict>
          </mc:Fallback>
        </mc:AlternateContent>
      </w:r>
      <w:r>
        <w:t>If schools detect lead in drinking water, it is important to take immediate action to remediate the contamination. Depending on the level of lead detection, initial steps can range from flushing outlets, to posting signage indicating the outlet should not be used for drinking or cooking, to shutting off problem outlets.</w:t>
      </w:r>
      <w:r>
        <w:fldChar w:fldCharType="begin"/>
      </w:r>
      <w:r w:rsidR="00860D90">
        <w:instrText xml:space="preserve"> ADDIN ZOTERO_ITEM CSL_CITATION {"citationID":"vjv8SGJW","properties":{"formattedCitation":"\\super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860D90" w:rsidRPr="00860D90">
        <w:rPr>
          <w:rFonts w:cs="Arial"/>
          <w:sz w:val="22"/>
          <w:vertAlign w:val="superscript"/>
        </w:rPr>
        <w:t>121</w:t>
      </w:r>
      <w:r>
        <w:fldChar w:fldCharType="end"/>
      </w:r>
      <w:r>
        <w:t xml:space="preserve"> Some short-term measures that could be implemented include installing filters, providing bottled water, or flushing the plumbing system.</w:t>
      </w:r>
      <w:r>
        <w:fldChar w:fldCharType="begin"/>
      </w:r>
      <w:r w:rsidR="000B41D5">
        <w:instrText xml:space="preserve"> ADDIN ZOTERO_ITEM CSL_CITATION {"citationID":"puuxNs0B","properties":{"formattedCitation":"\\super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0B41D5" w:rsidRPr="000B41D5">
        <w:rPr>
          <w:rFonts w:cs="Arial"/>
          <w:sz w:val="22"/>
          <w:vertAlign w:val="superscript"/>
        </w:rPr>
        <w:t>121</w:t>
      </w:r>
      <w:r>
        <w:fldChar w:fldCharType="end"/>
      </w:r>
      <w:r>
        <w:t xml:space="preserve"> Flushing involves opening taps and letting water flow to remove any stagnant water in the interior of the pipes, as stagnant water is more likely to have higher levels of lead.</w:t>
      </w:r>
      <w:r>
        <w:fldChar w:fldCharType="begin"/>
      </w:r>
      <w:r w:rsidR="00B74DF5">
        <w:instrText xml:space="preserve"> ADDIN ZOTERO_ITEM CSL_CITATION {"citationID":"XaPur6Bv","properties":{"formattedCitation":"\\super 122,321,322,326\\nosupersub{}","plainCitation":"122,321,322,326","noteIndex":0},"citationItems":[{"id":537,"uris":["http://zotero.org/groups/5563646/items/QL4VA26Z"],"itemData":{"id":537,"type":"document","title":"Healthy Hydration: Ensuring Access to Safe Water in Schools","author":[{"family":"National Drinking Water Alliance","given":""}]}},{"id":536,"uris":["http://zotero.org/groups/5563646/items/J2Q444ZQ"],"itemData":{"id":536,"type":"document","title":"Best Management Practices: Reducing and Monitoring Lead in Schools and Childcare Facilities","author":[{"family":"CT DPH","given":""}]}},{"id":534,"uris":["http://zotero.org/groups/5563646/items/J9W9R3SR"],"itemData":{"id":534,"type":"article-journal","language":"en","source":"Zotero","title":"Ensuring Drinking Water Quality in Schools During and After Extended Closures","author":[{"family":"US EPA","given":""}]}},{"id":531,"uris":["http://zotero.org/groups/5563646/items/CXZPIN9Q"],"itemData":{"id":531,"type":"document","title":"Flushing: A Short-Term Solution to Reduce Lead and Copper","author":[{"family":"MassDEP","given":""}],"issued":{"date-parts":[["2019"]]}}}],"schema":"https://github.com/citation-style-language/schema/raw/master/csl-citation.json"} </w:instrText>
      </w:r>
      <w:r>
        <w:fldChar w:fldCharType="separate"/>
      </w:r>
      <w:r w:rsidR="00B74DF5" w:rsidRPr="00B74DF5">
        <w:rPr>
          <w:rFonts w:cs="Arial"/>
          <w:sz w:val="22"/>
          <w:vertAlign w:val="superscript"/>
        </w:rPr>
        <w:t>122,321,322,326</w:t>
      </w:r>
      <w:r>
        <w:fldChar w:fldCharType="end"/>
      </w:r>
      <w:r>
        <w:t xml:space="preserve"> Permanent control measures will require the complete replacement of problem outlets and any upstream plumbing components like piping, valves, and solder.</w:t>
      </w:r>
      <w:r>
        <w:fldChar w:fldCharType="begin"/>
      </w:r>
      <w:r w:rsidR="00F074E9">
        <w:instrText xml:space="preserve"> ADDIN ZOTERO_ITEM CSL_CITATION {"citationID":"zOjrYg1O","properties":{"formattedCitation":"\\super 121\\nosupersub{}","plainCitation":"121","noteIndex":0},"citationItems":[{"id":539,"uris":["http://zotero.org/groups/5563646/items/JJIWVTZ7"],"itemData":{"id":539,"type":"article-journal","language":"en","source":"Zotero","title":"3Ts for Reducing Lead in Drinking Water in Schools and Child Care Facilities","author":[{"family":"US EPA","given":""}],"issued":{"date-parts":[["2018",10]]}}}],"schema":"https://github.com/citation-style-language/schema/raw/master/csl-citation.json"} </w:instrText>
      </w:r>
      <w:r>
        <w:fldChar w:fldCharType="separate"/>
      </w:r>
      <w:r w:rsidR="00F074E9" w:rsidRPr="00F074E9">
        <w:rPr>
          <w:rFonts w:cs="Arial"/>
          <w:sz w:val="22"/>
          <w:vertAlign w:val="superscript"/>
        </w:rPr>
        <w:t>121</w:t>
      </w:r>
      <w:r>
        <w:fldChar w:fldCharType="end"/>
      </w:r>
      <w:r>
        <w:t xml:space="preserve"> Another option would be to reconfigure the plumbing system to re-route water away from sections identified to contain lead-based materials.</w:t>
      </w:r>
      <w:r>
        <w:fldChar w:fldCharType="begin"/>
      </w:r>
      <w:r w:rsidR="000F4FCB">
        <w:instrText xml:space="preserve"> ADDIN ZOTERO_ITEM CSL_CITATION {"citationID":"iLbzIyYA","properties":{"formattedCitation":"\\super 323\\nosupersub{}","plainCitation":"323","noteIndex":0},"citationItems":[{"id":538,"uris":["http://zotero.org/groups/5563646/items/QWZFQQT5"],"itemData":{"id":538,"type":"article-journal","language":"en","source":"Zotero","title":"3Ts Checklist - Establishing a Lead Testing Program","author":[{"family":"US EPA","given":""}]}}],"schema":"https://github.com/citation-style-language/schema/raw/master/csl-citation.json"} </w:instrText>
      </w:r>
      <w:r>
        <w:fldChar w:fldCharType="separate"/>
      </w:r>
      <w:r w:rsidR="000F4FCB" w:rsidRPr="000F4FCB">
        <w:rPr>
          <w:rFonts w:cs="Arial"/>
          <w:sz w:val="22"/>
          <w:vertAlign w:val="superscript"/>
        </w:rPr>
        <w:t>323</w:t>
      </w:r>
      <w:r>
        <w:fldChar w:fldCharType="end"/>
      </w:r>
      <w:r>
        <w:t xml:space="preserve"> Finally, the </w:t>
      </w:r>
      <w:hyperlink r:id="rId332" w:history="1">
        <w:r w:rsidRPr="003F787F">
          <w:rPr>
            <w:rStyle w:val="Hyperlink"/>
          </w:rPr>
          <w:t>School Water Improvement Grants (SWIG) Program</w:t>
        </w:r>
      </w:hyperlink>
      <w:r>
        <w:t xml:space="preserve"> offers grants for the purchase and installation of filtered water-bottle filling stations in eligible schools and EECFs, while the Water-Smart Program offers filtered pitchers.</w:t>
      </w:r>
    </w:p>
    <w:p w14:paraId="1B8066B2" w14:textId="14CFE61C" w:rsidR="00662DC8" w:rsidRDefault="00662DC8" w:rsidP="006D7DE6">
      <w:pPr>
        <w:pStyle w:val="BodyTextFirstIndent"/>
      </w:pPr>
      <w:r>
        <w:t>Other daily practices can be implemented to reduce lead in drinking water. For example, outlets should be flushed daily for at least 30 seconds, and complete system flushing should occur weekly, particularly after breaks.</w:t>
      </w:r>
      <w:r>
        <w:fldChar w:fldCharType="begin"/>
      </w:r>
      <w:r w:rsidR="001611D2">
        <w:instrText xml:space="preserve"> ADDIN ZOTERO_ITEM CSL_CITATION {"citationID":"3JX8bf7N","properties":{"formattedCitation":"\\super 326\\nosupersub{}","plainCitation":"326","noteIndex":0},"citationItems":[{"id":531,"uris":["http://zotero.org/groups/5563646/items/CXZPIN9Q"],"itemData":{"id":531,"type":"document","title":"Flushing: A Short-Term Solution to Reduce Lead and Copper","author":[{"family":"MassDEP","given":""}],"issued":{"date-parts":[["2019"]]}}}],"schema":"https://github.com/citation-style-language/schema/raw/master/csl-citation.json"} </w:instrText>
      </w:r>
      <w:r>
        <w:fldChar w:fldCharType="separate"/>
      </w:r>
      <w:r w:rsidR="001611D2" w:rsidRPr="001611D2">
        <w:rPr>
          <w:rFonts w:cs="Arial"/>
          <w:sz w:val="22"/>
          <w:vertAlign w:val="superscript"/>
        </w:rPr>
        <w:t>326</w:t>
      </w:r>
      <w:r>
        <w:fldChar w:fldCharType="end"/>
      </w:r>
      <w:r>
        <w:t xml:space="preserve"> Additionally, only cold water should be used for drinking and cooking, as hot water may have more dissolved lead.</w:t>
      </w:r>
      <w:r>
        <w:fldChar w:fldCharType="begin"/>
      </w:r>
      <w:r w:rsidR="00681542">
        <w:instrText xml:space="preserve"> ADDIN ZOTERO_ITEM CSL_CITATION {"citationID":"wGAK4oue","properties":{"formattedCitation":"\\super 122\\nosupersub{}","plainCitation":"122","noteIndex":0},"citationItems":[{"id":536,"uris":["http://zotero.org/groups/5563646/items/J2Q444ZQ"],"itemData":{"id":536,"type":"document","title":"Best Management Practices: Reducing and Monitoring Lead in Schools and Childcare Facilities","author":[{"family":"CT DPH","given":""}]}}],"schema":"https://github.com/citation-style-language/schema/raw/master/csl-citation.json"} </w:instrText>
      </w:r>
      <w:r>
        <w:fldChar w:fldCharType="separate"/>
      </w:r>
      <w:r w:rsidR="00681542" w:rsidRPr="00681542">
        <w:rPr>
          <w:rFonts w:cs="Arial"/>
          <w:sz w:val="22"/>
          <w:vertAlign w:val="superscript"/>
        </w:rPr>
        <w:t>122</w:t>
      </w:r>
      <w:r>
        <w:fldChar w:fldCharType="end"/>
      </w:r>
      <w:r>
        <w:t xml:space="preserve"> Routine </w:t>
      </w:r>
      <w:r>
        <w:lastRenderedPageBreak/>
        <w:t>maintenance should also be performed, such as cleaning faucet aerators and installing certified low-lead materials.</w:t>
      </w:r>
      <w:r>
        <w:fldChar w:fldCharType="begin"/>
      </w:r>
      <w:r w:rsidR="00F66205">
        <w:instrText xml:space="preserve"> ADDIN ZOTERO_ITEM CSL_CITATION {"citationID":"14EyOs1z","properties":{"formattedCitation":"\\super 122\\nosupersub{}","plainCitation":"122","noteIndex":0},"citationItems":[{"id":536,"uris":["http://zotero.org/groups/5563646/items/J2Q444ZQ"],"itemData":{"id":536,"type":"document","title":"Best Management Practices: Reducing and Monitoring Lead in Schools and Childcare Facilities","author":[{"family":"CT DPH","given":""}]}}],"schema":"https://github.com/citation-style-language/schema/raw/master/csl-citation.json"} </w:instrText>
      </w:r>
      <w:r>
        <w:fldChar w:fldCharType="separate"/>
      </w:r>
      <w:r w:rsidR="00F66205" w:rsidRPr="00F66205">
        <w:rPr>
          <w:rFonts w:cs="Arial"/>
          <w:sz w:val="22"/>
          <w:vertAlign w:val="superscript"/>
        </w:rPr>
        <w:t>122</w:t>
      </w:r>
      <w:r>
        <w:fldChar w:fldCharType="end"/>
      </w:r>
      <w:r>
        <w:t xml:space="preserve"> </w:t>
      </w:r>
    </w:p>
    <w:p w14:paraId="3D846BFD" w14:textId="77777777" w:rsidR="00662DC8" w:rsidRDefault="00662DC8" w:rsidP="00662DC8">
      <w:pPr>
        <w:pStyle w:val="Heading3"/>
      </w:pPr>
      <w:r>
        <w:t>Statutes, Regulations, and Standards</w:t>
      </w:r>
    </w:p>
    <w:p w14:paraId="1C2FAEE4" w14:textId="77777777" w:rsidR="00662DC8" w:rsidRPr="00E549B2" w:rsidRDefault="00662DC8" w:rsidP="006D7DE6">
      <w:pPr>
        <w:pStyle w:val="BodyTextFirstIndent"/>
      </w:pPr>
      <w:r>
        <w:t xml:space="preserve">The following statutes, regulations, and standards contain relevant information to lead and copper in drinking water, including the levels of contamination which should not be exceeded. </w:t>
      </w:r>
    </w:p>
    <w:p w14:paraId="6C551C78" w14:textId="77777777" w:rsidR="00662DC8" w:rsidRDefault="00662DC8" w:rsidP="00662DC8">
      <w:pPr>
        <w:pStyle w:val="Heading4"/>
      </w:pPr>
      <w:r>
        <w:t>Relevant Statutes</w:t>
      </w:r>
    </w:p>
    <w:p w14:paraId="183217EA" w14:textId="4390FE2B" w:rsidR="00662DC8" w:rsidRDefault="00662DC8" w:rsidP="006D7DE6">
      <w:pPr>
        <w:pStyle w:val="BodyTextFirstIndent"/>
        <w:rPr>
          <w:b/>
          <w:bCs/>
        </w:rPr>
      </w:pPr>
      <w:r w:rsidRPr="1FD10EAC">
        <w:rPr>
          <w:b/>
          <w:bCs/>
        </w:rPr>
        <w:t>Lead Contamination Control Act (LCCA)</w:t>
      </w:r>
      <w:r>
        <w:t xml:space="preserve"> provides recommendations for identifying and addressing lead and copper at schools and childcare facilities.</w:t>
      </w:r>
      <w:r>
        <w:fldChar w:fldCharType="begin"/>
      </w:r>
      <w:r w:rsidR="00C4731D">
        <w:instrText xml:space="preserve"> ADDIN ZOTERO_ITEM CSL_CITATION {"citationID":"A7gSSQod","properties":{"formattedCitation":"\\super 324\\nosupersub{}","plainCitation":"324","noteIndex":0},"citationItems":[{"id":728,"uris":["http://zotero.org/groups/5563646/items/QZSZEJ67"],"itemData":{"id":728,"type":"webpage","title":"The Lead Contamination Control Act (LLCA)","URL":"https://www.mass.gov/info-details/the-lead-contamination-control-act-lcca#:~:text=MassDEP's%20LCCA%20program%20recommends%20that,possible%20concentration%20of%20lead%20is","author":[{"family":"MA DEP","given":""}]}}],"schema":"https://github.com/citation-style-language/schema/raw/master/csl-citation.json"} </w:instrText>
      </w:r>
      <w:r>
        <w:fldChar w:fldCharType="separate"/>
      </w:r>
      <w:r w:rsidR="00C4731D" w:rsidRPr="00C4731D">
        <w:rPr>
          <w:rFonts w:cs="Arial"/>
          <w:sz w:val="22"/>
          <w:vertAlign w:val="superscript"/>
        </w:rPr>
        <w:t>324</w:t>
      </w:r>
      <w:r>
        <w:fldChar w:fldCharType="end"/>
      </w:r>
      <w:r>
        <w:t xml:space="preserve"> </w:t>
      </w:r>
    </w:p>
    <w:p w14:paraId="54CC2A46" w14:textId="4A6347F7" w:rsidR="00662DC8" w:rsidRDefault="00662DC8" w:rsidP="006D7DE6">
      <w:pPr>
        <w:pStyle w:val="BodyTextFirstIndent"/>
        <w:rPr>
          <w:b/>
          <w:bCs/>
        </w:rPr>
      </w:pPr>
      <w:r w:rsidRPr="1FD10EAC">
        <w:rPr>
          <w:b/>
          <w:bCs/>
        </w:rPr>
        <w:t>Reduction of Lead in Drinking Water Act</w:t>
      </w:r>
      <w:r>
        <w:t xml:space="preserve"> prohibits the use or sale of lead pipes, solder, and flux, where ‘lead-free’ systems must demonstrate they contain less than 0.2 percent lead.</w:t>
      </w:r>
      <w:r>
        <w:fldChar w:fldCharType="begin"/>
      </w:r>
      <w:r w:rsidR="006E5505">
        <w:instrText xml:space="preserve"> ADDIN ZOTERO_ITEM CSL_CITATION {"citationID":"KP8C3HRH","properties":{"formattedCitation":"\\super 327\\nosupersub{}","plainCitation":"327","noteIndex":0},"citationItems":[{"id":712,"uris":["http://zotero.org/groups/5563646/items/BM2PDB3R"],"itemData":{"id":712,"type":"webpage","title":"S. 3874 - Reduction of Lead in Drinking Water Act","URL":"https://www.congress.gov/bill/111th-congress/senate-bill/3874","author":[{"family":"US Congress","given":""}]}}],"schema":"https://github.com/citation-style-language/schema/raw/master/csl-citation.json"} </w:instrText>
      </w:r>
      <w:r>
        <w:fldChar w:fldCharType="separate"/>
      </w:r>
      <w:r w:rsidR="006E5505" w:rsidRPr="006E5505">
        <w:rPr>
          <w:rFonts w:cs="Arial"/>
          <w:sz w:val="22"/>
          <w:vertAlign w:val="superscript"/>
        </w:rPr>
        <w:t>327</w:t>
      </w:r>
      <w:r>
        <w:fldChar w:fldCharType="end"/>
      </w:r>
      <w:r>
        <w:t xml:space="preserve"> </w:t>
      </w:r>
    </w:p>
    <w:p w14:paraId="377E9719" w14:textId="51A814E9" w:rsidR="00662DC8" w:rsidRDefault="00662DC8" w:rsidP="006D7DE6">
      <w:pPr>
        <w:pStyle w:val="BodyTextFirstIndent"/>
      </w:pPr>
      <w:r>
        <w:rPr>
          <w:b/>
        </w:rPr>
        <w:t>Safe Drinking Water Act (SDWA)</w:t>
      </w:r>
      <w:r>
        <w:t xml:space="preserve"> sets standards for drinking water including the control of contaminant levels, where lead and copper are regulated through the lead and copper rule.</w:t>
      </w:r>
      <w:r>
        <w:fldChar w:fldCharType="begin"/>
      </w:r>
      <w:r w:rsidR="00047EF4">
        <w:instrText xml:space="preserve"> ADDIN ZOTERO_ITEM CSL_CITATION {"citationID":"eG7gjRNe","properties":{"formattedCitation":"\\super 328\\nosupersub{}","plainCitation":"328","noteIndex":0},"citationItems":[{"id":711,"uris":["http://zotero.org/groups/5563646/items/S9XXRXD5"],"itemData":{"id":711,"type":"webpage","title":"Overview of the Safe Drinking Water Act","URL":"https://www.epa.gov/sdwa/overview-safe-drinking-water-act","author":[{"family":"US EPA","given":""}],"issued":{"date-parts":[["2024",2,14]]}}}],"schema":"https://github.com/citation-style-language/schema/raw/master/csl-citation.json"} </w:instrText>
      </w:r>
      <w:r>
        <w:fldChar w:fldCharType="separate"/>
      </w:r>
      <w:r w:rsidR="00047EF4" w:rsidRPr="00047EF4">
        <w:rPr>
          <w:rFonts w:cs="Arial"/>
          <w:sz w:val="22"/>
          <w:vertAlign w:val="superscript"/>
        </w:rPr>
        <w:t>328</w:t>
      </w:r>
      <w:r>
        <w:fldChar w:fldCharType="end"/>
      </w:r>
    </w:p>
    <w:p w14:paraId="0E77617E" w14:textId="77777777" w:rsidR="00662DC8" w:rsidRDefault="00662DC8" w:rsidP="00662DC8">
      <w:pPr>
        <w:pStyle w:val="Heading4"/>
      </w:pPr>
      <w:r>
        <w:t>Relevant Regulations</w:t>
      </w:r>
    </w:p>
    <w:p w14:paraId="14E3D639" w14:textId="26904868" w:rsidR="00662DC8" w:rsidRDefault="00662DC8" w:rsidP="006D7DE6">
      <w:pPr>
        <w:pStyle w:val="BodyTextFirstIndent"/>
        <w:rPr>
          <w:b/>
        </w:rPr>
      </w:pPr>
      <w:r>
        <w:rPr>
          <w:b/>
        </w:rPr>
        <w:t>MA Drinking Water Regulations, 310 CMR 22,</w:t>
      </w:r>
      <w:r>
        <w:t xml:space="preserve"> control levels of various contaminants in drinking water and </w:t>
      </w:r>
      <w:r w:rsidR="00735688">
        <w:t>requires</w:t>
      </w:r>
      <w:r>
        <w:t xml:space="preserve"> that levels remain under certain thresholds deemed health protective.</w:t>
      </w:r>
      <w:r>
        <w:fldChar w:fldCharType="begin"/>
      </w:r>
      <w:r w:rsidR="00B0298B">
        <w:instrText xml:space="preserve"> ADDIN ZOTERO_ITEM CSL_CITATION {"citationID":"EYt2ECnY","properties":{"formattedCitation":"\\super 329\\nosupersub{}","plainCitation":"329","noteIndex":0},"citationItems":[{"id":726,"uris":["http://zotero.org/groups/5563646/items/XUTEQLIA"],"itemData":{"id":726,"type":"webpage","title":"310 CMR 22: The Massachusetts Drinking Water Regulations","URL":"https://www.mass.gov/regulations/310-CMR-22-the-massachusetts-drinking-water-regulations","author":[{"family":"MA DEP","given":""}]}}],"schema":"https://github.com/citation-style-language/schema/raw/master/csl-citation.json"} </w:instrText>
      </w:r>
      <w:r>
        <w:fldChar w:fldCharType="separate"/>
      </w:r>
      <w:r w:rsidR="00B0298B" w:rsidRPr="00B0298B">
        <w:rPr>
          <w:rFonts w:cs="Arial"/>
          <w:sz w:val="22"/>
          <w:vertAlign w:val="superscript"/>
        </w:rPr>
        <w:t>329</w:t>
      </w:r>
      <w:r>
        <w:fldChar w:fldCharType="end"/>
      </w:r>
      <w:r>
        <w:t xml:space="preserve"> Such thresholds are set to the levels identified in the MA Maximum Contaminant Levels standard.</w:t>
      </w:r>
    </w:p>
    <w:p w14:paraId="039E0C12" w14:textId="333E1117" w:rsidR="00662DC8" w:rsidRDefault="00662DC8" w:rsidP="006D7DE6">
      <w:pPr>
        <w:pStyle w:val="BodyTextFirstIndent"/>
      </w:pPr>
      <w:r w:rsidRPr="1FD10EAC">
        <w:rPr>
          <w:b/>
          <w:bCs/>
        </w:rPr>
        <w:t>Lead and Copper Rule</w:t>
      </w:r>
      <w:r>
        <w:t xml:space="preserve"> requires that drinking water is monitored for lead and copper and that levels remain below 15 ppb for lead and 1.3 ppm for copper.</w:t>
      </w:r>
      <w:r>
        <w:fldChar w:fldCharType="begin"/>
      </w:r>
      <w:r w:rsidR="00A415F4">
        <w:instrText xml:space="preserve"> ADDIN ZOTERO_ITEM CSL_CITATION {"citationID":"SsSIqUzu","properties":{"formattedCitation":"\\super 330\\nosupersub{}","plainCitation":"330","noteIndex":0},"citationItems":[{"id":729,"uris":["http://zotero.org/groups/5563646/items/3LNXG6GJ"],"itemData":{"id":729,"type":"webpage","title":"Lead and Copper Rule","URL":"https://www.epa.gov/dwreginfo/lead-and-copper-rule","author":[{"family":"US EPA","given":""}],"issued":{"date-parts":[["2023",11,28]]}}}],"schema":"https://github.com/citation-style-language/schema/raw/master/csl-citation.json"} </w:instrText>
      </w:r>
      <w:r>
        <w:fldChar w:fldCharType="separate"/>
      </w:r>
      <w:r w:rsidR="00A415F4" w:rsidRPr="00A415F4">
        <w:rPr>
          <w:rFonts w:cs="Arial"/>
          <w:sz w:val="22"/>
          <w:vertAlign w:val="superscript"/>
        </w:rPr>
        <w:t>330</w:t>
      </w:r>
      <w:r>
        <w:fldChar w:fldCharType="end"/>
      </w:r>
      <w:r>
        <w:t xml:space="preserve"> Public water systems that exceed these action levels must undertake various control measures and inform stakeholders of how the contamination will be managed. </w:t>
      </w:r>
    </w:p>
    <w:p w14:paraId="6141CD54" w14:textId="47DBE53F" w:rsidR="00662DC8" w:rsidRDefault="00662DC8" w:rsidP="006D7DE6">
      <w:pPr>
        <w:pStyle w:val="BodyTextFirstIndent"/>
      </w:pPr>
      <w:r>
        <w:rPr>
          <w:b/>
        </w:rPr>
        <w:t>National Primary Drinking Water Regulations</w:t>
      </w:r>
      <w:r>
        <w:t xml:space="preserve"> enforce primary standards and treatment techniques relevant to public water systems, where the maximum contaminant level for lead in copper are set to the federal action levels of 15 ppb and 1.3 ppm, respectively.</w:t>
      </w:r>
      <w:r>
        <w:fldChar w:fldCharType="begin"/>
      </w:r>
      <w:r w:rsidR="00CA7349">
        <w:instrText xml:space="preserve"> ADDIN ZOTERO_ITEM CSL_CITATION {"citationID":"71qJpGiv","properties":{"formattedCitation":"\\super 331\\nosupersub{}","plainCitation":"331","noteIndex":0},"citationItems":[{"id":783,"uris":["http://zotero.org/groups/5563646/items/MRR7RRRC"],"itemData":{"id":783,"type":"webpage","title":"National Primary Drinking Water Regulations","URL":"https://www.epa.gov/ground-water-and-drinking-water/national-primary-drinking-water-regulations#Inorganics","author":[{"family":"US EPA","given":""}],"issued":{"date-parts":[["2024",6,13]]}}}],"schema":"https://github.com/citation-style-language/schema/raw/master/csl-citation.json"} </w:instrText>
      </w:r>
      <w:r>
        <w:fldChar w:fldCharType="separate"/>
      </w:r>
      <w:r w:rsidR="00CA7349" w:rsidRPr="00CA7349">
        <w:rPr>
          <w:rFonts w:cs="Arial"/>
          <w:sz w:val="22"/>
          <w:vertAlign w:val="superscript"/>
        </w:rPr>
        <w:t>331</w:t>
      </w:r>
      <w:r>
        <w:fldChar w:fldCharType="end"/>
      </w:r>
      <w:r>
        <w:t xml:space="preserve"> </w:t>
      </w:r>
    </w:p>
    <w:p w14:paraId="346EF199" w14:textId="77777777" w:rsidR="00662DC8" w:rsidRDefault="00662DC8" w:rsidP="00662DC8">
      <w:pPr>
        <w:pStyle w:val="Heading4"/>
      </w:pPr>
      <w:r>
        <w:t>Relevant Standards</w:t>
      </w:r>
    </w:p>
    <w:p w14:paraId="1F374B82" w14:textId="3F8D7CFD" w:rsidR="00662DC8" w:rsidRDefault="00662DC8" w:rsidP="006D7DE6">
      <w:pPr>
        <w:pStyle w:val="BodyTextFirstIndent"/>
      </w:pPr>
      <w:r w:rsidRPr="1FD10EAC">
        <w:rPr>
          <w:b/>
          <w:bCs/>
        </w:rPr>
        <w:t>MA Maximum Contaminant Levels</w:t>
      </w:r>
      <w:r>
        <w:t xml:space="preserve"> sets levels for various contaminants in drinking water as required under MA 310 CMR 22, where levels for both lead and copper in public water systems are set to the federal action levels of 15 ppb and 1.3 ppm, respectively. These standards are for the entire system and not individual outlets such as those at schools if the school is part of a larger water system.</w:t>
      </w:r>
      <w:r>
        <w:fldChar w:fldCharType="begin"/>
      </w:r>
      <w:r w:rsidR="00B425A7">
        <w:instrText xml:space="preserve"> ADDIN ZOTERO_ITEM CSL_CITATION {"citationID":"IccC4RY8","properties":{"formattedCitation":"\\super 332\\nosupersub{}","plainCitation":"332","noteIndex":0},"citationItems":[{"id":727,"uris":["http://zotero.org/groups/5563646/items/FU8D7DZA"],"itemData":{"id":727,"type":"webpage","title":"Drinking Water Standards and Guidelines","URL":"https://www.mass.gov/guides/drinking-water-standards-and-guidelines","author":[{"family":"MA DEP","given":""}]}}],"schema":"https://github.com/citation-style-language/schema/raw/master/csl-citation.json"} </w:instrText>
      </w:r>
      <w:r>
        <w:fldChar w:fldCharType="separate"/>
      </w:r>
      <w:r w:rsidR="00B425A7" w:rsidRPr="00B425A7">
        <w:rPr>
          <w:rFonts w:cs="Arial"/>
          <w:sz w:val="22"/>
          <w:vertAlign w:val="superscript"/>
        </w:rPr>
        <w:t>332</w:t>
      </w:r>
      <w:r>
        <w:fldChar w:fldCharType="end"/>
      </w:r>
    </w:p>
    <w:p w14:paraId="2758744C" w14:textId="765EB4DD" w:rsidR="00662DC8" w:rsidRPr="00935FCC" w:rsidRDefault="00662DC8" w:rsidP="006D7DE6">
      <w:pPr>
        <w:pStyle w:val="BodyTextFirstIndent"/>
      </w:pPr>
      <w:r>
        <w:rPr>
          <w:b/>
        </w:rPr>
        <w:lastRenderedPageBreak/>
        <w:t>National Sanitation Foundation (NSF)/ANSI/CAN 372</w:t>
      </w:r>
      <w:r>
        <w:t xml:space="preserve"> certifies low-lead plumbing products </w:t>
      </w:r>
      <w:r w:rsidR="00047A6E">
        <w:t>to</w:t>
      </w:r>
      <w:r>
        <w:t xml:space="preserve"> have no more than 0.25 percent lead.</w:t>
      </w:r>
      <w:r>
        <w:fldChar w:fldCharType="begin"/>
      </w:r>
      <w:r w:rsidR="00AB1360">
        <w:instrText xml:space="preserve"> ADDIN ZOTERO_ITEM CSL_CITATION {"citationID":"BJdvPhC8","properties":{"formattedCitation":"\\super 333\\nosupersub{}","plainCitation":"333","noteIndex":0},"citationItems":[{"id":713,"uris":["http://zotero.org/groups/5563646/items/D3KD6K36"],"itemData":{"id":713,"type":"webpage","title":"NSF/ANSI/CAN 372 Technical Requirements","URL":"https://www.nsf.org/knowledge-library/nsf-ansi-can-372-technical-requirements","author":[{"family":"National Sanitation Foundation","given":""}],"issued":{"date-parts":[["2018",6,8]]}}}],"schema":"https://github.com/citation-style-language/schema/raw/master/csl-citation.json"} </w:instrText>
      </w:r>
      <w:r>
        <w:fldChar w:fldCharType="separate"/>
      </w:r>
      <w:r w:rsidR="00AB1360" w:rsidRPr="00AB1360">
        <w:rPr>
          <w:rFonts w:cs="Arial"/>
          <w:sz w:val="22"/>
          <w:vertAlign w:val="superscript"/>
        </w:rPr>
        <w:t>333</w:t>
      </w:r>
      <w:r>
        <w:fldChar w:fldCharType="end"/>
      </w:r>
      <w:r>
        <w:t xml:space="preserve">  </w:t>
      </w:r>
    </w:p>
    <w:p w14:paraId="077258B0" w14:textId="0DB5D4A1" w:rsidR="00662DC8" w:rsidRDefault="00662DC8" w:rsidP="006D7DE6">
      <w:pPr>
        <w:pStyle w:val="BodyTextFirstIndent"/>
      </w:pPr>
      <w:r>
        <w:fldChar w:fldCharType="begin"/>
      </w:r>
      <w:r>
        <w:instrText xml:space="preserve"> REF _Ref171630204 \h </w:instrText>
      </w:r>
      <w:r>
        <w:fldChar w:fldCharType="separate"/>
      </w:r>
      <w:r w:rsidR="00307850">
        <w:t xml:space="preserve">Table </w:t>
      </w:r>
      <w:r w:rsidR="00307850">
        <w:rPr>
          <w:noProof/>
        </w:rPr>
        <w:t>72</w:t>
      </w:r>
      <w:r>
        <w:fldChar w:fldCharType="end"/>
      </w:r>
      <w:r>
        <w:t xml:space="preserve"> </w:t>
      </w:r>
      <w:r w:rsidRPr="007935AE">
        <w:t xml:space="preserve">summarizes the statutes, regulations, and standards related to </w:t>
      </w:r>
      <w:r>
        <w:t>reducing exposure to lead in drinking water in</w:t>
      </w:r>
      <w:r w:rsidRPr="007935AE">
        <w:t xml:space="preserve"> schools</w:t>
      </w:r>
      <w:r>
        <w:t xml:space="preserve"> outlined above</w:t>
      </w:r>
      <w:r w:rsidRPr="007935AE">
        <w:t>.</w:t>
      </w:r>
    </w:p>
    <w:p w14:paraId="48C0F995" w14:textId="2F7CCF75" w:rsidR="00662DC8" w:rsidRDefault="00662DC8" w:rsidP="00B30C96">
      <w:pPr>
        <w:pStyle w:val="TableTitle"/>
      </w:pPr>
      <w:bookmarkStart w:id="592" w:name="_Ref171630204"/>
      <w:bookmarkStart w:id="593" w:name="_Toc192711738"/>
      <w:bookmarkStart w:id="594" w:name="_Toc193112620"/>
      <w:bookmarkStart w:id="595" w:name="_Toc193117019"/>
      <w:r>
        <w:t xml:space="preserve">Table </w:t>
      </w:r>
      <w:fldSimple w:instr=" SEQ Table \* ARABIC ">
        <w:r w:rsidR="00307850">
          <w:rPr>
            <w:noProof/>
          </w:rPr>
          <w:t>72</w:t>
        </w:r>
      </w:fldSimple>
      <w:bookmarkEnd w:id="592"/>
      <w:r>
        <w:t xml:space="preserve">. Statutory/Regulatory Framework and Notable Standards for </w:t>
      </w:r>
      <w:r w:rsidRPr="008F652D">
        <w:t>Reduc</w:t>
      </w:r>
      <w:r>
        <w:t>ing</w:t>
      </w:r>
      <w:r w:rsidRPr="008F652D">
        <w:t xml:space="preserve"> </w:t>
      </w:r>
      <w:r>
        <w:t>Exposure to Lead in Drinking Water</w:t>
      </w:r>
      <w:bookmarkEnd w:id="593"/>
      <w:bookmarkEnd w:id="594"/>
      <w:bookmarkEnd w:id="595"/>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exposure to lead in drinking water."/>
      </w:tblPr>
      <w:tblGrid>
        <w:gridCol w:w="6834"/>
        <w:gridCol w:w="838"/>
        <w:gridCol w:w="840"/>
        <w:gridCol w:w="838"/>
      </w:tblGrid>
      <w:tr w:rsidR="00662DC8" w:rsidRPr="00E11392" w14:paraId="596F2A67"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2E3391F6" w14:textId="77777777" w:rsidR="00662DC8" w:rsidRPr="00E11392" w:rsidRDefault="00662DC8">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0B735320" w14:textId="77777777" w:rsidR="00662DC8" w:rsidRPr="00E11392" w:rsidRDefault="00662DC8">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6248B469" w14:textId="77777777" w:rsidR="00662DC8" w:rsidRPr="00E11392" w:rsidRDefault="00662DC8">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A3E0C6B" w14:textId="77777777" w:rsidR="00662DC8" w:rsidRPr="00E11392" w:rsidRDefault="00662DC8">
            <w:pPr>
              <w:pStyle w:val="TableColumnHeader"/>
              <w:jc w:val="left"/>
            </w:pPr>
            <w:r w:rsidRPr="00E11392">
              <w:t>Standard</w:t>
            </w:r>
          </w:p>
        </w:tc>
      </w:tr>
      <w:tr w:rsidR="00662DC8" w:rsidRPr="00E11392" w14:paraId="4AB90F67"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8BAA0D7" w14:textId="77777777" w:rsidR="00662DC8" w:rsidRPr="00E11392" w:rsidRDefault="00662DC8">
            <w:pPr>
              <w:pStyle w:val="TableRowHeader"/>
            </w:pPr>
            <w:r w:rsidRPr="00E11392">
              <w:t>Statutes</w:t>
            </w:r>
          </w:p>
        </w:tc>
      </w:tr>
      <w:tr w:rsidR="00662DC8" w:rsidRPr="00E11392" w14:paraId="0FD26E2E"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3890BE35" w14:textId="77777777" w:rsidR="00662DC8" w:rsidRPr="00E11392" w:rsidRDefault="00662DC8">
            <w:pPr>
              <w:pStyle w:val="TableText"/>
            </w:pPr>
            <w:r>
              <w:t>Lead Contamination Control Act (LCCA)</w:t>
            </w:r>
          </w:p>
        </w:tc>
        <w:tc>
          <w:tcPr>
            <w:tcW w:w="448" w:type="pct"/>
            <w:tcBorders>
              <w:top w:val="nil"/>
              <w:left w:val="single" w:sz="4" w:space="0" w:color="auto"/>
              <w:bottom w:val="single" w:sz="4" w:space="0" w:color="auto"/>
              <w:right w:val="single" w:sz="4" w:space="0" w:color="auto"/>
            </w:tcBorders>
            <w:shd w:val="clear" w:color="auto" w:fill="auto"/>
            <w:vAlign w:val="center"/>
          </w:tcPr>
          <w:p w14:paraId="23DDBE4A" w14:textId="77777777" w:rsidR="00662DC8" w:rsidRPr="00E11392" w:rsidRDefault="00662DC8">
            <w:pPr>
              <w:jc w:val="center"/>
              <w:rPr>
                <w:rFonts w:ascii="Arial" w:hAnsi="Arial" w:cs="Arial"/>
                <w:b/>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0CD9D7DB" w14:textId="77777777" w:rsidR="00662DC8" w:rsidRPr="00E11392" w:rsidRDefault="00662DC8">
            <w:pPr>
              <w:jc w:val="center"/>
              <w:rPr>
                <w:rFonts w:ascii="Arial" w:hAnsi="Arial" w:cs="Arial"/>
                <w:b/>
                <w:sz w:val="24"/>
              </w:rPr>
            </w:pPr>
            <w:r w:rsidRPr="3B44E17E">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1C3A9E2A" w14:textId="77777777" w:rsidR="00662DC8" w:rsidRPr="00E11392" w:rsidRDefault="00662DC8">
            <w:pPr>
              <w:jc w:val="center"/>
              <w:rPr>
                <w:rFonts w:ascii="Arial" w:hAnsi="Arial" w:cs="Arial"/>
                <w:b/>
                <w:bCs/>
                <w:sz w:val="24"/>
              </w:rPr>
            </w:pPr>
          </w:p>
        </w:tc>
      </w:tr>
      <w:tr w:rsidR="00662DC8" w:rsidRPr="00E11392" w14:paraId="5B3A3556"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6D981AD" w14:textId="77777777" w:rsidR="00662DC8" w:rsidRDefault="00662DC8">
            <w:pPr>
              <w:pStyle w:val="TableText"/>
            </w:pPr>
            <w:r>
              <w:t>Reduction of Lead in Drinking Water Act</w:t>
            </w:r>
          </w:p>
        </w:tc>
        <w:tc>
          <w:tcPr>
            <w:tcW w:w="448" w:type="pct"/>
            <w:tcBorders>
              <w:top w:val="nil"/>
              <w:left w:val="single" w:sz="4" w:space="0" w:color="auto"/>
              <w:bottom w:val="single" w:sz="4" w:space="0" w:color="auto"/>
              <w:right w:val="single" w:sz="4" w:space="0" w:color="auto"/>
            </w:tcBorders>
            <w:shd w:val="clear" w:color="auto" w:fill="auto"/>
            <w:vAlign w:val="center"/>
          </w:tcPr>
          <w:p w14:paraId="31508EB5" w14:textId="77777777" w:rsidR="00662DC8" w:rsidRPr="00E11392" w:rsidRDefault="00662DC8">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7A7F8CD1"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0A4A30AE" w14:textId="77777777" w:rsidR="00662DC8" w:rsidRPr="00E11392" w:rsidRDefault="00662DC8">
            <w:pPr>
              <w:jc w:val="center"/>
              <w:rPr>
                <w:rFonts w:ascii="Arial" w:hAnsi="Arial" w:cs="Arial"/>
                <w:b/>
                <w:bCs/>
                <w:sz w:val="24"/>
              </w:rPr>
            </w:pPr>
          </w:p>
        </w:tc>
      </w:tr>
      <w:tr w:rsidR="00662DC8" w:rsidRPr="00E11392" w14:paraId="56DEE15E"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31D11EF" w14:textId="77777777" w:rsidR="00662DC8" w:rsidRPr="00E11392" w:rsidRDefault="00662DC8">
            <w:pPr>
              <w:pStyle w:val="TableText"/>
            </w:pPr>
            <w:r>
              <w:t>Safe Drinking Water Act (SDWA)</w:t>
            </w:r>
          </w:p>
        </w:tc>
        <w:tc>
          <w:tcPr>
            <w:tcW w:w="448" w:type="pct"/>
            <w:tcBorders>
              <w:top w:val="nil"/>
              <w:left w:val="single" w:sz="4" w:space="0" w:color="auto"/>
              <w:bottom w:val="single" w:sz="4" w:space="0" w:color="auto"/>
              <w:right w:val="single" w:sz="4" w:space="0" w:color="auto"/>
            </w:tcBorders>
            <w:shd w:val="clear" w:color="auto" w:fill="auto"/>
            <w:vAlign w:val="center"/>
          </w:tcPr>
          <w:p w14:paraId="6D45FB07" w14:textId="77777777" w:rsidR="00662DC8" w:rsidRPr="00E11392" w:rsidRDefault="00662DC8">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30BC2964"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3D8C9FE5" w14:textId="77777777" w:rsidR="00662DC8" w:rsidRPr="00E11392" w:rsidRDefault="00662DC8">
            <w:pPr>
              <w:jc w:val="center"/>
              <w:rPr>
                <w:rFonts w:ascii="Arial" w:hAnsi="Arial" w:cs="Arial"/>
                <w:b/>
                <w:bCs/>
                <w:sz w:val="24"/>
              </w:rPr>
            </w:pPr>
          </w:p>
        </w:tc>
      </w:tr>
      <w:tr w:rsidR="00662DC8" w:rsidRPr="00E11392" w14:paraId="141571A3"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F78B06F" w14:textId="77777777" w:rsidR="00662DC8" w:rsidRPr="00E11392" w:rsidRDefault="00662DC8">
            <w:pPr>
              <w:pStyle w:val="TableRowHeader"/>
            </w:pPr>
            <w:r w:rsidRPr="00E11392">
              <w:t>Regulations</w:t>
            </w:r>
          </w:p>
        </w:tc>
      </w:tr>
      <w:tr w:rsidR="00662DC8" w:rsidRPr="00E11392" w14:paraId="04550410"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5B52F7E" w14:textId="77777777" w:rsidR="00662DC8" w:rsidRPr="00E11392" w:rsidRDefault="00662DC8">
            <w:pPr>
              <w:pStyle w:val="TableText"/>
            </w:pPr>
            <w:r>
              <w:t>Drinking Water Regulations, 310 CMR 22</w:t>
            </w:r>
          </w:p>
        </w:tc>
        <w:tc>
          <w:tcPr>
            <w:tcW w:w="448" w:type="pct"/>
            <w:tcBorders>
              <w:top w:val="nil"/>
              <w:left w:val="single" w:sz="4" w:space="0" w:color="auto"/>
              <w:bottom w:val="single" w:sz="4" w:space="0" w:color="auto"/>
              <w:right w:val="single" w:sz="4" w:space="0" w:color="auto"/>
            </w:tcBorders>
            <w:shd w:val="clear" w:color="auto" w:fill="auto"/>
            <w:vAlign w:val="center"/>
          </w:tcPr>
          <w:p w14:paraId="62EBADDE" w14:textId="77777777" w:rsidR="00662DC8" w:rsidRPr="00E11392" w:rsidRDefault="00662DC8">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067A073A" w14:textId="77777777" w:rsidR="00662DC8" w:rsidRPr="00E11392" w:rsidRDefault="00662DC8">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1273ECED" w14:textId="77777777" w:rsidR="00662DC8" w:rsidRPr="00E11392" w:rsidRDefault="00662DC8">
            <w:pPr>
              <w:jc w:val="center"/>
              <w:rPr>
                <w:rFonts w:ascii="Arial" w:hAnsi="Arial" w:cs="Arial"/>
                <w:b/>
                <w:bCs/>
                <w:sz w:val="24"/>
              </w:rPr>
            </w:pPr>
          </w:p>
        </w:tc>
      </w:tr>
      <w:tr w:rsidR="00662DC8" w:rsidRPr="00E11392" w14:paraId="5BACE783"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C89839F" w14:textId="77777777" w:rsidR="00662DC8" w:rsidRPr="00E11392" w:rsidRDefault="00662DC8">
            <w:pPr>
              <w:pStyle w:val="TableText"/>
            </w:pPr>
            <w:r>
              <w:t xml:space="preserve">Lead and Copper Rule </w:t>
            </w:r>
          </w:p>
        </w:tc>
        <w:tc>
          <w:tcPr>
            <w:tcW w:w="448" w:type="pct"/>
            <w:tcBorders>
              <w:top w:val="nil"/>
              <w:left w:val="single" w:sz="4" w:space="0" w:color="auto"/>
              <w:bottom w:val="single" w:sz="4" w:space="0" w:color="auto"/>
              <w:right w:val="single" w:sz="4" w:space="0" w:color="auto"/>
            </w:tcBorders>
            <w:shd w:val="clear" w:color="auto" w:fill="auto"/>
            <w:vAlign w:val="center"/>
          </w:tcPr>
          <w:p w14:paraId="528B523D" w14:textId="77777777" w:rsidR="00662DC8" w:rsidRPr="00E11392" w:rsidRDefault="00662DC8">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45DEC214"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0DC863E4" w14:textId="77777777" w:rsidR="00662DC8" w:rsidRPr="00E11392" w:rsidRDefault="00662DC8">
            <w:pPr>
              <w:jc w:val="center"/>
              <w:rPr>
                <w:rFonts w:ascii="Arial" w:hAnsi="Arial" w:cs="Arial"/>
                <w:b/>
                <w:bCs/>
                <w:sz w:val="24"/>
              </w:rPr>
            </w:pPr>
          </w:p>
        </w:tc>
      </w:tr>
      <w:tr w:rsidR="00662DC8" w:rsidRPr="00E11392" w14:paraId="2B18387B"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33A6396" w14:textId="77777777" w:rsidR="00662DC8" w:rsidRDefault="00662DC8">
            <w:pPr>
              <w:pStyle w:val="TableText"/>
            </w:pPr>
            <w:r>
              <w:t>National Primary Drinking Water Regulations</w:t>
            </w:r>
          </w:p>
        </w:tc>
        <w:tc>
          <w:tcPr>
            <w:tcW w:w="448" w:type="pct"/>
            <w:tcBorders>
              <w:top w:val="nil"/>
              <w:left w:val="single" w:sz="4" w:space="0" w:color="auto"/>
              <w:bottom w:val="single" w:sz="4" w:space="0" w:color="auto"/>
              <w:right w:val="single" w:sz="4" w:space="0" w:color="auto"/>
            </w:tcBorders>
            <w:shd w:val="clear" w:color="auto" w:fill="auto"/>
            <w:vAlign w:val="center"/>
          </w:tcPr>
          <w:p w14:paraId="420B208C" w14:textId="77777777" w:rsidR="00662DC8" w:rsidRPr="00E11392" w:rsidRDefault="00662DC8">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3FEC7765"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6DAD440A" w14:textId="77777777" w:rsidR="00662DC8" w:rsidRPr="00E11392" w:rsidRDefault="00662DC8">
            <w:pPr>
              <w:jc w:val="center"/>
              <w:rPr>
                <w:rFonts w:ascii="Arial" w:hAnsi="Arial" w:cs="Arial"/>
                <w:b/>
                <w:bCs/>
                <w:sz w:val="24"/>
              </w:rPr>
            </w:pPr>
          </w:p>
        </w:tc>
      </w:tr>
      <w:tr w:rsidR="00662DC8" w:rsidRPr="00E11392" w14:paraId="19D4C2FE"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B3BA278" w14:textId="77777777" w:rsidR="00662DC8" w:rsidRPr="00E11392" w:rsidRDefault="00662DC8">
            <w:pPr>
              <w:pStyle w:val="TableRowHeader"/>
            </w:pPr>
            <w:r w:rsidRPr="00E11392">
              <w:t>Standards</w:t>
            </w:r>
          </w:p>
        </w:tc>
      </w:tr>
      <w:tr w:rsidR="00662DC8" w:rsidRPr="00E11392" w14:paraId="34CC1959"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249453F" w14:textId="77777777" w:rsidR="00662DC8" w:rsidRPr="00E11392" w:rsidRDefault="00662DC8">
            <w:pPr>
              <w:pStyle w:val="TableText"/>
            </w:pPr>
            <w:r>
              <w:t xml:space="preserve">MA Maximum Contaminant Levels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FF2337E" w14:textId="77777777" w:rsidR="00662DC8" w:rsidRPr="00E11392" w:rsidRDefault="00662DC8">
            <w:pPr>
              <w:jc w:val="center"/>
              <w:rPr>
                <w:rFonts w:ascii="Arial" w:hAnsi="Arial" w:cs="Arial"/>
                <w:b/>
                <w:bCs/>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29AE25B1" w14:textId="77777777" w:rsidR="00662DC8" w:rsidRPr="00E11392" w:rsidRDefault="00662DC8">
            <w:pPr>
              <w:jc w:val="center"/>
              <w:rPr>
                <w:rFonts w:ascii="Arial" w:hAnsi="Arial" w:cs="Arial"/>
                <w:b/>
                <w:bCs/>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8E8C4A1"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r>
      <w:tr w:rsidR="00662DC8" w:rsidRPr="00E11392" w14:paraId="51A75AF7"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4F54267" w14:textId="77777777" w:rsidR="00662DC8" w:rsidRPr="00E11392" w:rsidRDefault="00662DC8">
            <w:pPr>
              <w:pStyle w:val="TableText"/>
            </w:pPr>
            <w:r>
              <w:t>NSF/ANSI/CAN 372</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0011F72" w14:textId="77777777" w:rsidR="00662DC8" w:rsidRPr="00E11392" w:rsidRDefault="00662DC8">
            <w:pPr>
              <w:jc w:val="center"/>
              <w:rPr>
                <w:rFonts w:ascii="Arial" w:hAnsi="Arial" w:cs="Arial"/>
                <w:b/>
                <w:bCs/>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66200A77" w14:textId="77777777" w:rsidR="00662DC8" w:rsidRPr="00E11392" w:rsidRDefault="00662DC8">
            <w:pPr>
              <w:jc w:val="center"/>
              <w:rPr>
                <w:rFonts w:ascii="Arial" w:hAnsi="Arial" w:cs="Arial"/>
                <w:b/>
                <w:bCs/>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63E5DF4" w14:textId="77777777" w:rsidR="00662DC8" w:rsidRPr="00E11392" w:rsidRDefault="00662DC8">
            <w:pPr>
              <w:jc w:val="center"/>
              <w:rPr>
                <w:rFonts w:ascii="Arial" w:hAnsi="Arial" w:cs="Arial"/>
                <w:b/>
                <w:bCs/>
                <w:color w:val="00B050"/>
                <w:sz w:val="24"/>
              </w:rPr>
            </w:pPr>
            <w:r w:rsidRPr="00E11392">
              <w:rPr>
                <w:rFonts w:ascii="Arial" w:hAnsi="Arial" w:cs="Arial"/>
                <w:b/>
                <w:bCs/>
                <w:color w:val="00B050"/>
                <w:sz w:val="24"/>
              </w:rPr>
              <w:t>X</w:t>
            </w:r>
          </w:p>
        </w:tc>
      </w:tr>
    </w:tbl>
    <w:p w14:paraId="128C5BA3" w14:textId="77777777" w:rsidR="007E4860" w:rsidRDefault="007E4860" w:rsidP="007E4860">
      <w:pPr>
        <w:pStyle w:val="Heading3"/>
      </w:pPr>
      <w:r>
        <w:t>Relevant Resources</w:t>
      </w:r>
    </w:p>
    <w:p w14:paraId="2DA42953" w14:textId="741AFF7E" w:rsidR="007E4860" w:rsidRDefault="007E4860" w:rsidP="006D7DE6">
      <w:pPr>
        <w:pStyle w:val="BodyTextFirstIndent"/>
      </w:pPr>
      <w:r>
        <w:fldChar w:fldCharType="begin"/>
      </w:r>
      <w:r>
        <w:instrText xml:space="preserve"> REF _Ref171630262 \h </w:instrText>
      </w:r>
      <w:r>
        <w:fldChar w:fldCharType="separate"/>
      </w:r>
      <w:r w:rsidR="00307850">
        <w:t xml:space="preserve">Table </w:t>
      </w:r>
      <w:r w:rsidR="00307850">
        <w:rPr>
          <w:noProof/>
        </w:rPr>
        <w:t>73</w:t>
      </w:r>
      <w:r>
        <w:fldChar w:fldCharType="end"/>
      </w:r>
      <w:r>
        <w:t xml:space="preserve"> provides a summary of resources related to reducing exposure to lead in drinking water in schools.</w:t>
      </w:r>
    </w:p>
    <w:p w14:paraId="0DD215F8" w14:textId="2F5B71EA" w:rsidR="007E4860" w:rsidRDefault="007E4860" w:rsidP="00B30C96">
      <w:pPr>
        <w:pStyle w:val="TableTitle"/>
      </w:pPr>
      <w:bookmarkStart w:id="596" w:name="_Ref171630262"/>
      <w:bookmarkStart w:id="597" w:name="_Toc192711739"/>
      <w:bookmarkStart w:id="598" w:name="_Toc193112621"/>
      <w:bookmarkStart w:id="599" w:name="_Toc193117020"/>
      <w:r>
        <w:t xml:space="preserve">Table </w:t>
      </w:r>
      <w:fldSimple w:instr=" SEQ Table \* ARABIC ">
        <w:r w:rsidR="00307850">
          <w:rPr>
            <w:noProof/>
          </w:rPr>
          <w:t>73</w:t>
        </w:r>
      </w:fldSimple>
      <w:bookmarkEnd w:id="596"/>
      <w:r>
        <w:t>. Resources for Reducing Exposure to Lead in Drinking Water</w:t>
      </w:r>
      <w:bookmarkEnd w:id="597"/>
      <w:bookmarkEnd w:id="598"/>
      <w:bookmarkEnd w:id="599"/>
    </w:p>
    <w:tbl>
      <w:tblPr>
        <w:tblStyle w:val="TableGrid"/>
        <w:tblW w:w="5000" w:type="pct"/>
        <w:tblLayout w:type="fixed"/>
        <w:tblLook w:val="04A0" w:firstRow="1" w:lastRow="0" w:firstColumn="1" w:lastColumn="0" w:noHBand="0" w:noVBand="1"/>
        <w:tblDescription w:val="Table listing resources with active URLs for reducing exposure to lead in drinking water."/>
      </w:tblPr>
      <w:tblGrid>
        <w:gridCol w:w="1975"/>
        <w:gridCol w:w="1438"/>
        <w:gridCol w:w="5937"/>
      </w:tblGrid>
      <w:tr w:rsidR="007E4860" w:rsidRPr="00276B41" w14:paraId="02BBE0D4" w14:textId="77777777" w:rsidTr="00630894">
        <w:trPr>
          <w:tblHeader/>
        </w:trPr>
        <w:tc>
          <w:tcPr>
            <w:tcW w:w="1056" w:type="pct"/>
            <w:shd w:val="clear" w:color="auto" w:fill="C6D9F1" w:themeFill="text2" w:themeFillTint="33"/>
          </w:tcPr>
          <w:p w14:paraId="4FA18324" w14:textId="77777777" w:rsidR="007E4860" w:rsidRPr="004C3A1C" w:rsidRDefault="007E4860">
            <w:pPr>
              <w:pStyle w:val="TableColumnHeader"/>
            </w:pPr>
            <w:r w:rsidRPr="004C3A1C">
              <w:t>Resource</w:t>
            </w:r>
          </w:p>
        </w:tc>
        <w:tc>
          <w:tcPr>
            <w:tcW w:w="769" w:type="pct"/>
            <w:shd w:val="clear" w:color="auto" w:fill="C6D9F1" w:themeFill="text2" w:themeFillTint="33"/>
          </w:tcPr>
          <w:p w14:paraId="0230D0D3" w14:textId="77777777" w:rsidR="007E4860" w:rsidRPr="004C3A1C" w:rsidRDefault="007E4860">
            <w:pPr>
              <w:pStyle w:val="TableColumnHeader"/>
            </w:pPr>
            <w:r w:rsidRPr="004C3A1C">
              <w:t>Author</w:t>
            </w:r>
          </w:p>
        </w:tc>
        <w:tc>
          <w:tcPr>
            <w:tcW w:w="3175" w:type="pct"/>
            <w:shd w:val="clear" w:color="auto" w:fill="C6D9F1" w:themeFill="text2" w:themeFillTint="33"/>
          </w:tcPr>
          <w:p w14:paraId="25C7F2D7" w14:textId="77777777" w:rsidR="007E4860" w:rsidRPr="004C3A1C" w:rsidRDefault="007E4860">
            <w:pPr>
              <w:pStyle w:val="TableColumnHeader"/>
            </w:pPr>
            <w:r w:rsidRPr="004C3A1C">
              <w:t>URL</w:t>
            </w:r>
          </w:p>
        </w:tc>
      </w:tr>
      <w:tr w:rsidR="007E4860" w14:paraId="3DF4581C" w14:textId="77777777" w:rsidTr="00630894">
        <w:trPr>
          <w:trHeight w:val="300"/>
        </w:trPr>
        <w:tc>
          <w:tcPr>
            <w:tcW w:w="1056" w:type="pct"/>
          </w:tcPr>
          <w:p w14:paraId="7CACCA67" w14:textId="77777777" w:rsidR="007E4860" w:rsidRDefault="007E4860">
            <w:pPr>
              <w:pStyle w:val="TableText"/>
            </w:pPr>
            <w:r>
              <w:t>3Ts for Reducing Lead in Drinking Water</w:t>
            </w:r>
          </w:p>
        </w:tc>
        <w:tc>
          <w:tcPr>
            <w:tcW w:w="769" w:type="pct"/>
          </w:tcPr>
          <w:p w14:paraId="0BDDC3C4" w14:textId="77777777" w:rsidR="007E4860" w:rsidRDefault="007E4860">
            <w:pPr>
              <w:pStyle w:val="TableText"/>
            </w:pPr>
            <w:r>
              <w:t>EPA</w:t>
            </w:r>
          </w:p>
        </w:tc>
        <w:tc>
          <w:tcPr>
            <w:tcW w:w="3175" w:type="pct"/>
          </w:tcPr>
          <w:p w14:paraId="55ABE170" w14:textId="002657BC" w:rsidR="007E4860" w:rsidRDefault="007E4860">
            <w:pPr>
              <w:pStyle w:val="TableText"/>
            </w:pPr>
            <w:hyperlink r:id="rId333" w:history="1">
              <w:r w:rsidRPr="005045FC">
                <w:rPr>
                  <w:rStyle w:val="Hyperlink"/>
                </w:rPr>
                <w:t>https://www.epa.gov/ground-water-and-drinking-water/3ts-reducing-lead-drinking-water</w:t>
              </w:r>
            </w:hyperlink>
            <w:r>
              <w:t xml:space="preserve"> </w:t>
            </w:r>
          </w:p>
        </w:tc>
      </w:tr>
      <w:tr w:rsidR="007E4860" w14:paraId="53725362" w14:textId="77777777" w:rsidTr="00630894">
        <w:trPr>
          <w:trHeight w:val="300"/>
        </w:trPr>
        <w:tc>
          <w:tcPr>
            <w:tcW w:w="1056" w:type="pct"/>
          </w:tcPr>
          <w:p w14:paraId="61E4FC84" w14:textId="77777777" w:rsidR="007E4860" w:rsidRDefault="007E4860">
            <w:pPr>
              <w:pStyle w:val="TableText"/>
            </w:pPr>
            <w:r>
              <w:t xml:space="preserve">Drinking Water Quality </w:t>
            </w:r>
          </w:p>
        </w:tc>
        <w:tc>
          <w:tcPr>
            <w:tcW w:w="769" w:type="pct"/>
          </w:tcPr>
          <w:p w14:paraId="28B845B2" w14:textId="77777777" w:rsidR="007E4860" w:rsidRDefault="007E4860">
            <w:pPr>
              <w:pStyle w:val="TableText"/>
            </w:pPr>
            <w:r>
              <w:t xml:space="preserve">DPH </w:t>
            </w:r>
          </w:p>
        </w:tc>
        <w:tc>
          <w:tcPr>
            <w:tcW w:w="3175" w:type="pct"/>
          </w:tcPr>
          <w:p w14:paraId="40568D2A" w14:textId="611C3C76" w:rsidR="007E4860" w:rsidRDefault="007E4860">
            <w:pPr>
              <w:pStyle w:val="TableText"/>
            </w:pPr>
            <w:hyperlink r:id="rId334" w:history="1">
              <w:r w:rsidRPr="005045FC">
                <w:rPr>
                  <w:rStyle w:val="Hyperlink"/>
                </w:rPr>
                <w:t>https://matracking.ehs.state.ma.us/Environmental-Data/Water-Quality/index.html</w:t>
              </w:r>
            </w:hyperlink>
            <w:r>
              <w:t xml:space="preserve"> </w:t>
            </w:r>
          </w:p>
        </w:tc>
      </w:tr>
      <w:tr w:rsidR="007E4860" w14:paraId="3856E258" w14:textId="77777777" w:rsidTr="00630894">
        <w:trPr>
          <w:trHeight w:val="300"/>
        </w:trPr>
        <w:tc>
          <w:tcPr>
            <w:tcW w:w="1056" w:type="pct"/>
          </w:tcPr>
          <w:p w14:paraId="63F5A93F" w14:textId="77777777" w:rsidR="007E4860" w:rsidRDefault="007E4860">
            <w:pPr>
              <w:pStyle w:val="TableText"/>
            </w:pPr>
            <w:r>
              <w:t xml:space="preserve">Drinking Water Quality Data </w:t>
            </w:r>
          </w:p>
        </w:tc>
        <w:tc>
          <w:tcPr>
            <w:tcW w:w="769" w:type="pct"/>
          </w:tcPr>
          <w:p w14:paraId="626ABD23" w14:textId="77777777" w:rsidR="007E4860" w:rsidRDefault="007E4860">
            <w:pPr>
              <w:pStyle w:val="TableText"/>
            </w:pPr>
            <w:r>
              <w:t xml:space="preserve">DPH </w:t>
            </w:r>
          </w:p>
        </w:tc>
        <w:tc>
          <w:tcPr>
            <w:tcW w:w="3175" w:type="pct"/>
          </w:tcPr>
          <w:p w14:paraId="33E6CD18" w14:textId="5B9296A5" w:rsidR="007E4860" w:rsidRDefault="007E4860">
            <w:pPr>
              <w:pStyle w:val="TableText"/>
            </w:pPr>
            <w:hyperlink r:id="rId335" w:history="1">
              <w:r w:rsidRPr="005045FC">
                <w:rPr>
                  <w:rStyle w:val="Hyperlink"/>
                </w:rPr>
                <w:t>https://www.mass.gov/info-details/drinking-water-quality-data</w:t>
              </w:r>
            </w:hyperlink>
            <w:r>
              <w:t xml:space="preserve"> </w:t>
            </w:r>
          </w:p>
        </w:tc>
      </w:tr>
      <w:tr w:rsidR="007E4860" w14:paraId="0A2F6CCD" w14:textId="77777777" w:rsidTr="00630894">
        <w:trPr>
          <w:trHeight w:val="300"/>
        </w:trPr>
        <w:tc>
          <w:tcPr>
            <w:tcW w:w="1056" w:type="pct"/>
          </w:tcPr>
          <w:p w14:paraId="78360E86" w14:textId="77777777" w:rsidR="007E4860" w:rsidRDefault="007E4860">
            <w:pPr>
              <w:pStyle w:val="TableText"/>
            </w:pPr>
            <w:r>
              <w:t xml:space="preserve">Lead and Copper in School Drinking </w:t>
            </w:r>
            <w:r>
              <w:lastRenderedPageBreak/>
              <w:t xml:space="preserve">Water Sampling Results </w:t>
            </w:r>
          </w:p>
        </w:tc>
        <w:tc>
          <w:tcPr>
            <w:tcW w:w="769" w:type="pct"/>
          </w:tcPr>
          <w:p w14:paraId="4CD83299" w14:textId="77777777" w:rsidR="007E4860" w:rsidRDefault="007E4860">
            <w:pPr>
              <w:pStyle w:val="TableText"/>
            </w:pPr>
            <w:r>
              <w:lastRenderedPageBreak/>
              <w:t xml:space="preserve">MassDEP </w:t>
            </w:r>
          </w:p>
        </w:tc>
        <w:tc>
          <w:tcPr>
            <w:tcW w:w="3175" w:type="pct"/>
          </w:tcPr>
          <w:p w14:paraId="1D1A049B" w14:textId="16E5DB66" w:rsidR="007E4860" w:rsidRDefault="007E4860">
            <w:pPr>
              <w:pStyle w:val="TableText"/>
            </w:pPr>
            <w:hyperlink r:id="rId336" w:history="1">
              <w:r w:rsidRPr="005045FC">
                <w:rPr>
                  <w:rStyle w:val="Hyperlink"/>
                </w:rPr>
                <w:t>https://www.mass.gov/info-details/lead-and-copper-in-school-drinking-water-sampling-results</w:t>
              </w:r>
            </w:hyperlink>
            <w:r>
              <w:t xml:space="preserve"> </w:t>
            </w:r>
          </w:p>
        </w:tc>
      </w:tr>
      <w:tr w:rsidR="007E4860" w14:paraId="4556AE0A" w14:textId="77777777" w:rsidTr="00630894">
        <w:trPr>
          <w:trHeight w:val="300"/>
        </w:trPr>
        <w:tc>
          <w:tcPr>
            <w:tcW w:w="1056" w:type="pct"/>
          </w:tcPr>
          <w:p w14:paraId="586DBAAE" w14:textId="77777777" w:rsidR="007E4860" w:rsidRDefault="007E4860">
            <w:pPr>
              <w:pStyle w:val="TableText"/>
            </w:pPr>
            <w:r>
              <w:t xml:space="preserve">Lead Contamination Control Act Program for Schools </w:t>
            </w:r>
          </w:p>
        </w:tc>
        <w:tc>
          <w:tcPr>
            <w:tcW w:w="769" w:type="pct"/>
          </w:tcPr>
          <w:p w14:paraId="049F869F" w14:textId="77777777" w:rsidR="007E4860" w:rsidRDefault="007E4860">
            <w:pPr>
              <w:pStyle w:val="TableText"/>
            </w:pPr>
            <w:r>
              <w:t xml:space="preserve">MassDEP </w:t>
            </w:r>
          </w:p>
        </w:tc>
        <w:tc>
          <w:tcPr>
            <w:tcW w:w="3175" w:type="pct"/>
          </w:tcPr>
          <w:p w14:paraId="76FC3A54" w14:textId="2C9F804E" w:rsidR="007E4860" w:rsidRDefault="007E4860">
            <w:pPr>
              <w:pStyle w:val="TableText"/>
            </w:pPr>
            <w:hyperlink r:id="rId337" w:history="1">
              <w:r w:rsidRPr="005045FC">
                <w:rPr>
                  <w:rStyle w:val="Hyperlink"/>
                </w:rPr>
                <w:t>https://leadandcoppercontrolact.donahue-institute.org/LCCA_Framework_4.26.18/story_html5.html</w:t>
              </w:r>
            </w:hyperlink>
            <w:r>
              <w:t xml:space="preserve"> </w:t>
            </w:r>
          </w:p>
        </w:tc>
      </w:tr>
      <w:tr w:rsidR="007E4860" w14:paraId="2A2A7086" w14:textId="77777777" w:rsidTr="00630894">
        <w:trPr>
          <w:trHeight w:val="300"/>
        </w:trPr>
        <w:tc>
          <w:tcPr>
            <w:tcW w:w="1056" w:type="pct"/>
          </w:tcPr>
          <w:p w14:paraId="295F837C" w14:textId="77777777" w:rsidR="007E4860" w:rsidRDefault="007E4860">
            <w:pPr>
              <w:pStyle w:val="TableText"/>
            </w:pPr>
            <w:r>
              <w:t xml:space="preserve">Lead in Drinking Water FAQ for Schools </w:t>
            </w:r>
          </w:p>
        </w:tc>
        <w:tc>
          <w:tcPr>
            <w:tcW w:w="769" w:type="pct"/>
          </w:tcPr>
          <w:p w14:paraId="5043FB52" w14:textId="77777777" w:rsidR="007E4860" w:rsidRDefault="007E4860">
            <w:pPr>
              <w:pStyle w:val="TableText"/>
            </w:pPr>
            <w:r>
              <w:t>DPH</w:t>
            </w:r>
          </w:p>
        </w:tc>
        <w:tc>
          <w:tcPr>
            <w:tcW w:w="3175" w:type="pct"/>
          </w:tcPr>
          <w:p w14:paraId="5B0D595F" w14:textId="6115BEF3" w:rsidR="007E4860" w:rsidRDefault="007E4860">
            <w:pPr>
              <w:pStyle w:val="TableText"/>
            </w:pPr>
            <w:hyperlink r:id="rId338" w:history="1">
              <w:r w:rsidRPr="005045FC">
                <w:rPr>
                  <w:rStyle w:val="Hyperlink"/>
                </w:rPr>
                <w:t>https://www.mass.gov/info-details/lead-in-drinking-water-faq-for-school-and-childcare-facilities</w:t>
              </w:r>
            </w:hyperlink>
            <w:r>
              <w:t xml:space="preserve"> </w:t>
            </w:r>
          </w:p>
        </w:tc>
      </w:tr>
      <w:tr w:rsidR="007E4860" w14:paraId="6FC135A2" w14:textId="77777777" w:rsidTr="00630894">
        <w:trPr>
          <w:trHeight w:val="300"/>
        </w:trPr>
        <w:tc>
          <w:tcPr>
            <w:tcW w:w="1056" w:type="pct"/>
          </w:tcPr>
          <w:p w14:paraId="392B8472" w14:textId="77777777" w:rsidR="007E4860" w:rsidRDefault="007E4860">
            <w:pPr>
              <w:pStyle w:val="TableText"/>
            </w:pPr>
            <w:r>
              <w:t>Sampling for Lead and Copper at Schools</w:t>
            </w:r>
          </w:p>
        </w:tc>
        <w:tc>
          <w:tcPr>
            <w:tcW w:w="769" w:type="pct"/>
          </w:tcPr>
          <w:p w14:paraId="5584D2FE" w14:textId="77777777" w:rsidR="007E4860" w:rsidRDefault="007E4860">
            <w:pPr>
              <w:pStyle w:val="TableText"/>
            </w:pPr>
            <w:r>
              <w:t xml:space="preserve">MassDEP </w:t>
            </w:r>
          </w:p>
        </w:tc>
        <w:tc>
          <w:tcPr>
            <w:tcW w:w="3175" w:type="pct"/>
          </w:tcPr>
          <w:p w14:paraId="639F4259" w14:textId="59A001F1" w:rsidR="007E4860" w:rsidRDefault="007E4860">
            <w:pPr>
              <w:pStyle w:val="TableText"/>
            </w:pPr>
            <w:hyperlink r:id="rId339" w:history="1">
              <w:r w:rsidRPr="005045FC">
                <w:rPr>
                  <w:rStyle w:val="Hyperlink"/>
                </w:rPr>
                <w:t>https://www.mass.gov/guides/sampling-for-lead-and-copper-at-schools-and-childcare-facilities</w:t>
              </w:r>
            </w:hyperlink>
            <w:r>
              <w:t xml:space="preserve"> </w:t>
            </w:r>
          </w:p>
        </w:tc>
      </w:tr>
      <w:tr w:rsidR="007E4860" w14:paraId="74E6921D" w14:textId="77777777" w:rsidTr="00630894">
        <w:trPr>
          <w:trHeight w:val="300"/>
        </w:trPr>
        <w:tc>
          <w:tcPr>
            <w:tcW w:w="1056" w:type="pct"/>
          </w:tcPr>
          <w:p w14:paraId="623377DE" w14:textId="77777777" w:rsidR="007E4860" w:rsidRDefault="007E4860">
            <w:pPr>
              <w:pStyle w:val="TableText"/>
            </w:pPr>
            <w:r>
              <w:t>School and Child Care Lead Testing and Reduction Grant Program</w:t>
            </w:r>
          </w:p>
        </w:tc>
        <w:tc>
          <w:tcPr>
            <w:tcW w:w="769" w:type="pct"/>
          </w:tcPr>
          <w:p w14:paraId="6B8A6EC4" w14:textId="77777777" w:rsidR="007E4860" w:rsidRDefault="007E4860">
            <w:pPr>
              <w:pStyle w:val="TableText"/>
            </w:pPr>
            <w:r>
              <w:t>US EPA</w:t>
            </w:r>
          </w:p>
        </w:tc>
        <w:tc>
          <w:tcPr>
            <w:tcW w:w="3175" w:type="pct"/>
          </w:tcPr>
          <w:p w14:paraId="38C83D5B" w14:textId="025CEA6E" w:rsidR="007E4860" w:rsidRDefault="007E4860">
            <w:pPr>
              <w:pStyle w:val="TableText"/>
            </w:pPr>
            <w:hyperlink r:id="rId340">
              <w:r w:rsidRPr="02601624">
                <w:rPr>
                  <w:rStyle w:val="Hyperlink"/>
                </w:rPr>
                <w:t>https://www.epa.gov/dwcapacity/wiin-grant-voluntary-school-and-child-care-lead-testing-and-reduction-grant-program</w:t>
              </w:r>
            </w:hyperlink>
            <w:r>
              <w:t xml:space="preserve"> </w:t>
            </w:r>
          </w:p>
        </w:tc>
      </w:tr>
      <w:tr w:rsidR="007E4860" w:rsidRPr="00276B41" w14:paraId="23D003FD" w14:textId="77777777" w:rsidTr="00630894">
        <w:tc>
          <w:tcPr>
            <w:tcW w:w="1056" w:type="pct"/>
          </w:tcPr>
          <w:p w14:paraId="4C805C5E" w14:textId="77777777" w:rsidR="007E4860" w:rsidRDefault="007E4860">
            <w:pPr>
              <w:pStyle w:val="TableText"/>
            </w:pPr>
            <w:r>
              <w:t>School Water Improvement Grants</w:t>
            </w:r>
          </w:p>
        </w:tc>
        <w:tc>
          <w:tcPr>
            <w:tcW w:w="769" w:type="pct"/>
          </w:tcPr>
          <w:p w14:paraId="73646979" w14:textId="77777777" w:rsidR="007E4860" w:rsidRDefault="007E4860">
            <w:pPr>
              <w:pStyle w:val="TableText"/>
            </w:pPr>
            <w:r>
              <w:t>MassDEP, Massachusetts Clean Water Trust</w:t>
            </w:r>
          </w:p>
        </w:tc>
        <w:tc>
          <w:tcPr>
            <w:tcW w:w="3175" w:type="pct"/>
          </w:tcPr>
          <w:p w14:paraId="6E2F334D" w14:textId="5413DF9A" w:rsidR="007E4860" w:rsidRDefault="007E4860">
            <w:pPr>
              <w:pStyle w:val="TableText"/>
            </w:pPr>
            <w:hyperlink r:id="rId341" w:history="1">
              <w:r w:rsidRPr="005045FC">
                <w:rPr>
                  <w:rStyle w:val="Hyperlink"/>
                </w:rPr>
                <w:t>https://www.mass.gov/school-water-improvement-grants</w:t>
              </w:r>
            </w:hyperlink>
            <w:r>
              <w:t xml:space="preserve"> </w:t>
            </w:r>
          </w:p>
        </w:tc>
      </w:tr>
      <w:tr w:rsidR="007E4860" w:rsidRPr="00276B41" w14:paraId="7CF96E82" w14:textId="77777777" w:rsidTr="00630894">
        <w:tc>
          <w:tcPr>
            <w:tcW w:w="1056" w:type="pct"/>
          </w:tcPr>
          <w:p w14:paraId="7E35D3DA" w14:textId="77777777" w:rsidR="007E4860" w:rsidRDefault="007E4860">
            <w:pPr>
              <w:pStyle w:val="TableText"/>
            </w:pPr>
            <w:r>
              <w:t xml:space="preserve">Water-Smart Program </w:t>
            </w:r>
          </w:p>
        </w:tc>
        <w:tc>
          <w:tcPr>
            <w:tcW w:w="769" w:type="pct"/>
          </w:tcPr>
          <w:p w14:paraId="720D5551" w14:textId="77777777" w:rsidR="007E4860" w:rsidRDefault="007E4860">
            <w:pPr>
              <w:pStyle w:val="TableText"/>
            </w:pPr>
            <w:r>
              <w:t>MassDEP</w:t>
            </w:r>
          </w:p>
        </w:tc>
        <w:tc>
          <w:tcPr>
            <w:tcW w:w="3175" w:type="pct"/>
          </w:tcPr>
          <w:p w14:paraId="048EFFD6" w14:textId="5D74F740" w:rsidR="007E4860" w:rsidRDefault="007E4860">
            <w:pPr>
              <w:pStyle w:val="TableText"/>
            </w:pPr>
            <w:hyperlink r:id="rId342" w:history="1">
              <w:r w:rsidRPr="005045FC">
                <w:rPr>
                  <w:rStyle w:val="Hyperlink"/>
                </w:rPr>
                <w:t>https://www.mass.gov/water-smart</w:t>
              </w:r>
            </w:hyperlink>
            <w:r>
              <w:t xml:space="preserve"> </w:t>
            </w:r>
          </w:p>
        </w:tc>
      </w:tr>
    </w:tbl>
    <w:p w14:paraId="258EC77E" w14:textId="06597F21" w:rsidR="00E96112" w:rsidRDefault="00434DDB" w:rsidP="00E96112">
      <w:pPr>
        <w:pStyle w:val="AirQualitySubheading"/>
      </w:pPr>
      <w:bookmarkStart w:id="600" w:name="SectVII_2b2"/>
      <w:bookmarkEnd w:id="600"/>
      <w:r>
        <w:t>2b(2)</w:t>
      </w:r>
      <w:r>
        <w:tab/>
      </w:r>
      <w:r w:rsidR="00E96112" w:rsidRPr="00E96112">
        <w:t>Reduce Exposure to PFAS in Drinking Water</w:t>
      </w:r>
    </w:p>
    <w:p w14:paraId="407090BA" w14:textId="77777777" w:rsidR="007E4860" w:rsidRDefault="007E4860" w:rsidP="007E4860">
      <w:pPr>
        <w:pStyle w:val="Heading3"/>
      </w:pPr>
      <w:r>
        <w:t>Methods and Best Practices</w:t>
      </w:r>
    </w:p>
    <w:p w14:paraId="396CF5EE" w14:textId="77777777" w:rsidR="007E4860" w:rsidRPr="00645F0D" w:rsidRDefault="007E4860" w:rsidP="006D7DE6">
      <w:pPr>
        <w:pStyle w:val="BodyTextFirstIndent"/>
      </w:pPr>
      <w:r>
        <w:t>The following best practices are aimed at identifying PFAS contamination in drinking water, remediating to reduce contamination, and eliminating sources of PFAS through green purchasing.</w:t>
      </w:r>
    </w:p>
    <w:p w14:paraId="24237471" w14:textId="71EC4664" w:rsidR="007E4860" w:rsidRDefault="007E4860" w:rsidP="007E4860">
      <w:pPr>
        <w:pStyle w:val="Heading5"/>
      </w:pPr>
      <w:r>
        <w:t xml:space="preserve">(1) </w:t>
      </w:r>
      <w:r w:rsidR="003F6F0A" w:rsidRPr="003F6F0A">
        <w:t>Identify whether the school’s drinking water source contains PFAS and conduct additional testing to determine the source of contamination whenever possible</w:t>
      </w:r>
    </w:p>
    <w:p w14:paraId="7F36E9BD" w14:textId="171BDCB6" w:rsidR="007E4860" w:rsidRDefault="007E4860" w:rsidP="006D7DE6">
      <w:pPr>
        <w:pStyle w:val="BodyTextFirstIndent"/>
      </w:pPr>
      <w:r>
        <w:t xml:space="preserve">An important first step in reducing exposure to PFAS in schools is to assess contamination in drinking water. </w:t>
      </w:r>
      <w:r w:rsidR="00F94C53" w:rsidRPr="00F94C53">
        <w:t xml:space="preserve">All </w:t>
      </w:r>
      <w:r w:rsidR="00F94C53">
        <w:t>p</w:t>
      </w:r>
      <w:r w:rsidR="00F94C53" w:rsidRPr="00F94C53">
        <w:t xml:space="preserve">ublic </w:t>
      </w:r>
      <w:r w:rsidR="00F94C53">
        <w:t>w</w:t>
      </w:r>
      <w:r w:rsidR="00F94C53" w:rsidRPr="00F94C53">
        <w:t xml:space="preserve">ater </w:t>
      </w:r>
      <w:r w:rsidR="00F94C53">
        <w:t>s</w:t>
      </w:r>
      <w:r w:rsidR="00F94C53" w:rsidRPr="00F94C53">
        <w:t xml:space="preserve">uppliers in Massachusetts </w:t>
      </w:r>
      <w:r w:rsidR="00F9464D">
        <w:t>a</w:t>
      </w:r>
      <w:r w:rsidR="00F94C53" w:rsidRPr="00F94C53">
        <w:t xml:space="preserve">re required to test for PFAS, whether the </w:t>
      </w:r>
      <w:r w:rsidR="00F9464D">
        <w:t xml:space="preserve">supplier </w:t>
      </w:r>
      <w:r w:rsidR="00F94C53" w:rsidRPr="00F94C53">
        <w:t>is a community system or a school with its own well.</w:t>
      </w:r>
      <w:r>
        <w:t xml:space="preserve"> If PFAS are detected, </w:t>
      </w:r>
      <w:r w:rsidR="00FA3D38">
        <w:t>schools should contact</w:t>
      </w:r>
      <w:r>
        <w:t xml:space="preserve"> MassDEP </w:t>
      </w:r>
      <w:r w:rsidR="00FA3D38">
        <w:t xml:space="preserve">to </w:t>
      </w:r>
      <w:r>
        <w:t xml:space="preserve">identify appropriate next steps for </w:t>
      </w:r>
      <w:r w:rsidR="0057637B">
        <w:t>addressing</w:t>
      </w:r>
      <w:r>
        <w:t xml:space="preserve"> both long-term and short-term remediation strategies.  </w:t>
      </w:r>
    </w:p>
    <w:p w14:paraId="78B1FDEE" w14:textId="77777777" w:rsidR="007E4860" w:rsidRDefault="007E4860" w:rsidP="007E4860">
      <w:pPr>
        <w:pStyle w:val="Heading5"/>
      </w:pPr>
      <w:r>
        <w:lastRenderedPageBreak/>
        <w:t>(2) Remediate sources of PFAS contamination and establish routine practices to minimize future contamination (long-term mitigation)</w:t>
      </w:r>
    </w:p>
    <w:p w14:paraId="5F67807B" w14:textId="363F2CF4" w:rsidR="007E4860" w:rsidRDefault="007E4860" w:rsidP="006D7DE6">
      <w:pPr>
        <w:pStyle w:val="BodyTextFirstIndent"/>
      </w:pPr>
      <w:r>
        <w:t xml:space="preserve">If the school is part of a larger public water system, the public water system is responsible for remediation actions to provide water to customers that complies with regulatory requirements. Long-term remediation by public water suppliers may include treatment to filter out PFAS or linking the water system to new sources of water </w:t>
      </w:r>
      <w:r w:rsidR="00430E3A">
        <w:t>that does not contain</w:t>
      </w:r>
      <w:r>
        <w:t xml:space="preserve"> PFAS.</w:t>
      </w:r>
      <w:r>
        <w:fldChar w:fldCharType="begin"/>
      </w:r>
      <w:r w:rsidR="00396FDA">
        <w:instrText xml:space="preserve"> ADDIN ZOTERO_ITEM CSL_CITATION {"citationID":"8cBAxXSZ","properties":{"formattedCitation":"\\super 123\\nosupersub{}","plainCitation":"123","noteIndex":0},"citationItems":[{"id":756,"uris":["http://zotero.org/groups/5563646/items/YWVZYU87"],"itemData":{"id":756,"type":"document","title":"Massachusetts and PFAS","author":[{"family":"Clean Water Fund","given":""},{"family":"Community Action Works","given":""}]}}],"schema":"https://github.com/citation-style-language/schema/raw/master/csl-citation.json"} </w:instrText>
      </w:r>
      <w:r>
        <w:fldChar w:fldCharType="separate"/>
      </w:r>
      <w:r w:rsidR="00396FDA" w:rsidRPr="00396FDA">
        <w:rPr>
          <w:rFonts w:ascii="Calibri" w:hAnsi="Calibri" w:cs="Calibri"/>
          <w:sz w:val="22"/>
          <w:vertAlign w:val="superscript"/>
        </w:rPr>
        <w:t>123</w:t>
      </w:r>
      <w:r>
        <w:fldChar w:fldCharType="end"/>
      </w:r>
      <w:r>
        <w:t xml:space="preserve"> </w:t>
      </w:r>
      <w:r w:rsidRPr="00410749">
        <w:t>If the school is on well water, it is considered a public water system and</w:t>
      </w:r>
      <w:r>
        <w:t>,</w:t>
      </w:r>
      <w:r w:rsidRPr="00410749">
        <w:t xml:space="preserve"> as such</w:t>
      </w:r>
      <w:r>
        <w:t>,</w:t>
      </w:r>
      <w:r w:rsidRPr="00410749">
        <w:t xml:space="preserve"> is required to comply with the same state drinking water regulations (310 CMR 22)</w:t>
      </w:r>
      <w:r>
        <w:t>. In such cases, schools can install activated carbon or reverse osmosis filters to treat water onsite.</w:t>
      </w:r>
      <w:r>
        <w:fldChar w:fldCharType="begin"/>
      </w:r>
      <w:r w:rsidR="00A06876">
        <w:instrText xml:space="preserve"> ADDIN ZOTERO_ITEM CSL_CITATION {"citationID":"1lo9SQ67","properties":{"formattedCitation":"\\super 124\\uc0\\u8211{}126\\nosupersub{}","plainCitation":"124–126","noteIndex":0},"citationItems":[{"id":755,"uris":["http://zotero.org/groups/5563646/items/SKNCFDE3"],"itemData":{"id":755,"type":"speech","language":"en","title":"Current Issues in Drinking Water: PFAS Lead in Schools","author":[{"family":"MA DEP","given":""},{"family":"Finn","given":"Margaret"}],"issued":{"date-parts":[["2019",3]]}}},{"id":757,"uris":["http://zotero.org/groups/5563646/items/LTC5JSR5"],"itemData":{"id":757,"type":"document","title":"PFAS in Schools","author":[{"family":"Center for Green Schools","given":""}]}},{"id":754,"uris":["http://zotero.org/groups/5563646/items/7CD9L6IX"],"itemData":{"id":754,"type":"webpage","title":"Per- and Polyfluoroalkyl Substances (PFAS)","URL":"https://www.mass.gov/info-details/per-and-polyfluoroalkyl-substances-pfas#pfas-detected-in-drinking-water-supplies-in-massachusetts-","author":[{"family":"MassDEP","given":""}]}}],"schema":"https://github.com/citation-style-language/schema/raw/master/csl-citation.json"} </w:instrText>
      </w:r>
      <w:r>
        <w:fldChar w:fldCharType="separate"/>
      </w:r>
      <w:r w:rsidR="00A06876" w:rsidRPr="00A06876">
        <w:rPr>
          <w:rFonts w:ascii="Calibri" w:hAnsi="Calibri" w:cs="Calibri"/>
          <w:sz w:val="22"/>
          <w:vertAlign w:val="superscript"/>
        </w:rPr>
        <w:t>124–126</w:t>
      </w:r>
      <w:r>
        <w:fldChar w:fldCharType="end"/>
      </w:r>
      <w:r>
        <w:t xml:space="preserve"> </w:t>
      </w:r>
      <w:r w:rsidR="00646518" w:rsidRPr="00646518">
        <w:t>The school should provide an alternative source of drinking water while installing a treatment system</w:t>
      </w:r>
      <w:r w:rsidR="00646518">
        <w:t>.</w:t>
      </w:r>
    </w:p>
    <w:p w14:paraId="20B8D39D" w14:textId="77777777" w:rsidR="007E4860" w:rsidRDefault="007E4860" w:rsidP="007E4860">
      <w:pPr>
        <w:pStyle w:val="Heading5"/>
      </w:pPr>
      <w:r>
        <w:t>(3) Remediate sources of contamination and establish routine practices to minimize future contamination (short-term mitigation)</w:t>
      </w:r>
    </w:p>
    <w:p w14:paraId="6D9AFB35" w14:textId="443EF52D" w:rsidR="007E4860" w:rsidRDefault="007E4860" w:rsidP="006D7DE6">
      <w:pPr>
        <w:pStyle w:val="BodyTextFirstIndent"/>
      </w:pPr>
      <w:r>
        <w:t>When PFAS contamination in local water sources cannot be immediately remediated, schools can switch to the use of bottled water as a temporary alternative.</w:t>
      </w:r>
      <w:r>
        <w:fldChar w:fldCharType="begin"/>
      </w:r>
      <w:r w:rsidR="00BA6C8E">
        <w:instrText xml:space="preserve"> ADDIN ZOTERO_ITEM CSL_CITATION {"citationID":"LulW2cO2","properties":{"formattedCitation":"\\super 124\\nosupersub{}","plainCitation":"124","noteIndex":0},"citationItems":[{"id":755,"uris":["http://zotero.org/groups/5563646/items/SKNCFDE3"],"itemData":{"id":755,"type":"speech","language":"en","title":"Current Issues in Drinking Water: PFAS Lead in Schools","author":[{"family":"MA DEP","given":""},{"family":"Finn","given":"Margaret"}],"issued":{"date-parts":[["2019",3]]}}}],"schema":"https://github.com/citation-style-language/schema/raw/master/csl-citation.json"} </w:instrText>
      </w:r>
      <w:r>
        <w:fldChar w:fldCharType="separate"/>
      </w:r>
      <w:r w:rsidR="00BA6C8E" w:rsidRPr="00BA6C8E">
        <w:rPr>
          <w:rFonts w:ascii="Calibri" w:hAnsi="Calibri" w:cs="Calibri"/>
          <w:sz w:val="22"/>
          <w:vertAlign w:val="superscript"/>
        </w:rPr>
        <w:t>124</w:t>
      </w:r>
      <w:r>
        <w:fldChar w:fldCharType="end"/>
      </w:r>
      <w:r>
        <w:t xml:space="preserve"> </w:t>
      </w:r>
      <w:r w:rsidR="00DD6172">
        <w:t>DPH</w:t>
      </w:r>
      <w:r>
        <w:t xml:space="preserve"> regulates bottled water in Massachusetts and—together with MassDEP—publishes a list of bottled water companies that have completed testing that demonstrates compliance with drinking water standards for PFAS.</w:t>
      </w:r>
      <w:r>
        <w:fldChar w:fldCharType="begin"/>
      </w:r>
      <w:r w:rsidR="007D2DA8">
        <w:instrText xml:space="preserve"> ADDIN ZOTERO_ITEM CSL_CITATION {"citationID":"ogMvfbbt","properties":{"formattedCitation":"\\super 126\\nosupersub{}","plainCitation":"126","noteIndex":0},"citationItems":[{"id":754,"uris":["http://zotero.org/groups/5563646/items/7CD9L6IX"],"itemData":{"id":754,"type":"webpage","title":"Per- and Polyfluoroalkyl Substances (PFAS)","URL":"https://www.mass.gov/info-details/per-and-polyfluoroalkyl-substances-pfas#pfas-detected-in-drinking-water-supplies-in-massachusetts-","author":[{"family":"MassDEP","given":""}]}}],"schema":"https://github.com/citation-style-language/schema/raw/master/csl-citation.json"} </w:instrText>
      </w:r>
      <w:r>
        <w:fldChar w:fldCharType="separate"/>
      </w:r>
      <w:r w:rsidR="007D2DA8" w:rsidRPr="007D2DA8">
        <w:rPr>
          <w:rFonts w:ascii="Calibri" w:hAnsi="Calibri" w:cs="Calibri"/>
          <w:sz w:val="22"/>
          <w:vertAlign w:val="superscript"/>
        </w:rPr>
        <w:t>126</w:t>
      </w:r>
      <w:r>
        <w:fldChar w:fldCharType="end"/>
      </w:r>
    </w:p>
    <w:p w14:paraId="6DA423E7" w14:textId="77777777" w:rsidR="007E4860" w:rsidRDefault="007E4860" w:rsidP="007E4860">
      <w:pPr>
        <w:pStyle w:val="Heading5"/>
      </w:pPr>
      <w:r w:rsidRPr="5443AAE6">
        <w:rPr>
          <w:bCs/>
          <w:iCs/>
        </w:rPr>
        <w:t>(4</w:t>
      </w:r>
      <w:r w:rsidRPr="5443AAE6">
        <w:t>) Procure certified PFAS-free items as part of the school’s green purchasing program</w:t>
      </w:r>
    </w:p>
    <w:p w14:paraId="47797F7E" w14:textId="5051D4A6" w:rsidR="00E96112" w:rsidRDefault="007E4860" w:rsidP="006D7DE6">
      <w:pPr>
        <w:pStyle w:val="BodyTextFirstIndent"/>
      </w:pPr>
      <w:r>
        <w:t xml:space="preserve">In addition to reducing PFAS in drinking water, efforts can be taken to reduce PFAS exposure in schools from everyday products. </w:t>
      </w:r>
      <w:r w:rsidR="007F405C">
        <w:t xml:space="preserve">For example, </w:t>
      </w:r>
      <w:r w:rsidR="009B2589" w:rsidRPr="009B2589">
        <w:t>New Hampshire has identified floor waxing and refinishing products as sources of PFAS in schools.</w:t>
      </w:r>
      <w:r w:rsidR="002B7E29">
        <w:fldChar w:fldCharType="begin"/>
      </w:r>
      <w:r w:rsidR="00583502">
        <w:instrText xml:space="preserve"> ADDIN ZOTERO_ITEM CSL_CITATION {"citationID":"a2o1aiurhtj","properties":{"formattedCitation":"\\super 334\\nosupersub{}","plainCitation":"334","noteIndex":0},"citationItems":[{"id":1171,"uris":["http://zotero.org/groups/5563646/items/6DGC44HT"],"itemData":{"id":1171,"type":"report","title":"Report on the Occurrence of Per- and Polyfluoroalkyl Substances (PFAS) in Floor Stripping and Refinishing Wastewater at Four Schools in New Hampshire","URL":"https://www.pfas.des.nh.gov/sites/g/files/ehbemt341/files/documents/r-wd-24-04.pdf","author":[{"literal":"New Hampshire Department of Environmental Services"}],"accessed":{"date-parts":[["2024",12,11]]},"issued":{"date-parts":[["2024",2]]}}}],"schema":"https://github.com/citation-style-language/schema/raw/master/csl-citation.json"} </w:instrText>
      </w:r>
      <w:r w:rsidR="002B7E29">
        <w:fldChar w:fldCharType="separate"/>
      </w:r>
      <w:r w:rsidR="000A0E3F" w:rsidRPr="000A0E3F">
        <w:rPr>
          <w:rFonts w:cs="Arial"/>
          <w:vertAlign w:val="superscript"/>
        </w:rPr>
        <w:t>334</w:t>
      </w:r>
      <w:r w:rsidR="002B7E29">
        <w:fldChar w:fldCharType="end"/>
      </w:r>
      <w:r w:rsidR="009B2589">
        <w:t xml:space="preserve"> </w:t>
      </w:r>
      <w:r>
        <w:t>Schools should include PFAS as contaminants to monitor through their green purchasing program. This would entail procuring certified PFAS-free products for any food contact materials, cleaning products, classroom furnishings, flooring, paint, etc.</w:t>
      </w:r>
      <w:r>
        <w:fldChar w:fldCharType="begin"/>
      </w:r>
      <w:r w:rsidR="00E27F41">
        <w:instrText xml:space="preserve"> ADDIN ZOTERO_ITEM CSL_CITATION {"citationID":"iW14JIDy","properties":{"formattedCitation":"\\super 125\\nosupersub{}","plainCitation":"125","noteIndex":0},"citationItems":[{"id":757,"uris":["http://zotero.org/groups/5563646/items/LTC5JSR5"],"itemData":{"id":757,"type":"document","title":"PFAS in Schools","author":[{"family":"Center for Green Schools","given":""}]}}],"schema":"https://github.com/citation-style-language/schema/raw/master/csl-citation.json"} </w:instrText>
      </w:r>
      <w:r>
        <w:fldChar w:fldCharType="separate"/>
      </w:r>
      <w:r w:rsidR="00E27F41" w:rsidRPr="00E27F41">
        <w:rPr>
          <w:rFonts w:ascii="Calibri" w:hAnsi="Calibri" w:cs="Calibri"/>
          <w:sz w:val="22"/>
          <w:vertAlign w:val="superscript"/>
        </w:rPr>
        <w:t>125</w:t>
      </w:r>
      <w:r>
        <w:fldChar w:fldCharType="end"/>
      </w:r>
      <w:r>
        <w:t xml:space="preserve"> Note that Massachusetts has set goals to require reporting of PFAS in products by manufacturers and to phase out intentionally added PFAS in consumer products by 2030.</w:t>
      </w:r>
      <w:r>
        <w:fldChar w:fldCharType="begin"/>
      </w:r>
      <w:r w:rsidR="0025718F">
        <w:instrText xml:space="preserve"> ADDIN ZOTERO_ITEM CSL_CITATION {"citationID":"JNWzkXLM","properties":{"formattedCitation":"\\super 127\\nosupersub{}","plainCitation":"127","noteIndex":0},"citationItems":[{"id":758,"uris":["http://zotero.org/groups/5563646/items/BW6FYA3S"],"itemData":{"id":758,"type":"document","title":"PFAS in the Commonwealth of Massachusetts","author":[{"family":"MA Interagency Taskforce on PFAS","given":""}],"issued":{"date-parts":[["2022",4]]}}}],"schema":"https://github.com/citation-style-language/schema/raw/master/csl-citation.json"} </w:instrText>
      </w:r>
      <w:r>
        <w:fldChar w:fldCharType="separate"/>
      </w:r>
      <w:r w:rsidR="0025718F" w:rsidRPr="0025718F">
        <w:rPr>
          <w:rFonts w:ascii="Calibri" w:hAnsi="Calibri" w:cs="Calibri"/>
          <w:sz w:val="22"/>
          <w:vertAlign w:val="superscript"/>
        </w:rPr>
        <w:t>127</w:t>
      </w:r>
      <w:r>
        <w:fldChar w:fldCharType="end"/>
      </w:r>
    </w:p>
    <w:p w14:paraId="2ED43DC9" w14:textId="77777777" w:rsidR="0070345A" w:rsidRDefault="0070345A" w:rsidP="0070345A">
      <w:pPr>
        <w:pStyle w:val="Heading3"/>
      </w:pPr>
      <w:r>
        <w:t>Statutes, Regulations, and Standards</w:t>
      </w:r>
    </w:p>
    <w:p w14:paraId="1F531D24" w14:textId="77777777" w:rsidR="0070345A" w:rsidRPr="00E549B2" w:rsidRDefault="0070345A" w:rsidP="006D7DE6">
      <w:pPr>
        <w:pStyle w:val="BodyTextFirstIndent"/>
      </w:pPr>
      <w:r>
        <w:t xml:space="preserve">The following statutes, regulations, and standards control hazardous waste containing PFAS and set limits for these chemicals in drinking water and other matrices. </w:t>
      </w:r>
    </w:p>
    <w:p w14:paraId="5291AEBE" w14:textId="77777777" w:rsidR="0070345A" w:rsidRDefault="0070345A" w:rsidP="0070345A">
      <w:pPr>
        <w:pStyle w:val="Heading4"/>
      </w:pPr>
      <w:r>
        <w:t>Relevant Statutes</w:t>
      </w:r>
    </w:p>
    <w:p w14:paraId="39E97F7F" w14:textId="2DC7CDB0" w:rsidR="0070345A" w:rsidRDefault="0070345A" w:rsidP="006D7DE6">
      <w:pPr>
        <w:pStyle w:val="BodyTextFirstIndent"/>
      </w:pPr>
      <w:r>
        <w:rPr>
          <w:b/>
          <w:bCs/>
        </w:rPr>
        <w:t>MA Oil and Hazardous Material Release Prevention and Response Act, Ch. 21E</w:t>
      </w:r>
      <w:r>
        <w:t xml:space="preserve"> regulates oil and hazardous waste contamination where cleanup standards set the limit to 20 ppt for the sum of p</w:t>
      </w:r>
      <w:r w:rsidRPr="005014FE">
        <w:t xml:space="preserve">erfluorooctanoic acid </w:t>
      </w:r>
      <w:r>
        <w:t>(PFOA), p</w:t>
      </w:r>
      <w:r w:rsidRPr="0069761E">
        <w:t>erfluorooctane sulfonic acid</w:t>
      </w:r>
      <w:r>
        <w:t xml:space="preserve"> (PFOS), p</w:t>
      </w:r>
      <w:r w:rsidRPr="001344B5">
        <w:t xml:space="preserve">erfluorohexanesulfonic acid </w:t>
      </w:r>
      <w:r>
        <w:t>(PFHxS), h</w:t>
      </w:r>
      <w:r w:rsidRPr="0039748E">
        <w:t xml:space="preserve">exafluoropropylene oxide dimer acid </w:t>
      </w:r>
      <w:r>
        <w:lastRenderedPageBreak/>
        <w:t>(HFPO-DA), p</w:t>
      </w:r>
      <w:r w:rsidRPr="00DD618D">
        <w:t xml:space="preserve">erfluorobutane sulfonate </w:t>
      </w:r>
      <w:r>
        <w:t>(PFBS), and p</w:t>
      </w:r>
      <w:r w:rsidRPr="009F22C8">
        <w:t xml:space="preserve">erfluorononanoic acid </w:t>
      </w:r>
      <w:r>
        <w:t>(PFNA) in groundwater and 0.3-2 ppb in soil.</w:t>
      </w:r>
      <w:r>
        <w:fldChar w:fldCharType="begin"/>
      </w:r>
      <w:r w:rsidR="004A4EC2">
        <w:instrText xml:space="preserve"> ADDIN ZOTERO_ITEM CSL_CITATION {"citationID":"gldZEGm9","properties":{"formattedCitation":"\\super 127\\nosupersub{}","plainCitation":"127","noteIndex":0},"citationItems":[{"id":758,"uris":["http://zotero.org/groups/5563646/items/BW6FYA3S"],"itemData":{"id":758,"type":"document","title":"PFAS in the Commonwealth of Massachusetts","author":[{"family":"MA Interagency Taskforce on PFAS","given":""}],"issued":{"date-parts":[["2022",4]]}}}],"schema":"https://github.com/citation-style-language/schema/raw/master/csl-citation.json"} </w:instrText>
      </w:r>
      <w:r>
        <w:fldChar w:fldCharType="separate"/>
      </w:r>
      <w:r w:rsidR="004A4EC2" w:rsidRPr="004A4EC2">
        <w:rPr>
          <w:rFonts w:ascii="Calibri" w:hAnsi="Calibri" w:cs="Calibri"/>
          <w:sz w:val="22"/>
          <w:vertAlign w:val="superscript"/>
        </w:rPr>
        <w:t>127</w:t>
      </w:r>
      <w:r>
        <w:fldChar w:fldCharType="end"/>
      </w:r>
      <w:r>
        <w:t xml:space="preserve"> </w:t>
      </w:r>
    </w:p>
    <w:p w14:paraId="4DCD081F" w14:textId="7C7BD72E" w:rsidR="0070345A" w:rsidRDefault="0070345A" w:rsidP="006D7DE6">
      <w:pPr>
        <w:pStyle w:val="BodyTextFirstIndent"/>
      </w:pPr>
      <w:r>
        <w:rPr>
          <w:b/>
          <w:bCs/>
        </w:rPr>
        <w:t>Comprehensive Environmental Response, Compensation, and Liability Act</w:t>
      </w:r>
      <w:r>
        <w:t xml:space="preserve"> designates PFOA, PFOS,</w:t>
      </w:r>
      <w:r w:rsidR="74BF5A87">
        <w:t xml:space="preserve"> and</w:t>
      </w:r>
      <w:r>
        <w:t xml:space="preserve"> their salts and isomers as chemicals to be monitored for cleanup in the event of uncontrolled or abandoned hazardous waste.</w:t>
      </w:r>
      <w:r>
        <w:fldChar w:fldCharType="begin"/>
      </w:r>
      <w:r w:rsidR="00EB543F">
        <w:instrText xml:space="preserve"> ADDIN ZOTERO_ITEM CSL_CITATION {"citationID":"zUxQprZt","properties":{"formattedCitation":"\\super 335\\nosupersub{}","plainCitation":"335","noteIndex":0},"citationItems":[{"id":761,"uris":["http://zotero.org/groups/5563646/items/9G29DSGN"],"itemData":{"id":761,"type":"webpage","title":"Designation of Perfluorooctanoic Acid (PFOA) and Perfluorooctanesulfonic Acid (PFOS) as CERCLA Hazardous Substances","URL":"https://www.federalregister.gov/documents/2024/05/08/2024-08547/designation-of-perfluorooctanoic-acid-pfoa-and-perfluorooctanesulfonic-acid-pfos-as-cercla-hazardous","author":[{"family":"US EPA","given":""}],"issued":{"date-parts":[["2024",5,8]]}}}],"schema":"https://github.com/citation-style-language/schema/raw/master/csl-citation.json"} </w:instrText>
      </w:r>
      <w:r>
        <w:fldChar w:fldCharType="separate"/>
      </w:r>
      <w:r w:rsidR="00EB543F" w:rsidRPr="00EB543F">
        <w:rPr>
          <w:rFonts w:ascii="Calibri" w:hAnsi="Calibri" w:cs="Calibri"/>
          <w:vertAlign w:val="superscript"/>
        </w:rPr>
        <w:t>335</w:t>
      </w:r>
      <w:r>
        <w:fldChar w:fldCharType="end"/>
      </w:r>
    </w:p>
    <w:p w14:paraId="4DBD770F" w14:textId="77777777" w:rsidR="0070345A" w:rsidRDefault="0070345A" w:rsidP="0070345A">
      <w:pPr>
        <w:pStyle w:val="Heading4"/>
      </w:pPr>
      <w:r>
        <w:t>Relevant Standards and Regulations</w:t>
      </w:r>
    </w:p>
    <w:p w14:paraId="788D6691" w14:textId="4515F233" w:rsidR="0070345A" w:rsidRDefault="0070345A" w:rsidP="006D7DE6">
      <w:pPr>
        <w:pStyle w:val="BodyTextFirstIndent"/>
      </w:pPr>
      <w:r>
        <w:rPr>
          <w:b/>
          <w:bCs/>
        </w:rPr>
        <w:t>PFAS National Primary Drinking Water Regulation</w:t>
      </w:r>
      <w:r>
        <w:t xml:space="preserve"> sets a maximum contaminant level (MCL) standard in drinking water for five PFAS compounds where PFOA and PFOS are 4 ng/L and PFHxS, HFPO-DA, and PFNA are 10 ng/L.</w:t>
      </w:r>
      <w:r>
        <w:fldChar w:fldCharType="begin"/>
      </w:r>
      <w:r w:rsidR="00DF33B9">
        <w:instrText xml:space="preserve"> ADDIN ZOTERO_ITEM CSL_CITATION {"citationID":"tHTj3pLt","properties":{"formattedCitation":"\\super 336\\nosupersub{}","plainCitation":"336","noteIndex":0},"citationItems":[{"id":762,"uris":["http://zotero.org/groups/5563646/items/S6GRJNPD"],"itemData":{"id":762,"type":"webpage","title":"PFAS National Primary Drinking Water Regulation Rulemaking","URL":"https://www.federalregister.gov/documents/2023/03/29/2023-05471/pfas-national-primary-drinking-water-regulation-rulemaking#:~:text=In%20summary%2C%20the%20proposed%20MCLs,PFNA%2C%20and%2For%20PFBS.","author":[{"family":"US EPA","given":""}],"issued":{"date-parts":[["2023",3,29]]}}}],"schema":"https://github.com/citation-style-language/schema/raw/master/csl-citation.json"} </w:instrText>
      </w:r>
      <w:r>
        <w:fldChar w:fldCharType="separate"/>
      </w:r>
      <w:r w:rsidR="00DF33B9" w:rsidRPr="00DF33B9">
        <w:rPr>
          <w:rFonts w:ascii="Calibri" w:hAnsi="Calibri" w:cs="Calibri"/>
          <w:vertAlign w:val="superscript"/>
        </w:rPr>
        <w:t>336</w:t>
      </w:r>
      <w:r>
        <w:fldChar w:fldCharType="end"/>
      </w:r>
      <w:r>
        <w:t xml:space="preserve"> Further, any given mixture of PFHxS, PFNA, HFPO-DA, and/or PFBS cannot exceed a hazard index of 1. This regulation also sets maximum contaminant level goals (MCLGs), which are non-enforceable health-based levels. The MCLGs were set to zero ng/L for PFOA and PFOS and 10 ng/L for PFHxS, HFPO-DA, and PFNA.  </w:t>
      </w:r>
    </w:p>
    <w:p w14:paraId="63A4CCFF" w14:textId="79CB654A" w:rsidR="0070345A" w:rsidRDefault="0070345A" w:rsidP="006D7DE6">
      <w:pPr>
        <w:pStyle w:val="BodyTextFirstIndent"/>
      </w:pPr>
      <w:r w:rsidRPr="007D5BE5">
        <w:t>MA PFAS Drinking Water Standard (310 CMR 22.07: Per- and Polyfluoroalkyl Substances (PFAS) Monitoring and Analytical Requirements)</w:t>
      </w:r>
      <w:r w:rsidRPr="5443AAE6">
        <w:t xml:space="preserve"> </w:t>
      </w:r>
      <w:r>
        <w:t>has a current MCL of 20 ng/L for the sum of the concentrations of the following compounds: PFOA, PFOS, PFHxS, PFNA, PFHpA, and p</w:t>
      </w:r>
      <w:r w:rsidRPr="005E2F57">
        <w:t>erfluorodecanoic acid</w:t>
      </w:r>
      <w:r>
        <w:t>.</w:t>
      </w:r>
      <w:r>
        <w:fldChar w:fldCharType="begin"/>
      </w:r>
      <w:r w:rsidR="00EF43DF">
        <w:instrText xml:space="preserve"> ADDIN ZOTERO_ITEM CSL_CITATION {"citationID":"MoGvggS9","properties":{"formattedCitation":"\\super 337\\nosupersub{}","plainCitation":"337","noteIndex":0},"citationItems":[{"id":760,"uris":["http://zotero.org/groups/5563646/items/DJHAYQS4"],"itemData":{"id":760,"type":"webpage","title":"Massachusetts PFAS Drinking Water Standard (MCL)","URL":"https://www.mass.gov/lists/massachusetts-pfas-drinking-water-standard-mcl","author":[{"family":"MA DEP","given":""}]}}],"schema":"https://github.com/citation-style-language/schema/raw/master/csl-citation.json"} </w:instrText>
      </w:r>
      <w:r>
        <w:fldChar w:fldCharType="separate"/>
      </w:r>
      <w:r w:rsidR="00EF43DF" w:rsidRPr="00EF43DF">
        <w:rPr>
          <w:rFonts w:ascii="Calibri" w:hAnsi="Calibri" w:cs="Calibri"/>
          <w:vertAlign w:val="superscript"/>
        </w:rPr>
        <w:t>337</w:t>
      </w:r>
      <w:r>
        <w:fldChar w:fldCharType="end"/>
      </w:r>
      <w:r>
        <w:t xml:space="preserve"> MassDEP must adopt the national MCLs noted above and is considering additional information that could result in more stringent standards. </w:t>
      </w:r>
    </w:p>
    <w:p w14:paraId="44594A72" w14:textId="141D3953" w:rsidR="0070345A" w:rsidRDefault="0070345A" w:rsidP="006D7DE6">
      <w:pPr>
        <w:pStyle w:val="BodyTextFirstIndent"/>
      </w:pPr>
      <w:r w:rsidRPr="2C653AB7">
        <w:rPr>
          <w:b/>
          <w:bCs/>
        </w:rPr>
        <w:t>MA Drinking Water Standard (105 CMR 500.</w:t>
      </w:r>
      <w:r w:rsidRPr="5E67B6D3">
        <w:rPr>
          <w:b/>
          <w:bCs/>
        </w:rPr>
        <w:t>09: Standards for Bottled Water</w:t>
      </w:r>
      <w:r w:rsidRPr="4CFBF4C8">
        <w:rPr>
          <w:b/>
          <w:bCs/>
        </w:rPr>
        <w:t xml:space="preserve">) </w:t>
      </w:r>
      <w:r>
        <w:t>requires laboratory results for source and finished water, including bottled water, to be under the MCL of 20 ng/L for the sum of the concentrations of the following compounds: PFOA, PFOS, PFHxS, PFNA, PFHpA, and perfluorodecanoic acid.</w:t>
      </w:r>
      <w:r>
        <w:fldChar w:fldCharType="begin"/>
      </w:r>
      <w:r w:rsidR="009361AE">
        <w:instrText xml:space="preserve"> ADDIN ZOTERO_ITEM CSL_CITATION {"citationID":"a3h8letmrv","properties":{"formattedCitation":"\\super 338\\nosupersub{}","plainCitation":"338","noteIndex":0},"citationItems":[{"id":1062,"uris":["http://zotero.org/groups/5563646/items/AYHPYMWG"],"itemData":{"id":1062,"type":"webpage","title":"Water Quality Standards for Bottled Water in Massachusetts","URL":"https://www.mass.gov/info-details/water-quality-standards-for-bottled-water-in-massachusetts","author":[{"family":"MDPH","given":""}]}}],"schema":"https://github.com/citation-style-language/schema/raw/master/csl-citation.json"} </w:instrText>
      </w:r>
      <w:r>
        <w:fldChar w:fldCharType="separate"/>
      </w:r>
      <w:r w:rsidR="009361AE" w:rsidRPr="009361AE">
        <w:rPr>
          <w:rFonts w:cs="Arial"/>
          <w:vertAlign w:val="superscript"/>
        </w:rPr>
        <w:t>338</w:t>
      </w:r>
      <w:r>
        <w:fldChar w:fldCharType="end"/>
      </w:r>
      <w:r>
        <w:t xml:space="preserve"> With regards to bottled water, manufacturers are to provide lab results annually showing that their finished water products meet these requirements. </w:t>
      </w:r>
    </w:p>
    <w:p w14:paraId="3089E243" w14:textId="6D1922DC" w:rsidR="0070345A" w:rsidRDefault="0070345A" w:rsidP="006D7DE6">
      <w:pPr>
        <w:pStyle w:val="BodyTextFirstIndent"/>
      </w:pPr>
      <w:r>
        <w:fldChar w:fldCharType="begin"/>
      </w:r>
      <w:r>
        <w:instrText xml:space="preserve"> REF _Ref171630433 \h </w:instrText>
      </w:r>
      <w:r>
        <w:fldChar w:fldCharType="separate"/>
      </w:r>
      <w:r w:rsidR="00307850">
        <w:t xml:space="preserve">Table </w:t>
      </w:r>
      <w:r w:rsidR="00307850">
        <w:rPr>
          <w:noProof/>
        </w:rPr>
        <w:t>74</w:t>
      </w:r>
      <w:r>
        <w:fldChar w:fldCharType="end"/>
      </w:r>
      <w:r>
        <w:t xml:space="preserve"> </w:t>
      </w:r>
      <w:r w:rsidRPr="007935AE">
        <w:t xml:space="preserve">summarizes the statutes, regulations, and standards related to </w:t>
      </w:r>
      <w:r>
        <w:t>reducing exposure to PFAS in drinking water in</w:t>
      </w:r>
      <w:r w:rsidRPr="007935AE">
        <w:t xml:space="preserve"> schools</w:t>
      </w:r>
      <w:r>
        <w:t xml:space="preserve"> outlined above</w:t>
      </w:r>
      <w:r w:rsidRPr="007935AE">
        <w:t>.</w:t>
      </w:r>
    </w:p>
    <w:p w14:paraId="34B9FEEE" w14:textId="5EBAA1C3" w:rsidR="0070345A" w:rsidRDefault="0070345A" w:rsidP="00B30C96">
      <w:pPr>
        <w:pStyle w:val="TableTitle"/>
      </w:pPr>
      <w:bookmarkStart w:id="601" w:name="_Ref171630433"/>
      <w:bookmarkStart w:id="602" w:name="_Toc171629208"/>
      <w:bookmarkStart w:id="603" w:name="_Toc192711740"/>
      <w:bookmarkStart w:id="604" w:name="_Toc193112622"/>
      <w:bookmarkStart w:id="605" w:name="_Toc193117021"/>
      <w:r>
        <w:lastRenderedPageBreak/>
        <w:t xml:space="preserve">Table </w:t>
      </w:r>
      <w:fldSimple w:instr=" SEQ Table \* ARABIC ">
        <w:r w:rsidR="00307850">
          <w:rPr>
            <w:noProof/>
          </w:rPr>
          <w:t>74</w:t>
        </w:r>
      </w:fldSimple>
      <w:bookmarkEnd w:id="601"/>
      <w:r>
        <w:t xml:space="preserve">. Statutory/Regulatory Framework and Notable Standards for </w:t>
      </w:r>
      <w:r w:rsidRPr="008F652D">
        <w:t>Reduc</w:t>
      </w:r>
      <w:r>
        <w:t>ing</w:t>
      </w:r>
      <w:r w:rsidRPr="008F652D">
        <w:t xml:space="preserve"> </w:t>
      </w:r>
      <w:r>
        <w:t xml:space="preserve">Exposure to </w:t>
      </w:r>
      <w:bookmarkEnd w:id="602"/>
      <w:r>
        <w:t>PFAS in Drinking Water</w:t>
      </w:r>
      <w:bookmarkEnd w:id="603"/>
      <w:bookmarkEnd w:id="604"/>
      <w:bookmarkEnd w:id="605"/>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exposure to PFAS in drinking water."/>
      </w:tblPr>
      <w:tblGrid>
        <w:gridCol w:w="6834"/>
        <w:gridCol w:w="838"/>
        <w:gridCol w:w="840"/>
        <w:gridCol w:w="838"/>
      </w:tblGrid>
      <w:tr w:rsidR="0070345A" w:rsidRPr="00E11392" w14:paraId="0978AABC"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5E75BB17" w14:textId="77777777" w:rsidR="0070345A" w:rsidRPr="00E11392" w:rsidRDefault="0070345A">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659737E5" w14:textId="77777777" w:rsidR="0070345A" w:rsidRPr="00E11392" w:rsidRDefault="0070345A">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75484486" w14:textId="77777777" w:rsidR="0070345A" w:rsidRPr="00E11392" w:rsidRDefault="0070345A">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7079BDF1" w14:textId="77777777" w:rsidR="0070345A" w:rsidRPr="00E11392" w:rsidRDefault="0070345A">
            <w:pPr>
              <w:pStyle w:val="TableColumnHeader"/>
              <w:jc w:val="left"/>
            </w:pPr>
            <w:r w:rsidRPr="00E11392">
              <w:t>Standard</w:t>
            </w:r>
          </w:p>
        </w:tc>
      </w:tr>
      <w:tr w:rsidR="0070345A" w:rsidRPr="00E11392" w14:paraId="6488442B"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753A9C3A" w14:textId="77777777" w:rsidR="0070345A" w:rsidRPr="00E11392" w:rsidRDefault="0070345A">
            <w:pPr>
              <w:pStyle w:val="TableRowHeader"/>
            </w:pPr>
            <w:r w:rsidRPr="00E11392">
              <w:t>Statutes</w:t>
            </w:r>
          </w:p>
        </w:tc>
      </w:tr>
      <w:tr w:rsidR="0070345A" w:rsidRPr="00E11392" w14:paraId="01DC292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5AAC236D" w14:textId="77777777" w:rsidR="0070345A" w:rsidRPr="00E11392" w:rsidRDefault="0070345A">
            <w:pPr>
              <w:pStyle w:val="TableText"/>
            </w:pPr>
            <w:r>
              <w:t>MA Oil and Hazardous Material Release Prevention and Response Act, Ch. 21E</w:t>
            </w:r>
          </w:p>
        </w:tc>
        <w:tc>
          <w:tcPr>
            <w:tcW w:w="448" w:type="pct"/>
            <w:tcBorders>
              <w:top w:val="nil"/>
              <w:left w:val="single" w:sz="4" w:space="0" w:color="auto"/>
              <w:bottom w:val="single" w:sz="4" w:space="0" w:color="auto"/>
              <w:right w:val="single" w:sz="4" w:space="0" w:color="auto"/>
            </w:tcBorders>
            <w:shd w:val="clear" w:color="auto" w:fill="auto"/>
            <w:vAlign w:val="center"/>
          </w:tcPr>
          <w:p w14:paraId="18D7E577" w14:textId="77777777" w:rsidR="0070345A" w:rsidRPr="00E11392" w:rsidRDefault="0070345A">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2D8ACA0B" w14:textId="77777777" w:rsidR="0070345A" w:rsidRPr="00E11392" w:rsidRDefault="0070345A">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4075CA3C" w14:textId="77777777" w:rsidR="0070345A" w:rsidRPr="00E11392" w:rsidRDefault="0070345A">
            <w:pPr>
              <w:jc w:val="center"/>
              <w:rPr>
                <w:rFonts w:ascii="Arial" w:hAnsi="Arial" w:cs="Arial"/>
                <w:b/>
                <w:bCs/>
                <w:sz w:val="24"/>
              </w:rPr>
            </w:pPr>
          </w:p>
        </w:tc>
      </w:tr>
      <w:tr w:rsidR="0070345A" w:rsidRPr="00E11392" w14:paraId="66EA81EC"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6239056" w14:textId="77777777" w:rsidR="0070345A" w:rsidRPr="00E11392" w:rsidRDefault="0070345A">
            <w:pPr>
              <w:pStyle w:val="TableText"/>
            </w:pPr>
            <w:r>
              <w:t xml:space="preserve">Comprehensive Environmental Response, Compensation, and Liability Act. </w:t>
            </w:r>
          </w:p>
        </w:tc>
        <w:tc>
          <w:tcPr>
            <w:tcW w:w="448" w:type="pct"/>
            <w:tcBorders>
              <w:top w:val="nil"/>
              <w:left w:val="single" w:sz="4" w:space="0" w:color="auto"/>
              <w:bottom w:val="single" w:sz="4" w:space="0" w:color="auto"/>
              <w:right w:val="single" w:sz="4" w:space="0" w:color="auto"/>
            </w:tcBorders>
            <w:shd w:val="clear" w:color="auto" w:fill="auto"/>
            <w:vAlign w:val="center"/>
          </w:tcPr>
          <w:p w14:paraId="4D6524E9" w14:textId="77777777" w:rsidR="0070345A" w:rsidRPr="00E11392" w:rsidRDefault="0070345A">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3C45DE2E" w14:textId="77777777" w:rsidR="0070345A" w:rsidRPr="00E11392" w:rsidRDefault="0070345A">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5F6954E3" w14:textId="77777777" w:rsidR="0070345A" w:rsidRPr="00E11392" w:rsidRDefault="0070345A">
            <w:pPr>
              <w:jc w:val="center"/>
              <w:rPr>
                <w:rFonts w:ascii="Arial" w:hAnsi="Arial" w:cs="Arial"/>
                <w:b/>
                <w:bCs/>
                <w:sz w:val="24"/>
              </w:rPr>
            </w:pPr>
          </w:p>
        </w:tc>
      </w:tr>
      <w:tr w:rsidR="0070345A" w:rsidRPr="00E11392" w14:paraId="54B3DFFA"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4D87256F" w14:textId="77777777" w:rsidR="0070345A" w:rsidRPr="00E11392" w:rsidRDefault="0070345A">
            <w:pPr>
              <w:pStyle w:val="TableRowHeader"/>
            </w:pPr>
            <w:r>
              <w:t xml:space="preserve">Standards and </w:t>
            </w:r>
            <w:r w:rsidRPr="00E11392">
              <w:t>Regulations</w:t>
            </w:r>
          </w:p>
        </w:tc>
      </w:tr>
      <w:tr w:rsidR="0070345A" w14:paraId="00575D5C" w14:textId="77777777">
        <w:trPr>
          <w:cantSplit/>
          <w:trHeight w:val="255"/>
          <w:tblHeader/>
          <w:jc w:val="center"/>
        </w:trPr>
        <w:tc>
          <w:tcPr>
            <w:tcW w:w="3655" w:type="pct"/>
            <w:tcBorders>
              <w:top w:val="nil"/>
              <w:left w:val="single" w:sz="4" w:space="0" w:color="auto"/>
              <w:bottom w:val="single" w:sz="4" w:space="0" w:color="auto"/>
              <w:right w:val="single" w:sz="4" w:space="0" w:color="auto"/>
            </w:tcBorders>
          </w:tcPr>
          <w:p w14:paraId="13A44CB2" w14:textId="77777777" w:rsidR="0070345A" w:rsidRDefault="0070345A">
            <w:pPr>
              <w:pStyle w:val="TableText"/>
            </w:pPr>
            <w:r>
              <w:t>MA PFAS Drinking Water Standard (310 CMR 22.07)</w:t>
            </w:r>
          </w:p>
        </w:tc>
        <w:tc>
          <w:tcPr>
            <w:tcW w:w="448" w:type="pct"/>
            <w:tcBorders>
              <w:top w:val="nil"/>
              <w:left w:val="single" w:sz="4" w:space="0" w:color="auto"/>
              <w:bottom w:val="single" w:sz="4" w:space="0" w:color="auto"/>
              <w:right w:val="single" w:sz="4" w:space="0" w:color="auto"/>
            </w:tcBorders>
          </w:tcPr>
          <w:p w14:paraId="211EF819" w14:textId="77777777" w:rsidR="0070345A" w:rsidRDefault="0070345A">
            <w:pPr>
              <w:jc w:val="center"/>
              <w:rPr>
                <w:rFonts w:ascii="Arial" w:hAnsi="Arial" w:cs="Arial"/>
                <w:b/>
                <w:bCs/>
                <w:color w:val="00B050"/>
                <w:sz w:val="24"/>
              </w:rPr>
            </w:pPr>
            <w:r w:rsidRPr="5443AAE6">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tcPr>
          <w:p w14:paraId="3C2089BC" w14:textId="77777777" w:rsidR="0070345A" w:rsidRDefault="0070345A">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tcPr>
          <w:p w14:paraId="4750C30B" w14:textId="77777777" w:rsidR="0070345A" w:rsidRDefault="0070345A">
            <w:pPr>
              <w:jc w:val="center"/>
              <w:rPr>
                <w:rFonts w:ascii="Arial" w:hAnsi="Arial" w:cs="Arial"/>
                <w:b/>
                <w:bCs/>
                <w:sz w:val="24"/>
              </w:rPr>
            </w:pPr>
            <w:r w:rsidRPr="5443AAE6">
              <w:rPr>
                <w:rFonts w:ascii="Arial" w:hAnsi="Arial" w:cs="Arial"/>
                <w:b/>
                <w:bCs/>
                <w:color w:val="00B050"/>
                <w:sz w:val="24"/>
              </w:rPr>
              <w:t>X</w:t>
            </w:r>
          </w:p>
        </w:tc>
      </w:tr>
      <w:tr w:rsidR="0070345A" w14:paraId="7D00A8FC" w14:textId="77777777">
        <w:trPr>
          <w:cantSplit/>
          <w:trHeight w:val="255"/>
          <w:tblHeader/>
          <w:jc w:val="center"/>
        </w:trPr>
        <w:tc>
          <w:tcPr>
            <w:tcW w:w="3655" w:type="pct"/>
            <w:tcBorders>
              <w:top w:val="nil"/>
              <w:left w:val="single" w:sz="4" w:space="0" w:color="auto"/>
              <w:bottom w:val="single" w:sz="4" w:space="0" w:color="auto"/>
              <w:right w:val="single" w:sz="4" w:space="0" w:color="auto"/>
            </w:tcBorders>
          </w:tcPr>
          <w:p w14:paraId="32A5362A" w14:textId="77777777" w:rsidR="0070345A" w:rsidRDefault="0070345A">
            <w:pPr>
              <w:pStyle w:val="TableText"/>
            </w:pPr>
            <w:r>
              <w:t>MA Water Quality Standards (105 CMR 500.09)</w:t>
            </w:r>
          </w:p>
        </w:tc>
        <w:tc>
          <w:tcPr>
            <w:tcW w:w="448" w:type="pct"/>
            <w:tcBorders>
              <w:top w:val="nil"/>
              <w:left w:val="single" w:sz="4" w:space="0" w:color="auto"/>
              <w:bottom w:val="single" w:sz="4" w:space="0" w:color="auto"/>
              <w:right w:val="single" w:sz="4" w:space="0" w:color="auto"/>
            </w:tcBorders>
          </w:tcPr>
          <w:p w14:paraId="071BB564" w14:textId="77777777" w:rsidR="0070345A" w:rsidRDefault="0070345A">
            <w:pPr>
              <w:jc w:val="center"/>
              <w:rPr>
                <w:rFonts w:ascii="Arial" w:hAnsi="Arial" w:cs="Arial"/>
                <w:b/>
                <w:bCs/>
                <w:color w:val="00B050"/>
                <w:sz w:val="24"/>
              </w:rPr>
            </w:pPr>
            <w:r w:rsidRPr="75DBF659">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tcPr>
          <w:p w14:paraId="4D0A6DCE" w14:textId="77777777" w:rsidR="0070345A" w:rsidRDefault="0070345A">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tcPr>
          <w:p w14:paraId="242365AF" w14:textId="77777777" w:rsidR="0070345A" w:rsidRDefault="0070345A">
            <w:pPr>
              <w:jc w:val="center"/>
              <w:rPr>
                <w:rFonts w:ascii="Arial" w:hAnsi="Arial" w:cs="Arial"/>
                <w:b/>
                <w:bCs/>
                <w:sz w:val="24"/>
              </w:rPr>
            </w:pPr>
          </w:p>
        </w:tc>
      </w:tr>
      <w:tr w:rsidR="0070345A" w:rsidRPr="00E11392" w14:paraId="0F2806E1"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D5FD784" w14:textId="77777777" w:rsidR="0070345A" w:rsidRPr="00E11392" w:rsidRDefault="0070345A">
            <w:pPr>
              <w:pStyle w:val="TableText"/>
            </w:pPr>
            <w:r>
              <w:t>PFAS National Primary Drinking Water Regulation</w:t>
            </w:r>
          </w:p>
        </w:tc>
        <w:tc>
          <w:tcPr>
            <w:tcW w:w="448" w:type="pct"/>
            <w:tcBorders>
              <w:top w:val="nil"/>
              <w:left w:val="single" w:sz="4" w:space="0" w:color="auto"/>
              <w:bottom w:val="single" w:sz="4" w:space="0" w:color="auto"/>
              <w:right w:val="single" w:sz="4" w:space="0" w:color="auto"/>
            </w:tcBorders>
            <w:shd w:val="clear" w:color="auto" w:fill="auto"/>
            <w:vAlign w:val="center"/>
          </w:tcPr>
          <w:p w14:paraId="00DBA21F" w14:textId="77777777" w:rsidR="0070345A" w:rsidRPr="00E11392" w:rsidRDefault="0070345A">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04E73776" w14:textId="77777777" w:rsidR="0070345A" w:rsidRPr="00E11392" w:rsidRDefault="0070345A">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35476630" w14:textId="77777777" w:rsidR="0070345A" w:rsidRPr="00E11392" w:rsidRDefault="0070345A">
            <w:pPr>
              <w:jc w:val="center"/>
              <w:rPr>
                <w:rFonts w:ascii="Arial" w:hAnsi="Arial" w:cs="Arial"/>
                <w:b/>
                <w:bCs/>
                <w:sz w:val="24"/>
              </w:rPr>
            </w:pPr>
            <w:r w:rsidRPr="00E11392">
              <w:rPr>
                <w:rFonts w:ascii="Arial" w:hAnsi="Arial" w:cs="Arial"/>
                <w:b/>
                <w:bCs/>
                <w:color w:val="00B050"/>
                <w:sz w:val="24"/>
              </w:rPr>
              <w:t>X</w:t>
            </w:r>
          </w:p>
        </w:tc>
      </w:tr>
    </w:tbl>
    <w:p w14:paraId="1A3E58BE" w14:textId="77777777" w:rsidR="00E542F6" w:rsidRDefault="00E542F6" w:rsidP="00E542F6">
      <w:pPr>
        <w:pStyle w:val="Heading3"/>
      </w:pPr>
      <w:r>
        <w:t>Relevant Resources</w:t>
      </w:r>
    </w:p>
    <w:p w14:paraId="64DF1F54" w14:textId="79A98959" w:rsidR="00E542F6" w:rsidRDefault="00E542F6" w:rsidP="006D7DE6">
      <w:pPr>
        <w:pStyle w:val="BodyTextFirstIndent"/>
      </w:pPr>
      <w:r>
        <w:fldChar w:fldCharType="begin"/>
      </w:r>
      <w:r>
        <w:instrText xml:space="preserve"> REF _Ref171630434 \h </w:instrText>
      </w:r>
      <w:r>
        <w:fldChar w:fldCharType="separate"/>
      </w:r>
      <w:r w:rsidR="00307850">
        <w:t xml:space="preserve">Table </w:t>
      </w:r>
      <w:r w:rsidR="00307850">
        <w:rPr>
          <w:noProof/>
        </w:rPr>
        <w:t>75</w:t>
      </w:r>
      <w:r>
        <w:fldChar w:fldCharType="end"/>
      </w:r>
      <w:r>
        <w:t xml:space="preserve"> provides a summary of resources related to reducing exposure to PFAS in drinking water in schools.</w:t>
      </w:r>
    </w:p>
    <w:p w14:paraId="5EC1BD18" w14:textId="3D948AD3" w:rsidR="00E542F6" w:rsidRDefault="00E542F6" w:rsidP="00B30C96">
      <w:pPr>
        <w:pStyle w:val="TableTitle"/>
      </w:pPr>
      <w:bookmarkStart w:id="606" w:name="_Ref171630434"/>
      <w:bookmarkStart w:id="607" w:name="_Toc171629209"/>
      <w:bookmarkStart w:id="608" w:name="_Toc192711741"/>
      <w:bookmarkStart w:id="609" w:name="_Toc193112623"/>
      <w:bookmarkStart w:id="610" w:name="_Toc193117022"/>
      <w:r>
        <w:t xml:space="preserve">Table </w:t>
      </w:r>
      <w:fldSimple w:instr=" SEQ Table \* ARABIC ">
        <w:r w:rsidR="00307850">
          <w:rPr>
            <w:noProof/>
          </w:rPr>
          <w:t>75</w:t>
        </w:r>
      </w:fldSimple>
      <w:bookmarkEnd w:id="606"/>
      <w:r>
        <w:t xml:space="preserve">. Resources for Reducing Exposure to </w:t>
      </w:r>
      <w:bookmarkEnd w:id="607"/>
      <w:r>
        <w:t>PFAS in Drinking Water</w:t>
      </w:r>
      <w:bookmarkEnd w:id="608"/>
      <w:bookmarkEnd w:id="609"/>
      <w:bookmarkEnd w:id="610"/>
    </w:p>
    <w:tbl>
      <w:tblPr>
        <w:tblStyle w:val="TableGrid"/>
        <w:tblW w:w="0" w:type="auto"/>
        <w:tblLayout w:type="fixed"/>
        <w:tblLook w:val="04A0" w:firstRow="1" w:lastRow="0" w:firstColumn="1" w:lastColumn="0" w:noHBand="0" w:noVBand="1"/>
        <w:tblDescription w:val="Table listing resources with active URLs for reducing exposure to PFAS in drinking water."/>
      </w:tblPr>
      <w:tblGrid>
        <w:gridCol w:w="3235"/>
        <w:gridCol w:w="2160"/>
        <w:gridCol w:w="3955"/>
      </w:tblGrid>
      <w:tr w:rsidR="00E542F6" w:rsidRPr="00276B41" w14:paraId="6A2EB6F5" w14:textId="77777777">
        <w:trPr>
          <w:tblHeader/>
        </w:trPr>
        <w:tc>
          <w:tcPr>
            <w:tcW w:w="3235" w:type="dxa"/>
            <w:shd w:val="clear" w:color="auto" w:fill="C6D9F1" w:themeFill="text2" w:themeFillTint="33"/>
          </w:tcPr>
          <w:p w14:paraId="49802AEB" w14:textId="77777777" w:rsidR="00E542F6" w:rsidRPr="004C3A1C" w:rsidRDefault="00E542F6">
            <w:pPr>
              <w:pStyle w:val="TableColumnHeader"/>
            </w:pPr>
            <w:r w:rsidRPr="004C3A1C">
              <w:t>Resource</w:t>
            </w:r>
          </w:p>
        </w:tc>
        <w:tc>
          <w:tcPr>
            <w:tcW w:w="2160" w:type="dxa"/>
            <w:shd w:val="clear" w:color="auto" w:fill="C6D9F1" w:themeFill="text2" w:themeFillTint="33"/>
          </w:tcPr>
          <w:p w14:paraId="54FB541C" w14:textId="77777777" w:rsidR="00E542F6" w:rsidRPr="004C3A1C" w:rsidRDefault="00E542F6">
            <w:pPr>
              <w:pStyle w:val="TableColumnHeader"/>
            </w:pPr>
            <w:r w:rsidRPr="004C3A1C">
              <w:t>Author</w:t>
            </w:r>
          </w:p>
        </w:tc>
        <w:tc>
          <w:tcPr>
            <w:tcW w:w="3955" w:type="dxa"/>
            <w:shd w:val="clear" w:color="auto" w:fill="C6D9F1" w:themeFill="text2" w:themeFillTint="33"/>
          </w:tcPr>
          <w:p w14:paraId="48D68EBD" w14:textId="77777777" w:rsidR="00E542F6" w:rsidRPr="004C3A1C" w:rsidRDefault="00E542F6">
            <w:pPr>
              <w:pStyle w:val="TableColumnHeader"/>
            </w:pPr>
            <w:r w:rsidRPr="004C3A1C">
              <w:t>URL</w:t>
            </w:r>
          </w:p>
        </w:tc>
      </w:tr>
      <w:tr w:rsidR="00E542F6" w:rsidRPr="00276B41" w14:paraId="34010A60" w14:textId="77777777">
        <w:tc>
          <w:tcPr>
            <w:tcW w:w="3235" w:type="dxa"/>
          </w:tcPr>
          <w:p w14:paraId="1D2DCE17" w14:textId="77777777" w:rsidR="00E542F6" w:rsidRDefault="00E542F6">
            <w:pPr>
              <w:pStyle w:val="TableText"/>
            </w:pPr>
            <w:r>
              <w:t>Per- and Polyfluoroalkyl Substances (PFAS)</w:t>
            </w:r>
          </w:p>
        </w:tc>
        <w:tc>
          <w:tcPr>
            <w:tcW w:w="2160" w:type="dxa"/>
          </w:tcPr>
          <w:p w14:paraId="01481037" w14:textId="77777777" w:rsidR="00E542F6" w:rsidRDefault="00E542F6">
            <w:pPr>
              <w:pStyle w:val="TableText"/>
            </w:pPr>
            <w:r>
              <w:t>MassDEP</w:t>
            </w:r>
          </w:p>
        </w:tc>
        <w:tc>
          <w:tcPr>
            <w:tcW w:w="3955" w:type="dxa"/>
          </w:tcPr>
          <w:p w14:paraId="44A2C8E0" w14:textId="7008C1AC" w:rsidR="00E542F6" w:rsidRDefault="00E542F6">
            <w:pPr>
              <w:pStyle w:val="TableText"/>
            </w:pPr>
            <w:hyperlink r:id="rId343">
              <w:r w:rsidRPr="5443AAE6">
                <w:rPr>
                  <w:rStyle w:val="Hyperlink"/>
                  <w:rFonts w:eastAsia="Arial" w:cs="Arial"/>
                  <w:szCs w:val="24"/>
                </w:rPr>
                <w:t>https://www.mass.gov/info-details/per-and-polyfluoroalkyl-substances-pfas</w:t>
              </w:r>
            </w:hyperlink>
          </w:p>
        </w:tc>
      </w:tr>
      <w:tr w:rsidR="00E542F6" w:rsidRPr="00276B41" w14:paraId="18C8C916" w14:textId="77777777">
        <w:tc>
          <w:tcPr>
            <w:tcW w:w="3235" w:type="dxa"/>
          </w:tcPr>
          <w:p w14:paraId="26F7D161" w14:textId="77777777" w:rsidR="00E542F6" w:rsidRDefault="00E542F6">
            <w:pPr>
              <w:pStyle w:val="TableText"/>
            </w:pPr>
            <w:r>
              <w:t>PFAS Free Buying Guider</w:t>
            </w:r>
          </w:p>
        </w:tc>
        <w:tc>
          <w:tcPr>
            <w:tcW w:w="2160" w:type="dxa"/>
          </w:tcPr>
          <w:p w14:paraId="0C283B2D" w14:textId="77777777" w:rsidR="00E542F6" w:rsidRDefault="00E542F6">
            <w:pPr>
              <w:pStyle w:val="TableText"/>
            </w:pPr>
            <w:r>
              <w:t>MA Operational Services Division</w:t>
            </w:r>
          </w:p>
        </w:tc>
        <w:tc>
          <w:tcPr>
            <w:tcW w:w="3955" w:type="dxa"/>
          </w:tcPr>
          <w:p w14:paraId="7E72E504" w14:textId="24FDD445" w:rsidR="00E542F6" w:rsidRDefault="00E542F6">
            <w:pPr>
              <w:pStyle w:val="TableText"/>
            </w:pPr>
            <w:hyperlink r:id="rId344" w:history="1">
              <w:r w:rsidRPr="004338BB">
                <w:rPr>
                  <w:rStyle w:val="Hyperlink"/>
                </w:rPr>
                <w:t>https://www.mass.gov/news/pfas-free-buying-guide</w:t>
              </w:r>
            </w:hyperlink>
            <w:r>
              <w:t xml:space="preserve"> </w:t>
            </w:r>
          </w:p>
        </w:tc>
      </w:tr>
      <w:tr w:rsidR="00E542F6" w:rsidRPr="00276B41" w14:paraId="0A324F97" w14:textId="77777777">
        <w:tc>
          <w:tcPr>
            <w:tcW w:w="3235" w:type="dxa"/>
          </w:tcPr>
          <w:p w14:paraId="69D70391" w14:textId="77777777" w:rsidR="00E542F6" w:rsidRDefault="00E542F6">
            <w:pPr>
              <w:pStyle w:val="TableText"/>
            </w:pPr>
            <w:r>
              <w:t>PFAS in Drinking Water</w:t>
            </w:r>
          </w:p>
        </w:tc>
        <w:tc>
          <w:tcPr>
            <w:tcW w:w="2160" w:type="dxa"/>
          </w:tcPr>
          <w:p w14:paraId="78B0C2D0" w14:textId="77777777" w:rsidR="00E542F6" w:rsidRDefault="00E542F6">
            <w:pPr>
              <w:pStyle w:val="TableText"/>
            </w:pPr>
            <w:r>
              <w:t>DPH</w:t>
            </w:r>
          </w:p>
        </w:tc>
        <w:tc>
          <w:tcPr>
            <w:tcW w:w="3955" w:type="dxa"/>
          </w:tcPr>
          <w:p w14:paraId="302EB068" w14:textId="000A1FC7" w:rsidR="00E542F6" w:rsidRDefault="00E542F6">
            <w:pPr>
              <w:pStyle w:val="TableText"/>
            </w:pPr>
            <w:hyperlink r:id="rId345">
              <w:r w:rsidRPr="5443AAE6">
                <w:rPr>
                  <w:rStyle w:val="Hyperlink"/>
                </w:rPr>
                <w:t>https://www.mass.gov/info-details/per-and-polyfluoroalkyl-substances-pfas-in-drinking-water</w:t>
              </w:r>
            </w:hyperlink>
            <w:r>
              <w:t xml:space="preserve"> </w:t>
            </w:r>
          </w:p>
        </w:tc>
      </w:tr>
      <w:tr w:rsidR="00E542F6" w14:paraId="58D94F8A" w14:textId="77777777">
        <w:trPr>
          <w:trHeight w:val="300"/>
        </w:trPr>
        <w:tc>
          <w:tcPr>
            <w:tcW w:w="3235" w:type="dxa"/>
          </w:tcPr>
          <w:p w14:paraId="4724041C" w14:textId="77777777" w:rsidR="00E542F6" w:rsidRDefault="00E542F6">
            <w:pPr>
              <w:pStyle w:val="TableText"/>
            </w:pPr>
            <w:r>
              <w:t>Health Effects of PFAS</w:t>
            </w:r>
          </w:p>
        </w:tc>
        <w:tc>
          <w:tcPr>
            <w:tcW w:w="2160" w:type="dxa"/>
          </w:tcPr>
          <w:p w14:paraId="4BBE7F1D" w14:textId="77777777" w:rsidR="00E542F6" w:rsidRDefault="00E542F6">
            <w:pPr>
              <w:pStyle w:val="TableText"/>
            </w:pPr>
            <w:r>
              <w:t>Agency for Toxic Substances and Disease Registry</w:t>
            </w:r>
          </w:p>
        </w:tc>
        <w:tc>
          <w:tcPr>
            <w:tcW w:w="3955" w:type="dxa"/>
          </w:tcPr>
          <w:p w14:paraId="661F4650" w14:textId="6A2A6B02" w:rsidR="00E542F6" w:rsidRDefault="00E542F6">
            <w:pPr>
              <w:pStyle w:val="TableText"/>
            </w:pPr>
            <w:hyperlink r:id="rId346">
              <w:r w:rsidRPr="5443AAE6">
                <w:rPr>
                  <w:rStyle w:val="Hyperlink"/>
                </w:rPr>
                <w:t>https://www.atsdr.cdc.gov/pfas/health-effects/index.html</w:t>
              </w:r>
            </w:hyperlink>
            <w:r>
              <w:t xml:space="preserve"> </w:t>
            </w:r>
          </w:p>
        </w:tc>
      </w:tr>
      <w:tr w:rsidR="00E542F6" w14:paraId="7A05F6AF" w14:textId="77777777">
        <w:trPr>
          <w:trHeight w:val="300"/>
        </w:trPr>
        <w:tc>
          <w:tcPr>
            <w:tcW w:w="3235" w:type="dxa"/>
          </w:tcPr>
          <w:p w14:paraId="23CD513A" w14:textId="77777777" w:rsidR="00E542F6" w:rsidRDefault="00E542F6">
            <w:pPr>
              <w:pStyle w:val="TableText"/>
            </w:pPr>
            <w:r>
              <w:t>Key EPA Actions to Address PFAS</w:t>
            </w:r>
          </w:p>
        </w:tc>
        <w:tc>
          <w:tcPr>
            <w:tcW w:w="2160" w:type="dxa"/>
          </w:tcPr>
          <w:p w14:paraId="16B1EDB9" w14:textId="77777777" w:rsidR="00E542F6" w:rsidRDefault="00E542F6">
            <w:pPr>
              <w:pStyle w:val="TableText"/>
            </w:pPr>
            <w:r>
              <w:t>US EPA</w:t>
            </w:r>
          </w:p>
        </w:tc>
        <w:tc>
          <w:tcPr>
            <w:tcW w:w="3955" w:type="dxa"/>
          </w:tcPr>
          <w:p w14:paraId="42F988E8" w14:textId="6489B575" w:rsidR="00E542F6" w:rsidRDefault="00E542F6">
            <w:pPr>
              <w:pStyle w:val="TableText"/>
            </w:pPr>
            <w:hyperlink r:id="rId347" w:history="1">
              <w:r w:rsidRPr="004338BB">
                <w:rPr>
                  <w:rStyle w:val="Hyperlink"/>
                </w:rPr>
                <w:t>https://www.epa.gov/pfas/key-epa-actions-address-pfas</w:t>
              </w:r>
            </w:hyperlink>
            <w:r>
              <w:t xml:space="preserve"> </w:t>
            </w:r>
          </w:p>
        </w:tc>
      </w:tr>
      <w:tr w:rsidR="00E542F6" w14:paraId="11A878FF" w14:textId="77777777">
        <w:trPr>
          <w:trHeight w:val="300"/>
        </w:trPr>
        <w:tc>
          <w:tcPr>
            <w:tcW w:w="3235" w:type="dxa"/>
          </w:tcPr>
          <w:p w14:paraId="51D57F93" w14:textId="77777777" w:rsidR="00E542F6" w:rsidRDefault="00E542F6">
            <w:pPr>
              <w:pStyle w:val="TableText"/>
            </w:pPr>
            <w:r>
              <w:t>Our Current Understanding of the Human Health and Environmental Risks of PFAS</w:t>
            </w:r>
          </w:p>
        </w:tc>
        <w:tc>
          <w:tcPr>
            <w:tcW w:w="2160" w:type="dxa"/>
          </w:tcPr>
          <w:p w14:paraId="068C08BE" w14:textId="77777777" w:rsidR="00E542F6" w:rsidRDefault="00E542F6">
            <w:pPr>
              <w:pStyle w:val="TableText"/>
            </w:pPr>
            <w:r>
              <w:t>US EPA</w:t>
            </w:r>
          </w:p>
        </w:tc>
        <w:tc>
          <w:tcPr>
            <w:tcW w:w="3955" w:type="dxa"/>
          </w:tcPr>
          <w:p w14:paraId="45380870" w14:textId="1FF39BAD" w:rsidR="00E542F6" w:rsidRDefault="00E542F6">
            <w:pPr>
              <w:pStyle w:val="TableText"/>
            </w:pPr>
            <w:hyperlink r:id="rId348">
              <w:r w:rsidRPr="5443AAE6">
                <w:rPr>
                  <w:rStyle w:val="Hyperlink"/>
                  <w:rFonts w:eastAsia="Arial" w:cs="Arial"/>
                  <w:szCs w:val="24"/>
                </w:rPr>
                <w:t>https://www.epa.gov/pfas/our-current-understanding-human-health-and-environmental-risks-pfas</w:t>
              </w:r>
            </w:hyperlink>
          </w:p>
        </w:tc>
      </w:tr>
      <w:tr w:rsidR="00E542F6" w:rsidRPr="00276B41" w14:paraId="0804DB92" w14:textId="77777777">
        <w:tc>
          <w:tcPr>
            <w:tcW w:w="3235" w:type="dxa"/>
          </w:tcPr>
          <w:p w14:paraId="07368CFB" w14:textId="77777777" w:rsidR="00E542F6" w:rsidRDefault="00E542F6">
            <w:pPr>
              <w:pStyle w:val="TableText"/>
            </w:pPr>
            <w:r>
              <w:lastRenderedPageBreak/>
              <w:t>PFAS Research: Extramural Funding Opportunities</w:t>
            </w:r>
          </w:p>
        </w:tc>
        <w:tc>
          <w:tcPr>
            <w:tcW w:w="2160" w:type="dxa"/>
          </w:tcPr>
          <w:p w14:paraId="52CB3174" w14:textId="77777777" w:rsidR="00E542F6" w:rsidRDefault="00E542F6">
            <w:pPr>
              <w:pStyle w:val="TableText"/>
            </w:pPr>
            <w:r>
              <w:t>US EPA</w:t>
            </w:r>
          </w:p>
        </w:tc>
        <w:tc>
          <w:tcPr>
            <w:tcW w:w="3955" w:type="dxa"/>
          </w:tcPr>
          <w:p w14:paraId="583518CA" w14:textId="4827D9BD" w:rsidR="00E542F6" w:rsidRDefault="00E542F6">
            <w:pPr>
              <w:pStyle w:val="TableText"/>
            </w:pPr>
            <w:hyperlink r:id="rId349" w:history="1">
              <w:r w:rsidRPr="004338BB">
                <w:rPr>
                  <w:rStyle w:val="Hyperlink"/>
                </w:rPr>
                <w:t>https://www.epa.gov/chemical-research/pfas-research-extramural-funding-opportunities</w:t>
              </w:r>
            </w:hyperlink>
            <w:r>
              <w:t xml:space="preserve"> </w:t>
            </w:r>
          </w:p>
        </w:tc>
      </w:tr>
      <w:tr w:rsidR="00E542F6" w:rsidRPr="00276B41" w14:paraId="7AF0BEA2" w14:textId="77777777">
        <w:tc>
          <w:tcPr>
            <w:tcW w:w="3235" w:type="dxa"/>
          </w:tcPr>
          <w:p w14:paraId="3D682FE1" w14:textId="77777777" w:rsidR="00E542F6" w:rsidRDefault="00E542F6">
            <w:pPr>
              <w:pStyle w:val="TableText"/>
            </w:pPr>
            <w:r>
              <w:t>PFAS Resources, Data and Tools</w:t>
            </w:r>
          </w:p>
        </w:tc>
        <w:tc>
          <w:tcPr>
            <w:tcW w:w="2160" w:type="dxa"/>
          </w:tcPr>
          <w:p w14:paraId="61019B49" w14:textId="77777777" w:rsidR="00E542F6" w:rsidRDefault="00E542F6">
            <w:pPr>
              <w:pStyle w:val="TableText"/>
            </w:pPr>
            <w:r>
              <w:t>US EPA</w:t>
            </w:r>
          </w:p>
        </w:tc>
        <w:tc>
          <w:tcPr>
            <w:tcW w:w="3955" w:type="dxa"/>
          </w:tcPr>
          <w:p w14:paraId="15AF237A" w14:textId="0F82D885" w:rsidR="00E542F6" w:rsidRDefault="00E542F6">
            <w:pPr>
              <w:pStyle w:val="TableText"/>
            </w:pPr>
            <w:hyperlink r:id="rId350" w:history="1">
              <w:r w:rsidRPr="004338BB">
                <w:rPr>
                  <w:rStyle w:val="Hyperlink"/>
                </w:rPr>
                <w:t>https://www.epa.gov/pfas/pfas-resources-data-and-tools</w:t>
              </w:r>
            </w:hyperlink>
            <w:r>
              <w:t xml:space="preserve"> </w:t>
            </w:r>
          </w:p>
        </w:tc>
      </w:tr>
    </w:tbl>
    <w:p w14:paraId="18324792" w14:textId="340F57C2" w:rsidR="00FD43CA" w:rsidRDefault="00FD43CA" w:rsidP="001C7888">
      <w:pPr>
        <w:pStyle w:val="Heading2"/>
      </w:pPr>
      <w:bookmarkStart w:id="611" w:name="SectVII_2c"/>
      <w:bookmarkStart w:id="612" w:name="_Toc193116935"/>
      <w:bookmarkEnd w:id="611"/>
      <w:r>
        <w:t>Objective 2c. Maintain Thermal Comfort</w:t>
      </w:r>
      <w:bookmarkEnd w:id="612"/>
    </w:p>
    <w:p w14:paraId="29928DF4" w14:textId="77777777" w:rsidR="00383748" w:rsidRDefault="00383748" w:rsidP="00383748">
      <w:pPr>
        <w:pStyle w:val="Heading3"/>
      </w:pPr>
      <w:r>
        <w:t>Methods and Best Practices</w:t>
      </w:r>
    </w:p>
    <w:p w14:paraId="765C81AF" w14:textId="48E82EBA" w:rsidR="00383748" w:rsidRDefault="00383748" w:rsidP="006D7DE6">
      <w:pPr>
        <w:pStyle w:val="BodyTextFirstIndent"/>
      </w:pPr>
      <w:r>
        <w:t xml:space="preserve">Methods and best practices for maintaining thermal comfort are described here, ranging from </w:t>
      </w:r>
      <w:r w:rsidR="00C660B4">
        <w:t xml:space="preserve">policy implementation, </w:t>
      </w:r>
      <w:r>
        <w:t>major changes to building HVAC systems, steps to consider for new construction, and steps that teachers can take within their classrooms.</w:t>
      </w:r>
    </w:p>
    <w:p w14:paraId="613D1204" w14:textId="1D7E42AE" w:rsidR="00053748" w:rsidRDefault="00C660B4" w:rsidP="00C660B4">
      <w:pPr>
        <w:pStyle w:val="Heading5"/>
      </w:pPr>
      <w:r>
        <w:t xml:space="preserve">(1) </w:t>
      </w:r>
      <w:r w:rsidRPr="00C660B4">
        <w:t>Establish and implement an extreme heat policy aligned with a completed climate vulnerability assessment</w:t>
      </w:r>
    </w:p>
    <w:p w14:paraId="5497AA42" w14:textId="16030A19" w:rsidR="00C660B4" w:rsidRPr="00645F0D" w:rsidRDefault="00E257CC" w:rsidP="006D7DE6">
      <w:pPr>
        <w:pStyle w:val="BodyTextFirstIndent"/>
      </w:pPr>
      <w:r>
        <w:t>C</w:t>
      </w:r>
      <w:r w:rsidR="00D156AB">
        <w:t>limate change</w:t>
      </w:r>
      <w:r>
        <w:t xml:space="preserve"> is</w:t>
      </w:r>
      <w:r w:rsidR="00D156AB">
        <w:t xml:space="preserve"> </w:t>
      </w:r>
      <w:r w:rsidR="00897FE1">
        <w:t>contributing to more intense heat waves across</w:t>
      </w:r>
      <w:r w:rsidR="00301240">
        <w:t xml:space="preserve"> </w:t>
      </w:r>
      <w:r w:rsidR="00D156AB">
        <w:t xml:space="preserve">Massachusetts </w:t>
      </w:r>
      <w:r w:rsidR="00301240">
        <w:t xml:space="preserve">and forcing schools to confront the challenge of managing </w:t>
      </w:r>
      <w:r w:rsidR="00E438C1">
        <w:t xml:space="preserve">an increased number of school days </w:t>
      </w:r>
      <w:r w:rsidR="00F0357B">
        <w:t xml:space="preserve">experiencing </w:t>
      </w:r>
      <w:r w:rsidR="00301240">
        <w:t>extr</w:t>
      </w:r>
      <w:r w:rsidR="00D27277">
        <w:t>eme heat</w:t>
      </w:r>
      <w:r w:rsidR="00F0357B">
        <w:t>.</w:t>
      </w:r>
      <w:r w:rsidR="006C33DF">
        <w:fldChar w:fldCharType="begin"/>
      </w:r>
      <w:r w:rsidR="00D07E71">
        <w:instrText xml:space="preserve"> ADDIN ZOTERO_ITEM CSL_CITATION {"citationID":"ae8mu7qc66","properties":{"formattedCitation":"\\super 339\\nosupersub{}","plainCitation":"339","noteIndex":0},"citationItems":[{"id":844,"uris":["http://zotero.org/groups/5563646/items/7RW2B7VG"],"itemData":{"id":844,"type":"post-weblog","abstract":"To support schools in addressing extreme heat, MAPC and partners developed new template policy language for addressing extreme heat and air quality in schools.","container-title":"MAPC","language":"en-US","title":"Addressing Extreme Heat and Air Quality in Schools","URL":"https://www.mapc.org/planning101/extreme-heat-air-quality-in-schools/","author":[{"family":"Ron","given":"Sharon"}],"accessed":{"date-parts":[["2024",7,24]]},"issued":{"date-parts":[["2024",6,18]]}}}],"schema":"https://github.com/citation-style-language/schema/raw/master/csl-citation.json"} </w:instrText>
      </w:r>
      <w:r w:rsidR="006C33DF">
        <w:fldChar w:fldCharType="separate"/>
      </w:r>
      <w:r w:rsidR="00D07E71" w:rsidRPr="00D07E71">
        <w:rPr>
          <w:rFonts w:cs="Arial"/>
          <w:vertAlign w:val="superscript"/>
        </w:rPr>
        <w:t>339</w:t>
      </w:r>
      <w:r w:rsidR="006C33DF">
        <w:fldChar w:fldCharType="end"/>
      </w:r>
      <w:r w:rsidR="00F0357B">
        <w:t xml:space="preserve"> </w:t>
      </w:r>
      <w:r w:rsidR="00B644FA">
        <w:t>Extended periods of</w:t>
      </w:r>
      <w:r w:rsidR="00B644FA" w:rsidRPr="00B644FA">
        <w:t xml:space="preserve"> hot weather can exacerbate </w:t>
      </w:r>
      <w:r w:rsidR="00B644FA">
        <w:t>underlying</w:t>
      </w:r>
      <w:r w:rsidR="00B644FA" w:rsidRPr="00B644FA">
        <w:t xml:space="preserve"> health conditions such as asthma and bronchitis</w:t>
      </w:r>
      <w:r w:rsidR="00C65C18">
        <w:t>, and prolonged exposure to high temperatures can</w:t>
      </w:r>
      <w:r w:rsidR="000725B7" w:rsidRPr="000725B7">
        <w:t xml:space="preserve"> impair cognitive function, learning, and academic performance</w:t>
      </w:r>
      <w:r w:rsidR="00B644FA" w:rsidRPr="00B644FA">
        <w:t xml:space="preserve">. </w:t>
      </w:r>
      <w:r w:rsidR="003203CF">
        <w:t xml:space="preserve">Using the results of a </w:t>
      </w:r>
      <w:r w:rsidR="00984025">
        <w:t xml:space="preserve">completed </w:t>
      </w:r>
      <w:r w:rsidR="003203CF">
        <w:t>climate vulnerability assessment</w:t>
      </w:r>
      <w:r w:rsidR="00984025">
        <w:t xml:space="preserve"> (see </w:t>
      </w:r>
      <w:hyperlink w:anchor="SectVI_1f" w:history="1">
        <w:r w:rsidR="00984025" w:rsidRPr="00984025">
          <w:rPr>
            <w:rStyle w:val="Hyperlink"/>
          </w:rPr>
          <w:t>Objective 1f: Enhance Climate Resilience</w:t>
        </w:r>
      </w:hyperlink>
      <w:r w:rsidR="00984025">
        <w:t xml:space="preserve"> for additional details), schools should </w:t>
      </w:r>
      <w:r w:rsidR="000725B7">
        <w:t>determine the need for</w:t>
      </w:r>
      <w:r w:rsidR="001D4044">
        <w:t xml:space="preserve">, </w:t>
      </w:r>
      <w:r w:rsidR="003D715E">
        <w:t>establish</w:t>
      </w:r>
      <w:r w:rsidR="001D4044">
        <w:t>,</w:t>
      </w:r>
      <w:r w:rsidR="003D715E">
        <w:t xml:space="preserve"> and implement an extreme heat policy</w:t>
      </w:r>
      <w:r w:rsidR="001D4044">
        <w:t>, where appropriate.</w:t>
      </w:r>
      <w:r w:rsidR="00124A2B">
        <w:t xml:space="preserve"> An effective policy </w:t>
      </w:r>
      <w:r w:rsidR="00C5006C">
        <w:t xml:space="preserve">will outline a multi-pronged approach that considers </w:t>
      </w:r>
      <w:r w:rsidR="002B3DAF">
        <w:t xml:space="preserve">relative </w:t>
      </w:r>
      <w:r w:rsidR="002B3DAF" w:rsidRPr="002B3DAF">
        <w:t xml:space="preserve">humidity levels, </w:t>
      </w:r>
      <w:r w:rsidR="002B3DAF">
        <w:t xml:space="preserve">appropriate </w:t>
      </w:r>
      <w:r w:rsidR="002B3DAF" w:rsidRPr="002B3DAF">
        <w:t xml:space="preserve">air circulation, classroom temperature thresholds, </w:t>
      </w:r>
      <w:r w:rsidR="003C5FF0">
        <w:t>appropriate</w:t>
      </w:r>
      <w:r w:rsidR="002B3DAF" w:rsidRPr="002B3DAF">
        <w:t xml:space="preserve"> hydration for students and staff, and </w:t>
      </w:r>
      <w:r w:rsidR="003C5FF0">
        <w:t xml:space="preserve">necessary </w:t>
      </w:r>
      <w:r w:rsidR="002B3DAF" w:rsidRPr="002B3DAF">
        <w:t>modif</w:t>
      </w:r>
      <w:r w:rsidR="003C5FF0">
        <w:t>ications to</w:t>
      </w:r>
      <w:r w:rsidR="002B3DAF" w:rsidRPr="002B3DAF">
        <w:t xml:space="preserve"> physical activities.</w:t>
      </w:r>
      <w:r w:rsidR="007A4037">
        <w:fldChar w:fldCharType="begin"/>
      </w:r>
      <w:r w:rsidR="00113823">
        <w:instrText xml:space="preserve"> ADDIN ZOTERO_ITEM CSL_CITATION {"citationID":"abq5ggdbi5","properties":{"formattedCitation":"\\super 339\\nosupersub{}","plainCitation":"339","noteIndex":0},"citationItems":[{"id":844,"uris":["http://zotero.org/groups/5563646/items/7RW2B7VG"],"itemData":{"id":844,"type":"post-weblog","abstract":"To support schools in addressing extreme heat, MAPC and partners developed new template policy language for addressing extreme heat and air quality in schools.","container-title":"MAPC","language":"en-US","title":"Addressing Extreme Heat and Air Quality in Schools","URL":"https://www.mapc.org/planning101/extreme-heat-air-quality-in-schools/","author":[{"family":"Ron","given":"Sharon"}],"accessed":{"date-parts":[["2024",7,24]]},"issued":{"date-parts":[["2024",6,18]]}}}],"schema":"https://github.com/citation-style-language/schema/raw/master/csl-citation.json"} </w:instrText>
      </w:r>
      <w:r w:rsidR="007A4037">
        <w:fldChar w:fldCharType="separate"/>
      </w:r>
      <w:r w:rsidR="00113823" w:rsidRPr="00113823">
        <w:rPr>
          <w:rFonts w:cs="Arial"/>
          <w:vertAlign w:val="superscript"/>
        </w:rPr>
        <w:t>339</w:t>
      </w:r>
      <w:r w:rsidR="007A4037">
        <w:fldChar w:fldCharType="end"/>
      </w:r>
    </w:p>
    <w:p w14:paraId="55E811AE" w14:textId="36F7CDAC" w:rsidR="00383748" w:rsidRDefault="00383748" w:rsidP="00383748">
      <w:pPr>
        <w:pStyle w:val="Heading5"/>
      </w:pPr>
      <w:r w:rsidRPr="00ED6746">
        <w:t>(</w:t>
      </w:r>
      <w:r w:rsidR="00C660B4">
        <w:t>2</w:t>
      </w:r>
      <w:r w:rsidRPr="00ED6746">
        <w:t>) Keep classrooms at a comfortable temperature and humidity for learning</w:t>
      </w:r>
    </w:p>
    <w:p w14:paraId="42FB2AD6" w14:textId="5A4D0B8D" w:rsidR="00383748" w:rsidRDefault="00383748" w:rsidP="006D7DE6">
      <w:pPr>
        <w:pStyle w:val="BodyTextFirstIndent"/>
      </w:pPr>
      <w:r>
        <w:t>While no exact definition exists for “comfortable temperature,” what is typically thought of as a “comfortable temperature” will vary seasonally. Perceived heat and thermal comfort is also highly dependent on humidity, and as such, schools should strive to measure both temperature and humidity. There are several guidelines that schools can use to determine what a comfortable range of temperature and humidity is in their facilities. DPH recommends that classrooms be kept within the range of 70°F to 78°F and 40 to 60 percent relative humidity.</w:t>
      </w:r>
      <w:r>
        <w:fldChar w:fldCharType="begin"/>
      </w:r>
      <w:r w:rsidR="00AC5023">
        <w:instrText xml:space="preserve"> ADDIN ZOTERO_ITEM CSL_CITATION {"citationID":"ajphq1imsj","properties":{"formattedCitation":"\\super 340\\nosupersub{}","plainCitation":"340","noteIndex":0},"citationItems":[{"id":1076,"uris":["http://zotero.org/groups/5563646/items/QDQCHG6J"],"itemData":{"id":1076,"type":"webpage","title":"Chapter II: Indoor Air Quality Results Interpretation","URL":"https://www.mass.gov/doc/chapter-ii-indoor-air-quality-results-interpretation","author":[{"family":"MDPH","given":""}],"accessed":{"date-parts":[["2024",9,23]]}}}],"schema":"https://github.com/citation-style-language/schema/raw/master/csl-citation.json"} </w:instrText>
      </w:r>
      <w:r>
        <w:fldChar w:fldCharType="separate"/>
      </w:r>
      <w:r w:rsidR="00AC5023" w:rsidRPr="00AC5023">
        <w:rPr>
          <w:rFonts w:cs="Arial"/>
          <w:vertAlign w:val="superscript"/>
        </w:rPr>
        <w:t>340</w:t>
      </w:r>
      <w:r>
        <w:fldChar w:fldCharType="end"/>
      </w:r>
      <w:r>
        <w:t xml:space="preserve"> OSHA recommends that indoor workplace temperatures stay between 68°F and 76°F with humidity between 20 and 60 percent.</w:t>
      </w:r>
      <w:r>
        <w:fldChar w:fldCharType="begin"/>
      </w:r>
      <w:r w:rsidR="00E54C0E">
        <w:instrText xml:space="preserve"> ADDIN ZOTERO_ITEM CSL_CITATION {"citationID":"a19s4skavf4","properties":{"formattedCitation":"\\super 341\\nosupersub{}","plainCitation":"341","noteIndex":0},"citationItems":[{"id":1075,"uris":["http://zotero.org/groups/5563646/items/K7JWBPHT"],"itemData":{"id":1075,"type":"webpage","title":"Reiteration of Existing OSHA Policy on Indoor Air Quality: Office Temperature/Humidity and Environmental Tobacco Smoke | Occupational Safety and Health Administration","URL":"https://www.osha.gov/laws-regs/standardinterpretations/2003-02-24","accessed":{"date-parts":[["2024",9,23]]}}}],"schema":"https://github.com/citation-style-language/schema/raw/master/csl-citation.json"} </w:instrText>
      </w:r>
      <w:r>
        <w:fldChar w:fldCharType="separate"/>
      </w:r>
      <w:r w:rsidR="00E54C0E" w:rsidRPr="00E54C0E">
        <w:rPr>
          <w:rFonts w:cs="Arial"/>
          <w:vertAlign w:val="superscript"/>
        </w:rPr>
        <w:t>341</w:t>
      </w:r>
      <w:r>
        <w:fldChar w:fldCharType="end"/>
      </w:r>
      <w:r>
        <w:t xml:space="preserve"> In addition, M.G.L., c. 149, § 113, which applies to workplace temperature, including schools, requires that workplaces be properly heated from October 15 to May 15.</w:t>
      </w:r>
      <w:r>
        <w:fldChar w:fldCharType="begin"/>
      </w:r>
      <w:r w:rsidR="00AC0002">
        <w:instrText xml:space="preserve"> ADDIN ZOTERO_ITEM CSL_CITATION {"citationID":"q1h4iZUv","properties":{"formattedCitation":"\\super 342\\nosupersub{}","plainCitation":"342","noteIndex":0},"citationItems":[{"id":768,"uris":["http://zotero.org/groups/5563646/items/9DU6MSLR"],"itemData":{"id":768,"type":"webpage","abstract":"Laws, regulations, cases, and both web and print sources on legal requirements for winter heat, and sources of assistance.","container-title":"Mass.gov","language":"en","title":"Massachusetts law about winter heating","URL":"https://www.mass.gov/info-details/massachusetts-law-about-winter-heating","author":[{"family":"Massachusetts Court System","given":""},{"family":"Trial Court Law Libraries","given":""}],"accessed":{"date-parts":[["2024",7,23]]},"issued":{"date-parts":[["2024",3,11]]}}}],"schema":"https://github.com/citation-style-language/schema/raw/master/csl-citation.json"} </w:instrText>
      </w:r>
      <w:r>
        <w:fldChar w:fldCharType="separate"/>
      </w:r>
      <w:r w:rsidR="00AC0002" w:rsidRPr="00AC0002">
        <w:rPr>
          <w:rFonts w:ascii="Calibri" w:hAnsi="Calibri" w:cs="Calibri"/>
          <w:vertAlign w:val="superscript"/>
        </w:rPr>
        <w:t>342</w:t>
      </w:r>
      <w:r>
        <w:fldChar w:fldCharType="end"/>
      </w:r>
      <w:r>
        <w:t xml:space="preserve"> During the heating season, DLS endorses keeping classrooms between 66°F and 68°F.</w:t>
      </w:r>
      <w:r>
        <w:fldChar w:fldCharType="begin"/>
      </w:r>
      <w:r w:rsidR="00137024">
        <w:instrText xml:space="preserve"> ADDIN ZOTERO_ITEM CSL_CITATION {"citationID":"a1na6ms9kcv","properties":{"formattedCitation":"\\super 343\\nosupersub{}","plainCitation":"343","noteIndex":0},"citationItems":[{"id":1074,"uris":["http://zotero.org/groups/5563646/items/7QRW43RS"],"itemData":{"id":1074,"type":"webpage","title":"Minimum Workplace Heating Guidelines | Mass.gov","URL":"https://www.mass.gov/doc/minimum-workplace-heating-guidelines","accessed":{"date-parts":[["2024",9,23]]}}}],"schema":"https://github.com/citation-style-language/schema/raw/master/csl-citation.json"} </w:instrText>
      </w:r>
      <w:r>
        <w:fldChar w:fldCharType="separate"/>
      </w:r>
      <w:r w:rsidR="00137024" w:rsidRPr="00137024">
        <w:rPr>
          <w:rFonts w:cs="Arial"/>
          <w:vertAlign w:val="superscript"/>
        </w:rPr>
        <w:t>343</w:t>
      </w:r>
      <w:r>
        <w:fldChar w:fldCharType="end"/>
      </w:r>
      <w:r>
        <w:t xml:space="preserve"> OSHA is currently developing a national standard for protecting workers during extreme heat, and recommendations for extreme heat in schools may change as the number of hot days increases.</w:t>
      </w:r>
      <w:r>
        <w:fldChar w:fldCharType="begin"/>
      </w:r>
      <w:r w:rsidR="003B44B3">
        <w:instrText xml:space="preserve"> ADDIN ZOTERO_ITEM CSL_CITATION {"citationID":"a21b2c365jh","properties":{"formattedCitation":"\\super 344,345\\nosupersub{}","plainCitation":"344,345","noteIndex":0},"citationItems":[{"id":1071,"uris":["http://zotero.org/groups/5563646/items/NHUMBVSW"],"itemData":{"id":1071,"type":"webpage","title":"A Comprehensive Strategy to Address Extreme Heat in Schools","URL":"https://fas.org/publication/extreme-heat-schools/","accessed":{"date-parts":[["2024",9,23]]}}},{"id":"UYaNeB3l/kOqxQuMY","uris":["http://zotero.org/groups/4622337/items/XD8V4868"],"itemData":{"id":946,"type":"webpage","abstract":"OSHA is initiating rulemaking to protect indoor and outdoor workers from hazardous heat and is interested in obtaining additional information about the extent and nature of hazardous heat in the workplace and the nature and effectiveness of interventions and controls used to prevent heat-related...","container-title":"Federal Register","title":"Heat Injury and Illness Prevention in Outdoor and Indoor Work Settings: Advance notice of proposed rulemaking","URL":"https://www.federalregister.gov/documents/2021/10/27/2021-23250/heat-injury-and-illness-prevention-in-outdoor-and-indoor-work-settings","author":[{"family":"OSHA","given":""}],"accessed":{"date-parts":[["2022",4,19]]},"issued":{"date-parts":[["2021",10,27]]}}}],"schema":"https://github.com/citation-style-language/schema/raw/master/csl-citation.json"} </w:instrText>
      </w:r>
      <w:r>
        <w:fldChar w:fldCharType="separate"/>
      </w:r>
      <w:r w:rsidR="00241A66" w:rsidRPr="00241A66">
        <w:rPr>
          <w:rFonts w:cs="Arial"/>
          <w:vertAlign w:val="superscript"/>
        </w:rPr>
        <w:t>344,345</w:t>
      </w:r>
      <w:r>
        <w:fldChar w:fldCharType="end"/>
      </w:r>
      <w:r>
        <w:t xml:space="preserve"> Overall, schools should keep classroom </w:t>
      </w:r>
      <w:r>
        <w:lastRenderedPageBreak/>
        <w:t xml:space="preserve">temperature in the approximate range of 66°F to 78°F, as seasonally appropriate, and avoid extremely low and extremely high levels of humidity. </w:t>
      </w:r>
    </w:p>
    <w:p w14:paraId="38A7196D" w14:textId="134FD3F0" w:rsidR="00383748" w:rsidRDefault="00383748" w:rsidP="00383748">
      <w:pPr>
        <w:pStyle w:val="Heading5"/>
      </w:pPr>
      <w:r>
        <w:t>(</w:t>
      </w:r>
      <w:r w:rsidR="00C660B4">
        <w:t>3</w:t>
      </w:r>
      <w:r>
        <w:t xml:space="preserve">) </w:t>
      </w:r>
      <w:r w:rsidRPr="005818E9">
        <w:t>Install air conditioning if temperatures regularly get above recommended levels (see</w:t>
      </w:r>
      <w:r>
        <w:t xml:space="preserve"> best practice</w:t>
      </w:r>
      <w:r w:rsidRPr="005818E9">
        <w:t xml:space="preserve"> 1</w:t>
      </w:r>
      <w:r>
        <w:t xml:space="preserve"> above</w:t>
      </w:r>
      <w:r w:rsidRPr="005818E9">
        <w:t>)</w:t>
      </w:r>
    </w:p>
    <w:p w14:paraId="7D874196" w14:textId="30A1019A" w:rsidR="00383748" w:rsidRDefault="00383748" w:rsidP="006D7DE6">
      <w:pPr>
        <w:pStyle w:val="BodyTextFirstIndent"/>
      </w:pPr>
      <w:r>
        <w:t xml:space="preserve">Some Massachusetts schools have begun installing air conditioning, which is the best way to </w:t>
      </w:r>
      <w:r w:rsidR="00F24F67">
        <w:t>reduce</w:t>
      </w:r>
      <w:r>
        <w:t xml:space="preserve"> temperature and humidity in classrooms.</w:t>
      </w:r>
      <w:r>
        <w:fldChar w:fldCharType="begin"/>
      </w:r>
      <w:r w:rsidR="00237608">
        <w:instrText xml:space="preserve"> ADDIN ZOTERO_ITEM CSL_CITATION {"citationID":"XgMBpkbt","properties":{"formattedCitation":"\\super 128,132\\nosupersub{}","plainCitation":"128,132","noteIndex":0},"citationItems":[{"id":773,"uris":["http://zotero.org/groups/5563646/items/R4P44XVB"],"itemData":{"id":773,"type":"report","collection-title":"Hotter Days, Higher Costs: The Cooling Crisis in America's Classrooms","event-place":"Washington, DC","publisher-place":"Washington, DC","title":"Massachusetts","URL":"https://coolingcrisis.org/uploads/media/CCI-StateReport-Massachusetts.pdf","author":[{"family":"Center for Climate Integrity","given":""}],"accessed":{"date-parts":[["2024",7,23]]},"issued":{"date-parts":[["2021"]]}}},{"id":766,"uris":["http://zotero.org/groups/5563646/items/PRKW69VZ"],"itemData":{"id":766,"type":"webpage","abstract":"Boston Public School officials say they've installed roughly 3,800 window AC units at nearly 80 schools over the last two years as part of a $7 million project to keep schools cool during the hotter months.","language":"en","title":"More Boston Public School buildings will start the year with air conditioning","URL":"https://www.wbur.org/news/2023/09/05/boston-schools-air-conditioning-installation-heat","author":[{"family":"Jung","given":"Carrie"}],"accessed":{"date-parts":[["2024",7,23]]},"issued":{"date-parts":[["2023",9,5]]}}}],"schema":"https://github.com/citation-style-language/schema/raw/master/csl-citation.json"} </w:instrText>
      </w:r>
      <w:r>
        <w:fldChar w:fldCharType="separate"/>
      </w:r>
      <w:r w:rsidR="00237608" w:rsidRPr="00237608">
        <w:rPr>
          <w:rFonts w:ascii="Calibri" w:hAnsi="Calibri" w:cs="Calibri"/>
          <w:vertAlign w:val="superscript"/>
        </w:rPr>
        <w:t>128,132</w:t>
      </w:r>
      <w:r>
        <w:fldChar w:fldCharType="end"/>
      </w:r>
      <w:r>
        <w:t xml:space="preserve"> Schools have cited lack of air conditioning as driving the need for early dismissals and closures during hot conditions. Resources such as the </w:t>
      </w:r>
      <w:hyperlink r:id="rId351" w:history="1">
        <w:r w:rsidRPr="003E12AC">
          <w:rPr>
            <w:rStyle w:val="Hyperlink"/>
          </w:rPr>
          <w:t>National Best Practices Manual For Building High Performance Schools</w:t>
        </w:r>
      </w:hyperlink>
      <w:r>
        <w:t xml:space="preserve"> provide guidance for school design considering air conditioning requirements.</w:t>
      </w:r>
      <w:r>
        <w:fldChar w:fldCharType="begin"/>
      </w:r>
      <w:r w:rsidR="00A3309C">
        <w:instrText xml:space="preserve"> ADDIN ZOTERO_ITEM CSL_CITATION {"citationID":"u3MKGSUW","properties":{"formattedCitation":"\\super 131,339,346\\nosupersub{}","plainCitation":"131,339,346","noteIndex":0},"citationItems":[{"id":764,"uris":["http://zotero.org/groups/5563646/items/J8G8IUYN"],"itemData":{"id":764,"type":"webpage","abstract":"Massachusetts schools without air conditioning are struggling to keep classrooms comfortable during the early September heat wave.","language":"en","title":"Some Western Mass. school districts opt to end classes early during heat wave","URL":"https://www.wbur.org/news/2023/09/06/western-mass-school-districts-heat-wave-september","author":[{"family":"Jung","given":"Carrie"}],"accessed":{"date-parts":[["2024",7,23]]},"issued":{"date-parts":[["2023",9,6]]}}},{"id":844,"uris":["http://zotero.org/groups/5563646/items/7RW2B7VG"],"itemData":{"id":844,"type":"post-weblog","abstract":"To support schools in addressing extreme heat, MAPC and partners developed new template policy language for addressing extreme heat and air quality in schools.","container-title":"MAPC","language":"en-US","title":"Addressing Extreme Heat and Air Quality in Schools","URL":"https://www.mapc.org/planning101/extreme-heat-air-quality-in-schools/","author":[{"family":"Ron","given":"Sharon"}],"accessed":{"date-parts":[["2024",7,24]]},"issued":{"date-parts":[["2024",6,18]]}}},{"id":505,"uris":["http://zotero.org/groups/5563646/items/P9GMLJBQ"],"itemData":{"id":505,"type":"report","language":"en","source":"Zotero","title":"National Best Practices Manual for Building High Performance Schools","URL":"https://www.energy.gov/eere/articles/national-best-practices-manual-building-high-performance-schools","author":[{"family":"U.S. Department of Energy","given":""}],"issued":{"date-parts":[["2007",10]]}}}],"schema":"https://github.com/citation-style-language/schema/raw/master/csl-citation.json"} </w:instrText>
      </w:r>
      <w:r>
        <w:fldChar w:fldCharType="separate"/>
      </w:r>
      <w:r w:rsidR="00A3309C" w:rsidRPr="00A3309C">
        <w:rPr>
          <w:rFonts w:ascii="Calibri" w:hAnsi="Calibri" w:cs="Calibri"/>
          <w:vertAlign w:val="superscript"/>
        </w:rPr>
        <w:t>131,339,346</w:t>
      </w:r>
      <w:r>
        <w:fldChar w:fldCharType="end"/>
      </w:r>
      <w:r>
        <w:t xml:space="preserve"> </w:t>
      </w:r>
    </w:p>
    <w:p w14:paraId="48EC1346" w14:textId="4A7760A7" w:rsidR="00383748" w:rsidRDefault="00383748" w:rsidP="00383748">
      <w:pPr>
        <w:pStyle w:val="Heading5"/>
      </w:pPr>
      <w:r>
        <w:t>(</w:t>
      </w:r>
      <w:r w:rsidR="00C660B4">
        <w:t>4</w:t>
      </w:r>
      <w:r>
        <w:t>) M</w:t>
      </w:r>
      <w:r w:rsidRPr="005818E9">
        <w:t xml:space="preserve">aintain mechanical </w:t>
      </w:r>
      <w:r>
        <w:t>HVAC</w:t>
      </w:r>
      <w:r w:rsidRPr="005818E9">
        <w:t xml:space="preserve"> systems</w:t>
      </w:r>
      <w:r>
        <w:t xml:space="preserve"> and balance systems as needed</w:t>
      </w:r>
    </w:p>
    <w:p w14:paraId="23AC40F8" w14:textId="7AFFC80D" w:rsidR="00383748" w:rsidRDefault="00383748" w:rsidP="006D7DE6">
      <w:pPr>
        <w:pStyle w:val="BodyTextFirstIndent"/>
      </w:pPr>
      <w:r>
        <w:t>For both heating and cooling systems, proper maintenance is essential. Schools should take steps to make sure their HVAC systems are operating properly, such as calibrating thermostats for accurate temperature control, balancing the system at least every five years using a third party specialist, and ensuring that air conditioning (AC) drip pans are properly draining and free of debris, all pipes are free of microbial growth, and window-mounted AC units are properly installed and maintained.</w:t>
      </w:r>
      <w:r>
        <w:fldChar w:fldCharType="begin"/>
      </w:r>
      <w:r w:rsidR="00384D21">
        <w:instrText xml:space="preserve"> ADDIN ZOTERO_ITEM CSL_CITATION {"citationID":"EvgOEQu7","properties":{"formattedCitation":"\\super 104,287\\nosupersub{}","plainCitation":"104,287","noteIndex":0},"citationItems":[{"id":9,"uris":["http://zotero.org/groups/5563646/items/PIGDCZW8"],"itemData":{"id":9,"type":"report","language":"en","publisher":"Environmental Protection Agency","source":"Zotero","title":"Energy Savings Plus Health: Indoor Air Quality Guidelines for School Building Upgrades","URL":"https://www.epa.gov/sites/default/files/2014-10/documents/energy_savings_plus_health_guideline.pdf","author":[{"family":"US EPA","given":""}],"issued":{"date-parts":[["2014"]]}}},{"id":13,"uris":["http://zotero.org/groups/5563646/items/ASKMUJY7"],"itemData":{"id":13,"type":"report","title":"Checklist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384D21" w:rsidRPr="00384D21">
        <w:rPr>
          <w:rFonts w:ascii="Calibri" w:hAnsi="Calibri" w:cs="Calibri"/>
          <w:vertAlign w:val="superscript"/>
        </w:rPr>
        <w:t>104,287</w:t>
      </w:r>
      <w:r>
        <w:fldChar w:fldCharType="end"/>
      </w:r>
    </w:p>
    <w:p w14:paraId="22452A16" w14:textId="7AE20830" w:rsidR="00383748" w:rsidRDefault="00383748" w:rsidP="00383748">
      <w:pPr>
        <w:pStyle w:val="Heading5"/>
      </w:pPr>
      <w:r>
        <w:t>(</w:t>
      </w:r>
      <w:r w:rsidR="00C660B4">
        <w:t>5</w:t>
      </w:r>
      <w:r>
        <w:t>) Proper heating and cooling in new construction</w:t>
      </w:r>
    </w:p>
    <w:p w14:paraId="526C461D" w14:textId="58EF5025" w:rsidR="00383748" w:rsidRPr="00482C07" w:rsidRDefault="00383748" w:rsidP="006D7DE6">
      <w:pPr>
        <w:pStyle w:val="BodyTextFirstIndent"/>
      </w:pPr>
      <w:r>
        <w:t xml:space="preserve">Given the increase in hot and humid days and the </w:t>
      </w:r>
      <w:r w:rsidR="470E4850">
        <w:t>current</w:t>
      </w:r>
      <w:r w:rsidR="00CE1E39">
        <w:t>ly observed</w:t>
      </w:r>
      <w:r w:rsidR="470E4850">
        <w:t xml:space="preserve"> and </w:t>
      </w:r>
      <w:r>
        <w:t>anticipated</w:t>
      </w:r>
      <w:r w:rsidR="00D54DBB">
        <w:t xml:space="preserve"> future</w:t>
      </w:r>
      <w:r>
        <w:t xml:space="preserve"> effects of climate change, schools should carefully consider projected heating and cooling needs, including air conditioning, when constructing a new building. School planners could consider passive heating and cooling systems, if thermal comfort can be maintained with these systems.</w:t>
      </w:r>
      <w:r>
        <w:fldChar w:fldCharType="begin"/>
      </w:r>
      <w:r w:rsidR="001E2B30">
        <w:instrText xml:space="preserve"> ADDIN ZOTERO_ITEM CSL_CITATION {"citationID":"pvVP7Z6A","properties":{"formattedCitation":"\\super 346\\nosupersub{}","plainCitation":"346","noteIndex":0},"citationItems":[{"id":505,"uris":["http://zotero.org/groups/5563646/items/P9GMLJBQ"],"itemData":{"id":505,"type":"report","language":"en","source":"Zotero","title":"National Best Practices Manual for Building High Performance Schools","URL":"https://www.energy.gov/eere/articles/national-best-practices-manual-building-high-performance-schools","author":[{"family":"U.S. Department of Energy","given":""}],"issued":{"date-parts":[["2007",10]]}}}],"schema":"https://github.com/citation-style-language/schema/raw/master/csl-citation.json"} </w:instrText>
      </w:r>
      <w:r>
        <w:fldChar w:fldCharType="separate"/>
      </w:r>
      <w:r w:rsidR="001E2B30" w:rsidRPr="001E2B30">
        <w:rPr>
          <w:rFonts w:ascii="Calibri" w:hAnsi="Calibri" w:cs="Calibri"/>
          <w:vertAlign w:val="superscript"/>
        </w:rPr>
        <w:t>346</w:t>
      </w:r>
      <w:r>
        <w:fldChar w:fldCharType="end"/>
      </w:r>
      <w:r>
        <w:t xml:space="preserve"> These systems aim to maximize heat from the sun in the winter and minimize this heat gain in the summer. Strategic window placement and shading play a large role in passive heating and cooling, prioritizing north-facing windows and shading those that face south.</w:t>
      </w:r>
      <w:r>
        <w:fldChar w:fldCharType="begin"/>
      </w:r>
      <w:r w:rsidR="00FC162D">
        <w:instrText xml:space="preserve"> ADDIN ZOTERO_ITEM CSL_CITATION {"citationID":"n8pptfam","properties":{"formattedCitation":"\\super 346\\nosupersub{}","plainCitation":"346","noteIndex":0},"citationItems":[{"id":505,"uris":["http://zotero.org/groups/5563646/items/P9GMLJBQ"],"itemData":{"id":505,"type":"report","language":"en","source":"Zotero","title":"National Best Practices Manual for Building High Performance Schools","URL":"https://www.energy.gov/eere/articles/national-best-practices-manual-building-high-performance-schools","author":[{"family":"U.S. Department of Energy","given":""}],"issued":{"date-parts":[["2007",10]]}}}],"schema":"https://github.com/citation-style-language/schema/raw/master/csl-citation.json"} </w:instrText>
      </w:r>
      <w:r>
        <w:fldChar w:fldCharType="separate"/>
      </w:r>
      <w:r w:rsidR="00FC162D" w:rsidRPr="00FC162D">
        <w:rPr>
          <w:rFonts w:ascii="Calibri" w:hAnsi="Calibri" w:cs="Calibri"/>
          <w:vertAlign w:val="superscript"/>
        </w:rPr>
        <w:t>346</w:t>
      </w:r>
      <w:r>
        <w:fldChar w:fldCharType="end"/>
      </w:r>
      <w:r>
        <w:t xml:space="preserve"> Another way to improve the efficiency of heating or cooling systems in schools is to improve the building envelope (see </w:t>
      </w:r>
      <w:hyperlink w:anchor="Objective_1a">
        <w:r w:rsidRPr="62E2E3B4">
          <w:rPr>
            <w:rStyle w:val="Hyperlink"/>
          </w:rPr>
          <w:t>Objective 1a. Decarbonize Buildings</w:t>
        </w:r>
      </w:hyperlink>
      <w:r>
        <w:t xml:space="preserve"> for additional details on building envelope improvements).</w:t>
      </w:r>
    </w:p>
    <w:p w14:paraId="1ECAA240" w14:textId="77777777" w:rsidR="00383748" w:rsidRDefault="00383748" w:rsidP="00383748">
      <w:pPr>
        <w:pStyle w:val="Heading5"/>
      </w:pPr>
      <w:r>
        <w:t xml:space="preserve">(5) </w:t>
      </w:r>
      <w:r w:rsidRPr="005818E9">
        <w:t>Take simple steps to mitigate the effects of heat on health and learning</w:t>
      </w:r>
    </w:p>
    <w:p w14:paraId="51933A59" w14:textId="734511AA" w:rsidR="00FD43CA" w:rsidRDefault="00383748" w:rsidP="006D7DE6">
      <w:pPr>
        <w:pStyle w:val="BodyTextFirstIndent"/>
      </w:pPr>
      <w:r>
        <w:t>While established mechanical or passive cooling systems are most effective at reducing classroom temperature, school staff can take other interim steps to mitigate the negative effects of extreme heat on students and staff. Steps to mitigate heat include providing cool water for students and staff; reducing physical activity; improving air circulation (e.g., providing at least one fan per classroom); dimming or turning off lights; switching off unused electronics; opening windows (if cooler outdoors); closing shades to block solar radiation; and providing “cooling breaks” between instruction during which students can use misting fans, ice packs, or other cooling items.</w:t>
      </w:r>
      <w:r>
        <w:fldChar w:fldCharType="begin"/>
      </w:r>
      <w:r w:rsidR="00FB6D71">
        <w:instrText xml:space="preserve"> ADDIN ZOTERO_ITEM CSL_CITATION {"citationID":"4ZmnxsPg","properties":{"formattedCitation":"\\super 131,339,347\\nosupersub{}","plainCitation":"131,339,347","noteIndex":0},"citationItems":[{"id":764,"uris":["http://zotero.org/groups/5563646/items/J8G8IUYN"],"itemData":{"id":764,"type":"webpage","abstract":"Massachusetts schools without air conditioning are struggling to keep classrooms comfortable during the early September heat wave.","language":"en","title":"Some Western Mass. school districts opt to end classes early during heat wave","URL":"https://www.wbur.org/news/2023/09/06/western-mass-school-districts-heat-wave-september","author":[{"family":"Jung","given":"Carrie"}],"accessed":{"date-parts":[["2024",7,23]]},"issued":{"date-parts":[["2023",9,6]]}}},{"id":844,"uris":["http://zotero.org/groups/5563646/items/7RW2B7VG"],"itemData":{"id":844,"type":"post-weblog","abstract":"To support schools in addressing extreme heat, MAPC and partners developed new template policy language for addressing extreme heat and air quality in schools.","container-title":"MAPC","language":"en-US","title":"Addressing Extreme Heat and Air Quality in Schools","URL":"https://www.mapc.org/planning101/extreme-heat-air-quality-in-schools/","author":[{"family":"Ron","given":"Sharon"}],"accessed":{"date-parts":[["2024",7,24]]},"issued":{"date-parts":[["2024",6,18]]}}},{"id":846,"uris":["http://zotero.org/groups/5563646/items/ZWU4BV95"],"itemData":{"id":846,"type":"webpage","container-title":"Education World","title":"Tips for Keeping Cool in the Classroom","URL":"https://www.educationworld.com/tips-keeping-cool-classroom","author":[{"family":"Gorman","given":"Nicole"}],"accessed":{"date-parts":[["2024",7,24]]},"issued":{"date-parts":[["2015",5,8]]}}}],"schema":"https://github.com/citation-style-language/schema/raw/master/csl-citation.json"} </w:instrText>
      </w:r>
      <w:r>
        <w:fldChar w:fldCharType="separate"/>
      </w:r>
      <w:r w:rsidR="00FB6D71" w:rsidRPr="00FB6D71">
        <w:rPr>
          <w:rFonts w:ascii="Calibri" w:hAnsi="Calibri" w:cs="Calibri"/>
          <w:vertAlign w:val="superscript"/>
        </w:rPr>
        <w:t>131,339,347</w:t>
      </w:r>
      <w:r>
        <w:fldChar w:fldCharType="end"/>
      </w:r>
      <w:r>
        <w:t xml:space="preserve"> Schools should develop a plan outlining which measures they will use to mitigate the effects of heat on health and learning during heat waves and extreme heat.</w:t>
      </w:r>
    </w:p>
    <w:p w14:paraId="76514EA9" w14:textId="77777777" w:rsidR="00383748" w:rsidRDefault="00383748" w:rsidP="00383748">
      <w:pPr>
        <w:pStyle w:val="Heading3"/>
      </w:pPr>
      <w:r>
        <w:lastRenderedPageBreak/>
        <w:t>Statutes, Regulations, and Standards</w:t>
      </w:r>
    </w:p>
    <w:p w14:paraId="284395BE" w14:textId="77777777" w:rsidR="00383748" w:rsidRDefault="00383748" w:rsidP="006D7DE6">
      <w:pPr>
        <w:pStyle w:val="BodyTextFirstIndent"/>
      </w:pPr>
      <w:r>
        <w:t>Statutes, regulations, and standards that include a focus on improved thermal comfort are detailed below.</w:t>
      </w:r>
    </w:p>
    <w:p w14:paraId="43D466AD" w14:textId="77777777" w:rsidR="00383748" w:rsidRDefault="00383748" w:rsidP="00383748">
      <w:pPr>
        <w:pStyle w:val="Heading4"/>
      </w:pPr>
      <w:r>
        <w:t>Relevant Statutes</w:t>
      </w:r>
    </w:p>
    <w:p w14:paraId="4673CDB8" w14:textId="0136EA61" w:rsidR="00383748" w:rsidRPr="00E549B2" w:rsidRDefault="00383748" w:rsidP="006D7DE6">
      <w:pPr>
        <w:pStyle w:val="BodyTextFirstIndent"/>
      </w:pPr>
      <w:r w:rsidRPr="00776413">
        <w:rPr>
          <w:b/>
          <w:bCs/>
        </w:rPr>
        <w:t>M</w:t>
      </w:r>
      <w:r>
        <w:rPr>
          <w:b/>
          <w:bCs/>
        </w:rPr>
        <w:t>.</w:t>
      </w:r>
      <w:r w:rsidRPr="00776413">
        <w:rPr>
          <w:b/>
          <w:bCs/>
        </w:rPr>
        <w:t>G</w:t>
      </w:r>
      <w:r>
        <w:rPr>
          <w:b/>
          <w:bCs/>
        </w:rPr>
        <w:t>.</w:t>
      </w:r>
      <w:r w:rsidRPr="00776413">
        <w:rPr>
          <w:b/>
          <w:bCs/>
        </w:rPr>
        <w:t>L</w:t>
      </w:r>
      <w:r>
        <w:rPr>
          <w:b/>
          <w:bCs/>
        </w:rPr>
        <w:t>.</w:t>
      </w:r>
      <w:r w:rsidRPr="00776413">
        <w:rPr>
          <w:b/>
          <w:bCs/>
        </w:rPr>
        <w:t xml:space="preserve"> c. 149, § 113</w:t>
      </w:r>
      <w:r w:rsidRPr="00776413">
        <w:t xml:space="preserve"> requires that workplaces, which includes schools, be properly heated from October 15 to May 15.</w:t>
      </w:r>
      <w:r w:rsidRPr="00776413">
        <w:fldChar w:fldCharType="begin"/>
      </w:r>
      <w:r w:rsidR="00CF64F1">
        <w:instrText xml:space="preserve"> ADDIN ZOTERO_ITEM CSL_CITATION {"citationID":"bEFIC9yh","properties":{"formattedCitation":"\\super 342\\nosupersub{}","plainCitation":"342","noteIndex":0},"citationItems":[{"id":768,"uris":["http://zotero.org/groups/5563646/items/9DU6MSLR"],"itemData":{"id":768,"type":"webpage","abstract":"Laws, regulations, cases, and both web and print sources on legal requirements for winter heat, and sources of assistance.","container-title":"Mass.gov","language":"en","title":"Massachusetts law about winter heating","URL":"https://www.mass.gov/info-details/massachusetts-law-about-winter-heating","author":[{"family":"Massachusetts Court System","given":""},{"family":"Trial Court Law Libraries","given":""}],"accessed":{"date-parts":[["2024",7,23]]},"issued":{"date-parts":[["2024",3,11]]}}}],"schema":"https://github.com/citation-style-language/schema/raw/master/csl-citation.json"} </w:instrText>
      </w:r>
      <w:r w:rsidRPr="00776413">
        <w:fldChar w:fldCharType="separate"/>
      </w:r>
      <w:r w:rsidR="00CF64F1" w:rsidRPr="00CF64F1">
        <w:rPr>
          <w:rFonts w:ascii="Calibri" w:hAnsi="Calibri" w:cs="Calibri"/>
          <w:vertAlign w:val="superscript"/>
        </w:rPr>
        <w:t>342</w:t>
      </w:r>
      <w:r w:rsidRPr="00776413">
        <w:fldChar w:fldCharType="end"/>
      </w:r>
    </w:p>
    <w:p w14:paraId="63A7E1A3" w14:textId="77777777" w:rsidR="00383748" w:rsidRDefault="00383748" w:rsidP="00383748">
      <w:pPr>
        <w:pStyle w:val="Heading4"/>
      </w:pPr>
      <w:r>
        <w:t>Relevant Regulations</w:t>
      </w:r>
    </w:p>
    <w:p w14:paraId="3A88033B" w14:textId="2095FF7D" w:rsidR="00383748" w:rsidRPr="00776413" w:rsidRDefault="00383748" w:rsidP="006D7DE6">
      <w:pPr>
        <w:pStyle w:val="BodyTextFirstIndent"/>
      </w:pPr>
      <w:r w:rsidRPr="29E8946D">
        <w:rPr>
          <w:b/>
          <w:bCs/>
        </w:rPr>
        <w:t>603 CMR 18.00</w:t>
      </w:r>
      <w:r>
        <w:t xml:space="preserve"> notes that room temperatures in rooms occupied by students should not be less than 68°F when it is 0°F outside and not more than the outdoor temperature when the outdoor temperature is above 80°F. This only applies to special education schools.</w:t>
      </w:r>
      <w:r>
        <w:fldChar w:fldCharType="begin"/>
      </w:r>
      <w:r w:rsidR="00965E3F">
        <w:instrText xml:space="preserve"> ADDIN ZOTERO_ITEM CSL_CITATION {"citationID":"N5l4lLdt","properties":{"formattedCitation":"\\super 348\\nosupersub{}","plainCitation":"348","noteIndex":0},"citationItems":[{"id":771,"uris":["http://zotero.org/groups/5563646/items/DVH259K9"],"itemData":{"id":771,"type":"legislation","container-title":"Code of Massachusetts Register","title":"603 CMR 18.00: Program and safety standards for approved public or private day and residential special education school programs","URL":"https://www.mass.gov/regulations/603-CMR-1800-program-and-safety-standards-for-approved-public-or-private-day-and-residential-special-education-school-programs","volume":"603 CMR 18.00","author":[{"family":"Executive Office of Education","given":""}],"accessed":{"date-parts":[["2024",7,23]]},"issued":{"date-parts":[["2016",1,1]]}}}],"schema":"https://github.com/citation-style-language/schema/raw/master/csl-citation.json"} </w:instrText>
      </w:r>
      <w:r>
        <w:fldChar w:fldCharType="separate"/>
      </w:r>
      <w:r w:rsidR="00965E3F" w:rsidRPr="00965E3F">
        <w:rPr>
          <w:rFonts w:ascii="Calibri" w:hAnsi="Calibri" w:cs="Calibri"/>
          <w:vertAlign w:val="superscript"/>
        </w:rPr>
        <w:t>348</w:t>
      </w:r>
      <w:r>
        <w:fldChar w:fldCharType="end"/>
      </w:r>
    </w:p>
    <w:p w14:paraId="0EF0C02F" w14:textId="77777777" w:rsidR="00383748" w:rsidRDefault="00383748" w:rsidP="00383748">
      <w:pPr>
        <w:pStyle w:val="Heading4"/>
      </w:pPr>
      <w:r>
        <w:t>Relevant Standards</w:t>
      </w:r>
    </w:p>
    <w:p w14:paraId="45098512" w14:textId="2716B914" w:rsidR="00383748" w:rsidRDefault="00383748" w:rsidP="006D7DE6">
      <w:pPr>
        <w:pStyle w:val="BodyTextFirstIndent"/>
      </w:pPr>
      <w:r w:rsidRPr="00887156">
        <w:rPr>
          <w:b/>
          <w:bCs/>
        </w:rPr>
        <w:t>ASHRAE Standard 55</w:t>
      </w:r>
      <w:r>
        <w:t xml:space="preserve"> outlines specifications for a combination of factors (temperature, thermal radiation, humidity, and air speed) that result in satisfactory thermal conditions for a majority of building occupants. The standard also provides criteria for evaluating comfort in existing buildings and calculation procedures for design compliance.</w:t>
      </w:r>
      <w:r>
        <w:fldChar w:fldCharType="begin"/>
      </w:r>
      <w:r w:rsidR="003B44B3">
        <w:instrText xml:space="preserve"> ADDIN ZOTERO_ITEM CSL_CITATION {"citationID":"apf4q7s8lf","properties":{"formattedCitation":"\\super 349\\nosupersub{}","plainCitation":"349","noteIndex":0},"citationItems":[{"id":"UYaNeB3l/rQvW7NsA","uris":["http://zotero.org/groups/5563646/items/GYQLMIC6"],"itemData":{"id":1042,"type":"webpage","title":"Standard 55 – Thermal Environmental Conditions for Human Occupancy","URL":"https://www.ashrae.org/technical-resources/bookstore/standard-55-thermal-environmental-conditions-for-human-occupancy","author":[{"family":"ASHRAE","given":""}],"accessed":{"date-parts":[["2024",8,6]]}},"label":"page"}],"schema":"https://github.com/citation-style-language/schema/raw/master/csl-citation.json"} </w:instrText>
      </w:r>
      <w:r>
        <w:fldChar w:fldCharType="separate"/>
      </w:r>
      <w:r w:rsidR="000D2C29" w:rsidRPr="000D2C29">
        <w:rPr>
          <w:rFonts w:cs="Arial"/>
          <w:vertAlign w:val="superscript"/>
        </w:rPr>
        <w:t>349</w:t>
      </w:r>
      <w:r>
        <w:fldChar w:fldCharType="end"/>
      </w:r>
      <w:r>
        <w:t xml:space="preserve"> </w:t>
      </w:r>
    </w:p>
    <w:p w14:paraId="1942CDA5" w14:textId="554A7678" w:rsidR="00383748" w:rsidRDefault="00383748" w:rsidP="006D7DE6">
      <w:pPr>
        <w:pStyle w:val="BodyTextFirstIndent"/>
      </w:pPr>
      <w:r>
        <w:fldChar w:fldCharType="begin"/>
      </w:r>
      <w:r>
        <w:instrText xml:space="preserve"> REF _Ref171629220 \h  \* MERGEFORMAT </w:instrText>
      </w:r>
      <w:r>
        <w:fldChar w:fldCharType="separate"/>
      </w:r>
      <w:r w:rsidR="00307850">
        <w:t xml:space="preserve">Table </w:t>
      </w:r>
      <w:r w:rsidR="00307850">
        <w:rPr>
          <w:noProof/>
        </w:rPr>
        <w:t>76</w:t>
      </w:r>
      <w:r>
        <w:fldChar w:fldCharType="end"/>
      </w:r>
      <w:r>
        <w:t xml:space="preserve"> </w:t>
      </w:r>
      <w:r w:rsidRPr="007935AE">
        <w:t xml:space="preserve">summarizes the statutes, regulations, and standards related to </w:t>
      </w:r>
      <w:r>
        <w:t>improving thermal comfort in</w:t>
      </w:r>
      <w:r w:rsidRPr="007935AE">
        <w:t xml:space="preserve"> schools</w:t>
      </w:r>
      <w:r>
        <w:t xml:space="preserve"> outlined above</w:t>
      </w:r>
      <w:r w:rsidRPr="007935AE">
        <w:t>.</w:t>
      </w:r>
    </w:p>
    <w:p w14:paraId="32D7FF12" w14:textId="04FC9BD5" w:rsidR="00383748" w:rsidRDefault="00383748" w:rsidP="00B30C96">
      <w:pPr>
        <w:pStyle w:val="TableTitle"/>
      </w:pPr>
      <w:bookmarkStart w:id="613" w:name="_Ref171629220"/>
      <w:bookmarkStart w:id="614" w:name="_Toc192711742"/>
      <w:bookmarkStart w:id="615" w:name="_Toc193112624"/>
      <w:bookmarkStart w:id="616" w:name="_Toc193117023"/>
      <w:r>
        <w:t xml:space="preserve">Table </w:t>
      </w:r>
      <w:fldSimple w:instr=" SEQ Table \* ARABIC ">
        <w:r w:rsidR="00307850">
          <w:rPr>
            <w:noProof/>
          </w:rPr>
          <w:t>76</w:t>
        </w:r>
      </w:fldSimple>
      <w:bookmarkEnd w:id="613"/>
      <w:r>
        <w:t>. Statutory/Regulatory Framework and Notable Standards for Improving Thermal Comfort</w:t>
      </w:r>
      <w:bookmarkEnd w:id="614"/>
      <w:bookmarkEnd w:id="615"/>
      <w:bookmarkEnd w:id="616"/>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improving thermal comfort."/>
      </w:tblPr>
      <w:tblGrid>
        <w:gridCol w:w="6834"/>
        <w:gridCol w:w="838"/>
        <w:gridCol w:w="840"/>
        <w:gridCol w:w="838"/>
      </w:tblGrid>
      <w:tr w:rsidR="00383748" w:rsidRPr="00E11392" w14:paraId="4F98D648"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23611DFF" w14:textId="77777777" w:rsidR="00383748" w:rsidRPr="00E11392" w:rsidRDefault="00383748">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5FC88BE9" w14:textId="77777777" w:rsidR="00383748" w:rsidRPr="00E11392" w:rsidRDefault="00383748">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BAC6667" w14:textId="77777777" w:rsidR="00383748" w:rsidRPr="00E11392" w:rsidRDefault="00383748">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FE14175" w14:textId="77777777" w:rsidR="00383748" w:rsidRPr="00E11392" w:rsidRDefault="00383748">
            <w:pPr>
              <w:pStyle w:val="TableColumnHeader"/>
              <w:jc w:val="left"/>
            </w:pPr>
            <w:r w:rsidRPr="00E11392">
              <w:t>Standard</w:t>
            </w:r>
          </w:p>
        </w:tc>
      </w:tr>
      <w:tr w:rsidR="00383748" w:rsidRPr="00E11392" w14:paraId="756654E2"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5616B83" w14:textId="77777777" w:rsidR="00383748" w:rsidRPr="00E11392" w:rsidRDefault="00383748">
            <w:pPr>
              <w:pStyle w:val="TableRowHeader"/>
            </w:pPr>
            <w:r>
              <w:t>Statutes</w:t>
            </w:r>
          </w:p>
        </w:tc>
      </w:tr>
      <w:tr w:rsidR="00383748" w:rsidRPr="00E11392" w14:paraId="1D0187A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1D34933" w14:textId="77777777" w:rsidR="00383748" w:rsidRPr="00E11392" w:rsidRDefault="00383748">
            <w:pPr>
              <w:pStyle w:val="TableText"/>
            </w:pPr>
            <w:r w:rsidRPr="002F1B8C">
              <w:t>M</w:t>
            </w:r>
            <w:r>
              <w:t>.</w:t>
            </w:r>
            <w:r w:rsidRPr="002F1B8C">
              <w:t>G</w:t>
            </w:r>
            <w:r>
              <w:t>.</w:t>
            </w:r>
            <w:r w:rsidRPr="002F1B8C">
              <w:t>L</w:t>
            </w:r>
            <w:r>
              <w:t>.</w:t>
            </w:r>
            <w:r w:rsidRPr="002F1B8C">
              <w:t xml:space="preserve"> c. 149, § 113</w:t>
            </w:r>
          </w:p>
        </w:tc>
        <w:tc>
          <w:tcPr>
            <w:tcW w:w="448" w:type="pct"/>
            <w:tcBorders>
              <w:top w:val="nil"/>
              <w:left w:val="single" w:sz="4" w:space="0" w:color="auto"/>
              <w:bottom w:val="single" w:sz="4" w:space="0" w:color="auto"/>
              <w:right w:val="single" w:sz="4" w:space="0" w:color="auto"/>
            </w:tcBorders>
            <w:shd w:val="clear" w:color="auto" w:fill="auto"/>
            <w:vAlign w:val="center"/>
          </w:tcPr>
          <w:p w14:paraId="51AC2755" w14:textId="77777777" w:rsidR="00383748" w:rsidRPr="00E11392" w:rsidRDefault="00383748">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46DC0D1" w14:textId="77777777" w:rsidR="00383748" w:rsidRPr="00E11392" w:rsidRDefault="00383748">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118B0312" w14:textId="77777777" w:rsidR="00383748" w:rsidRPr="00E11392" w:rsidRDefault="00383748">
            <w:pPr>
              <w:jc w:val="center"/>
              <w:rPr>
                <w:rFonts w:ascii="Arial" w:hAnsi="Arial" w:cs="Arial"/>
                <w:b/>
                <w:bCs/>
                <w:sz w:val="24"/>
              </w:rPr>
            </w:pPr>
          </w:p>
        </w:tc>
      </w:tr>
      <w:tr w:rsidR="00383748" w:rsidRPr="00E11392" w14:paraId="74FCBE6B" w14:textId="77777777">
        <w:trPr>
          <w:cantSplit/>
          <w:trHeight w:val="255"/>
          <w:tblHeader/>
          <w:jc w:val="center"/>
        </w:trPr>
        <w:tc>
          <w:tcPr>
            <w:tcW w:w="3655" w:type="pct"/>
            <w:tcBorders>
              <w:top w:val="single" w:sz="4" w:space="0" w:color="auto"/>
              <w:left w:val="single" w:sz="4" w:space="0" w:color="auto"/>
              <w:bottom w:val="single" w:sz="4" w:space="0" w:color="auto"/>
              <w:right w:val="single" w:sz="4" w:space="0" w:color="auto"/>
            </w:tcBorders>
            <w:shd w:val="clear" w:color="auto" w:fill="002060"/>
          </w:tcPr>
          <w:p w14:paraId="5EBE01C2" w14:textId="77777777" w:rsidR="00383748" w:rsidRPr="002F1B8C" w:rsidRDefault="00383748">
            <w:pPr>
              <w:pStyle w:val="TableRowHeader"/>
            </w:pPr>
            <w:r>
              <w:t>Regulations</w:t>
            </w:r>
          </w:p>
        </w:tc>
        <w:tc>
          <w:tcPr>
            <w:tcW w:w="448" w:type="pct"/>
            <w:tcBorders>
              <w:top w:val="single" w:sz="4" w:space="0" w:color="auto"/>
              <w:left w:val="single" w:sz="4" w:space="0" w:color="auto"/>
              <w:bottom w:val="single" w:sz="4" w:space="0" w:color="auto"/>
              <w:right w:val="single" w:sz="4" w:space="0" w:color="auto"/>
            </w:tcBorders>
            <w:shd w:val="clear" w:color="auto" w:fill="002060"/>
            <w:vAlign w:val="center"/>
          </w:tcPr>
          <w:p w14:paraId="3A56657D" w14:textId="77777777" w:rsidR="00383748" w:rsidRPr="00E11392" w:rsidRDefault="00383748">
            <w:pPr>
              <w:jc w:val="center"/>
              <w:rPr>
                <w:rFonts w:ascii="Arial" w:hAnsi="Arial" w:cs="Arial"/>
                <w:b/>
                <w:bCs/>
                <w:color w:val="00B050"/>
                <w:sz w:val="24"/>
              </w:rPr>
            </w:pPr>
          </w:p>
        </w:tc>
        <w:tc>
          <w:tcPr>
            <w:tcW w:w="449" w:type="pct"/>
            <w:tcBorders>
              <w:top w:val="single" w:sz="4" w:space="0" w:color="auto"/>
              <w:left w:val="single" w:sz="4" w:space="0" w:color="auto"/>
              <w:bottom w:val="single" w:sz="4" w:space="0" w:color="auto"/>
              <w:right w:val="single" w:sz="4" w:space="0" w:color="auto"/>
            </w:tcBorders>
            <w:shd w:val="clear" w:color="auto" w:fill="002060"/>
            <w:vAlign w:val="center"/>
          </w:tcPr>
          <w:p w14:paraId="1F804979" w14:textId="77777777" w:rsidR="00383748" w:rsidRPr="00E11392" w:rsidRDefault="00383748">
            <w:pPr>
              <w:jc w:val="center"/>
              <w:rPr>
                <w:rFonts w:ascii="Arial" w:hAnsi="Arial" w:cs="Arial"/>
                <w:b/>
                <w:bCs/>
                <w:color w:val="00B050"/>
                <w:sz w:val="24"/>
              </w:rPr>
            </w:pPr>
          </w:p>
        </w:tc>
        <w:tc>
          <w:tcPr>
            <w:tcW w:w="448" w:type="pct"/>
            <w:tcBorders>
              <w:top w:val="single" w:sz="4" w:space="0" w:color="auto"/>
              <w:left w:val="single" w:sz="4" w:space="0" w:color="auto"/>
              <w:bottom w:val="single" w:sz="4" w:space="0" w:color="auto"/>
              <w:right w:val="single" w:sz="4" w:space="0" w:color="auto"/>
            </w:tcBorders>
            <w:shd w:val="clear" w:color="auto" w:fill="002060"/>
            <w:vAlign w:val="center"/>
          </w:tcPr>
          <w:p w14:paraId="178F715D" w14:textId="77777777" w:rsidR="00383748" w:rsidRPr="00E11392" w:rsidRDefault="00383748">
            <w:pPr>
              <w:jc w:val="center"/>
              <w:rPr>
                <w:rFonts w:ascii="Arial" w:hAnsi="Arial" w:cs="Arial"/>
                <w:b/>
                <w:bCs/>
                <w:sz w:val="24"/>
              </w:rPr>
            </w:pPr>
          </w:p>
        </w:tc>
      </w:tr>
      <w:tr w:rsidR="00383748" w:rsidRPr="00E11392" w14:paraId="0417CC4C" w14:textId="77777777">
        <w:trPr>
          <w:cantSplit/>
          <w:trHeight w:val="255"/>
          <w:tblHeader/>
          <w:jc w:val="center"/>
        </w:trPr>
        <w:tc>
          <w:tcPr>
            <w:tcW w:w="3655" w:type="pct"/>
            <w:tcBorders>
              <w:top w:val="single" w:sz="4" w:space="0" w:color="auto"/>
              <w:left w:val="single" w:sz="4" w:space="0" w:color="auto"/>
              <w:bottom w:val="single" w:sz="4" w:space="0" w:color="auto"/>
              <w:right w:val="single" w:sz="4" w:space="0" w:color="auto"/>
            </w:tcBorders>
            <w:shd w:val="clear" w:color="auto" w:fill="auto"/>
          </w:tcPr>
          <w:p w14:paraId="1F221392" w14:textId="77777777" w:rsidR="00383748" w:rsidRPr="002F1B8C" w:rsidRDefault="00383748">
            <w:pPr>
              <w:pStyle w:val="TableText"/>
            </w:pPr>
            <w:r w:rsidRPr="00C12D93">
              <w:t>603 CMR 18.00</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95595E3" w14:textId="77777777" w:rsidR="00383748" w:rsidRPr="00E11392" w:rsidRDefault="00383748">
            <w:pPr>
              <w:jc w:val="center"/>
              <w:rPr>
                <w:rFonts w:ascii="Arial" w:hAnsi="Arial" w:cs="Arial"/>
                <w:b/>
                <w:bCs/>
                <w:color w:val="00B050"/>
                <w:sz w:val="24"/>
              </w:rPr>
            </w:pPr>
            <w:r w:rsidRPr="00E11392">
              <w:rPr>
                <w:rFonts w:ascii="Arial" w:hAnsi="Arial" w:cs="Arial"/>
                <w:b/>
                <w:bCs/>
                <w:color w:val="00B050"/>
                <w:sz w:val="24"/>
              </w:rPr>
              <w:t>X</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63641B1A" w14:textId="77777777" w:rsidR="00383748" w:rsidRPr="00E11392" w:rsidRDefault="00383748">
            <w:pPr>
              <w:jc w:val="center"/>
              <w:rPr>
                <w:rFonts w:ascii="Arial" w:hAnsi="Arial" w:cs="Arial"/>
                <w:b/>
                <w:bCs/>
                <w:color w:val="00B050"/>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270952E" w14:textId="77777777" w:rsidR="00383748" w:rsidRPr="00E11392" w:rsidRDefault="00383748">
            <w:pPr>
              <w:jc w:val="center"/>
              <w:rPr>
                <w:rFonts w:ascii="Arial" w:hAnsi="Arial" w:cs="Arial"/>
                <w:b/>
                <w:bCs/>
                <w:sz w:val="24"/>
              </w:rPr>
            </w:pPr>
          </w:p>
        </w:tc>
      </w:tr>
      <w:tr w:rsidR="00383748" w:rsidRPr="00E11392" w14:paraId="0320DDAF" w14:textId="77777777">
        <w:trPr>
          <w:cantSplit/>
          <w:trHeight w:val="255"/>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tcPr>
          <w:p w14:paraId="20053722" w14:textId="77777777" w:rsidR="00383748" w:rsidRPr="00E11392" w:rsidRDefault="00383748">
            <w:pPr>
              <w:pStyle w:val="TableRowHeader"/>
            </w:pPr>
            <w:r>
              <w:t>Standards</w:t>
            </w:r>
          </w:p>
        </w:tc>
      </w:tr>
      <w:tr w:rsidR="00383748" w:rsidRPr="00E11392" w14:paraId="4D166A2B" w14:textId="77777777">
        <w:trPr>
          <w:cantSplit/>
          <w:trHeight w:val="255"/>
          <w:tblHeader/>
          <w:jc w:val="center"/>
        </w:trPr>
        <w:tc>
          <w:tcPr>
            <w:tcW w:w="3655" w:type="pct"/>
            <w:tcBorders>
              <w:top w:val="single" w:sz="4" w:space="0" w:color="auto"/>
              <w:left w:val="single" w:sz="4" w:space="0" w:color="auto"/>
              <w:bottom w:val="single" w:sz="4" w:space="0" w:color="auto"/>
              <w:right w:val="single" w:sz="4" w:space="0" w:color="auto"/>
            </w:tcBorders>
            <w:shd w:val="clear" w:color="auto" w:fill="auto"/>
          </w:tcPr>
          <w:p w14:paraId="1EE53D3F" w14:textId="77777777" w:rsidR="00383748" w:rsidRPr="00C12D93" w:rsidRDefault="00383748">
            <w:pPr>
              <w:pStyle w:val="TableText"/>
            </w:pPr>
            <w:r>
              <w:t>ASHRAE Standard 55</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B6B55FB" w14:textId="77777777" w:rsidR="00383748" w:rsidRPr="00E11392" w:rsidRDefault="00383748">
            <w:pPr>
              <w:jc w:val="center"/>
              <w:rPr>
                <w:rFonts w:ascii="Arial" w:hAnsi="Arial" w:cs="Arial"/>
                <w:b/>
                <w:bCs/>
                <w:color w:val="00B050"/>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3FCE6296" w14:textId="77777777" w:rsidR="00383748" w:rsidRPr="00E11392" w:rsidRDefault="00383748">
            <w:pPr>
              <w:jc w:val="center"/>
              <w:rPr>
                <w:rFonts w:ascii="Arial" w:hAnsi="Arial" w:cs="Arial"/>
                <w:b/>
                <w:bCs/>
                <w:color w:val="00B050"/>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6BA8FD9D" w14:textId="77777777" w:rsidR="00383748" w:rsidRPr="00E11392" w:rsidRDefault="00383748">
            <w:pPr>
              <w:jc w:val="center"/>
              <w:rPr>
                <w:rFonts w:ascii="Arial" w:hAnsi="Arial" w:cs="Arial"/>
                <w:b/>
                <w:bCs/>
                <w:sz w:val="24"/>
              </w:rPr>
            </w:pPr>
            <w:r w:rsidRPr="00E11392">
              <w:rPr>
                <w:rFonts w:ascii="Arial" w:hAnsi="Arial" w:cs="Arial"/>
                <w:b/>
                <w:bCs/>
                <w:color w:val="00B050"/>
                <w:sz w:val="24"/>
              </w:rPr>
              <w:t>X</w:t>
            </w:r>
          </w:p>
        </w:tc>
      </w:tr>
    </w:tbl>
    <w:p w14:paraId="0CB77F25" w14:textId="77777777" w:rsidR="00133A94" w:rsidRDefault="00133A94" w:rsidP="00383748">
      <w:pPr>
        <w:pStyle w:val="Heading3"/>
      </w:pPr>
    </w:p>
    <w:p w14:paraId="5E21CBCA" w14:textId="77777777" w:rsidR="00133A94" w:rsidRDefault="00133A94">
      <w:pPr>
        <w:rPr>
          <w:rFonts w:ascii="Arial" w:hAnsi="Arial" w:cs="Arial"/>
          <w:b/>
          <w:bCs/>
          <w:color w:val="4F6228" w:themeColor="accent3" w:themeShade="80"/>
          <w:sz w:val="26"/>
          <w:szCs w:val="22"/>
        </w:rPr>
      </w:pPr>
      <w:r>
        <w:br w:type="page"/>
      </w:r>
    </w:p>
    <w:p w14:paraId="2F6EC28A" w14:textId="76957120" w:rsidR="00383748" w:rsidRDefault="00383748" w:rsidP="00383748">
      <w:pPr>
        <w:pStyle w:val="Heading3"/>
      </w:pPr>
      <w:r>
        <w:lastRenderedPageBreak/>
        <w:t>Relevant Resources</w:t>
      </w:r>
    </w:p>
    <w:p w14:paraId="472A0797" w14:textId="178B1915" w:rsidR="00383748" w:rsidRDefault="00383748" w:rsidP="006D7DE6">
      <w:pPr>
        <w:pStyle w:val="BodyTextFirstIndent"/>
      </w:pPr>
      <w:r>
        <w:fldChar w:fldCharType="begin"/>
      </w:r>
      <w:r>
        <w:instrText xml:space="preserve"> REF _Ref171629221 \h </w:instrText>
      </w:r>
      <w:r>
        <w:fldChar w:fldCharType="separate"/>
      </w:r>
      <w:r w:rsidR="00307850">
        <w:t xml:space="preserve">Table </w:t>
      </w:r>
      <w:r w:rsidR="00307850">
        <w:rPr>
          <w:noProof/>
        </w:rPr>
        <w:t>77</w:t>
      </w:r>
      <w:r>
        <w:fldChar w:fldCharType="end"/>
      </w:r>
      <w:r>
        <w:t xml:space="preserve"> provides a summary of resources related to improving thermal comfort in schools.</w:t>
      </w:r>
    </w:p>
    <w:p w14:paraId="3272156E" w14:textId="66047B54" w:rsidR="00383748" w:rsidRDefault="00383748" w:rsidP="00B30C96">
      <w:pPr>
        <w:pStyle w:val="TableTitle"/>
      </w:pPr>
      <w:bookmarkStart w:id="617" w:name="_Ref171629221"/>
      <w:bookmarkStart w:id="618" w:name="_Toc192711743"/>
      <w:bookmarkStart w:id="619" w:name="_Toc193112625"/>
      <w:bookmarkStart w:id="620" w:name="_Toc193117024"/>
      <w:r>
        <w:t xml:space="preserve">Table </w:t>
      </w:r>
      <w:fldSimple w:instr=" SEQ Table \* ARABIC ">
        <w:r w:rsidR="00307850">
          <w:rPr>
            <w:noProof/>
          </w:rPr>
          <w:t>77</w:t>
        </w:r>
      </w:fldSimple>
      <w:bookmarkEnd w:id="617"/>
      <w:r>
        <w:t>. Resources for Improving Thermal Comfort</w:t>
      </w:r>
      <w:bookmarkEnd w:id="618"/>
      <w:bookmarkEnd w:id="619"/>
      <w:bookmarkEnd w:id="620"/>
    </w:p>
    <w:tbl>
      <w:tblPr>
        <w:tblStyle w:val="TableGrid"/>
        <w:tblW w:w="0" w:type="auto"/>
        <w:tblLook w:val="04A0" w:firstRow="1" w:lastRow="0" w:firstColumn="1" w:lastColumn="0" w:noHBand="0" w:noVBand="1"/>
        <w:tblDescription w:val="Table listing resources with active URLs for improving thermal comfort."/>
      </w:tblPr>
      <w:tblGrid>
        <w:gridCol w:w="2321"/>
        <w:gridCol w:w="2117"/>
        <w:gridCol w:w="4912"/>
      </w:tblGrid>
      <w:tr w:rsidR="00383748" w:rsidRPr="00276B41" w14:paraId="5EE63E81" w14:textId="77777777">
        <w:tc>
          <w:tcPr>
            <w:tcW w:w="2321" w:type="dxa"/>
            <w:shd w:val="clear" w:color="auto" w:fill="C6D9F1" w:themeFill="text2" w:themeFillTint="33"/>
          </w:tcPr>
          <w:p w14:paraId="5DACF42D" w14:textId="77777777" w:rsidR="00383748" w:rsidRPr="004C3A1C" w:rsidRDefault="00383748">
            <w:pPr>
              <w:pStyle w:val="TableColumnHeader"/>
            </w:pPr>
            <w:r w:rsidRPr="004C3A1C">
              <w:t>Resource</w:t>
            </w:r>
          </w:p>
        </w:tc>
        <w:tc>
          <w:tcPr>
            <w:tcW w:w="2117" w:type="dxa"/>
            <w:shd w:val="clear" w:color="auto" w:fill="C6D9F1" w:themeFill="text2" w:themeFillTint="33"/>
          </w:tcPr>
          <w:p w14:paraId="4F204CAC" w14:textId="77777777" w:rsidR="00383748" w:rsidRPr="004C3A1C" w:rsidRDefault="00383748">
            <w:pPr>
              <w:pStyle w:val="TableColumnHeader"/>
            </w:pPr>
            <w:r w:rsidRPr="004C3A1C">
              <w:t>Author</w:t>
            </w:r>
          </w:p>
        </w:tc>
        <w:tc>
          <w:tcPr>
            <w:tcW w:w="4912" w:type="dxa"/>
            <w:shd w:val="clear" w:color="auto" w:fill="C6D9F1" w:themeFill="text2" w:themeFillTint="33"/>
          </w:tcPr>
          <w:p w14:paraId="252A32A9" w14:textId="77777777" w:rsidR="00383748" w:rsidRPr="004C3A1C" w:rsidRDefault="00383748">
            <w:pPr>
              <w:pStyle w:val="TableColumnHeader"/>
            </w:pPr>
            <w:r w:rsidRPr="004C3A1C">
              <w:t>URL</w:t>
            </w:r>
          </w:p>
        </w:tc>
      </w:tr>
      <w:tr w:rsidR="00383748" w:rsidRPr="00276B41" w14:paraId="61A50AEA" w14:textId="77777777">
        <w:tc>
          <w:tcPr>
            <w:tcW w:w="2321" w:type="dxa"/>
          </w:tcPr>
          <w:p w14:paraId="41F8D525" w14:textId="77777777" w:rsidR="00383748" w:rsidRPr="00276B41" w:rsidRDefault="00383748">
            <w:pPr>
              <w:pStyle w:val="TableText"/>
            </w:pPr>
            <w:r>
              <w:t>Addressing Extreme Heat in Schools</w:t>
            </w:r>
          </w:p>
        </w:tc>
        <w:tc>
          <w:tcPr>
            <w:tcW w:w="2117" w:type="dxa"/>
          </w:tcPr>
          <w:p w14:paraId="0215D712" w14:textId="77777777" w:rsidR="00383748" w:rsidRPr="00276B41" w:rsidRDefault="00383748">
            <w:pPr>
              <w:pStyle w:val="TableText"/>
            </w:pPr>
            <w:r>
              <w:t>MAPC</w:t>
            </w:r>
          </w:p>
        </w:tc>
        <w:tc>
          <w:tcPr>
            <w:tcW w:w="4912" w:type="dxa"/>
          </w:tcPr>
          <w:p w14:paraId="1AE86CDD" w14:textId="7304C5A8" w:rsidR="00383748" w:rsidRPr="00276B41" w:rsidRDefault="00383748">
            <w:pPr>
              <w:pStyle w:val="TableText"/>
            </w:pPr>
            <w:hyperlink r:id="rId352" w:history="1">
              <w:r w:rsidRPr="006E6C86">
                <w:rPr>
                  <w:rStyle w:val="Hyperlink"/>
                </w:rPr>
                <w:t>https://www.mapc.org/planning101/extreme-heat-air-quality-in-schools/</w:t>
              </w:r>
            </w:hyperlink>
          </w:p>
        </w:tc>
      </w:tr>
      <w:tr w:rsidR="00383748" w:rsidRPr="00276B41" w14:paraId="1B223621" w14:textId="77777777">
        <w:tc>
          <w:tcPr>
            <w:tcW w:w="2321" w:type="dxa"/>
          </w:tcPr>
          <w:p w14:paraId="13A09F6F" w14:textId="77777777" w:rsidR="00383748" w:rsidRDefault="00383748">
            <w:pPr>
              <w:pStyle w:val="TableText"/>
            </w:pPr>
            <w:r>
              <w:t>Extreme Heat Resource Guide</w:t>
            </w:r>
          </w:p>
        </w:tc>
        <w:tc>
          <w:tcPr>
            <w:tcW w:w="2117" w:type="dxa"/>
          </w:tcPr>
          <w:p w14:paraId="1411126F" w14:textId="77777777" w:rsidR="00383748" w:rsidRDefault="00383748">
            <w:pPr>
              <w:pStyle w:val="TableText"/>
            </w:pPr>
            <w:r>
              <w:t>DPH, BCEH</w:t>
            </w:r>
          </w:p>
        </w:tc>
        <w:tc>
          <w:tcPr>
            <w:tcW w:w="4912" w:type="dxa"/>
          </w:tcPr>
          <w:p w14:paraId="6DFCED22" w14:textId="6F95CF34" w:rsidR="00383748" w:rsidRPr="00F31697" w:rsidRDefault="00383748">
            <w:pPr>
              <w:pStyle w:val="TableText"/>
            </w:pPr>
            <w:hyperlink r:id="rId353" w:history="1">
              <w:r w:rsidRPr="006E6C86">
                <w:rPr>
                  <w:rStyle w:val="Hyperlink"/>
                </w:rPr>
                <w:t>https://www.mass.gov/doc/extreme-heat-resource-guide-pdf/download</w:t>
              </w:r>
            </w:hyperlink>
          </w:p>
        </w:tc>
      </w:tr>
    </w:tbl>
    <w:p w14:paraId="6D3149D0" w14:textId="0DA15F37" w:rsidR="00FD43CA" w:rsidRDefault="00FD43CA" w:rsidP="001C7888">
      <w:pPr>
        <w:pStyle w:val="Heading2"/>
      </w:pPr>
      <w:bookmarkStart w:id="621" w:name="SectVII_2d"/>
      <w:bookmarkStart w:id="622" w:name="_Toc193116936"/>
      <w:bookmarkEnd w:id="621"/>
      <w:r>
        <w:t>Objective 2</w:t>
      </w:r>
      <w:r w:rsidR="003269A3">
        <w:t>d</w:t>
      </w:r>
      <w:r>
        <w:t xml:space="preserve">. </w:t>
      </w:r>
      <w:r w:rsidR="003269A3">
        <w:t>U</w:t>
      </w:r>
      <w:r w:rsidR="00F73243">
        <w:t>s</w:t>
      </w:r>
      <w:r w:rsidR="003269A3">
        <w:t>e Integrated Pest Management</w:t>
      </w:r>
      <w:bookmarkEnd w:id="622"/>
    </w:p>
    <w:p w14:paraId="630DA30B" w14:textId="77777777" w:rsidR="006C5520" w:rsidRDefault="006C5520" w:rsidP="006C5520">
      <w:pPr>
        <w:pStyle w:val="Heading3"/>
      </w:pPr>
      <w:r>
        <w:t>Methods and Best Practices</w:t>
      </w:r>
    </w:p>
    <w:p w14:paraId="1D34D81B" w14:textId="464BCB77" w:rsidR="006C5520" w:rsidRPr="00851D1A" w:rsidRDefault="006C5520" w:rsidP="006D7DE6">
      <w:pPr>
        <w:pStyle w:val="BodyTextFirstIndent"/>
      </w:pPr>
      <w:r>
        <w:t>This section summarizes the methods and best practices for u</w:t>
      </w:r>
      <w:r w:rsidR="00F73243">
        <w:t>sing</w:t>
      </w:r>
      <w:r>
        <w:t xml:space="preserve"> integrated pest management in schools.</w:t>
      </w:r>
    </w:p>
    <w:p w14:paraId="0F5347FF" w14:textId="77777777" w:rsidR="006C5520" w:rsidRDefault="006C5520" w:rsidP="006C5520">
      <w:pPr>
        <w:pStyle w:val="Heading5"/>
      </w:pPr>
      <w:r>
        <w:t>(1) Create an IPM plan</w:t>
      </w:r>
    </w:p>
    <w:p w14:paraId="08FDC05B" w14:textId="77777777" w:rsidR="006C5520" w:rsidRDefault="006C5520" w:rsidP="006D7DE6">
      <w:pPr>
        <w:pStyle w:val="BodyTextFirstIndent"/>
      </w:pPr>
      <w:r>
        <w:t>The Massachusetts Pesticide Control Act requires schools to:</w:t>
      </w:r>
    </w:p>
    <w:p w14:paraId="09C917D0" w14:textId="77777777" w:rsidR="006C5520" w:rsidRPr="00576150" w:rsidRDefault="006C5520" w:rsidP="008131EB">
      <w:pPr>
        <w:pStyle w:val="ListBullet"/>
      </w:pPr>
      <w:r w:rsidRPr="00576150">
        <w:t xml:space="preserve">Adopt and implement an IPM plan </w:t>
      </w:r>
    </w:p>
    <w:p w14:paraId="02A3353F" w14:textId="77777777" w:rsidR="006C5520" w:rsidRPr="00576150" w:rsidRDefault="006C5520" w:rsidP="008131EB">
      <w:pPr>
        <w:pStyle w:val="ListBullet"/>
      </w:pPr>
      <w:r w:rsidRPr="00576150">
        <w:t>File a copy of the IPM plan with the state</w:t>
      </w:r>
    </w:p>
    <w:p w14:paraId="4A3E6B95" w14:textId="77777777" w:rsidR="006C5520" w:rsidRPr="00576150" w:rsidRDefault="006C5520" w:rsidP="008131EB">
      <w:pPr>
        <w:pStyle w:val="ListBullet"/>
      </w:pPr>
      <w:r w:rsidRPr="00576150">
        <w:t xml:space="preserve">Make a copy available to the public upon request </w:t>
      </w:r>
    </w:p>
    <w:p w14:paraId="57B207B9" w14:textId="77777777" w:rsidR="006C5520" w:rsidRPr="00576150" w:rsidRDefault="006C5520" w:rsidP="008131EB">
      <w:pPr>
        <w:pStyle w:val="ListBullet"/>
      </w:pPr>
      <w:r w:rsidRPr="00576150">
        <w:t xml:space="preserve">Review the plan annually </w:t>
      </w:r>
    </w:p>
    <w:p w14:paraId="63DF37D2" w14:textId="2B8C7A93" w:rsidR="006C5520" w:rsidRDefault="006C5520" w:rsidP="006D7DE6">
      <w:pPr>
        <w:pStyle w:val="BodyTextFirstIndent"/>
      </w:pPr>
      <w:r>
        <w:t xml:space="preserve">The Massachusetts Department of Agricultural Resources (MDAR) has produced a </w:t>
      </w:r>
      <w:hyperlink r:id="rId354" w:history="1">
        <w:r w:rsidRPr="00F42982">
          <w:rPr>
            <w:rStyle w:val="Hyperlink"/>
          </w:rPr>
          <w:t>model IPM plan</w:t>
        </w:r>
      </w:hyperlink>
      <w:r>
        <w:t xml:space="preserve"> that schools may adopt. School IPM plans must contain the following:</w:t>
      </w:r>
    </w:p>
    <w:p w14:paraId="056D578C" w14:textId="77777777" w:rsidR="006C5520" w:rsidRDefault="006C5520" w:rsidP="008131EB">
      <w:pPr>
        <w:pStyle w:val="ListBullet"/>
      </w:pPr>
      <w:r>
        <w:t xml:space="preserve">Description of the school’s IPM communication and training programs for staff </w:t>
      </w:r>
    </w:p>
    <w:p w14:paraId="4EC44AAF" w14:textId="77777777" w:rsidR="006C5520" w:rsidRDefault="006C5520" w:rsidP="008131EB">
      <w:pPr>
        <w:pStyle w:val="ListBullet"/>
      </w:pPr>
      <w:r>
        <w:t xml:space="preserve">List of pesticides to be used </w:t>
      </w:r>
    </w:p>
    <w:p w14:paraId="5B71F796" w14:textId="77777777" w:rsidR="006C5520" w:rsidRDefault="006C5520" w:rsidP="008131EB">
      <w:pPr>
        <w:pStyle w:val="ListBullet"/>
      </w:pPr>
      <w:r>
        <w:t xml:space="preserve">List of non-pesticide control techniques and preventative methods to be used </w:t>
      </w:r>
    </w:p>
    <w:p w14:paraId="3E34116E" w14:textId="77777777" w:rsidR="006C5520" w:rsidRDefault="006C5520" w:rsidP="008131EB">
      <w:pPr>
        <w:pStyle w:val="ListBullet"/>
      </w:pPr>
      <w:r>
        <w:t>School location where the IPM plans and records are available for viewing</w:t>
      </w:r>
    </w:p>
    <w:p w14:paraId="6E8D7DED" w14:textId="77777777" w:rsidR="006C5520" w:rsidRPr="00317BD3" w:rsidRDefault="006C5520" w:rsidP="006D7DE6">
      <w:pPr>
        <w:pStyle w:val="BodyTextFirstIndent"/>
      </w:pPr>
      <w:r>
        <w:t>Schools are encouraged to further define routine service schedules and pest thresholds for which advanced action is taken.</w:t>
      </w:r>
    </w:p>
    <w:p w14:paraId="092B6E62" w14:textId="77777777" w:rsidR="00133A94" w:rsidRDefault="00133A94">
      <w:pPr>
        <w:rPr>
          <w:rFonts w:ascii="Arial" w:hAnsi="Arial"/>
          <w:b/>
          <w:i/>
          <w:color w:val="1F497D"/>
          <w:sz w:val="24"/>
        </w:rPr>
      </w:pPr>
      <w:r>
        <w:br w:type="page"/>
      </w:r>
    </w:p>
    <w:p w14:paraId="4524EC8D" w14:textId="6BED498C" w:rsidR="006C5520" w:rsidRDefault="006C5520" w:rsidP="006C5520">
      <w:pPr>
        <w:pStyle w:val="Heading5"/>
      </w:pPr>
      <w:r>
        <w:lastRenderedPageBreak/>
        <w:t>(2) Perform routine and proactive pest service</w:t>
      </w:r>
    </w:p>
    <w:p w14:paraId="3493B604" w14:textId="77777777" w:rsidR="006C5520" w:rsidRDefault="006C5520" w:rsidP="006D7DE6">
      <w:pPr>
        <w:pStyle w:val="BodyTextFirstIndent"/>
      </w:pPr>
      <w:r>
        <w:t>A certified pest professional should proactively service all school spaces regularly. Schools may elect to hire an in-house technician or contract with a pest management company that practices IPM. At a minimum, the technician should:</w:t>
      </w:r>
    </w:p>
    <w:p w14:paraId="21BA744C" w14:textId="70C5B0D3" w:rsidR="006C5520" w:rsidRDefault="006C5520" w:rsidP="006D7DE6">
      <w:pPr>
        <w:pStyle w:val="BodyTextFirstIndent"/>
        <w:numPr>
          <w:ilvl w:val="0"/>
          <w:numId w:val="16"/>
        </w:numPr>
      </w:pPr>
      <w:r>
        <w:t>Report their pesticide applicator certification number</w:t>
      </w:r>
    </w:p>
    <w:p w14:paraId="090C4DF9" w14:textId="11D0BFE6" w:rsidR="006C5520" w:rsidRDefault="006C5520" w:rsidP="006D7DE6">
      <w:pPr>
        <w:pStyle w:val="BodyTextFirstIndent"/>
        <w:numPr>
          <w:ilvl w:val="0"/>
          <w:numId w:val="16"/>
        </w:numPr>
      </w:pPr>
      <w:r>
        <w:t>Inspect for pest activity</w:t>
      </w:r>
    </w:p>
    <w:p w14:paraId="3817EC13" w14:textId="43AEB314" w:rsidR="006C5520" w:rsidRDefault="006C5520" w:rsidP="006D7DE6">
      <w:pPr>
        <w:pStyle w:val="BodyTextFirstIndent"/>
        <w:numPr>
          <w:ilvl w:val="0"/>
          <w:numId w:val="16"/>
        </w:numPr>
      </w:pPr>
      <w:r>
        <w:t>Inspect for structural, sanitation, or clutter concerns</w:t>
      </w:r>
    </w:p>
    <w:p w14:paraId="08C86B99" w14:textId="27560506" w:rsidR="006C5520" w:rsidRDefault="006C5520" w:rsidP="006D7DE6">
      <w:pPr>
        <w:pStyle w:val="BodyTextFirstIndent"/>
        <w:numPr>
          <w:ilvl w:val="0"/>
          <w:numId w:val="16"/>
        </w:numPr>
      </w:pPr>
      <w:r>
        <w:t>Place, remove, and replace traps, bait stations, and insect monitors; all should be dated</w:t>
      </w:r>
    </w:p>
    <w:p w14:paraId="0BD48621" w14:textId="325694E6" w:rsidR="006C5520" w:rsidRDefault="006C5520" w:rsidP="006D7DE6">
      <w:pPr>
        <w:pStyle w:val="BodyTextFirstIndent"/>
        <w:numPr>
          <w:ilvl w:val="0"/>
          <w:numId w:val="16"/>
        </w:numPr>
      </w:pPr>
      <w:r>
        <w:t>Record the quantity, percent active ingredient, and trade name of any toxicant applied, and the weather conditions (if outdoors)</w:t>
      </w:r>
    </w:p>
    <w:p w14:paraId="732A66A5" w14:textId="6153697A" w:rsidR="006C5520" w:rsidRDefault="006C5520" w:rsidP="008131EB">
      <w:pPr>
        <w:pStyle w:val="ListBullet"/>
      </w:pPr>
      <w:r>
        <w:t>Inquire with building occupants about any pest concerns</w:t>
      </w:r>
    </w:p>
    <w:p w14:paraId="3CB0ACCC" w14:textId="5DEA527E" w:rsidR="006C5520" w:rsidRDefault="006C5520" w:rsidP="008131EB">
      <w:pPr>
        <w:pStyle w:val="ListBullet"/>
      </w:pPr>
      <w:r>
        <w:t>Provide recommendations for resolving pest concerns</w:t>
      </w:r>
    </w:p>
    <w:p w14:paraId="60E1D477" w14:textId="02B3E308" w:rsidR="006C5520" w:rsidRPr="00807F35" w:rsidRDefault="006C5520" w:rsidP="006D7DE6">
      <w:pPr>
        <w:pStyle w:val="BodyTextFirstIndent"/>
      </w:pPr>
      <w:r>
        <w:t>Any actions taken above should be recorded in a central data repository that is available to both the pest professional and administrative decision</w:t>
      </w:r>
      <w:r w:rsidR="00732E58">
        <w:t xml:space="preserve"> </w:t>
      </w:r>
      <w:r>
        <w:t xml:space="preserve">makers. It is critical that the </w:t>
      </w:r>
      <w:r w:rsidRPr="0037393A">
        <w:rPr>
          <w:b/>
        </w:rPr>
        <w:t>time</w:t>
      </w:r>
      <w:r>
        <w:t xml:space="preserve"> and </w:t>
      </w:r>
      <w:r w:rsidRPr="0037393A">
        <w:rPr>
          <w:b/>
        </w:rPr>
        <w:t>locations</w:t>
      </w:r>
      <w:r>
        <w:t xml:space="preserve"> for all observations are recorded so that problem areas can be identified at a later date. If a problem is identified during routine service, the technician should regularly service the space at an enhanced frequency until resolution. If the school has capacity, annual quality insurance inspections should be conducted to </w:t>
      </w:r>
      <w:r w:rsidR="00647768">
        <w:t>check</w:t>
      </w:r>
      <w:r>
        <w:t xml:space="preserve"> the quality of the pest technician’s work. </w:t>
      </w:r>
    </w:p>
    <w:p w14:paraId="52A0C893" w14:textId="77777777" w:rsidR="006C5520" w:rsidRDefault="006C5520" w:rsidP="006D7DE6">
      <w:pPr>
        <w:pStyle w:val="BodyTextFirstIndent"/>
      </w:pPr>
      <w:r>
        <w:t xml:space="preserve">The frequency of routine service should vary by space in accordance with the risks associated with each space. For instance, cafeterias should be serviced more frequently than administrative offices. Foodservice and childcare spaces are typically monitored at least weekly or biweekly, while office-like spaces are monitored quarterly or biannually. All spaces should be serviced by a technician at least twice a year. </w:t>
      </w:r>
    </w:p>
    <w:p w14:paraId="7D3B8617" w14:textId="77777777" w:rsidR="006C5520" w:rsidRDefault="006C5520" w:rsidP="006C5520">
      <w:pPr>
        <w:pStyle w:val="Heading5"/>
      </w:pPr>
      <w:r>
        <w:t xml:space="preserve">(3) </w:t>
      </w:r>
      <w:r w:rsidRPr="003B148F">
        <w:t>Field pest complaints from building occupants</w:t>
      </w:r>
    </w:p>
    <w:p w14:paraId="6F9426A0" w14:textId="77777777" w:rsidR="006C5520" w:rsidRPr="00840ECE" w:rsidRDefault="006C5520" w:rsidP="006D7DE6">
      <w:pPr>
        <w:pStyle w:val="BodyTextFirstIndent"/>
      </w:pPr>
      <w:r>
        <w:t>Staff and students should be able to report any sighted pest activity to a central point of contact or reporting platform. A complete pest service request contains the reporter’s email, date and time of request, general type of pest or conducive condition observed, and a detailed location description. These details should be provided to the pest professional conducting routine pest service so that the technician can address the reported issue during their next scheduled visit, or if needed, during a sooner non-routine visit. The reporter should be notified that their complaint has been received and what action was taken to resolve their concern.</w:t>
      </w:r>
    </w:p>
    <w:p w14:paraId="69D5FFA8" w14:textId="77777777" w:rsidR="00133A94" w:rsidRDefault="00133A94">
      <w:pPr>
        <w:rPr>
          <w:rFonts w:ascii="Arial" w:hAnsi="Arial"/>
          <w:b/>
          <w:i/>
          <w:color w:val="1F497D"/>
          <w:sz w:val="24"/>
        </w:rPr>
      </w:pPr>
      <w:r>
        <w:br w:type="page"/>
      </w:r>
    </w:p>
    <w:p w14:paraId="219AB526" w14:textId="3E1940C1" w:rsidR="006C5520" w:rsidRDefault="006C5520" w:rsidP="006C5520">
      <w:pPr>
        <w:pStyle w:val="Heading5"/>
      </w:pPr>
      <w:r>
        <w:lastRenderedPageBreak/>
        <w:t>(4) Physically exclude pests</w:t>
      </w:r>
    </w:p>
    <w:p w14:paraId="4724315F" w14:textId="77777777" w:rsidR="006C5520" w:rsidRDefault="006C5520" w:rsidP="006D7DE6">
      <w:pPr>
        <w:pStyle w:val="BodyTextFirstIndent"/>
      </w:pPr>
      <w:r>
        <w:t>Preventing pests from entering facilities is the most effective way to reduce the need for chemical pesticide use in buildings. Physically exclude pests via the following methods:</w:t>
      </w:r>
    </w:p>
    <w:p w14:paraId="5286D6B0" w14:textId="77777777" w:rsidR="006C5520" w:rsidRPr="00391363" w:rsidRDefault="006C5520" w:rsidP="008131EB">
      <w:pPr>
        <w:pStyle w:val="ListBullet"/>
      </w:pPr>
      <w:r w:rsidRPr="00391363">
        <w:t>Seal utility entry points, cracks</w:t>
      </w:r>
      <w:r>
        <w:t>,</w:t>
      </w:r>
      <w:r w:rsidRPr="00391363">
        <w:t xml:space="preserve"> and gaps in foundations, walls, </w:t>
      </w:r>
      <w:r>
        <w:t xml:space="preserve">and </w:t>
      </w:r>
      <w:r w:rsidRPr="00391363">
        <w:t>around windows. For larger openings, insert steel wool or mesh before sealing with caulk or foam.</w:t>
      </w:r>
    </w:p>
    <w:p w14:paraId="19E6FB3A" w14:textId="062EF9BD" w:rsidR="006C5520" w:rsidRPr="00391363" w:rsidRDefault="00093A85" w:rsidP="008131EB">
      <w:pPr>
        <w:pStyle w:val="ListBullet"/>
      </w:pPr>
      <w:r>
        <w:t>Check that</w:t>
      </w:r>
      <w:r w:rsidR="006C5520" w:rsidRPr="00391363">
        <w:t xml:space="preserve"> windows and doors close completely.</w:t>
      </w:r>
    </w:p>
    <w:p w14:paraId="4D409904" w14:textId="77777777" w:rsidR="006C5520" w:rsidRPr="00391363" w:rsidRDefault="006C5520" w:rsidP="008131EB">
      <w:pPr>
        <w:pStyle w:val="ListBullet"/>
      </w:pPr>
      <w:r w:rsidRPr="00391363">
        <w:t xml:space="preserve">Install door sweeps on exterior doors. The housing and sweep should be cut on the “inside hinged” edge of the door and </w:t>
      </w:r>
      <w:r w:rsidRPr="00B123EB">
        <w:rPr>
          <w:b/>
          <w:bCs/>
        </w:rPr>
        <w:t>not</w:t>
      </w:r>
      <w:r w:rsidRPr="00391363">
        <w:t xml:space="preserve"> the outer edge of the door.</w:t>
      </w:r>
    </w:p>
    <w:p w14:paraId="423B0A17" w14:textId="77777777" w:rsidR="006C5520" w:rsidRPr="00391363" w:rsidRDefault="006C5520" w:rsidP="008131EB">
      <w:pPr>
        <w:pStyle w:val="ListBullet"/>
      </w:pPr>
      <w:r w:rsidRPr="00391363">
        <w:t>Install weep covers over window weep holes.</w:t>
      </w:r>
    </w:p>
    <w:p w14:paraId="6DFEF3D0" w14:textId="77777777" w:rsidR="006C5520" w:rsidRPr="00391363" w:rsidRDefault="006C5520" w:rsidP="008131EB">
      <w:pPr>
        <w:pStyle w:val="ListBullet"/>
      </w:pPr>
      <w:r w:rsidRPr="00391363">
        <w:t>Install screens in windows.</w:t>
      </w:r>
    </w:p>
    <w:p w14:paraId="68DC5C22" w14:textId="77777777" w:rsidR="006C5520" w:rsidRPr="00391363" w:rsidRDefault="006C5520" w:rsidP="008131EB">
      <w:pPr>
        <w:pStyle w:val="ListBullet"/>
      </w:pPr>
      <w:r w:rsidRPr="00391363">
        <w:t>Trim vegetation s</w:t>
      </w:r>
      <w:r>
        <w:t>o</w:t>
      </w:r>
      <w:r w:rsidRPr="00391363">
        <w:t xml:space="preserve"> that it does not touch building exteriors (</w:t>
      </w:r>
      <w:r>
        <w:t xml:space="preserve">vegetation should be </w:t>
      </w:r>
      <w:r w:rsidRPr="00391363">
        <w:t>3 to 6 feet away</w:t>
      </w:r>
      <w:r>
        <w:t xml:space="preserve"> from the building foundation</w:t>
      </w:r>
      <w:r w:rsidRPr="00391363">
        <w:t>).</w:t>
      </w:r>
    </w:p>
    <w:p w14:paraId="68C78201" w14:textId="77777777" w:rsidR="006C5520" w:rsidRDefault="006C5520" w:rsidP="006D7DE6">
      <w:pPr>
        <w:pStyle w:val="BodyTextFirstIndent"/>
        <w:rPr>
          <w:color w:val="000000"/>
          <w:sz w:val="20"/>
          <w:szCs w:val="20"/>
        </w:rPr>
      </w:pPr>
      <w:r>
        <w:t>While school maintenance teams may perform these exclusions, it is recommended that a trained pest professional performs pest exclusion.</w:t>
      </w:r>
    </w:p>
    <w:p w14:paraId="48D351A8" w14:textId="77777777" w:rsidR="006C5520" w:rsidRDefault="006C5520" w:rsidP="006C5520">
      <w:pPr>
        <w:pStyle w:val="Heading5"/>
      </w:pPr>
      <w:r>
        <w:t xml:space="preserve">(5) </w:t>
      </w:r>
      <w:r w:rsidRPr="00BA0B38">
        <w:t xml:space="preserve">Perform pest sealing before </w:t>
      </w:r>
      <w:r>
        <w:t>final acceptance of</w:t>
      </w:r>
      <w:r w:rsidRPr="00BA0B38">
        <w:t xml:space="preserve"> new construction</w:t>
      </w:r>
      <w:r>
        <w:t xml:space="preserve"> projects</w:t>
      </w:r>
    </w:p>
    <w:p w14:paraId="6DF06615" w14:textId="77777777" w:rsidR="006C5520" w:rsidRDefault="006C5520" w:rsidP="006D7DE6">
      <w:pPr>
        <w:pStyle w:val="BodyTextFirstIndent"/>
        <w:rPr>
          <w:color w:val="000000"/>
          <w:sz w:val="20"/>
          <w:szCs w:val="20"/>
        </w:rPr>
      </w:pPr>
      <w:r>
        <w:t>Structural pests, such as rodents and certain insects, can migrate along utility and plumbing lines within building interiors. Before a new construction project is completed, a trained pest professional should perform pest sealing within building interiors to significantly reduce opportunities for pest mobility in buildings.</w:t>
      </w:r>
    </w:p>
    <w:p w14:paraId="3A891B7B" w14:textId="77777777" w:rsidR="006C5520" w:rsidRDefault="006C5520" w:rsidP="006C5520">
      <w:pPr>
        <w:pStyle w:val="Heading5"/>
      </w:pPr>
      <w:r>
        <w:t xml:space="preserve">(6) </w:t>
      </w:r>
      <w:r w:rsidRPr="00BA0B38">
        <w:t>Conduct pest-preventative repairs</w:t>
      </w:r>
    </w:p>
    <w:p w14:paraId="38F00E3B" w14:textId="77777777" w:rsidR="006C5520" w:rsidRDefault="006C5520" w:rsidP="006D7DE6">
      <w:pPr>
        <w:pStyle w:val="BodyTextFirstIndent"/>
      </w:pPr>
      <w:r>
        <w:t>Pest-preventative repairs should be implemented to address structural issues leading to pest proliferation. A trained pest professional may perform these repairs or in-house maintenance staff can be trained to do them. Below is guidance for common pest-preventative repairs:</w:t>
      </w:r>
    </w:p>
    <w:p w14:paraId="6C5ED163" w14:textId="2968AFCB" w:rsidR="006C5520" w:rsidRDefault="006C5520" w:rsidP="008131EB">
      <w:pPr>
        <w:pStyle w:val="ListBullet"/>
      </w:pPr>
      <w:r w:rsidRPr="62E2E3B4">
        <w:rPr>
          <w:b/>
          <w:bCs/>
        </w:rPr>
        <w:t>Clean Drains:</w:t>
      </w:r>
      <w:r>
        <w:t xml:space="preserve"> Regularly clean drains to prevent the buildup of organic matter that can attract pests like flies and cockroaches. Inspect drains for the presence of standing water since drain water within otherwise “dry” areas (e.g., bathroom floor drains, mechanical room floor drains) may evaporate from the respective drain trap, creating an “open line” for sewer-dwelling pests such as American cockroaches, drain flies, phorid flies and other pests to emerge. If there is standing water present, and the drain sees a high volume of organic matter (such as shower drains in locker rooms or within food service areas), carefully remove drain covers, apply Biozyme enzymatic drain cleaner (or similar foaming drain cleaner) and scrub the inner walls of the drain to remove organic matter physically. Simply pouring hot water, bleach, or a foaming agent will not eliminate breeding sites. Mechanical organic matter removal is the only way to eliminate </w:t>
      </w:r>
      <w:r>
        <w:lastRenderedPageBreak/>
        <w:t xml:space="preserve">these breeding sites. Electric rotary brushes may also be used; stiff nylon bristles are preferred over steel bristles since the latter may damage older pipe walls. </w:t>
      </w:r>
    </w:p>
    <w:p w14:paraId="0C93A8A5" w14:textId="2B9335EF" w:rsidR="006C5520" w:rsidRDefault="006C5520" w:rsidP="008131EB">
      <w:pPr>
        <w:pStyle w:val="ListBullet"/>
      </w:pPr>
      <w:r w:rsidRPr="000F69E0">
        <w:rPr>
          <w:b/>
        </w:rPr>
        <w:t>Repair Water Leaks:</w:t>
      </w:r>
      <w:r>
        <w:t xml:space="preserve"> Fix leaks promptly to eliminate a water source that attracts pests and creates conducive conditions for mold. Standing water (even within the confines of a building) may invite mosquito breeding in as little as four days.  </w:t>
      </w:r>
    </w:p>
    <w:p w14:paraId="17B98827" w14:textId="0CD9A12B" w:rsidR="006C5520" w:rsidRDefault="006C5520" w:rsidP="008131EB">
      <w:pPr>
        <w:pStyle w:val="ListBullet"/>
      </w:pPr>
      <w:r w:rsidRPr="000F69E0">
        <w:rPr>
          <w:b/>
        </w:rPr>
        <w:t>Manag</w:t>
      </w:r>
      <w:r w:rsidR="002A598E">
        <w:rPr>
          <w:b/>
        </w:rPr>
        <w:t>e</w:t>
      </w:r>
      <w:r w:rsidRPr="000F69E0">
        <w:rPr>
          <w:b/>
        </w:rPr>
        <w:t xml:space="preserve"> Garbage Disposals:</w:t>
      </w:r>
      <w:r>
        <w:t xml:space="preserve"> Maintain and clean garbage disposals regularly to reduce odors and potential food sources for pests. In the event of a non-functioning or broken garbage disposal, it should be removed and replaced since organic matter collection will invite filth fly breeding. If a fly infestation occurs</w:t>
      </w:r>
      <w:r w:rsidDel="00270068">
        <w:t xml:space="preserve"> </w:t>
      </w:r>
      <w:r>
        <w:t>in a fully functioning disposal, the discharge line (from disposal to plumbing trap) as well as plumbing p-trap should be removed and brushed out to eliminate organic matter buildup and subsequent fly breeding sites. Biozyme enzymatic drain cleaner (or similar drain cleaner) may also be applied to make scrubbing easier.</w:t>
      </w:r>
    </w:p>
    <w:p w14:paraId="43A8FB36" w14:textId="7253FAF7" w:rsidR="006C5520" w:rsidRPr="00A81B72" w:rsidRDefault="006C5520" w:rsidP="008131EB">
      <w:pPr>
        <w:pStyle w:val="ListBullet"/>
        <w:rPr>
          <w:rFonts w:asciiTheme="minorHAnsi" w:hAnsiTheme="minorHAnsi"/>
          <w:sz w:val="22"/>
        </w:rPr>
      </w:pPr>
      <w:r w:rsidRPr="000F69E0">
        <w:rPr>
          <w:b/>
        </w:rPr>
        <w:t>Install Door Sweeps:</w:t>
      </w:r>
      <w:r>
        <w:t xml:space="preserve"> Properly install door sweeps to seal gaps at the bottom of doors, preventing entry for pests such as rodents and insects. Door sweeps should be bristled with aluminum housing and cut to allow for a 1/8” reveal on each side of the bristle sweep. Cut the housing and sweep on the “inside hinged” edge of the door and </w:t>
      </w:r>
      <w:r w:rsidRPr="00F639BB">
        <w:rPr>
          <w:b/>
          <w:bCs/>
        </w:rPr>
        <w:t>not</w:t>
      </w:r>
      <w:r>
        <w:t xml:space="preserve"> the outer edge of the door. This practice will reduce cut hazards by mitigating sharp edges on the outermost edge of the door that may contact open-toed shoes of building occupants. </w:t>
      </w:r>
    </w:p>
    <w:p w14:paraId="44BA258D" w14:textId="77777777" w:rsidR="006C5520" w:rsidRDefault="006C5520" w:rsidP="006C5520">
      <w:pPr>
        <w:pStyle w:val="Heading5"/>
      </w:pPr>
      <w:r>
        <w:t>(7) Inspect buildings</w:t>
      </w:r>
      <w:r w:rsidRPr="00BA0B38">
        <w:t xml:space="preserve"> for </w:t>
      </w:r>
      <w:r>
        <w:t>c</w:t>
      </w:r>
      <w:r w:rsidRPr="00BA0B38">
        <w:t xml:space="preserve">onducive </w:t>
      </w:r>
      <w:r>
        <w:t>c</w:t>
      </w:r>
      <w:r w:rsidRPr="00BA0B38">
        <w:t>onditions</w:t>
      </w:r>
    </w:p>
    <w:p w14:paraId="343F7162" w14:textId="7672F576" w:rsidR="006C5520" w:rsidRDefault="00EB0286" w:rsidP="006D7DE6">
      <w:pPr>
        <w:pStyle w:val="BodyTextFirstIndent"/>
      </w:pPr>
      <w:r>
        <w:t>It is crucial to c</w:t>
      </w:r>
      <w:r w:rsidR="006C5520" w:rsidRPr="00936431">
        <w:t>onduct annual, if not more frequent, building inspections for early detection and prevention of pest infestations. Additional inspections may be warranted throughout the year if significant changes to a building are expected to occur (e.g., façade renovation). Inspectors must keep detailed records of inspection findings, noting signs of pests, conducive conditions</w:t>
      </w:r>
      <w:r w:rsidR="006C5520">
        <w:t>,</w:t>
      </w:r>
      <w:r w:rsidR="006C5520" w:rsidRPr="00936431">
        <w:t xml:space="preserve"> or structural issues. Inspection may be conducted by a certified pest professional or facility manager. </w:t>
      </w:r>
      <w:r w:rsidR="006C5520" w:rsidRPr="0044457A">
        <w:t xml:space="preserve">At a minimum, the inspection should include the elements outlined in </w:t>
      </w:r>
      <w:r w:rsidR="006C5520" w:rsidRPr="0044457A">
        <w:fldChar w:fldCharType="begin"/>
      </w:r>
      <w:r w:rsidR="006C5520" w:rsidRPr="0044457A">
        <w:instrText xml:space="preserve"> REF _Ref173855349 \h </w:instrText>
      </w:r>
      <w:r w:rsidR="006C5520">
        <w:instrText xml:space="preserve"> \* MERGEFORMAT </w:instrText>
      </w:r>
      <w:r w:rsidR="006C5520" w:rsidRPr="0044457A">
        <w:fldChar w:fldCharType="separate"/>
      </w:r>
      <w:r w:rsidR="00307850">
        <w:t xml:space="preserve">Table </w:t>
      </w:r>
      <w:r w:rsidR="00307850">
        <w:rPr>
          <w:noProof/>
        </w:rPr>
        <w:t>78</w:t>
      </w:r>
      <w:r w:rsidR="006C5520" w:rsidRPr="0044457A">
        <w:fldChar w:fldCharType="end"/>
      </w:r>
      <w:r w:rsidR="006C5520" w:rsidRPr="0044457A">
        <w:t>:</w:t>
      </w:r>
    </w:p>
    <w:p w14:paraId="00ED8A4E" w14:textId="11B4D685" w:rsidR="006C5520" w:rsidRDefault="006C5520" w:rsidP="00B30C96">
      <w:pPr>
        <w:pStyle w:val="Caption"/>
      </w:pPr>
      <w:bookmarkStart w:id="623" w:name="_Ref173855349"/>
      <w:bookmarkStart w:id="624" w:name="_Toc192711744"/>
      <w:bookmarkStart w:id="625" w:name="_Toc193112626"/>
      <w:bookmarkStart w:id="626" w:name="_Toc193117025"/>
      <w:r>
        <w:t xml:space="preserve">Table </w:t>
      </w:r>
      <w:fldSimple w:instr=" SEQ Table \* ARABIC ">
        <w:r w:rsidR="00307850">
          <w:rPr>
            <w:noProof/>
          </w:rPr>
          <w:t>78</w:t>
        </w:r>
      </w:fldSimple>
      <w:bookmarkEnd w:id="623"/>
      <w:r>
        <w:t>. Recommended Elements of a Pest Inspection</w:t>
      </w:r>
      <w:bookmarkEnd w:id="624"/>
      <w:bookmarkEnd w:id="625"/>
      <w:bookmarkEnd w:id="626"/>
    </w:p>
    <w:tbl>
      <w:tblPr>
        <w:tblStyle w:val="TableGrid"/>
        <w:tblW w:w="5000" w:type="pct"/>
        <w:tblLook w:val="04A0" w:firstRow="1" w:lastRow="0" w:firstColumn="1" w:lastColumn="0" w:noHBand="0" w:noVBand="1"/>
        <w:tblDescription w:val="Table outlining steps to take during a preventative pest inspection at various locations."/>
      </w:tblPr>
      <w:tblGrid>
        <w:gridCol w:w="3504"/>
        <w:gridCol w:w="5846"/>
      </w:tblGrid>
      <w:tr w:rsidR="006C5520" w14:paraId="2D31BE76" w14:textId="77777777">
        <w:trPr>
          <w:tblHeader/>
        </w:trPr>
        <w:tc>
          <w:tcPr>
            <w:tcW w:w="1874" w:type="pct"/>
            <w:shd w:val="clear" w:color="auto" w:fill="C6D9F1" w:themeFill="text2" w:themeFillTint="33"/>
          </w:tcPr>
          <w:p w14:paraId="33DF93AD" w14:textId="77777777" w:rsidR="006C5520" w:rsidRDefault="006C5520">
            <w:pPr>
              <w:pStyle w:val="TableColumnHeader"/>
            </w:pPr>
            <w:r>
              <w:t>Component</w:t>
            </w:r>
          </w:p>
        </w:tc>
        <w:tc>
          <w:tcPr>
            <w:tcW w:w="3126" w:type="pct"/>
            <w:shd w:val="clear" w:color="auto" w:fill="C6D9F1" w:themeFill="text2" w:themeFillTint="33"/>
          </w:tcPr>
          <w:p w14:paraId="23311650" w14:textId="77777777" w:rsidR="006C5520" w:rsidRDefault="006C5520">
            <w:pPr>
              <w:pStyle w:val="TableColumnHeader"/>
            </w:pPr>
            <w:r>
              <w:t>Recommended Action</w:t>
            </w:r>
          </w:p>
        </w:tc>
      </w:tr>
      <w:tr w:rsidR="006C5520" w14:paraId="741B5EFD" w14:textId="77777777">
        <w:tc>
          <w:tcPr>
            <w:tcW w:w="5000" w:type="pct"/>
            <w:gridSpan w:val="2"/>
            <w:shd w:val="clear" w:color="auto" w:fill="002060"/>
          </w:tcPr>
          <w:p w14:paraId="68648A52" w14:textId="77777777" w:rsidR="006C5520" w:rsidRDefault="006C5520">
            <w:pPr>
              <w:pStyle w:val="TableRowHeader"/>
            </w:pPr>
            <w:r>
              <w:t>Exterior Inspection</w:t>
            </w:r>
          </w:p>
        </w:tc>
      </w:tr>
      <w:tr w:rsidR="006C5520" w14:paraId="3E18F72D" w14:textId="77777777">
        <w:tc>
          <w:tcPr>
            <w:tcW w:w="1874" w:type="pct"/>
          </w:tcPr>
          <w:p w14:paraId="59180758" w14:textId="77777777" w:rsidR="006C5520" w:rsidRDefault="006C5520">
            <w:pPr>
              <w:pStyle w:val="TableText"/>
            </w:pPr>
            <w:r>
              <w:t>Building perimeter</w:t>
            </w:r>
          </w:p>
        </w:tc>
        <w:tc>
          <w:tcPr>
            <w:tcW w:w="3126" w:type="pct"/>
          </w:tcPr>
          <w:p w14:paraId="09DEA97E" w14:textId="77777777" w:rsidR="006C5520" w:rsidRDefault="006C5520">
            <w:pPr>
              <w:pStyle w:val="TableText"/>
            </w:pPr>
            <w:r w:rsidRPr="007227F5">
              <w:t>Check for cracks and gaps in the foundation, walls, and around windows and doors</w:t>
            </w:r>
          </w:p>
        </w:tc>
      </w:tr>
      <w:tr w:rsidR="006C5520" w14:paraId="4BB34689" w14:textId="77777777">
        <w:tc>
          <w:tcPr>
            <w:tcW w:w="1874" w:type="pct"/>
          </w:tcPr>
          <w:p w14:paraId="5ECF6039" w14:textId="77777777" w:rsidR="006C5520" w:rsidRDefault="006C5520">
            <w:pPr>
              <w:pStyle w:val="TableText"/>
            </w:pPr>
            <w:r>
              <w:t>Building perimeter</w:t>
            </w:r>
          </w:p>
        </w:tc>
        <w:tc>
          <w:tcPr>
            <w:tcW w:w="3126" w:type="pct"/>
          </w:tcPr>
          <w:p w14:paraId="54AB539B" w14:textId="77777777" w:rsidR="006C5520" w:rsidRDefault="006C5520">
            <w:pPr>
              <w:pStyle w:val="TableText"/>
            </w:pPr>
            <w:r w:rsidRPr="007227F5">
              <w:t>Ensure proper sealing of utility entry points</w:t>
            </w:r>
          </w:p>
        </w:tc>
      </w:tr>
      <w:tr w:rsidR="006C5520" w14:paraId="5484B229" w14:textId="77777777">
        <w:tc>
          <w:tcPr>
            <w:tcW w:w="1874" w:type="pct"/>
          </w:tcPr>
          <w:p w14:paraId="37A5DED2" w14:textId="77777777" w:rsidR="006C5520" w:rsidRDefault="006C5520">
            <w:pPr>
              <w:pStyle w:val="TableText"/>
            </w:pPr>
            <w:r>
              <w:t>Landscaping</w:t>
            </w:r>
          </w:p>
        </w:tc>
        <w:tc>
          <w:tcPr>
            <w:tcW w:w="3126" w:type="pct"/>
          </w:tcPr>
          <w:p w14:paraId="7161EB16" w14:textId="77777777" w:rsidR="006C5520" w:rsidRDefault="006C5520">
            <w:pPr>
              <w:pStyle w:val="TableText"/>
            </w:pPr>
            <w:r w:rsidRPr="007227F5">
              <w:t>Check for overgrown vegetation touching the building</w:t>
            </w:r>
          </w:p>
        </w:tc>
      </w:tr>
      <w:tr w:rsidR="006C5520" w14:paraId="4772C670" w14:textId="77777777">
        <w:tc>
          <w:tcPr>
            <w:tcW w:w="1874" w:type="pct"/>
          </w:tcPr>
          <w:p w14:paraId="01B3C2D0" w14:textId="77777777" w:rsidR="006C5520" w:rsidRDefault="006C5520">
            <w:pPr>
              <w:pStyle w:val="TableText"/>
            </w:pPr>
            <w:r>
              <w:t>Landscaping</w:t>
            </w:r>
          </w:p>
        </w:tc>
        <w:tc>
          <w:tcPr>
            <w:tcW w:w="3126" w:type="pct"/>
          </w:tcPr>
          <w:p w14:paraId="684558F6" w14:textId="77777777" w:rsidR="006C5520" w:rsidRDefault="006C5520">
            <w:pPr>
              <w:pStyle w:val="TableText"/>
            </w:pPr>
            <w:r w:rsidRPr="007227F5">
              <w:t>Check for proper grading and drainage to prevent water accumulation</w:t>
            </w:r>
          </w:p>
        </w:tc>
      </w:tr>
      <w:tr w:rsidR="006C5520" w14:paraId="75D52AEC" w14:textId="77777777">
        <w:tc>
          <w:tcPr>
            <w:tcW w:w="1874" w:type="pct"/>
          </w:tcPr>
          <w:p w14:paraId="193384D7" w14:textId="77777777" w:rsidR="006C5520" w:rsidRDefault="006C5520">
            <w:pPr>
              <w:pStyle w:val="TableText"/>
            </w:pPr>
            <w:r>
              <w:t>Waste management</w:t>
            </w:r>
          </w:p>
        </w:tc>
        <w:tc>
          <w:tcPr>
            <w:tcW w:w="3126" w:type="pct"/>
          </w:tcPr>
          <w:p w14:paraId="687BF0E3" w14:textId="77777777" w:rsidR="006C5520" w:rsidRDefault="006C5520">
            <w:pPr>
              <w:pStyle w:val="TableText"/>
            </w:pPr>
            <w:r w:rsidRPr="007227F5">
              <w:t>Inspect dumpsters and waste bins for cleanliness and</w:t>
            </w:r>
            <w:r>
              <w:t xml:space="preserve"> confirm they</w:t>
            </w:r>
            <w:r w:rsidRPr="007227F5">
              <w:t xml:space="preserve"> have tight-fitting lids</w:t>
            </w:r>
          </w:p>
        </w:tc>
      </w:tr>
      <w:tr w:rsidR="006C5520" w14:paraId="74AD2094" w14:textId="77777777">
        <w:tc>
          <w:tcPr>
            <w:tcW w:w="1874" w:type="pct"/>
          </w:tcPr>
          <w:p w14:paraId="0DDCA69C" w14:textId="77777777" w:rsidR="006C5520" w:rsidRDefault="006C5520">
            <w:pPr>
              <w:pStyle w:val="TableText"/>
            </w:pPr>
            <w:r>
              <w:lastRenderedPageBreak/>
              <w:t>Waste management</w:t>
            </w:r>
          </w:p>
        </w:tc>
        <w:tc>
          <w:tcPr>
            <w:tcW w:w="3126" w:type="pct"/>
          </w:tcPr>
          <w:p w14:paraId="64F06059" w14:textId="77777777" w:rsidR="006C5520" w:rsidRDefault="006C5520">
            <w:pPr>
              <w:pStyle w:val="TableText"/>
            </w:pPr>
            <w:r w:rsidRPr="007227F5">
              <w:t>Assess whether waste is being removed at defined frequency</w:t>
            </w:r>
          </w:p>
        </w:tc>
      </w:tr>
      <w:tr w:rsidR="006C5520" w14:paraId="08C068BD" w14:textId="77777777">
        <w:tc>
          <w:tcPr>
            <w:tcW w:w="1874" w:type="pct"/>
          </w:tcPr>
          <w:p w14:paraId="30C7BD56" w14:textId="77777777" w:rsidR="006C5520" w:rsidRDefault="006C5520">
            <w:pPr>
              <w:pStyle w:val="TableText"/>
            </w:pPr>
            <w:r w:rsidRPr="00E93194">
              <w:t xml:space="preserve">Entry </w:t>
            </w:r>
            <w:r>
              <w:t>p</w:t>
            </w:r>
            <w:r w:rsidRPr="00E93194">
              <w:t>oints</w:t>
            </w:r>
          </w:p>
        </w:tc>
        <w:tc>
          <w:tcPr>
            <w:tcW w:w="3126" w:type="pct"/>
          </w:tcPr>
          <w:p w14:paraId="79B7518C" w14:textId="77777777" w:rsidR="006C5520" w:rsidRPr="007227F5" w:rsidRDefault="006C5520">
            <w:pPr>
              <w:pStyle w:val="TableText"/>
            </w:pPr>
            <w:r w:rsidRPr="00E93194">
              <w:t>Check doors and windows for proper sealing and functioning</w:t>
            </w:r>
          </w:p>
        </w:tc>
      </w:tr>
      <w:tr w:rsidR="006C5520" w14:paraId="761A95BC" w14:textId="77777777">
        <w:tc>
          <w:tcPr>
            <w:tcW w:w="1874" w:type="pct"/>
          </w:tcPr>
          <w:p w14:paraId="587EDE52" w14:textId="77777777" w:rsidR="006C5520" w:rsidRDefault="006C5520">
            <w:pPr>
              <w:pStyle w:val="TableText"/>
            </w:pPr>
            <w:r w:rsidRPr="00E93194">
              <w:t xml:space="preserve">Entry </w:t>
            </w:r>
            <w:r>
              <w:t>p</w:t>
            </w:r>
            <w:r w:rsidRPr="00E93194">
              <w:t>oints</w:t>
            </w:r>
          </w:p>
        </w:tc>
        <w:tc>
          <w:tcPr>
            <w:tcW w:w="3126" w:type="pct"/>
          </w:tcPr>
          <w:p w14:paraId="1623CA75" w14:textId="77777777" w:rsidR="006C5520" w:rsidRPr="007227F5" w:rsidRDefault="006C5520">
            <w:pPr>
              <w:pStyle w:val="TableText"/>
            </w:pPr>
            <w:r w:rsidRPr="00E93194">
              <w:t>Inspect loading docks and entrances for signs of pests</w:t>
            </w:r>
          </w:p>
        </w:tc>
      </w:tr>
      <w:tr w:rsidR="006C5520" w14:paraId="1A6065FA" w14:textId="77777777">
        <w:tc>
          <w:tcPr>
            <w:tcW w:w="5000" w:type="pct"/>
            <w:gridSpan w:val="2"/>
            <w:shd w:val="clear" w:color="auto" w:fill="002060"/>
          </w:tcPr>
          <w:p w14:paraId="74EF4614" w14:textId="77777777" w:rsidR="006C5520" w:rsidRPr="00E93194" w:rsidRDefault="006C5520">
            <w:pPr>
              <w:pStyle w:val="TableRowHeader"/>
            </w:pPr>
            <w:r>
              <w:t>Interior Inspection</w:t>
            </w:r>
          </w:p>
        </w:tc>
      </w:tr>
      <w:tr w:rsidR="006C5520" w14:paraId="2DF434B6" w14:textId="77777777">
        <w:tc>
          <w:tcPr>
            <w:tcW w:w="1874" w:type="pct"/>
          </w:tcPr>
          <w:p w14:paraId="7F34F345" w14:textId="77777777" w:rsidR="006C5520" w:rsidRPr="00E93194" w:rsidRDefault="006C5520">
            <w:pPr>
              <w:pStyle w:val="TableText"/>
            </w:pPr>
            <w:r w:rsidRPr="00E93194">
              <w:t xml:space="preserve">Structural </w:t>
            </w:r>
            <w:r>
              <w:t>i</w:t>
            </w:r>
            <w:r w:rsidRPr="00E93194">
              <w:t>ntegrity</w:t>
            </w:r>
          </w:p>
        </w:tc>
        <w:tc>
          <w:tcPr>
            <w:tcW w:w="3126" w:type="pct"/>
          </w:tcPr>
          <w:p w14:paraId="2D659AE6" w14:textId="77777777" w:rsidR="006C5520" w:rsidRPr="00E93194" w:rsidRDefault="006C5520">
            <w:pPr>
              <w:pStyle w:val="TableText"/>
            </w:pPr>
            <w:r w:rsidRPr="00E93194">
              <w:t>Inspect walls, floors, and ceilings for cracks, holes, and other entry points</w:t>
            </w:r>
          </w:p>
        </w:tc>
      </w:tr>
      <w:tr w:rsidR="006C5520" w14:paraId="526B0CD4" w14:textId="77777777">
        <w:tc>
          <w:tcPr>
            <w:tcW w:w="1874" w:type="pct"/>
          </w:tcPr>
          <w:p w14:paraId="0C96E4B7" w14:textId="77777777" w:rsidR="006C5520" w:rsidRPr="00E93194" w:rsidRDefault="006C5520">
            <w:pPr>
              <w:pStyle w:val="TableText"/>
            </w:pPr>
            <w:r w:rsidRPr="00E93194">
              <w:t xml:space="preserve">Structural </w:t>
            </w:r>
            <w:r>
              <w:t>i</w:t>
            </w:r>
            <w:r w:rsidRPr="00E93194">
              <w:t>ntegrity</w:t>
            </w:r>
          </w:p>
        </w:tc>
        <w:tc>
          <w:tcPr>
            <w:tcW w:w="3126" w:type="pct"/>
          </w:tcPr>
          <w:p w14:paraId="13D0F59C" w14:textId="77777777" w:rsidR="006C5520" w:rsidRPr="00E93194" w:rsidRDefault="006C5520">
            <w:pPr>
              <w:pStyle w:val="TableText"/>
            </w:pPr>
            <w:r w:rsidRPr="00E93194">
              <w:t>Check for moisture issues, including leaks and condensation</w:t>
            </w:r>
          </w:p>
        </w:tc>
      </w:tr>
      <w:tr w:rsidR="006C5520" w14:paraId="63058EFC" w14:textId="77777777">
        <w:tc>
          <w:tcPr>
            <w:tcW w:w="1874" w:type="pct"/>
          </w:tcPr>
          <w:p w14:paraId="6FD812D4" w14:textId="77777777" w:rsidR="006C5520" w:rsidRPr="00E93194" w:rsidRDefault="006C5520">
            <w:pPr>
              <w:pStyle w:val="TableText"/>
            </w:pPr>
            <w:r w:rsidRPr="00E93194">
              <w:t xml:space="preserve">Structural </w:t>
            </w:r>
            <w:r>
              <w:t>i</w:t>
            </w:r>
            <w:r w:rsidRPr="00E93194">
              <w:t>ntegrity</w:t>
            </w:r>
          </w:p>
        </w:tc>
        <w:tc>
          <w:tcPr>
            <w:tcW w:w="3126" w:type="pct"/>
          </w:tcPr>
          <w:p w14:paraId="4F574BD8" w14:textId="77777777" w:rsidR="006C5520" w:rsidRPr="00E93194" w:rsidRDefault="006C5520">
            <w:pPr>
              <w:pStyle w:val="TableText"/>
            </w:pPr>
            <w:r w:rsidRPr="00E93194">
              <w:t>Check water fixtures for signs of pest activity, including drains, pipes and garbage disposals</w:t>
            </w:r>
          </w:p>
        </w:tc>
      </w:tr>
      <w:tr w:rsidR="006C5520" w14:paraId="26CE4838" w14:textId="77777777">
        <w:tc>
          <w:tcPr>
            <w:tcW w:w="1874" w:type="pct"/>
          </w:tcPr>
          <w:p w14:paraId="674B3A81" w14:textId="77777777" w:rsidR="006C5520" w:rsidRPr="00E93194" w:rsidRDefault="006C5520">
            <w:pPr>
              <w:pStyle w:val="TableText"/>
            </w:pPr>
            <w:r w:rsidRPr="00B239D9">
              <w:t>Sanitation</w:t>
            </w:r>
          </w:p>
        </w:tc>
        <w:tc>
          <w:tcPr>
            <w:tcW w:w="3126" w:type="pct"/>
          </w:tcPr>
          <w:p w14:paraId="4C10425A" w14:textId="1ABEB1FF" w:rsidR="006C5520" w:rsidRPr="00E93194" w:rsidRDefault="000E27C0">
            <w:pPr>
              <w:pStyle w:val="TableText"/>
            </w:pPr>
            <w:r>
              <w:t>Keep</w:t>
            </w:r>
            <w:r w:rsidR="006C5520" w:rsidRPr="00B239D9">
              <w:t xml:space="preserve"> food storage and preparation areas clean and free of debris</w:t>
            </w:r>
          </w:p>
        </w:tc>
      </w:tr>
      <w:tr w:rsidR="006C5520" w14:paraId="25F40FC5" w14:textId="77777777">
        <w:tc>
          <w:tcPr>
            <w:tcW w:w="1874" w:type="pct"/>
          </w:tcPr>
          <w:p w14:paraId="52B557CC" w14:textId="77777777" w:rsidR="006C5520" w:rsidRPr="00E93194" w:rsidRDefault="006C5520">
            <w:pPr>
              <w:pStyle w:val="TableText"/>
            </w:pPr>
            <w:r w:rsidRPr="00B239D9">
              <w:t>Sanitation</w:t>
            </w:r>
          </w:p>
        </w:tc>
        <w:tc>
          <w:tcPr>
            <w:tcW w:w="3126" w:type="pct"/>
          </w:tcPr>
          <w:p w14:paraId="11F60394" w14:textId="77777777" w:rsidR="006C5520" w:rsidRPr="00E93194" w:rsidRDefault="006C5520">
            <w:pPr>
              <w:pStyle w:val="TableText"/>
            </w:pPr>
            <w:r w:rsidRPr="00B239D9">
              <w:t>Inspect restrooms and common areas for cleanliness</w:t>
            </w:r>
          </w:p>
        </w:tc>
      </w:tr>
      <w:tr w:rsidR="006C5520" w14:paraId="3C95E47B" w14:textId="77777777">
        <w:tc>
          <w:tcPr>
            <w:tcW w:w="1874" w:type="pct"/>
          </w:tcPr>
          <w:p w14:paraId="1F0DCB97" w14:textId="77777777" w:rsidR="006C5520" w:rsidRPr="00E93194" w:rsidRDefault="006C5520">
            <w:pPr>
              <w:pStyle w:val="TableText"/>
            </w:pPr>
            <w:r w:rsidRPr="00B239D9">
              <w:t>Sanitation</w:t>
            </w:r>
          </w:p>
        </w:tc>
        <w:tc>
          <w:tcPr>
            <w:tcW w:w="3126" w:type="pct"/>
          </w:tcPr>
          <w:p w14:paraId="6F481D38" w14:textId="77777777" w:rsidR="006C5520" w:rsidRPr="00E93194" w:rsidRDefault="006C5520">
            <w:pPr>
              <w:pStyle w:val="TableText"/>
            </w:pPr>
            <w:r w:rsidRPr="00B239D9">
              <w:t>Inspect plants for pest presence</w:t>
            </w:r>
          </w:p>
        </w:tc>
      </w:tr>
      <w:tr w:rsidR="006C5520" w14:paraId="4E8F2A95" w14:textId="77777777">
        <w:tc>
          <w:tcPr>
            <w:tcW w:w="1874" w:type="pct"/>
          </w:tcPr>
          <w:p w14:paraId="5D6B1554" w14:textId="77777777" w:rsidR="006C5520" w:rsidRPr="00E93194" w:rsidRDefault="006C5520">
            <w:pPr>
              <w:pStyle w:val="TableText"/>
            </w:pPr>
            <w:r w:rsidRPr="00E72CFB">
              <w:t>Waste Management</w:t>
            </w:r>
          </w:p>
        </w:tc>
        <w:tc>
          <w:tcPr>
            <w:tcW w:w="3126" w:type="pct"/>
          </w:tcPr>
          <w:p w14:paraId="701E1EC4" w14:textId="77777777" w:rsidR="006C5520" w:rsidRPr="00E93194" w:rsidRDefault="006C5520">
            <w:pPr>
              <w:pStyle w:val="TableText"/>
            </w:pPr>
            <w:r w:rsidRPr="00E72CFB">
              <w:t>Verify that trash bins are emptied regularly and have tight-fitting lids</w:t>
            </w:r>
          </w:p>
        </w:tc>
      </w:tr>
      <w:tr w:rsidR="006C5520" w14:paraId="337917EF" w14:textId="77777777">
        <w:tc>
          <w:tcPr>
            <w:tcW w:w="1874" w:type="pct"/>
          </w:tcPr>
          <w:p w14:paraId="656166D3" w14:textId="77777777" w:rsidR="006C5520" w:rsidRPr="00E93194" w:rsidRDefault="006C5520">
            <w:pPr>
              <w:pStyle w:val="TableText"/>
            </w:pPr>
            <w:r w:rsidRPr="00E72CFB">
              <w:t>Waste Management</w:t>
            </w:r>
          </w:p>
        </w:tc>
        <w:tc>
          <w:tcPr>
            <w:tcW w:w="3126" w:type="pct"/>
          </w:tcPr>
          <w:p w14:paraId="64B29E8B" w14:textId="77777777" w:rsidR="006C5520" w:rsidRPr="00E93194" w:rsidRDefault="006C5520">
            <w:pPr>
              <w:pStyle w:val="TableText"/>
            </w:pPr>
            <w:r w:rsidRPr="00E72CFB">
              <w:t>Check for proper disposal of waste, especially in food-related areas</w:t>
            </w:r>
          </w:p>
        </w:tc>
      </w:tr>
      <w:tr w:rsidR="006C5520" w14:paraId="589EDB03" w14:textId="77777777">
        <w:tc>
          <w:tcPr>
            <w:tcW w:w="1874" w:type="pct"/>
          </w:tcPr>
          <w:p w14:paraId="4797F2B5" w14:textId="77777777" w:rsidR="006C5520" w:rsidRPr="00E93194" w:rsidRDefault="006C5520">
            <w:pPr>
              <w:pStyle w:val="TableText"/>
            </w:pPr>
            <w:r w:rsidRPr="00E72CFB">
              <w:t>Waste Management</w:t>
            </w:r>
          </w:p>
        </w:tc>
        <w:tc>
          <w:tcPr>
            <w:tcW w:w="3126" w:type="pct"/>
          </w:tcPr>
          <w:p w14:paraId="2B46DD27" w14:textId="77777777" w:rsidR="006C5520" w:rsidRPr="00E72CFB" w:rsidRDefault="006C5520">
            <w:pPr>
              <w:pStyle w:val="TableText"/>
            </w:pPr>
            <w:r w:rsidRPr="00E72CFB">
              <w:t>Inspect recyclables for food waste materials</w:t>
            </w:r>
          </w:p>
        </w:tc>
      </w:tr>
      <w:tr w:rsidR="006C5520" w14:paraId="3FBDEC0F" w14:textId="77777777">
        <w:tc>
          <w:tcPr>
            <w:tcW w:w="1874" w:type="pct"/>
          </w:tcPr>
          <w:p w14:paraId="6144E49E" w14:textId="77777777" w:rsidR="006C5520" w:rsidRPr="00E93194" w:rsidRDefault="006C5520">
            <w:pPr>
              <w:pStyle w:val="TableText"/>
            </w:pPr>
            <w:r w:rsidRPr="00E72CFB">
              <w:t>Storage Areas</w:t>
            </w:r>
          </w:p>
        </w:tc>
        <w:tc>
          <w:tcPr>
            <w:tcW w:w="3126" w:type="pct"/>
          </w:tcPr>
          <w:p w14:paraId="2B037C22" w14:textId="77777777" w:rsidR="006C5520" w:rsidRPr="00E72CFB" w:rsidRDefault="006C5520">
            <w:pPr>
              <w:pStyle w:val="TableText"/>
            </w:pPr>
            <w:r w:rsidRPr="00E72CFB">
              <w:t>Inspect storage areas for clutter</w:t>
            </w:r>
          </w:p>
        </w:tc>
      </w:tr>
      <w:tr w:rsidR="006C5520" w14:paraId="33B8A990" w14:textId="77777777">
        <w:tc>
          <w:tcPr>
            <w:tcW w:w="1874" w:type="pct"/>
          </w:tcPr>
          <w:p w14:paraId="7415CEC4" w14:textId="77777777" w:rsidR="006C5520" w:rsidRPr="00E93194" w:rsidRDefault="006C5520">
            <w:pPr>
              <w:pStyle w:val="TableText"/>
            </w:pPr>
            <w:r w:rsidRPr="00E72CFB">
              <w:t>Storage Areas</w:t>
            </w:r>
          </w:p>
        </w:tc>
        <w:tc>
          <w:tcPr>
            <w:tcW w:w="3126" w:type="pct"/>
          </w:tcPr>
          <w:p w14:paraId="03AA34CF" w14:textId="55ABE6D2" w:rsidR="006C5520" w:rsidRPr="00E72CFB" w:rsidRDefault="00926F0D">
            <w:pPr>
              <w:pStyle w:val="TableText"/>
            </w:pPr>
            <w:r>
              <w:t>Confirm</w:t>
            </w:r>
            <w:r w:rsidR="006C5520" w:rsidRPr="00E72CFB">
              <w:t xml:space="preserve"> food and beverages are stored in heavy duty metal or glass containers</w:t>
            </w:r>
          </w:p>
        </w:tc>
      </w:tr>
      <w:tr w:rsidR="006C5520" w14:paraId="090C55DC" w14:textId="77777777">
        <w:tc>
          <w:tcPr>
            <w:tcW w:w="1874" w:type="pct"/>
          </w:tcPr>
          <w:p w14:paraId="4E4DD446" w14:textId="77777777" w:rsidR="006C5520" w:rsidRPr="00E93194" w:rsidRDefault="006C5520">
            <w:pPr>
              <w:pStyle w:val="TableText"/>
            </w:pPr>
            <w:r w:rsidRPr="00E72CFB">
              <w:t>Exclusion</w:t>
            </w:r>
          </w:p>
        </w:tc>
        <w:tc>
          <w:tcPr>
            <w:tcW w:w="3126" w:type="pct"/>
          </w:tcPr>
          <w:p w14:paraId="1AD56EE7" w14:textId="77777777" w:rsidR="006C5520" w:rsidRPr="00E72CFB" w:rsidRDefault="006C5520">
            <w:pPr>
              <w:pStyle w:val="TableText"/>
            </w:pPr>
            <w:r w:rsidRPr="00E72CFB">
              <w:t>Verify the condition of door sweeps, screens, and weather stripping</w:t>
            </w:r>
          </w:p>
        </w:tc>
      </w:tr>
      <w:tr w:rsidR="006C5520" w14:paraId="2BF8FFB5" w14:textId="77777777">
        <w:tc>
          <w:tcPr>
            <w:tcW w:w="1874" w:type="pct"/>
          </w:tcPr>
          <w:p w14:paraId="39468667" w14:textId="77777777" w:rsidR="006C5520" w:rsidRPr="00E72CFB" w:rsidRDefault="006C5520">
            <w:pPr>
              <w:pStyle w:val="TableText"/>
            </w:pPr>
            <w:r w:rsidRPr="00E72CFB">
              <w:t>Pest Monitoring Devices</w:t>
            </w:r>
          </w:p>
        </w:tc>
        <w:tc>
          <w:tcPr>
            <w:tcW w:w="3126" w:type="pct"/>
          </w:tcPr>
          <w:p w14:paraId="619F0112" w14:textId="77777777" w:rsidR="006C5520" w:rsidRPr="00E72CFB" w:rsidRDefault="006C5520">
            <w:pPr>
              <w:pStyle w:val="TableText"/>
            </w:pPr>
            <w:r w:rsidRPr="00E72CFB">
              <w:t>Check traps and monitoring and bait stations devices for pest activity</w:t>
            </w:r>
          </w:p>
        </w:tc>
      </w:tr>
      <w:tr w:rsidR="006C5520" w14:paraId="6625EEEB" w14:textId="77777777">
        <w:tc>
          <w:tcPr>
            <w:tcW w:w="1874" w:type="pct"/>
          </w:tcPr>
          <w:p w14:paraId="0A769960" w14:textId="77777777" w:rsidR="006C5520" w:rsidRPr="00E72CFB" w:rsidRDefault="006C5520">
            <w:pPr>
              <w:pStyle w:val="TableText"/>
            </w:pPr>
            <w:r w:rsidRPr="00E72CFB">
              <w:t>Pest Monitoring Devices</w:t>
            </w:r>
          </w:p>
        </w:tc>
        <w:tc>
          <w:tcPr>
            <w:tcW w:w="3126" w:type="pct"/>
          </w:tcPr>
          <w:p w14:paraId="02E6AA75" w14:textId="519B7BB1" w:rsidR="006C5520" w:rsidRPr="00E72CFB" w:rsidRDefault="00926F0D">
            <w:pPr>
              <w:pStyle w:val="TableText"/>
            </w:pPr>
            <w:r>
              <w:t xml:space="preserve">Confirm </w:t>
            </w:r>
            <w:r w:rsidR="006C5520" w:rsidRPr="00E72CFB">
              <w:t>these devices are set correctly and have the date and location noted on the device</w:t>
            </w:r>
          </w:p>
        </w:tc>
      </w:tr>
      <w:tr w:rsidR="006C5520" w14:paraId="662738ED" w14:textId="77777777">
        <w:tc>
          <w:tcPr>
            <w:tcW w:w="5000" w:type="pct"/>
            <w:gridSpan w:val="2"/>
            <w:shd w:val="clear" w:color="auto" w:fill="002060"/>
          </w:tcPr>
          <w:p w14:paraId="584B91DA" w14:textId="77777777" w:rsidR="006C5520" w:rsidRPr="00B33E2F" w:rsidRDefault="006C5520">
            <w:pPr>
              <w:pStyle w:val="TableRowHeader"/>
            </w:pPr>
            <w:r w:rsidRPr="00B33E2F">
              <w:t>Pest Activity</w:t>
            </w:r>
          </w:p>
        </w:tc>
      </w:tr>
      <w:tr w:rsidR="006C5520" w14:paraId="4CE0106E" w14:textId="77777777">
        <w:tc>
          <w:tcPr>
            <w:tcW w:w="1874" w:type="pct"/>
          </w:tcPr>
          <w:p w14:paraId="09BFC90C" w14:textId="77777777" w:rsidR="006C5520" w:rsidRPr="00E72CFB" w:rsidRDefault="006C5520">
            <w:pPr>
              <w:pStyle w:val="TableText"/>
            </w:pPr>
            <w:r>
              <w:t>Rodents</w:t>
            </w:r>
          </w:p>
        </w:tc>
        <w:tc>
          <w:tcPr>
            <w:tcW w:w="3126" w:type="pct"/>
          </w:tcPr>
          <w:p w14:paraId="1D9088E2" w14:textId="77777777" w:rsidR="006C5520" w:rsidRPr="00E72CFB" w:rsidRDefault="006C5520">
            <w:pPr>
              <w:pStyle w:val="TableText"/>
            </w:pPr>
            <w:r w:rsidRPr="00B33E2F">
              <w:t>Look for droppings, gnaw marks, and burrows</w:t>
            </w:r>
          </w:p>
        </w:tc>
      </w:tr>
      <w:tr w:rsidR="006C5520" w14:paraId="64704955" w14:textId="77777777">
        <w:tc>
          <w:tcPr>
            <w:tcW w:w="1874" w:type="pct"/>
          </w:tcPr>
          <w:p w14:paraId="4AE32CFE" w14:textId="77777777" w:rsidR="006C5520" w:rsidRPr="00E72CFB" w:rsidRDefault="006C5520">
            <w:pPr>
              <w:pStyle w:val="TableText"/>
            </w:pPr>
            <w:r>
              <w:t>Rodents</w:t>
            </w:r>
          </w:p>
        </w:tc>
        <w:tc>
          <w:tcPr>
            <w:tcW w:w="3126" w:type="pct"/>
          </w:tcPr>
          <w:p w14:paraId="0841EEBC" w14:textId="77777777" w:rsidR="006C5520" w:rsidRPr="00E72CFB" w:rsidRDefault="006C5520">
            <w:pPr>
              <w:pStyle w:val="TableText"/>
            </w:pPr>
            <w:r w:rsidRPr="00B33E2F">
              <w:t>Check for nesting materials</w:t>
            </w:r>
          </w:p>
        </w:tc>
      </w:tr>
      <w:tr w:rsidR="006C5520" w14:paraId="661796CE" w14:textId="77777777">
        <w:tc>
          <w:tcPr>
            <w:tcW w:w="1874" w:type="pct"/>
          </w:tcPr>
          <w:p w14:paraId="42BA3412" w14:textId="77777777" w:rsidR="006C5520" w:rsidRPr="00E72CFB" w:rsidRDefault="006C5520">
            <w:pPr>
              <w:pStyle w:val="TableText"/>
            </w:pPr>
            <w:r w:rsidRPr="00B33E2F">
              <w:t>Insects</w:t>
            </w:r>
          </w:p>
        </w:tc>
        <w:tc>
          <w:tcPr>
            <w:tcW w:w="3126" w:type="pct"/>
          </w:tcPr>
          <w:p w14:paraId="7C6C697B" w14:textId="77777777" w:rsidR="006C5520" w:rsidRPr="00E72CFB" w:rsidRDefault="006C5520">
            <w:pPr>
              <w:pStyle w:val="TableText"/>
            </w:pPr>
            <w:r w:rsidRPr="00B33E2F">
              <w:t>Check for live insects, dead insects, and insect droppings</w:t>
            </w:r>
          </w:p>
        </w:tc>
      </w:tr>
      <w:tr w:rsidR="006C5520" w14:paraId="257282BA" w14:textId="77777777">
        <w:tc>
          <w:tcPr>
            <w:tcW w:w="1874" w:type="pct"/>
          </w:tcPr>
          <w:p w14:paraId="3201583E" w14:textId="77777777" w:rsidR="006C5520" w:rsidRPr="00E72CFB" w:rsidRDefault="006C5520">
            <w:pPr>
              <w:pStyle w:val="TableText"/>
            </w:pPr>
            <w:r>
              <w:t>Birds</w:t>
            </w:r>
          </w:p>
        </w:tc>
        <w:tc>
          <w:tcPr>
            <w:tcW w:w="3126" w:type="pct"/>
          </w:tcPr>
          <w:p w14:paraId="78A32294" w14:textId="77777777" w:rsidR="006C5520" w:rsidRPr="00E72CFB" w:rsidRDefault="006C5520">
            <w:pPr>
              <w:pStyle w:val="TableText"/>
            </w:pPr>
            <w:r w:rsidRPr="00B33E2F">
              <w:t>Look for nests, droppings, and signs of roosting</w:t>
            </w:r>
          </w:p>
        </w:tc>
      </w:tr>
      <w:tr w:rsidR="006C5520" w14:paraId="35DB849E" w14:textId="77777777">
        <w:tc>
          <w:tcPr>
            <w:tcW w:w="1874" w:type="pct"/>
          </w:tcPr>
          <w:p w14:paraId="350DCFE5" w14:textId="77777777" w:rsidR="006C5520" w:rsidRPr="00E72CFB" w:rsidRDefault="006C5520">
            <w:pPr>
              <w:pStyle w:val="TableText"/>
            </w:pPr>
            <w:r>
              <w:t>Wildlife</w:t>
            </w:r>
          </w:p>
        </w:tc>
        <w:tc>
          <w:tcPr>
            <w:tcW w:w="3126" w:type="pct"/>
          </w:tcPr>
          <w:p w14:paraId="6DED521D" w14:textId="77777777" w:rsidR="006C5520" w:rsidRDefault="006C5520">
            <w:pPr>
              <w:pStyle w:val="TableText"/>
            </w:pPr>
            <w:r w:rsidRPr="00B33E2F">
              <w:t>Inspect for signs of raccoons, squirrels, and other wildlife intrusions</w:t>
            </w:r>
          </w:p>
          <w:p w14:paraId="44741F24" w14:textId="77777777" w:rsidR="006C5520" w:rsidRPr="00E72CFB" w:rsidRDefault="006C5520">
            <w:pPr>
              <w:pStyle w:val="TableText"/>
            </w:pPr>
          </w:p>
        </w:tc>
      </w:tr>
      <w:tr w:rsidR="006C5520" w14:paraId="3553F173" w14:textId="77777777">
        <w:tc>
          <w:tcPr>
            <w:tcW w:w="5000" w:type="pct"/>
            <w:gridSpan w:val="2"/>
            <w:shd w:val="clear" w:color="auto" w:fill="002060"/>
          </w:tcPr>
          <w:p w14:paraId="417B6163" w14:textId="77777777" w:rsidR="006C5520" w:rsidRPr="00B33E2F" w:rsidRDefault="006C5520">
            <w:pPr>
              <w:pStyle w:val="TableRowHeader"/>
            </w:pPr>
            <w:r>
              <w:t>Findings and Recommendations</w:t>
            </w:r>
          </w:p>
        </w:tc>
      </w:tr>
      <w:tr w:rsidR="006C5520" w14:paraId="14173846" w14:textId="77777777">
        <w:tc>
          <w:tcPr>
            <w:tcW w:w="1874" w:type="pct"/>
          </w:tcPr>
          <w:p w14:paraId="7062A47D" w14:textId="77777777" w:rsidR="006C5520" w:rsidRDefault="006C5520">
            <w:pPr>
              <w:pStyle w:val="TableText"/>
            </w:pPr>
            <w:r>
              <w:t>Final summary</w:t>
            </w:r>
          </w:p>
        </w:tc>
        <w:tc>
          <w:tcPr>
            <w:tcW w:w="3126" w:type="pct"/>
          </w:tcPr>
          <w:p w14:paraId="134D35D7" w14:textId="77777777" w:rsidR="006C5520" w:rsidRPr="00B33E2F" w:rsidRDefault="006C5520">
            <w:pPr>
              <w:pStyle w:val="TableText"/>
            </w:pPr>
            <w:r>
              <w:t xml:space="preserve">Summary of </w:t>
            </w:r>
            <w:r w:rsidRPr="003D5F03">
              <w:t>problem areas or practices identified during the building inspection to communicate with school administrators and other stakeholders</w:t>
            </w:r>
          </w:p>
        </w:tc>
      </w:tr>
    </w:tbl>
    <w:p w14:paraId="170415CF" w14:textId="77777777" w:rsidR="006C5520" w:rsidRDefault="006C5520" w:rsidP="006C5520">
      <w:pPr>
        <w:pStyle w:val="Heading5"/>
      </w:pPr>
      <w:r>
        <w:lastRenderedPageBreak/>
        <w:t xml:space="preserve">(8) </w:t>
      </w:r>
      <w:r w:rsidRPr="00BA0B38">
        <w:t>Educate building occupants on best practices</w:t>
      </w:r>
    </w:p>
    <w:p w14:paraId="12C56225" w14:textId="77777777" w:rsidR="006C5520" w:rsidRPr="00936431" w:rsidRDefault="006C5520" w:rsidP="006D7DE6">
      <w:pPr>
        <w:pStyle w:val="BodyTextFirstIndent"/>
      </w:pPr>
      <w:r w:rsidRPr="00936431">
        <w:t xml:space="preserve">Student and staff behaviors have </w:t>
      </w:r>
      <w:r>
        <w:t xml:space="preserve">a </w:t>
      </w:r>
      <w:r w:rsidRPr="00936431">
        <w:t>substantial impact on pest presence within schools</w:t>
      </w:r>
      <w:r>
        <w:t>. Therefore, they</w:t>
      </w:r>
      <w:r w:rsidRPr="00936431">
        <w:t xml:space="preserve"> should be educated on how to report pest activity, what the school is doing to address pest concerns, and what they can do to prevent pest activity. </w:t>
      </w:r>
      <w:r>
        <w:t>Namely, s</w:t>
      </w:r>
      <w:r w:rsidRPr="00936431">
        <w:t>tudents and staff can help by reducing food sources and clutter. The following instructions could be placed on flyers and distributed in classrooms and break rooms:</w:t>
      </w:r>
    </w:p>
    <w:p w14:paraId="3952E4E8" w14:textId="77777777" w:rsidR="006C5520" w:rsidRPr="00961D86" w:rsidRDefault="006C5520" w:rsidP="008131EB">
      <w:pPr>
        <w:pStyle w:val="ListBullet"/>
      </w:pPr>
      <w:r w:rsidRPr="00961D86">
        <w:t xml:space="preserve">Avoid eating and storing food in classrooms, offices, </w:t>
      </w:r>
      <w:r>
        <w:t>or</w:t>
      </w:r>
      <w:r w:rsidRPr="00961D86">
        <w:t xml:space="preserve"> cubbies.</w:t>
      </w:r>
    </w:p>
    <w:p w14:paraId="3C246C5A" w14:textId="77777777" w:rsidR="006C5520" w:rsidRPr="00961D86" w:rsidRDefault="006C5520" w:rsidP="008131EB">
      <w:pPr>
        <w:pStyle w:val="ListBullet"/>
      </w:pPr>
      <w:r w:rsidRPr="00961D86">
        <w:t>Wipe spilled food items off surfaces.</w:t>
      </w:r>
    </w:p>
    <w:p w14:paraId="5C5D8AE4" w14:textId="77777777" w:rsidR="006C5520" w:rsidRPr="00961D86" w:rsidRDefault="006C5520" w:rsidP="008131EB">
      <w:pPr>
        <w:pStyle w:val="ListBullet"/>
      </w:pPr>
      <w:r w:rsidRPr="00961D86">
        <w:t>Do not leave dirty dishes in classrooms, offices, and cubbies.</w:t>
      </w:r>
    </w:p>
    <w:p w14:paraId="0BA630A3" w14:textId="77777777" w:rsidR="006C5520" w:rsidRPr="00961D86" w:rsidRDefault="006C5520" w:rsidP="008131EB">
      <w:pPr>
        <w:pStyle w:val="ListBullet"/>
      </w:pPr>
      <w:r w:rsidRPr="00961D86">
        <w:t>Store food in sealed heavy plastic, metal, or glass containers.</w:t>
      </w:r>
    </w:p>
    <w:p w14:paraId="01A48E99" w14:textId="77777777" w:rsidR="006C5520" w:rsidRPr="00961D86" w:rsidRDefault="006C5520" w:rsidP="008131EB">
      <w:pPr>
        <w:pStyle w:val="ListBullet"/>
      </w:pPr>
      <w:r w:rsidRPr="00961D86">
        <w:t>Rinse recyclables before placing them in recycling containers.</w:t>
      </w:r>
    </w:p>
    <w:p w14:paraId="20FF2B99" w14:textId="77777777" w:rsidR="006C5520" w:rsidRPr="00961D86" w:rsidRDefault="006C5520" w:rsidP="008131EB">
      <w:pPr>
        <w:pStyle w:val="ListBullet"/>
      </w:pPr>
      <w:r w:rsidRPr="00961D86">
        <w:t>Reduce clutter by removing or storing unused items.</w:t>
      </w:r>
    </w:p>
    <w:p w14:paraId="7D262D46" w14:textId="2DC630FD" w:rsidR="006C5520" w:rsidRDefault="00B2433F" w:rsidP="008131EB">
      <w:pPr>
        <w:pStyle w:val="ListBullet"/>
      </w:pPr>
      <w:r>
        <w:t xml:space="preserve">Check </w:t>
      </w:r>
      <w:r w:rsidR="006C5520">
        <w:t>that the soil is free of pests b</w:t>
      </w:r>
      <w:r w:rsidR="006C5520" w:rsidRPr="00961D86">
        <w:t>efore bringing a plant to the school</w:t>
      </w:r>
      <w:r w:rsidR="006C5520">
        <w:t>.</w:t>
      </w:r>
    </w:p>
    <w:p w14:paraId="2F265901" w14:textId="5C066A3A" w:rsidR="00FD43CA" w:rsidRDefault="006C5520" w:rsidP="008131EB">
      <w:pPr>
        <w:pStyle w:val="ListBullet"/>
      </w:pPr>
      <w:r>
        <w:t>Dry out</w:t>
      </w:r>
      <w:r w:rsidRPr="00961D86">
        <w:t xml:space="preserve"> potted plants completely before watering.</w:t>
      </w:r>
    </w:p>
    <w:p w14:paraId="776723D6" w14:textId="77777777" w:rsidR="006C5520" w:rsidRDefault="006C5520" w:rsidP="006C5520">
      <w:pPr>
        <w:pStyle w:val="Heading3"/>
      </w:pPr>
      <w:r>
        <w:t>Statutes, Regulations, and Standards</w:t>
      </w:r>
    </w:p>
    <w:p w14:paraId="4AD6D1B6" w14:textId="77777777" w:rsidR="006C5520" w:rsidRDefault="006C5520" w:rsidP="006C5520">
      <w:pPr>
        <w:pStyle w:val="Heading4"/>
      </w:pPr>
      <w:r>
        <w:t>Relevant Statutes</w:t>
      </w:r>
    </w:p>
    <w:p w14:paraId="2E380E75" w14:textId="3A1C0ABC" w:rsidR="006C5520" w:rsidRPr="007E4796" w:rsidRDefault="006C5520" w:rsidP="006D7DE6">
      <w:pPr>
        <w:pStyle w:val="BodyTextFirstIndent"/>
        <w:rPr>
          <w:szCs w:val="28"/>
        </w:rPr>
      </w:pPr>
      <w:r>
        <w:rPr>
          <w:b/>
        </w:rPr>
        <w:t>M.G.L.</w:t>
      </w:r>
      <w:r w:rsidRPr="007E4796">
        <w:rPr>
          <w:b/>
        </w:rPr>
        <w:t xml:space="preserve">, </w:t>
      </w:r>
      <w:r>
        <w:rPr>
          <w:b/>
        </w:rPr>
        <w:t>c.</w:t>
      </w:r>
      <w:r w:rsidRPr="007E4796">
        <w:rPr>
          <w:b/>
        </w:rPr>
        <w:t xml:space="preserve"> 132B, </w:t>
      </w:r>
      <w:r>
        <w:rPr>
          <w:rFonts w:cs="Arial"/>
          <w:b/>
        </w:rPr>
        <w:t>§§</w:t>
      </w:r>
      <w:r w:rsidRPr="007E4796">
        <w:rPr>
          <w:b/>
        </w:rPr>
        <w:t xml:space="preserve"> 2—6I</w:t>
      </w:r>
      <w:r w:rsidRPr="007E4796">
        <w:t xml:space="preserve"> regulates the distribution, sale, and use of pesticides within Massachusetts.</w:t>
      </w:r>
      <w:r w:rsidR="00094DFA">
        <w:fldChar w:fldCharType="begin"/>
      </w:r>
      <w:r w:rsidR="00276140">
        <w:instrText xml:space="preserve"> ADDIN ZOTERO_ITEM CSL_CITATION {"citationID":"ark3l6ol73","properties":{"formattedCitation":"\\super 350\\nosupersub{}","plainCitation":"350","noteIndex":0},"citationItems":[{"id":1125,"uris":["http://zotero.org/groups/5563646/items/RLVL564A"],"itemData":{"id":1125,"type":"legislation","container-title":"M.G.L., c. 132B","section":"2—6I","title":"Massachusetts Pesticide Control Act","URL":"https://malegislature.gov/Laws/GeneralLaws/PartI/TitleXIX/Chapter132b"}}],"schema":"https://github.com/citation-style-language/schema/raw/master/csl-citation.json"} </w:instrText>
      </w:r>
      <w:r w:rsidR="00094DFA">
        <w:fldChar w:fldCharType="separate"/>
      </w:r>
      <w:r w:rsidR="00276140" w:rsidRPr="00276140">
        <w:rPr>
          <w:rFonts w:cs="Arial"/>
          <w:vertAlign w:val="superscript"/>
        </w:rPr>
        <w:t>350</w:t>
      </w:r>
      <w:r w:rsidR="00094DFA">
        <w:fldChar w:fldCharType="end"/>
      </w:r>
    </w:p>
    <w:p w14:paraId="378F6217" w14:textId="77777777" w:rsidR="006C5520" w:rsidRDefault="006C5520" w:rsidP="006C5520">
      <w:pPr>
        <w:pStyle w:val="Heading4"/>
      </w:pPr>
      <w:r>
        <w:t>Relevant Regulations</w:t>
      </w:r>
    </w:p>
    <w:p w14:paraId="12B2E00E" w14:textId="4E4634C4" w:rsidR="006C5520" w:rsidRPr="00906EB7" w:rsidRDefault="006C5520" w:rsidP="006D7DE6">
      <w:pPr>
        <w:pStyle w:val="BodyTextFirstIndent"/>
        <w:rPr>
          <w:sz w:val="28"/>
          <w:szCs w:val="32"/>
        </w:rPr>
      </w:pPr>
      <w:r w:rsidRPr="00906EB7">
        <w:rPr>
          <w:b/>
        </w:rPr>
        <w:t>333 CMR 13.00</w:t>
      </w:r>
      <w:r w:rsidRPr="00906EB7">
        <w:t xml:space="preserve"> outlines conditions for the use of pesticides within Massachusetts.</w:t>
      </w:r>
      <w:r w:rsidR="007A62DE">
        <w:fldChar w:fldCharType="begin"/>
      </w:r>
      <w:r w:rsidR="009E2313">
        <w:instrText xml:space="preserve"> ADDIN ZOTERO_ITEM CSL_CITATION {"citationID":"a1clcoh7gt3","properties":{"formattedCitation":"\\super 351\\nosupersub{}","plainCitation":"351","noteIndex":0},"citationItems":[{"id":1124,"uris":["http://zotero.org/groups/5563646/items/T2PSSM9E"],"itemData":{"id":1124,"type":"legislation","container-title":"333 CMR 13.00","title":"Standards for application","URL":"https://www.mass.gov/regulations/333-CMR-1300-standards-for-application","issued":{"date-parts":[["2017"]]}}}],"schema":"https://github.com/citation-style-language/schema/raw/master/csl-citation.json"} </w:instrText>
      </w:r>
      <w:r w:rsidR="007A62DE">
        <w:fldChar w:fldCharType="separate"/>
      </w:r>
      <w:r w:rsidR="009E2313" w:rsidRPr="009E2313">
        <w:rPr>
          <w:rFonts w:cs="Arial"/>
          <w:vertAlign w:val="superscript"/>
        </w:rPr>
        <w:t>351</w:t>
      </w:r>
      <w:r w:rsidR="007A62DE">
        <w:fldChar w:fldCharType="end"/>
      </w:r>
      <w:r w:rsidRPr="00906EB7">
        <w:t xml:space="preserve"> </w:t>
      </w:r>
    </w:p>
    <w:p w14:paraId="734A2870" w14:textId="5D993C22" w:rsidR="006C5520" w:rsidRDefault="006C5520" w:rsidP="006D7DE6">
      <w:pPr>
        <w:pStyle w:val="BodyTextFirstIndent"/>
      </w:pPr>
      <w:r>
        <w:fldChar w:fldCharType="begin"/>
      </w:r>
      <w:r>
        <w:instrText xml:space="preserve"> REF _Ref173099993 \h </w:instrText>
      </w:r>
      <w:r>
        <w:fldChar w:fldCharType="separate"/>
      </w:r>
      <w:r w:rsidR="00307850">
        <w:t xml:space="preserve">Table </w:t>
      </w:r>
      <w:r w:rsidR="00307850">
        <w:rPr>
          <w:noProof/>
        </w:rPr>
        <w:t>79</w:t>
      </w:r>
      <w:r>
        <w:fldChar w:fldCharType="end"/>
      </w:r>
      <w:r>
        <w:t xml:space="preserve"> summarizes the statutes, regulations, and performance standards related to IPM in schools. </w:t>
      </w:r>
    </w:p>
    <w:p w14:paraId="7EFE4918" w14:textId="686239E0" w:rsidR="006C5520" w:rsidRDefault="006C5520" w:rsidP="00B30C96">
      <w:pPr>
        <w:pStyle w:val="Caption"/>
      </w:pPr>
      <w:bookmarkStart w:id="627" w:name="_Ref173099993"/>
      <w:bookmarkStart w:id="628" w:name="_Toc192711745"/>
      <w:bookmarkStart w:id="629" w:name="_Toc193112627"/>
      <w:bookmarkStart w:id="630" w:name="_Toc193117026"/>
      <w:r>
        <w:lastRenderedPageBreak/>
        <w:t xml:space="preserve">Table </w:t>
      </w:r>
      <w:fldSimple w:instr=" SEQ Table \* ARABIC ">
        <w:r w:rsidR="00307850">
          <w:rPr>
            <w:noProof/>
          </w:rPr>
          <w:t>79</w:t>
        </w:r>
      </w:fldSimple>
      <w:bookmarkEnd w:id="627"/>
      <w:r>
        <w:t>.</w:t>
      </w:r>
      <w:r w:rsidRPr="00AD43CE">
        <w:t xml:space="preserve"> </w:t>
      </w:r>
      <w:r>
        <w:t>Statutory/Regulatory Framework and Notable Standards for U</w:t>
      </w:r>
      <w:r w:rsidR="00F73243">
        <w:t>s</w:t>
      </w:r>
      <w:r>
        <w:t>ing Integrated Pest Management</w:t>
      </w:r>
      <w:bookmarkEnd w:id="628"/>
      <w:bookmarkEnd w:id="629"/>
      <w:bookmarkEnd w:id="630"/>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utilizing integrated pest management."/>
      </w:tblPr>
      <w:tblGrid>
        <w:gridCol w:w="5935"/>
        <w:gridCol w:w="1139"/>
        <w:gridCol w:w="1139"/>
        <w:gridCol w:w="1137"/>
      </w:tblGrid>
      <w:tr w:rsidR="006C5520" w:rsidRPr="00C8094D" w14:paraId="1FD4AB6D" w14:textId="77777777" w:rsidTr="006C5520">
        <w:trPr>
          <w:cantSplit/>
          <w:trHeight w:val="2078"/>
          <w:tblHeader/>
          <w:jc w:val="center"/>
        </w:trPr>
        <w:tc>
          <w:tcPr>
            <w:tcW w:w="3174"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7C471A05" w14:textId="77777777" w:rsidR="006C5520" w:rsidRDefault="006C5520">
            <w:pPr>
              <w:pStyle w:val="TableColumnHeader"/>
            </w:pPr>
            <w:r>
              <w:t>Statute/Regulation/Standard</w:t>
            </w:r>
          </w:p>
        </w:tc>
        <w:tc>
          <w:tcPr>
            <w:tcW w:w="609"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4EBE3F35" w14:textId="77777777" w:rsidR="006C5520" w:rsidRDefault="006C5520">
            <w:pPr>
              <w:pStyle w:val="TableColumnHeader"/>
              <w:jc w:val="left"/>
            </w:pPr>
            <w:r>
              <w:t>State</w:t>
            </w:r>
            <w:r w:rsidRPr="00E11392">
              <w:t xml:space="preserve"> Statute/ Regulation</w:t>
            </w:r>
          </w:p>
        </w:tc>
        <w:tc>
          <w:tcPr>
            <w:tcW w:w="60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738BA4CD" w14:textId="77777777" w:rsidR="006C5520" w:rsidRDefault="006C5520">
            <w:pPr>
              <w:pStyle w:val="TableColumnHeader"/>
              <w:jc w:val="left"/>
            </w:pPr>
            <w:r>
              <w:t>Other</w:t>
            </w:r>
            <w:r w:rsidRPr="00E11392">
              <w:t xml:space="preserve"> Statute/ Regulation</w:t>
            </w:r>
          </w:p>
        </w:tc>
        <w:tc>
          <w:tcPr>
            <w:tcW w:w="60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F3E306D" w14:textId="77777777" w:rsidR="006C5520" w:rsidRDefault="006C5520">
            <w:pPr>
              <w:pStyle w:val="TableColumnHeader"/>
              <w:jc w:val="left"/>
            </w:pPr>
            <w:r>
              <w:t>Standard</w:t>
            </w:r>
          </w:p>
        </w:tc>
      </w:tr>
      <w:tr w:rsidR="006C5520" w:rsidRPr="00C8094D" w14:paraId="5E0D9A51"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CC148AB" w14:textId="77777777" w:rsidR="006C5520" w:rsidRPr="00592C22" w:rsidRDefault="006C5520">
            <w:pPr>
              <w:pStyle w:val="TableRowHeader"/>
            </w:pPr>
            <w:r>
              <w:t>Statutes</w:t>
            </w:r>
          </w:p>
        </w:tc>
      </w:tr>
      <w:tr w:rsidR="006C5520" w:rsidRPr="00C8094D" w14:paraId="2566A508" w14:textId="77777777" w:rsidTr="006C5520">
        <w:trPr>
          <w:cantSplit/>
          <w:trHeight w:val="255"/>
          <w:tblHeader/>
          <w:jc w:val="center"/>
        </w:trPr>
        <w:tc>
          <w:tcPr>
            <w:tcW w:w="3174" w:type="pct"/>
            <w:tcBorders>
              <w:top w:val="nil"/>
              <w:left w:val="single" w:sz="4" w:space="0" w:color="auto"/>
              <w:bottom w:val="single" w:sz="4" w:space="0" w:color="auto"/>
              <w:right w:val="single" w:sz="4" w:space="0" w:color="auto"/>
            </w:tcBorders>
            <w:shd w:val="clear" w:color="auto" w:fill="auto"/>
          </w:tcPr>
          <w:p w14:paraId="4AE5F93B" w14:textId="77777777" w:rsidR="006C5520" w:rsidRPr="00F503E3" w:rsidRDefault="006C5520">
            <w:pPr>
              <w:pStyle w:val="TableText"/>
            </w:pPr>
            <w:r>
              <w:t xml:space="preserve">M.G.L., c. 132B, </w:t>
            </w:r>
            <w:r>
              <w:rPr>
                <w:rFonts w:cs="Arial"/>
              </w:rPr>
              <w:t>§§</w:t>
            </w:r>
            <w:r>
              <w:t>2—6I</w:t>
            </w:r>
          </w:p>
        </w:tc>
        <w:tc>
          <w:tcPr>
            <w:tcW w:w="609" w:type="pct"/>
            <w:tcBorders>
              <w:top w:val="nil"/>
              <w:left w:val="single" w:sz="4" w:space="0" w:color="auto"/>
              <w:bottom w:val="single" w:sz="4" w:space="0" w:color="auto"/>
              <w:right w:val="single" w:sz="4" w:space="0" w:color="auto"/>
            </w:tcBorders>
            <w:shd w:val="clear" w:color="auto" w:fill="auto"/>
            <w:vAlign w:val="center"/>
          </w:tcPr>
          <w:p w14:paraId="7397242C" w14:textId="77777777" w:rsidR="006C5520" w:rsidRPr="004245DB" w:rsidRDefault="006C5520">
            <w:pPr>
              <w:pStyle w:val="TableText"/>
              <w:jc w:val="center"/>
            </w:pPr>
            <w:r w:rsidRPr="005A42D6">
              <w:rPr>
                <w:color w:val="00B050"/>
              </w:rPr>
              <w:t>X</w:t>
            </w:r>
          </w:p>
        </w:tc>
        <w:tc>
          <w:tcPr>
            <w:tcW w:w="609" w:type="pct"/>
            <w:tcBorders>
              <w:top w:val="nil"/>
              <w:left w:val="single" w:sz="4" w:space="0" w:color="auto"/>
              <w:bottom w:val="single" w:sz="4" w:space="0" w:color="auto"/>
              <w:right w:val="single" w:sz="4" w:space="0" w:color="auto"/>
            </w:tcBorders>
            <w:shd w:val="clear" w:color="auto" w:fill="auto"/>
            <w:vAlign w:val="center"/>
          </w:tcPr>
          <w:p w14:paraId="0853A0BA" w14:textId="77777777" w:rsidR="006C5520" w:rsidRPr="004245DB" w:rsidRDefault="006C5520">
            <w:pPr>
              <w:pStyle w:val="TableText"/>
              <w:jc w:val="center"/>
            </w:pPr>
          </w:p>
        </w:tc>
        <w:tc>
          <w:tcPr>
            <w:tcW w:w="608" w:type="pct"/>
            <w:tcBorders>
              <w:top w:val="nil"/>
              <w:left w:val="single" w:sz="4" w:space="0" w:color="auto"/>
              <w:bottom w:val="single" w:sz="4" w:space="0" w:color="auto"/>
              <w:right w:val="single" w:sz="4" w:space="0" w:color="auto"/>
            </w:tcBorders>
            <w:shd w:val="clear" w:color="auto" w:fill="auto"/>
            <w:vAlign w:val="center"/>
          </w:tcPr>
          <w:p w14:paraId="0B49B30D" w14:textId="77777777" w:rsidR="006C5520" w:rsidRPr="004245DB" w:rsidRDefault="006C5520">
            <w:pPr>
              <w:pStyle w:val="TableText"/>
              <w:jc w:val="center"/>
            </w:pPr>
          </w:p>
        </w:tc>
      </w:tr>
      <w:tr w:rsidR="006C5520" w:rsidRPr="00C8094D" w14:paraId="45631AD6"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6DD5FD4B" w14:textId="77777777" w:rsidR="006C5520" w:rsidRPr="00D21C51" w:rsidRDefault="006C5520">
            <w:pPr>
              <w:pStyle w:val="TableRowHeader"/>
            </w:pPr>
            <w:r>
              <w:t>Regulations</w:t>
            </w:r>
          </w:p>
        </w:tc>
      </w:tr>
      <w:tr w:rsidR="006C5520" w:rsidRPr="00C8094D" w14:paraId="69A27EF8" w14:textId="77777777" w:rsidTr="006C5520">
        <w:trPr>
          <w:cantSplit/>
          <w:trHeight w:val="255"/>
          <w:tblHeader/>
          <w:jc w:val="center"/>
        </w:trPr>
        <w:tc>
          <w:tcPr>
            <w:tcW w:w="3174" w:type="pct"/>
            <w:tcBorders>
              <w:top w:val="nil"/>
              <w:left w:val="single" w:sz="4" w:space="0" w:color="auto"/>
              <w:bottom w:val="single" w:sz="4" w:space="0" w:color="auto"/>
              <w:right w:val="single" w:sz="4" w:space="0" w:color="auto"/>
            </w:tcBorders>
            <w:shd w:val="clear" w:color="auto" w:fill="auto"/>
          </w:tcPr>
          <w:p w14:paraId="06094F80" w14:textId="77777777" w:rsidR="006C5520" w:rsidRDefault="006C5520">
            <w:pPr>
              <w:pStyle w:val="TableText"/>
            </w:pPr>
            <w:r>
              <w:t xml:space="preserve">333 CMR 13.00 </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2E3B871E" w14:textId="77777777" w:rsidR="006C5520" w:rsidRPr="007A6AAB" w:rsidRDefault="006C5520">
            <w:pPr>
              <w:pStyle w:val="TableText"/>
              <w:jc w:val="center"/>
              <w:rPr>
                <w:color w:val="00B050"/>
              </w:rPr>
            </w:pPr>
            <w:r w:rsidRPr="005A42D6">
              <w:rPr>
                <w:color w:val="00B050"/>
              </w:rPr>
              <w:t>X</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CBB446B" w14:textId="77777777" w:rsidR="006C5520" w:rsidRPr="007A6AAB" w:rsidRDefault="006C5520">
            <w:pPr>
              <w:pStyle w:val="TableText"/>
              <w:jc w:val="center"/>
              <w:rPr>
                <w:color w:val="00B050"/>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773C9163" w14:textId="77777777" w:rsidR="006C5520" w:rsidRDefault="006C5520">
            <w:pPr>
              <w:pStyle w:val="TableText"/>
              <w:jc w:val="center"/>
              <w:rPr>
                <w:color w:val="00B050"/>
              </w:rPr>
            </w:pPr>
          </w:p>
        </w:tc>
      </w:tr>
    </w:tbl>
    <w:p w14:paraId="0E9AEECC" w14:textId="77777777" w:rsidR="006C5520" w:rsidRDefault="006C5520" w:rsidP="006C5520">
      <w:pPr>
        <w:pStyle w:val="Heading3"/>
      </w:pPr>
      <w:r>
        <w:t>Relevant Resources</w:t>
      </w:r>
    </w:p>
    <w:p w14:paraId="68C7C566" w14:textId="4E726DE6" w:rsidR="006C5520" w:rsidRDefault="00DB6E18" w:rsidP="006D7DE6">
      <w:pPr>
        <w:pStyle w:val="BodyTextFirstIndent"/>
      </w:pPr>
      <w:r>
        <w:fldChar w:fldCharType="begin"/>
      </w:r>
      <w:r>
        <w:instrText xml:space="preserve"> REF _Ref180487332 \h </w:instrText>
      </w:r>
      <w:r>
        <w:fldChar w:fldCharType="separate"/>
      </w:r>
      <w:r w:rsidR="00307850">
        <w:t xml:space="preserve">Table </w:t>
      </w:r>
      <w:r w:rsidR="00307850">
        <w:rPr>
          <w:noProof/>
        </w:rPr>
        <w:t>80</w:t>
      </w:r>
      <w:r>
        <w:fldChar w:fldCharType="end"/>
      </w:r>
      <w:r>
        <w:t xml:space="preserve"> </w:t>
      </w:r>
      <w:r w:rsidR="006C5520">
        <w:t>provides a summary of resources related to implementing IPM in schools.</w:t>
      </w:r>
    </w:p>
    <w:p w14:paraId="52ECCA39" w14:textId="2FA09C9D" w:rsidR="006C5520" w:rsidRDefault="006C5520" w:rsidP="00B30C96">
      <w:pPr>
        <w:pStyle w:val="Caption"/>
      </w:pPr>
      <w:bookmarkStart w:id="631" w:name="_Ref180487332"/>
      <w:bookmarkStart w:id="632" w:name="_Toc192711746"/>
      <w:bookmarkStart w:id="633" w:name="_Toc193112628"/>
      <w:bookmarkStart w:id="634" w:name="_Toc193117027"/>
      <w:r>
        <w:t xml:space="preserve">Table </w:t>
      </w:r>
      <w:fldSimple w:instr=" SEQ Table \* ARABIC ">
        <w:r w:rsidR="00307850">
          <w:rPr>
            <w:noProof/>
          </w:rPr>
          <w:t>80</w:t>
        </w:r>
      </w:fldSimple>
      <w:bookmarkEnd w:id="631"/>
      <w:r>
        <w:t>. Resources for U</w:t>
      </w:r>
      <w:r w:rsidR="0069279D">
        <w:t>s</w:t>
      </w:r>
      <w:r>
        <w:t>ing Integrated Pest Management</w:t>
      </w:r>
      <w:bookmarkEnd w:id="632"/>
      <w:bookmarkEnd w:id="633"/>
      <w:bookmarkEnd w:id="634"/>
    </w:p>
    <w:tbl>
      <w:tblPr>
        <w:tblStyle w:val="TableGrid"/>
        <w:tblW w:w="9355" w:type="dxa"/>
        <w:tblLayout w:type="fixed"/>
        <w:tblLook w:val="04A0" w:firstRow="1" w:lastRow="0" w:firstColumn="1" w:lastColumn="0" w:noHBand="0" w:noVBand="1"/>
        <w:tblDescription w:val="Table listing resources with active URLs for utilizing integrated pest management."/>
      </w:tblPr>
      <w:tblGrid>
        <w:gridCol w:w="4675"/>
        <w:gridCol w:w="1260"/>
        <w:gridCol w:w="3420"/>
      </w:tblGrid>
      <w:tr w:rsidR="006C5520" w:rsidRPr="00276B41" w14:paraId="2E4F039E" w14:textId="77777777">
        <w:trPr>
          <w:tblHeader/>
        </w:trPr>
        <w:tc>
          <w:tcPr>
            <w:tcW w:w="4675" w:type="dxa"/>
            <w:shd w:val="clear" w:color="auto" w:fill="C6D9F1" w:themeFill="text2" w:themeFillTint="33"/>
          </w:tcPr>
          <w:p w14:paraId="6116C353" w14:textId="77777777" w:rsidR="006C5520" w:rsidRPr="004C3A1C" w:rsidRDefault="006C5520">
            <w:pPr>
              <w:pStyle w:val="TableColumnHeader"/>
            </w:pPr>
            <w:r w:rsidRPr="004C3A1C">
              <w:t>Resource</w:t>
            </w:r>
          </w:p>
        </w:tc>
        <w:tc>
          <w:tcPr>
            <w:tcW w:w="1260" w:type="dxa"/>
            <w:shd w:val="clear" w:color="auto" w:fill="C6D9F1" w:themeFill="text2" w:themeFillTint="33"/>
          </w:tcPr>
          <w:p w14:paraId="41502018" w14:textId="77777777" w:rsidR="006C5520" w:rsidRPr="004C3A1C" w:rsidRDefault="006C5520">
            <w:pPr>
              <w:pStyle w:val="TableColumnHeader"/>
            </w:pPr>
            <w:r w:rsidRPr="004C3A1C">
              <w:t>Author</w:t>
            </w:r>
          </w:p>
        </w:tc>
        <w:tc>
          <w:tcPr>
            <w:tcW w:w="3420" w:type="dxa"/>
            <w:shd w:val="clear" w:color="auto" w:fill="C6D9F1" w:themeFill="text2" w:themeFillTint="33"/>
          </w:tcPr>
          <w:p w14:paraId="39EC037F" w14:textId="77777777" w:rsidR="006C5520" w:rsidRPr="004C3A1C" w:rsidRDefault="006C5520">
            <w:pPr>
              <w:pStyle w:val="TableColumnHeader"/>
            </w:pPr>
            <w:r w:rsidRPr="004C3A1C">
              <w:t>URL</w:t>
            </w:r>
          </w:p>
        </w:tc>
      </w:tr>
      <w:tr w:rsidR="006C5520" w:rsidRPr="00276B41" w14:paraId="33390E98" w14:textId="77777777">
        <w:tc>
          <w:tcPr>
            <w:tcW w:w="4675" w:type="dxa"/>
          </w:tcPr>
          <w:p w14:paraId="284A8E21" w14:textId="77777777" w:rsidR="006C5520" w:rsidRPr="00B43831" w:rsidRDefault="006C5520">
            <w:pPr>
              <w:pStyle w:val="TableText"/>
            </w:pPr>
            <w:r w:rsidRPr="00B43831">
              <w:t xml:space="preserve">EPA </w:t>
            </w:r>
            <w:r>
              <w:t>Contacts</w:t>
            </w:r>
            <w:r w:rsidRPr="00B43831">
              <w:t>:</w:t>
            </w:r>
          </w:p>
          <w:p w14:paraId="4F3B57A3" w14:textId="77777777" w:rsidR="006C5520" w:rsidRPr="00276B41" w:rsidRDefault="006C5520">
            <w:pPr>
              <w:pStyle w:val="TableText"/>
            </w:pPr>
            <w:r>
              <w:t>Region 1 IPM Coordinator</w:t>
            </w:r>
          </w:p>
          <w:p w14:paraId="329DE547" w14:textId="77777777" w:rsidR="006C5520" w:rsidRPr="00276B41" w:rsidRDefault="006C5520">
            <w:pPr>
              <w:pStyle w:val="TableText"/>
            </w:pPr>
          </w:p>
        </w:tc>
        <w:tc>
          <w:tcPr>
            <w:tcW w:w="1260" w:type="dxa"/>
          </w:tcPr>
          <w:p w14:paraId="6E719F32" w14:textId="77777777" w:rsidR="006C5520" w:rsidRPr="00276B41" w:rsidRDefault="006C5520">
            <w:pPr>
              <w:pStyle w:val="TableText"/>
            </w:pPr>
            <w:r>
              <w:t xml:space="preserve">EPA </w:t>
            </w:r>
          </w:p>
        </w:tc>
        <w:tc>
          <w:tcPr>
            <w:tcW w:w="3420" w:type="dxa"/>
          </w:tcPr>
          <w:p w14:paraId="17F5292B" w14:textId="296870DE" w:rsidR="006C5520" w:rsidRPr="00276B41" w:rsidRDefault="006C5520">
            <w:pPr>
              <w:pStyle w:val="TableText"/>
            </w:pPr>
            <w:hyperlink r:id="rId355" w:history="1">
              <w:r w:rsidRPr="005827F8">
                <w:rPr>
                  <w:rStyle w:val="Hyperlink"/>
                </w:rPr>
                <w:t>https://www.epa.gov/ipm/regional-ipm-contacts</w:t>
              </w:r>
            </w:hyperlink>
          </w:p>
        </w:tc>
      </w:tr>
      <w:tr w:rsidR="006C5520" w:rsidRPr="00276B41" w14:paraId="1A481640" w14:textId="77777777">
        <w:tc>
          <w:tcPr>
            <w:tcW w:w="4675" w:type="dxa"/>
          </w:tcPr>
          <w:p w14:paraId="2EF1AAFF" w14:textId="77777777" w:rsidR="006C5520" w:rsidRPr="00B43831" w:rsidRDefault="006C5520">
            <w:pPr>
              <w:pStyle w:val="TableText"/>
            </w:pPr>
            <w:r>
              <w:t>Integrated Pest Management Programs</w:t>
            </w:r>
          </w:p>
        </w:tc>
        <w:tc>
          <w:tcPr>
            <w:tcW w:w="1260" w:type="dxa"/>
          </w:tcPr>
          <w:p w14:paraId="0839C0F2" w14:textId="77777777" w:rsidR="006C5520" w:rsidRDefault="006C5520">
            <w:pPr>
              <w:pStyle w:val="TableText"/>
            </w:pPr>
            <w:r>
              <w:t>MDAR</w:t>
            </w:r>
          </w:p>
        </w:tc>
        <w:tc>
          <w:tcPr>
            <w:tcW w:w="3420" w:type="dxa"/>
          </w:tcPr>
          <w:p w14:paraId="2AABC242" w14:textId="7FF06F7E" w:rsidR="006C5520" w:rsidRDefault="006C5520">
            <w:pPr>
              <w:pStyle w:val="TableText"/>
            </w:pPr>
            <w:hyperlink r:id="rId356" w:history="1">
              <w:r w:rsidRPr="006E6C86">
                <w:rPr>
                  <w:rStyle w:val="Hyperlink"/>
                </w:rPr>
                <w:t>https://www.mass.gov/info-details/integrated-pest-management-programs</w:t>
              </w:r>
            </w:hyperlink>
          </w:p>
        </w:tc>
      </w:tr>
      <w:tr w:rsidR="006C5520" w:rsidRPr="00276B41" w14:paraId="04E61205" w14:textId="77777777">
        <w:tc>
          <w:tcPr>
            <w:tcW w:w="4675" w:type="dxa"/>
          </w:tcPr>
          <w:p w14:paraId="5A8A5889" w14:textId="77777777" w:rsidR="006C5520" w:rsidRDefault="006C5520">
            <w:pPr>
              <w:pStyle w:val="TableText"/>
            </w:pPr>
            <w:r w:rsidRPr="0028592E">
              <w:t>Integrated Pest Management</w:t>
            </w:r>
            <w:r>
              <w:t xml:space="preserve"> </w:t>
            </w:r>
            <w:r w:rsidRPr="0028592E">
              <w:t>Six Step Approach</w:t>
            </w:r>
          </w:p>
        </w:tc>
        <w:tc>
          <w:tcPr>
            <w:tcW w:w="1260" w:type="dxa"/>
          </w:tcPr>
          <w:p w14:paraId="08735DF5" w14:textId="77777777" w:rsidR="006C5520" w:rsidRDefault="006C5520">
            <w:pPr>
              <w:pStyle w:val="TableText"/>
            </w:pPr>
            <w:r>
              <w:t>MDAR</w:t>
            </w:r>
          </w:p>
        </w:tc>
        <w:tc>
          <w:tcPr>
            <w:tcW w:w="3420" w:type="dxa"/>
          </w:tcPr>
          <w:p w14:paraId="4CE83FD8" w14:textId="79A1D8A6" w:rsidR="006C5520" w:rsidRDefault="006C5520">
            <w:pPr>
              <w:pStyle w:val="TableText"/>
            </w:pPr>
            <w:hyperlink r:id="rId357" w:history="1">
              <w:r w:rsidRPr="006E6C86">
                <w:rPr>
                  <w:rStyle w:val="Hyperlink"/>
                </w:rPr>
                <w:t>https://www.mass.gov/info-details/integrated-pest-management-ipm-six-step-approach</w:t>
              </w:r>
            </w:hyperlink>
          </w:p>
        </w:tc>
      </w:tr>
      <w:tr w:rsidR="006C5520" w:rsidRPr="00276B41" w14:paraId="6F9AD8BD" w14:textId="77777777">
        <w:tc>
          <w:tcPr>
            <w:tcW w:w="4675" w:type="dxa"/>
          </w:tcPr>
          <w:p w14:paraId="094E0769" w14:textId="77777777" w:rsidR="006C5520" w:rsidRPr="00276B41" w:rsidRDefault="006C5520">
            <w:pPr>
              <w:pStyle w:val="TableText"/>
            </w:pPr>
            <w:r>
              <w:t>Webinar: Pests of Public Health Importance and the Role of Integrated Pest Management in Schools</w:t>
            </w:r>
          </w:p>
        </w:tc>
        <w:tc>
          <w:tcPr>
            <w:tcW w:w="1260" w:type="dxa"/>
          </w:tcPr>
          <w:p w14:paraId="117F0676" w14:textId="77777777" w:rsidR="006C5520" w:rsidRPr="00276B41" w:rsidRDefault="006C5520">
            <w:pPr>
              <w:pStyle w:val="TableText"/>
            </w:pPr>
            <w:r>
              <w:t>EPA</w:t>
            </w:r>
          </w:p>
        </w:tc>
        <w:tc>
          <w:tcPr>
            <w:tcW w:w="3420" w:type="dxa"/>
          </w:tcPr>
          <w:p w14:paraId="5127A300" w14:textId="39883D9A" w:rsidR="006C5520" w:rsidRDefault="006C5520">
            <w:pPr>
              <w:pStyle w:val="TableText"/>
            </w:pPr>
            <w:hyperlink r:id="rId358" w:history="1">
              <w:r w:rsidRPr="005827F8">
                <w:rPr>
                  <w:rStyle w:val="Hyperlink"/>
                </w:rPr>
                <w:t>https://www.youtube.com/watch?v=mu8Q6XzGWpo</w:t>
              </w:r>
            </w:hyperlink>
          </w:p>
          <w:p w14:paraId="78A5116F" w14:textId="77777777" w:rsidR="006C5520" w:rsidRPr="00276B41" w:rsidRDefault="006C5520">
            <w:pPr>
              <w:pStyle w:val="TableText"/>
            </w:pPr>
          </w:p>
        </w:tc>
      </w:tr>
    </w:tbl>
    <w:p w14:paraId="17D23196" w14:textId="2ACE4AA0" w:rsidR="00FD43CA" w:rsidRDefault="00FD43CA" w:rsidP="001C7888">
      <w:pPr>
        <w:pStyle w:val="Heading2"/>
      </w:pPr>
      <w:bookmarkStart w:id="635" w:name="SectVII_2e"/>
      <w:bookmarkStart w:id="636" w:name="_Toc193116937"/>
      <w:bookmarkEnd w:id="635"/>
      <w:r>
        <w:t>Objective 2</w:t>
      </w:r>
      <w:r w:rsidR="003269A3">
        <w:t>e</w:t>
      </w:r>
      <w:r>
        <w:t xml:space="preserve">. </w:t>
      </w:r>
      <w:r w:rsidR="003269A3" w:rsidRPr="003269A3">
        <w:t>Procure and Use Green Cleaning Supplies and Chemicals</w:t>
      </w:r>
      <w:bookmarkEnd w:id="636"/>
    </w:p>
    <w:p w14:paraId="46A218A2" w14:textId="77777777" w:rsidR="00597249" w:rsidRDefault="00597249" w:rsidP="00597249">
      <w:pPr>
        <w:pStyle w:val="Heading3"/>
      </w:pPr>
      <w:r>
        <w:t>Methods and Best Practices</w:t>
      </w:r>
    </w:p>
    <w:p w14:paraId="5397EA86" w14:textId="77777777" w:rsidR="00597249" w:rsidRPr="00645F0D" w:rsidRDefault="00597249" w:rsidP="006D7DE6">
      <w:pPr>
        <w:pStyle w:val="BodyTextFirstIndent"/>
      </w:pPr>
      <w:r>
        <w:t xml:space="preserve">The methods and best practices in this section focus on implementing a chemical management system and utilizing green chemicals to protect the health and safety of staff and students using chemicals in schools. </w:t>
      </w:r>
    </w:p>
    <w:p w14:paraId="060CF132" w14:textId="77777777" w:rsidR="00597249" w:rsidRDefault="00597249" w:rsidP="00597249">
      <w:pPr>
        <w:pStyle w:val="Heading4"/>
      </w:pPr>
      <w:r>
        <w:lastRenderedPageBreak/>
        <w:t>Chemical Management System</w:t>
      </w:r>
    </w:p>
    <w:p w14:paraId="398DCED3" w14:textId="63397685" w:rsidR="00597249" w:rsidRPr="00645F0D" w:rsidRDefault="00597249" w:rsidP="006D7DE6">
      <w:pPr>
        <w:pStyle w:val="BodyTextFirstIndent"/>
      </w:pPr>
      <w:r>
        <w:t xml:space="preserve">The following three best practices can assist in implementing a strong chemical management system within schools. </w:t>
      </w:r>
      <w:r w:rsidR="00783495">
        <w:t>S</w:t>
      </w:r>
      <w:r>
        <w:t xml:space="preserve">chools </w:t>
      </w:r>
      <w:r w:rsidR="00783495">
        <w:t>must</w:t>
      </w:r>
      <w:r w:rsidR="008E2732">
        <w:t xml:space="preserve"> </w:t>
      </w:r>
      <w:r>
        <w:t xml:space="preserve">use, store, and dispose of chemicals in a manner that minimizes the misuse of chemicals and ultimate exposure to hazardous substances by staff and students. </w:t>
      </w:r>
    </w:p>
    <w:p w14:paraId="10444F52" w14:textId="77777777" w:rsidR="00597249" w:rsidRDefault="00597249" w:rsidP="00597249">
      <w:pPr>
        <w:pStyle w:val="Heading5"/>
      </w:pPr>
      <w:r>
        <w:t>(1) Develop a school chemical management program</w:t>
      </w:r>
    </w:p>
    <w:p w14:paraId="27A3A806" w14:textId="130E0C43" w:rsidR="00597249" w:rsidRDefault="00597249" w:rsidP="006D7DE6">
      <w:pPr>
        <w:pStyle w:val="BodyTextFirstIndent"/>
      </w:pPr>
      <w:r>
        <w:t>An important first step to minimize exposure to hazardous or mismanaged chemicals in schools is to develop a chemical management program, beginning with evaluating the current conditions of a school’s use of chemicals and conducting an inventory of all chemicals present onsite.</w:t>
      </w:r>
      <w:r>
        <w:fldChar w:fldCharType="begin"/>
      </w:r>
      <w:r w:rsidR="001645CB">
        <w:instrText xml:space="preserve"> ADDIN ZOTERO_ITEM CSL_CITATION {"citationID":"J1ln23Ia","properties":{"formattedCitation":"\\super 133,352\\nosupersub{}","plainCitation":"133,352","noteIndex":0},"citationItems":[{"id":448,"uris":["http://zotero.org/groups/5563646/items/LLFKD8QC"],"itemData":{"id":448,"type":"document","title":"Building Successful Programs to Address Chemical Risks in Schools","author":[{"family":"US EPA","given":""}],"issued":{"date-parts":[["2008",11]]}}},{"id":450,"uris":["http://zotero.org/groups/5563646/items/PF6V93TQ"],"itemData":{"id":450,"type":"document","title":"Massachusetts School Chemical Management Program","author":[{"family":"MassDEP","given":""}],"issued":{"date-parts":[["2006",11]]}}}],"schema":"https://github.com/citation-style-language/schema/raw/master/csl-citation.json"} </w:instrText>
      </w:r>
      <w:r>
        <w:fldChar w:fldCharType="separate"/>
      </w:r>
      <w:r w:rsidR="001645CB" w:rsidRPr="001645CB">
        <w:rPr>
          <w:rFonts w:cs="Arial"/>
          <w:vertAlign w:val="superscript"/>
        </w:rPr>
        <w:t>133,352</w:t>
      </w:r>
      <w:r>
        <w:fldChar w:fldCharType="end"/>
      </w:r>
      <w:r>
        <w:t xml:space="preserve"> A visual inspection should be performed to identify mismanaged chemicals, which are characterized by expired chemicals or those in poor condition (i.e., evident corrosion), unlabeled chemicals, mis-stored chemicals, and a lack of displayed safety information on the label.</w:t>
      </w:r>
      <w:r>
        <w:fldChar w:fldCharType="begin"/>
      </w:r>
      <w:r w:rsidR="005F152D">
        <w:instrText xml:space="preserve"> ADDIN ZOTERO_ITEM CSL_CITATION {"citationID":"AL3GHc6p","properties":{"formattedCitation":"\\super 101,133\\nosupersub{}","plainCitation":"101,133","noteIndex":0},"citationItems":[{"id":450,"uris":["http://zotero.org/groups/5563646/items/PF6V93TQ"],"itemData":{"id":450,"type":"document","title":"Massachusetts School Chemical Management Program","author":[{"family":"MassDEP","given":""}],"issued":{"date-parts":[["2006",11]]}}},{"id":10,"uris":["http://zotero.org/groups/5563646/items/RET9EIZX"],"itemData":{"id":10,"type":"report","language":"en","number":"EPA-908-R-12-0001","source":"Zotero","title":"Sensible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5F152D" w:rsidRPr="005F152D">
        <w:rPr>
          <w:rFonts w:cs="Arial"/>
          <w:vertAlign w:val="superscript"/>
        </w:rPr>
        <w:t>101,133</w:t>
      </w:r>
      <w:r>
        <w:fldChar w:fldCharType="end"/>
      </w:r>
      <w:r>
        <w:t xml:space="preserve"> A detailed chemical inventory should be noted, and any chemicals deemed unnecessary, expired, or posing a health, safety, or environmental risk should be appropriately disposed of.</w:t>
      </w:r>
      <w:r>
        <w:fldChar w:fldCharType="begin"/>
      </w:r>
      <w:r w:rsidR="0016761C">
        <w:instrText xml:space="preserve"> ADDIN ZOTERO_ITEM CSL_CITATION {"citationID":"6B3UnNfd","properties":{"formattedCitation":"\\super 99,101,133,287\\nosupersub{}","plainCitation":"99,101,133,287","noteIndex":0},"citationItems":[{"id":450,"uris":["http://zotero.org/groups/5563646/items/PF6V93TQ"],"itemData":{"id":450,"type":"document","title":"Massachusetts School Chemical Management Program","author":[{"family":"MassDEP","given":""}],"issued":{"date-parts":[["2006",11]]}}},{"id":10,"uris":["http://zotero.org/groups/5563646/items/RET9EIZX"],"itemData":{"id":10,"type":"report","language":"en","number":"EPA-908-R-12-0001","source":"Zotero","title":"Sensible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16761C" w:rsidRPr="0016761C">
        <w:rPr>
          <w:rFonts w:cs="Arial"/>
          <w:vertAlign w:val="superscript"/>
        </w:rPr>
        <w:t>99,101,133,287</w:t>
      </w:r>
      <w:r>
        <w:fldChar w:fldCharType="end"/>
      </w:r>
      <w:r>
        <w:t xml:space="preserve"> </w:t>
      </w:r>
    </w:p>
    <w:p w14:paraId="4C71C09A" w14:textId="24B5D075" w:rsidR="00597249" w:rsidRPr="000A4660" w:rsidRDefault="00597249" w:rsidP="006D7DE6">
      <w:pPr>
        <w:pStyle w:val="BodyTextFirstIndent"/>
      </w:pPr>
      <w:r>
        <w:t>Additionally, attention should be paid to how chemicals are being physically stored and whether safety information is available.</w:t>
      </w:r>
      <w:r>
        <w:fldChar w:fldCharType="begin"/>
      </w:r>
      <w:r w:rsidR="006D0979">
        <w:instrText xml:space="preserve"> ADDIN ZOTERO_ITEM CSL_CITATION {"citationID":"ayuxs4GR","properties":{"formattedCitation":"\\super 99,101,133,287,353\\nosupersub{}","plainCitation":"99,101,133,287,353","noteIndex":0},"citationItems":[{"id":450,"uris":["http://zotero.org/groups/5563646/items/PF6V93TQ"],"itemData":{"id":450,"type":"document","title":"Massachusetts School Chemical Management Program","author":[{"family":"MassDEP","given":""}],"issued":{"date-parts":[["2006",11]]}}},{"id":10,"uris":["http://zotero.org/groups/5563646/items/RET9EIZX"],"itemData":{"id":10,"type":"report","language":"en","number":"EPA-908-R-12-0001","source":"Zotero","title":"Sensible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EPA","given":""}],"issued":{"date-parts":[["2006"]]}}},{"id":13,"uris":["http://zotero.org/groups/5563646/items/ASKMUJY7"],"itemData":{"id":13,"type":"report","title":"Checklist Concerning Environmental Health &amp; Safety in Schools","author":[{"family":"Healthy Schools Council","given":""}],"issued":{"date-parts":[["2003",9]]}}},{"id":449,"uris":["http://zotero.org/groups/5563646/items/SUA6GR9F"],"itemData":{"id":449,"type":"document","title":"Guidance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6D0979" w:rsidRPr="006D0979">
        <w:rPr>
          <w:rFonts w:cs="Arial"/>
          <w:vertAlign w:val="superscript"/>
        </w:rPr>
        <w:t>99,101,133,287,353</w:t>
      </w:r>
      <w:r>
        <w:fldChar w:fldCharType="end"/>
      </w:r>
      <w:r>
        <w:t xml:space="preserve"> Chemicals should be stored in an appropriate cabinet depending on their properties or chemical class, where acids and flammables are separated from other chemicals.</w:t>
      </w:r>
      <w:r>
        <w:fldChar w:fldCharType="begin"/>
      </w:r>
      <w:r w:rsidR="008B56C8">
        <w:instrText xml:space="preserve"> ADDIN ZOTERO_ITEM CSL_CITATION {"citationID":"MpUVtPTS","properties":{"formattedCitation":"\\super 133,287,353\\nosupersub{}","plainCitation":"133,287,353","noteIndex":0},"citationItems":[{"id":450,"uris":["http://zotero.org/groups/5563646/items/PF6V93TQ"],"itemData":{"id":450,"type":"document","title":"Massachusetts School Chemical Management Program","author":[{"family":"MassDEP","given":""}],"issued":{"date-parts":[["2006",11]]}}},{"id":13,"uris":["http://zotero.org/groups/5563646/items/ASKMUJY7"],"itemData":{"id":13,"type":"report","title":"Checklist Concerning Environmental Health &amp; Safety in Schools","author":[{"family":"Healthy Schools Council","given":""}],"issued":{"date-parts":[["2003",9]]}}},{"id":449,"uris":["http://zotero.org/groups/5563646/items/SUA6GR9F"],"itemData":{"id":449,"type":"document","title":"Guidance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8B56C8" w:rsidRPr="008B56C8">
        <w:rPr>
          <w:rFonts w:cs="Arial"/>
          <w:vertAlign w:val="superscript"/>
        </w:rPr>
        <w:t>133,287,353</w:t>
      </w:r>
      <w:r>
        <w:fldChar w:fldCharType="end"/>
      </w:r>
      <w:r>
        <w:t xml:space="preserve"> The storage cabinets should have shelving constructed to resist corrosion and include guardrails to prevent accidental slippage.</w:t>
      </w:r>
      <w:r>
        <w:fldChar w:fldCharType="begin"/>
      </w:r>
      <w:r w:rsidR="000C1B34">
        <w:instrText xml:space="preserve"> ADDIN ZOTERO_ITEM CSL_CITATION {"citationID":"wdePIHkD","properties":{"formattedCitation":"\\super 287,353\\nosupersub{}","plainCitation":"287,353","noteIndex":0},"citationItems":[{"id":13,"uris":["http://zotero.org/groups/5563646/items/ASKMUJY7"],"itemData":{"id":13,"type":"report","title":"Checklist Concerning Environmental Health &amp; Safety in Schools","author":[{"family":"Healthy Schools Council","given":""}],"issued":{"date-parts":[["2003",9]]}}},{"id":449,"uris":["http://zotero.org/groups/5563646/items/SUA6GR9F"],"itemData":{"id":449,"type":"document","title":"Guidance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0C1B34" w:rsidRPr="000C1B34">
        <w:rPr>
          <w:rFonts w:cs="Arial"/>
          <w:vertAlign w:val="superscript"/>
        </w:rPr>
        <w:t>287,353</w:t>
      </w:r>
      <w:r>
        <w:fldChar w:fldCharType="end"/>
      </w:r>
      <w:r>
        <w:t xml:space="preserve"> Designated chemical storage rooms should have dedicated exhaust ventilation systems to reduce the availability of chemical vapors.</w:t>
      </w:r>
      <w:r>
        <w:fldChar w:fldCharType="begin"/>
      </w:r>
      <w:r w:rsidR="00883DF9">
        <w:instrText xml:space="preserve"> ADDIN ZOTERO_ITEM CSL_CITATION {"citationID":"uu9E9FjC","properties":{"formattedCitation":"\\super 133,353\\nosupersub{}","plainCitation":"133,353","noteIndex":0},"citationItems":[{"id":450,"uris":["http://zotero.org/groups/5563646/items/PF6V93TQ"],"itemData":{"id":450,"type":"document","title":"Massachusetts School Chemical Management Program","author":[{"family":"MassDEP","given":""}],"issued":{"date-parts":[["2006",11]]}}},{"id":449,"uris":["http://zotero.org/groups/5563646/items/SUA6GR9F"],"itemData":{"id":449,"type":"document","title":"Guidance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883DF9" w:rsidRPr="00883DF9">
        <w:rPr>
          <w:rFonts w:cs="Arial"/>
          <w:vertAlign w:val="superscript"/>
        </w:rPr>
        <w:t>133,353</w:t>
      </w:r>
      <w:r>
        <w:fldChar w:fldCharType="end"/>
      </w:r>
      <w:r>
        <w:t xml:space="preserve"> Lastly, chemicals should always be easily identifiable via proper labeling mechanisms, and material safety data sheet (MSDS) information should be readily available.</w:t>
      </w:r>
      <w:r>
        <w:fldChar w:fldCharType="begin"/>
      </w:r>
      <w:r w:rsidR="001567B8">
        <w:instrText xml:space="preserve"> ADDIN ZOTERO_ITEM CSL_CITATION {"citationID":"gvFxD4vx","properties":{"formattedCitation":"\\super 99,101,287,353\\nosupersub{}","plainCitation":"99,101,287,353","noteIndex":0},"citationItems":[{"id":10,"uris":["http://zotero.org/groups/5563646/items/RET9EIZX"],"itemData":{"id":10,"type":"report","language":"en","number":"EPA-908-R-12-0001","source":"Zotero","title":"Sensible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EPA","given":""}],"issued":{"date-parts":[["2006"]]}}},{"id":13,"uris":["http://zotero.org/groups/5563646/items/ASKMUJY7"],"itemData":{"id":13,"type":"report","title":"Checklist Concerning Environmental Health &amp; Safety in Schools","author":[{"family":"Healthy Schools Council","given":""}],"issued":{"date-parts":[["2003",9]]}}},{"id":449,"uris":["http://zotero.org/groups/5563646/items/SUA6GR9F"],"itemData":{"id":449,"type":"document","title":"Guidance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1567B8" w:rsidRPr="001567B8">
        <w:rPr>
          <w:rFonts w:cs="Arial"/>
          <w:vertAlign w:val="superscript"/>
        </w:rPr>
        <w:t>99,101,287,353</w:t>
      </w:r>
      <w:r>
        <w:fldChar w:fldCharType="end"/>
      </w:r>
    </w:p>
    <w:p w14:paraId="42F6A64B" w14:textId="0D8FAF6A" w:rsidR="00597249" w:rsidRPr="000A4660" w:rsidRDefault="00597249" w:rsidP="006D7DE6">
      <w:pPr>
        <w:pStyle w:val="BodyTextFirstIndent"/>
      </w:pPr>
      <w:r>
        <w:t xml:space="preserve">When disposing of hazardous chemicals, including electronics, follow guidance provided by MassDEP and local hazardous waste collection facilities that have been approved by MassDEP for collection. Massachusetts has a </w:t>
      </w:r>
      <w:hyperlink r:id="rId359" w:history="1">
        <w:r w:rsidRPr="00136B86">
          <w:rPr>
            <w:rStyle w:val="Hyperlink"/>
          </w:rPr>
          <w:t>statewide contract (FAC110)</w:t>
        </w:r>
      </w:hyperlink>
      <w:r>
        <w:t xml:space="preserve"> in place to aid with hazardous waste disposal. </w:t>
      </w:r>
    </w:p>
    <w:p w14:paraId="0B5656A1" w14:textId="5D4CDD07" w:rsidR="00597249" w:rsidRPr="000A4660" w:rsidRDefault="00597249" w:rsidP="006D7DE6">
      <w:pPr>
        <w:pStyle w:val="BodyTextFirstIndent"/>
      </w:pPr>
      <w:r>
        <w:t xml:space="preserve">These practices should be put into place regularly </w:t>
      </w:r>
      <w:r w:rsidR="005950D0">
        <w:t>for</w:t>
      </w:r>
      <w:r>
        <w:t xml:space="preserve"> long-term adequate chemical use, storage, and disposal. </w:t>
      </w:r>
    </w:p>
    <w:p w14:paraId="0A4607A1" w14:textId="77777777" w:rsidR="00597249" w:rsidRDefault="00597249" w:rsidP="00597249">
      <w:pPr>
        <w:pStyle w:val="Heading5"/>
      </w:pPr>
      <w:r>
        <w:t>(2) Create an emergency and spill response plan</w:t>
      </w:r>
    </w:p>
    <w:p w14:paraId="3B9F5440" w14:textId="5EC62061" w:rsidR="00597249" w:rsidRDefault="00597249" w:rsidP="006D7DE6">
      <w:pPr>
        <w:pStyle w:val="BodyTextFirstIndent"/>
      </w:pPr>
      <w:r>
        <w:t>Another critical step in minimizing exposure to hazardous or mismanaged chemicals is to create an emergency and spill response plan. This should be a written plan describing what to do and who to contact in an emergency or spill.</w:t>
      </w:r>
      <w:r>
        <w:fldChar w:fldCharType="begin"/>
      </w:r>
      <w:r w:rsidR="00FF3CAD">
        <w:instrText xml:space="preserve"> ADDIN ZOTERO_ITEM CSL_CITATION {"citationID":"HuQFaekH","properties":{"formattedCitation":"\\super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FF3CAD" w:rsidRPr="00FF3CAD">
        <w:rPr>
          <w:rFonts w:cs="Arial"/>
          <w:vertAlign w:val="superscript"/>
        </w:rPr>
        <w:t>99</w:t>
      </w:r>
      <w:r>
        <w:fldChar w:fldCharType="end"/>
      </w:r>
      <w:r>
        <w:t xml:space="preserve"> The plan should include detailed information such as emergency response contact information, location of necessary supplies (e.g., spill kits), diagrams of facility grounds, evacuation and accountability plans, and communication plans or other means of alerting individuals.</w:t>
      </w:r>
      <w:r>
        <w:fldChar w:fldCharType="begin"/>
      </w:r>
      <w:r w:rsidR="0001295D">
        <w:instrText xml:space="preserve"> ADDIN ZOTERO_ITEM CSL_CITATION {"citationID":"x9DBmmx8","properties":{"formattedCitation":"\\super 99,133\\nosupersub{}","plainCitation":"99,133","noteIndex":0},"citationItems":[{"id":450,"uris":["http://zotero.org/groups/5563646/items/PF6V93TQ"],"itemData":{"id":450,"type":"document","title":"Massachusetts School Chemical Management Program","author":[{"family":"MassDEP","given":""}],"issued":{"date-parts":[["2006",11]]}}},{"id":12,"uris":["http://zotero.org/groups/5563646/items/4P4TGQ7E"],"itemData":{"id":12,"type":"report","language":"en","source":"Zotero","title":"Chemical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01295D" w:rsidRPr="0001295D">
        <w:rPr>
          <w:rFonts w:cs="Arial"/>
          <w:vertAlign w:val="superscript"/>
        </w:rPr>
        <w:t>99,133</w:t>
      </w:r>
      <w:r>
        <w:fldChar w:fldCharType="end"/>
      </w:r>
      <w:r>
        <w:t xml:space="preserve"> Always call 911 in an emergency; however, the Massachusetts Emergency Response Line (1-888-304-1133) may also be a useful contact for answers </w:t>
      </w:r>
      <w:r>
        <w:lastRenderedPageBreak/>
        <w:t>to technical questions or assistance in determining if non-emergency situations warrant further action or reporting.</w:t>
      </w:r>
      <w:r>
        <w:fldChar w:fldCharType="begin"/>
      </w:r>
      <w:r w:rsidR="00241763">
        <w:instrText xml:space="preserve"> ADDIN ZOTERO_ITEM CSL_CITATION {"citationID":"jAwCLGRF","properties":{"formattedCitation":"\\super 133,353\\nosupersub{}","plainCitation":"133,353","noteIndex":0},"citationItems":[{"id":450,"uris":["http://zotero.org/groups/5563646/items/PF6V93TQ"],"itemData":{"id":450,"type":"document","title":"Massachusetts School Chemical Management Program","author":[{"family":"MassDEP","given":""}],"issued":{"date-parts":[["2006",11]]}}},{"id":449,"uris":["http://zotero.org/groups/5563646/items/SUA6GR9F"],"itemData":{"id":449,"type":"document","title":"Guidance Concerning Proper Use and Storage of Chemicals in Schools to Protect Public Health","author":[{"family":"MDPH","given":""}],"issued":{"date-parts":[["2016",5]]}}}],"schema":"https://github.com/citation-style-language/schema/raw/master/csl-citation.json"} </w:instrText>
      </w:r>
      <w:r>
        <w:fldChar w:fldCharType="separate"/>
      </w:r>
      <w:r w:rsidR="00241763" w:rsidRPr="00241763">
        <w:rPr>
          <w:rFonts w:cs="Arial"/>
          <w:vertAlign w:val="superscript"/>
        </w:rPr>
        <w:t>133,353</w:t>
      </w:r>
      <w:r>
        <w:fldChar w:fldCharType="end"/>
      </w:r>
      <w:r>
        <w:t xml:space="preserve">  </w:t>
      </w:r>
    </w:p>
    <w:p w14:paraId="6A6FEDE5" w14:textId="27F1AFC2" w:rsidR="00597249" w:rsidRDefault="00597249" w:rsidP="00597249">
      <w:pPr>
        <w:pStyle w:val="Heading5"/>
      </w:pPr>
      <w:r>
        <w:t xml:space="preserve">(3) Form a chemical safety team and </w:t>
      </w:r>
      <w:r w:rsidR="003111BC">
        <w:t>conduct</w:t>
      </w:r>
      <w:r>
        <w:t xml:space="preserve"> adequate staff training</w:t>
      </w:r>
    </w:p>
    <w:p w14:paraId="63065171" w14:textId="47BF2449" w:rsidR="00597249" w:rsidRDefault="00597249" w:rsidP="006D7DE6">
      <w:pPr>
        <w:pStyle w:val="BodyTextFirstIndent"/>
      </w:pPr>
      <w:r>
        <w:t xml:space="preserve">It is important to have a solid chemical safety team to </w:t>
      </w:r>
      <w:r w:rsidR="0001710F">
        <w:t>oversee</w:t>
      </w:r>
      <w:r>
        <w:t xml:space="preserve"> chemical management programs and emergency or spill response plans. The chemical safety team should coordinate and implement all strategic plans that minimize exposure to hazardous substances, promote chemical safety, and </w:t>
      </w:r>
      <w:r w:rsidR="009D1679">
        <w:t xml:space="preserve">retain </w:t>
      </w:r>
      <w:r>
        <w:t>document</w:t>
      </w:r>
      <w:r w:rsidR="009D1679">
        <w:t xml:space="preserve">s for </w:t>
      </w:r>
      <w:r>
        <w:t>long-term institutional memory.</w:t>
      </w:r>
      <w:r>
        <w:fldChar w:fldCharType="begin"/>
      </w:r>
      <w:r w:rsidR="009361E0">
        <w:instrText xml:space="preserve"> ADDIN ZOTERO_ITEM CSL_CITATION {"citationID":"OodiKGlp","properties":{"formattedCitation":"\\super 133\\nosupersub{}","plainCitation":"133","noteIndex":0},"citationItems":[{"id":450,"uris":["http://zotero.org/groups/5563646/items/PF6V93TQ"],"itemData":{"id":450,"type":"document","title":"Massachusetts School Chemical Management Program","author":[{"family":"MassDEP","given":""}],"issued":{"date-parts":[["2006",11]]}}}],"schema":"https://github.com/citation-style-language/schema/raw/master/csl-citation.json"} </w:instrText>
      </w:r>
      <w:r>
        <w:fldChar w:fldCharType="separate"/>
      </w:r>
      <w:r w:rsidR="009361E0" w:rsidRPr="009361E0">
        <w:rPr>
          <w:rFonts w:cs="Arial"/>
          <w:vertAlign w:val="superscript"/>
        </w:rPr>
        <w:t>133</w:t>
      </w:r>
      <w:r>
        <w:fldChar w:fldCharType="end"/>
      </w:r>
      <w:r>
        <w:t xml:space="preserve"> The team should </w:t>
      </w:r>
      <w:r w:rsidR="00BF2D03">
        <w:t>include</w:t>
      </w:r>
      <w:r>
        <w:t xml:space="preserve"> diverse areas of expertise, where leadership and decision</w:t>
      </w:r>
      <w:r w:rsidR="00732E58">
        <w:t xml:space="preserve"> </w:t>
      </w:r>
      <w:r>
        <w:t>making roles are clearly defined.</w:t>
      </w:r>
      <w:r>
        <w:fldChar w:fldCharType="begin"/>
      </w:r>
      <w:r w:rsidR="005C2090">
        <w:instrText xml:space="preserve"> ADDIN ZOTERO_ITEM CSL_CITATION {"citationID":"I8Imy3jJ","properties":{"formattedCitation":"\\super 352\\nosupersub{}","plainCitation":"352","noteIndex":0},"citationItems":[{"id":448,"uris":["http://zotero.org/groups/5563646/items/LLFKD8QC"],"itemData":{"id":448,"type":"document","title":"Building Successful Programs to Address Chemical Risks in Schools","author":[{"family":"US EPA","given":""}],"issued":{"date-parts":[["2008",11]]}}}],"schema":"https://github.com/citation-style-language/schema/raw/master/csl-citation.json"} </w:instrText>
      </w:r>
      <w:r>
        <w:fldChar w:fldCharType="separate"/>
      </w:r>
      <w:r w:rsidR="005C2090" w:rsidRPr="005C2090">
        <w:rPr>
          <w:rFonts w:cs="Arial"/>
          <w:vertAlign w:val="superscript"/>
        </w:rPr>
        <w:t>352</w:t>
      </w:r>
      <w:r>
        <w:fldChar w:fldCharType="end"/>
      </w:r>
      <w:r>
        <w:t xml:space="preserve"> Further, the team should </w:t>
      </w:r>
      <w:r w:rsidR="00BF2D03">
        <w:t>conduct</w:t>
      </w:r>
      <w:r>
        <w:t xml:space="preserve"> proper training for all staff and students who handle chemicals.</w:t>
      </w:r>
      <w:r>
        <w:fldChar w:fldCharType="begin"/>
      </w:r>
      <w:r w:rsidR="00F4598A">
        <w:instrText xml:space="preserve"> ADDIN ZOTERO_ITEM CSL_CITATION {"citationID":"eJWdZG62","properties":{"formattedCitation":"\\super 99,101\\nosupersub{}","plainCitation":"99,101","noteIndex":0},"citationItems":[{"id":10,"uris":["http://zotero.org/groups/5563646/items/RET9EIZX"],"itemData":{"id":10,"type":"report","language":"en","number":"EPA-908-R-12-0001","source":"Zotero","title":"Sensible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F4598A" w:rsidRPr="00F4598A">
        <w:rPr>
          <w:rFonts w:cs="Arial"/>
          <w:vertAlign w:val="superscript"/>
        </w:rPr>
        <w:t>99,101</w:t>
      </w:r>
      <w:r>
        <w:fldChar w:fldCharType="end"/>
      </w:r>
      <w:r>
        <w:t xml:space="preserve"> Training on emergency or spill response plans and MSDS and other chemical safety information should also be available.</w:t>
      </w:r>
      <w:r>
        <w:fldChar w:fldCharType="begin"/>
      </w:r>
      <w:r w:rsidR="00434086">
        <w:instrText xml:space="preserve"> ADDIN ZOTERO_ITEM CSL_CITATION {"citationID":"AmaucAj4","properties":{"formattedCitation":"\\super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434086" w:rsidRPr="00434086">
        <w:rPr>
          <w:rFonts w:cs="Arial"/>
          <w:vertAlign w:val="superscript"/>
        </w:rPr>
        <w:t>99</w:t>
      </w:r>
      <w:r>
        <w:fldChar w:fldCharType="end"/>
      </w:r>
      <w:r>
        <w:t xml:space="preserve">  </w:t>
      </w:r>
    </w:p>
    <w:p w14:paraId="046F416F" w14:textId="77777777" w:rsidR="00597249" w:rsidRDefault="00597249" w:rsidP="00597249">
      <w:pPr>
        <w:pStyle w:val="Heading4"/>
      </w:pPr>
      <w:r>
        <w:t>Green Cleaning Supplies/Chemicals</w:t>
      </w:r>
    </w:p>
    <w:p w14:paraId="3B2DE996" w14:textId="03EE63F8" w:rsidR="00597249" w:rsidRPr="00645F0D" w:rsidRDefault="00597249" w:rsidP="006D7DE6">
      <w:pPr>
        <w:pStyle w:val="BodyTextFirstIndent"/>
      </w:pPr>
      <w:r>
        <w:t xml:space="preserve">The following two best practices can help implement a green chemical purchasing policy and a plan effectively using such green chemicals. The goal of these practices is to decrease the amount of toxic chemicals used in schools and </w:t>
      </w:r>
      <w:r w:rsidR="006F7BE7">
        <w:t>provide</w:t>
      </w:r>
      <w:r>
        <w:t xml:space="preserve"> green alternatives.  </w:t>
      </w:r>
    </w:p>
    <w:p w14:paraId="6B66E40D" w14:textId="77777777" w:rsidR="00597249" w:rsidRDefault="00597249" w:rsidP="00597249">
      <w:pPr>
        <w:pStyle w:val="Heading5"/>
      </w:pPr>
      <w:r>
        <w:t>(4) Implement a green chemical purchasing policy</w:t>
      </w:r>
    </w:p>
    <w:p w14:paraId="6547A847" w14:textId="42EB1A5B" w:rsidR="00597249" w:rsidRDefault="00597249" w:rsidP="006D7DE6">
      <w:pPr>
        <w:pStyle w:val="BodyTextFirstIndent"/>
      </w:pPr>
      <w:r>
        <w:t>A green chemical purchasing policy can help eliminate the purchase and use of unnecessary hazardous products and thus reduce overall risks to students and staff. An important first step may be to assess the current state of chemical purchasing to determine the chemicals currently being purchased and how they are being used.</w:t>
      </w:r>
      <w:r>
        <w:fldChar w:fldCharType="begin"/>
      </w:r>
      <w:r w:rsidR="002C388A">
        <w:instrText xml:space="preserve"> ADDIN ZOTERO_ITEM CSL_CITATION {"citationID":"2U38OdAN","properties":{"formattedCitation":"\\super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2C388A" w:rsidRPr="002C388A">
        <w:rPr>
          <w:rFonts w:cs="Arial"/>
          <w:vertAlign w:val="superscript"/>
        </w:rPr>
        <w:t>99</w:t>
      </w:r>
      <w:r>
        <w:fldChar w:fldCharType="end"/>
      </w:r>
      <w:r>
        <w:t xml:space="preserve"> Based on this information, the policy should be adapted to have defined quantities and types of chemicals approved for purchase.</w:t>
      </w:r>
      <w:r>
        <w:fldChar w:fldCharType="begin"/>
      </w:r>
      <w:r w:rsidR="00360322">
        <w:instrText xml:space="preserve"> ADDIN ZOTERO_ITEM CSL_CITATION {"citationID":"iD9VVvL2","properties":{"formattedCitation":"\\super 99,133,287\\nosupersub{}","plainCitation":"99,133,287","noteIndex":0},"citationItems":[{"id":450,"uris":["http://zotero.org/groups/5563646/items/PF6V93TQ"],"itemData":{"id":450,"type":"document","title":"Massachusetts School Chemical Management Program","author":[{"family":"MassDEP","given":""}],"issued":{"date-parts":[["2006",11]]}}},{"id":12,"uris":["http://zotero.org/groups/5563646/items/4P4TGQ7E"],"itemData":{"id":12,"type":"report","language":"en","source":"Zotero","title":"Chemical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EPA","given":""}],"issued":{"date-parts":[["2006"]]}}},{"id":13,"uris":["http://zotero.org/groups/5563646/items/ASKMUJY7"],"itemData":{"id":13,"type":"report","title":"Checklist Concerning Environmental Health &amp; Safety in Schools","author":[{"family":"Healthy Schools Council","given":""}],"issued":{"date-parts":[["2003",9]]}}}],"schema":"https://github.com/citation-style-language/schema/raw/master/csl-citation.json"} </w:instrText>
      </w:r>
      <w:r>
        <w:fldChar w:fldCharType="separate"/>
      </w:r>
      <w:r w:rsidR="00360322" w:rsidRPr="00360322">
        <w:rPr>
          <w:rFonts w:cs="Arial"/>
          <w:vertAlign w:val="superscript"/>
        </w:rPr>
        <w:t>99,133,287</w:t>
      </w:r>
      <w:r>
        <w:fldChar w:fldCharType="end"/>
      </w:r>
      <w:r>
        <w:t xml:space="preserve"> Further, the policy should promote the use of less toxic or non-toxic chemicals and products.</w:t>
      </w:r>
      <w:r>
        <w:fldChar w:fldCharType="begin"/>
      </w:r>
      <w:r w:rsidR="004662B2">
        <w:instrText xml:space="preserve"> ADDIN ZOTERO_ITEM CSL_CITATION {"citationID":"c57tiSFI","properties":{"formattedCitation":"\\super 99,133,134\\nosupersub{}","plainCitation":"99,133,134","noteIndex":0},"citationItems":[{"id":450,"uris":["http://zotero.org/groups/5563646/items/PF6V93TQ"],"itemData":{"id":450,"type":"document","title":"Massachusetts School Chemical Management Program","author":[{"family":"MassDEP","given":""}],"issued":{"date-parts":[["2006",11]]}}},{"id":12,"uris":["http://zotero.org/groups/5563646/items/4P4TGQ7E"],"itemData":{"id":12,"type":"report","language":"en","source":"Zotero","title":"Chemical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schema":"https://github.com/citation-style-language/schema/raw/master/csl-citation.json"} </w:instrText>
      </w:r>
      <w:r>
        <w:fldChar w:fldCharType="separate"/>
      </w:r>
      <w:r w:rsidR="004662B2" w:rsidRPr="004662B2">
        <w:rPr>
          <w:rFonts w:cs="Arial"/>
          <w:vertAlign w:val="superscript"/>
        </w:rPr>
        <w:t>99,133,134</w:t>
      </w:r>
      <w:r>
        <w:fldChar w:fldCharType="end"/>
      </w:r>
      <w:r>
        <w:t xml:space="preserve"> Four top certifications to look for include Design for the Environment, Green Seal, Safer Choice, and UL ECOLOGO.</w:t>
      </w:r>
      <w:r>
        <w:fldChar w:fldCharType="begin"/>
      </w:r>
      <w:r w:rsidR="008B2B11">
        <w:instrText xml:space="preserve"> ADDIN ZOTERO_ITEM CSL_CITATION {"citationID":"jqzmcbBN","properties":{"formattedCitation":"\\super 134\\nosupersub{}","plainCitation":"134","noteIndex":0},"citationItems":[{"id":447,"uris":["http://zotero.org/groups/5563646/items/4ND73U5Q"],"itemData":{"id":447,"type":"article-journal","language":"en","source":"Zotero","title":"Green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schema":"https://github.com/citation-style-language/schema/raw/master/csl-citation.json"} </w:instrText>
      </w:r>
      <w:r>
        <w:fldChar w:fldCharType="separate"/>
      </w:r>
      <w:r w:rsidR="008B2B11" w:rsidRPr="008B2B11">
        <w:rPr>
          <w:rFonts w:cs="Arial"/>
          <w:vertAlign w:val="superscript"/>
        </w:rPr>
        <w:t>134</w:t>
      </w:r>
      <w:r>
        <w:fldChar w:fldCharType="end"/>
      </w:r>
      <w:r>
        <w:t xml:space="preserve"> The approved chemical purchasing list should be created and maintained by the chemical safety and procurement teams and reviewed on a regular basis.</w:t>
      </w:r>
    </w:p>
    <w:p w14:paraId="090F98D1" w14:textId="77777777" w:rsidR="00597249" w:rsidRDefault="00597249" w:rsidP="00597249">
      <w:pPr>
        <w:pStyle w:val="Heading5"/>
      </w:pPr>
      <w:r>
        <w:t>(5) Design a plan for green cleaning, sanitizing, disinfecting, and other daily practices plan</w:t>
      </w:r>
    </w:p>
    <w:p w14:paraId="55D2ECC5" w14:textId="73ADE335" w:rsidR="00FD43CA" w:rsidRDefault="00597249" w:rsidP="006D7DE6">
      <w:pPr>
        <w:pStyle w:val="BodyTextFirstIndent"/>
      </w:pPr>
      <w:r>
        <w:t xml:space="preserve">In addition to a green chemical purchasing policy, a plan that describes how these green chemicals can be used effectively in daily practices such as cleaning, sanitizing, and disinfecting will be helpful to schools. For example, some traditional cleaning agents are also hazardous substances that can irritate the respiratory tract and lead to unwanted side effects like </w:t>
      </w:r>
      <w:r w:rsidR="006722FF">
        <w:t xml:space="preserve">triggering </w:t>
      </w:r>
      <w:r>
        <w:t xml:space="preserve">asthma </w:t>
      </w:r>
      <w:r w:rsidR="007800DD">
        <w:t>symptoms</w:t>
      </w:r>
      <w:r>
        <w:t>.</w:t>
      </w:r>
      <w:r>
        <w:fldChar w:fldCharType="begin"/>
      </w:r>
      <w:r w:rsidR="006B2C79">
        <w:instrText xml:space="preserve"> ADDIN ZOTERO_ITEM CSL_CITATION {"citationID":"2ywpNA8h","properties":{"formattedCitation":"\\super 134,299\\nosupersub{}","plainCitation":"134,299","noteIndex":0},"citationItems":[{"id":447,"uris":["http://zotero.org/groups/5563646/items/4ND73U5Q"],"itemData":{"id":447,"type":"article-journal","language":"en","source":"Zotero","title":"Green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id":453,"uris":["http://zotero.org/groups/5563646/items/BVJ9L56H"],"itemData":{"id":453,"type":"document","language":"en","source":"Zotero","title":"Asthma and Your Environment","author":[{"family":"MDPH","given":""}],"issued":{"date-parts":[["2016"]]}}}],"schema":"https://github.com/citation-style-language/schema/raw/master/csl-citation.json"} </w:instrText>
      </w:r>
      <w:r>
        <w:fldChar w:fldCharType="separate"/>
      </w:r>
      <w:r w:rsidR="006B2C79" w:rsidRPr="006B2C79">
        <w:rPr>
          <w:rFonts w:cs="Arial"/>
          <w:vertAlign w:val="superscript"/>
        </w:rPr>
        <w:t>134,299</w:t>
      </w:r>
      <w:r>
        <w:fldChar w:fldCharType="end"/>
      </w:r>
      <w:r>
        <w:t xml:space="preserve"> However, ensuring that the alternative green cleaning agents are still effective in reducing the spread of infectious diseases is important and some sanitizing solutions, such as using only FDA-approved sanitizers </w:t>
      </w:r>
      <w:r w:rsidR="00C03286">
        <w:t xml:space="preserve">on </w:t>
      </w:r>
      <w:r>
        <w:t>food preparation surfaces, may be required by regulation.</w:t>
      </w:r>
      <w:r>
        <w:fldChar w:fldCharType="begin"/>
      </w:r>
      <w:r w:rsidR="00141731">
        <w:instrText xml:space="preserve"> ADDIN ZOTERO_ITEM CSL_CITATION {"citationID":"MMCRoz3b","properties":{"formattedCitation":"\\super 134\\nosupersub{}","plainCitation":"134","noteIndex":0},"citationItems":[{"id":447,"uris":["http://zotero.org/groups/5563646/items/4ND73U5Q"],"itemData":{"id":447,"type":"article-journal","language":"en","source":"Zotero","title":"Green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schema":"https://github.com/citation-style-language/schema/raw/master/csl-citation.json"} </w:instrText>
      </w:r>
      <w:r>
        <w:fldChar w:fldCharType="separate"/>
      </w:r>
      <w:r w:rsidR="00141731" w:rsidRPr="00141731">
        <w:rPr>
          <w:rFonts w:cs="Arial"/>
          <w:vertAlign w:val="superscript"/>
        </w:rPr>
        <w:t>134</w:t>
      </w:r>
      <w:r>
        <w:fldChar w:fldCharType="end"/>
      </w:r>
      <w:r>
        <w:t xml:space="preserve"> Thus, schools should develop a routine cleaning, sanitizing, and disinfecting schedule </w:t>
      </w:r>
      <w:r>
        <w:lastRenderedPageBreak/>
        <w:t>that details the green cleaning supplies and their respective procedures for use, as well as additional tools that can promote clean surfaces such as walk-off mats, microfiber cleaning cloths and mops, and HEPA or high-filtration vacuums.</w:t>
      </w:r>
      <w:r>
        <w:fldChar w:fldCharType="begin"/>
      </w:r>
      <w:r w:rsidR="00B30D06">
        <w:instrText xml:space="preserve"> ADDIN ZOTERO_ITEM CSL_CITATION {"citationID":"Ops1AYYJ","properties":{"formattedCitation":"\\super 134\\nosupersub{}","plainCitation":"134","noteIndex":0},"citationItems":[{"id":447,"uris":["http://zotero.org/groups/5563646/items/4ND73U5Q"],"itemData":{"id":447,"type":"article-journal","language":"en","source":"Zotero","title":"Green Cleaning, Sanitizing, and Disinfecting: a Curriculum for Early Care and Education","author":[{"family":"Flattery","given":"Jennifer"},{"family":"Jordan","given":"Dennis"},{"family":"Kunitz","given":"Judith"},{"family":"Lipman","given":"Jenifer"},{"family":"Messenger","given":"Belinda"},{"family":"Rose","given":"Bobbie"},{"family":"Schaffner","given":"Ann"},{"family":"Weinberg","given":"Justine"}]}}],"schema":"https://github.com/citation-style-language/schema/raw/master/csl-citation.json"} </w:instrText>
      </w:r>
      <w:r>
        <w:fldChar w:fldCharType="separate"/>
      </w:r>
      <w:r w:rsidR="00B30D06" w:rsidRPr="00B30D06">
        <w:rPr>
          <w:rFonts w:cs="Arial"/>
          <w:vertAlign w:val="superscript"/>
        </w:rPr>
        <w:t>134</w:t>
      </w:r>
      <w:r>
        <w:fldChar w:fldCharType="end"/>
      </w:r>
    </w:p>
    <w:p w14:paraId="1FA97205" w14:textId="77777777" w:rsidR="00B71C96" w:rsidRDefault="00B71C96" w:rsidP="00B71C96">
      <w:pPr>
        <w:pStyle w:val="Heading3"/>
      </w:pPr>
      <w:r>
        <w:t>Statutes, Regulations, and Standards</w:t>
      </w:r>
    </w:p>
    <w:p w14:paraId="4287F246" w14:textId="77777777" w:rsidR="00B71C96" w:rsidRDefault="00B71C96" w:rsidP="006D7DE6">
      <w:pPr>
        <w:pStyle w:val="BodyTextFirstIndent"/>
      </w:pPr>
      <w:r>
        <w:t xml:space="preserve">The following statutes and regulations focus on the use, storage, and disposal of chemicals and provide information on chemical requirements that will be useful to schools. </w:t>
      </w:r>
    </w:p>
    <w:p w14:paraId="746633B4" w14:textId="77777777" w:rsidR="00B71C96" w:rsidRDefault="00B71C96" w:rsidP="00B71C96">
      <w:pPr>
        <w:pStyle w:val="Heading4"/>
      </w:pPr>
      <w:r>
        <w:t>Relevant Statutes</w:t>
      </w:r>
    </w:p>
    <w:p w14:paraId="0FDA7D26" w14:textId="1EB1F121" w:rsidR="00B71C96" w:rsidRDefault="00B71C96" w:rsidP="006D7DE6">
      <w:pPr>
        <w:pStyle w:val="BodyTextFirstIndent"/>
      </w:pPr>
      <w:r>
        <w:rPr>
          <w:b/>
        </w:rPr>
        <w:t>MA Hazardous Waste Management Act, Chapter 21C</w:t>
      </w:r>
      <w:r>
        <w:t xml:space="preserve"> provides guidelines on how hazardous waste should be managed and requires the establishment of a hazardous waste advisory committee for the state of Massachusetts.</w:t>
      </w:r>
      <w:r>
        <w:fldChar w:fldCharType="begin"/>
      </w:r>
      <w:r w:rsidR="00915C58">
        <w:instrText xml:space="preserve"> ADDIN ZOTERO_ITEM CSL_CITATION {"citationID":"DSlB7tLO","properties":{"formattedCitation":"\\super 354\\nosupersub{}","plainCitation":"354","noteIndex":0},"citationItems":[{"id":524,"uris":["http://zotero.org/groups/5563646/items/X62DY3ZB"],"itemData":{"id":524,"type":"webpage","title":"Chapter 21C: Massachusetts Hazardous Waste Management","URL":"https://malegislature.gov/Laws/GeneralLaws/PartI/TitleII/Chapter21C","author":[{"family":"The General Court of the Commonwealth of Massachusetts","given":""}]}}],"schema":"https://github.com/citation-style-language/schema/raw/master/csl-citation.json"} </w:instrText>
      </w:r>
      <w:r>
        <w:fldChar w:fldCharType="separate"/>
      </w:r>
      <w:r w:rsidR="00915C58" w:rsidRPr="00915C58">
        <w:rPr>
          <w:rFonts w:cs="Arial"/>
          <w:vertAlign w:val="superscript"/>
        </w:rPr>
        <w:t>354</w:t>
      </w:r>
      <w:r>
        <w:fldChar w:fldCharType="end"/>
      </w:r>
      <w:r>
        <w:t xml:space="preserve"> It also includes guidelines on hazardous waste collection, transportation, storage, treatment, and disposal. </w:t>
      </w:r>
    </w:p>
    <w:p w14:paraId="4BFFDEEA" w14:textId="22269C99" w:rsidR="00B71C96" w:rsidRDefault="00B71C96" w:rsidP="006D7DE6">
      <w:pPr>
        <w:pStyle w:val="BodyTextFirstIndent"/>
      </w:pPr>
      <w:r>
        <w:rPr>
          <w:b/>
          <w:bCs/>
        </w:rPr>
        <w:t>MA Right-to-Know Act, Chapter 111F</w:t>
      </w:r>
      <w:r>
        <w:t xml:space="preserve"> provides rights to public sector employees regarding information on toxic and hazardous substances.</w:t>
      </w:r>
      <w:r>
        <w:fldChar w:fldCharType="begin"/>
      </w:r>
      <w:r w:rsidR="007632B4">
        <w:instrText xml:space="preserve"> ADDIN ZOTERO_ITEM CSL_CITATION {"citationID":"ACWKcrM3","properties":{"formattedCitation":"\\super 355\\nosupersub{}","plainCitation":"355","noteIndex":0},"citationItems":[{"id":525,"uris":["http://zotero.org/groups/5563646/items/L8FAIT7B"],"itemData":{"id":525,"type":"webpage","title":"Chapter 111F: Hazardous Substances disclosure by Employers","URL":"https://malegislature.gov/Laws/GeneralLaws/PartI/TitleXVI/Chapter111F","author":[{"family":"The General Court of the Commonwealth of Massachusetts","given":""}]}}],"schema":"https://github.com/citation-style-language/schema/raw/master/csl-citation.json"} </w:instrText>
      </w:r>
      <w:r>
        <w:fldChar w:fldCharType="separate"/>
      </w:r>
      <w:r w:rsidR="007632B4" w:rsidRPr="007632B4">
        <w:rPr>
          <w:rFonts w:cs="Arial"/>
          <w:vertAlign w:val="superscript"/>
        </w:rPr>
        <w:t>355</w:t>
      </w:r>
      <w:r>
        <w:fldChar w:fldCharType="end"/>
      </w:r>
      <w:r>
        <w:t xml:space="preserve"> Such rights include a labeling requirement that states that containers with toxic or hazardous substances must be labeled, a MSDS requirement that states public employers must maintain MSDS for all hazardous materials, required annual training for employees working with chemical products, and required Right-to-Know notices in the workplace. </w:t>
      </w:r>
    </w:p>
    <w:p w14:paraId="3217951E" w14:textId="088093F4" w:rsidR="00B71C96" w:rsidRPr="006804A6" w:rsidRDefault="00B71C96" w:rsidP="006D7DE6">
      <w:pPr>
        <w:pStyle w:val="BodyTextFirstIndent"/>
      </w:pPr>
      <w:r>
        <w:rPr>
          <w:b/>
        </w:rPr>
        <w:t>MA Toxics Use Reduction Act, Chapter 21I</w:t>
      </w:r>
      <w:r>
        <w:t xml:space="preserve"> promotes reducing the use of toxic chemicals to protect public health and the environment.</w:t>
      </w:r>
      <w:r>
        <w:fldChar w:fldCharType="begin"/>
      </w:r>
      <w:r w:rsidR="007F5345">
        <w:instrText xml:space="preserve"> ADDIN ZOTERO_ITEM CSL_CITATION {"citationID":"bhRCx3Bu","properties":{"formattedCitation":"\\super 356\\nosupersub{}","plainCitation":"356","noteIndex":0},"citationItems":[{"id":522,"uris":["http://zotero.org/groups/5563646/items/EEESXXG3"],"itemData":{"id":522,"type":"webpage","title":"Chapter 21I: Massachusetts Toxics Use Reduction Act","URL":"https://malegislature.gov/Laws/GeneralLaws/PartI/TitleII/Chapter21I","author":[{"family":"The General Court of the Commonwealth of Massachusetts","given":""}]}}],"schema":"https://github.com/citation-style-language/schema/raw/master/csl-citation.json"} </w:instrText>
      </w:r>
      <w:r>
        <w:fldChar w:fldCharType="separate"/>
      </w:r>
      <w:r w:rsidR="007F5345" w:rsidRPr="007F5345">
        <w:rPr>
          <w:rFonts w:cs="Arial"/>
          <w:vertAlign w:val="superscript"/>
        </w:rPr>
        <w:t>356</w:t>
      </w:r>
      <w:r>
        <w:fldChar w:fldCharType="end"/>
      </w:r>
      <w:r>
        <w:t xml:space="preserve"> It includes requirements for reporting and planning and a fee structure for facilities that use large amounts of toxic chemicals. It also provides services such as education, training, grant programs, and technical assistance. </w:t>
      </w:r>
    </w:p>
    <w:p w14:paraId="4DC07F22" w14:textId="77777777" w:rsidR="00B71C96" w:rsidRDefault="00B71C96" w:rsidP="00B71C96">
      <w:pPr>
        <w:pStyle w:val="Heading4"/>
      </w:pPr>
      <w:r>
        <w:t>Relevant Regulations</w:t>
      </w:r>
    </w:p>
    <w:p w14:paraId="6CDA1005" w14:textId="6EF24F49" w:rsidR="00B71C96" w:rsidRDefault="00B71C96" w:rsidP="006D7DE6">
      <w:pPr>
        <w:pStyle w:val="BodyTextFirstIndent"/>
      </w:pPr>
      <w:r>
        <w:rPr>
          <w:b/>
        </w:rPr>
        <w:t>Resource Conservation and Recovery Act (RCRA)</w:t>
      </w:r>
      <w:r w:rsidRPr="00DC6A8C">
        <w:rPr>
          <w:b/>
        </w:rPr>
        <w:t>:</w:t>
      </w:r>
      <w:r>
        <w:t xml:space="preserve"> This regulation gives EPA the authority to control hazardous waste including, generation, transportation, treatment, storage, and disposal.</w:t>
      </w:r>
      <w:r>
        <w:fldChar w:fldCharType="begin"/>
      </w:r>
      <w:r w:rsidR="00E52FD2">
        <w:instrText xml:space="preserve"> ADDIN ZOTERO_ITEM CSL_CITATION {"citationID":"dDorZjmv","properties":{"formattedCitation":"\\super 357\\nosupersub{}","plainCitation":"357","noteIndex":0},"citationItems":[{"id":523,"uris":["http://zotero.org/groups/5563646/items/NNSK4CK7"],"itemData":{"id":523,"type":"webpage","title":"Resource Conservation and Recovery Act (RCRA) Overview","URL":"https://www.epa.gov/rcra/resource-conservation-and-recovery-act-rcra-overview","author":[{"family":"US EPA","given":""}]}}],"schema":"https://github.com/citation-style-language/schema/raw/master/csl-citation.json"} </w:instrText>
      </w:r>
      <w:r>
        <w:fldChar w:fldCharType="separate"/>
      </w:r>
      <w:r w:rsidR="00E52FD2" w:rsidRPr="00E52FD2">
        <w:rPr>
          <w:rFonts w:cs="Arial"/>
          <w:vertAlign w:val="superscript"/>
        </w:rPr>
        <w:t>357</w:t>
      </w:r>
      <w:r>
        <w:fldChar w:fldCharType="end"/>
      </w:r>
      <w:r>
        <w:t xml:space="preserve"> Schools that generate hazardous waste are required to notify EPA where waste will be tracked throughout its lifecycle.  </w:t>
      </w:r>
    </w:p>
    <w:p w14:paraId="04A57366" w14:textId="3120D55C" w:rsidR="00B71C96" w:rsidRDefault="00B71C96" w:rsidP="006D7DE6">
      <w:pPr>
        <w:pStyle w:val="BodyTextFirstIndent"/>
      </w:pPr>
      <w:r>
        <w:fldChar w:fldCharType="begin"/>
      </w:r>
      <w:r>
        <w:instrText xml:space="preserve"> REF _Ref171631028 \h </w:instrText>
      </w:r>
      <w:r>
        <w:fldChar w:fldCharType="separate"/>
      </w:r>
      <w:r w:rsidR="00307850">
        <w:t xml:space="preserve">Table </w:t>
      </w:r>
      <w:r w:rsidR="00307850">
        <w:rPr>
          <w:noProof/>
        </w:rPr>
        <w:t>81</w:t>
      </w:r>
      <w:r>
        <w:fldChar w:fldCharType="end"/>
      </w:r>
      <w:r>
        <w:t xml:space="preserve"> </w:t>
      </w:r>
      <w:r w:rsidRPr="007935AE">
        <w:t xml:space="preserve">summarizes the statutes, regulations, and standards related to </w:t>
      </w:r>
      <w:r>
        <w:t>procuring and using green cleaning supplies/chemicals in</w:t>
      </w:r>
      <w:r w:rsidRPr="007935AE">
        <w:t xml:space="preserve"> schools</w:t>
      </w:r>
      <w:r>
        <w:t xml:space="preserve"> outlined above</w:t>
      </w:r>
      <w:r w:rsidRPr="007935AE">
        <w:t>.</w:t>
      </w:r>
    </w:p>
    <w:p w14:paraId="5A48D2F7" w14:textId="19085A78" w:rsidR="00B71C96" w:rsidRDefault="00B71C96" w:rsidP="00B30C96">
      <w:pPr>
        <w:pStyle w:val="TableTitle"/>
      </w:pPr>
      <w:bookmarkStart w:id="637" w:name="_Ref171631028"/>
      <w:bookmarkStart w:id="638" w:name="_Toc171630424"/>
      <w:bookmarkStart w:id="639" w:name="_Toc192711747"/>
      <w:bookmarkStart w:id="640" w:name="_Toc193112629"/>
      <w:bookmarkStart w:id="641" w:name="_Toc193117028"/>
      <w:r>
        <w:lastRenderedPageBreak/>
        <w:t xml:space="preserve">Table </w:t>
      </w:r>
      <w:fldSimple w:instr=" SEQ Table \* ARABIC ">
        <w:r w:rsidR="00307850">
          <w:rPr>
            <w:noProof/>
          </w:rPr>
          <w:t>81</w:t>
        </w:r>
      </w:fldSimple>
      <w:bookmarkEnd w:id="637"/>
      <w:r>
        <w:t xml:space="preserve">. Statutory/Regulatory Framework and Notable Standards for </w:t>
      </w:r>
      <w:bookmarkEnd w:id="638"/>
      <w:r>
        <w:t>Procuring and Using Green Cleaning Supplies/Chemicals</w:t>
      </w:r>
      <w:bookmarkEnd w:id="639"/>
      <w:bookmarkEnd w:id="640"/>
      <w:bookmarkEnd w:id="641"/>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ocuring and using green cleaning supplies/chemicals."/>
      </w:tblPr>
      <w:tblGrid>
        <w:gridCol w:w="6834"/>
        <w:gridCol w:w="838"/>
        <w:gridCol w:w="840"/>
        <w:gridCol w:w="838"/>
      </w:tblGrid>
      <w:tr w:rsidR="00B71C96" w:rsidRPr="00E11392" w14:paraId="130AB0A4"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36D22F70" w14:textId="77777777" w:rsidR="00B71C96" w:rsidRPr="00E11392" w:rsidRDefault="00B71C96">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3872B022" w14:textId="77777777" w:rsidR="00B71C96" w:rsidRPr="00E11392" w:rsidRDefault="00B71C96">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2DBD707" w14:textId="77777777" w:rsidR="00B71C96" w:rsidRPr="00E11392" w:rsidRDefault="00B71C96">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66D4F6BD" w14:textId="77777777" w:rsidR="00B71C96" w:rsidRPr="00E11392" w:rsidRDefault="00B71C96">
            <w:pPr>
              <w:pStyle w:val="TableColumnHeader"/>
              <w:jc w:val="left"/>
            </w:pPr>
            <w:r w:rsidRPr="00E11392">
              <w:t>Standard</w:t>
            </w:r>
          </w:p>
        </w:tc>
      </w:tr>
      <w:tr w:rsidR="00B71C96" w:rsidRPr="00E11392" w14:paraId="28DC55B9"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1C274059" w14:textId="77777777" w:rsidR="00B71C96" w:rsidRPr="00E11392" w:rsidRDefault="00B71C96">
            <w:pPr>
              <w:pStyle w:val="TableRowHeader"/>
            </w:pPr>
            <w:r w:rsidRPr="00E11392">
              <w:t>Statutes</w:t>
            </w:r>
          </w:p>
        </w:tc>
      </w:tr>
      <w:tr w:rsidR="00B71C96" w:rsidRPr="00E11392" w14:paraId="28B5DBC4"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27D1674F" w14:textId="77777777" w:rsidR="00B71C96" w:rsidRPr="00E11392" w:rsidRDefault="00B71C96">
            <w:pPr>
              <w:pStyle w:val="TableText"/>
            </w:pPr>
            <w:r>
              <w:t>MA Hazardous Waste Management Act, Chapter 21C</w:t>
            </w:r>
          </w:p>
        </w:tc>
        <w:tc>
          <w:tcPr>
            <w:tcW w:w="448" w:type="pct"/>
            <w:tcBorders>
              <w:top w:val="nil"/>
              <w:left w:val="single" w:sz="4" w:space="0" w:color="auto"/>
              <w:bottom w:val="single" w:sz="4" w:space="0" w:color="auto"/>
              <w:right w:val="single" w:sz="4" w:space="0" w:color="auto"/>
            </w:tcBorders>
            <w:shd w:val="clear" w:color="auto" w:fill="auto"/>
            <w:vAlign w:val="center"/>
          </w:tcPr>
          <w:p w14:paraId="27751805" w14:textId="77777777" w:rsidR="00B71C96" w:rsidRPr="00E11392" w:rsidRDefault="00B71C96">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22734E2" w14:textId="77777777" w:rsidR="00B71C96" w:rsidRPr="00E11392" w:rsidRDefault="00B71C96">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45249D5D" w14:textId="77777777" w:rsidR="00B71C96" w:rsidRPr="00E11392" w:rsidRDefault="00B71C96">
            <w:pPr>
              <w:jc w:val="center"/>
              <w:rPr>
                <w:rFonts w:ascii="Arial" w:hAnsi="Arial" w:cs="Arial"/>
                <w:b/>
                <w:bCs/>
                <w:sz w:val="24"/>
              </w:rPr>
            </w:pPr>
          </w:p>
        </w:tc>
      </w:tr>
      <w:tr w:rsidR="00B71C96" w:rsidRPr="00E11392" w14:paraId="5DD955B7"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3BCC604" w14:textId="77777777" w:rsidR="00B71C96" w:rsidRDefault="00B71C96">
            <w:pPr>
              <w:pStyle w:val="TableText"/>
            </w:pPr>
            <w:r>
              <w:t>MA Right-to-Know Act, Chapter 111F</w:t>
            </w:r>
          </w:p>
        </w:tc>
        <w:tc>
          <w:tcPr>
            <w:tcW w:w="448" w:type="pct"/>
            <w:tcBorders>
              <w:top w:val="nil"/>
              <w:left w:val="single" w:sz="4" w:space="0" w:color="auto"/>
              <w:bottom w:val="single" w:sz="4" w:space="0" w:color="auto"/>
              <w:right w:val="single" w:sz="4" w:space="0" w:color="auto"/>
            </w:tcBorders>
            <w:shd w:val="clear" w:color="auto" w:fill="auto"/>
            <w:vAlign w:val="center"/>
          </w:tcPr>
          <w:p w14:paraId="5C058329" w14:textId="77777777" w:rsidR="00B71C96" w:rsidRPr="00E11392" w:rsidRDefault="00B71C96">
            <w:pPr>
              <w:jc w:val="center"/>
              <w:rPr>
                <w:rFonts w:ascii="Arial" w:hAnsi="Arial" w:cs="Arial"/>
                <w:b/>
                <w:bCs/>
                <w:color w:val="00B050"/>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A859176" w14:textId="77777777" w:rsidR="00B71C96" w:rsidRPr="00E11392" w:rsidRDefault="00B71C96">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512A4657" w14:textId="77777777" w:rsidR="00B71C96" w:rsidRPr="00E11392" w:rsidRDefault="00B71C96">
            <w:pPr>
              <w:jc w:val="center"/>
              <w:rPr>
                <w:rFonts w:ascii="Arial" w:hAnsi="Arial" w:cs="Arial"/>
                <w:b/>
                <w:bCs/>
                <w:sz w:val="24"/>
              </w:rPr>
            </w:pPr>
          </w:p>
        </w:tc>
      </w:tr>
      <w:tr w:rsidR="00B71C96" w:rsidRPr="00E11392" w14:paraId="2029E3FF"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5BA2CB6" w14:textId="77777777" w:rsidR="00B71C96" w:rsidRPr="00E11392" w:rsidRDefault="00B71C96">
            <w:pPr>
              <w:pStyle w:val="TableText"/>
            </w:pPr>
            <w:r>
              <w:t>MA Toxics Use Reduction Act, Chapter 21I</w:t>
            </w:r>
          </w:p>
        </w:tc>
        <w:tc>
          <w:tcPr>
            <w:tcW w:w="448" w:type="pct"/>
            <w:tcBorders>
              <w:top w:val="nil"/>
              <w:left w:val="single" w:sz="4" w:space="0" w:color="auto"/>
              <w:bottom w:val="single" w:sz="4" w:space="0" w:color="auto"/>
              <w:right w:val="single" w:sz="4" w:space="0" w:color="auto"/>
            </w:tcBorders>
            <w:shd w:val="clear" w:color="auto" w:fill="auto"/>
            <w:vAlign w:val="center"/>
          </w:tcPr>
          <w:p w14:paraId="02523D27" w14:textId="77777777" w:rsidR="00B71C96" w:rsidRPr="00E11392" w:rsidRDefault="00B71C96">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2800BE89" w14:textId="77777777" w:rsidR="00B71C96" w:rsidRPr="00E11392" w:rsidRDefault="00B71C96">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3F9A5E8C" w14:textId="77777777" w:rsidR="00B71C96" w:rsidRPr="00E11392" w:rsidRDefault="00B71C96">
            <w:pPr>
              <w:jc w:val="center"/>
              <w:rPr>
                <w:rFonts w:ascii="Arial" w:hAnsi="Arial" w:cs="Arial"/>
                <w:b/>
                <w:bCs/>
                <w:sz w:val="24"/>
              </w:rPr>
            </w:pPr>
          </w:p>
        </w:tc>
      </w:tr>
      <w:tr w:rsidR="00B71C96" w:rsidRPr="00E11392" w14:paraId="1A16358C"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021C7DE4" w14:textId="77777777" w:rsidR="00B71C96" w:rsidRPr="00E11392" w:rsidRDefault="00B71C96">
            <w:pPr>
              <w:pStyle w:val="TableRowHeader"/>
            </w:pPr>
            <w:r w:rsidRPr="00E11392">
              <w:t>Regulations</w:t>
            </w:r>
          </w:p>
        </w:tc>
      </w:tr>
      <w:tr w:rsidR="00B71C96" w:rsidRPr="00E11392" w14:paraId="13357DA4"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1110BA9" w14:textId="77777777" w:rsidR="00B71C96" w:rsidRPr="00E11392" w:rsidRDefault="00B71C96">
            <w:pPr>
              <w:pStyle w:val="TableText"/>
            </w:pPr>
            <w:r>
              <w:t>RCRA</w:t>
            </w:r>
          </w:p>
        </w:tc>
        <w:tc>
          <w:tcPr>
            <w:tcW w:w="448" w:type="pct"/>
            <w:tcBorders>
              <w:top w:val="nil"/>
              <w:left w:val="single" w:sz="4" w:space="0" w:color="auto"/>
              <w:bottom w:val="single" w:sz="4" w:space="0" w:color="auto"/>
              <w:right w:val="single" w:sz="4" w:space="0" w:color="auto"/>
            </w:tcBorders>
            <w:shd w:val="clear" w:color="auto" w:fill="auto"/>
            <w:vAlign w:val="center"/>
          </w:tcPr>
          <w:p w14:paraId="65F92E08" w14:textId="77777777" w:rsidR="00B71C96" w:rsidRPr="00E11392" w:rsidRDefault="00B71C96">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2367C85E" w14:textId="77777777" w:rsidR="00B71C96" w:rsidRPr="00E11392" w:rsidRDefault="00B71C96">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5F7E815C" w14:textId="77777777" w:rsidR="00B71C96" w:rsidRPr="00E11392" w:rsidRDefault="00B71C96">
            <w:pPr>
              <w:jc w:val="center"/>
              <w:rPr>
                <w:rFonts w:ascii="Arial" w:hAnsi="Arial" w:cs="Arial"/>
                <w:b/>
                <w:bCs/>
                <w:sz w:val="24"/>
              </w:rPr>
            </w:pPr>
          </w:p>
        </w:tc>
      </w:tr>
    </w:tbl>
    <w:p w14:paraId="49931F82" w14:textId="77777777" w:rsidR="00B71C96" w:rsidRDefault="00B71C96" w:rsidP="00B71C96">
      <w:pPr>
        <w:pStyle w:val="Heading3"/>
      </w:pPr>
      <w:r>
        <w:t>Relevant Resources</w:t>
      </w:r>
    </w:p>
    <w:p w14:paraId="2C2C8F13" w14:textId="6ED202BB" w:rsidR="00B71C96" w:rsidRDefault="00B71C96" w:rsidP="006D7DE6">
      <w:pPr>
        <w:pStyle w:val="BodyTextFirstIndent"/>
      </w:pPr>
      <w:r>
        <w:fldChar w:fldCharType="begin"/>
      </w:r>
      <w:r>
        <w:instrText xml:space="preserve"> REF _Ref171631080 \h </w:instrText>
      </w:r>
      <w:r>
        <w:fldChar w:fldCharType="separate"/>
      </w:r>
      <w:r w:rsidR="00307850">
        <w:t xml:space="preserve">Table </w:t>
      </w:r>
      <w:r w:rsidR="00307850">
        <w:rPr>
          <w:noProof/>
        </w:rPr>
        <w:t>82</w:t>
      </w:r>
      <w:r>
        <w:fldChar w:fldCharType="end"/>
      </w:r>
      <w:r>
        <w:t xml:space="preserve"> provides a summary of resources related to procuring and using green cleaning supplies/chemicals in schools.</w:t>
      </w:r>
    </w:p>
    <w:p w14:paraId="4479A55E" w14:textId="24CC4612" w:rsidR="00B71C96" w:rsidRDefault="00B71C96" w:rsidP="00B30C96">
      <w:pPr>
        <w:pStyle w:val="TableTitle"/>
      </w:pPr>
      <w:bookmarkStart w:id="642" w:name="_Ref171631080"/>
      <w:bookmarkStart w:id="643" w:name="_Toc171630425"/>
      <w:bookmarkStart w:id="644" w:name="_Toc192711748"/>
      <w:bookmarkStart w:id="645" w:name="_Toc193112630"/>
      <w:bookmarkStart w:id="646" w:name="_Toc193117029"/>
      <w:r>
        <w:t xml:space="preserve">Table </w:t>
      </w:r>
      <w:fldSimple w:instr=" SEQ Table \* ARABIC ">
        <w:r w:rsidR="00307850">
          <w:rPr>
            <w:noProof/>
          </w:rPr>
          <w:t>82</w:t>
        </w:r>
      </w:fldSimple>
      <w:bookmarkEnd w:id="642"/>
      <w:r>
        <w:t xml:space="preserve">. Resources for </w:t>
      </w:r>
      <w:bookmarkEnd w:id="643"/>
      <w:r>
        <w:t>Procuring and Using Green Cleaning Supplies/Chemicals</w:t>
      </w:r>
      <w:bookmarkEnd w:id="644"/>
      <w:bookmarkEnd w:id="645"/>
      <w:bookmarkEnd w:id="646"/>
    </w:p>
    <w:tbl>
      <w:tblPr>
        <w:tblStyle w:val="TableGrid"/>
        <w:tblW w:w="0" w:type="auto"/>
        <w:tblLayout w:type="fixed"/>
        <w:tblLook w:val="04A0" w:firstRow="1" w:lastRow="0" w:firstColumn="1" w:lastColumn="0" w:noHBand="0" w:noVBand="1"/>
        <w:tblDescription w:val="Table listing resources with active URLs for using green cleaning supplies/chemicals."/>
      </w:tblPr>
      <w:tblGrid>
        <w:gridCol w:w="2965"/>
        <w:gridCol w:w="2430"/>
        <w:gridCol w:w="3955"/>
      </w:tblGrid>
      <w:tr w:rsidR="00B71C96" w:rsidRPr="00276B41" w14:paraId="3EEFDBF8" w14:textId="77777777">
        <w:trPr>
          <w:tblHeader/>
        </w:trPr>
        <w:tc>
          <w:tcPr>
            <w:tcW w:w="2965" w:type="dxa"/>
            <w:shd w:val="clear" w:color="auto" w:fill="C6D9F1" w:themeFill="text2" w:themeFillTint="33"/>
          </w:tcPr>
          <w:p w14:paraId="09C9DC58" w14:textId="77777777" w:rsidR="00B71C96" w:rsidRPr="004C3A1C" w:rsidRDefault="00B71C96">
            <w:pPr>
              <w:pStyle w:val="TableColumnHeader"/>
            </w:pPr>
            <w:r w:rsidRPr="004C3A1C">
              <w:t>Resource</w:t>
            </w:r>
          </w:p>
        </w:tc>
        <w:tc>
          <w:tcPr>
            <w:tcW w:w="2430" w:type="dxa"/>
            <w:shd w:val="clear" w:color="auto" w:fill="C6D9F1" w:themeFill="text2" w:themeFillTint="33"/>
          </w:tcPr>
          <w:p w14:paraId="2016E39A" w14:textId="77777777" w:rsidR="00B71C96" w:rsidRPr="004C3A1C" w:rsidRDefault="00B71C96">
            <w:pPr>
              <w:pStyle w:val="TableColumnHeader"/>
            </w:pPr>
            <w:r w:rsidRPr="004C3A1C">
              <w:t>Author</w:t>
            </w:r>
          </w:p>
        </w:tc>
        <w:tc>
          <w:tcPr>
            <w:tcW w:w="3955" w:type="dxa"/>
            <w:shd w:val="clear" w:color="auto" w:fill="C6D9F1" w:themeFill="text2" w:themeFillTint="33"/>
          </w:tcPr>
          <w:p w14:paraId="2926574D" w14:textId="77777777" w:rsidR="00B71C96" w:rsidRPr="004C3A1C" w:rsidRDefault="00B71C96">
            <w:pPr>
              <w:pStyle w:val="TableColumnHeader"/>
            </w:pPr>
            <w:r w:rsidRPr="004C3A1C">
              <w:t>URL</w:t>
            </w:r>
          </w:p>
        </w:tc>
      </w:tr>
      <w:tr w:rsidR="00B71C96" w:rsidRPr="00276B41" w14:paraId="49A1D3ED" w14:textId="77777777">
        <w:tc>
          <w:tcPr>
            <w:tcW w:w="2965" w:type="dxa"/>
          </w:tcPr>
          <w:p w14:paraId="12D69F60" w14:textId="77777777" w:rsidR="00B71C96" w:rsidRDefault="00B71C96">
            <w:pPr>
              <w:pStyle w:val="TableText"/>
            </w:pPr>
            <w:r>
              <w:t>About the Toxics Use Reduction Act Program</w:t>
            </w:r>
          </w:p>
        </w:tc>
        <w:tc>
          <w:tcPr>
            <w:tcW w:w="2430" w:type="dxa"/>
          </w:tcPr>
          <w:p w14:paraId="4EACD707" w14:textId="77777777" w:rsidR="00B71C96" w:rsidRDefault="00B71C96">
            <w:pPr>
              <w:pStyle w:val="TableText"/>
            </w:pPr>
            <w:r>
              <w:t>MA Executive Office of Energy and Environmental Affairs</w:t>
            </w:r>
          </w:p>
        </w:tc>
        <w:tc>
          <w:tcPr>
            <w:tcW w:w="3955" w:type="dxa"/>
          </w:tcPr>
          <w:p w14:paraId="57C20760" w14:textId="77E0F0C1" w:rsidR="00B71C96" w:rsidRDefault="00B71C96">
            <w:pPr>
              <w:pStyle w:val="TableText"/>
            </w:pPr>
            <w:hyperlink r:id="rId360">
              <w:r w:rsidRPr="3B44E17E">
                <w:rPr>
                  <w:rStyle w:val="Hyperlink"/>
                </w:rPr>
                <w:t>https://www.mass.gov/guides/about-the-toxics-use-reduction-act-tura-program</w:t>
              </w:r>
            </w:hyperlink>
            <w:r>
              <w:t xml:space="preserve"> </w:t>
            </w:r>
          </w:p>
        </w:tc>
      </w:tr>
      <w:tr w:rsidR="00B71C96" w:rsidRPr="00276B41" w14:paraId="078C1D40" w14:textId="77777777">
        <w:tc>
          <w:tcPr>
            <w:tcW w:w="2965" w:type="dxa"/>
          </w:tcPr>
          <w:p w14:paraId="604C1412" w14:textId="77777777" w:rsidR="00B71C96" w:rsidRDefault="00B71C96">
            <w:pPr>
              <w:pStyle w:val="TableText"/>
            </w:pPr>
            <w:r>
              <w:t>Environmentally Preferable Products Procurement Program</w:t>
            </w:r>
          </w:p>
        </w:tc>
        <w:tc>
          <w:tcPr>
            <w:tcW w:w="2430" w:type="dxa"/>
          </w:tcPr>
          <w:p w14:paraId="61AAE2BC" w14:textId="77777777" w:rsidR="00B71C96" w:rsidRDefault="00B71C96">
            <w:pPr>
              <w:pStyle w:val="TableText"/>
            </w:pPr>
            <w:r>
              <w:t xml:space="preserve">MA Operational Services Division </w:t>
            </w:r>
          </w:p>
        </w:tc>
        <w:tc>
          <w:tcPr>
            <w:tcW w:w="3955" w:type="dxa"/>
          </w:tcPr>
          <w:p w14:paraId="73C92B39" w14:textId="6F766BCB" w:rsidR="00B71C96" w:rsidRDefault="00B71C96">
            <w:pPr>
              <w:pStyle w:val="TableText"/>
            </w:pPr>
            <w:hyperlink r:id="rId361" w:history="1">
              <w:r w:rsidRPr="00E51596">
                <w:rPr>
                  <w:rStyle w:val="Hyperlink"/>
                </w:rPr>
                <w:t>https://www.mass.gov/environmentally-preferable-products-epp-procurement-program</w:t>
              </w:r>
            </w:hyperlink>
            <w:r>
              <w:t xml:space="preserve"> </w:t>
            </w:r>
          </w:p>
        </w:tc>
      </w:tr>
      <w:tr w:rsidR="00B71C96" w:rsidRPr="00276B41" w14:paraId="5EA9B7F7" w14:textId="77777777">
        <w:tc>
          <w:tcPr>
            <w:tcW w:w="2965" w:type="dxa"/>
          </w:tcPr>
          <w:p w14:paraId="254AD753" w14:textId="77777777" w:rsidR="00B71C96" w:rsidRDefault="00B71C96">
            <w:pPr>
              <w:pStyle w:val="TableText"/>
            </w:pPr>
            <w:r>
              <w:t>Green Cleaning &amp; Environmental Purchasing Programs</w:t>
            </w:r>
          </w:p>
        </w:tc>
        <w:tc>
          <w:tcPr>
            <w:tcW w:w="2430" w:type="dxa"/>
          </w:tcPr>
          <w:p w14:paraId="43335209" w14:textId="77777777" w:rsidR="00B71C96" w:rsidRDefault="00B71C96">
            <w:pPr>
              <w:pStyle w:val="TableText"/>
            </w:pPr>
            <w:r>
              <w:t>DPH, MAAP</w:t>
            </w:r>
          </w:p>
        </w:tc>
        <w:tc>
          <w:tcPr>
            <w:tcW w:w="3955" w:type="dxa"/>
          </w:tcPr>
          <w:p w14:paraId="22DEF6AB" w14:textId="300ED268" w:rsidR="00B71C96" w:rsidRDefault="00B71C96">
            <w:pPr>
              <w:pStyle w:val="TableText"/>
            </w:pPr>
            <w:hyperlink r:id="rId362" w:history="1">
              <w:r w:rsidRPr="00E51596">
                <w:rPr>
                  <w:rStyle w:val="Hyperlink"/>
                </w:rPr>
                <w:t>https://www.maasthma.org/toolkit/green-cleaning</w:t>
              </w:r>
            </w:hyperlink>
            <w:r>
              <w:t xml:space="preserve"> </w:t>
            </w:r>
          </w:p>
        </w:tc>
      </w:tr>
      <w:tr w:rsidR="00B71C96" w:rsidRPr="00276B41" w14:paraId="37D3F2B3" w14:textId="77777777">
        <w:tc>
          <w:tcPr>
            <w:tcW w:w="2965" w:type="dxa"/>
          </w:tcPr>
          <w:p w14:paraId="30036143" w14:textId="77777777" w:rsidR="00B71C96" w:rsidRDefault="00B71C96">
            <w:pPr>
              <w:pStyle w:val="TableText"/>
            </w:pPr>
            <w:r>
              <w:t>Massachusetts</w:t>
            </w:r>
          </w:p>
          <w:p w14:paraId="0CB71BB6" w14:textId="77777777" w:rsidR="00B71C96" w:rsidRDefault="00B71C96">
            <w:pPr>
              <w:pStyle w:val="TableText"/>
            </w:pPr>
            <w:r>
              <w:t>School Chemical Management Program</w:t>
            </w:r>
          </w:p>
        </w:tc>
        <w:tc>
          <w:tcPr>
            <w:tcW w:w="2430" w:type="dxa"/>
          </w:tcPr>
          <w:p w14:paraId="67AEDCD2" w14:textId="77777777" w:rsidR="00B71C96" w:rsidRDefault="00B71C96">
            <w:pPr>
              <w:pStyle w:val="TableText"/>
            </w:pPr>
            <w:r>
              <w:t>MassDEP</w:t>
            </w:r>
          </w:p>
        </w:tc>
        <w:tc>
          <w:tcPr>
            <w:tcW w:w="3955" w:type="dxa"/>
          </w:tcPr>
          <w:p w14:paraId="3A5A5DF9" w14:textId="031F2E4C" w:rsidR="00B71C96" w:rsidRDefault="00B71C96">
            <w:pPr>
              <w:pStyle w:val="TableText"/>
            </w:pPr>
            <w:hyperlink r:id="rId363">
              <w:r w:rsidRPr="3B44E17E">
                <w:rPr>
                  <w:rStyle w:val="Hyperlink"/>
                </w:rPr>
                <w:t>https://www.mass.gov/doc/massachusetts-school-chemical-management-program/download</w:t>
              </w:r>
            </w:hyperlink>
            <w:r>
              <w:t xml:space="preserve"> </w:t>
            </w:r>
          </w:p>
        </w:tc>
      </w:tr>
      <w:tr w:rsidR="00B71C96" w14:paraId="75BAC8CA" w14:textId="77777777">
        <w:trPr>
          <w:trHeight w:val="300"/>
        </w:trPr>
        <w:tc>
          <w:tcPr>
            <w:tcW w:w="2965" w:type="dxa"/>
          </w:tcPr>
          <w:p w14:paraId="59127D51" w14:textId="77777777" w:rsidR="00B71C96" w:rsidRDefault="00B71C96">
            <w:pPr>
              <w:pStyle w:val="TableText"/>
            </w:pPr>
            <w:r>
              <w:t xml:space="preserve">Green Cleaning, Sanitizing, and Disinfecting Toolkit </w:t>
            </w:r>
          </w:p>
        </w:tc>
        <w:tc>
          <w:tcPr>
            <w:tcW w:w="2430" w:type="dxa"/>
          </w:tcPr>
          <w:p w14:paraId="355E606C" w14:textId="77777777" w:rsidR="00B71C96" w:rsidRDefault="00B71C96">
            <w:pPr>
              <w:pStyle w:val="TableText"/>
            </w:pPr>
            <w:r>
              <w:t>Western States Pediatric Environmental Health Specialty Unit</w:t>
            </w:r>
          </w:p>
        </w:tc>
        <w:tc>
          <w:tcPr>
            <w:tcW w:w="3955" w:type="dxa"/>
          </w:tcPr>
          <w:p w14:paraId="00A5DA77" w14:textId="510A7266" w:rsidR="00B71C96" w:rsidRDefault="00B71C96">
            <w:pPr>
              <w:pStyle w:val="TableText"/>
            </w:pPr>
            <w:hyperlink r:id="rId364" w:history="1">
              <w:r w:rsidRPr="00E51596">
                <w:rPr>
                  <w:rStyle w:val="Hyperlink"/>
                </w:rPr>
                <w:t>https://wspehsu.ucsf.edu/main-resources/green-cleaning-sanitizing-and-disinfecting-a-toolkit-for-early-care-and-education/</w:t>
              </w:r>
            </w:hyperlink>
            <w:r>
              <w:t xml:space="preserve"> </w:t>
            </w:r>
          </w:p>
        </w:tc>
      </w:tr>
    </w:tbl>
    <w:p w14:paraId="2CEAC196" w14:textId="77777777" w:rsidR="00012D97" w:rsidRDefault="00012D97" w:rsidP="006D7DE6">
      <w:pPr>
        <w:pStyle w:val="BodyTextFirstIndent"/>
      </w:pPr>
    </w:p>
    <w:p w14:paraId="450582CB" w14:textId="77777777" w:rsidR="00012D97" w:rsidRDefault="00012D97">
      <w:pPr>
        <w:rPr>
          <w:rFonts w:ascii="Arial" w:hAnsi="Arial"/>
          <w:b/>
          <w:bCs/>
          <w:color w:val="1F497D" w:themeColor="text2"/>
          <w:sz w:val="28"/>
          <w:szCs w:val="28"/>
        </w:rPr>
      </w:pPr>
      <w:r>
        <w:br w:type="page"/>
      </w:r>
    </w:p>
    <w:p w14:paraId="25EEB353" w14:textId="45115563" w:rsidR="00FD43CA" w:rsidRDefault="00FD43CA" w:rsidP="001C7888">
      <w:pPr>
        <w:pStyle w:val="Heading2"/>
      </w:pPr>
      <w:bookmarkStart w:id="647" w:name="_Toc193116938"/>
      <w:r>
        <w:lastRenderedPageBreak/>
        <w:t>Objective 2</w:t>
      </w:r>
      <w:r w:rsidR="003269A3">
        <w:t>f</w:t>
      </w:r>
      <w:r>
        <w:t xml:space="preserve">. </w:t>
      </w:r>
      <w:r w:rsidR="008456C2" w:rsidRPr="008456C2">
        <w:t>Reduce Exposure to Hazardous Substances</w:t>
      </w:r>
      <w:bookmarkEnd w:id="647"/>
    </w:p>
    <w:p w14:paraId="0853860F" w14:textId="0B7620B8" w:rsidR="00E96112" w:rsidRDefault="00530676" w:rsidP="008C1964">
      <w:pPr>
        <w:pStyle w:val="AirQualitySubheading"/>
      </w:pPr>
      <w:bookmarkStart w:id="648" w:name="SectVII_2f1"/>
      <w:bookmarkEnd w:id="648"/>
      <w:r>
        <w:t>2f(1)</w:t>
      </w:r>
      <w:r>
        <w:tab/>
      </w:r>
      <w:r w:rsidR="008C1964" w:rsidRPr="008C1964">
        <w:t>Reduce Exposure to Lead in Paint and Soil</w:t>
      </w:r>
    </w:p>
    <w:p w14:paraId="350C711F" w14:textId="77777777" w:rsidR="00012D97" w:rsidRDefault="00012D97" w:rsidP="00012D97">
      <w:pPr>
        <w:pStyle w:val="Heading3"/>
      </w:pPr>
      <w:r>
        <w:t>Methods and Best Practices</w:t>
      </w:r>
    </w:p>
    <w:p w14:paraId="395C8BF4" w14:textId="77777777" w:rsidR="00012D97" w:rsidRPr="00645F0D" w:rsidRDefault="00012D97" w:rsidP="006D7DE6">
      <w:pPr>
        <w:pStyle w:val="BodyTextFirstIndent"/>
      </w:pPr>
      <w:r>
        <w:t xml:space="preserve">The following best practices focus on identifying sources of lead (outside of drinking water) in schools and implementing daily practices that can reduce student’s exposure.  </w:t>
      </w:r>
    </w:p>
    <w:p w14:paraId="2E71D361" w14:textId="77777777" w:rsidR="00012D97" w:rsidRPr="007F718B" w:rsidRDefault="00012D97" w:rsidP="00012D97">
      <w:pPr>
        <w:pStyle w:val="Heading5"/>
      </w:pPr>
      <w:r>
        <w:t xml:space="preserve">(1) </w:t>
      </w:r>
      <w:r w:rsidRPr="007F718B">
        <w:t>Examine for lead paint and conduct renovations</w:t>
      </w:r>
    </w:p>
    <w:p w14:paraId="5FC6EB81" w14:textId="3344F0DB" w:rsidR="00012D97" w:rsidRDefault="00012D97" w:rsidP="006D7DE6">
      <w:pPr>
        <w:pStyle w:val="BodyTextFirstIndent"/>
      </w:pPr>
      <w:r>
        <w:t>In 1978, the Consumer Product Safety Commission banned the use of lead in paint; thus, if a school building was built prior to 1978, there is a chance that lead-based paint exists onsite.</w:t>
      </w:r>
      <w:r>
        <w:fldChar w:fldCharType="begin"/>
      </w:r>
      <w:r w:rsidR="00240B5C">
        <w:instrText xml:space="preserve"> ADDIN ZOTERO_ITEM CSL_CITATION {"citationID":"GL4AnyF2","properties":{"formattedCitation":"\\super 99\\uc0\\u8211{}101\\nosupersub{}","plainCitation":"99–101","noteIndex":0},"citationItems":[{"id":8,"uris":["http://zotero.org/groups/5563646/items/KSFS3HQF"],"itemData":{"id":8,"type":"report","number":"EPA-909-R-15-002","publisher":"Environmental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10,"uris":["http://zotero.org/groups/5563646/items/RET9EIZX"],"itemData":{"id":10,"type":"report","language":"en","number":"EPA-908-R-12-0001","source":"Zotero","title":"Sensible Steps to Healthier School Environments","URL":"https://www.epa.gov/sites/default/files/2014-05/documents/sensible_steps.pdf","author":[{"family":"US EPA","given":""}],"issued":{"date-parts":[["2012",7]]}}},{"id":12,"uris":["http://zotero.org/groups/5563646/items/4P4TGQ7E"],"itemData":{"id":12,"type":"report","language":"en","source":"Zotero","title":"Chemical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240B5C" w:rsidRPr="00240B5C">
        <w:rPr>
          <w:rFonts w:cs="Arial"/>
          <w:vertAlign w:val="superscript"/>
        </w:rPr>
        <w:t>99–101</w:t>
      </w:r>
      <w:r>
        <w:fldChar w:fldCharType="end"/>
      </w:r>
      <w:r>
        <w:t xml:space="preserve"> The interior and exterior surfaces of the building, along with the surrounding soil, may be contaminated with flaking paint chips or dust containing lead particles.</w:t>
      </w:r>
      <w:r>
        <w:fldChar w:fldCharType="begin"/>
      </w:r>
      <w:r w:rsidR="008A6123">
        <w:instrText xml:space="preserve"> ADDIN ZOTERO_ITEM CSL_CITATION {"citationID":"zhNPi68e","properties":{"formattedCitation":"\\super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8A6123" w:rsidRPr="008A6123">
        <w:rPr>
          <w:rFonts w:cs="Arial"/>
          <w:vertAlign w:val="superscript"/>
        </w:rPr>
        <w:t>99</w:t>
      </w:r>
      <w:r>
        <w:fldChar w:fldCharType="end"/>
      </w:r>
      <w:r>
        <w:t xml:space="preserve"> Lead-based paint may also be present under newer layers of paint.</w:t>
      </w:r>
      <w:r>
        <w:fldChar w:fldCharType="begin"/>
      </w:r>
      <w:r w:rsidR="002452B7">
        <w:instrText xml:space="preserve"> ADDIN ZOTERO_ITEM CSL_CITATION {"citationID":"NUsLrLwq","properties":{"formattedCitation":"\\super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2452B7" w:rsidRPr="002452B7">
        <w:rPr>
          <w:rFonts w:cs="Arial"/>
          <w:vertAlign w:val="superscript"/>
        </w:rPr>
        <w:t>100</w:t>
      </w:r>
      <w:r>
        <w:fldChar w:fldCharType="end"/>
      </w:r>
      <w:r>
        <w:t xml:space="preserve"> The only way to</w:t>
      </w:r>
      <w:r w:rsidR="005462C1">
        <w:t xml:space="preserve"> establish whether lead is present is to tes</w:t>
      </w:r>
      <w:r w:rsidR="00563036">
        <w:t>t</w:t>
      </w:r>
      <w:r>
        <w:t>. An accredited analytical laboratory or state-certified inspector should be used to test paint and soil for lead.</w:t>
      </w:r>
      <w:r>
        <w:fldChar w:fldCharType="begin"/>
      </w:r>
      <w:r w:rsidR="006D5B2E">
        <w:instrText xml:space="preserve"> ADDIN ZOTERO_ITEM CSL_CITATION {"citationID":"IT2PmEUP","properties":{"formattedCitation":"\\super 99,100\\nosupersub{}","plainCitation":"99,100","noteIndex":0},"citationItems":[{"id":8,"uris":["http://zotero.org/groups/5563646/items/KSFS3HQF"],"itemData":{"id":8,"type":"report","number":"EPA-909-R-15-002","publisher":"Environmental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6D5B2E" w:rsidRPr="006D5B2E">
        <w:rPr>
          <w:rFonts w:cs="Arial"/>
          <w:vertAlign w:val="superscript"/>
        </w:rPr>
        <w:t>99,100</w:t>
      </w:r>
      <w:r>
        <w:fldChar w:fldCharType="end"/>
      </w:r>
      <w:r>
        <w:t xml:space="preserve">  </w:t>
      </w:r>
    </w:p>
    <w:p w14:paraId="6D45A7B3" w14:textId="680BFA41" w:rsidR="00012D97" w:rsidRDefault="00012D97" w:rsidP="006D7DE6">
      <w:pPr>
        <w:pStyle w:val="BodyTextFirstIndent"/>
      </w:pPr>
      <w:r>
        <w:t xml:space="preserve">If lead is detected, </w:t>
      </w:r>
      <w:r w:rsidR="00294337">
        <w:t xml:space="preserve">current or future renovation </w:t>
      </w:r>
      <w:r>
        <w:t xml:space="preserve">plans should </w:t>
      </w:r>
      <w:r w:rsidR="00294337">
        <w:t xml:space="preserve">take that into consideration. </w:t>
      </w:r>
      <w:r w:rsidR="0032575E">
        <w:t>The Department of Labor Standards</w:t>
      </w:r>
      <w:r>
        <w:t xml:space="preserve"> regulations require that (1) renovators provide a pre-renovation notification, (2) all individuals conducting the renovations must be trained and certified, and (3) lead-safe work practices must be followed and well documented</w:t>
      </w:r>
      <w:r w:rsidR="00AF365B">
        <w:t xml:space="preserve"> if the school is considered a child occupied facility</w:t>
      </w:r>
      <w:r>
        <w:t>.</w:t>
      </w:r>
      <w:r w:rsidR="004B278D">
        <w:fldChar w:fldCharType="begin"/>
      </w:r>
      <w:r w:rsidR="0025692F">
        <w:instrText xml:space="preserve"> ADDIN ZOTERO_ITEM CSL_CITATION {"citationID":"a2bq3a49dt0","properties":{"formattedCitation":"\\super 358\\nosupersub{}","plainCitation":"358","noteIndex":0},"citationItems":[{"id":1178,"uris":["http://zotero.org/groups/5563646/items/4TJ2WWML"],"itemData":{"id":1178,"type":"document","title":"454 CMR 22.00: Deleading and Lead-Safe Renovation Regulations","title-short":"454 CMR 22.00","URL":"https://www.mass.gov/doc/454-cmr-22-deleading-and-lead-safe-renovation-regulations/download","author":[{"literal":"Massachusetts Department of Labor Standards"}],"issued":{"date-parts":[["2017",1,13]]}}}],"schema":"https://github.com/citation-style-language/schema/raw/master/csl-citation.json"} </w:instrText>
      </w:r>
      <w:r w:rsidR="004B278D">
        <w:fldChar w:fldCharType="separate"/>
      </w:r>
      <w:r w:rsidR="0025692F" w:rsidRPr="0025692F">
        <w:rPr>
          <w:rFonts w:cs="Arial"/>
          <w:vertAlign w:val="superscript"/>
        </w:rPr>
        <w:t>358</w:t>
      </w:r>
      <w:r w:rsidR="004B278D">
        <w:fldChar w:fldCharType="end"/>
      </w:r>
      <w:r>
        <w:t xml:space="preserve"> It is important to note that common renovation activities such as sanding, cutting, and demolition increase the spread of and subsequent exposure to lead particles.</w:t>
      </w:r>
      <w:r>
        <w:fldChar w:fldCharType="begin"/>
      </w:r>
      <w:r w:rsidR="00EC30FB">
        <w:instrText xml:space="preserve"> ADDIN ZOTERO_ITEM CSL_CITATION {"citationID":"j43Hs3M7","properties":{"formattedCitation":"\\super 100\\nosupersub{}","plainCitation":"100","noteIndex":0},"citationItems":[{"id":8,"uris":["http://zotero.org/groups/5563646/items/KSFS3HQF"],"itemData":{"id":8,"type":"report","number":"EPA-909-R-15-002","publisher":"Environmental Protection Agency","title":"Sensible Guide for Healthier School Renovations: Key Environmental Health Considerations When Renovating Schools","URL":"https://www.epa.gov/sites/default/files/2016-01/documents/schools_renov_brochure-8_5x11_final.pdf","author":[{"family":"US EPA","given":""}],"accessed":{"date-parts":[["2024",6,11]]},"issued":{"date-parts":[["2016",1]]}}}],"schema":"https://github.com/citation-style-language/schema/raw/master/csl-citation.json"} </w:instrText>
      </w:r>
      <w:r>
        <w:fldChar w:fldCharType="separate"/>
      </w:r>
      <w:r w:rsidR="00EC30FB" w:rsidRPr="00EC30FB">
        <w:rPr>
          <w:rFonts w:cs="Arial"/>
          <w:vertAlign w:val="superscript"/>
        </w:rPr>
        <w:t>100</w:t>
      </w:r>
      <w:r>
        <w:fldChar w:fldCharType="end"/>
      </w:r>
      <w:r>
        <w:t xml:space="preserve"> Thus, vacating the building during renovations will likely be necessary.      </w:t>
      </w:r>
    </w:p>
    <w:p w14:paraId="243F7730" w14:textId="3828AA92" w:rsidR="00012D97" w:rsidRPr="007F718B" w:rsidRDefault="00012D97" w:rsidP="00012D97">
      <w:pPr>
        <w:pStyle w:val="Heading5"/>
      </w:pPr>
      <w:r>
        <w:t xml:space="preserve">(2) </w:t>
      </w:r>
      <w:r w:rsidRPr="007F718B">
        <w:t>Implement a hand</w:t>
      </w:r>
      <w:r w:rsidR="002A48A9">
        <w:t>-</w:t>
      </w:r>
      <w:r w:rsidRPr="007F718B">
        <w:t>washing routine after recess and before eating</w:t>
      </w:r>
    </w:p>
    <w:p w14:paraId="64337A7B" w14:textId="32623FF9" w:rsidR="00FD43CA" w:rsidRDefault="00012D97" w:rsidP="006D7DE6">
      <w:pPr>
        <w:pStyle w:val="BodyTextFirstIndent"/>
      </w:pPr>
      <w:r>
        <w:t>Outside of inhaling contaminated dust, children are most likely to be exposed to lead via hand-to-mouth activity.</w:t>
      </w:r>
      <w:r>
        <w:fldChar w:fldCharType="begin"/>
      </w:r>
      <w:r w:rsidR="001530F2">
        <w:instrText xml:space="preserve"> ADDIN ZOTERO_ITEM CSL_CITATION {"citationID":"YE5zSMO9","properties":{"formattedCitation":"\\super 99\\nosupersub{}","plainCitation":"99","noteIndex":0},"citationItems":[{"id":12,"uris":["http://zotero.org/groups/5563646/items/4P4TGQ7E"],"itemData":{"id":12,"type":"report","language":"en","source":"Zotero","title":"Chemical Management Resource Guide for School Administrators","URL":"https://www.epa.gov/sites/default/files/2017-01/documents/chemical_management_resource_guide_school_administrators_508.pdf","author":[{"family":"US EPA","given":""}],"issued":{"date-parts":[["2006"]]}}}],"schema":"https://github.com/citation-style-language/schema/raw/master/csl-citation.json"} </w:instrText>
      </w:r>
      <w:r>
        <w:fldChar w:fldCharType="separate"/>
      </w:r>
      <w:r w:rsidR="001530F2" w:rsidRPr="001530F2">
        <w:rPr>
          <w:rFonts w:cs="Arial"/>
          <w:vertAlign w:val="superscript"/>
        </w:rPr>
        <w:t>99</w:t>
      </w:r>
      <w:r>
        <w:fldChar w:fldCharType="end"/>
      </w:r>
      <w:r>
        <w:t xml:space="preserve"> EPA has stated that washing hands with water and soap can effectively mitigate lead exposure.</w:t>
      </w:r>
      <w:r>
        <w:fldChar w:fldCharType="begin"/>
      </w:r>
      <w:r w:rsidR="0025692F">
        <w:instrText xml:space="preserve"> ADDIN ZOTERO_ITEM CSL_CITATION {"citationID":"pQODtkc3","properties":{"formattedCitation":"\\super 359\\nosupersub{}","plainCitation":"359","noteIndex":0},"citationItems":[{"id":196,"uris":["http://zotero.org/groups/5563646/items/R8MBLWF5"],"itemData":{"id":196,"type":"webpage","title":"Protect Your Family from Sources of Lead","URL":"https://www.epa.gov/lead/protect-your-family-sources-lead","author":[{"family":"US EPA","given":""}],"issued":{"date-parts":[["2024",1,30]]}}}],"schema":"https://github.com/citation-style-language/schema/raw/master/csl-citation.json"} </w:instrText>
      </w:r>
      <w:r>
        <w:fldChar w:fldCharType="separate"/>
      </w:r>
      <w:r w:rsidR="0025692F" w:rsidRPr="0025692F">
        <w:rPr>
          <w:rFonts w:cs="Arial"/>
          <w:vertAlign w:val="superscript"/>
        </w:rPr>
        <w:t>359</w:t>
      </w:r>
      <w:r>
        <w:fldChar w:fldCharType="end"/>
      </w:r>
      <w:r>
        <w:t xml:space="preserve"> Thus, it is essential to implement a hand-washing routine after playing outside and before eating to reduce the amount of accessible lead on children’s hands.</w:t>
      </w:r>
      <w:r>
        <w:fldChar w:fldCharType="begin"/>
      </w:r>
      <w:r w:rsidR="00FD4D98">
        <w:instrText xml:space="preserve"> ADDIN ZOTERO_ITEM CSL_CITATION {"citationID":"z7O3oi6B","properties":{"formattedCitation":"\\super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FD4D98" w:rsidRPr="00FD4D98">
        <w:rPr>
          <w:rFonts w:cs="Arial"/>
          <w:vertAlign w:val="superscript"/>
        </w:rPr>
        <w:t>101</w:t>
      </w:r>
      <w:r>
        <w:fldChar w:fldCharType="end"/>
      </w:r>
    </w:p>
    <w:p w14:paraId="7E61685F" w14:textId="77777777" w:rsidR="00012D97" w:rsidRDefault="00012D97" w:rsidP="00012D97">
      <w:pPr>
        <w:pStyle w:val="Heading3"/>
      </w:pPr>
      <w:r>
        <w:t>Statutes, Regulations, and Standards</w:t>
      </w:r>
    </w:p>
    <w:p w14:paraId="79EDFF3E" w14:textId="77777777" w:rsidR="00012D97" w:rsidRPr="00E549B2" w:rsidRDefault="00012D97" w:rsidP="006D7DE6">
      <w:pPr>
        <w:pStyle w:val="BodyTextFirstIndent"/>
      </w:pPr>
      <w:r>
        <w:t xml:space="preserve">The following regulations focus on setting requirements for removing lead paint and later renovations of buildings. </w:t>
      </w:r>
    </w:p>
    <w:p w14:paraId="3A65DBBE" w14:textId="77777777" w:rsidR="00012D97" w:rsidRDefault="00012D97" w:rsidP="00012D97">
      <w:pPr>
        <w:pStyle w:val="Heading4"/>
      </w:pPr>
      <w:r>
        <w:t>Relevant Regulations</w:t>
      </w:r>
    </w:p>
    <w:p w14:paraId="70ABE95A" w14:textId="12BC43F3" w:rsidR="00012D97" w:rsidRPr="00DF18DA" w:rsidRDefault="00012D97" w:rsidP="006D7DE6">
      <w:pPr>
        <w:pStyle w:val="BodyTextFirstIndent"/>
      </w:pPr>
      <w:r w:rsidRPr="00C44925">
        <w:rPr>
          <w:b/>
        </w:rPr>
        <w:t>105 CMR 460.000</w:t>
      </w:r>
      <w:r>
        <w:t xml:space="preserve"> establishes a statewide program for the prevention and control of lead poisoning. The regulation includes restrictions on the use of lead-based paints and glazes in school buildings.</w:t>
      </w:r>
      <w:r w:rsidR="00C65654">
        <w:fldChar w:fldCharType="begin"/>
      </w:r>
      <w:r w:rsidR="0025692F">
        <w:instrText xml:space="preserve"> ADDIN ZOTERO_ITEM CSL_CITATION {"citationID":"a2cgr76pu81","properties":{"formattedCitation":"\\super 360\\nosupersub{}","plainCitation":"360","noteIndex":0},"citationItems":[{"id":1123,"uris":["http://zotero.org/groups/5563646/items/BR8T6EYY"],"itemData":{"id":1123,"type":"legislation","container-title":"105 CMR 460.000","title":"Lead poisoning prevention and control","URL":"https://www.mass.gov/regulations/105-CMR-46000-lead-poisoning-prevention-and-control","issued":{"date-parts":[["2017"]]}}}],"schema":"https://github.com/citation-style-language/schema/raw/master/csl-citation.json"} </w:instrText>
      </w:r>
      <w:r w:rsidR="00C65654">
        <w:fldChar w:fldCharType="separate"/>
      </w:r>
      <w:r w:rsidR="0025692F" w:rsidRPr="0025692F">
        <w:rPr>
          <w:rFonts w:cs="Arial"/>
          <w:vertAlign w:val="superscript"/>
        </w:rPr>
        <w:t>360</w:t>
      </w:r>
      <w:r w:rsidR="00C65654">
        <w:fldChar w:fldCharType="end"/>
      </w:r>
    </w:p>
    <w:p w14:paraId="32CBC5B0" w14:textId="73B8AAE5" w:rsidR="00DD1FDF" w:rsidRDefault="00A12636" w:rsidP="006D7DE6">
      <w:pPr>
        <w:pStyle w:val="BodyTextFirstIndent"/>
        <w:rPr>
          <w:b/>
        </w:rPr>
      </w:pPr>
      <w:r>
        <w:rPr>
          <w:b/>
        </w:rPr>
        <w:lastRenderedPageBreak/>
        <w:t>454 CMR 22.00</w:t>
      </w:r>
      <w:r w:rsidRPr="00A12636">
        <w:rPr>
          <w:bCs/>
        </w:rPr>
        <w:t xml:space="preserve"> es</w:t>
      </w:r>
      <w:r>
        <w:rPr>
          <w:bCs/>
        </w:rPr>
        <w:t>tablishes regulations that require deleading and lead safe renovation require</w:t>
      </w:r>
      <w:r w:rsidR="008E5611">
        <w:rPr>
          <w:bCs/>
        </w:rPr>
        <w:t>ments for residences and child-occupied facilities.</w:t>
      </w:r>
      <w:r w:rsidR="000609CD">
        <w:rPr>
          <w:bCs/>
        </w:rPr>
        <w:fldChar w:fldCharType="begin"/>
      </w:r>
      <w:r w:rsidR="0025692F">
        <w:rPr>
          <w:bCs/>
        </w:rPr>
        <w:instrText xml:space="preserve"> ADDIN ZOTERO_ITEM CSL_CITATION {"citationID":"a4iafrn7k8","properties":{"formattedCitation":"\\super 358\\nosupersub{}","plainCitation":"358","noteIndex":0},"citationItems":[{"id":1178,"uris":["http://zotero.org/groups/5563646/items/4TJ2WWML"],"itemData":{"id":1178,"type":"document","title":"454 CMR 22.00: Deleading and Lead-Safe Renovation Regulations","title-short":"454 CMR 22.00","URL":"https://www.mass.gov/doc/454-cmr-22-deleading-and-lead-safe-renovation-regulations/download","author":[{"literal":"Massachusetts Department of Labor Standards"}],"issued":{"date-parts":[["2017",1,13]]}}}],"schema":"https://github.com/citation-style-language/schema/raw/master/csl-citation.json"} </w:instrText>
      </w:r>
      <w:r w:rsidR="000609CD">
        <w:rPr>
          <w:bCs/>
        </w:rPr>
        <w:fldChar w:fldCharType="separate"/>
      </w:r>
      <w:r w:rsidR="0025692F" w:rsidRPr="0025692F">
        <w:rPr>
          <w:rFonts w:cs="Arial"/>
          <w:vertAlign w:val="superscript"/>
        </w:rPr>
        <w:t>358</w:t>
      </w:r>
      <w:r w:rsidR="000609CD">
        <w:rPr>
          <w:bCs/>
        </w:rPr>
        <w:fldChar w:fldCharType="end"/>
      </w:r>
    </w:p>
    <w:p w14:paraId="0E242007" w14:textId="42A78E70" w:rsidR="00012D97" w:rsidRPr="005E5311" w:rsidRDefault="00012D97" w:rsidP="006D7DE6">
      <w:pPr>
        <w:pStyle w:val="BodyTextFirstIndent"/>
      </w:pPr>
      <w:r>
        <w:rPr>
          <w:b/>
        </w:rPr>
        <w:t>TSCA Section 402</w:t>
      </w:r>
      <w:r>
        <w:t xml:space="preserve"> </w:t>
      </w:r>
      <w:r w:rsidR="008D3625">
        <w:t>requires</w:t>
      </w:r>
      <w:r>
        <w:t xml:space="preserve"> that activities related to preventing, detecting, and eliminating hazards associated with lead-based paint are performed by properly trained and certified individuals.</w:t>
      </w:r>
      <w:r>
        <w:fldChar w:fldCharType="begin"/>
      </w:r>
      <w:r w:rsidR="002E39B8">
        <w:instrText xml:space="preserve"> ADDIN ZOTERO_ITEM CSL_CITATION {"citationID":"Y2BIWfgD","properties":{"formattedCitation":"\\super 361\\nosupersub{}","plainCitation":"361","noteIndex":0},"citationItems":[{"id":197,"uris":["http://zotero.org/groups/5563646/items/H8EUC7MH"],"itemData":{"id":197,"type":"webpage","title":"TSCA Sections 402/404 Training, Certification, Accreditation, and Standards for Lead-Based Paint Activities","URL":"https://www.federalregister.gov/documents/2000/02/23/00-4240/tsca-sections-402404-training-certification-accreditation-and-standards-for-lead-based-paint","author":[{"family":"US EPA","given":""}],"issued":{"date-parts":[["2000",2,23]]}}}],"schema":"https://github.com/citation-style-language/schema/raw/master/csl-citation.json"} </w:instrText>
      </w:r>
      <w:r>
        <w:fldChar w:fldCharType="separate"/>
      </w:r>
      <w:r w:rsidR="002E39B8" w:rsidRPr="002E39B8">
        <w:rPr>
          <w:rFonts w:cs="Arial"/>
          <w:vertAlign w:val="superscript"/>
        </w:rPr>
        <w:t>361</w:t>
      </w:r>
      <w:r>
        <w:fldChar w:fldCharType="end"/>
      </w:r>
    </w:p>
    <w:p w14:paraId="1AED699D" w14:textId="79845739" w:rsidR="00012D97" w:rsidRDefault="00012D97" w:rsidP="006D7DE6">
      <w:pPr>
        <w:pStyle w:val="BodyTextFirstIndent"/>
      </w:pPr>
      <w:r>
        <w:rPr>
          <w:b/>
          <w:bCs/>
        </w:rPr>
        <w:t>TSCA Section 404</w:t>
      </w:r>
      <w:r>
        <w:t xml:space="preserve"> includes requirements on reporting and recordkeeping as it relates to any activities relevant to TSCA section 402.</w:t>
      </w:r>
      <w:r>
        <w:fldChar w:fldCharType="begin"/>
      </w:r>
      <w:r w:rsidR="004243E6">
        <w:instrText xml:space="preserve"> ADDIN ZOTERO_ITEM CSL_CITATION {"citationID":"lFZcA587","properties":{"formattedCitation":"\\super 361\\nosupersub{}","plainCitation":"361","noteIndex":0},"citationItems":[{"id":197,"uris":["http://zotero.org/groups/5563646/items/H8EUC7MH"],"itemData":{"id":197,"type":"webpage","title":"TSCA Sections 402/404 Training, Certification, Accreditation, and Standards for Lead-Based Paint Activities","URL":"https://www.federalregister.gov/documents/2000/02/23/00-4240/tsca-sections-402404-training-certification-accreditation-and-standards-for-lead-based-paint","author":[{"family":"US EPA","given":""}],"issued":{"date-parts":[["2000",2,23]]}}}],"schema":"https://github.com/citation-style-language/schema/raw/master/csl-citation.json"} </w:instrText>
      </w:r>
      <w:r>
        <w:fldChar w:fldCharType="separate"/>
      </w:r>
      <w:r w:rsidR="004243E6" w:rsidRPr="004243E6">
        <w:rPr>
          <w:rFonts w:cs="Arial"/>
          <w:vertAlign w:val="superscript"/>
        </w:rPr>
        <w:t>361</w:t>
      </w:r>
      <w:r>
        <w:fldChar w:fldCharType="end"/>
      </w:r>
      <w:r>
        <w:t xml:space="preserve"> Additionally, subsection G also provides guidance on grants that can be awarded to renovate buildings with lead-based paint. </w:t>
      </w:r>
    </w:p>
    <w:p w14:paraId="20F960F0" w14:textId="275CC391" w:rsidR="00012D97" w:rsidRDefault="00012D97" w:rsidP="006D7DE6">
      <w:pPr>
        <w:pStyle w:val="BodyTextFirstIndent"/>
      </w:pPr>
      <w:r>
        <w:rPr>
          <w:b/>
          <w:bCs/>
        </w:rPr>
        <w:t xml:space="preserve">TSCA </w:t>
      </w:r>
      <w:r w:rsidRPr="0041725E">
        <w:rPr>
          <w:b/>
          <w:bCs/>
        </w:rPr>
        <w:t xml:space="preserve">Title 40, Chapter 1, Subchapter R, Part 745, Subpart E </w:t>
      </w:r>
      <w:r>
        <w:t>provides guidelines for renovations performed in residential and child-occupied facilities.</w:t>
      </w:r>
      <w:r>
        <w:fldChar w:fldCharType="begin"/>
      </w:r>
      <w:r w:rsidR="004838E6">
        <w:instrText xml:space="preserve"> ADDIN ZOTERO_ITEM CSL_CITATION {"citationID":"FWSkRykD","properties":{"formattedCitation":"\\super 362\\nosupersub{}","plainCitation":"362","noteIndex":0},"citationItems":[{"id":208,"uris":["http://zotero.org/groups/5563646/items/X5P76IWY"],"itemData":{"id":208,"type":"webpage","title":"40 CFR Part 745 Subpart E: Residential Property Renovation: State, Territorial and Tribal Program Authorization Application Guidance","URL":"https://19january2017snapshot.epa.gov/sites/production/files/documents/statetribalguidance.pdf","author":[{"family":"US EPA","given":""}],"issued":{"date-parts":[["2008",12,8]]}}}],"schema":"https://github.com/citation-style-language/schema/raw/master/csl-citation.json"} </w:instrText>
      </w:r>
      <w:r>
        <w:fldChar w:fldCharType="separate"/>
      </w:r>
      <w:r w:rsidR="004838E6" w:rsidRPr="004838E6">
        <w:rPr>
          <w:rFonts w:cs="Arial"/>
          <w:vertAlign w:val="superscript"/>
        </w:rPr>
        <w:t>362</w:t>
      </w:r>
      <w:r>
        <w:fldChar w:fldCharType="end"/>
      </w:r>
      <w:r>
        <w:t xml:space="preserve"> It also describes the requirements of pre-renovation education/notification, the certification details and responsibilities of renovators and sampling technicians, and work practice standards. </w:t>
      </w:r>
    </w:p>
    <w:p w14:paraId="1A0893CF" w14:textId="6CE0F7AC" w:rsidR="00012D97" w:rsidRDefault="00012D97" w:rsidP="006D7DE6">
      <w:pPr>
        <w:pStyle w:val="BodyTextFirstIndent"/>
      </w:pPr>
      <w:r>
        <w:fldChar w:fldCharType="begin"/>
      </w:r>
      <w:r>
        <w:instrText xml:space="preserve"> REF _Ref171632385 \h </w:instrText>
      </w:r>
      <w:r>
        <w:fldChar w:fldCharType="separate"/>
      </w:r>
      <w:r w:rsidR="00307850">
        <w:t xml:space="preserve">Table </w:t>
      </w:r>
      <w:r w:rsidR="00307850">
        <w:rPr>
          <w:noProof/>
        </w:rPr>
        <w:t>83</w:t>
      </w:r>
      <w:r>
        <w:fldChar w:fldCharType="end"/>
      </w:r>
      <w:r>
        <w:t xml:space="preserve"> </w:t>
      </w:r>
      <w:r w:rsidRPr="007935AE">
        <w:t xml:space="preserve">summarizes the statutes, regulations, and standards related to </w:t>
      </w:r>
      <w:r>
        <w:t>reducing exposure to lead in paint and soil at</w:t>
      </w:r>
      <w:r w:rsidRPr="007935AE">
        <w:t xml:space="preserve"> schools</w:t>
      </w:r>
      <w:r>
        <w:t xml:space="preserve"> outlined above</w:t>
      </w:r>
      <w:r w:rsidRPr="007935AE">
        <w:t>.</w:t>
      </w:r>
    </w:p>
    <w:p w14:paraId="561B1DA7" w14:textId="246C0BF7" w:rsidR="00012D97" w:rsidRDefault="00012D97" w:rsidP="00B30C96">
      <w:pPr>
        <w:pStyle w:val="TableTitle"/>
      </w:pPr>
      <w:bookmarkStart w:id="649" w:name="_Ref171632385"/>
      <w:bookmarkStart w:id="650" w:name="_Toc192711749"/>
      <w:bookmarkStart w:id="651" w:name="_Toc193112631"/>
      <w:bookmarkStart w:id="652" w:name="_Toc193117030"/>
      <w:r>
        <w:t xml:space="preserve">Table </w:t>
      </w:r>
      <w:fldSimple w:instr=" SEQ Table \* ARABIC ">
        <w:r w:rsidR="00307850">
          <w:rPr>
            <w:noProof/>
          </w:rPr>
          <w:t>83</w:t>
        </w:r>
      </w:fldSimple>
      <w:bookmarkEnd w:id="649"/>
      <w:r>
        <w:t xml:space="preserve">. Statutory/Regulatory Framework and Notable Standards for </w:t>
      </w:r>
      <w:r w:rsidRPr="008F652D">
        <w:t>Reduc</w:t>
      </w:r>
      <w:r>
        <w:t>ing</w:t>
      </w:r>
      <w:r w:rsidRPr="008F652D">
        <w:t xml:space="preserve"> </w:t>
      </w:r>
      <w:r>
        <w:t>Exposure to Lead in Paint and Soils</w:t>
      </w:r>
      <w:bookmarkEnd w:id="650"/>
      <w:bookmarkEnd w:id="651"/>
      <w:bookmarkEnd w:id="652"/>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exposure to lead in pant and soils."/>
      </w:tblPr>
      <w:tblGrid>
        <w:gridCol w:w="6834"/>
        <w:gridCol w:w="838"/>
        <w:gridCol w:w="840"/>
        <w:gridCol w:w="838"/>
      </w:tblGrid>
      <w:tr w:rsidR="00012D97" w:rsidRPr="00E11392" w14:paraId="518845B1"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694D6502" w14:textId="77777777" w:rsidR="00012D97" w:rsidRPr="00E11392" w:rsidRDefault="00012D97">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5928F9A8" w14:textId="77777777" w:rsidR="00012D97" w:rsidRPr="00E11392" w:rsidRDefault="00012D97">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3FE8C82" w14:textId="77777777" w:rsidR="00012D97" w:rsidRPr="00E11392" w:rsidRDefault="00012D97">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7610EFA" w14:textId="77777777" w:rsidR="00012D97" w:rsidRPr="00E11392" w:rsidRDefault="00012D97">
            <w:pPr>
              <w:pStyle w:val="TableColumnHeader"/>
              <w:jc w:val="left"/>
            </w:pPr>
            <w:r w:rsidRPr="00E11392">
              <w:t>Standard</w:t>
            </w:r>
          </w:p>
        </w:tc>
      </w:tr>
      <w:tr w:rsidR="00012D97" w:rsidRPr="00E11392" w14:paraId="69C8ECAC"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73E66BF8" w14:textId="77777777" w:rsidR="00012D97" w:rsidRPr="00E11392" w:rsidRDefault="00012D97">
            <w:pPr>
              <w:pStyle w:val="TableRowHeader"/>
            </w:pPr>
            <w:r w:rsidRPr="00E11392">
              <w:t>Regulations</w:t>
            </w:r>
          </w:p>
        </w:tc>
      </w:tr>
      <w:tr w:rsidR="00012D97" w:rsidRPr="00E11392" w14:paraId="0AFE617A"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5C2C6BC2" w14:textId="77777777" w:rsidR="00012D97" w:rsidRDefault="00012D97">
            <w:pPr>
              <w:pStyle w:val="TableText"/>
            </w:pPr>
            <w:r w:rsidRPr="00C44925">
              <w:t>105 CMR 460.000</w:t>
            </w:r>
          </w:p>
        </w:tc>
        <w:tc>
          <w:tcPr>
            <w:tcW w:w="448" w:type="pct"/>
            <w:tcBorders>
              <w:top w:val="nil"/>
              <w:left w:val="single" w:sz="4" w:space="0" w:color="auto"/>
              <w:bottom w:val="single" w:sz="4" w:space="0" w:color="auto"/>
              <w:right w:val="single" w:sz="4" w:space="0" w:color="auto"/>
            </w:tcBorders>
            <w:shd w:val="clear" w:color="auto" w:fill="auto"/>
            <w:vAlign w:val="center"/>
          </w:tcPr>
          <w:p w14:paraId="2F2ED32F" w14:textId="77777777" w:rsidR="00012D97" w:rsidRPr="00E11392" w:rsidRDefault="00012D97">
            <w:pPr>
              <w:jc w:val="center"/>
              <w:rPr>
                <w:rFonts w:ascii="Arial" w:hAnsi="Arial" w:cs="Arial"/>
                <w:b/>
                <w:bCs/>
                <w:sz w:val="24"/>
              </w:rPr>
            </w:pPr>
            <w:r>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32688685" w14:textId="77777777" w:rsidR="00012D97" w:rsidRDefault="00012D97">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6EFD6AFD" w14:textId="77777777" w:rsidR="00012D97" w:rsidRPr="00E11392" w:rsidRDefault="00012D97">
            <w:pPr>
              <w:jc w:val="center"/>
              <w:rPr>
                <w:rFonts w:ascii="Arial" w:hAnsi="Arial" w:cs="Arial"/>
                <w:b/>
                <w:bCs/>
                <w:sz w:val="24"/>
              </w:rPr>
            </w:pPr>
          </w:p>
        </w:tc>
      </w:tr>
      <w:tr w:rsidR="00182E11" w:rsidRPr="00E11392" w14:paraId="0DB70C4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FAB4872" w14:textId="0FA4B293" w:rsidR="00182E11" w:rsidRPr="00C44925" w:rsidRDefault="00182E11">
            <w:pPr>
              <w:pStyle w:val="TableText"/>
            </w:pPr>
            <w:r>
              <w:t>454 CMR 22.00</w:t>
            </w:r>
          </w:p>
        </w:tc>
        <w:tc>
          <w:tcPr>
            <w:tcW w:w="448" w:type="pct"/>
            <w:tcBorders>
              <w:top w:val="nil"/>
              <w:left w:val="single" w:sz="4" w:space="0" w:color="auto"/>
              <w:bottom w:val="single" w:sz="4" w:space="0" w:color="auto"/>
              <w:right w:val="single" w:sz="4" w:space="0" w:color="auto"/>
            </w:tcBorders>
            <w:shd w:val="clear" w:color="auto" w:fill="auto"/>
            <w:vAlign w:val="center"/>
          </w:tcPr>
          <w:p w14:paraId="6907482E" w14:textId="0B23E2CA" w:rsidR="00182E11" w:rsidRDefault="001A6B5F">
            <w:pPr>
              <w:jc w:val="center"/>
              <w:rPr>
                <w:rFonts w:ascii="Arial" w:hAnsi="Arial" w:cs="Arial"/>
                <w:b/>
                <w:bCs/>
                <w:color w:val="00B050"/>
                <w:sz w:val="24"/>
              </w:rPr>
            </w:pPr>
            <w:r>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768F5D6" w14:textId="77777777" w:rsidR="00182E11" w:rsidRDefault="00182E11">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70ABE682" w14:textId="77777777" w:rsidR="00182E11" w:rsidRPr="00E11392" w:rsidRDefault="00182E11">
            <w:pPr>
              <w:jc w:val="center"/>
              <w:rPr>
                <w:rFonts w:ascii="Arial" w:hAnsi="Arial" w:cs="Arial"/>
                <w:b/>
                <w:bCs/>
                <w:sz w:val="24"/>
              </w:rPr>
            </w:pPr>
          </w:p>
        </w:tc>
      </w:tr>
      <w:tr w:rsidR="00012D97" w:rsidRPr="00E11392" w14:paraId="18E91282"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5BEE38A5" w14:textId="77777777" w:rsidR="00012D97" w:rsidRPr="00E11392" w:rsidRDefault="00012D97">
            <w:pPr>
              <w:pStyle w:val="TableText"/>
            </w:pPr>
            <w:r>
              <w:t>TSCA Section 402</w:t>
            </w:r>
          </w:p>
        </w:tc>
        <w:tc>
          <w:tcPr>
            <w:tcW w:w="448" w:type="pct"/>
            <w:tcBorders>
              <w:top w:val="nil"/>
              <w:left w:val="single" w:sz="4" w:space="0" w:color="auto"/>
              <w:bottom w:val="single" w:sz="4" w:space="0" w:color="auto"/>
              <w:right w:val="single" w:sz="4" w:space="0" w:color="auto"/>
            </w:tcBorders>
            <w:shd w:val="clear" w:color="auto" w:fill="auto"/>
            <w:vAlign w:val="center"/>
          </w:tcPr>
          <w:p w14:paraId="5CFFFC0A" w14:textId="77777777" w:rsidR="00012D97" w:rsidRPr="00E11392" w:rsidRDefault="00012D97">
            <w:pPr>
              <w:jc w:val="center"/>
              <w:rPr>
                <w:rFonts w:ascii="Arial" w:hAnsi="Arial" w:cs="Arial"/>
                <w:b/>
                <w:bCs/>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6374ED43" w14:textId="77777777" w:rsidR="00012D97" w:rsidRPr="00E11392" w:rsidRDefault="00012D97">
            <w:pPr>
              <w:jc w:val="center"/>
              <w:rPr>
                <w:rFonts w:ascii="Arial" w:hAnsi="Arial" w:cs="Arial"/>
                <w:b/>
                <w:bCs/>
                <w:color w:val="00B050"/>
                <w:sz w:val="24"/>
              </w:rPr>
            </w:pPr>
            <w:r>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17BF172F" w14:textId="77777777" w:rsidR="00012D97" w:rsidRPr="00E11392" w:rsidRDefault="00012D97">
            <w:pPr>
              <w:jc w:val="center"/>
              <w:rPr>
                <w:rFonts w:ascii="Arial" w:hAnsi="Arial" w:cs="Arial"/>
                <w:b/>
                <w:bCs/>
                <w:sz w:val="24"/>
              </w:rPr>
            </w:pPr>
          </w:p>
        </w:tc>
      </w:tr>
      <w:tr w:rsidR="00012D97" w:rsidRPr="00E11392" w14:paraId="31359756"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077D40D" w14:textId="77777777" w:rsidR="00012D97" w:rsidRPr="00E11392" w:rsidRDefault="00012D97">
            <w:pPr>
              <w:pStyle w:val="TableText"/>
            </w:pPr>
            <w:r>
              <w:t>TSCA Section 404</w:t>
            </w:r>
          </w:p>
        </w:tc>
        <w:tc>
          <w:tcPr>
            <w:tcW w:w="448" w:type="pct"/>
            <w:tcBorders>
              <w:top w:val="nil"/>
              <w:left w:val="single" w:sz="4" w:space="0" w:color="auto"/>
              <w:bottom w:val="single" w:sz="4" w:space="0" w:color="auto"/>
              <w:right w:val="single" w:sz="4" w:space="0" w:color="auto"/>
            </w:tcBorders>
            <w:shd w:val="clear" w:color="auto" w:fill="auto"/>
            <w:vAlign w:val="center"/>
          </w:tcPr>
          <w:p w14:paraId="500ED3DC" w14:textId="77777777" w:rsidR="00012D97" w:rsidRPr="00E11392" w:rsidRDefault="00012D97">
            <w:pPr>
              <w:jc w:val="center"/>
              <w:rPr>
                <w:rFonts w:ascii="Arial" w:hAnsi="Arial" w:cs="Arial"/>
                <w:b/>
                <w:bCs/>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63E2704B" w14:textId="77777777" w:rsidR="00012D97" w:rsidRPr="00E11392" w:rsidRDefault="00012D97">
            <w:pPr>
              <w:jc w:val="center"/>
              <w:rPr>
                <w:rFonts w:ascii="Arial" w:hAnsi="Arial" w:cs="Arial"/>
                <w:b/>
                <w:bCs/>
                <w:color w:val="00B050"/>
                <w:sz w:val="24"/>
              </w:rPr>
            </w:pPr>
            <w:r>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00FAD121" w14:textId="77777777" w:rsidR="00012D97" w:rsidRPr="00E11392" w:rsidRDefault="00012D97">
            <w:pPr>
              <w:jc w:val="center"/>
              <w:rPr>
                <w:rFonts w:ascii="Arial" w:hAnsi="Arial" w:cs="Arial"/>
                <w:b/>
                <w:bCs/>
                <w:sz w:val="24"/>
              </w:rPr>
            </w:pPr>
          </w:p>
        </w:tc>
      </w:tr>
      <w:tr w:rsidR="00012D97" w:rsidRPr="00E11392" w14:paraId="5AC23A29"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6FFB887F" w14:textId="77777777" w:rsidR="00012D97" w:rsidRPr="00E11392" w:rsidRDefault="00012D97">
            <w:pPr>
              <w:pStyle w:val="TableText"/>
            </w:pPr>
            <w:r>
              <w:t>TSCA Title 40, Chapter 1, Subchapter R, Part 745, Subpart E</w:t>
            </w:r>
          </w:p>
        </w:tc>
        <w:tc>
          <w:tcPr>
            <w:tcW w:w="448" w:type="pct"/>
            <w:tcBorders>
              <w:top w:val="nil"/>
              <w:left w:val="single" w:sz="4" w:space="0" w:color="auto"/>
              <w:bottom w:val="single" w:sz="4" w:space="0" w:color="auto"/>
              <w:right w:val="single" w:sz="4" w:space="0" w:color="auto"/>
            </w:tcBorders>
            <w:shd w:val="clear" w:color="auto" w:fill="auto"/>
            <w:vAlign w:val="center"/>
          </w:tcPr>
          <w:p w14:paraId="1FB055B4" w14:textId="77777777" w:rsidR="00012D97" w:rsidRPr="00E11392" w:rsidRDefault="00012D97">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4AD4A94A" w14:textId="77777777" w:rsidR="00012D97" w:rsidRPr="00E11392" w:rsidRDefault="00012D97">
            <w:pPr>
              <w:jc w:val="center"/>
              <w:rPr>
                <w:rFonts w:ascii="Arial" w:hAnsi="Arial" w:cs="Arial"/>
                <w:b/>
                <w:bCs/>
                <w:color w:val="00B050"/>
                <w:sz w:val="24"/>
              </w:rPr>
            </w:pPr>
            <w:r>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5B6F5FFC" w14:textId="77777777" w:rsidR="00012D97" w:rsidRPr="00E11392" w:rsidRDefault="00012D97">
            <w:pPr>
              <w:jc w:val="center"/>
              <w:rPr>
                <w:rFonts w:ascii="Arial" w:hAnsi="Arial" w:cs="Arial"/>
                <w:b/>
                <w:bCs/>
                <w:sz w:val="24"/>
              </w:rPr>
            </w:pPr>
          </w:p>
        </w:tc>
      </w:tr>
    </w:tbl>
    <w:p w14:paraId="18712AB1" w14:textId="77777777" w:rsidR="00012D97" w:rsidRDefault="00012D97" w:rsidP="00012D97">
      <w:pPr>
        <w:pStyle w:val="Heading3"/>
      </w:pPr>
      <w:r>
        <w:t>Relevant Resources</w:t>
      </w:r>
    </w:p>
    <w:p w14:paraId="487F8A50" w14:textId="77DA17CD" w:rsidR="00012D97" w:rsidRDefault="00012D97" w:rsidP="006D7DE6">
      <w:pPr>
        <w:pStyle w:val="BodyTextFirstIndent"/>
      </w:pPr>
      <w:r>
        <w:fldChar w:fldCharType="begin"/>
      </w:r>
      <w:r>
        <w:instrText xml:space="preserve"> REF _Ref171632419 \h </w:instrText>
      </w:r>
      <w:r>
        <w:fldChar w:fldCharType="separate"/>
      </w:r>
      <w:r w:rsidR="00307850">
        <w:t xml:space="preserve">Table </w:t>
      </w:r>
      <w:r w:rsidR="00307850">
        <w:rPr>
          <w:noProof/>
        </w:rPr>
        <w:t>84</w:t>
      </w:r>
      <w:r>
        <w:fldChar w:fldCharType="end"/>
      </w:r>
      <w:r>
        <w:t xml:space="preserve"> provides a summary of resources related to reducing exposure to lead in paint and soil at schools.</w:t>
      </w:r>
    </w:p>
    <w:p w14:paraId="5FE9F9E0" w14:textId="42210253" w:rsidR="00012D97" w:rsidRDefault="00012D97" w:rsidP="00B30C96">
      <w:pPr>
        <w:pStyle w:val="TableTitle"/>
      </w:pPr>
      <w:bookmarkStart w:id="653" w:name="_Ref171632419"/>
      <w:bookmarkStart w:id="654" w:name="_Toc192711750"/>
      <w:bookmarkStart w:id="655" w:name="_Toc193112632"/>
      <w:bookmarkStart w:id="656" w:name="_Toc193117031"/>
      <w:r>
        <w:t xml:space="preserve">Table </w:t>
      </w:r>
      <w:fldSimple w:instr=" SEQ Table \* ARABIC ">
        <w:r w:rsidR="00307850">
          <w:rPr>
            <w:noProof/>
          </w:rPr>
          <w:t>84</w:t>
        </w:r>
      </w:fldSimple>
      <w:bookmarkEnd w:id="653"/>
      <w:r>
        <w:t>. Resources for Reducing Exposure to Lead in Paint and Soil</w:t>
      </w:r>
      <w:bookmarkEnd w:id="654"/>
      <w:bookmarkEnd w:id="655"/>
      <w:bookmarkEnd w:id="656"/>
    </w:p>
    <w:tbl>
      <w:tblPr>
        <w:tblStyle w:val="TableGrid"/>
        <w:tblW w:w="0" w:type="auto"/>
        <w:tblLook w:val="04A0" w:firstRow="1" w:lastRow="0" w:firstColumn="1" w:lastColumn="0" w:noHBand="0" w:noVBand="1"/>
        <w:tblDescription w:val="Table listing resources with active URLs for reducing exposure to lead in paint and soil."/>
      </w:tblPr>
      <w:tblGrid>
        <w:gridCol w:w="2327"/>
        <w:gridCol w:w="2124"/>
        <w:gridCol w:w="4899"/>
      </w:tblGrid>
      <w:tr w:rsidR="00012D97" w:rsidRPr="00276B41" w14:paraId="20086416" w14:textId="77777777" w:rsidTr="00761367">
        <w:trPr>
          <w:tblHeader/>
        </w:trPr>
        <w:tc>
          <w:tcPr>
            <w:tcW w:w="2327" w:type="dxa"/>
            <w:shd w:val="clear" w:color="auto" w:fill="C6D9F1" w:themeFill="text2" w:themeFillTint="33"/>
          </w:tcPr>
          <w:p w14:paraId="2E23E5E9" w14:textId="77777777" w:rsidR="00012D97" w:rsidRPr="004C3A1C" w:rsidRDefault="00012D97">
            <w:pPr>
              <w:pStyle w:val="TableColumnHeader"/>
            </w:pPr>
            <w:r w:rsidRPr="004C3A1C">
              <w:t>Resource</w:t>
            </w:r>
          </w:p>
        </w:tc>
        <w:tc>
          <w:tcPr>
            <w:tcW w:w="2124" w:type="dxa"/>
            <w:shd w:val="clear" w:color="auto" w:fill="C6D9F1" w:themeFill="text2" w:themeFillTint="33"/>
          </w:tcPr>
          <w:p w14:paraId="3237E5D3" w14:textId="77777777" w:rsidR="00012D97" w:rsidRPr="004C3A1C" w:rsidRDefault="00012D97">
            <w:pPr>
              <w:pStyle w:val="TableColumnHeader"/>
            </w:pPr>
            <w:r w:rsidRPr="004C3A1C">
              <w:t>Author</w:t>
            </w:r>
          </w:p>
        </w:tc>
        <w:tc>
          <w:tcPr>
            <w:tcW w:w="4899" w:type="dxa"/>
            <w:shd w:val="clear" w:color="auto" w:fill="C6D9F1" w:themeFill="text2" w:themeFillTint="33"/>
          </w:tcPr>
          <w:p w14:paraId="2578A2C0" w14:textId="77777777" w:rsidR="00012D97" w:rsidRPr="004C3A1C" w:rsidRDefault="00012D97">
            <w:pPr>
              <w:pStyle w:val="TableColumnHeader"/>
            </w:pPr>
            <w:r w:rsidRPr="004C3A1C">
              <w:t>URL</w:t>
            </w:r>
          </w:p>
        </w:tc>
      </w:tr>
      <w:tr w:rsidR="00012D97" w:rsidRPr="00276B41" w14:paraId="683FA0D0" w14:textId="77777777">
        <w:tc>
          <w:tcPr>
            <w:tcW w:w="2327" w:type="dxa"/>
          </w:tcPr>
          <w:p w14:paraId="7CF46CA4" w14:textId="77777777" w:rsidR="00012D97" w:rsidRPr="00276B41" w:rsidRDefault="00012D97">
            <w:pPr>
              <w:pStyle w:val="TableText"/>
            </w:pPr>
            <w:r>
              <w:t>Childhood Lead Poisoning Data</w:t>
            </w:r>
          </w:p>
        </w:tc>
        <w:tc>
          <w:tcPr>
            <w:tcW w:w="2124" w:type="dxa"/>
          </w:tcPr>
          <w:p w14:paraId="47F8C8D0" w14:textId="77777777" w:rsidR="00012D97" w:rsidRPr="00276B41" w:rsidRDefault="00012D97">
            <w:pPr>
              <w:pStyle w:val="TableText"/>
            </w:pPr>
            <w:r>
              <w:t>DPH</w:t>
            </w:r>
          </w:p>
        </w:tc>
        <w:tc>
          <w:tcPr>
            <w:tcW w:w="4899" w:type="dxa"/>
          </w:tcPr>
          <w:p w14:paraId="2E3CA982" w14:textId="606AEB72" w:rsidR="00012D97" w:rsidRPr="00276B41" w:rsidRDefault="00012D97">
            <w:pPr>
              <w:pStyle w:val="TableText"/>
            </w:pPr>
            <w:hyperlink r:id="rId365" w:history="1">
              <w:r w:rsidRPr="00C416A7">
                <w:rPr>
                  <w:rStyle w:val="Hyperlink"/>
                </w:rPr>
                <w:t>https://www.mass.gov/info-details/childhood-lead-poisoning-data</w:t>
              </w:r>
            </w:hyperlink>
            <w:r>
              <w:t xml:space="preserve"> </w:t>
            </w:r>
          </w:p>
        </w:tc>
      </w:tr>
      <w:tr w:rsidR="00012D97" w:rsidRPr="00276B41" w14:paraId="26EF9F6D" w14:textId="77777777">
        <w:tc>
          <w:tcPr>
            <w:tcW w:w="2327" w:type="dxa"/>
          </w:tcPr>
          <w:p w14:paraId="6C093B6E" w14:textId="77777777" w:rsidR="00012D97" w:rsidRDefault="00012D97">
            <w:pPr>
              <w:pStyle w:val="TableText"/>
            </w:pPr>
            <w:r>
              <w:lastRenderedPageBreak/>
              <w:t>Childhood Lead Poisoning Prevention Program</w:t>
            </w:r>
          </w:p>
        </w:tc>
        <w:tc>
          <w:tcPr>
            <w:tcW w:w="2124" w:type="dxa"/>
          </w:tcPr>
          <w:p w14:paraId="3939CC12" w14:textId="77777777" w:rsidR="00012D97" w:rsidRDefault="00012D97">
            <w:pPr>
              <w:pStyle w:val="TableText"/>
            </w:pPr>
            <w:r>
              <w:t>DPH</w:t>
            </w:r>
          </w:p>
        </w:tc>
        <w:tc>
          <w:tcPr>
            <w:tcW w:w="4899" w:type="dxa"/>
          </w:tcPr>
          <w:p w14:paraId="79569199" w14:textId="5F1B62B2" w:rsidR="00012D97" w:rsidRDefault="00012D97">
            <w:pPr>
              <w:pStyle w:val="TableText"/>
            </w:pPr>
            <w:hyperlink r:id="rId366" w:history="1">
              <w:r w:rsidRPr="006E6C86">
                <w:rPr>
                  <w:rStyle w:val="Hyperlink"/>
                </w:rPr>
                <w:t>https://www.mass.gov/orgs/childhood-lead-poisoning-prevention-program</w:t>
              </w:r>
            </w:hyperlink>
          </w:p>
          <w:p w14:paraId="091C8A3B" w14:textId="77777777" w:rsidR="00012D97" w:rsidRDefault="00012D97">
            <w:pPr>
              <w:pStyle w:val="TableText"/>
            </w:pPr>
          </w:p>
        </w:tc>
      </w:tr>
    </w:tbl>
    <w:p w14:paraId="58DA8BC7" w14:textId="020338A7" w:rsidR="008C1964" w:rsidRDefault="00530676" w:rsidP="008C1964">
      <w:pPr>
        <w:pStyle w:val="AirQualitySubheading"/>
      </w:pPr>
      <w:bookmarkStart w:id="657" w:name="SectVII_2f2"/>
      <w:bookmarkEnd w:id="657"/>
      <w:r>
        <w:t>2f(2)</w:t>
      </w:r>
      <w:r>
        <w:tab/>
      </w:r>
      <w:r w:rsidR="008C1964" w:rsidRPr="008C1964">
        <w:t>Reduce Exposure to Mercury</w:t>
      </w:r>
    </w:p>
    <w:p w14:paraId="66DCFE57" w14:textId="77777777" w:rsidR="00012D97" w:rsidRDefault="00012D97" w:rsidP="00012D97">
      <w:pPr>
        <w:pStyle w:val="Heading3"/>
      </w:pPr>
      <w:r>
        <w:t>Methods and Best Practices</w:t>
      </w:r>
    </w:p>
    <w:p w14:paraId="47162E3D" w14:textId="77777777" w:rsidR="00012D97" w:rsidRPr="00645F0D" w:rsidRDefault="00012D97" w:rsidP="006D7DE6">
      <w:pPr>
        <w:pStyle w:val="BodyTextFirstIndent"/>
      </w:pPr>
      <w:r>
        <w:t xml:space="preserve">The following best practices focus on identifying mercury sources in schools and implementing safety plans in the event of a spill to reduce student exposure. </w:t>
      </w:r>
    </w:p>
    <w:p w14:paraId="38F8C3CF" w14:textId="77777777" w:rsidR="00012D97" w:rsidRPr="007F718B" w:rsidRDefault="00012D97" w:rsidP="00012D97">
      <w:pPr>
        <w:pStyle w:val="Heading5"/>
      </w:pPr>
      <w:r>
        <w:t>(1) Develop</w:t>
      </w:r>
      <w:r>
        <w:rPr>
          <w:rStyle w:val="CommentReference"/>
          <w:rFonts w:asciiTheme="minorHAnsi" w:hAnsiTheme="minorHAnsi"/>
          <w:b w:val="0"/>
          <w:i w:val="0"/>
          <w:color w:val="auto"/>
        </w:rPr>
        <w:t xml:space="preserve"> </w:t>
      </w:r>
      <w:r w:rsidRPr="007F718B">
        <w:t>a mercury spill response plan</w:t>
      </w:r>
    </w:p>
    <w:p w14:paraId="3A7CBA62" w14:textId="464F9767" w:rsidR="00012D97" w:rsidRDefault="00012D97" w:rsidP="006D7DE6">
      <w:pPr>
        <w:pStyle w:val="BodyTextFirstIndent"/>
      </w:pPr>
      <w:r w:rsidRPr="675372C2">
        <w:t>In schools where mercury-containing items are still in use, it is essential to minimize the chance that students</w:t>
      </w:r>
      <w:r w:rsidR="009014D1">
        <w:t xml:space="preserve"> and staff</w:t>
      </w:r>
      <w:r w:rsidRPr="675372C2">
        <w:t xml:space="preserve"> become exposed.</w:t>
      </w:r>
      <w:r>
        <w:fldChar w:fldCharType="begin"/>
      </w:r>
      <w:r w:rsidR="00466A88">
        <w:instrText xml:space="preserve"> ADDIN ZOTERO_ITEM CSL_CITATION {"citationID":"YcIFNDd1","properties":{"formattedCitation":"\\super 101\\nosupersub{}","plainCitation":"101","noteIndex":0},"citationItems":[{"id":10,"uris":["http://zotero.org/groups/5563646/items/RET9EIZX"],"itemData":{"id":10,"type":"report","language":"en","number":"EPA-908-R-12-0001","source":"Zotero","title":"Sensible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EPA","given":""}],"issued":{"date-parts":[["2012",7]]}}}],"schema":"https://github.com/citation-style-language/schema/raw/master/csl-citation.json"} </w:instrText>
      </w:r>
      <w:r>
        <w:fldChar w:fldCharType="separate"/>
      </w:r>
      <w:r w:rsidR="00466A88" w:rsidRPr="00466A88">
        <w:rPr>
          <w:rFonts w:cs="Arial"/>
          <w:vertAlign w:val="superscript"/>
        </w:rPr>
        <w:t>101</w:t>
      </w:r>
      <w:r>
        <w:fldChar w:fldCharType="end"/>
      </w:r>
      <w:r w:rsidRPr="675372C2">
        <w:t xml:space="preserve"> School administrators should create and distribute </w:t>
      </w:r>
      <w:r>
        <w:t xml:space="preserve">a mercury spill response </w:t>
      </w:r>
      <w:r w:rsidRPr="675372C2">
        <w:t xml:space="preserve">plan and </w:t>
      </w:r>
      <w:r w:rsidR="009D4F2C">
        <w:t xml:space="preserve">train appropriate staff </w:t>
      </w:r>
      <w:r w:rsidRPr="675372C2">
        <w:t xml:space="preserve">to implement </w:t>
      </w:r>
      <w:r>
        <w:t>it</w:t>
      </w:r>
      <w:r w:rsidRPr="675372C2">
        <w:t xml:space="preserve"> in the event of a </w:t>
      </w:r>
      <w:r>
        <w:t xml:space="preserve">mercury </w:t>
      </w:r>
      <w:r w:rsidRPr="675372C2">
        <w:t xml:space="preserve">spill. </w:t>
      </w:r>
    </w:p>
    <w:p w14:paraId="5E0727CD" w14:textId="309EFCE2" w:rsidR="00012D97" w:rsidRDefault="00012D97" w:rsidP="006D7DE6">
      <w:pPr>
        <w:pStyle w:val="BodyTextFirstIndent"/>
      </w:pPr>
      <w:r w:rsidRPr="00926BF3">
        <w:rPr>
          <w:noProof/>
        </w:rPr>
        <mc:AlternateContent>
          <mc:Choice Requires="wps">
            <w:drawing>
              <wp:anchor distT="0" distB="0" distL="114300" distR="114300" simplePos="0" relativeHeight="251698688" behindDoc="0" locked="0" layoutInCell="1" allowOverlap="1" wp14:anchorId="6EB4556A" wp14:editId="769BA7A7">
                <wp:simplePos x="0" y="0"/>
                <wp:positionH relativeFrom="margin">
                  <wp:align>left</wp:align>
                </wp:positionH>
                <wp:positionV relativeFrom="paragraph">
                  <wp:posOffset>510329</wp:posOffset>
                </wp:positionV>
                <wp:extent cx="2882265" cy="3554095"/>
                <wp:effectExtent l="0" t="0" r="13335" b="27305"/>
                <wp:wrapSquare wrapText="bothSides"/>
                <wp:docPr id="1632911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3554233"/>
                        </a:xfrm>
                        <a:prstGeom prst="rect">
                          <a:avLst/>
                        </a:prstGeom>
                        <a:solidFill>
                          <a:srgbClr val="DCE6F2"/>
                        </a:solidFill>
                        <a:ln w="9525">
                          <a:solidFill>
                            <a:srgbClr val="000000"/>
                          </a:solidFill>
                          <a:miter lim="800000"/>
                          <a:headEnd/>
                          <a:tailEnd/>
                        </a:ln>
                      </wps:spPr>
                      <wps:txbx>
                        <w:txbxContent>
                          <w:p w14:paraId="49B37155" w14:textId="77777777" w:rsidR="00012D97" w:rsidRDefault="00012D97" w:rsidP="00012D97">
                            <w:pPr>
                              <w:pStyle w:val="TextBoxTitle"/>
                            </w:pPr>
                            <w:r>
                              <w:t>Important Considerations for Mercury Spill Response and Cleanup</w:t>
                            </w:r>
                          </w:p>
                          <w:p w14:paraId="040FA6F2" w14:textId="77777777" w:rsidR="00012D97" w:rsidRDefault="00012D97" w:rsidP="00012D97">
                            <w:pPr>
                              <w:pStyle w:val="TextBoxBullet"/>
                            </w:pPr>
                            <w:r>
                              <w:t>It is critical to i</w:t>
                            </w:r>
                            <w:r w:rsidRPr="004A449D">
                              <w:t xml:space="preserve">mmediately isolate the area </w:t>
                            </w:r>
                            <w:r>
                              <w:t xml:space="preserve">of </w:t>
                            </w:r>
                            <w:r w:rsidRPr="004A449D">
                              <w:t xml:space="preserve">the spill to </w:t>
                            </w:r>
                            <w:r>
                              <w:t>prevent any further foot traffic through or near</w:t>
                            </w:r>
                            <w:r w:rsidRPr="004A449D">
                              <w:t xml:space="preserve"> the affected area</w:t>
                            </w:r>
                            <w:r>
                              <w:t>.</w:t>
                            </w:r>
                          </w:p>
                          <w:p w14:paraId="678435F4" w14:textId="77777777" w:rsidR="00012D97" w:rsidRDefault="00012D97" w:rsidP="00012D97">
                            <w:pPr>
                              <w:pStyle w:val="TextBoxBullet"/>
                            </w:pPr>
                            <w:r>
                              <w:t xml:space="preserve">Always apply PPE before attempting to clean the spill. </w:t>
                            </w:r>
                          </w:p>
                          <w:p w14:paraId="5616B9A4" w14:textId="77777777" w:rsidR="00012D97" w:rsidRDefault="00012D97" w:rsidP="00012D97">
                            <w:pPr>
                              <w:pStyle w:val="TextBoxBullet"/>
                            </w:pPr>
                            <w:r w:rsidRPr="007C43DC">
                              <w:t>Never attempt to clean a mercury spill with bare skin, vacuum cleaners, brooms, or mops</w:t>
                            </w:r>
                            <w:r>
                              <w:t>.</w:t>
                            </w:r>
                          </w:p>
                          <w:p w14:paraId="40DCA6EA" w14:textId="77777777" w:rsidR="00012D97" w:rsidRDefault="00012D97" w:rsidP="00012D97">
                            <w:pPr>
                              <w:pStyle w:val="TextBoxBullet"/>
                            </w:pPr>
                            <w:r w:rsidRPr="00AD4ACF">
                              <w:t xml:space="preserve">Never put mercury or mercury-contaminated items down the drain or in the trash. </w:t>
                            </w:r>
                          </w:p>
                          <w:p w14:paraId="6BFC2CC8" w14:textId="77777777" w:rsidR="00012D97" w:rsidRPr="009674E4" w:rsidRDefault="00012D97" w:rsidP="00012D97">
                            <w:pPr>
                              <w:pStyle w:val="TextBoxBullet"/>
                            </w:pPr>
                            <w:r w:rsidRPr="00AD4ACF">
                              <w:t>Always label contaminated items as containing mercury and treat them as hazardous waste</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EB4556A" id="_x0000_s1072" type="#_x0000_t202" style="position:absolute;margin-left:0;margin-top:40.2pt;width:226.95pt;height:279.85pt;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" fillcolor="#dce6f2">
                <v:textbox>
                  <w:txbxContent>
                    <w:p w14:paraId="49B37155" w14:textId="77777777" w:rsidR="00012D97" w:rsidRDefault="00012D97" w:rsidP="00012D97">
                      <w:pPr>
                        <w:pStyle w:val="TextBoxTitle"/>
                      </w:pPr>
                      <w:r>
                        <w:t>Important Considerations for Mercury Spill Response and Cleanup</w:t>
                      </w:r>
                    </w:p>
                    <w:p w14:paraId="040FA6F2" w14:textId="77777777" w:rsidR="00012D97" w:rsidRDefault="00012D97" w:rsidP="00012D97">
                      <w:pPr>
                        <w:pStyle w:val="TextBoxBullet"/>
                      </w:pPr>
                      <w:r>
                        <w:t>It is critical to i</w:t>
                      </w:r>
                      <w:r w:rsidRPr="004A449D">
                        <w:t xml:space="preserve">mmediately isolate the area </w:t>
                      </w:r>
                      <w:r>
                        <w:t xml:space="preserve">of </w:t>
                      </w:r>
                      <w:r w:rsidRPr="004A449D">
                        <w:t xml:space="preserve">the spill to </w:t>
                      </w:r>
                      <w:r>
                        <w:t>prevent any further foot traffic through or near</w:t>
                      </w:r>
                      <w:r w:rsidRPr="004A449D">
                        <w:t xml:space="preserve"> the affected area</w:t>
                      </w:r>
                      <w:r>
                        <w:t>.</w:t>
                      </w:r>
                    </w:p>
                    <w:p w14:paraId="678435F4" w14:textId="77777777" w:rsidR="00012D97" w:rsidRDefault="00012D97" w:rsidP="00012D97">
                      <w:pPr>
                        <w:pStyle w:val="TextBoxBullet"/>
                      </w:pPr>
                      <w:r>
                        <w:t xml:space="preserve">Always apply PPE before attempting to clean the spill. </w:t>
                      </w:r>
                    </w:p>
                    <w:p w14:paraId="5616B9A4" w14:textId="77777777" w:rsidR="00012D97" w:rsidRDefault="00012D97" w:rsidP="00012D97">
                      <w:pPr>
                        <w:pStyle w:val="TextBoxBullet"/>
                      </w:pPr>
                      <w:r w:rsidRPr="007C43DC">
                        <w:t>Never attempt to clean a mercury spill with bare skin, vacuum cleaners, brooms, or mops</w:t>
                      </w:r>
                      <w:r>
                        <w:t>.</w:t>
                      </w:r>
                    </w:p>
                    <w:p w14:paraId="40DCA6EA" w14:textId="77777777" w:rsidR="00012D97" w:rsidRDefault="00012D97" w:rsidP="00012D97">
                      <w:pPr>
                        <w:pStyle w:val="TextBoxBullet"/>
                      </w:pPr>
                      <w:r w:rsidRPr="00AD4ACF">
                        <w:t xml:space="preserve">Never put mercury or mercury-contaminated items down the drain or in the trash. </w:t>
                      </w:r>
                    </w:p>
                    <w:p w14:paraId="6BFC2CC8" w14:textId="77777777" w:rsidR="00012D97" w:rsidRPr="009674E4" w:rsidRDefault="00012D97" w:rsidP="00012D97">
                      <w:pPr>
                        <w:pStyle w:val="TextBoxBullet"/>
                      </w:pPr>
                      <w:r w:rsidRPr="00AD4ACF">
                        <w:t>Always label contaminated items as containing mercury and treat them as hazardous waste</w:t>
                      </w:r>
                      <w:r>
                        <w:t>.</w:t>
                      </w:r>
                    </w:p>
                  </w:txbxContent>
                </v:textbox>
                <w10:wrap type="square" anchorx="margin"/>
              </v:shape>
            </w:pict>
          </mc:Fallback>
        </mc:AlternateContent>
      </w:r>
      <w:r>
        <w:t>M</w:t>
      </w:r>
      <w:r w:rsidRPr="675372C2">
        <w:t>ercury is a toxic substance</w:t>
      </w:r>
      <w:r>
        <w:t>;</w:t>
      </w:r>
      <w:r w:rsidRPr="675372C2">
        <w:t xml:space="preserve"> if more than 2 tablespoons (approximately the size of an adult male thumb) of mercury has spil</w:t>
      </w:r>
      <w:r>
        <w:t>led</w:t>
      </w:r>
      <w:r w:rsidRPr="675372C2">
        <w:t>, this is considered an environmental emergency.</w:t>
      </w:r>
      <w:r>
        <w:fldChar w:fldCharType="begin"/>
      </w:r>
      <w:r w:rsidR="00EB59A7">
        <w:instrText xml:space="preserve"> ADDIN ZOTERO_ITEM CSL_CITATION {"citationID":"mwRbsHHV","properties":{"formattedCitation":"\\super 363\\nosupersub{}","plainCitation":"363","noteIndex":0},"citationItems":[{"id":35,"uris":["http://zotero.org/groups/5563646/items/6WVBVPGP"],"itemData":{"id":35,"type":"document","title":"When Mercury-Added Products break, what do you do?","author":[{"family":"MDPH","given":""}]}}],"schema":"https://github.com/citation-style-language/schema/raw/master/csl-citation.json"} </w:instrText>
      </w:r>
      <w:r>
        <w:fldChar w:fldCharType="separate"/>
      </w:r>
      <w:r w:rsidR="00EB59A7" w:rsidRPr="00EB59A7">
        <w:rPr>
          <w:rFonts w:cs="Arial"/>
          <w:vertAlign w:val="superscript"/>
        </w:rPr>
        <w:t>363</w:t>
      </w:r>
      <w:r>
        <w:fldChar w:fldCharType="end"/>
      </w:r>
      <w:r w:rsidRPr="675372C2">
        <w:t xml:space="preserve"> Call 911 or MassDEP</w:t>
      </w:r>
      <w:r>
        <w:t>’s</w:t>
      </w:r>
      <w:r w:rsidRPr="675372C2">
        <w:t xml:space="preserve"> 24/7 mercury spill hotline at 866-9MERCURY (866-963-7287).</w:t>
      </w:r>
      <w:r>
        <w:fldChar w:fldCharType="begin"/>
      </w:r>
      <w:r w:rsidR="00EA1F1B">
        <w:instrText xml:space="preserve"> ADDIN ZOTERO_ITEM CSL_CITATION {"citationID":"5DTCHOO8","properties":{"formattedCitation":"\\super 136\\nosupersub{}","plainCitation":"136","noteIndex":0},"citationItems":[{"id":41,"uris":["http://zotero.org/groups/5563646/items/SL3IWMC9"],"itemData":{"id":41,"type":"webpage","title":"MassDEP Mercury Information","URL":"https://www.mass.gov/guides/massdep-mercury-information","author":[{"family":"MassDEP","given":""}]}}],"schema":"https://github.com/citation-style-language/schema/raw/master/csl-citation.json"} </w:instrText>
      </w:r>
      <w:r>
        <w:fldChar w:fldCharType="separate"/>
      </w:r>
      <w:r w:rsidR="00EA1F1B" w:rsidRPr="00EA1F1B">
        <w:rPr>
          <w:rFonts w:cs="Arial"/>
          <w:vertAlign w:val="superscript"/>
        </w:rPr>
        <w:t>136</w:t>
      </w:r>
      <w:r>
        <w:fldChar w:fldCharType="end"/>
      </w:r>
      <w:r w:rsidRPr="675372C2">
        <w:t xml:space="preserve"> Immediately</w:t>
      </w:r>
      <w:r>
        <w:t>, isolate the area of the spill to prevent foot traffic near the spill,</w:t>
      </w:r>
      <w:r w:rsidRPr="675372C2">
        <w:t xml:space="preserve"> turn off the HVAC system </w:t>
      </w:r>
      <w:r>
        <w:t xml:space="preserve">(or the appropriate zone in the HVAC system that serves the area of </w:t>
      </w:r>
      <w:r w:rsidRPr="675372C2">
        <w:t>the spill</w:t>
      </w:r>
      <w:r>
        <w:t>),</w:t>
      </w:r>
      <w:r w:rsidRPr="675372C2">
        <w:t xml:space="preserve"> and evacuate the premises. Do not try to clean up the spill</w:t>
      </w:r>
      <w:r>
        <w:t>;</w:t>
      </w:r>
      <w:r w:rsidRPr="675372C2">
        <w:t xml:space="preserve"> wait for first responders to arrive. </w:t>
      </w:r>
    </w:p>
    <w:p w14:paraId="538EDA62" w14:textId="6F8EE114" w:rsidR="00012D97" w:rsidRDefault="00012D97" w:rsidP="006D7DE6">
      <w:pPr>
        <w:pStyle w:val="BodyTextFirstIndent"/>
      </w:pPr>
      <w:r w:rsidRPr="627DD17F">
        <w:t>If the spill is less than 2 tablespoons, it is not necessary to report</w:t>
      </w:r>
      <w:r>
        <w:t xml:space="preserve"> it;</w:t>
      </w:r>
      <w:r w:rsidRPr="627DD17F">
        <w:t xml:space="preserve"> the spill can be cleaned up following the appropriate procedures</w:t>
      </w:r>
      <w:r>
        <w:t xml:space="preserve"> summarized below:</w:t>
      </w:r>
      <w:r>
        <w:fldChar w:fldCharType="begin"/>
      </w:r>
      <w:r w:rsidR="00A84196">
        <w:instrText xml:space="preserve"> ADDIN ZOTERO_ITEM CSL_CITATION {"citationID":"cj92cYkH","properties":{"formattedCitation":"\\super 364\\nosupersub{}","plainCitation":"364","noteIndex":0},"citationItems":[{"id":36,"uris":["http://zotero.org/groups/5563646/items/C8IDV52R"],"itemData":{"id":36,"type":"webpage","title":"Mercury Spill Clean Up Procedure","URL":"https://www.mass.gov/info-details/mercury-spill-clean-up-procedure","author":[{"family":"MDPH","given":""}]}}],"schema":"https://github.com/citation-style-language/schema/raw/master/csl-citation.json"} </w:instrText>
      </w:r>
      <w:r>
        <w:fldChar w:fldCharType="separate"/>
      </w:r>
      <w:r w:rsidR="00A84196" w:rsidRPr="00A84196">
        <w:rPr>
          <w:rFonts w:cs="Arial"/>
          <w:vertAlign w:val="superscript"/>
        </w:rPr>
        <w:t>364</w:t>
      </w:r>
      <w:r>
        <w:fldChar w:fldCharType="end"/>
      </w:r>
      <w:r w:rsidRPr="627DD17F">
        <w:t xml:space="preserve"> </w:t>
      </w:r>
    </w:p>
    <w:p w14:paraId="2A5CC58F" w14:textId="5CD1D681" w:rsidR="00012D97" w:rsidRDefault="00012D97" w:rsidP="0073680D">
      <w:pPr>
        <w:pStyle w:val="ListNumber"/>
        <w:numPr>
          <w:ilvl w:val="0"/>
          <w:numId w:val="24"/>
        </w:numPr>
      </w:pPr>
      <w:r>
        <w:t xml:space="preserve">Immediately isolate the area where the spill occurred to </w:t>
      </w:r>
      <w:r w:rsidR="00D6691A">
        <w:t>keep</w:t>
      </w:r>
      <w:r>
        <w:t xml:space="preserve"> individuals </w:t>
      </w:r>
      <w:r w:rsidR="00D6691A">
        <w:t>away from</w:t>
      </w:r>
      <w:r>
        <w:t xml:space="preserve"> the affected area. </w:t>
      </w:r>
    </w:p>
    <w:p w14:paraId="4413BE44" w14:textId="77777777" w:rsidR="00012D97" w:rsidRDefault="00012D97" w:rsidP="0073680D">
      <w:pPr>
        <w:pStyle w:val="ListNumber"/>
        <w:numPr>
          <w:ilvl w:val="0"/>
          <w:numId w:val="24"/>
        </w:numPr>
      </w:pPr>
      <w:r>
        <w:t>E</w:t>
      </w:r>
      <w:r w:rsidRPr="627DD17F">
        <w:t xml:space="preserve">vacuate the premises and turn off the HVAC system. </w:t>
      </w:r>
    </w:p>
    <w:p w14:paraId="4476FCD6" w14:textId="2CE07480" w:rsidR="00012D97" w:rsidRDefault="00012D97" w:rsidP="0073680D">
      <w:pPr>
        <w:pStyle w:val="ListNumber"/>
        <w:numPr>
          <w:ilvl w:val="0"/>
          <w:numId w:val="24"/>
        </w:numPr>
      </w:pPr>
      <w:r w:rsidRPr="00926BF3">
        <w:rPr>
          <w:noProof/>
        </w:rPr>
        <w:lastRenderedPageBreak/>
        <mc:AlternateContent>
          <mc:Choice Requires="wps">
            <w:drawing>
              <wp:anchor distT="0" distB="0" distL="114300" distR="114300" simplePos="0" relativeHeight="251700736" behindDoc="0" locked="0" layoutInCell="1" allowOverlap="1" wp14:anchorId="3328E14D" wp14:editId="42582349">
                <wp:simplePos x="0" y="0"/>
                <wp:positionH relativeFrom="margin">
                  <wp:posOffset>2878455</wp:posOffset>
                </wp:positionH>
                <wp:positionV relativeFrom="paragraph">
                  <wp:posOffset>24765</wp:posOffset>
                </wp:positionV>
                <wp:extent cx="3067685" cy="5883910"/>
                <wp:effectExtent l="0" t="0" r="18415" b="21590"/>
                <wp:wrapSquare wrapText="bothSides"/>
                <wp:docPr id="1589729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685" cy="5883910"/>
                        </a:xfrm>
                        <a:prstGeom prst="rect">
                          <a:avLst/>
                        </a:prstGeom>
                        <a:solidFill>
                          <a:srgbClr val="DCE6F2"/>
                        </a:solidFill>
                        <a:ln w="9525">
                          <a:solidFill>
                            <a:srgbClr val="000000"/>
                          </a:solidFill>
                          <a:miter lim="800000"/>
                          <a:headEnd/>
                          <a:tailEnd/>
                        </a:ln>
                      </wps:spPr>
                      <wps:txbx>
                        <w:txbxContent>
                          <w:p w14:paraId="444EE353" w14:textId="77777777" w:rsidR="00012D97" w:rsidRDefault="00012D97" w:rsidP="00012D97">
                            <w:pPr>
                              <w:pStyle w:val="TextBoxTitle"/>
                            </w:pPr>
                            <w:r>
                              <w:t xml:space="preserve">Rapid Surveillance and Contamination Tracing </w:t>
                            </w:r>
                          </w:p>
                          <w:p w14:paraId="2173CBEF" w14:textId="77777777" w:rsidR="00012D97" w:rsidRDefault="00012D97" w:rsidP="00012D97">
                            <w:pPr>
                              <w:pStyle w:val="TextBoxText"/>
                            </w:pPr>
                          </w:p>
                          <w:p w14:paraId="72634F10" w14:textId="77777777" w:rsidR="00012D97" w:rsidRDefault="00012D97" w:rsidP="00012D97">
                            <w:pPr>
                              <w:pStyle w:val="TextBoxText"/>
                            </w:pPr>
                            <w:r>
                              <w:t>As part of their mercury spill response plans, schools should include details for rapidly tracing all paths of potential contamination. This will help the school confirm all individuals that were in the vicinity of the spill event and take the necessary mitigation measure to prevent further contamination to other parts of the school or to students’ homes. School staff should immediately isolate the area of the spill and identify all individuals (students and school staff) who were potentially exposed to mercury, including all people present at the spill and people who may have walked through the contaminated area before it was cleaned up. These individuals should be interviewed to determine the scope of possible exposure. Any contaminated clothing items and areas where they may have tracked mercury should be investigated for mercury contamination and cleaned up appropriately. This includes spaces within the school as well as outside of the school (e.g., hallways, cars, homes, washing machines). Where available, schools should utilize video camera footage to help identify the individuals in the vicinity of the spill.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328E14D" id="_x0000_s1073" type="#_x0000_t202" style="position:absolute;left:0;text-align:left;margin-left:226.65pt;margin-top:1.95pt;width:241.55pt;height:463.3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" fillcolor="#dce6f2">
                <v:textbox>
                  <w:txbxContent>
                    <w:p w14:paraId="444EE353" w14:textId="77777777" w:rsidR="00012D97" w:rsidRDefault="00012D97" w:rsidP="00012D97">
                      <w:pPr>
                        <w:pStyle w:val="TextBoxTitle"/>
                      </w:pPr>
                      <w:r>
                        <w:t xml:space="preserve">Rapid Surveillance and Contamination Tracing </w:t>
                      </w:r>
                    </w:p>
                    <w:p w14:paraId="2173CBEF" w14:textId="77777777" w:rsidR="00012D97" w:rsidRDefault="00012D97" w:rsidP="00012D97">
                      <w:pPr>
                        <w:pStyle w:val="TextBoxText"/>
                      </w:pPr>
                    </w:p>
                    <w:p w14:paraId="72634F10" w14:textId="77777777" w:rsidR="00012D97" w:rsidRDefault="00012D97" w:rsidP="00012D97">
                      <w:pPr>
                        <w:pStyle w:val="TextBoxText"/>
                      </w:pPr>
                      <w:r>
                        <w:t>As part of their mercury spill response plans, schools should include details for rapidly tracing all paths of potential contamination. This will help the school confirm all individuals that were in the vicinity of the spill event and take the necessary mitigation measure to prevent further contamination to other parts of the school or to students’ homes. School staff should immediately isolate the area of the spill and identify all individuals (students and school staff) who were potentially exposed to mercury, including all people present at the spill and people who may have walked through the contaminated area before it was cleaned up. These individuals should be interviewed to determine the scope of possible exposure. Any contaminated clothing items and areas where they may have tracked mercury should be investigated for mercury contamination and cleaned up appropriately. This includes spaces within the school as well as outside of the school (e.g., hallways, cars, homes, washing machines). Where available, schools should utilize video camera footage to help identify the individuals in the vicinity of the spill.</w:t>
                      </w:r>
                    </w:p>
                  </w:txbxContent>
                </v:textbox>
                <w10:wrap type="square" anchorx="margin"/>
              </v:shape>
            </w:pict>
          </mc:Fallback>
        </mc:AlternateContent>
      </w:r>
      <w:r w:rsidR="00B03AF3">
        <w:t xml:space="preserve">Ventilate </w:t>
      </w:r>
      <w:r w:rsidRPr="627DD17F">
        <w:t>the area</w:t>
      </w:r>
      <w:r>
        <w:t xml:space="preserve"> containing the spilled mercury</w:t>
      </w:r>
      <w:r w:rsidRPr="627DD17F">
        <w:t xml:space="preserve"> </w:t>
      </w:r>
      <w:r w:rsidR="00B03AF3">
        <w:t xml:space="preserve">by </w:t>
      </w:r>
      <w:r w:rsidRPr="627DD17F">
        <w:t>p</w:t>
      </w:r>
      <w:r>
        <w:t>ositioning</w:t>
      </w:r>
      <w:r w:rsidRPr="627DD17F">
        <w:t xml:space="preserve"> a fan </w:t>
      </w:r>
      <w:r w:rsidR="00C31D99">
        <w:t xml:space="preserve">to blow air </w:t>
      </w:r>
      <w:r w:rsidRPr="627DD17F">
        <w:t xml:space="preserve">directly outdoors. </w:t>
      </w:r>
    </w:p>
    <w:p w14:paraId="23CE782F" w14:textId="77777777" w:rsidR="00012D97" w:rsidRDefault="00012D97" w:rsidP="0073680D">
      <w:pPr>
        <w:pStyle w:val="ListNumber"/>
        <w:numPr>
          <w:ilvl w:val="0"/>
          <w:numId w:val="24"/>
        </w:numPr>
      </w:pPr>
      <w:r w:rsidRPr="52834A37">
        <w:t>If the spill occurs on a hard, non-porous surface</w:t>
      </w:r>
      <w:r>
        <w:t>:</w:t>
      </w:r>
      <w:r w:rsidRPr="52834A37">
        <w:t xml:space="preserve"> </w:t>
      </w:r>
    </w:p>
    <w:p w14:paraId="42E55FC4" w14:textId="77777777" w:rsidR="00012D97" w:rsidRPr="004379C0" w:rsidRDefault="00012D97" w:rsidP="0073680D">
      <w:pPr>
        <w:pStyle w:val="ListLetter"/>
        <w:numPr>
          <w:ilvl w:val="0"/>
          <w:numId w:val="25"/>
        </w:numPr>
      </w:pPr>
      <w:r w:rsidRPr="004379C0">
        <w:t xml:space="preserve">Contain any visible mercury beads in a central location using a rigid material (e.g., squeegee, cardboard, thick paper). </w:t>
      </w:r>
    </w:p>
    <w:p w14:paraId="7497C0FC" w14:textId="77777777" w:rsidR="00012D97" w:rsidRDefault="00012D97" w:rsidP="0073680D">
      <w:pPr>
        <w:pStyle w:val="ListLetter"/>
        <w:numPr>
          <w:ilvl w:val="0"/>
          <w:numId w:val="25"/>
        </w:numPr>
      </w:pPr>
      <w:r w:rsidRPr="52834A37">
        <w:t xml:space="preserve">Collect the mercury beads into a plastic dustpan or using an eyedropper and transfer </w:t>
      </w:r>
      <w:r>
        <w:t xml:space="preserve">them </w:t>
      </w:r>
      <w:r w:rsidRPr="52834A37">
        <w:t xml:space="preserve">to a wide-mouthed, plastic container with a screw-on lid. </w:t>
      </w:r>
    </w:p>
    <w:p w14:paraId="7CD37B21" w14:textId="77777777" w:rsidR="00012D97" w:rsidRDefault="00012D97" w:rsidP="0073680D">
      <w:pPr>
        <w:pStyle w:val="ListLetter"/>
        <w:numPr>
          <w:ilvl w:val="0"/>
          <w:numId w:val="25"/>
        </w:numPr>
      </w:pPr>
      <w:r w:rsidRPr="52834A37">
        <w:t xml:space="preserve">Once the visible mercury is removed, sprinkle sulfur powder on the impacted area. If the sulfur changes from yellow to brown, then mercury is still present. </w:t>
      </w:r>
    </w:p>
    <w:p w14:paraId="58279D4B" w14:textId="77777777" w:rsidR="00012D97" w:rsidRDefault="00012D97" w:rsidP="0073680D">
      <w:pPr>
        <w:pStyle w:val="ListLetter"/>
        <w:numPr>
          <w:ilvl w:val="0"/>
          <w:numId w:val="25"/>
        </w:numPr>
      </w:pPr>
      <w:r w:rsidRPr="52834A37">
        <w:t xml:space="preserve">Once the area is determined to be mercury-free, clean the area with soap and water and discard all cleaning materials, clothing, PPE, or any other impacted materials. </w:t>
      </w:r>
    </w:p>
    <w:p w14:paraId="02CA2D47" w14:textId="77777777" w:rsidR="00012D97" w:rsidRDefault="00012D97" w:rsidP="0073680D">
      <w:pPr>
        <w:pStyle w:val="ListNumber"/>
        <w:numPr>
          <w:ilvl w:val="0"/>
          <w:numId w:val="24"/>
        </w:numPr>
      </w:pPr>
      <w:r w:rsidRPr="52834A37">
        <w:t xml:space="preserve">If the spill occurs on hardwood, carpet, or any porous surface, the contaminated area should be removed and disposed of. </w:t>
      </w:r>
      <w:r>
        <w:t>If unsure of the most appropriate method for removing the impacted surface materials, schools should c</w:t>
      </w:r>
      <w:r w:rsidRPr="52834A37">
        <w:t>ontact</w:t>
      </w:r>
      <w:r>
        <w:t xml:space="preserve"> </w:t>
      </w:r>
      <w:r w:rsidRPr="52834A37">
        <w:t>the M</w:t>
      </w:r>
      <w:r>
        <w:t>ass</w:t>
      </w:r>
      <w:r w:rsidRPr="52834A37">
        <w:t>DEP mercury hotline.</w:t>
      </w:r>
    </w:p>
    <w:p w14:paraId="6F0AC8E7" w14:textId="68E119F0" w:rsidR="00012D97" w:rsidRDefault="00012D97" w:rsidP="0073680D">
      <w:pPr>
        <w:pStyle w:val="ListNumber"/>
        <w:numPr>
          <w:ilvl w:val="0"/>
          <w:numId w:val="24"/>
        </w:numPr>
      </w:pPr>
      <w:r>
        <w:t>Following cleaning, ventilate the impacted area with the HVAC system shut off for at least 24 hours.</w:t>
      </w:r>
    </w:p>
    <w:p w14:paraId="0BCA46B9" w14:textId="77777777" w:rsidR="00012D97" w:rsidRDefault="00012D97" w:rsidP="00012D97">
      <w:pPr>
        <w:pStyle w:val="Heading5"/>
      </w:pPr>
      <w:r>
        <w:t xml:space="preserve"> (2) Maintain a mercury spill kit</w:t>
      </w:r>
    </w:p>
    <w:p w14:paraId="6A07E3F9" w14:textId="77777777" w:rsidR="00012D97" w:rsidRDefault="00012D97" w:rsidP="006D7DE6">
      <w:pPr>
        <w:pStyle w:val="BodyTextFirstIndent"/>
      </w:pPr>
      <w:r>
        <w:t>Every school where mercury items are still in use should have a mercury spill kit available. Mercury spill kits typically include a mercury absorbent or amalgamation powder, clean-up tools, disposal bags, and appropriate PPE, such as thick nitrile gloves and goggles.</w:t>
      </w:r>
    </w:p>
    <w:p w14:paraId="579F652B" w14:textId="77777777" w:rsidR="00133A94" w:rsidRDefault="00133A94">
      <w:pPr>
        <w:rPr>
          <w:rFonts w:ascii="Arial" w:hAnsi="Arial"/>
          <w:b/>
          <w:i/>
          <w:color w:val="1F497D"/>
          <w:sz w:val="24"/>
        </w:rPr>
      </w:pPr>
      <w:r>
        <w:br w:type="page"/>
      </w:r>
    </w:p>
    <w:p w14:paraId="4BC1AD36" w14:textId="64D8436C" w:rsidR="00012D97" w:rsidRPr="007F718B" w:rsidRDefault="00012D97" w:rsidP="00012D97">
      <w:pPr>
        <w:pStyle w:val="Heading5"/>
      </w:pPr>
      <w:r>
        <w:lastRenderedPageBreak/>
        <w:t xml:space="preserve">(3) </w:t>
      </w:r>
      <w:r w:rsidRPr="007F718B">
        <w:t>Properly dispose of all mercury-containing items and replace with alternatives</w:t>
      </w:r>
      <w:r>
        <w:t xml:space="preserve"> where possible</w:t>
      </w:r>
    </w:p>
    <w:p w14:paraId="601EBDB7" w14:textId="65192ABE" w:rsidR="00012D97" w:rsidRDefault="00012D97" w:rsidP="006D7DE6">
      <w:pPr>
        <w:pStyle w:val="BodyTextFirstIndent"/>
      </w:pPr>
      <w:r w:rsidRPr="675372C2">
        <w:t>It is important to identify all mercury-containing items present in schools and to begin replacing them with alternatives where</w:t>
      </w:r>
      <w:r>
        <w:t>ver</w:t>
      </w:r>
      <w:r w:rsidRPr="675372C2">
        <w:t xml:space="preserve"> possible. An </w:t>
      </w:r>
      <w:r>
        <w:t>essential</w:t>
      </w:r>
      <w:r w:rsidRPr="675372C2">
        <w:t xml:space="preserve"> first step will be to conduct an inventory and locate all mercury-containing items</w:t>
      </w:r>
      <w:r>
        <w:t>.</w:t>
      </w:r>
      <w:r>
        <w:fldChar w:fldCharType="begin"/>
      </w:r>
      <w:r w:rsidR="00DC5EA6">
        <w:instrText xml:space="preserve"> ADDIN ZOTERO_ITEM CSL_CITATION {"citationID":"QFlu60YH","properties":{"formattedCitation":"\\super 101,365\\nosupersub{}","plainCitation":"101,365","noteIndex":0},"citationItems":[{"id":10,"uris":["http://zotero.org/groups/5563646/items/RET9EIZX"],"itemData":{"id":10,"type":"report","language":"en","number":"EPA-908-R-12-0001","source":"Zotero","title":"Sensible Steps to Healthier School Environments","URL":"https://www.epa.gov/sites/default/files/2014-05/documents/sensible_steps.pdf","author":[{"family":"US EPA","given":""}],"issued":{"date-parts":[["2012",7]]}}},{"id":38,"uris":["http://zotero.org/groups/5563646/items/DVNVZF5X"],"itemData":{"id":38,"type":"document","title":"Getting Mercury Out of Schools: Guidance for Private and Parochial Schools in Massachusetts","author":[{"family":"MassDEP","given":""}]}}],"schema":"https://github.com/citation-style-language/schema/raw/master/csl-citation.json"} </w:instrText>
      </w:r>
      <w:r>
        <w:fldChar w:fldCharType="separate"/>
      </w:r>
      <w:r w:rsidR="00DC5EA6" w:rsidRPr="00DC5EA6">
        <w:rPr>
          <w:rFonts w:cs="Arial"/>
          <w:vertAlign w:val="superscript"/>
        </w:rPr>
        <w:t>101,365</w:t>
      </w:r>
      <w:r>
        <w:fldChar w:fldCharType="end"/>
      </w:r>
      <w:r w:rsidRPr="675372C2">
        <w:t xml:space="preserve"> These items may be located in science, art, home economics, HVAC and plumbing, automotive, or nursing and dental vocational classrooms.</w:t>
      </w:r>
      <w:r>
        <w:fldChar w:fldCharType="begin"/>
      </w:r>
      <w:r w:rsidR="00640706">
        <w:instrText xml:space="preserve"> ADDIN ZOTERO_ITEM CSL_CITATION {"citationID":"n8IwCLmn","properties":{"formattedCitation":"\\super 366,367\\nosupersub{}","plainCitation":"366,367","noteIndex":0},"citationItems":[{"id":47,"uris":["http://zotero.org/groups/5563646/items/QLE9VYL9"],"itemData":{"id":47,"type":"document","title":"Mercury Use in School Classrooms: Summary and Assessment of Non-Mercury Alternatives","author":[{"family":"Northeast Waste Management Officials' Association","given":""}],"issued":{"date-parts":[["2007",10]]}}},{"id":44,"uris":["http://zotero.org/groups/5563646/items/TGUK577A"],"itemData":{"id":44,"type":"document","title":"Making Massachusetts Schools Mercury-Free","author":[{"family":"MassDEP","given":""}]}}],"schema":"https://github.com/citation-style-language/schema/raw/master/csl-citation.json"} </w:instrText>
      </w:r>
      <w:r>
        <w:fldChar w:fldCharType="separate"/>
      </w:r>
      <w:r w:rsidR="00640706" w:rsidRPr="00640706">
        <w:rPr>
          <w:rFonts w:cs="Arial"/>
          <w:vertAlign w:val="superscript"/>
        </w:rPr>
        <w:t>366,367</w:t>
      </w:r>
      <w:r>
        <w:fldChar w:fldCharType="end"/>
      </w:r>
      <w:r w:rsidRPr="675372C2">
        <w:t xml:space="preserve"> </w:t>
      </w:r>
      <w:r>
        <w:t>Additionally</w:t>
      </w:r>
      <w:r w:rsidRPr="675372C2">
        <w:t>, they may be used throughout the building or in medical/nurse’s offices.</w:t>
      </w:r>
      <w:r>
        <w:fldChar w:fldCharType="begin"/>
      </w:r>
      <w:r w:rsidR="006E3C53">
        <w:instrText xml:space="preserve"> ADDIN ZOTERO_ITEM CSL_CITATION {"citationID":"fkMlYzrb","properties":{"formattedCitation":"\\super 367\\nosupersub{}","plainCitation":"367","noteIndex":0},"citationItems":[{"id":44,"uris":["http://zotero.org/groups/5563646/items/TGUK577A"],"itemData":{"id":44,"type":"document","title":"Making Massachusetts Schools Mercury-Free","author":[{"family":"MassDEP","given":""}]}}],"schema":"https://github.com/citation-style-language/schema/raw/master/csl-citation.json"} </w:instrText>
      </w:r>
      <w:r>
        <w:fldChar w:fldCharType="separate"/>
      </w:r>
      <w:r w:rsidR="006E3C53" w:rsidRPr="006E3C53">
        <w:rPr>
          <w:rFonts w:cs="Arial"/>
          <w:vertAlign w:val="superscript"/>
        </w:rPr>
        <w:t>367</w:t>
      </w:r>
      <w:r>
        <w:fldChar w:fldCharType="end"/>
      </w:r>
    </w:p>
    <w:p w14:paraId="1661122A" w14:textId="408400A7" w:rsidR="00012D97" w:rsidRDefault="00012D97" w:rsidP="006D7DE6">
      <w:pPr>
        <w:pStyle w:val="BodyTextFirstIndent"/>
      </w:pPr>
      <w:r w:rsidRPr="675372C2">
        <w:t xml:space="preserve">Some of these mercury-containing items include thermometers/thermostats, barometers, hygrometers, hydrometers, manometers, vacuum gauges, spectral tubes, molecular motion devices, sling psychrometers, sphygmomanometers, elemental mercury, mercury-based compound solutions or powders, mercury gas law apparatuses, </w:t>
      </w:r>
      <w:r>
        <w:t xml:space="preserve">and </w:t>
      </w:r>
      <w:r w:rsidRPr="675372C2">
        <w:t>float control switches</w:t>
      </w:r>
      <w:r>
        <w:t>,</w:t>
      </w:r>
      <w:r w:rsidRPr="675372C2">
        <w:t xml:space="preserve"> such as those used on sump pumps, vermillion paints, and fluorescent lamps.</w:t>
      </w:r>
      <w:r>
        <w:fldChar w:fldCharType="begin"/>
      </w:r>
      <w:r w:rsidR="00B81211">
        <w:instrText xml:space="preserve"> ADDIN ZOTERO_ITEM CSL_CITATION {"citationID":"ZBiylmk0","properties":{"formattedCitation":"\\super 366,367\\nosupersub{}","plainCitation":"366,367","noteIndex":0},"citationItems":[{"id":47,"uris":["http://zotero.org/groups/5563646/items/QLE9VYL9"],"itemData":{"id":47,"type":"document","title":"Mercury Use in School Classrooms: Summary and Assessment of Non-Mercury Alternatives","author":[{"family":"Northeast Waste Management Officials' Association","given":""}],"issued":{"date-parts":[["2007",10]]}}},{"id":44,"uris":["http://zotero.org/groups/5563646/items/TGUK577A"],"itemData":{"id":44,"type":"document","title":"Making Massachusetts Schools Mercury-Free","author":[{"family":"MassDEP","given":""}]}}],"schema":"https://github.com/citation-style-language/schema/raw/master/csl-citation.json"} </w:instrText>
      </w:r>
      <w:r>
        <w:fldChar w:fldCharType="separate"/>
      </w:r>
      <w:r w:rsidR="00B81211" w:rsidRPr="00B81211">
        <w:rPr>
          <w:rFonts w:cs="Arial"/>
          <w:vertAlign w:val="superscript"/>
        </w:rPr>
        <w:t>366,367</w:t>
      </w:r>
      <w:r>
        <w:fldChar w:fldCharType="end"/>
      </w:r>
      <w:r w:rsidRPr="675372C2">
        <w:t xml:space="preserve"> </w:t>
      </w:r>
      <w:r>
        <w:t>A</w:t>
      </w:r>
      <w:r w:rsidRPr="675372C2">
        <w:t xml:space="preserve">lternative products and practices </w:t>
      </w:r>
      <w:r>
        <w:t>can</w:t>
      </w:r>
      <w:r w:rsidRPr="675372C2">
        <w:t xml:space="preserve"> be </w:t>
      </w:r>
      <w:r>
        <w:t>introduced</w:t>
      </w:r>
      <w:r w:rsidRPr="675372C2">
        <w:t xml:space="preserve"> for each of these items. For example, digital, glass bulb</w:t>
      </w:r>
      <w:r>
        <w:t>s</w:t>
      </w:r>
      <w:r w:rsidRPr="675372C2">
        <w:t>, spirit-filled, or tympanic thermometers are all effective alternatives to mercury-containing thermometers.</w:t>
      </w:r>
      <w:r>
        <w:fldChar w:fldCharType="begin"/>
      </w:r>
      <w:r w:rsidR="00FC6D3E">
        <w:instrText xml:space="preserve"> ADDIN ZOTERO_ITEM CSL_CITATION {"citationID":"Ajoq4eZo","properties":{"formattedCitation":"\\super 367\\nosupersub{}","plainCitation":"367","noteIndex":0},"citationItems":[{"id":44,"uris":["http://zotero.org/groups/5563646/items/TGUK577A"],"itemData":{"id":44,"type":"document","title":"Making Massachusetts Schools Mercury-Free","author":[{"family":"MassDEP","given":""}]}}],"schema":"https://github.com/citation-style-language/schema/raw/master/csl-citation.json"} </w:instrText>
      </w:r>
      <w:r>
        <w:fldChar w:fldCharType="separate"/>
      </w:r>
      <w:r w:rsidR="00FC6D3E" w:rsidRPr="00FC6D3E">
        <w:rPr>
          <w:rFonts w:cs="Arial"/>
          <w:vertAlign w:val="superscript"/>
        </w:rPr>
        <w:t>367</w:t>
      </w:r>
      <w:r>
        <w:fldChar w:fldCharType="end"/>
      </w:r>
      <w:r w:rsidRPr="675372C2">
        <w:t xml:space="preserve"> </w:t>
      </w:r>
    </w:p>
    <w:p w14:paraId="25029254" w14:textId="1F587F22" w:rsidR="00012D97" w:rsidRDefault="00012D97" w:rsidP="006D7DE6">
      <w:pPr>
        <w:pStyle w:val="BodyTextFirstIndent"/>
        <w:rPr>
          <w:rFonts w:cs="Arial"/>
          <w:vertAlign w:val="superscript"/>
        </w:rPr>
      </w:pPr>
      <w:r w:rsidRPr="675372C2">
        <w:t>As these products are replaced with alternatives, it is important to follow the appropriate safety steps. Mercury-containing items should always be placed in non-breakable, sealable containers and clearly labeled as hazardous before disposal.</w:t>
      </w:r>
      <w:r>
        <w:fldChar w:fldCharType="begin"/>
      </w:r>
      <w:r w:rsidR="00956F36">
        <w:instrText xml:space="preserve"> ADDIN ZOTERO_ITEM CSL_CITATION {"citationID":"mGQTQ15n","properties":{"formattedCitation":"\\super 365\\nosupersub{}","plainCitation":"365","noteIndex":0},"citationItems":[{"id":38,"uris":["http://zotero.org/groups/5563646/items/DVNVZF5X"],"itemData":{"id":38,"type":"document","title":"Getting Mercury Out of Schools: Guidance for Private and Parochial Schools in Massachusetts","author":[{"family":"MassDEP","given":""}]}}],"schema":"https://github.com/citation-style-language/schema/raw/master/csl-citation.json"} </w:instrText>
      </w:r>
      <w:r>
        <w:fldChar w:fldCharType="separate"/>
      </w:r>
      <w:r w:rsidR="00956F36" w:rsidRPr="00956F36">
        <w:rPr>
          <w:rFonts w:cs="Arial"/>
          <w:vertAlign w:val="superscript"/>
        </w:rPr>
        <w:t>365</w:t>
      </w:r>
      <w:r>
        <w:fldChar w:fldCharType="end"/>
      </w:r>
      <w:r w:rsidRPr="675372C2">
        <w:t xml:space="preserve"> </w:t>
      </w:r>
      <w:r>
        <w:t>It</w:t>
      </w:r>
      <w:r w:rsidRPr="675372C2">
        <w:t xml:space="preserve"> is important to use a licensed hazardous waste facility to recycle these items.</w:t>
      </w:r>
      <w:r>
        <w:fldChar w:fldCharType="begin"/>
      </w:r>
      <w:r w:rsidR="002F0688">
        <w:instrText xml:space="preserve"> ADDIN ZOTERO_ITEM CSL_CITATION {"citationID":"TqyD6Tck","properties":{"formattedCitation":"\\super 365\\nosupersub{}","plainCitation":"365","noteIndex":0},"citationItems":[{"id":38,"uris":["http://zotero.org/groups/5563646/items/DVNVZF5X"],"itemData":{"id":38,"type":"document","title":"Getting Mercury Out of Schools: Guidance for Private and Parochial Schools in Massachusetts","author":[{"family":"MassDEP","given":""}]}}],"schema":"https://github.com/citation-style-language/schema/raw/master/csl-citation.json"} </w:instrText>
      </w:r>
      <w:r>
        <w:fldChar w:fldCharType="separate"/>
      </w:r>
      <w:r w:rsidR="002F0688" w:rsidRPr="002F0688">
        <w:rPr>
          <w:rFonts w:cs="Arial"/>
          <w:vertAlign w:val="superscript"/>
        </w:rPr>
        <w:t>365</w:t>
      </w:r>
      <w:r>
        <w:fldChar w:fldCharType="end"/>
      </w:r>
      <w:r w:rsidRPr="675372C2">
        <w:t xml:space="preserve"> If needed, there are environmental service companies that can assist with removing mercury-containing items from schools. Contact the Mass</w:t>
      </w:r>
      <w:r>
        <w:t>DEP’s</w:t>
      </w:r>
      <w:r w:rsidRPr="675372C2">
        <w:t xml:space="preserve"> mercury hotline at 866-9MERCURY (866-963-7287) for assistance.</w:t>
      </w:r>
      <w:r>
        <w:fldChar w:fldCharType="begin"/>
      </w:r>
      <w:r w:rsidR="00534373">
        <w:instrText xml:space="preserve"> ADDIN ZOTERO_ITEM CSL_CITATION {"citationID":"QbXDBopO","properties":{"formattedCitation":"\\super 136\\nosupersub{}","plainCitation":"136","noteIndex":0},"citationItems":[{"id":41,"uris":["http://zotero.org/groups/5563646/items/SL3IWMC9"],"itemData":{"id":41,"type":"webpage","title":"MassDEP Mercury Information","URL":"https://www.mass.gov/guides/massdep-mercury-information","author":[{"family":"MassDEP","given":""}]}}],"schema":"https://github.com/citation-style-language/schema/raw/master/csl-citation.json"} </w:instrText>
      </w:r>
      <w:r>
        <w:fldChar w:fldCharType="separate"/>
      </w:r>
      <w:r w:rsidR="00534373" w:rsidRPr="00534373">
        <w:rPr>
          <w:rFonts w:cs="Arial"/>
          <w:vertAlign w:val="superscript"/>
        </w:rPr>
        <w:t>136</w:t>
      </w:r>
      <w:r>
        <w:fldChar w:fldCharType="end"/>
      </w:r>
    </w:p>
    <w:p w14:paraId="0749B648" w14:textId="77777777" w:rsidR="00BE2443" w:rsidRDefault="00BE2443" w:rsidP="00BE2443">
      <w:pPr>
        <w:pStyle w:val="Heading3"/>
      </w:pPr>
      <w:r>
        <w:t>Statutes, Regulations, and Standards</w:t>
      </w:r>
    </w:p>
    <w:p w14:paraId="31E2A573" w14:textId="77777777" w:rsidR="00BE2443" w:rsidRPr="00E549B2" w:rsidRDefault="00BE2443" w:rsidP="006D7DE6">
      <w:pPr>
        <w:pStyle w:val="BodyTextFirstIndent"/>
      </w:pPr>
      <w:r>
        <w:t xml:space="preserve">The following statutes and regulations set requirements for the use, storage, and disposal of mercury-containing items. </w:t>
      </w:r>
    </w:p>
    <w:p w14:paraId="5EF1F695" w14:textId="77777777" w:rsidR="00BE2443" w:rsidRDefault="00BE2443" w:rsidP="00BE2443">
      <w:pPr>
        <w:pStyle w:val="Heading4"/>
      </w:pPr>
      <w:r>
        <w:t>Relevant Statutes</w:t>
      </w:r>
    </w:p>
    <w:p w14:paraId="038D88C0" w14:textId="52946B0C" w:rsidR="00BE2443" w:rsidRDefault="00BE2443" w:rsidP="006D7DE6">
      <w:pPr>
        <w:pStyle w:val="BodyTextFirstIndent"/>
      </w:pPr>
      <w:r w:rsidRPr="00B31792">
        <w:rPr>
          <w:b/>
          <w:bCs/>
        </w:rPr>
        <w:t>M</w:t>
      </w:r>
      <w:r>
        <w:rPr>
          <w:b/>
          <w:bCs/>
        </w:rPr>
        <w:t>.G.L., c.</w:t>
      </w:r>
      <w:r w:rsidRPr="00B31792">
        <w:rPr>
          <w:b/>
          <w:bCs/>
        </w:rPr>
        <w:t xml:space="preserve"> 21H, </w:t>
      </w:r>
      <w:r>
        <w:rPr>
          <w:rFonts w:cs="Arial"/>
          <w:b/>
          <w:bCs/>
        </w:rPr>
        <w:t>§</w:t>
      </w:r>
      <w:r w:rsidRPr="00B31792">
        <w:rPr>
          <w:b/>
          <w:bCs/>
        </w:rPr>
        <w:t xml:space="preserve"> 6G</w:t>
      </w:r>
      <w:r w:rsidRPr="675372C2">
        <w:t xml:space="preserve"> </w:t>
      </w:r>
      <w:r>
        <w:t xml:space="preserve">restricts </w:t>
      </w:r>
      <w:r w:rsidRPr="675372C2">
        <w:t xml:space="preserve">school </w:t>
      </w:r>
      <w:r>
        <w:t xml:space="preserve">from </w:t>
      </w:r>
      <w:r w:rsidRPr="675372C2">
        <w:t>purchas</w:t>
      </w:r>
      <w:r>
        <w:t>ing</w:t>
      </w:r>
      <w:r w:rsidRPr="675372C2">
        <w:t xml:space="preserve"> mercury-containing items to be used in the classroom.</w:t>
      </w:r>
      <w:r>
        <w:fldChar w:fldCharType="begin"/>
      </w:r>
      <w:r w:rsidR="0017233F">
        <w:instrText xml:space="preserve"> ADDIN ZOTERO_ITEM CSL_CITATION {"citationID":"vdouvoQJ","properties":{"formattedCitation":"\\super 368\\nosupersub{}","plainCitation":"368","noteIndex":0},"citationItems":[{"id":74,"uris":["http://zotero.org/groups/5563646/items/MGS58RRC"],"itemData":{"id":74,"type":"webpage","title":"Section 6G: Purchase of elemental mercury, mercury compounds and mercury-added equipment and materials by schools","URL":"https://malegislature.gov/Laws/GeneralLaws/PartI/TitleII/Chapter21H/Section6G","author":[{"family":"The General Court of the Commonwealth of Massachusetts","given":""}]}}],"schema":"https://github.com/citation-style-language/schema/raw/master/csl-citation.json"} </w:instrText>
      </w:r>
      <w:r>
        <w:fldChar w:fldCharType="separate"/>
      </w:r>
      <w:r w:rsidR="0017233F" w:rsidRPr="0017233F">
        <w:rPr>
          <w:rFonts w:cs="Arial"/>
          <w:vertAlign w:val="superscript"/>
        </w:rPr>
        <w:t>368</w:t>
      </w:r>
      <w:r>
        <w:fldChar w:fldCharType="end"/>
      </w:r>
      <w:r w:rsidRPr="675372C2">
        <w:t xml:space="preserve"> Thermometers and measuring devices may be excluded if no adequate alternative exists.</w:t>
      </w:r>
      <w:r>
        <w:fldChar w:fldCharType="begin"/>
      </w:r>
      <w:r w:rsidR="00A10BDF">
        <w:instrText xml:space="preserve"> ADDIN ZOTERO_ITEM CSL_CITATION {"citationID":"2yEQ9mep","properties":{"formattedCitation":"\\super 368\\nosupersub{}","plainCitation":"368","noteIndex":0},"citationItems":[{"id":74,"uris":["http://zotero.org/groups/5563646/items/MGS58RRC"],"itemData":{"id":74,"type":"webpage","title":"Section 6G: Purchase of elemental mercury, mercury compounds and mercury-added equipment and materials by schools","URL":"https://malegislature.gov/Laws/GeneralLaws/PartI/TitleII/Chapter21H/Section6G","author":[{"family":"The General Court of the Commonwealth of Massachusetts","given":""}]}}],"schema":"https://github.com/citation-style-language/schema/raw/master/csl-citation.json"} </w:instrText>
      </w:r>
      <w:r>
        <w:fldChar w:fldCharType="separate"/>
      </w:r>
      <w:r w:rsidR="00A10BDF" w:rsidRPr="00A10BDF">
        <w:rPr>
          <w:rFonts w:cs="Arial"/>
          <w:vertAlign w:val="superscript"/>
        </w:rPr>
        <w:t>368</w:t>
      </w:r>
      <w:r>
        <w:fldChar w:fldCharType="end"/>
      </w:r>
      <w:r w:rsidRPr="675372C2">
        <w:t xml:space="preserve"> Section 6G does not apply to the sale of mercury-containing lamps.</w:t>
      </w:r>
      <w:r>
        <w:fldChar w:fldCharType="begin"/>
      </w:r>
      <w:r w:rsidR="006236A5">
        <w:instrText xml:space="preserve"> ADDIN ZOTERO_ITEM CSL_CITATION {"citationID":"kH1ulgpl","properties":{"formattedCitation":"\\super 368\\nosupersub{}","plainCitation":"368","noteIndex":0},"citationItems":[{"id":74,"uris":["http://zotero.org/groups/5563646/items/MGS58RRC"],"itemData":{"id":74,"type":"webpage","title":"Section 6G: Purchase of elemental mercury, mercury compounds and mercury-added equipment and materials by schools","URL":"https://malegislature.gov/Laws/GeneralLaws/PartI/TitleII/Chapter21H/Section6G","author":[{"family":"The General Court of the Commonwealth of Massachusetts","given":""}]}}],"schema":"https://github.com/citation-style-language/schema/raw/master/csl-citation.json"} </w:instrText>
      </w:r>
      <w:r>
        <w:fldChar w:fldCharType="separate"/>
      </w:r>
      <w:r w:rsidR="006236A5" w:rsidRPr="006236A5">
        <w:rPr>
          <w:rFonts w:cs="Arial"/>
          <w:vertAlign w:val="superscript"/>
        </w:rPr>
        <w:t>368</w:t>
      </w:r>
      <w:r>
        <w:fldChar w:fldCharType="end"/>
      </w:r>
    </w:p>
    <w:p w14:paraId="67C3E053" w14:textId="1E154664" w:rsidR="00BE2443" w:rsidRDefault="00BE2443" w:rsidP="006D7DE6">
      <w:pPr>
        <w:pStyle w:val="BodyTextFirstIndent"/>
      </w:pPr>
      <w:r w:rsidRPr="00B31792">
        <w:rPr>
          <w:b/>
          <w:bCs/>
        </w:rPr>
        <w:t>M</w:t>
      </w:r>
      <w:r>
        <w:rPr>
          <w:b/>
          <w:bCs/>
        </w:rPr>
        <w:t>.</w:t>
      </w:r>
      <w:r w:rsidRPr="00B31792">
        <w:rPr>
          <w:b/>
          <w:bCs/>
        </w:rPr>
        <w:t>G</w:t>
      </w:r>
      <w:r>
        <w:rPr>
          <w:b/>
          <w:bCs/>
        </w:rPr>
        <w:t>.</w:t>
      </w:r>
      <w:r w:rsidRPr="00B31792">
        <w:rPr>
          <w:b/>
          <w:bCs/>
        </w:rPr>
        <w:t>L</w:t>
      </w:r>
      <w:r>
        <w:rPr>
          <w:b/>
          <w:bCs/>
        </w:rPr>
        <w:t>.</w:t>
      </w:r>
      <w:r w:rsidRPr="00B31792">
        <w:rPr>
          <w:b/>
          <w:bCs/>
        </w:rPr>
        <w:t xml:space="preserve">, </w:t>
      </w:r>
      <w:r>
        <w:rPr>
          <w:b/>
          <w:bCs/>
        </w:rPr>
        <w:t>c.</w:t>
      </w:r>
      <w:r w:rsidRPr="00B31792">
        <w:rPr>
          <w:b/>
          <w:bCs/>
        </w:rPr>
        <w:t xml:space="preserve"> 21H, </w:t>
      </w:r>
      <w:r>
        <w:rPr>
          <w:rFonts w:cs="Arial"/>
          <w:b/>
          <w:bCs/>
        </w:rPr>
        <w:t>§</w:t>
      </w:r>
      <w:r w:rsidRPr="00B31792">
        <w:rPr>
          <w:b/>
          <w:bCs/>
        </w:rPr>
        <w:t xml:space="preserve"> 6I</w:t>
      </w:r>
      <w:r w:rsidRPr="675372C2">
        <w:t xml:space="preserve"> </w:t>
      </w:r>
      <w:r>
        <w:t>restricts</w:t>
      </w:r>
      <w:r w:rsidRPr="675372C2">
        <w:t xml:space="preserve"> entit</w:t>
      </w:r>
      <w:r>
        <w:t>ies</w:t>
      </w:r>
      <w:r w:rsidRPr="675372C2">
        <w:t xml:space="preserve"> </w:t>
      </w:r>
      <w:r>
        <w:t>from</w:t>
      </w:r>
      <w:r w:rsidRPr="675372C2">
        <w:t xml:space="preserve"> knowingly dispos</w:t>
      </w:r>
      <w:r>
        <w:t>ing</w:t>
      </w:r>
      <w:r w:rsidRPr="675372C2">
        <w:t xml:space="preserve"> of mercury-containing items in a manner other than recycling, disposing as hazardous waste, or other state-approved methods.</w:t>
      </w:r>
      <w:r>
        <w:rPr>
          <w:color w:val="000000" w:themeColor="text1"/>
          <w:sz w:val="20"/>
          <w:szCs w:val="20"/>
        </w:rPr>
        <w:fldChar w:fldCharType="begin"/>
      </w:r>
      <w:r w:rsidR="00541662">
        <w:rPr>
          <w:color w:val="000000" w:themeColor="text1"/>
          <w:sz w:val="20"/>
          <w:szCs w:val="20"/>
        </w:rPr>
        <w:instrText xml:space="preserve"> ADDIN ZOTERO_ITEM CSL_CITATION {"citationID":"GxhuXmKM","properties":{"formattedCitation":"\\super 369\\nosupersub{}","plainCitation":"369","noteIndex":0},"citationItems":[{"id":73,"uris":["http://zotero.org/groups/5563646/items/7RE22M4Z"],"itemData":{"id":73,"type":"webpage","title":"Section 6I: Disposal of mercury-added products; education program; discharge of mercury into water; scrap recycling of multi-component products containing mercury","URL":"https://malegislature.gov/Laws/GeneralLaws/PartI/TitleII/Chapter21H/Section6I","author":[{"family":"The General Court of the Commonwealth of Massachusetts","given":""}]}}],"schema":"https://github.com/citation-style-language/schema/raw/master/csl-citation.json"} </w:instrText>
      </w:r>
      <w:r>
        <w:rPr>
          <w:color w:val="000000" w:themeColor="text1"/>
          <w:sz w:val="20"/>
          <w:szCs w:val="20"/>
        </w:rPr>
        <w:fldChar w:fldCharType="separate"/>
      </w:r>
      <w:r w:rsidR="00541662" w:rsidRPr="00541662">
        <w:rPr>
          <w:rFonts w:cs="Arial"/>
          <w:sz w:val="20"/>
          <w:vertAlign w:val="superscript"/>
        </w:rPr>
        <w:t>369</w:t>
      </w:r>
      <w:r>
        <w:rPr>
          <w:color w:val="000000" w:themeColor="text1"/>
          <w:sz w:val="20"/>
          <w:szCs w:val="20"/>
        </w:rPr>
        <w:fldChar w:fldCharType="end"/>
      </w:r>
      <w:r w:rsidRPr="675372C2">
        <w:t xml:space="preserve"> Section 6I also calls for mandatory education on proper disposal of mercury-containing items for all citizens</w:t>
      </w:r>
      <w:r>
        <w:t>.</w:t>
      </w:r>
      <w:r>
        <w:rPr>
          <w:color w:val="000000" w:themeColor="text1"/>
          <w:sz w:val="20"/>
          <w:szCs w:val="20"/>
        </w:rPr>
        <w:fldChar w:fldCharType="begin"/>
      </w:r>
      <w:r w:rsidR="0027301E">
        <w:rPr>
          <w:color w:val="000000" w:themeColor="text1"/>
          <w:sz w:val="20"/>
          <w:szCs w:val="20"/>
        </w:rPr>
        <w:instrText xml:space="preserve"> ADDIN ZOTERO_ITEM CSL_CITATION {"citationID":"UV9xXteg","properties":{"formattedCitation":"\\super 369\\nosupersub{}","plainCitation":"369","noteIndex":0},"citationItems":[{"id":73,"uris":["http://zotero.org/groups/5563646/items/7RE22M4Z"],"itemData":{"id":73,"type":"webpage","title":"Section 6I: Disposal of mercury-added products; education program; discharge of mercury into water; scrap recycling of multi-component products containing mercury","URL":"https://malegislature.gov/Laws/GeneralLaws/PartI/TitleII/Chapter21H/Section6I","author":[{"family":"The General Court of the Commonwealth of Massachusetts","given":""}]}}],"schema":"https://github.com/citation-style-language/schema/raw/master/csl-citation.json"} </w:instrText>
      </w:r>
      <w:r>
        <w:rPr>
          <w:color w:val="000000" w:themeColor="text1"/>
          <w:sz w:val="20"/>
          <w:szCs w:val="20"/>
        </w:rPr>
        <w:fldChar w:fldCharType="separate"/>
      </w:r>
      <w:r w:rsidR="0027301E" w:rsidRPr="0027301E">
        <w:rPr>
          <w:rFonts w:cs="Arial"/>
          <w:sz w:val="20"/>
          <w:vertAlign w:val="superscript"/>
        </w:rPr>
        <w:t>369</w:t>
      </w:r>
      <w:r>
        <w:rPr>
          <w:color w:val="000000" w:themeColor="text1"/>
          <w:sz w:val="20"/>
          <w:szCs w:val="20"/>
        </w:rPr>
        <w:fldChar w:fldCharType="end"/>
      </w:r>
    </w:p>
    <w:p w14:paraId="6081C14B" w14:textId="77777777" w:rsidR="00BE2443" w:rsidRDefault="00BE2443" w:rsidP="00BE2443">
      <w:pPr>
        <w:pStyle w:val="Heading4"/>
      </w:pPr>
      <w:r>
        <w:lastRenderedPageBreak/>
        <w:t>Relevant Regulations</w:t>
      </w:r>
    </w:p>
    <w:p w14:paraId="6CE13EB9" w14:textId="02A63659" w:rsidR="00BE2443" w:rsidRDefault="00BE2443" w:rsidP="006D7DE6">
      <w:pPr>
        <w:pStyle w:val="BodyTextFirstIndent"/>
      </w:pPr>
      <w:r>
        <w:rPr>
          <w:rStyle w:val="normaltextrun"/>
          <w:rFonts w:eastAsia="Calibri"/>
          <w:b/>
          <w:color w:val="000000"/>
          <w:shd w:val="clear" w:color="auto" w:fill="FFFFFF"/>
        </w:rPr>
        <w:t>RCRA</w:t>
      </w:r>
      <w:r w:rsidRPr="675372C2">
        <w:t xml:space="preserve"> requires that EPA manage hazardous waste, including waste generated from the use, storage, and disposal of mercury-containing items.</w:t>
      </w:r>
      <w:r>
        <w:rPr>
          <w:color w:val="000000" w:themeColor="text1"/>
          <w:sz w:val="20"/>
          <w:szCs w:val="20"/>
        </w:rPr>
        <w:fldChar w:fldCharType="begin"/>
      </w:r>
      <w:r w:rsidR="00621976">
        <w:rPr>
          <w:color w:val="000000" w:themeColor="text1"/>
          <w:sz w:val="20"/>
          <w:szCs w:val="20"/>
        </w:rPr>
        <w:instrText xml:space="preserve"> ADDIN ZOTERO_ITEM CSL_CITATION {"citationID":"l4TcD7UC","properties":{"formattedCitation":"\\super 370\\nosupersub{}","plainCitation":"370","noteIndex":0},"citationItems":[{"id":75,"uris":["http://zotero.org/groups/5563646/items/SK7E5CKP"],"itemData":{"id":75,"type":"webpage","title":"Environmental Laws that Apply to Mercury","URL":"https://www.epa.gov/mercury/environmental-laws-apply-mercury#:~:text=The%20Resource%20Conservation%20and%20Recovery,EPA's%20treatment%20and%20recycling%20standards.","author":[{"family":"US EPA","given":""}],"issued":{"date-parts":[["2024",4,22]]}}}],"schema":"https://github.com/citation-style-language/schema/raw/master/csl-citation.json"} </w:instrText>
      </w:r>
      <w:r>
        <w:rPr>
          <w:color w:val="000000" w:themeColor="text1"/>
          <w:sz w:val="20"/>
          <w:szCs w:val="20"/>
        </w:rPr>
        <w:fldChar w:fldCharType="separate"/>
      </w:r>
      <w:r w:rsidR="00621976" w:rsidRPr="00621976">
        <w:rPr>
          <w:rFonts w:cs="Arial"/>
          <w:sz w:val="20"/>
          <w:vertAlign w:val="superscript"/>
        </w:rPr>
        <w:t>370</w:t>
      </w:r>
      <w:r>
        <w:rPr>
          <w:color w:val="000000" w:themeColor="text1"/>
          <w:sz w:val="20"/>
          <w:szCs w:val="20"/>
        </w:rPr>
        <w:fldChar w:fldCharType="end"/>
      </w:r>
      <w:r w:rsidRPr="675372C2">
        <w:t xml:space="preserve"> Before these items can be disposed of, they must meet EPA’s treatment and recycling standards. Current regulations require that low-mercury waste (&lt;260 mg/kg total mercury) be treated to achieve 0.025 mg/L, as measured using the Toxicity Characteristic Leaching Procedure (TCLP).</w:t>
      </w:r>
      <w:r>
        <w:fldChar w:fldCharType="begin"/>
      </w:r>
      <w:r w:rsidR="00B32F4C">
        <w:instrText xml:space="preserve"> ADDIN ZOTERO_ITEM CSL_CITATION {"citationID":"iGAXYATZ","properties":{"formattedCitation":"\\super 371\\nosupersub{}","plainCitation":"371","noteIndex":0},"citationItems":[{"id":72,"uris":["http://zotero.org/groups/5563646/items/VVARD9CD"],"itemData":{"id":72,"type":"webpage","title":"Land Disposal Restrictions: Treatment Standards for Mercury-Bearing Hazardous Waste; Notice of Data Availability","URL":"https://www.federalregister.gov/documents/2003/01/29/03-2035/land-disposal-restrictions-treatment-standards-for-mercury-bearing-hazardous-waste-notice-of-data#:~:text=Current%20regulations%20require%20that%20these,all%20other%20low%20mercury%20wastes.","author":[{"family":"US EPA","given":""}],"issued":{"date-parts":[["2003",1,29]]}}}],"schema":"https://github.com/citation-style-language/schema/raw/master/csl-citation.json"} </w:instrText>
      </w:r>
      <w:r>
        <w:fldChar w:fldCharType="separate"/>
      </w:r>
      <w:r w:rsidR="00B32F4C" w:rsidRPr="00B32F4C">
        <w:rPr>
          <w:rFonts w:cs="Arial"/>
          <w:vertAlign w:val="superscript"/>
        </w:rPr>
        <w:t>371</w:t>
      </w:r>
      <w:r>
        <w:fldChar w:fldCharType="end"/>
      </w:r>
      <w:r w:rsidRPr="675372C2">
        <w:t xml:space="preserve"> Note that high-mercury waste (&gt;260 mg/kg total mercury) must undergo retorting or roasting where the residuals produced after thermal processing must achieve 0.20 mg/L TCLP.</w:t>
      </w:r>
      <w:r>
        <w:fldChar w:fldCharType="begin"/>
      </w:r>
      <w:r w:rsidR="00E50B7C">
        <w:instrText xml:space="preserve"> ADDIN ZOTERO_ITEM CSL_CITATION {"citationID":"9sFIR2KD","properties":{"formattedCitation":"\\super 371\\nosupersub{}","plainCitation":"371","noteIndex":0},"citationItems":[{"id":72,"uris":["http://zotero.org/groups/5563646/items/VVARD9CD"],"itemData":{"id":72,"type":"webpage","title":"Land Disposal Restrictions: Treatment Standards for Mercury-Bearing Hazardous Waste; Notice of Data Availability","URL":"https://www.federalregister.gov/documents/2003/01/29/03-2035/land-disposal-restrictions-treatment-standards-for-mercury-bearing-hazardous-waste-notice-of-data#:~:text=Current%20regulations%20require%20that%20these,all%20other%20low%20mercury%20wastes.","author":[{"family":"US EPA","given":""}],"issued":{"date-parts":[["2003",1,29]]}}}],"schema":"https://github.com/citation-style-language/schema/raw/master/csl-citation.json"} </w:instrText>
      </w:r>
      <w:r>
        <w:fldChar w:fldCharType="separate"/>
      </w:r>
      <w:r w:rsidR="00E50B7C" w:rsidRPr="00E50B7C">
        <w:rPr>
          <w:rFonts w:cs="Arial"/>
          <w:vertAlign w:val="superscript"/>
        </w:rPr>
        <w:t>371</w:t>
      </w:r>
      <w:r>
        <w:fldChar w:fldCharType="end"/>
      </w:r>
    </w:p>
    <w:p w14:paraId="18302F4D" w14:textId="19C4BD22" w:rsidR="00BE2443" w:rsidRDefault="00BE2443" w:rsidP="006D7DE6">
      <w:pPr>
        <w:pStyle w:val="BodyTextFirstIndent"/>
      </w:pPr>
      <w:r>
        <w:fldChar w:fldCharType="begin"/>
      </w:r>
      <w:r>
        <w:instrText xml:space="preserve"> REF _Ref171632505 \h </w:instrText>
      </w:r>
      <w:r>
        <w:fldChar w:fldCharType="separate"/>
      </w:r>
      <w:r w:rsidR="00307850">
        <w:t xml:space="preserve">Table </w:t>
      </w:r>
      <w:r w:rsidR="00307850">
        <w:rPr>
          <w:noProof/>
        </w:rPr>
        <w:t>85</w:t>
      </w:r>
      <w:r>
        <w:fldChar w:fldCharType="end"/>
      </w:r>
      <w:r>
        <w:t xml:space="preserve"> </w:t>
      </w:r>
      <w:r w:rsidRPr="007935AE">
        <w:t xml:space="preserve">summarizes the statutes, regulations, and standards related to </w:t>
      </w:r>
      <w:r>
        <w:t>reducing exposure to mercury in</w:t>
      </w:r>
      <w:r w:rsidRPr="007935AE">
        <w:t xml:space="preserve"> schools</w:t>
      </w:r>
      <w:r>
        <w:t xml:space="preserve"> outlined above</w:t>
      </w:r>
      <w:r w:rsidRPr="007935AE">
        <w:t>.</w:t>
      </w:r>
    </w:p>
    <w:p w14:paraId="0B936CA0" w14:textId="016C0935" w:rsidR="00BE2443" w:rsidRDefault="00BE2443" w:rsidP="00B30C96">
      <w:pPr>
        <w:pStyle w:val="TableTitle"/>
      </w:pPr>
      <w:bookmarkStart w:id="658" w:name="_Ref171632505"/>
      <w:bookmarkStart w:id="659" w:name="_Toc192711751"/>
      <w:bookmarkStart w:id="660" w:name="_Toc193112633"/>
      <w:bookmarkStart w:id="661" w:name="_Toc193117032"/>
      <w:r>
        <w:t xml:space="preserve">Table </w:t>
      </w:r>
      <w:fldSimple w:instr=" SEQ Table \* ARABIC ">
        <w:r w:rsidR="00307850">
          <w:rPr>
            <w:noProof/>
          </w:rPr>
          <w:t>85</w:t>
        </w:r>
      </w:fldSimple>
      <w:bookmarkEnd w:id="658"/>
      <w:r>
        <w:t xml:space="preserve">. Statutory/Regulatory Framework and Notable Standards for </w:t>
      </w:r>
      <w:r w:rsidRPr="008F652D">
        <w:t>Reduc</w:t>
      </w:r>
      <w:r>
        <w:t>ing</w:t>
      </w:r>
      <w:r w:rsidRPr="008F652D">
        <w:t xml:space="preserve"> </w:t>
      </w:r>
      <w:r>
        <w:t>Exposure to Mercury</w:t>
      </w:r>
      <w:bookmarkEnd w:id="659"/>
      <w:bookmarkEnd w:id="660"/>
      <w:bookmarkEnd w:id="661"/>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reducing exposure to lead mercury."/>
      </w:tblPr>
      <w:tblGrid>
        <w:gridCol w:w="6834"/>
        <w:gridCol w:w="838"/>
        <w:gridCol w:w="840"/>
        <w:gridCol w:w="838"/>
      </w:tblGrid>
      <w:tr w:rsidR="00BE2443" w:rsidRPr="00E11392" w14:paraId="7B2E284A"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31BAECD3" w14:textId="77777777" w:rsidR="00BE2443" w:rsidRPr="00E11392" w:rsidRDefault="00BE2443">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6B1C250E" w14:textId="77777777" w:rsidR="00BE2443" w:rsidRPr="00E11392" w:rsidRDefault="00BE2443">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1C67216" w14:textId="77777777" w:rsidR="00BE2443" w:rsidRPr="00E11392" w:rsidRDefault="00BE2443">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5139454" w14:textId="77777777" w:rsidR="00BE2443" w:rsidRPr="00E11392" w:rsidRDefault="00BE2443">
            <w:pPr>
              <w:pStyle w:val="TableColumnHeader"/>
              <w:jc w:val="left"/>
            </w:pPr>
            <w:r w:rsidRPr="00E11392">
              <w:t>Standard</w:t>
            </w:r>
          </w:p>
        </w:tc>
      </w:tr>
      <w:tr w:rsidR="00BE2443" w:rsidRPr="00E11392" w14:paraId="265F3F01"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4CC8D8E" w14:textId="77777777" w:rsidR="00BE2443" w:rsidRPr="00E11392" w:rsidRDefault="00BE2443">
            <w:pPr>
              <w:pStyle w:val="TableRowHeader"/>
            </w:pPr>
            <w:r w:rsidRPr="00E11392">
              <w:t>Statutes</w:t>
            </w:r>
          </w:p>
        </w:tc>
      </w:tr>
      <w:tr w:rsidR="00BE2443" w:rsidRPr="00E11392" w14:paraId="0AED102A"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2F00C89B" w14:textId="77777777" w:rsidR="00BE2443" w:rsidRPr="00E11392" w:rsidRDefault="00BE2443">
            <w:pPr>
              <w:pStyle w:val="TableText"/>
            </w:pPr>
            <w:r>
              <w:t>MA General Law, Chapter 21H, Section 6G</w:t>
            </w:r>
          </w:p>
        </w:tc>
        <w:tc>
          <w:tcPr>
            <w:tcW w:w="448" w:type="pct"/>
            <w:tcBorders>
              <w:top w:val="nil"/>
              <w:left w:val="single" w:sz="4" w:space="0" w:color="auto"/>
              <w:bottom w:val="single" w:sz="4" w:space="0" w:color="auto"/>
              <w:right w:val="single" w:sz="4" w:space="0" w:color="auto"/>
            </w:tcBorders>
            <w:shd w:val="clear" w:color="auto" w:fill="auto"/>
            <w:vAlign w:val="center"/>
          </w:tcPr>
          <w:p w14:paraId="4C1CA179" w14:textId="77777777" w:rsidR="00BE2443" w:rsidRPr="00E11392" w:rsidRDefault="00BE2443">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016B7D85" w14:textId="77777777" w:rsidR="00BE2443" w:rsidRPr="00E11392" w:rsidRDefault="00BE2443">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13BB13A3" w14:textId="77777777" w:rsidR="00BE2443" w:rsidRPr="00E11392" w:rsidRDefault="00BE2443">
            <w:pPr>
              <w:jc w:val="center"/>
              <w:rPr>
                <w:rFonts w:ascii="Arial" w:hAnsi="Arial" w:cs="Arial"/>
                <w:b/>
                <w:bCs/>
                <w:sz w:val="24"/>
              </w:rPr>
            </w:pPr>
          </w:p>
        </w:tc>
      </w:tr>
      <w:tr w:rsidR="00BE2443" w:rsidRPr="00E11392" w14:paraId="6F318690"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391BFDC" w14:textId="77777777" w:rsidR="00BE2443" w:rsidRPr="00E11392" w:rsidRDefault="00BE2443">
            <w:pPr>
              <w:pStyle w:val="TableText"/>
            </w:pPr>
            <w:r>
              <w:t>MA General Law, Chapter 21H, Section 6I</w:t>
            </w:r>
          </w:p>
        </w:tc>
        <w:tc>
          <w:tcPr>
            <w:tcW w:w="448" w:type="pct"/>
            <w:tcBorders>
              <w:top w:val="nil"/>
              <w:left w:val="single" w:sz="4" w:space="0" w:color="auto"/>
              <w:bottom w:val="single" w:sz="4" w:space="0" w:color="auto"/>
              <w:right w:val="single" w:sz="4" w:space="0" w:color="auto"/>
            </w:tcBorders>
            <w:shd w:val="clear" w:color="auto" w:fill="auto"/>
            <w:vAlign w:val="center"/>
          </w:tcPr>
          <w:p w14:paraId="497A3DA4" w14:textId="77777777" w:rsidR="00BE2443" w:rsidRPr="00E11392" w:rsidRDefault="00BE2443">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719B8F25" w14:textId="77777777" w:rsidR="00BE2443" w:rsidRPr="00E11392" w:rsidRDefault="00BE2443">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77CF8516" w14:textId="77777777" w:rsidR="00BE2443" w:rsidRPr="00E11392" w:rsidRDefault="00BE2443">
            <w:pPr>
              <w:jc w:val="center"/>
              <w:rPr>
                <w:rFonts w:ascii="Arial" w:hAnsi="Arial" w:cs="Arial"/>
                <w:b/>
                <w:bCs/>
                <w:sz w:val="24"/>
              </w:rPr>
            </w:pPr>
          </w:p>
        </w:tc>
      </w:tr>
      <w:tr w:rsidR="00BE2443" w:rsidRPr="00E11392" w14:paraId="7016D818"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A043FF7" w14:textId="77777777" w:rsidR="00BE2443" w:rsidRPr="00E11392" w:rsidRDefault="00BE2443">
            <w:pPr>
              <w:pStyle w:val="TableRowHeader"/>
            </w:pPr>
            <w:r w:rsidRPr="00E11392">
              <w:t>Regulations</w:t>
            </w:r>
          </w:p>
        </w:tc>
      </w:tr>
      <w:tr w:rsidR="00BE2443" w:rsidRPr="00E11392" w14:paraId="1A874489"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376D0A1A" w14:textId="77777777" w:rsidR="00BE2443" w:rsidRPr="00E11392" w:rsidRDefault="00BE2443">
            <w:pPr>
              <w:pStyle w:val="TableText"/>
            </w:pPr>
            <w:r>
              <w:t xml:space="preserve">RCRA </w:t>
            </w:r>
          </w:p>
        </w:tc>
        <w:tc>
          <w:tcPr>
            <w:tcW w:w="448" w:type="pct"/>
            <w:tcBorders>
              <w:top w:val="nil"/>
              <w:left w:val="single" w:sz="4" w:space="0" w:color="auto"/>
              <w:bottom w:val="single" w:sz="4" w:space="0" w:color="auto"/>
              <w:right w:val="single" w:sz="4" w:space="0" w:color="auto"/>
            </w:tcBorders>
            <w:shd w:val="clear" w:color="auto" w:fill="auto"/>
            <w:vAlign w:val="center"/>
          </w:tcPr>
          <w:p w14:paraId="6D296B2C" w14:textId="77777777" w:rsidR="00BE2443" w:rsidRPr="00E11392" w:rsidRDefault="00BE2443">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69016E1E" w14:textId="77777777" w:rsidR="00BE2443" w:rsidRPr="00E11392" w:rsidRDefault="00BE2443">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76EA6DE8" w14:textId="77777777" w:rsidR="00BE2443" w:rsidRPr="00E11392" w:rsidRDefault="00BE2443">
            <w:pPr>
              <w:jc w:val="center"/>
              <w:rPr>
                <w:rFonts w:ascii="Arial" w:hAnsi="Arial" w:cs="Arial"/>
                <w:b/>
                <w:bCs/>
                <w:sz w:val="24"/>
              </w:rPr>
            </w:pPr>
          </w:p>
        </w:tc>
      </w:tr>
    </w:tbl>
    <w:p w14:paraId="17E82ABD" w14:textId="77777777" w:rsidR="00BE2443" w:rsidRDefault="00BE2443" w:rsidP="00BE2443">
      <w:pPr>
        <w:pStyle w:val="Heading3"/>
      </w:pPr>
      <w:r>
        <w:t>Relevant Resources</w:t>
      </w:r>
    </w:p>
    <w:p w14:paraId="40BC63A3" w14:textId="178AFFA1" w:rsidR="00BE2443" w:rsidRDefault="00BE2443" w:rsidP="006D7DE6">
      <w:pPr>
        <w:pStyle w:val="BodyTextFirstIndent"/>
      </w:pPr>
      <w:r>
        <w:fldChar w:fldCharType="begin"/>
      </w:r>
      <w:r>
        <w:instrText xml:space="preserve"> REF _Ref171632542 \h </w:instrText>
      </w:r>
      <w:r>
        <w:fldChar w:fldCharType="separate"/>
      </w:r>
      <w:r w:rsidR="00307850">
        <w:t xml:space="preserve">Table </w:t>
      </w:r>
      <w:r w:rsidR="00307850">
        <w:rPr>
          <w:noProof/>
        </w:rPr>
        <w:t>86</w:t>
      </w:r>
      <w:r>
        <w:fldChar w:fldCharType="end"/>
      </w:r>
      <w:r>
        <w:t xml:space="preserve"> provides a summary of resources related to reducing exposure to mercury in schools.</w:t>
      </w:r>
    </w:p>
    <w:p w14:paraId="164728ED" w14:textId="711ED2B5" w:rsidR="00BE2443" w:rsidRDefault="00BE2443" w:rsidP="00B30C96">
      <w:pPr>
        <w:pStyle w:val="TableTitle"/>
      </w:pPr>
      <w:bookmarkStart w:id="662" w:name="_Ref171632542"/>
      <w:bookmarkStart w:id="663" w:name="_Toc192711752"/>
      <w:bookmarkStart w:id="664" w:name="_Toc193112634"/>
      <w:bookmarkStart w:id="665" w:name="_Toc193117033"/>
      <w:r>
        <w:t xml:space="preserve">Table </w:t>
      </w:r>
      <w:fldSimple w:instr=" SEQ Table \* ARABIC ">
        <w:r w:rsidR="00307850">
          <w:rPr>
            <w:noProof/>
          </w:rPr>
          <w:t>86</w:t>
        </w:r>
      </w:fldSimple>
      <w:bookmarkEnd w:id="662"/>
      <w:r>
        <w:t>. Resources for Reducing Exposure to Mercury</w:t>
      </w:r>
      <w:bookmarkEnd w:id="663"/>
      <w:bookmarkEnd w:id="664"/>
      <w:bookmarkEnd w:id="665"/>
    </w:p>
    <w:tbl>
      <w:tblPr>
        <w:tblStyle w:val="TableGrid"/>
        <w:tblW w:w="0" w:type="auto"/>
        <w:tblLook w:val="04A0" w:firstRow="1" w:lastRow="0" w:firstColumn="1" w:lastColumn="0" w:noHBand="0" w:noVBand="1"/>
        <w:tblDescription w:val="Table listing resources with active URLs for reducing exposure to mercury."/>
      </w:tblPr>
      <w:tblGrid>
        <w:gridCol w:w="2327"/>
        <w:gridCol w:w="2124"/>
        <w:gridCol w:w="4899"/>
      </w:tblGrid>
      <w:tr w:rsidR="00BE2443" w:rsidRPr="00276B41" w14:paraId="46085C12" w14:textId="77777777">
        <w:trPr>
          <w:tblHeader/>
        </w:trPr>
        <w:tc>
          <w:tcPr>
            <w:tcW w:w="2327" w:type="dxa"/>
            <w:shd w:val="clear" w:color="auto" w:fill="C6D9F1" w:themeFill="text2" w:themeFillTint="33"/>
          </w:tcPr>
          <w:p w14:paraId="42F9D53A" w14:textId="77777777" w:rsidR="00BE2443" w:rsidRPr="004C3A1C" w:rsidRDefault="00BE2443">
            <w:pPr>
              <w:pStyle w:val="TableColumnHeader"/>
            </w:pPr>
            <w:r w:rsidRPr="004C3A1C">
              <w:t>Resource</w:t>
            </w:r>
          </w:p>
        </w:tc>
        <w:tc>
          <w:tcPr>
            <w:tcW w:w="2124" w:type="dxa"/>
            <w:shd w:val="clear" w:color="auto" w:fill="C6D9F1" w:themeFill="text2" w:themeFillTint="33"/>
          </w:tcPr>
          <w:p w14:paraId="0575F6B4" w14:textId="77777777" w:rsidR="00BE2443" w:rsidRPr="004C3A1C" w:rsidRDefault="00BE2443">
            <w:pPr>
              <w:pStyle w:val="TableColumnHeader"/>
            </w:pPr>
            <w:r w:rsidRPr="004C3A1C">
              <w:t>Author</w:t>
            </w:r>
          </w:p>
        </w:tc>
        <w:tc>
          <w:tcPr>
            <w:tcW w:w="4899" w:type="dxa"/>
            <w:shd w:val="clear" w:color="auto" w:fill="C6D9F1" w:themeFill="text2" w:themeFillTint="33"/>
          </w:tcPr>
          <w:p w14:paraId="198608B2" w14:textId="77777777" w:rsidR="00BE2443" w:rsidRPr="004C3A1C" w:rsidRDefault="00BE2443">
            <w:pPr>
              <w:pStyle w:val="TableColumnHeader"/>
            </w:pPr>
            <w:r w:rsidRPr="004C3A1C">
              <w:t>URL</w:t>
            </w:r>
          </w:p>
        </w:tc>
      </w:tr>
      <w:tr w:rsidR="00BE2443" w:rsidRPr="00276B41" w14:paraId="7BBD783D" w14:textId="77777777">
        <w:tc>
          <w:tcPr>
            <w:tcW w:w="2327" w:type="dxa"/>
          </w:tcPr>
          <w:p w14:paraId="49C0FC59" w14:textId="77777777" w:rsidR="00BE2443" w:rsidRDefault="00BE2443">
            <w:pPr>
              <w:pStyle w:val="TableText"/>
            </w:pPr>
            <w:r w:rsidRPr="00995F65">
              <w:t xml:space="preserve">24/7 </w:t>
            </w:r>
            <w:r>
              <w:t>M</w:t>
            </w:r>
            <w:r w:rsidRPr="00995F65">
              <w:t xml:space="preserve">ercury </w:t>
            </w:r>
            <w:r>
              <w:t>S</w:t>
            </w:r>
            <w:r w:rsidRPr="00995F65">
              <w:t xml:space="preserve">pill </w:t>
            </w:r>
            <w:r>
              <w:t>H</w:t>
            </w:r>
            <w:r w:rsidRPr="00995F65">
              <w:t>otline</w:t>
            </w:r>
          </w:p>
        </w:tc>
        <w:tc>
          <w:tcPr>
            <w:tcW w:w="2124" w:type="dxa"/>
          </w:tcPr>
          <w:p w14:paraId="0B9DCC0F" w14:textId="77777777" w:rsidR="00BE2443" w:rsidRDefault="00BE2443">
            <w:pPr>
              <w:pStyle w:val="TableText"/>
            </w:pPr>
            <w:r>
              <w:t>MassDEP</w:t>
            </w:r>
          </w:p>
        </w:tc>
        <w:tc>
          <w:tcPr>
            <w:tcW w:w="4899" w:type="dxa"/>
          </w:tcPr>
          <w:p w14:paraId="3FAA1A3D" w14:textId="77777777" w:rsidR="00BE2443" w:rsidRDefault="00BE2443">
            <w:pPr>
              <w:pStyle w:val="TableText"/>
            </w:pPr>
            <w:r w:rsidRPr="00995F65">
              <w:t>866-9MERCURY (866-963-7287)</w:t>
            </w:r>
          </w:p>
        </w:tc>
      </w:tr>
      <w:tr w:rsidR="00BE2443" w:rsidRPr="00276B41" w14:paraId="3729494A" w14:textId="77777777">
        <w:tc>
          <w:tcPr>
            <w:tcW w:w="2327" w:type="dxa"/>
          </w:tcPr>
          <w:p w14:paraId="2EBAB373" w14:textId="77777777" w:rsidR="00BE2443" w:rsidRDefault="00BE2443">
            <w:pPr>
              <w:pStyle w:val="TableText"/>
            </w:pPr>
            <w:r>
              <w:t>Mercury Spill Clean Up Procedure</w:t>
            </w:r>
          </w:p>
        </w:tc>
        <w:tc>
          <w:tcPr>
            <w:tcW w:w="2124" w:type="dxa"/>
          </w:tcPr>
          <w:p w14:paraId="4B82FCD9" w14:textId="77777777" w:rsidR="00BE2443" w:rsidRDefault="00BE2443">
            <w:pPr>
              <w:pStyle w:val="TableText"/>
            </w:pPr>
            <w:r w:rsidRPr="00EE2F87">
              <w:t>DPH</w:t>
            </w:r>
          </w:p>
        </w:tc>
        <w:tc>
          <w:tcPr>
            <w:tcW w:w="4899" w:type="dxa"/>
          </w:tcPr>
          <w:p w14:paraId="7B2AE1E7" w14:textId="448D9D75" w:rsidR="00BE2443" w:rsidRDefault="00BE2443">
            <w:pPr>
              <w:pStyle w:val="TableText"/>
            </w:pPr>
            <w:hyperlink r:id="rId367" w:history="1">
              <w:r w:rsidRPr="00277EBF">
                <w:rPr>
                  <w:rStyle w:val="Hyperlink"/>
                </w:rPr>
                <w:t>https://www.mass.gov/info-details/mercury-spill-clean-up-procedure</w:t>
              </w:r>
            </w:hyperlink>
            <w:r>
              <w:t xml:space="preserve"> </w:t>
            </w:r>
          </w:p>
        </w:tc>
      </w:tr>
    </w:tbl>
    <w:p w14:paraId="7DAE11CB" w14:textId="56DBCF7A" w:rsidR="008C1964" w:rsidRDefault="008C1964" w:rsidP="006D7DE6">
      <w:pPr>
        <w:pStyle w:val="BodyTextFirstIndent"/>
      </w:pPr>
    </w:p>
    <w:p w14:paraId="711F7274" w14:textId="6E3C2B36" w:rsidR="00FD43CA" w:rsidRDefault="00FD43CA" w:rsidP="001C7888">
      <w:pPr>
        <w:pStyle w:val="Heading2"/>
      </w:pPr>
      <w:bookmarkStart w:id="666" w:name="SectVII_2g"/>
      <w:bookmarkStart w:id="667" w:name="_Toc193116939"/>
      <w:bookmarkEnd w:id="666"/>
      <w:r>
        <w:lastRenderedPageBreak/>
        <w:t>Objective 2</w:t>
      </w:r>
      <w:r w:rsidR="008456C2">
        <w:t>g</w:t>
      </w:r>
      <w:r>
        <w:t xml:space="preserve">. </w:t>
      </w:r>
      <w:r w:rsidR="008456C2" w:rsidRPr="008456C2">
        <w:t>Safely Procure, Use, and Dispose of Crumb Rubber</w:t>
      </w:r>
      <w:bookmarkEnd w:id="667"/>
    </w:p>
    <w:p w14:paraId="484D4590" w14:textId="77777777" w:rsidR="004C7FE9" w:rsidRDefault="004C7FE9" w:rsidP="004C7FE9">
      <w:pPr>
        <w:pStyle w:val="Heading3"/>
      </w:pPr>
      <w:r>
        <w:t>Methods and Best Practices</w:t>
      </w:r>
    </w:p>
    <w:p w14:paraId="57727F13" w14:textId="70FED6DE" w:rsidR="004C7FE9" w:rsidRPr="00645F0D" w:rsidRDefault="004C7FE9" w:rsidP="006D7DE6">
      <w:pPr>
        <w:pStyle w:val="BodyTextFirstIndent"/>
      </w:pPr>
      <w:r>
        <w:t>This section summarizes the methods and best practices related to the procurement, use, and disposal of ATFs containing crumb rubber. The first section presents best practices for schools deciding whether to use an ATF and managing its use and disposal. The second section includes best practices for students, staff</w:t>
      </w:r>
      <w:r w:rsidR="009F3A90">
        <w:t xml:space="preserve"> members</w:t>
      </w:r>
      <w:r>
        <w:t>, coaches, and families who play or attend events on ATFs.</w:t>
      </w:r>
    </w:p>
    <w:p w14:paraId="5E81ECF8" w14:textId="0FA6C649" w:rsidR="004C7FE9" w:rsidRDefault="004C7FE9" w:rsidP="004C7FE9">
      <w:pPr>
        <w:pStyle w:val="Heading4"/>
      </w:pPr>
      <w:r>
        <w:t>Considerations and Practices for School Decision</w:t>
      </w:r>
      <w:r w:rsidR="00732E58">
        <w:t xml:space="preserve"> M</w:t>
      </w:r>
      <w:r>
        <w:t>akers and Field Maintenance Staff</w:t>
      </w:r>
    </w:p>
    <w:p w14:paraId="396CC39B" w14:textId="77777777" w:rsidR="004C7FE9" w:rsidRPr="00645F0D" w:rsidRDefault="004C7FE9" w:rsidP="006D7DE6">
      <w:pPr>
        <w:pStyle w:val="BodyTextFirstIndent"/>
      </w:pPr>
      <w:r>
        <w:t>This section discusses practices for schools deciding on whether or not to use ATFs and managing the use and disposal of an existing ATF.</w:t>
      </w:r>
    </w:p>
    <w:p w14:paraId="1C98DF29" w14:textId="77777777" w:rsidR="004C7FE9" w:rsidRDefault="004C7FE9" w:rsidP="004C7FE9">
      <w:pPr>
        <w:pStyle w:val="Heading5"/>
      </w:pPr>
      <w:r>
        <w:t xml:space="preserve">(1) </w:t>
      </w:r>
      <w:r w:rsidRPr="00417F5F">
        <w:t xml:space="preserve">Consider the </w:t>
      </w:r>
      <w:r>
        <w:t>p</w:t>
      </w:r>
      <w:r w:rsidRPr="00417F5F">
        <w:t xml:space="preserve">ros and </w:t>
      </w:r>
      <w:r>
        <w:t>c</w:t>
      </w:r>
      <w:r w:rsidRPr="00417F5F">
        <w:t>ons of ATF</w:t>
      </w:r>
      <w:r>
        <w:t>s</w:t>
      </w:r>
      <w:r w:rsidRPr="00417F5F">
        <w:t xml:space="preserve"> and </w:t>
      </w:r>
      <w:r>
        <w:t>n</w:t>
      </w:r>
      <w:r w:rsidRPr="00417F5F">
        <w:t xml:space="preserve">atural </w:t>
      </w:r>
      <w:r>
        <w:t>g</w:t>
      </w:r>
      <w:r w:rsidRPr="00417F5F">
        <w:t xml:space="preserve">rass when </w:t>
      </w:r>
      <w:r>
        <w:t>p</w:t>
      </w:r>
      <w:r w:rsidRPr="00417F5F">
        <w:t xml:space="preserve">lanning for </w:t>
      </w:r>
      <w:r>
        <w:t>f</w:t>
      </w:r>
      <w:r w:rsidRPr="00417F5F">
        <w:t xml:space="preserve">ield </w:t>
      </w:r>
      <w:r>
        <w:t>u</w:t>
      </w:r>
      <w:r w:rsidRPr="00417F5F">
        <w:t>pgrades</w:t>
      </w:r>
    </w:p>
    <w:p w14:paraId="2FB5F72C" w14:textId="00E99FC3" w:rsidR="004C7FE9" w:rsidRDefault="004C7FE9" w:rsidP="006D7DE6">
      <w:pPr>
        <w:pStyle w:val="BodyTextFirstIndent"/>
      </w:pPr>
      <w:r>
        <w:t>When considering whether to install an ATF or natural grass playing field, school decision</w:t>
      </w:r>
      <w:r w:rsidR="00732E58">
        <w:t xml:space="preserve"> </w:t>
      </w:r>
      <w:r>
        <w:t>makers should consider the pros and cons of each. Materials in the resources section below may be helpful. School leaders should consider the following factors: installation and maintenance costs</w:t>
      </w:r>
      <w:r w:rsidR="00F27680">
        <w:t>;</w:t>
      </w:r>
      <w:r>
        <w:t xml:space="preserve"> individuals responsible for field maintenance</w:t>
      </w:r>
      <w:r w:rsidR="00F27680">
        <w:t>;</w:t>
      </w:r>
      <w:r>
        <w:t xml:space="preserve"> lifespan</w:t>
      </w:r>
      <w:r w:rsidR="00F27680">
        <w:t>;</w:t>
      </w:r>
      <w:r>
        <w:t xml:space="preserve"> disposal cost of an ATF</w:t>
      </w:r>
      <w:r w:rsidR="00F27680">
        <w:t>;</w:t>
      </w:r>
      <w:r>
        <w:t xml:space="preserve"> amount of space available</w:t>
      </w:r>
      <w:r w:rsidR="00F27680">
        <w:t>;</w:t>
      </w:r>
      <w:r>
        <w:t xml:space="preserve"> the direction and flow of runoff</w:t>
      </w:r>
      <w:r w:rsidR="00F27680">
        <w:t>;</w:t>
      </w:r>
      <w:r>
        <w:t xml:space="preserve"> whether small children will often be at this field</w:t>
      </w:r>
      <w:r w:rsidR="00F27680">
        <w:t>;</w:t>
      </w:r>
      <w:r>
        <w:t xml:space="preserve"> the typical temperatures during the sports season</w:t>
      </w:r>
      <w:r w:rsidR="00F27680">
        <w:t>;</w:t>
      </w:r>
      <w:r>
        <w:t xml:space="preserve"> the possibility of the urban heat island effect increasing temperature</w:t>
      </w:r>
      <w:r w:rsidR="00F27680">
        <w:t>;</w:t>
      </w:r>
      <w:r>
        <w:t xml:space="preserve"> </w:t>
      </w:r>
      <w:r w:rsidR="006306F8">
        <w:t xml:space="preserve">the </w:t>
      </w:r>
      <w:r>
        <w:t>amount of use needed</w:t>
      </w:r>
      <w:r w:rsidR="006306F8">
        <w:t>;</w:t>
      </w:r>
      <w:r>
        <w:t xml:space="preserve"> and the availability of alternative fields if it rains. While some municipalities have banned ATFs, no statutes or regulations address ATFs at the state level; however, the Toxics Use Reduction Institute at UMass Lowell has </w:t>
      </w:r>
      <w:r w:rsidRPr="00455210">
        <w:t>identified organically managed natural grass as a safer alternative for sports surfaces.</w:t>
      </w:r>
      <w:r>
        <w:fldChar w:fldCharType="begin"/>
      </w:r>
      <w:r w:rsidR="009640B0">
        <w:instrText xml:space="preserve"> ADDIN ZOTERO_ITEM CSL_CITATION {"citationID":"uAODuTMr","properties":{"formattedCitation":"\\super 138,372\\nosupersub{}","plainCitation":"138,372","noteIndex":0},"citationItems":[{"id":885,"uris":["http://zotero.org/groups/5563646/items/8GYMKMCI"],"itemData":{"id":885,"type":"report","event-place":"Lowell, MA","publisher":"University of Massachusetts Lowell","publisher-place":"Lowell, MA","title":"Athletic Playing Fields: Choosing Safer Options for Health and the Environment","URL":"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author":[{"family":"Toxic Use Reduction Institute (TURI)","given":""}],"accessed":{"date-parts":[["2024",7,25]]},"issued":{"date-parts":[["2019",4]]}}},{"id":988,"uris":["http://zotero.org/groups/5563646/items/R6ZGK86E"],"itemData":{"id":988,"type":"report","event-place":"Lowell,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fldChar w:fldCharType="separate"/>
      </w:r>
      <w:r w:rsidR="009640B0" w:rsidRPr="009640B0">
        <w:rPr>
          <w:rFonts w:ascii="Calibri" w:hAnsi="Calibri" w:cs="Calibri"/>
          <w:sz w:val="22"/>
          <w:vertAlign w:val="superscript"/>
        </w:rPr>
        <w:t>138,372</w:t>
      </w:r>
      <w:r>
        <w:fldChar w:fldCharType="end"/>
      </w:r>
      <w:r w:rsidRPr="000C7215">
        <w:t xml:space="preserve"> </w:t>
      </w:r>
    </w:p>
    <w:p w14:paraId="72D80D33" w14:textId="77777777" w:rsidR="004C7FE9" w:rsidRPr="003C09B8" w:rsidRDefault="004C7FE9" w:rsidP="004C7FE9">
      <w:pPr>
        <w:pStyle w:val="Heading5"/>
      </w:pPr>
      <w:r>
        <w:t xml:space="preserve">(2) </w:t>
      </w:r>
      <w:r w:rsidRPr="003C09B8">
        <w:t xml:space="preserve">Plan for and </w:t>
      </w:r>
      <w:r>
        <w:t>implement</w:t>
      </w:r>
      <w:r w:rsidRPr="003C09B8">
        <w:t xml:space="preserve"> </w:t>
      </w:r>
      <w:r>
        <w:t>routine</w:t>
      </w:r>
      <w:r w:rsidRPr="003C09B8">
        <w:t xml:space="preserve"> </w:t>
      </w:r>
      <w:r>
        <w:t>ATF m</w:t>
      </w:r>
      <w:r w:rsidRPr="003C09B8">
        <w:t>aintenance</w:t>
      </w:r>
    </w:p>
    <w:p w14:paraId="657F62E6" w14:textId="65BC9DB7" w:rsidR="004C7FE9" w:rsidRDefault="004C7FE9" w:rsidP="006D7DE6">
      <w:pPr>
        <w:pStyle w:val="BodyTextFirstIndent"/>
      </w:pPr>
      <w:r>
        <w:t>If a school has an ATF, it is essential to plan for and maintain it to keep it safe for students</w:t>
      </w:r>
      <w:r w:rsidR="00530AE8">
        <w:t>, staff</w:t>
      </w:r>
      <w:r w:rsidR="006306F8">
        <w:t xml:space="preserve"> members</w:t>
      </w:r>
      <w:r w:rsidR="00530AE8">
        <w:t>,</w:t>
      </w:r>
      <w:r>
        <w:t xml:space="preserve"> and the environment. M</w:t>
      </w:r>
      <w:r w:rsidRPr="00831CE9">
        <w:t>aintenance</w:t>
      </w:r>
      <w:r>
        <w:t xml:space="preserve"> may</w:t>
      </w:r>
      <w:r w:rsidRPr="00831CE9">
        <w:t xml:space="preserve"> include </w:t>
      </w:r>
      <w:r>
        <w:t xml:space="preserve">disinfection; </w:t>
      </w:r>
      <w:r w:rsidRPr="00831CE9">
        <w:t>seam</w:t>
      </w:r>
      <w:r w:rsidRPr="009D3663">
        <w:t xml:space="preserve"> </w:t>
      </w:r>
      <w:r>
        <w:t xml:space="preserve">repairs; </w:t>
      </w:r>
      <w:r w:rsidRPr="00831CE9">
        <w:t>watering to lower temperatures on hot days</w:t>
      </w:r>
      <w:r>
        <w:t>; and fluffing, redistributing, shock testing, and replacing infill.</w:t>
      </w:r>
      <w:r>
        <w:fldChar w:fldCharType="begin"/>
      </w:r>
      <w:r w:rsidR="00013DD8">
        <w:instrText xml:space="preserve"> ADDIN ZOTERO_ITEM CSL_CITATION {"citationID":"RVof1vKL","properties":{"formattedCitation":"\\super 372\\nosupersub{}","plainCitation":"372","noteIndex":0},"citationItems":[{"id":988,"uris":["http://zotero.org/groups/5563646/items/R6ZGK86E"],"itemData":{"id":988,"type":"report","event-place":"Lowell,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fldChar w:fldCharType="separate"/>
      </w:r>
      <w:r w:rsidR="00013DD8" w:rsidRPr="00013DD8">
        <w:rPr>
          <w:rFonts w:ascii="Calibri" w:hAnsi="Calibri" w:cs="Calibri"/>
          <w:sz w:val="22"/>
          <w:vertAlign w:val="superscript"/>
        </w:rPr>
        <w:t>372</w:t>
      </w:r>
      <w:r>
        <w:fldChar w:fldCharType="end"/>
      </w:r>
      <w:r>
        <w:t xml:space="preserve"> Over time, the shock absorbency of ATFs declines, meaning older turf can be less forgiving on joints and upon impact.</w:t>
      </w:r>
      <w:r>
        <w:fldChar w:fldCharType="begin"/>
      </w:r>
      <w:r w:rsidR="009D679E">
        <w:instrText xml:space="preserve"> ADDIN ZOTERO_ITEM CSL_CITATION {"citationID":"njjEcOrS","properties":{"formattedCitation":"\\super 139,372\\nosupersub{}","plainCitation":"139,372","noteIndex":0},"citationItems":[{"id":889,"uris":["http://zotero.org/groups/5563646/items/7EAIFFGY"],"itemData":{"id":889,"type":"article-newspaper","container-title":"The Boston Globe","language":"en","source":"Zotero","title":"Aging artificial turf fields may carry risk of head injuries","URL":"https://www.bostonglobe.com/2022/09/24/metro/aging-artificial-turf-fields-may-carry-risk-head-injuries/?p1=Article_Inline_Text_Link","author":[{"family":"Lazar","given":"Kay"}],"issued":{"date-parts":[["2022",9,24]]}}},{"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fldChar w:fldCharType="separate"/>
      </w:r>
      <w:r w:rsidR="009D679E" w:rsidRPr="009D679E">
        <w:rPr>
          <w:rFonts w:ascii="Calibri" w:hAnsi="Calibri" w:cs="Calibri"/>
          <w:sz w:val="22"/>
          <w:vertAlign w:val="superscript"/>
        </w:rPr>
        <w:t>139,372</w:t>
      </w:r>
      <w:r>
        <w:fldChar w:fldCharType="end"/>
      </w:r>
      <w:r>
        <w:t xml:space="preserve"> Regular maintenance and repair can help reduce the extent to which an ATF may contribute to injuries.</w:t>
      </w:r>
    </w:p>
    <w:p w14:paraId="6301F7AE" w14:textId="1E352D2A" w:rsidR="004C7FE9" w:rsidRPr="00CD21FC" w:rsidRDefault="004C7FE9" w:rsidP="004C7FE9">
      <w:pPr>
        <w:pStyle w:val="Heading5"/>
      </w:pPr>
      <w:r>
        <w:t xml:space="preserve">(3) </w:t>
      </w:r>
      <w:r w:rsidRPr="00CD21FC">
        <w:t xml:space="preserve">Plan for and </w:t>
      </w:r>
      <w:r>
        <w:t>conduct</w:t>
      </w:r>
      <w:r w:rsidRPr="00CD21FC">
        <w:t xml:space="preserve"> </w:t>
      </w:r>
      <w:r>
        <w:t>p</w:t>
      </w:r>
      <w:r w:rsidRPr="00CD21FC">
        <w:t xml:space="preserve">roper </w:t>
      </w:r>
      <w:r>
        <w:t>d</w:t>
      </w:r>
      <w:r w:rsidRPr="00CD21FC">
        <w:t>isposal of ATF</w:t>
      </w:r>
      <w:r>
        <w:t>s</w:t>
      </w:r>
      <w:r w:rsidRPr="00CD21FC">
        <w:t xml:space="preserve"> at </w:t>
      </w:r>
      <w:r w:rsidR="003443F0">
        <w:t>the</w:t>
      </w:r>
      <w:r w:rsidR="00550BC1">
        <w:t xml:space="preserve"> </w:t>
      </w:r>
      <w:r>
        <w:t>e</w:t>
      </w:r>
      <w:r w:rsidRPr="00CD21FC">
        <w:t xml:space="preserve">nd of </w:t>
      </w:r>
      <w:r w:rsidR="00550BC1">
        <w:t xml:space="preserve">their </w:t>
      </w:r>
      <w:r>
        <w:t>l</w:t>
      </w:r>
      <w:r w:rsidRPr="00CD21FC">
        <w:t xml:space="preserve">ifespan </w:t>
      </w:r>
    </w:p>
    <w:p w14:paraId="5D87BE27" w14:textId="540C76EC" w:rsidR="004C7FE9" w:rsidRDefault="004C7FE9" w:rsidP="006D7DE6">
      <w:pPr>
        <w:pStyle w:val="BodyTextFirstIndent"/>
      </w:pPr>
      <w:r>
        <w:t xml:space="preserve">Any school district that has an ATF or is planning to install one should plan for end-of-life disposal and the associated costs. Most municipalities have contractual arrangements with waste haulers, but those contracts may have restrictions on the types or volumes of waste. Disposal costs for ATFs will vary by waste contractor but </w:t>
      </w:r>
      <w:r>
        <w:lastRenderedPageBreak/>
        <w:t>may be substantial due to the size of an ATF. Improperly discarded ATF materials have been found in Massachusetts and have contaminated nearby streams with crumb rubber pellets and leached chemicals.</w:t>
      </w:r>
      <w:r>
        <w:fldChar w:fldCharType="begin"/>
      </w:r>
      <w:r w:rsidR="000634AF">
        <w:instrText xml:space="preserve"> ADDIN ZOTERO_ITEM CSL_CITATION {"citationID":"n2LvErWy","properties":{"formattedCitation":"\\super 373\\nosupersub{}","plainCitation":"373","noteIndex":0},"citationItems":[{"id":886,"uris":["http://zotero.org/groups/5563646/items/IQWEMIAU"],"itemData":{"id":886,"type":"article-newspaper","container-title":"The Boston Globe","language":"en","source":"Zotero","title":"Toxic chemicals are found in blades of artificial turf","URL":"https://www.bostonglobe.com/metro/2019/10/09/toxic-chemicals-found-blades-artificial-turf/1mlVxXjzCAqRahwgXtfy6K/story.html","author":[{"family":"Abel","given":"David"}],"issued":{"date-parts":[["2019",10,19]]}}}],"schema":"https://github.com/citation-style-language/schema/raw/master/csl-citation.json"} </w:instrText>
      </w:r>
      <w:r>
        <w:fldChar w:fldCharType="separate"/>
      </w:r>
      <w:r w:rsidR="000634AF" w:rsidRPr="000634AF">
        <w:rPr>
          <w:rFonts w:ascii="Calibri" w:hAnsi="Calibri" w:cs="Calibri"/>
          <w:sz w:val="22"/>
          <w:vertAlign w:val="superscript"/>
        </w:rPr>
        <w:t>373</w:t>
      </w:r>
      <w:r>
        <w:fldChar w:fldCharType="end"/>
      </w:r>
    </w:p>
    <w:p w14:paraId="3B96C63E" w14:textId="38B2148D" w:rsidR="004C7FE9" w:rsidRDefault="004C7FE9" w:rsidP="004C7FE9">
      <w:pPr>
        <w:pStyle w:val="Heading4"/>
      </w:pPr>
      <w:r>
        <w:t>Considerations and Practices for S</w:t>
      </w:r>
      <w:r w:rsidRPr="005961BD">
        <w:t xml:space="preserve">tudents, </w:t>
      </w:r>
      <w:r>
        <w:t>S</w:t>
      </w:r>
      <w:r w:rsidRPr="005961BD">
        <w:t>taff</w:t>
      </w:r>
      <w:r w:rsidR="00550BC1">
        <w:t xml:space="preserve"> Members</w:t>
      </w:r>
      <w:r w:rsidRPr="005961BD">
        <w:t xml:space="preserve">, and </w:t>
      </w:r>
      <w:r>
        <w:t>F</w:t>
      </w:r>
      <w:r w:rsidRPr="005961BD">
        <w:t xml:space="preserve">amilies </w:t>
      </w:r>
      <w:r>
        <w:t>P</w:t>
      </w:r>
      <w:r w:rsidRPr="005961BD">
        <w:t>laying on ATF</w:t>
      </w:r>
      <w:r>
        <w:t>s</w:t>
      </w:r>
    </w:p>
    <w:p w14:paraId="22401DD4" w14:textId="5DC2AE00" w:rsidR="004C7FE9" w:rsidRPr="00645F0D" w:rsidRDefault="004C7FE9" w:rsidP="006D7DE6">
      <w:pPr>
        <w:pStyle w:val="BodyTextFirstIndent"/>
      </w:pPr>
      <w:r>
        <w:t>Best practices discussed in this section apply to students, staff</w:t>
      </w:r>
      <w:r w:rsidR="00550BC1">
        <w:t xml:space="preserve"> members</w:t>
      </w:r>
      <w:r>
        <w:t xml:space="preserve">, coaches, families, and school leaders when using ATFs for sporting events. </w:t>
      </w:r>
    </w:p>
    <w:p w14:paraId="10C517AC" w14:textId="77777777" w:rsidR="004C7FE9" w:rsidRPr="00FB1A9D" w:rsidRDefault="004C7FE9" w:rsidP="004C7FE9">
      <w:pPr>
        <w:pStyle w:val="Heading5"/>
      </w:pPr>
      <w:r>
        <w:t xml:space="preserve">(4) </w:t>
      </w:r>
      <w:r w:rsidRPr="00FB1A9D">
        <w:t xml:space="preserve">Wear </w:t>
      </w:r>
      <w:r>
        <w:t>s</w:t>
      </w:r>
      <w:r w:rsidRPr="00FB1A9D">
        <w:t>hoes on ATF</w:t>
      </w:r>
      <w:r>
        <w:t>s</w:t>
      </w:r>
      <w:r w:rsidRPr="00FB1A9D">
        <w:t xml:space="preserve"> at </w:t>
      </w:r>
      <w:r>
        <w:t>a</w:t>
      </w:r>
      <w:r w:rsidRPr="00FB1A9D">
        <w:t xml:space="preserve">ll </w:t>
      </w:r>
      <w:r>
        <w:t>t</w:t>
      </w:r>
      <w:r w:rsidRPr="00FB1A9D">
        <w:t xml:space="preserve">imes </w:t>
      </w:r>
    </w:p>
    <w:p w14:paraId="7429EA29" w14:textId="5D8A0D92" w:rsidR="004C7FE9" w:rsidRDefault="004C7FE9" w:rsidP="006D7DE6">
      <w:pPr>
        <w:pStyle w:val="BodyTextFirstIndent"/>
      </w:pPr>
      <w:r>
        <w:t>Wearing shoes eliminates dermal exposure to ATFs, which occurs when barefoot.</w:t>
      </w:r>
      <w:r w:rsidRPr="00F65213">
        <w:fldChar w:fldCharType="begin"/>
      </w:r>
      <w:r w:rsidR="00872ACA">
        <w:instrText xml:space="preserve"> ADDIN ZOTERO_ITEM CSL_CITATION {"citationID":"pTaISzSm","properties":{"formattedCitation":"\\super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Pr="00F65213">
        <w:fldChar w:fldCharType="separate"/>
      </w:r>
      <w:r w:rsidR="00872ACA" w:rsidRPr="00872ACA">
        <w:rPr>
          <w:rFonts w:ascii="Calibri" w:hAnsi="Calibri" w:cs="Calibri"/>
          <w:sz w:val="22"/>
          <w:vertAlign w:val="superscript"/>
        </w:rPr>
        <w:t>137</w:t>
      </w:r>
      <w:r w:rsidRPr="00F65213">
        <w:fldChar w:fldCharType="end"/>
      </w:r>
      <w:r>
        <w:t xml:space="preserve"> It also reduces the likelihood of getting crumb rubber stuck between the toes and tracking it into the home. This applies to students playing on the field, friends, family, and especially to any young children attending a sporting event.</w:t>
      </w:r>
    </w:p>
    <w:p w14:paraId="07092E72" w14:textId="77777777" w:rsidR="004C7FE9" w:rsidRPr="00B54A05" w:rsidRDefault="004C7FE9" w:rsidP="004C7FE9">
      <w:pPr>
        <w:pStyle w:val="Heading5"/>
      </w:pPr>
      <w:r>
        <w:t xml:space="preserve">(5) </w:t>
      </w:r>
      <w:r w:rsidRPr="00B54A05">
        <w:t xml:space="preserve">Do </w:t>
      </w:r>
      <w:r>
        <w:t>n</w:t>
      </w:r>
      <w:r w:rsidRPr="00B54A05">
        <w:t xml:space="preserve">ot </w:t>
      </w:r>
      <w:r>
        <w:t>s</w:t>
      </w:r>
      <w:r w:rsidRPr="00B54A05">
        <w:t xml:space="preserve">wallow or </w:t>
      </w:r>
      <w:r>
        <w:t>a</w:t>
      </w:r>
      <w:r w:rsidRPr="00B54A05">
        <w:t xml:space="preserve">llow </w:t>
      </w:r>
      <w:r>
        <w:t>s</w:t>
      </w:r>
      <w:r w:rsidRPr="00B54A05">
        <w:t xml:space="preserve">mall </w:t>
      </w:r>
      <w:r>
        <w:t>c</w:t>
      </w:r>
      <w:r w:rsidRPr="00B54A05">
        <w:t xml:space="preserve">hildren to </w:t>
      </w:r>
      <w:r>
        <w:t>s</w:t>
      </w:r>
      <w:r w:rsidRPr="00B54A05">
        <w:t xml:space="preserve">wallow </w:t>
      </w:r>
      <w:r>
        <w:t>c</w:t>
      </w:r>
      <w:r w:rsidRPr="00B54A05">
        <w:t xml:space="preserve">rumb </w:t>
      </w:r>
      <w:r>
        <w:t>r</w:t>
      </w:r>
      <w:r w:rsidRPr="00B54A05">
        <w:t xml:space="preserve">ubber </w:t>
      </w:r>
    </w:p>
    <w:p w14:paraId="06476F29" w14:textId="65DE85A5" w:rsidR="004C7FE9" w:rsidRPr="00AD3555" w:rsidRDefault="009147A2" w:rsidP="006D7DE6">
      <w:pPr>
        <w:pStyle w:val="BodyTextFirstIndent"/>
      </w:pPr>
      <w:r>
        <w:t>S</w:t>
      </w:r>
      <w:r w:rsidR="004C7FE9" w:rsidRPr="00AD3555">
        <w:t>tudents, staff</w:t>
      </w:r>
      <w:r w:rsidR="00F028B8">
        <w:t xml:space="preserve"> members</w:t>
      </w:r>
      <w:r w:rsidR="004C7FE9" w:rsidRPr="00AD3555">
        <w:t xml:space="preserve">, and spectators </w:t>
      </w:r>
      <w:r>
        <w:t>should</w:t>
      </w:r>
      <w:r w:rsidR="004C7FE9" w:rsidRPr="00AD3555">
        <w:t xml:space="preserve"> not swallow crumb rubber that accidentally enters the mouth.</w:t>
      </w:r>
      <w:r w:rsidR="004C7FE9" w:rsidRPr="00AD3555">
        <w:fldChar w:fldCharType="begin"/>
      </w:r>
      <w:r w:rsidR="00293708">
        <w:instrText xml:space="preserve"> ADDIN ZOTERO_ITEM CSL_CITATION {"citationID":"f35ZlKlg","properties":{"formattedCitation":"\\super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004C7FE9" w:rsidRPr="00AD3555">
        <w:fldChar w:fldCharType="separate"/>
      </w:r>
      <w:r w:rsidR="00293708" w:rsidRPr="00293708">
        <w:rPr>
          <w:rFonts w:cs="Arial"/>
          <w:vertAlign w:val="superscript"/>
        </w:rPr>
        <w:t>137</w:t>
      </w:r>
      <w:r w:rsidR="004C7FE9" w:rsidRPr="00AD3555">
        <w:fldChar w:fldCharType="end"/>
      </w:r>
      <w:r w:rsidR="004C7FE9" w:rsidRPr="00AD3555">
        <w:t xml:space="preserve"> If students playing on </w:t>
      </w:r>
      <w:r w:rsidR="004C7FE9">
        <w:t xml:space="preserve">an </w:t>
      </w:r>
      <w:r w:rsidR="004C7FE9" w:rsidRPr="00AD3555">
        <w:t xml:space="preserve">ATF fall and get crumb rubber or plastic grass particles in their mouths, encourage them to spit </w:t>
      </w:r>
      <w:r w:rsidR="004C7FE9">
        <w:t>it</w:t>
      </w:r>
      <w:r w:rsidR="004C7FE9" w:rsidRPr="00AD3555">
        <w:t xml:space="preserve"> out. Monitor young children on ATF</w:t>
      </w:r>
      <w:r w:rsidR="004C7FE9">
        <w:t>s</w:t>
      </w:r>
      <w:r w:rsidR="004C7FE9" w:rsidRPr="00AD3555">
        <w:t xml:space="preserve"> to </w:t>
      </w:r>
      <w:r w:rsidR="00DB1070">
        <w:t>prevent them from</w:t>
      </w:r>
      <w:r w:rsidR="004C7FE9" w:rsidRPr="00AD3555">
        <w:t xml:space="preserve"> swallow</w:t>
      </w:r>
      <w:r w:rsidR="00DB1070">
        <w:t>ing</w:t>
      </w:r>
      <w:r w:rsidR="004C7FE9" w:rsidRPr="00AD3555">
        <w:t xml:space="preserve"> or pick</w:t>
      </w:r>
      <w:r w:rsidR="00DB1070">
        <w:t>ing</w:t>
      </w:r>
      <w:r w:rsidR="004C7FE9" w:rsidRPr="00AD3555">
        <w:t xml:space="preserve"> up crumb rubber particles.</w:t>
      </w:r>
    </w:p>
    <w:p w14:paraId="7D801DA8" w14:textId="77777777" w:rsidR="004C7FE9" w:rsidRPr="00CA40A1" w:rsidRDefault="004C7FE9" w:rsidP="004C7FE9">
      <w:pPr>
        <w:pStyle w:val="Heading5"/>
      </w:pPr>
      <w:r>
        <w:t xml:space="preserve">(6) </w:t>
      </w:r>
      <w:r w:rsidRPr="00CA40A1">
        <w:t xml:space="preserve">Increase </w:t>
      </w:r>
      <w:r>
        <w:t>v</w:t>
      </w:r>
      <w:r w:rsidRPr="00CA40A1">
        <w:t xml:space="preserve">entilation at </w:t>
      </w:r>
      <w:r>
        <w:t>i</w:t>
      </w:r>
      <w:r w:rsidRPr="00CA40A1">
        <w:t xml:space="preserve">ndoor ATF </w:t>
      </w:r>
      <w:r>
        <w:t>f</w:t>
      </w:r>
      <w:r w:rsidRPr="00CA40A1">
        <w:t xml:space="preserve">acilities </w:t>
      </w:r>
    </w:p>
    <w:p w14:paraId="36FEA4DA" w14:textId="508D0463" w:rsidR="004C7FE9" w:rsidRDefault="004C7FE9" w:rsidP="006D7DE6">
      <w:pPr>
        <w:pStyle w:val="BodyTextFirstIndent"/>
      </w:pPr>
      <w:r>
        <w:t>I</w:t>
      </w:r>
      <w:r w:rsidRPr="00A12B81">
        <w:t xml:space="preserve">f </w:t>
      </w:r>
      <w:r>
        <w:t xml:space="preserve">an </w:t>
      </w:r>
      <w:r w:rsidRPr="00A12B81">
        <w:t xml:space="preserve">ATF </w:t>
      </w:r>
      <w:r>
        <w:t>is</w:t>
      </w:r>
      <w:r w:rsidRPr="00A12B81">
        <w:t xml:space="preserve"> </w:t>
      </w:r>
      <w:r>
        <w:t xml:space="preserve">located </w:t>
      </w:r>
      <w:r w:rsidRPr="00A12B81">
        <w:t xml:space="preserve">indoors, increase ventilation if possible </w:t>
      </w:r>
      <w:r>
        <w:t>by</w:t>
      </w:r>
      <w:r w:rsidRPr="00A12B81">
        <w:t xml:space="preserve"> opening windows and doors, turning on fans, and circulating air with outdoor air.</w:t>
      </w:r>
      <w:r w:rsidRPr="00A12B81">
        <w:rPr>
          <w:b/>
          <w:bCs/>
        </w:rPr>
        <w:fldChar w:fldCharType="begin"/>
      </w:r>
      <w:r w:rsidR="00767979">
        <w:rPr>
          <w:b/>
          <w:bCs/>
        </w:rPr>
        <w:instrText xml:space="preserve"> ADDIN ZOTERO_ITEM CSL_CITATION {"citationID":"rnDcqjhN","properties":{"formattedCitation":"\\super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Pr="00A12B81">
        <w:rPr>
          <w:b/>
          <w:bCs/>
        </w:rPr>
        <w:fldChar w:fldCharType="separate"/>
      </w:r>
      <w:r w:rsidR="00767979" w:rsidRPr="00767979">
        <w:rPr>
          <w:rFonts w:cs="Arial"/>
          <w:vertAlign w:val="superscript"/>
        </w:rPr>
        <w:t>137</w:t>
      </w:r>
      <w:r w:rsidRPr="00A12B81">
        <w:fldChar w:fldCharType="end"/>
      </w:r>
      <w:r w:rsidRPr="00A12B81">
        <w:rPr>
          <w:b/>
          <w:bCs/>
        </w:rPr>
        <w:t xml:space="preserve"> </w:t>
      </w:r>
      <w:r w:rsidRPr="002E4A7A">
        <w:t>Indoor use of an</w:t>
      </w:r>
      <w:r>
        <w:rPr>
          <w:b/>
          <w:bCs/>
        </w:rPr>
        <w:t xml:space="preserve"> </w:t>
      </w:r>
      <w:r w:rsidRPr="00A12B81">
        <w:t>ATF</w:t>
      </w:r>
      <w:r>
        <w:t xml:space="preserve"> </w:t>
      </w:r>
      <w:r w:rsidRPr="00A12B81">
        <w:t xml:space="preserve">is </w:t>
      </w:r>
      <w:r>
        <w:t xml:space="preserve">generally </w:t>
      </w:r>
      <w:r w:rsidRPr="00A12B81">
        <w:t xml:space="preserve">thought to retain VOCs, SVOCs, or microplastic particles emitted by </w:t>
      </w:r>
      <w:r>
        <w:t xml:space="preserve">the </w:t>
      </w:r>
      <w:r w:rsidRPr="00A12B81">
        <w:t>ATF closer to the ground level where students play compared to outdoors where emissions are dissipated.</w:t>
      </w:r>
    </w:p>
    <w:p w14:paraId="62070B8C" w14:textId="77777777" w:rsidR="004C7FE9" w:rsidRPr="006B2EDE" w:rsidRDefault="004C7FE9" w:rsidP="004C7FE9">
      <w:pPr>
        <w:pStyle w:val="Heading5"/>
      </w:pPr>
      <w:r>
        <w:t>(7) Raise awareness of and protect against extreme heat exposure</w:t>
      </w:r>
    </w:p>
    <w:p w14:paraId="4352D738" w14:textId="359222A1" w:rsidR="004C7FE9" w:rsidRPr="004A2882" w:rsidRDefault="004C7FE9" w:rsidP="006D7DE6">
      <w:pPr>
        <w:pStyle w:val="BodyTextFirstIndent"/>
      </w:pPr>
      <w:r w:rsidRPr="004A2882">
        <w:t xml:space="preserve">In sunny, warm weather, the temperature of </w:t>
      </w:r>
      <w:r>
        <w:t xml:space="preserve">an </w:t>
      </w:r>
      <w:r w:rsidRPr="004A2882">
        <w:t xml:space="preserve">ATF can be much hotter than the temperature </w:t>
      </w:r>
      <w:r>
        <w:t xml:space="preserve">of </w:t>
      </w:r>
      <w:r w:rsidRPr="004A2882">
        <w:t>the air o</w:t>
      </w:r>
      <w:r>
        <w:t>n</w:t>
      </w:r>
      <w:r w:rsidRPr="004A2882">
        <w:t xml:space="preserve"> natural grass fields, </w:t>
      </w:r>
      <w:r>
        <w:t>causing it to act</w:t>
      </w:r>
      <w:r w:rsidRPr="004A2882">
        <w:t xml:space="preserve"> as a heat island.</w:t>
      </w:r>
      <w:r w:rsidRPr="004A2882">
        <w:rPr>
          <w:b/>
          <w:bCs/>
        </w:rPr>
        <w:fldChar w:fldCharType="begin"/>
      </w:r>
      <w:r w:rsidR="008C781D">
        <w:rPr>
          <w:b/>
          <w:bCs/>
        </w:rPr>
        <w:instrText xml:space="preserve"> ADDIN ZOTERO_ITEM CSL_CITATION {"citationID":"rAPmYKih","properties":{"formattedCitation":"\\super 137,374\\nosupersub{}","plainCitation":"137,374","noteIndex":0},"citationItems":[{"id":891,"uris":["http://zotero.org/groups/5563646/items/U5U9L3HZ"],"itemData":{"id":891,"type":"webpage","abstract":"See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Health","given":""}],"accessed":{"date-parts":[["2024",7,25]]},"issued":{"date-parts":[["2020",6]]}}},{"id":890,"uris":["http://zotero.org/groups/5563646/items/66MBIJ9I"],"itemData":{"id":890,"type":"article-newspaper","container-title":"The Boston Globe","language":"en","source":"Zotero","title":"Artificial turf replacement sparks PFAS concerns in Newton","URL":"https://www.bostonglobe.com/2023/08/03/science/artificial-turf/","author":[{"family":"Raza","given":"Sarah"}],"issued":{"date-parts":[["2023",8,3]]}}}],"schema":"https://github.com/citation-style-language/schema/raw/master/csl-citation.json"} </w:instrText>
      </w:r>
      <w:r w:rsidRPr="004A2882">
        <w:rPr>
          <w:b/>
          <w:bCs/>
        </w:rPr>
        <w:fldChar w:fldCharType="separate"/>
      </w:r>
      <w:r w:rsidR="008C781D" w:rsidRPr="008C781D">
        <w:rPr>
          <w:rFonts w:cs="Arial"/>
          <w:vertAlign w:val="superscript"/>
        </w:rPr>
        <w:t>137,374</w:t>
      </w:r>
      <w:r w:rsidRPr="004A2882">
        <w:fldChar w:fldCharType="end"/>
      </w:r>
      <w:r w:rsidRPr="004A2882">
        <w:t xml:space="preserve"> The hot temperature of </w:t>
      </w:r>
      <w:r>
        <w:t xml:space="preserve">an </w:t>
      </w:r>
      <w:r w:rsidRPr="004A2882">
        <w:t xml:space="preserve">ATF can burn skin, damage equipment, and increase </w:t>
      </w:r>
      <w:r>
        <w:t xml:space="preserve">the </w:t>
      </w:r>
      <w:r w:rsidRPr="004A2882">
        <w:t>risk of heat-related illness.</w:t>
      </w:r>
      <w:r w:rsidRPr="004A2882">
        <w:fldChar w:fldCharType="begin"/>
      </w:r>
      <w:r w:rsidR="0084478D">
        <w:instrText xml:space="preserve"> ADDIN ZOTERO_ITEM CSL_CITATION {"citationID":"bsvQZSY7","properties":{"formattedCitation":"\\super 372\\nosupersub{}","plainCitation":"372","noteIndex":0},"citationItems":[{"id":988,"uris":["http://zotero.org/groups/5563646/items/R6ZGK86E"],"itemData":{"id":988,"type":"report","event-place":"Lowell,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rsidRPr="004A2882">
        <w:fldChar w:fldCharType="separate"/>
      </w:r>
      <w:r w:rsidR="0084478D" w:rsidRPr="0084478D">
        <w:rPr>
          <w:rFonts w:cs="Arial"/>
          <w:vertAlign w:val="superscript"/>
        </w:rPr>
        <w:t>372</w:t>
      </w:r>
      <w:r w:rsidRPr="004A2882">
        <w:fldChar w:fldCharType="end"/>
      </w:r>
      <w:r w:rsidRPr="004A2882">
        <w:t xml:space="preserve"> There are several methods to determine </w:t>
      </w:r>
      <w:r>
        <w:t xml:space="preserve">the </w:t>
      </w:r>
      <w:r w:rsidRPr="004A2882">
        <w:t>temperature around ATF</w:t>
      </w:r>
      <w:r>
        <w:t>s</w:t>
      </w:r>
      <w:r w:rsidRPr="004A2882">
        <w:t xml:space="preserve">. One heat metric, wet bulb globe temperature (WBGT), accounts for ambient air temperature, relative humidity, wind, and solar radiation, which can be </w:t>
      </w:r>
      <w:r>
        <w:t>help</w:t>
      </w:r>
      <w:r w:rsidRPr="004A2882">
        <w:t>ful given that solar radiation heats ATF</w:t>
      </w:r>
      <w:r>
        <w:t>s</w:t>
      </w:r>
      <w:r w:rsidRPr="004A2882">
        <w:t xml:space="preserve">. The Massachusetts Interscholastic Athletic Association 2019 heat policy is based on WBGT. However, WBGT does not capture the temperature of </w:t>
      </w:r>
      <w:r>
        <w:t xml:space="preserve">an </w:t>
      </w:r>
      <w:r w:rsidRPr="004A2882">
        <w:t xml:space="preserve">ATF itself, so athletic staff may also want to measure the temperature of </w:t>
      </w:r>
      <w:r>
        <w:t xml:space="preserve">the </w:t>
      </w:r>
      <w:r w:rsidRPr="004A2882">
        <w:t>ATF directly.</w:t>
      </w:r>
      <w:r w:rsidRPr="004A2882">
        <w:fldChar w:fldCharType="begin"/>
      </w:r>
      <w:r w:rsidR="00643E0F">
        <w:instrText xml:space="preserve"> ADDIN ZOTERO_ITEM CSL_CITATION {"citationID":"IX3yTM6Z","properties":{"formattedCitation":"\\super 372\\nosupersub{}","plainCitation":"372","noteIndex":0},"citationItems":[{"id":988,"uris":["http://zotero.org/groups/5563646/items/R6ZGK86E"],"itemData":{"id":988,"type":"report","event-place":"Lowell,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rsidRPr="004A2882">
        <w:fldChar w:fldCharType="separate"/>
      </w:r>
      <w:r w:rsidR="00643E0F" w:rsidRPr="00643E0F">
        <w:rPr>
          <w:rFonts w:cs="Arial"/>
          <w:vertAlign w:val="superscript"/>
        </w:rPr>
        <w:t>372</w:t>
      </w:r>
      <w:r w:rsidRPr="004A2882">
        <w:fldChar w:fldCharType="end"/>
      </w:r>
    </w:p>
    <w:p w14:paraId="5C17659F" w14:textId="1421A02E" w:rsidR="004C7FE9" w:rsidRDefault="004C7FE9" w:rsidP="006D7DE6">
      <w:pPr>
        <w:pStyle w:val="BodyTextFirstIndent"/>
      </w:pPr>
      <w:r w:rsidRPr="004A2882">
        <w:t>Coaches and other staff should be educated about recogniz</w:t>
      </w:r>
      <w:r>
        <w:t>ing</w:t>
      </w:r>
      <w:r w:rsidRPr="004A2882">
        <w:t xml:space="preserve"> and prevent</w:t>
      </w:r>
      <w:r>
        <w:t>ing</w:t>
      </w:r>
      <w:r w:rsidRPr="004A2882">
        <w:t xml:space="preserve"> heat-related illness</w:t>
      </w:r>
      <w:r>
        <w:t>es</w:t>
      </w:r>
      <w:r w:rsidRPr="004A2882">
        <w:t>.</w:t>
      </w:r>
      <w:r w:rsidRPr="004A2882">
        <w:fldChar w:fldCharType="begin"/>
      </w:r>
      <w:r w:rsidR="007E4AB2">
        <w:instrText xml:space="preserve"> ADDIN ZOTERO_ITEM CSL_CITATION {"citationID":"oNEqBnwg","properties":{"formattedCitation":"\\super 372\\nosupersub{}","plainCitation":"372","noteIndex":0},"citationItems":[{"id":988,"uris":["http://zotero.org/groups/5563646/items/R6ZGK86E"],"itemData":{"id":988,"type":"report","event-place":"Lowell,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(TURI)","given":""}],"accessed":{"date-parts":[["2024",7,26]]},"issued":{"date-parts":[["2020",8]]}}}],"schema":"https://github.com/citation-style-language/schema/raw/master/csl-citation.json"} </w:instrText>
      </w:r>
      <w:r w:rsidRPr="004A2882">
        <w:fldChar w:fldCharType="separate"/>
      </w:r>
      <w:r w:rsidR="007E4AB2" w:rsidRPr="007E4AB2">
        <w:rPr>
          <w:rFonts w:cs="Arial"/>
          <w:vertAlign w:val="superscript"/>
        </w:rPr>
        <w:t>372</w:t>
      </w:r>
      <w:r w:rsidRPr="004A2882">
        <w:fldChar w:fldCharType="end"/>
      </w:r>
      <w:r w:rsidRPr="004A2882">
        <w:t xml:space="preserve"> Prevention may mean providing additional water and shade breaks, </w:t>
      </w:r>
      <w:r w:rsidRPr="004A2882">
        <w:lastRenderedPageBreak/>
        <w:t>monitoring for symptoms, changing practice times, and establishing a temperature and humidity threshold above which sporting activities on ATF</w:t>
      </w:r>
      <w:r>
        <w:t>s</w:t>
      </w:r>
      <w:r w:rsidRPr="004A2882">
        <w:t xml:space="preserve"> are canceled. </w:t>
      </w:r>
      <w:r>
        <w:t>E</w:t>
      </w:r>
      <w:r w:rsidRPr="004A2882">
        <w:t xml:space="preserve">vidence </w:t>
      </w:r>
      <w:r>
        <w:t xml:space="preserve">shows </w:t>
      </w:r>
      <w:r w:rsidRPr="004A2882">
        <w:t>that irrigating ATF</w:t>
      </w:r>
      <w:r>
        <w:t>s</w:t>
      </w:r>
      <w:r w:rsidRPr="004A2882">
        <w:t xml:space="preserve"> can reduce field temperatures for a short time, but temperatures rebound quickly in sunny conditions.</w:t>
      </w:r>
      <w:r w:rsidRPr="004A2882">
        <w:fldChar w:fldCharType="begin"/>
      </w:r>
      <w:r w:rsidR="00CC723A">
        <w:instrText xml:space="preserve"> ADDIN ZOTERO_ITEM CSL_CITATION {"citationID":"bWOMUuX1","properties":{"formattedCitation":"\\super 372,374\\nosupersub{}","plainCitation":"372,374","noteIndex":0},"citationItems":[{"id":988,"uris":["http://zotero.org/groups/5563646/items/R6ZGK86E"],"itemData":{"id":988,"type":"report","event-place":"Lowell, MA","publisher":"University of Massachusetts Lowell","publisher-place":"Lowell, MA","title":"Athletic Playing Fields and Artificial Turf: Considerations for Municipalities and Institutions","URL":"https://www.turi.org/publications/artificial-turf/","author":[{"family":"Toxic Use Reduction Institute (TURI)","given":""}],"accessed":{"date-parts":[["2024",7,26]]},"issued":{"date-parts":[["2020",8]]}}},{"id":890,"uris":["http://zotero.org/groups/5563646/items/66MBIJ9I"],"itemData":{"id":890,"type":"article-newspaper","container-title":"The Boston Globe","language":"en","source":"Zotero","title":"Artificial turf replacement sparks PFAS concerns in Newton","URL":"https://www.bostonglobe.com/2023/08/03/science/artificial-turf/","author":[{"family":"Raza","given":"Sarah"}],"issued":{"date-parts":[["2023",8,3]]}}}],"schema":"https://github.com/citation-style-language/schema/raw/master/csl-citation.json"} </w:instrText>
      </w:r>
      <w:r w:rsidRPr="004A2882">
        <w:fldChar w:fldCharType="separate"/>
      </w:r>
      <w:r w:rsidR="00CC723A" w:rsidRPr="00CC723A">
        <w:rPr>
          <w:rFonts w:cs="Arial"/>
          <w:vertAlign w:val="superscript"/>
        </w:rPr>
        <w:t>372,374</w:t>
      </w:r>
      <w:r w:rsidRPr="004A2882">
        <w:fldChar w:fldCharType="end"/>
      </w:r>
      <w:r w:rsidRPr="004A2882">
        <w:t xml:space="preserve"> </w:t>
      </w:r>
      <w:r>
        <w:t>T</w:t>
      </w:r>
      <w:r w:rsidRPr="004A2882">
        <w:t xml:space="preserve">here is no standard </w:t>
      </w:r>
      <w:r>
        <w:t>approach to mitigating</w:t>
      </w:r>
      <w:r w:rsidRPr="004A2882">
        <w:t xml:space="preserve"> </w:t>
      </w:r>
      <w:r>
        <w:t>the intense heat that can be observed on</w:t>
      </w:r>
      <w:r w:rsidRPr="004A2882">
        <w:t xml:space="preserve"> ATF</w:t>
      </w:r>
      <w:r>
        <w:t>s</w:t>
      </w:r>
      <w:r w:rsidRPr="004A2882">
        <w:t xml:space="preserve">, so each school should take appropriate </w:t>
      </w:r>
      <w:r>
        <w:t xml:space="preserve">steps </w:t>
      </w:r>
      <w:r w:rsidRPr="004A2882">
        <w:t xml:space="preserve">to raise awareness of </w:t>
      </w:r>
      <w:r>
        <w:t xml:space="preserve">the ATF’s </w:t>
      </w:r>
      <w:r w:rsidRPr="004A2882">
        <w:t>heat, reduce ATF temperature, and prevent heat-related illness among students.</w:t>
      </w:r>
    </w:p>
    <w:p w14:paraId="08A25C48" w14:textId="77777777" w:rsidR="004C7FE9" w:rsidRPr="00AF2834" w:rsidRDefault="004C7FE9" w:rsidP="004C7FE9">
      <w:pPr>
        <w:pStyle w:val="Heading5"/>
      </w:pPr>
      <w:r>
        <w:t xml:space="preserve">(8) </w:t>
      </w:r>
      <w:r w:rsidRPr="00AF2834">
        <w:t xml:space="preserve">Minimize </w:t>
      </w:r>
      <w:r>
        <w:t>p</w:t>
      </w:r>
      <w:r w:rsidRPr="00AF2834">
        <w:t xml:space="preserve">assive </w:t>
      </w:r>
      <w:r>
        <w:t>r</w:t>
      </w:r>
      <w:r w:rsidRPr="00AF2834">
        <w:t>ecreation on ATF</w:t>
      </w:r>
      <w:r>
        <w:t>s</w:t>
      </w:r>
      <w:r w:rsidRPr="00AF2834">
        <w:t xml:space="preserve"> </w:t>
      </w:r>
    </w:p>
    <w:p w14:paraId="57BAEFA0" w14:textId="633ABC0E" w:rsidR="004C7FE9" w:rsidRDefault="004C7FE9" w:rsidP="006D7DE6">
      <w:pPr>
        <w:pStyle w:val="BodyTextFirstIndent"/>
      </w:pPr>
      <w:r w:rsidRPr="006923ED">
        <w:t xml:space="preserve">Minimize passive recreation </w:t>
      </w:r>
      <w:r>
        <w:t>on an ATF, such as</w:t>
      </w:r>
      <w:r w:rsidRPr="006923ED">
        <w:t xml:space="preserve"> laying</w:t>
      </w:r>
      <w:r>
        <w:t xml:space="preserve"> and</w:t>
      </w:r>
      <w:r w:rsidRPr="006923ED">
        <w:t xml:space="preserve"> sitting</w:t>
      </w:r>
      <w:r>
        <w:t>.</w:t>
      </w:r>
      <w:r w:rsidRPr="00FD19E2">
        <w:fldChar w:fldCharType="begin"/>
      </w:r>
      <w:r w:rsidR="00415F8B">
        <w:instrText xml:space="preserve"> ADDIN ZOTERO_ITEM CSL_CITATION {"citationID":"NINqRJ2B","properties":{"formattedCitation":"\\super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sidRPr="00FD19E2">
        <w:fldChar w:fldCharType="separate"/>
      </w:r>
      <w:r w:rsidR="00415F8B" w:rsidRPr="00415F8B">
        <w:rPr>
          <w:rFonts w:cs="Arial"/>
          <w:vertAlign w:val="superscript"/>
        </w:rPr>
        <w:t>137</w:t>
      </w:r>
      <w:r w:rsidRPr="00FD19E2">
        <w:fldChar w:fldCharType="end"/>
      </w:r>
      <w:r>
        <w:t xml:space="preserve"> Such activities put people physically closer to the ATF than playing sports and, unlike sporting practices and games, they are activities that do not have to happen on sports fields.</w:t>
      </w:r>
    </w:p>
    <w:p w14:paraId="3987B32E" w14:textId="77777777" w:rsidR="004C7FE9" w:rsidRPr="00B80C89" w:rsidRDefault="004C7FE9" w:rsidP="004C7FE9">
      <w:pPr>
        <w:pStyle w:val="Heading5"/>
      </w:pPr>
      <w:r>
        <w:t>(9) C</w:t>
      </w:r>
      <w:r w:rsidRPr="00B80C89">
        <w:t xml:space="preserve">lean </w:t>
      </w:r>
      <w:r>
        <w:t>h</w:t>
      </w:r>
      <w:r w:rsidRPr="00B80C89">
        <w:t xml:space="preserve">ands, </w:t>
      </w:r>
      <w:r>
        <w:t>c</w:t>
      </w:r>
      <w:r w:rsidRPr="00B80C89">
        <w:t xml:space="preserve">lothing, </w:t>
      </w:r>
      <w:r>
        <w:t>e</w:t>
      </w:r>
      <w:r w:rsidRPr="00B80C89">
        <w:t xml:space="preserve">quipment, and </w:t>
      </w:r>
      <w:r>
        <w:t>t</w:t>
      </w:r>
      <w:r w:rsidRPr="00B80C89">
        <w:t xml:space="preserve">urf </w:t>
      </w:r>
      <w:r>
        <w:t>b</w:t>
      </w:r>
      <w:r w:rsidRPr="00B80C89">
        <w:t xml:space="preserve">urns </w:t>
      </w:r>
      <w:r>
        <w:t>a</w:t>
      </w:r>
      <w:r w:rsidRPr="00B80C89">
        <w:t xml:space="preserve">fter </w:t>
      </w:r>
      <w:r>
        <w:t>p</w:t>
      </w:r>
      <w:r w:rsidRPr="00B80C89">
        <w:t>laying on ATF</w:t>
      </w:r>
      <w:r>
        <w:t>s</w:t>
      </w:r>
      <w:r w:rsidRPr="00B80C89">
        <w:t xml:space="preserve"> </w:t>
      </w:r>
    </w:p>
    <w:p w14:paraId="5E07ED17" w14:textId="48604C54" w:rsidR="00FD43CA" w:rsidRDefault="004C7FE9" w:rsidP="006D7DE6">
      <w:pPr>
        <w:pStyle w:val="BodyTextFirstIndent"/>
        <w:rPr>
          <w:b/>
          <w:bCs/>
        </w:rPr>
      </w:pPr>
      <w:r>
        <w:t>School staff, athletic staff, and coaches should encourage students to clean up properly after playing on an ATF. Students should w</w:t>
      </w:r>
      <w:r w:rsidRPr="00C54504">
        <w:t xml:space="preserve">ash their hands after </w:t>
      </w:r>
      <w:r>
        <w:t xml:space="preserve">playing on an ATF </w:t>
      </w:r>
      <w:r w:rsidRPr="00C54504">
        <w:t>and before eating</w:t>
      </w:r>
      <w:r>
        <w:t>, especially younger children who may have had more contact with the ground. When students arrive at home or go back to school, they should take off their shoes before going indoors to prevent tracking crumb rubber indoors. Students and parents should clean all clothes and equipment used on an ATF. If students have turf burns from falls on an ATF, they should be cleaned with soap and water.</w:t>
      </w:r>
      <w:r>
        <w:rPr>
          <w:b/>
          <w:bCs/>
        </w:rPr>
        <w:fldChar w:fldCharType="begin"/>
      </w:r>
      <w:r w:rsidR="008F6300">
        <w:rPr>
          <w:b/>
          <w:bCs/>
        </w:rPr>
        <w:instrText xml:space="preserve"> ADDIN ZOTERO_ITEM CSL_CITATION {"citationID":"mVqtWn0Z","properties":{"formattedCitation":"\\super 137\\nosupersub{}","plainCitation":"137","noteIndex":0},"citationItems":[{"id":891,"uris":["http://zotero.org/groups/5563646/items/U5U9L3HZ"],"itemData":{"id":891,"type":"webpage","abstract":"See frequently asked questions and answers.","container-title":"Mass.gov","language":"en","title":"Artificial turf fields","URL":"https://www.mass.gov/info-details/artificial-turf-fields","author":[{"family":"Massachusetts Department of Public Health","given":""}],"accessed":{"date-parts":[["2024",7,25]]},"issued":{"date-parts":[["2020",6]]}}}],"schema":"https://github.com/citation-style-language/schema/raw/master/csl-citation.json"} </w:instrText>
      </w:r>
      <w:r>
        <w:rPr>
          <w:b/>
          <w:bCs/>
        </w:rPr>
        <w:fldChar w:fldCharType="separate"/>
      </w:r>
      <w:r w:rsidR="008F6300" w:rsidRPr="008F6300">
        <w:rPr>
          <w:rFonts w:ascii="Calibri" w:hAnsi="Calibri" w:cs="Calibri"/>
          <w:sz w:val="22"/>
          <w:vertAlign w:val="superscript"/>
        </w:rPr>
        <w:t>137</w:t>
      </w:r>
      <w:r>
        <w:rPr>
          <w:b/>
          <w:bCs/>
        </w:rPr>
        <w:fldChar w:fldCharType="end"/>
      </w:r>
    </w:p>
    <w:p w14:paraId="375057EA" w14:textId="77777777" w:rsidR="00DA2FEB" w:rsidRDefault="00DA2FEB" w:rsidP="00DA2FEB">
      <w:pPr>
        <w:pStyle w:val="Heading3"/>
      </w:pPr>
      <w:r>
        <w:t>Statutes, Regulations, and Standards</w:t>
      </w:r>
    </w:p>
    <w:p w14:paraId="20497FDB" w14:textId="3237F033" w:rsidR="00DA2FEB" w:rsidRPr="00E549B2" w:rsidRDefault="00DA2FEB" w:rsidP="006D7DE6">
      <w:pPr>
        <w:pStyle w:val="BodyTextFirstIndent"/>
      </w:pPr>
      <w:r>
        <w:t>No federal or state regulations or standards currently exist for ATF</w:t>
      </w:r>
      <w:r w:rsidR="00F31E87">
        <w:t>s</w:t>
      </w:r>
      <w:r>
        <w:t>.</w:t>
      </w:r>
      <w:r w:rsidRPr="00627B5B">
        <w:rPr>
          <w:rStyle w:val="FootnoteReference"/>
        </w:rPr>
        <w:footnoteReference w:id="5"/>
      </w:r>
      <w:r>
        <w:t xml:space="preserve"> </w:t>
      </w:r>
    </w:p>
    <w:p w14:paraId="188E904B" w14:textId="77777777" w:rsidR="00AA69FF" w:rsidRDefault="00AA69FF" w:rsidP="00AA69FF">
      <w:pPr>
        <w:pStyle w:val="Heading3"/>
      </w:pPr>
      <w:r>
        <w:t>Relevant Resources</w:t>
      </w:r>
    </w:p>
    <w:p w14:paraId="30425D45" w14:textId="1B7C51C2" w:rsidR="00AA69FF" w:rsidRDefault="00AA69FF" w:rsidP="006D7DE6">
      <w:pPr>
        <w:pStyle w:val="BodyTextFirstIndent"/>
      </w:pPr>
      <w:r>
        <w:fldChar w:fldCharType="begin"/>
      </w:r>
      <w:r>
        <w:instrText xml:space="preserve"> REF _Ref171632834 \h </w:instrText>
      </w:r>
      <w:r>
        <w:fldChar w:fldCharType="separate"/>
      </w:r>
      <w:r w:rsidR="00307850">
        <w:t xml:space="preserve">Table </w:t>
      </w:r>
      <w:r w:rsidR="00307850">
        <w:rPr>
          <w:noProof/>
        </w:rPr>
        <w:t>87</w:t>
      </w:r>
      <w:r>
        <w:fldChar w:fldCharType="end"/>
      </w:r>
      <w:r>
        <w:t xml:space="preserve"> provides a summary of resources related to procuring, using, and disposing of crumb rubber in schools.</w:t>
      </w:r>
    </w:p>
    <w:p w14:paraId="7D00F99A" w14:textId="06D10F5E" w:rsidR="00AA69FF" w:rsidRDefault="00AA69FF" w:rsidP="00B30C96">
      <w:pPr>
        <w:pStyle w:val="TableTitle"/>
      </w:pPr>
      <w:bookmarkStart w:id="668" w:name="_Ref171632834"/>
      <w:bookmarkStart w:id="669" w:name="_Toc172200334"/>
      <w:bookmarkStart w:id="670" w:name="_Toc192711753"/>
      <w:bookmarkStart w:id="671" w:name="_Toc193112635"/>
      <w:bookmarkStart w:id="672" w:name="_Toc193117034"/>
      <w:r>
        <w:t xml:space="preserve">Table </w:t>
      </w:r>
      <w:fldSimple w:instr=" SEQ Table \* ARABIC ">
        <w:r w:rsidR="00307850">
          <w:rPr>
            <w:noProof/>
          </w:rPr>
          <w:t>87</w:t>
        </w:r>
      </w:fldSimple>
      <w:bookmarkEnd w:id="668"/>
      <w:r>
        <w:t>. Resources Related to Procuring, Using, and Disposing of Crumb Rubber</w:t>
      </w:r>
      <w:bookmarkEnd w:id="669"/>
      <w:bookmarkEnd w:id="670"/>
      <w:bookmarkEnd w:id="671"/>
      <w:bookmarkEnd w:id="672"/>
    </w:p>
    <w:tbl>
      <w:tblPr>
        <w:tblStyle w:val="TableGrid"/>
        <w:tblW w:w="0" w:type="auto"/>
        <w:tblLook w:val="04A0" w:firstRow="1" w:lastRow="0" w:firstColumn="1" w:lastColumn="0" w:noHBand="0" w:noVBand="1"/>
        <w:tblDescription w:val="Table listing resources with active URLs for procuring, using, and disposing of crumb rubber."/>
      </w:tblPr>
      <w:tblGrid>
        <w:gridCol w:w="2327"/>
        <w:gridCol w:w="2124"/>
        <w:gridCol w:w="4899"/>
      </w:tblGrid>
      <w:tr w:rsidR="00AA69FF" w:rsidRPr="00276B41" w14:paraId="45B6238F" w14:textId="77777777" w:rsidTr="00761367">
        <w:trPr>
          <w:tblHeader/>
        </w:trPr>
        <w:tc>
          <w:tcPr>
            <w:tcW w:w="2327" w:type="dxa"/>
            <w:shd w:val="clear" w:color="auto" w:fill="C6D9F1" w:themeFill="text2" w:themeFillTint="33"/>
          </w:tcPr>
          <w:p w14:paraId="29748B79" w14:textId="77777777" w:rsidR="00AA69FF" w:rsidRPr="004C3A1C" w:rsidRDefault="00AA69FF">
            <w:pPr>
              <w:pStyle w:val="TableColumnHeader"/>
            </w:pPr>
            <w:r w:rsidRPr="004C3A1C">
              <w:t>Resource</w:t>
            </w:r>
          </w:p>
        </w:tc>
        <w:tc>
          <w:tcPr>
            <w:tcW w:w="2124" w:type="dxa"/>
            <w:shd w:val="clear" w:color="auto" w:fill="C6D9F1" w:themeFill="text2" w:themeFillTint="33"/>
          </w:tcPr>
          <w:p w14:paraId="7717649D" w14:textId="77777777" w:rsidR="00AA69FF" w:rsidRPr="004C3A1C" w:rsidRDefault="00AA69FF">
            <w:pPr>
              <w:pStyle w:val="TableColumnHeader"/>
            </w:pPr>
            <w:r w:rsidRPr="004C3A1C">
              <w:t>Author</w:t>
            </w:r>
          </w:p>
        </w:tc>
        <w:tc>
          <w:tcPr>
            <w:tcW w:w="4899" w:type="dxa"/>
            <w:shd w:val="clear" w:color="auto" w:fill="C6D9F1" w:themeFill="text2" w:themeFillTint="33"/>
          </w:tcPr>
          <w:p w14:paraId="577BDC10" w14:textId="77777777" w:rsidR="00AA69FF" w:rsidRPr="004C3A1C" w:rsidRDefault="00AA69FF">
            <w:pPr>
              <w:pStyle w:val="TableColumnHeader"/>
            </w:pPr>
            <w:r w:rsidRPr="004C3A1C">
              <w:t>URL</w:t>
            </w:r>
          </w:p>
        </w:tc>
      </w:tr>
      <w:tr w:rsidR="00AA69FF" w:rsidRPr="00276B41" w14:paraId="7A26270E" w14:textId="77777777">
        <w:tc>
          <w:tcPr>
            <w:tcW w:w="2327" w:type="dxa"/>
          </w:tcPr>
          <w:p w14:paraId="777F054E" w14:textId="77777777" w:rsidR="00AA69FF" w:rsidRPr="00276B41" w:rsidRDefault="00AA69FF">
            <w:pPr>
              <w:pStyle w:val="TableText"/>
            </w:pPr>
            <w:r>
              <w:t>Artificial Turf Fields (Fact sheet)</w:t>
            </w:r>
          </w:p>
        </w:tc>
        <w:tc>
          <w:tcPr>
            <w:tcW w:w="2124" w:type="dxa"/>
          </w:tcPr>
          <w:p w14:paraId="5EFB71CD" w14:textId="77777777" w:rsidR="00AA69FF" w:rsidRPr="00276B41" w:rsidRDefault="00AA69FF">
            <w:pPr>
              <w:pStyle w:val="TableText"/>
            </w:pPr>
            <w:r>
              <w:t>DPH</w:t>
            </w:r>
          </w:p>
        </w:tc>
        <w:tc>
          <w:tcPr>
            <w:tcW w:w="4899" w:type="dxa"/>
          </w:tcPr>
          <w:p w14:paraId="6F49B809" w14:textId="726D9751" w:rsidR="00AA69FF" w:rsidRPr="00276B41" w:rsidRDefault="00AA69FF">
            <w:pPr>
              <w:pStyle w:val="TableText"/>
            </w:pPr>
            <w:hyperlink r:id="rId368" w:history="1">
              <w:r w:rsidRPr="00C51376">
                <w:rPr>
                  <w:rStyle w:val="Hyperlink"/>
                </w:rPr>
                <w:t>https://www.mass.gov/info-details/artificial-turf-fields</w:t>
              </w:r>
            </w:hyperlink>
            <w:r>
              <w:t xml:space="preserve"> </w:t>
            </w:r>
          </w:p>
        </w:tc>
      </w:tr>
      <w:tr w:rsidR="00AA69FF" w:rsidRPr="00276B41" w14:paraId="4FFBDB15" w14:textId="77777777">
        <w:tc>
          <w:tcPr>
            <w:tcW w:w="2327" w:type="dxa"/>
          </w:tcPr>
          <w:p w14:paraId="24B5329B" w14:textId="77777777" w:rsidR="00AA69FF" w:rsidRDefault="00AA69FF">
            <w:pPr>
              <w:pStyle w:val="TableText"/>
            </w:pPr>
            <w:r w:rsidRPr="000C3192">
              <w:t>Athletic Playing Fields and Artificial Turf: Considerations for Municipalities and Institutions</w:t>
            </w:r>
          </w:p>
        </w:tc>
        <w:tc>
          <w:tcPr>
            <w:tcW w:w="2124" w:type="dxa"/>
          </w:tcPr>
          <w:p w14:paraId="56633B26" w14:textId="77777777" w:rsidR="00AA69FF" w:rsidRDefault="00AA69FF">
            <w:pPr>
              <w:pStyle w:val="TableText"/>
            </w:pPr>
            <w:r>
              <w:t>TURI, UMass Lowell</w:t>
            </w:r>
          </w:p>
        </w:tc>
        <w:tc>
          <w:tcPr>
            <w:tcW w:w="4899" w:type="dxa"/>
          </w:tcPr>
          <w:p w14:paraId="37E10EA6" w14:textId="160DEEB0" w:rsidR="00AA69FF" w:rsidRDefault="00AA69FF">
            <w:pPr>
              <w:pStyle w:val="TableText"/>
            </w:pPr>
            <w:hyperlink r:id="rId369" w:history="1">
              <w:r w:rsidRPr="000E7487">
                <w:rPr>
                  <w:rStyle w:val="Hyperlink"/>
                </w:rPr>
                <w:t>https://www.turi.org/publications/artificial-turf/</w:t>
              </w:r>
            </w:hyperlink>
            <w:r>
              <w:t xml:space="preserve"> </w:t>
            </w:r>
          </w:p>
        </w:tc>
      </w:tr>
      <w:tr w:rsidR="00AA69FF" w:rsidRPr="00276B41" w14:paraId="1482F3EE" w14:textId="77777777">
        <w:tc>
          <w:tcPr>
            <w:tcW w:w="2327" w:type="dxa"/>
          </w:tcPr>
          <w:p w14:paraId="0C109A3C" w14:textId="77777777" w:rsidR="00AA69FF" w:rsidRDefault="00AA69FF">
            <w:pPr>
              <w:pStyle w:val="TableText"/>
            </w:pPr>
            <w:r w:rsidRPr="00E2170D">
              <w:lastRenderedPageBreak/>
              <w:t>Athletic Playing Fields and Playgrounds</w:t>
            </w:r>
          </w:p>
        </w:tc>
        <w:tc>
          <w:tcPr>
            <w:tcW w:w="2124" w:type="dxa"/>
          </w:tcPr>
          <w:p w14:paraId="73F9AEF5" w14:textId="77777777" w:rsidR="00AA69FF" w:rsidRDefault="00AA69FF">
            <w:pPr>
              <w:pStyle w:val="TableText"/>
            </w:pPr>
            <w:r>
              <w:t>TURI, UMass Lowell</w:t>
            </w:r>
          </w:p>
        </w:tc>
        <w:tc>
          <w:tcPr>
            <w:tcW w:w="4899" w:type="dxa"/>
          </w:tcPr>
          <w:p w14:paraId="4CB9F1ED" w14:textId="706A7D51" w:rsidR="00AA69FF" w:rsidRDefault="00AA69FF">
            <w:pPr>
              <w:pStyle w:val="TableText"/>
            </w:pPr>
            <w:hyperlink r:id="rId370" w:history="1">
              <w:r w:rsidRPr="00C51376">
                <w:rPr>
                  <w:rStyle w:val="Hyperlink"/>
                </w:rPr>
                <w:t>https://www.uml.edu/research/lowell-center/athletic-playing-fields/</w:t>
              </w:r>
            </w:hyperlink>
            <w:r>
              <w:t xml:space="preserve"> </w:t>
            </w:r>
          </w:p>
        </w:tc>
      </w:tr>
      <w:tr w:rsidR="00AA69FF" w:rsidRPr="00276B41" w14:paraId="7C6D7BDA" w14:textId="77777777">
        <w:tc>
          <w:tcPr>
            <w:tcW w:w="2327" w:type="dxa"/>
          </w:tcPr>
          <w:p w14:paraId="7ED4BB56" w14:textId="77777777" w:rsidR="00AA69FF" w:rsidRDefault="00AA69FF">
            <w:pPr>
              <w:pStyle w:val="TableText"/>
            </w:pPr>
            <w:r w:rsidRPr="00FB4E77">
              <w:t>Athletic Playing Fields</w:t>
            </w:r>
            <w:r>
              <w:t>:</w:t>
            </w:r>
            <w:r w:rsidRPr="00FB4E77">
              <w:t xml:space="preserve"> Choosing Safer Options for Health and the Environment</w:t>
            </w:r>
          </w:p>
        </w:tc>
        <w:tc>
          <w:tcPr>
            <w:tcW w:w="2124" w:type="dxa"/>
          </w:tcPr>
          <w:p w14:paraId="4223D631" w14:textId="77777777" w:rsidR="00AA69FF" w:rsidRDefault="00AA69FF">
            <w:pPr>
              <w:pStyle w:val="TableText"/>
            </w:pPr>
            <w:r>
              <w:t>TURI, UMass Lowell</w:t>
            </w:r>
          </w:p>
        </w:tc>
        <w:tc>
          <w:tcPr>
            <w:tcW w:w="4899" w:type="dxa"/>
          </w:tcPr>
          <w:p w14:paraId="73DCEAB1" w14:textId="5010B442" w:rsidR="00AA69FF" w:rsidRDefault="00AA69FF">
            <w:pPr>
              <w:pStyle w:val="TableText"/>
            </w:pPr>
            <w:hyperlink r:id="rId371" w:history="1">
              <w:r w:rsidRPr="00D86E4F">
                <w:rPr>
                  <w:rStyle w:val="Hyperlink"/>
                </w:rPr>
                <w:t>https://www.turi.org/publications/athletic-playing-fields-choosing-safer-options-for-health-and-the-environment/</w:t>
              </w:r>
            </w:hyperlink>
          </w:p>
          <w:p w14:paraId="7D2480C8" w14:textId="77777777" w:rsidR="00AA69FF" w:rsidRDefault="00AA69FF">
            <w:pPr>
              <w:pStyle w:val="TableText"/>
            </w:pPr>
          </w:p>
        </w:tc>
      </w:tr>
    </w:tbl>
    <w:p w14:paraId="45103CD6" w14:textId="187AD251" w:rsidR="00FD43CA" w:rsidRDefault="00FD43CA" w:rsidP="001C7888">
      <w:pPr>
        <w:pStyle w:val="Heading2"/>
      </w:pPr>
      <w:bookmarkStart w:id="673" w:name="SectVII_2h"/>
      <w:bookmarkStart w:id="674" w:name="_Toc193116940"/>
      <w:bookmarkEnd w:id="673"/>
      <w:r>
        <w:t>Objective 2</w:t>
      </w:r>
      <w:r w:rsidR="008456C2">
        <w:t>h</w:t>
      </w:r>
      <w:r>
        <w:t xml:space="preserve">. </w:t>
      </w:r>
      <w:r w:rsidR="008456C2" w:rsidRPr="008456C2">
        <w:t>Create a Safe Environment for Students with Life-Threatening Food Allergies</w:t>
      </w:r>
      <w:bookmarkEnd w:id="674"/>
    </w:p>
    <w:p w14:paraId="4BF3458E" w14:textId="77777777" w:rsidR="00067495" w:rsidRDefault="00067495" w:rsidP="00067495">
      <w:pPr>
        <w:pStyle w:val="Heading3"/>
      </w:pPr>
      <w:r>
        <w:t>Methods and Best Practices</w:t>
      </w:r>
    </w:p>
    <w:p w14:paraId="4EC0399E" w14:textId="77777777" w:rsidR="00067495" w:rsidRPr="00645F0D" w:rsidRDefault="00067495" w:rsidP="006D7DE6">
      <w:pPr>
        <w:pStyle w:val="BodyTextFirstIndent"/>
      </w:pPr>
      <w:r>
        <w:t>This section presents methods and best practices for c</w:t>
      </w:r>
      <w:r w:rsidRPr="00380B53">
        <w:t>reat</w:t>
      </w:r>
      <w:r>
        <w:t>ing</w:t>
      </w:r>
      <w:r w:rsidRPr="00380B53">
        <w:t xml:space="preserve"> a </w:t>
      </w:r>
      <w:r>
        <w:t>s</w:t>
      </w:r>
      <w:r w:rsidRPr="00380B53">
        <w:t xml:space="preserve">afe </w:t>
      </w:r>
      <w:r>
        <w:t>e</w:t>
      </w:r>
      <w:r w:rsidRPr="00380B53">
        <w:t xml:space="preserve">nvironment for </w:t>
      </w:r>
      <w:r>
        <w:t>s</w:t>
      </w:r>
      <w:r w:rsidRPr="00380B53">
        <w:t xml:space="preserve">tudents with </w:t>
      </w:r>
      <w:r>
        <w:t>l</w:t>
      </w:r>
      <w:r w:rsidRPr="00380B53">
        <w:t>ife-</w:t>
      </w:r>
      <w:r>
        <w:t>t</w:t>
      </w:r>
      <w:r w:rsidRPr="00380B53">
        <w:t xml:space="preserve">hreatening </w:t>
      </w:r>
      <w:r>
        <w:t>f</w:t>
      </w:r>
      <w:r w:rsidRPr="00380B53">
        <w:t xml:space="preserve">ood </w:t>
      </w:r>
      <w:r>
        <w:t>a</w:t>
      </w:r>
      <w:r w:rsidRPr="00380B53">
        <w:t>llergies</w:t>
      </w:r>
      <w:r>
        <w:t xml:space="preserve"> related to developing written protocols, ensuring preparedness, and implementing prevention measures. </w:t>
      </w:r>
      <w:r w:rsidRPr="00926BF3">
        <w:t>Each of these methods and best practices are described in more detail below</w:t>
      </w:r>
      <w:r>
        <w:t>.</w:t>
      </w:r>
    </w:p>
    <w:p w14:paraId="3F6F44DB" w14:textId="77777777" w:rsidR="00067495" w:rsidRDefault="00067495" w:rsidP="00067495">
      <w:pPr>
        <w:pStyle w:val="Heading4"/>
      </w:pPr>
      <w:r>
        <w:t>Develop Written Protocols</w:t>
      </w:r>
    </w:p>
    <w:p w14:paraId="2AB152F6" w14:textId="77777777" w:rsidR="00067495" w:rsidRPr="00645F0D" w:rsidRDefault="00067495" w:rsidP="006D7DE6">
      <w:pPr>
        <w:pStyle w:val="BodyTextFirstIndent"/>
      </w:pPr>
      <w:r>
        <w:t xml:space="preserve">The following best practices concern creating plans for allergy planning and management. </w:t>
      </w:r>
    </w:p>
    <w:p w14:paraId="6FC87331" w14:textId="77777777" w:rsidR="00067495" w:rsidRDefault="00067495" w:rsidP="00067495">
      <w:pPr>
        <w:pStyle w:val="Heading5"/>
      </w:pPr>
      <w:r w:rsidRPr="00C318F3">
        <w:rPr>
          <w:bCs/>
          <w:iCs/>
        </w:rPr>
        <w:t>(1</w:t>
      </w:r>
      <w:r>
        <w:t>) Develop an allergy management and prevention plan</w:t>
      </w:r>
    </w:p>
    <w:p w14:paraId="77F8181B" w14:textId="6FF79CE6" w:rsidR="00067495" w:rsidRDefault="00067495" w:rsidP="006D7DE6">
      <w:pPr>
        <w:pStyle w:val="BodyTextFirstIndent"/>
      </w:pPr>
      <w:r>
        <w:t>School nurses should consider leading an interdisciplinary team to develop and implement an allergy management and prevention plan.</w:t>
      </w:r>
      <w:r>
        <w:fldChar w:fldCharType="begin"/>
      </w:r>
      <w:r w:rsidR="00B83374">
        <w:instrText xml:space="preserve"> ADDIN ZOTERO_ITEM CSL_CITATION {"citationID":"a8r3427gf0","properties":{"formattedCitation":"\\super 375\\nosupersub{}","plainCitation":"375","noteIndex":0},"citationItems":[{"id":1006,"uris":["http://zotero.org/groups/5563646/items/EYN2FFWU"],"itemData":{"id":1006,"type":"article-journal","language":"en","source":"Zotero","title":"Voluntary Guidelines for Managing Food Allergies In Schools and Early Care and Education Programs"}}],"schema":"https://github.com/citation-style-language/schema/raw/master/csl-citation.json"} </w:instrText>
      </w:r>
      <w:r>
        <w:fldChar w:fldCharType="separate"/>
      </w:r>
      <w:r w:rsidR="00B83374" w:rsidRPr="00B83374">
        <w:rPr>
          <w:rFonts w:cs="Arial"/>
          <w:vertAlign w:val="superscript"/>
        </w:rPr>
        <w:t>375</w:t>
      </w:r>
      <w:r>
        <w:fldChar w:fldCharType="end"/>
      </w:r>
      <w:r>
        <w:t xml:space="preserve"> If schools are claiming exemption from other requirements of 105 CMR 590.011, schools must have written protocols and procedures for identifying, documenting, and accommodating students with food allergies. Allergy management and prevention plans should include cafeteria, classroom environmental, custodial, and emergency response protocols and guidelines. As necessary, allergen-free spaces should be designated in the cafeteria and in classrooms. Among other components, the plan should specify cleaning products and hand</w:t>
      </w:r>
      <w:r w:rsidR="00B46732">
        <w:t>-</w:t>
      </w:r>
      <w:r>
        <w:t>washing protocols.</w:t>
      </w:r>
      <w:r>
        <w:fldChar w:fldCharType="begin"/>
      </w:r>
      <w:r w:rsidR="00CD1219">
        <w:instrText xml:space="preserve"> ADDIN ZOTERO_ITEM CSL_CITATION {"citationID":"a2ps63gpoog","properties":{"formattedCitation":"\\super 144\\nosupersub{}","plainCitation":"144","noteIndex":0},"citationItems":[{"id":1016,"uris":["http://zotero.org/groups/5563646/items/UNMY2YCZ"],"itemData":{"id":1016,"type":"article-journal","language":"en","source":"Zotero","title":"Managing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schema":"https://github.com/citation-style-language/schema/raw/master/csl-citation.json"} </w:instrText>
      </w:r>
      <w:r>
        <w:fldChar w:fldCharType="separate"/>
      </w:r>
      <w:r w:rsidR="00CD1219" w:rsidRPr="00CD1219">
        <w:rPr>
          <w:rFonts w:cs="Arial"/>
          <w:vertAlign w:val="superscript"/>
        </w:rPr>
        <w:t>144</w:t>
      </w:r>
      <w:r>
        <w:fldChar w:fldCharType="end"/>
      </w:r>
      <w:r>
        <w:t xml:space="preserve"> </w:t>
      </w:r>
    </w:p>
    <w:p w14:paraId="03C1C703" w14:textId="77777777" w:rsidR="00067495" w:rsidRDefault="00067495" w:rsidP="00067495">
      <w:pPr>
        <w:pStyle w:val="Heading5"/>
      </w:pPr>
      <w:r>
        <w:t>(2) Develop and maintain individual health care plans</w:t>
      </w:r>
    </w:p>
    <w:p w14:paraId="3BFC73AA" w14:textId="24CCAFB2" w:rsidR="00067495" w:rsidRDefault="00067495" w:rsidP="006D7DE6">
      <w:pPr>
        <w:pStyle w:val="BodyTextFirstIndent"/>
      </w:pPr>
      <w:r>
        <w:t>School nurses should maintain individual care plans for students with life-threatening allergies, which should include the actions to take if an allergic reaction occurs. Written 504 plans (plans to give kids with disabilities the support they need at school) personalized for each student with life-threatening allergies should also be written and implemented as appropriate.</w:t>
      </w:r>
      <w:r>
        <w:fldChar w:fldCharType="begin"/>
      </w:r>
      <w:r w:rsidR="00D11126">
        <w:instrText xml:space="preserve"> ADDIN ZOTERO_ITEM CSL_CITATION {"citationID":"a1v2lje40fv","properties":{"formattedCitation":"\\super 376\\nosupersub{}","plainCitation":"376","noteIndex":0},"citationItems":[{"id":1070,"uris":["http://zotero.org/groups/5563646/items/SFFXTYCQ"],"itemData":{"id":1070,"type":"webpage","abstract":"A 504 Plan outlines how a school will address the individual needs of your child. Learn how to develop one with your school team.","language":"en","title":"Section 504 and Written Management Plans - FoodAllergy.org","URL":"https://www.foodallergy.org/resources/section-504-and-written-management-plans","accessed":{"date-parts":[["2024",9,23]]}}}],"schema":"https://github.com/citation-style-language/schema/raw/master/csl-citation.json"} </w:instrText>
      </w:r>
      <w:r>
        <w:fldChar w:fldCharType="separate"/>
      </w:r>
      <w:r w:rsidR="00D11126" w:rsidRPr="00D11126">
        <w:rPr>
          <w:rFonts w:cs="Arial"/>
          <w:vertAlign w:val="superscript"/>
        </w:rPr>
        <w:t>376</w:t>
      </w:r>
      <w:r>
        <w:fldChar w:fldCharType="end"/>
      </w:r>
      <w:r>
        <w:t xml:space="preserve"> As deemed necessary by school nurses, other school personnel supervising or providing services to the student in a high-risk setting (e.g., the cafeteria) should review and be aware of care plans.</w:t>
      </w:r>
      <w:r>
        <w:fldChar w:fldCharType="begin"/>
      </w:r>
      <w:r w:rsidR="007B3E9E">
        <w:instrText xml:space="preserve"> ADDIN ZOTERO_ITEM CSL_CITATION {"citationID":"aj03g5fmn0","properties":{"formattedCitation":"\\super 144\\nosupersub{}","plainCitation":"144","noteIndex":0},"citationItems":[{"id":1016,"uris":["http://zotero.org/groups/5563646/items/UNMY2YCZ"],"itemData":{"id":1016,"type":"article-journal","language":"en","source":"Zotero","title":"Managing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schema":"https://github.com/citation-style-language/schema/raw/master/csl-citation.json"} </w:instrText>
      </w:r>
      <w:r>
        <w:fldChar w:fldCharType="separate"/>
      </w:r>
      <w:r w:rsidR="007B3E9E" w:rsidRPr="007B3E9E">
        <w:rPr>
          <w:rFonts w:cs="Arial"/>
          <w:vertAlign w:val="superscript"/>
        </w:rPr>
        <w:t>144</w:t>
      </w:r>
      <w:r>
        <w:fldChar w:fldCharType="end"/>
      </w:r>
    </w:p>
    <w:p w14:paraId="5EEE15BA" w14:textId="08C420AB" w:rsidR="00067495" w:rsidRDefault="00E56AAF" w:rsidP="00067495">
      <w:pPr>
        <w:pStyle w:val="Heading4"/>
      </w:pPr>
      <w:r>
        <w:lastRenderedPageBreak/>
        <w:t>Facilitate</w:t>
      </w:r>
      <w:r w:rsidR="00067495">
        <w:t xml:space="preserve"> </w:t>
      </w:r>
      <w:r w:rsidR="007D1F43">
        <w:t xml:space="preserve">Food Allergy </w:t>
      </w:r>
      <w:r w:rsidR="00067495">
        <w:t>Preparedness</w:t>
      </w:r>
    </w:p>
    <w:p w14:paraId="6EC459A8" w14:textId="2DF0E68F" w:rsidR="00067495" w:rsidRDefault="00067495" w:rsidP="006D7DE6">
      <w:pPr>
        <w:pStyle w:val="BodyTextFirstIndent"/>
      </w:pPr>
      <w:r>
        <w:t xml:space="preserve">The following best practices </w:t>
      </w:r>
      <w:r w:rsidR="008B7E8D">
        <w:t xml:space="preserve">help </w:t>
      </w:r>
      <w:r>
        <w:t>schools prepar</w:t>
      </w:r>
      <w:r w:rsidR="0029230D">
        <w:t>e</w:t>
      </w:r>
      <w:r>
        <w:t xml:space="preserve"> for severe allergic reactions. </w:t>
      </w:r>
    </w:p>
    <w:p w14:paraId="7DB0811B" w14:textId="77777777" w:rsidR="00067495" w:rsidRDefault="00067495" w:rsidP="00067495">
      <w:pPr>
        <w:pStyle w:val="Heading5"/>
      </w:pPr>
      <w:r w:rsidRPr="002C3ACE">
        <w:rPr>
          <w:bCs/>
          <w:iCs/>
        </w:rPr>
        <w:t>(3</w:t>
      </w:r>
      <w:r>
        <w:t xml:space="preserve">) Conduct training on life-threatening allergies and emergency response </w:t>
      </w:r>
    </w:p>
    <w:p w14:paraId="7755EB68" w14:textId="169E2484" w:rsidR="00067495" w:rsidRDefault="00067495" w:rsidP="006D7DE6">
      <w:pPr>
        <w:pStyle w:val="BodyTextFirstIndent"/>
      </w:pPr>
      <w:r>
        <w:t>All staff who supervise students must receive basic training on life-threatening allergies and have education on the prevention and management of allergic conditions as it relates to their assigned duties.</w:t>
      </w:r>
      <w:r>
        <w:fldChar w:fldCharType="begin"/>
      </w:r>
      <w:r w:rsidR="002B4B5C">
        <w:instrText xml:space="preserve"> ADDIN ZOTERO_ITEM CSL_CITATION {"citationID":"a1qd585nnhp","properties":{"formattedCitation":"\\super 144,375\\nosupersub{}","plainCitation":"144,375","noteIndex":0},"citationItems":[{"id":1016,"uris":["http://zotero.org/groups/5563646/items/UNMY2YCZ"],"itemData":{"id":1016,"type":"article-journal","language":"en","source":"Zotero","title":"Managing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id":1006,"uris":["http://zotero.org/groups/5563646/items/EYN2FFWU"],"itemData":{"id":1006,"type":"article-journal","language":"en","source":"Zotero","title":"Voluntary Guidelines for Managing Food Allergies In Schools and Early Care and Education Programs"}}],"schema":"https://github.com/citation-style-language/schema/raw/master/csl-citation.json"} </w:instrText>
      </w:r>
      <w:r>
        <w:fldChar w:fldCharType="separate"/>
      </w:r>
      <w:r w:rsidR="002B4B5C" w:rsidRPr="002B4B5C">
        <w:rPr>
          <w:rFonts w:cs="Arial"/>
          <w:vertAlign w:val="superscript"/>
        </w:rPr>
        <w:t>144,375</w:t>
      </w:r>
      <w:r>
        <w:fldChar w:fldCharType="end"/>
      </w:r>
      <w:r>
        <w:t xml:space="preserve"> The training must </w:t>
      </w:r>
      <w:r w:rsidR="009B0ADC">
        <w:t>meet</w:t>
      </w:r>
      <w:r>
        <w:t xml:space="preserve"> DESE and DPH</w:t>
      </w:r>
      <w:r w:rsidR="009B0ADC">
        <w:t xml:space="preserve"> requirements</w:t>
      </w:r>
      <w:r>
        <w:t xml:space="preserve">. </w:t>
      </w:r>
    </w:p>
    <w:p w14:paraId="3634E5B3" w14:textId="77777777" w:rsidR="00067495" w:rsidRDefault="00067495" w:rsidP="00067495">
      <w:pPr>
        <w:pStyle w:val="Heading5"/>
      </w:pPr>
      <w:r w:rsidRPr="00951019">
        <w:rPr>
          <w:bCs/>
          <w:iCs/>
        </w:rPr>
        <w:t>(4</w:t>
      </w:r>
      <w:r>
        <w:t>) Maintain a supply of epinephrine auto-injectors in a secure location</w:t>
      </w:r>
    </w:p>
    <w:p w14:paraId="265CD3AE" w14:textId="3245E9F8" w:rsidR="00067495" w:rsidRDefault="00067495" w:rsidP="006D7DE6">
      <w:pPr>
        <w:pStyle w:val="BodyTextFirstIndent"/>
      </w:pPr>
      <w:r>
        <w:t>Each school should maintain an unexpired supply of epinephrine auto-injectors in a secure, unlocked location. All personnel approved to administer epinephrine to students should know of and have access to this location.</w:t>
      </w:r>
      <w:r>
        <w:fldChar w:fldCharType="begin"/>
      </w:r>
      <w:r w:rsidR="00587796">
        <w:instrText xml:space="preserve"> ADDIN ZOTERO_ITEM CSL_CITATION {"citationID":"adbonekndg","properties":{"formattedCitation":"\\super 144\\nosupersub{}","plainCitation":"144","noteIndex":0},"citationItems":[{"id":1016,"uris":["http://zotero.org/groups/5563646/items/UNMY2YCZ"],"itemData":{"id":1016,"type":"article-journal","language":"en","source":"Zotero","title":"Managing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schema":"https://github.com/citation-style-language/schema/raw/master/csl-citation.json"} </w:instrText>
      </w:r>
      <w:r>
        <w:fldChar w:fldCharType="separate"/>
      </w:r>
      <w:r w:rsidR="00587796" w:rsidRPr="00587796">
        <w:rPr>
          <w:rFonts w:cs="Arial"/>
          <w:vertAlign w:val="superscript"/>
        </w:rPr>
        <w:t>144</w:t>
      </w:r>
      <w:r>
        <w:fldChar w:fldCharType="end"/>
      </w:r>
      <w:r>
        <w:t xml:space="preserve"> School bus drivers must receive training on the administration of epinephrine.</w:t>
      </w:r>
      <w:r>
        <w:fldChar w:fldCharType="begin"/>
      </w:r>
      <w:r w:rsidR="00FC4BBD">
        <w:instrText xml:space="preserve"> ADDIN ZOTERO_ITEM CSL_CITATION {"citationID":"a1a4a8r8gh","properties":{"formattedCitation":"\\super 377\\nosupersub{}","plainCitation":"377","noteIndex":0},"citationItems":[{"id":1015,"uris":["http://zotero.org/groups/5563646/items/3UAECRFB"],"itemData":{"id":1015,"type":"legislation","container-title":"MGL","section":"8A","title":"Section 8A: Operators of school buses; licensing; training; instructors","URL":"https://malegislature.gov/Laws/GeneralLaws/PartI/TitleXIV/Chapter90/Section8A","volume":"Part 1 Title XIV c90","accessed":{"date-parts":[["2024",7,29]]}}}],"schema":"https://github.com/citation-style-language/schema/raw/master/csl-citation.json"} </w:instrText>
      </w:r>
      <w:r>
        <w:fldChar w:fldCharType="separate"/>
      </w:r>
      <w:r w:rsidR="00FC4BBD" w:rsidRPr="00FC4BBD">
        <w:rPr>
          <w:rFonts w:cs="Arial"/>
          <w:vertAlign w:val="superscript"/>
        </w:rPr>
        <w:t>377</w:t>
      </w:r>
      <w:r>
        <w:fldChar w:fldCharType="end"/>
      </w:r>
      <w:r>
        <w:t xml:space="preserve"> </w:t>
      </w:r>
    </w:p>
    <w:p w14:paraId="523170E8" w14:textId="77777777" w:rsidR="00067495" w:rsidRDefault="00067495" w:rsidP="00067495">
      <w:pPr>
        <w:pStyle w:val="Heading4"/>
      </w:pPr>
      <w:r>
        <w:t>Implement Prevention Measures</w:t>
      </w:r>
    </w:p>
    <w:p w14:paraId="4DC5650C" w14:textId="77777777" w:rsidR="00067495" w:rsidRPr="00645F0D" w:rsidRDefault="00067495" w:rsidP="006D7DE6">
      <w:pPr>
        <w:pStyle w:val="BodyTextFirstIndent"/>
      </w:pPr>
      <w:r>
        <w:t xml:space="preserve">The following best practices can be implemented to reduce the likelihood that exposure to an allergen will cause an incident of anaphylactic shock at school. </w:t>
      </w:r>
    </w:p>
    <w:p w14:paraId="28C2655D" w14:textId="77777777" w:rsidR="00067495" w:rsidRDefault="00067495" w:rsidP="00067495">
      <w:pPr>
        <w:pStyle w:val="Heading5"/>
      </w:pPr>
      <w:r>
        <w:t>(5) Prohibit eating food on school buses or in classrooms</w:t>
      </w:r>
    </w:p>
    <w:p w14:paraId="44B758C2" w14:textId="01045AAE" w:rsidR="00067495" w:rsidRDefault="00067495" w:rsidP="006D7DE6">
      <w:pPr>
        <w:pStyle w:val="BodyTextFirstIndent"/>
      </w:pPr>
      <w:r>
        <w:t>To limit potential exposures, eating food on school buses should be prohibited, where possible. In addition, eating food in classrooms should be prohibited or limited to labeled approved foods. If food is allowed in classrooms, do not allow students to share food and encourage hand</w:t>
      </w:r>
      <w:r w:rsidR="00B46732">
        <w:t>-</w:t>
      </w:r>
      <w:r>
        <w:t>washing before the consumption of food.</w:t>
      </w:r>
      <w:r>
        <w:fldChar w:fldCharType="begin"/>
      </w:r>
      <w:r w:rsidR="009E3834">
        <w:instrText xml:space="preserve"> ADDIN ZOTERO_ITEM CSL_CITATION {"citationID":"anoa4r94j0","properties":{"formattedCitation":"\\super 144,375\\nosupersub{}","plainCitation":"144,375","noteIndex":0},"citationItems":[{"id":1016,"uris":["http://zotero.org/groups/5563646/items/UNMY2YCZ"],"itemData":{"id":1016,"type":"article-journal","language":"en","source":"Zotero","title":"Managing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id":1006,"uris":["http://zotero.org/groups/5563646/items/EYN2FFWU"],"itemData":{"id":1006,"type":"article-journal","language":"en","source":"Zotero","title":"Voluntary Guidelines for Managing Food Allergies In Schools and Early Care and Education Programs"}}],"schema":"https://github.com/citation-style-language/schema/raw/master/csl-citation.json"} </w:instrText>
      </w:r>
      <w:r>
        <w:fldChar w:fldCharType="separate"/>
      </w:r>
      <w:r w:rsidR="009E3834" w:rsidRPr="009E3834">
        <w:rPr>
          <w:rFonts w:cs="Arial"/>
          <w:vertAlign w:val="superscript"/>
        </w:rPr>
        <w:t>144,375</w:t>
      </w:r>
      <w:r>
        <w:fldChar w:fldCharType="end"/>
      </w:r>
      <w:r>
        <w:t xml:space="preserve"> </w:t>
      </w:r>
    </w:p>
    <w:p w14:paraId="48D4D840" w14:textId="77777777" w:rsidR="00067495" w:rsidRDefault="00067495" w:rsidP="00067495">
      <w:pPr>
        <w:pStyle w:val="Heading5"/>
      </w:pPr>
      <w:r>
        <w:t>(6) Prevent cross-contact in food</w:t>
      </w:r>
    </w:p>
    <w:p w14:paraId="2878FDEC" w14:textId="5F10A70D" w:rsidR="00067495" w:rsidRDefault="00067495" w:rsidP="006D7DE6">
      <w:pPr>
        <w:pStyle w:val="BodyTextFirstIndent"/>
      </w:pPr>
      <w:r>
        <w:t>Cross-contact is the transfer of food allergens from one surface or food to another surface or food and can occur during food storage, preparation, or serving, as well as during dish cleaning or dining. Schools must create protocols to prevent cross-contact to protect people with food allergies. Measures to prevent cross-contact include storing allergen-free foods in a designated space; designating an allergen-free food preparation zone; fully cleaning and sanitizing containers, food preparation tools, and surfaces after each use with warm, soapy water; following strict hygiene procedures; discouraging students from sharing food; cleaning cafeteria tables after each use; and encouraging proper hand hygiene. In addition, allergen-free foods should be prepared before any allergen-containing foods.</w:t>
      </w:r>
      <w:r>
        <w:fldChar w:fldCharType="begin"/>
      </w:r>
      <w:r w:rsidR="00184F80">
        <w:instrText xml:space="preserve"> ADDIN ZOTERO_ITEM CSL_CITATION {"citationID":"ap2gl1f3jo","properties":{"formattedCitation":"\\super 144,375\\nosupersub{}","plainCitation":"144,375","noteIndex":0},"citationItems":[{"id":1016,"uris":["http://zotero.org/groups/5563646/items/UNMY2YCZ"],"itemData":{"id":1016,"type":"article-journal","language":"en","source":"Zotero","title":"Managing Life-Threatening Allergies in Schools","author":[{"family":"Carter","given":"Sonia"},{"family":"Cavanaugh","given":"Joanne"},{"family":"Gapinski","given":"Mary Ann"},{"family":"Hall","given":"Maria"},{"family":"Leshin","given":"Robert"},{"family":"Fischer","given":"Linda"},{"family":"Sedlacko","given":"Irene"},{"family":"Socolow","given":"Amy"},{"family":"Sylvia","given":"Diane"},{"family":"Hughes","given":"Karen"},{"family":"Leibowitz","given":"Robert"},{"family":"McGrail","given":"Karen"}]}},{"id":1006,"uris":["http://zotero.org/groups/5563646/items/EYN2FFWU"],"itemData":{"id":1006,"type":"article-journal","language":"en","source":"Zotero","title":"Voluntary Guidelines for Managing Food Allergies In Schools and Early Care and Education Programs"}}],"schema":"https://github.com/citation-style-language/schema/raw/master/csl-citation.json"} </w:instrText>
      </w:r>
      <w:r>
        <w:fldChar w:fldCharType="separate"/>
      </w:r>
      <w:r w:rsidR="00184F80" w:rsidRPr="00184F80">
        <w:rPr>
          <w:rFonts w:cs="Arial"/>
          <w:vertAlign w:val="superscript"/>
        </w:rPr>
        <w:t>144,375</w:t>
      </w:r>
      <w:r>
        <w:fldChar w:fldCharType="end"/>
      </w:r>
      <w:r>
        <w:t xml:space="preserve"> </w:t>
      </w:r>
    </w:p>
    <w:p w14:paraId="44B20513" w14:textId="77777777" w:rsidR="00067495" w:rsidRPr="000F1C0C" w:rsidRDefault="00067495" w:rsidP="00067495">
      <w:pPr>
        <w:pStyle w:val="Heading5"/>
      </w:pPr>
      <w:r>
        <w:t>(7) Display a food allergen awareness poster</w:t>
      </w:r>
    </w:p>
    <w:p w14:paraId="31B9EEF0" w14:textId="585F7DAD" w:rsidR="00FD43CA" w:rsidRDefault="00067495" w:rsidP="006D7DE6">
      <w:pPr>
        <w:pStyle w:val="BodyTextFirstIndent"/>
      </w:pPr>
      <w:r>
        <w:t>As required in M.G.L. c. 140, § 6B, schools must display an approved allergen awareness poster in food preparation areas to remind food preparation personnel of the importance of allergy-safe spaces and of common food allergens.</w:t>
      </w:r>
      <w:r>
        <w:fldChar w:fldCharType="begin"/>
      </w:r>
      <w:r w:rsidR="007B3EA9">
        <w:instrText xml:space="preserve"> ADDIN ZOTERO_ITEM CSL_CITATION {"citationID":"aii2022kdq","properties":{"formattedCitation":"\\super 378\\nosupersub{}","plainCitation":"378","noteIndex":0},"citationItems":[{"id":1008,"uris":["http://zotero.org/groups/5563646/items/UTY77M85"],"itemData":{"id":1008,"type":"webpage","abstract":"Food Protection Program Food Allergen Awareness documents","language":"en","title":"Food Allergen Awareness training and regulation | Mass.gov","URL":"https://www.mass.gov/lists/food-allergen-awareness-training-and-regulation","accessed":{"date-parts":[["2024",7,29]]}}}],"schema":"https://github.com/citation-style-language/schema/raw/master/csl-citation.json"} </w:instrText>
      </w:r>
      <w:r>
        <w:fldChar w:fldCharType="separate"/>
      </w:r>
      <w:r w:rsidR="007B3EA9" w:rsidRPr="007B3EA9">
        <w:rPr>
          <w:rFonts w:cs="Arial"/>
          <w:vertAlign w:val="superscript"/>
        </w:rPr>
        <w:t>378</w:t>
      </w:r>
      <w:r>
        <w:fldChar w:fldCharType="end"/>
      </w:r>
    </w:p>
    <w:p w14:paraId="4C977677" w14:textId="77777777" w:rsidR="00067495" w:rsidRDefault="00067495" w:rsidP="00067495">
      <w:pPr>
        <w:pStyle w:val="Heading3"/>
      </w:pPr>
      <w:r>
        <w:lastRenderedPageBreak/>
        <w:t>Statutes, Regulations, and Standards</w:t>
      </w:r>
    </w:p>
    <w:p w14:paraId="69A8A079" w14:textId="77777777" w:rsidR="00067495" w:rsidRPr="00E549B2" w:rsidRDefault="00067495" w:rsidP="006D7DE6">
      <w:pPr>
        <w:pStyle w:val="BodyTextFirstIndent"/>
      </w:pPr>
      <w:r>
        <w:t>Statutes, regulations, and standards related to c</w:t>
      </w:r>
      <w:r w:rsidRPr="00E1641C">
        <w:t xml:space="preserve">reating a </w:t>
      </w:r>
      <w:r>
        <w:t>s</w:t>
      </w:r>
      <w:r w:rsidRPr="00E1641C">
        <w:t xml:space="preserve">afe </w:t>
      </w:r>
      <w:r>
        <w:t>e</w:t>
      </w:r>
      <w:r w:rsidRPr="00E1641C">
        <w:t xml:space="preserve">nvironment for </w:t>
      </w:r>
      <w:r>
        <w:t>s</w:t>
      </w:r>
      <w:r w:rsidRPr="00E1641C">
        <w:t xml:space="preserve">tudents with </w:t>
      </w:r>
      <w:r>
        <w:t>l</w:t>
      </w:r>
      <w:r w:rsidRPr="00E1641C">
        <w:t>ife-</w:t>
      </w:r>
      <w:r>
        <w:t>t</w:t>
      </w:r>
      <w:r w:rsidRPr="00E1641C">
        <w:t xml:space="preserve">hreatening </w:t>
      </w:r>
      <w:r>
        <w:t>f</w:t>
      </w:r>
      <w:r w:rsidRPr="00E1641C">
        <w:t xml:space="preserve">ood </w:t>
      </w:r>
      <w:r>
        <w:t>a</w:t>
      </w:r>
      <w:r w:rsidRPr="00E1641C">
        <w:t>llergies</w:t>
      </w:r>
      <w:r>
        <w:t xml:space="preserve"> are detailed below.</w:t>
      </w:r>
    </w:p>
    <w:p w14:paraId="05213BB8" w14:textId="77777777" w:rsidR="00067495" w:rsidRDefault="00067495" w:rsidP="00067495">
      <w:pPr>
        <w:pStyle w:val="Heading4"/>
      </w:pPr>
      <w:r>
        <w:t>Relevant Statutes</w:t>
      </w:r>
    </w:p>
    <w:p w14:paraId="66FCBBB0" w14:textId="6272CD6A" w:rsidR="00067495" w:rsidRDefault="00067495" w:rsidP="006D7DE6">
      <w:pPr>
        <w:pStyle w:val="BodyTextFirstIndent"/>
      </w:pPr>
      <w:r w:rsidRPr="006E0ED6">
        <w:rPr>
          <w:b/>
          <w:bCs/>
        </w:rPr>
        <w:t>M.G.L. c. 90, § 8A</w:t>
      </w:r>
      <w:r>
        <w:t xml:space="preserve"> requires all licensed school bus drivers to complete a pre-service school bus driver training, including a basic first aid course including instruction on the administration of an epinephrine auto-injector.</w:t>
      </w:r>
      <w:r>
        <w:fldChar w:fldCharType="begin"/>
      </w:r>
      <w:r w:rsidR="00552327">
        <w:instrText xml:space="preserve"> ADDIN ZOTERO_ITEM CSL_CITATION {"citationID":"wno7gSlR","properties":{"formattedCitation":"\\super 377\\nosupersub{}","plainCitation":"377","noteIndex":0},"citationItems":[{"id":1015,"uris":["http://zotero.org/groups/5563646/items/3UAECRFB"],"itemData":{"id":1015,"type":"legislation","container-title":"MGL","section":"8A","title":"Section 8A: Operators of school buses; licensing; training; instructors","URL":"https://malegislature.gov/Laws/GeneralLaws/PartI/TitleXIV/Chapter90/Section8A","volume":"Part 1 Title XIV c90","accessed":{"date-parts":[["2024",7,29]]}}}],"schema":"https://github.com/citation-style-language/schema/raw/master/csl-citation.json"} </w:instrText>
      </w:r>
      <w:r>
        <w:fldChar w:fldCharType="separate"/>
      </w:r>
      <w:r w:rsidR="00552327" w:rsidRPr="00552327">
        <w:rPr>
          <w:rFonts w:cs="Arial"/>
          <w:vertAlign w:val="superscript"/>
        </w:rPr>
        <w:t>377</w:t>
      </w:r>
      <w:r>
        <w:fldChar w:fldCharType="end"/>
      </w:r>
    </w:p>
    <w:p w14:paraId="08B93179" w14:textId="527EA68F" w:rsidR="00067495" w:rsidRDefault="00067495" w:rsidP="006D7DE6">
      <w:pPr>
        <w:pStyle w:val="BodyTextFirstIndent"/>
      </w:pPr>
      <w:r w:rsidRPr="0080342E">
        <w:rPr>
          <w:b/>
          <w:bCs/>
        </w:rPr>
        <w:t>M.G.L. c. 71, § 55A</w:t>
      </w:r>
      <w:r>
        <w:rPr>
          <w:b/>
          <w:bCs/>
        </w:rPr>
        <w:t xml:space="preserve"> </w:t>
      </w:r>
      <w:r>
        <w:t>limits the liability of</w:t>
      </w:r>
      <w:r w:rsidRPr="00E53D63">
        <w:t xml:space="preserve"> </w:t>
      </w:r>
      <w:r>
        <w:t xml:space="preserve">public school employees who administer first aid in good faith as a result of their actions or omissions of first aid. M.G.L c. 90, </w:t>
      </w:r>
      <w:r>
        <w:rPr>
          <w:rFonts w:cs="Arial"/>
        </w:rPr>
        <w:t>§ 8A specifically notes that this also applies to bus drivers providing first aid, including administration of an epinephrine auto-injector.</w:t>
      </w:r>
      <w:r>
        <w:rPr>
          <w:rFonts w:cs="Arial"/>
        </w:rPr>
        <w:fldChar w:fldCharType="begin"/>
      </w:r>
      <w:r w:rsidR="00AE1D96">
        <w:rPr>
          <w:rFonts w:cs="Arial"/>
        </w:rPr>
        <w:instrText xml:space="preserve"> ADDIN ZOTERO_ITEM CSL_CITATION {"citationID":"aahvlqa9j3","properties":{"formattedCitation":"\\super 379\\nosupersub{}","plainCitation":"379","noteIndex":0},"citationItems":[{"id":1014,"uris":["http://zotero.org/groups/5563646/items/H42ZYELT"],"itemData":{"id":1014,"type":"legislation","container-title":"MGL","section":"55A","title":"Section 55A: Sick, injured or incapacitated pupils; procedure for handling; emergency first aid or transportation; exemption from civil liability","URL":"https://malegislature.gov/Laws/GeneralLaws/PartI/TitleXII/Chapter71/Section55A","volume":"Part 1 Title XII c71","accessed":{"date-parts":[["2024",7,29]]}}}],"schema":"https://github.com/citation-style-language/schema/raw/master/csl-citation.json"} </w:instrText>
      </w:r>
      <w:r>
        <w:rPr>
          <w:rFonts w:cs="Arial"/>
        </w:rPr>
        <w:fldChar w:fldCharType="separate"/>
      </w:r>
      <w:r w:rsidR="00AE1D96" w:rsidRPr="00AE1D96">
        <w:rPr>
          <w:rFonts w:cs="Arial"/>
          <w:vertAlign w:val="superscript"/>
        </w:rPr>
        <w:t>379</w:t>
      </w:r>
      <w:r>
        <w:rPr>
          <w:rFonts w:cs="Arial"/>
        </w:rPr>
        <w:fldChar w:fldCharType="end"/>
      </w:r>
      <w:r>
        <w:rPr>
          <w:rFonts w:cs="Arial"/>
        </w:rPr>
        <w:t xml:space="preserve"> </w:t>
      </w:r>
    </w:p>
    <w:p w14:paraId="43AB9CF7" w14:textId="0C2C8EC3" w:rsidR="00067495" w:rsidRDefault="00067495" w:rsidP="006D7DE6">
      <w:pPr>
        <w:pStyle w:val="BodyTextFirstIndent"/>
      </w:pPr>
      <w:r w:rsidRPr="00FA55F3">
        <w:rPr>
          <w:b/>
          <w:bCs/>
        </w:rPr>
        <w:t>M.G.L. c. 140, § 6B</w:t>
      </w:r>
      <w:r>
        <w:t xml:space="preserve"> establishes food allergy awareness protocols for licensed food sellers. Requirements include the prominent display of a food allergy awareness poster, notice on all menus of the customer’s obligation to inform the server about food allergies, and manager training on food allergies. Schools approved to participate in </w:t>
      </w:r>
      <w:r w:rsidR="004A1BF4">
        <w:t>USDA</w:t>
      </w:r>
      <w:r>
        <w:t xml:space="preserve"> Child Nutrition Programs may qualify for an exemption from parts of this law if schools can demonstrate the following:</w:t>
      </w:r>
      <w:r>
        <w:fldChar w:fldCharType="begin"/>
      </w:r>
      <w:r w:rsidR="004F23E0">
        <w:instrText xml:space="preserve"> ADDIN ZOTERO_ITEM CSL_CITATION {"citationID":"aprljjgned","properties":{"formattedCitation":"\\super 380\\nosupersub{}","plainCitation":"380","noteIndex":0},"citationItems":[{"id":1013,"uris":["http://zotero.org/groups/5563646/items/B6FYYZ68"],"itemData":{"id":1013,"type":"legislation","container-title":"MGL","section":"6B","title":"Section 6B: Food allergy awareness","URL":"https://malegislature.gov/Laws/GeneralLaws/PartI/TitleXX/Chapter140/Section6B","volume":"Part 1, Title XX, c 140","accessed":{"date-parts":[["2024",7,29]]}}}],"schema":"https://github.com/citation-style-language/schema/raw/master/csl-citation.json"} </w:instrText>
      </w:r>
      <w:r>
        <w:fldChar w:fldCharType="separate"/>
      </w:r>
      <w:r w:rsidR="004F23E0" w:rsidRPr="004F23E0">
        <w:rPr>
          <w:rFonts w:cs="Arial"/>
          <w:vertAlign w:val="superscript"/>
        </w:rPr>
        <w:t>380</w:t>
      </w:r>
      <w:r>
        <w:fldChar w:fldCharType="end"/>
      </w:r>
      <w:r>
        <w:t xml:space="preserve"> </w:t>
      </w:r>
    </w:p>
    <w:p w14:paraId="29B17770" w14:textId="77777777" w:rsidR="00067495" w:rsidRDefault="00067495" w:rsidP="008131EB">
      <w:pPr>
        <w:pStyle w:val="ListBullet"/>
      </w:pPr>
      <w:r>
        <w:t xml:space="preserve">There are written policies and procedures for identifying, documenting, and accommodating students with food allergies. </w:t>
      </w:r>
    </w:p>
    <w:p w14:paraId="183FD703" w14:textId="77777777" w:rsidR="00067495" w:rsidRDefault="00067495" w:rsidP="008131EB">
      <w:pPr>
        <w:pStyle w:val="ListBullet"/>
      </w:pPr>
      <w:r>
        <w:t xml:space="preserve">There is documentation verifying participation in food allergen training that is recognized by DESE and DPH. </w:t>
      </w:r>
    </w:p>
    <w:p w14:paraId="642840F7" w14:textId="22C2C1B2" w:rsidR="00067495" w:rsidRDefault="00067495" w:rsidP="006D7DE6">
      <w:pPr>
        <w:pStyle w:val="BodyTextFirstIndent"/>
        <w:rPr>
          <w:b/>
          <w:bCs/>
        </w:rPr>
      </w:pPr>
      <w:r w:rsidRPr="005A4200">
        <w:rPr>
          <w:b/>
          <w:bCs/>
        </w:rPr>
        <w:t>Americans with Disabilities Act</w:t>
      </w:r>
      <w:r>
        <w:rPr>
          <w:b/>
          <w:bCs/>
        </w:rPr>
        <w:t xml:space="preserve"> (ADA),</w:t>
      </w:r>
      <w:r w:rsidRPr="005A4200">
        <w:rPr>
          <w:b/>
          <w:bCs/>
        </w:rPr>
        <w:t xml:space="preserve"> Title II</w:t>
      </w:r>
      <w:r>
        <w:t xml:space="preserve"> prohibits discrimination against qualified individuals with disabilities participating in state and local government programs and services, including public schools. Life-threatening allergies are considered disabilities, and all public and charter schools are covered under this act.</w:t>
      </w:r>
      <w:r>
        <w:fldChar w:fldCharType="begin"/>
      </w:r>
      <w:r w:rsidR="00845F4D">
        <w:instrText xml:space="preserve"> ADDIN ZOTERO_ITEM CSL_CITATION {"citationID":"a24peqes68n","properties":{"formattedCitation":"\\super 155\\nosupersub{}","plainCitation":"155","noteIndex":0},"citationItems":[{"id":416,"uris":["http://zotero.org/groups/5563646/items/GWD8R58M"],"itemData":{"id":416,"type":"webpage","abstract":"The text of the Americans with Disabilities Act of 1990 (ADA), including changes made by the ADA Amendments Act of 2008.","container-title":"ADA.gov","language":"en","title":"Americans with Disabilities Act of 1990, As Amended","URL":"https://www.ada.gov/law-and-regs/ada/","accessed":{"date-parts":[["2024",7,3]]}}}],"schema":"https://github.com/citation-style-language/schema/raw/master/csl-citation.json"} </w:instrText>
      </w:r>
      <w:r>
        <w:fldChar w:fldCharType="separate"/>
      </w:r>
      <w:r w:rsidR="00845F4D" w:rsidRPr="00845F4D">
        <w:rPr>
          <w:rFonts w:cs="Arial"/>
          <w:vertAlign w:val="superscript"/>
        </w:rPr>
        <w:t>155</w:t>
      </w:r>
      <w:r>
        <w:fldChar w:fldCharType="end"/>
      </w:r>
    </w:p>
    <w:p w14:paraId="77512A61" w14:textId="71F357AE" w:rsidR="00067495" w:rsidRDefault="00067495" w:rsidP="006D7DE6">
      <w:pPr>
        <w:pStyle w:val="BodyTextFirstIndent"/>
      </w:pPr>
      <w:r w:rsidRPr="00ED7DDA">
        <w:rPr>
          <w:b/>
          <w:bCs/>
        </w:rPr>
        <w:t xml:space="preserve">Rehabilitation </w:t>
      </w:r>
      <w:r>
        <w:rPr>
          <w:b/>
          <w:bCs/>
        </w:rPr>
        <w:t>A</w:t>
      </w:r>
      <w:r w:rsidRPr="00ED7DDA">
        <w:rPr>
          <w:b/>
          <w:bCs/>
        </w:rPr>
        <w:t>ct of 1973</w:t>
      </w:r>
      <w:r>
        <w:rPr>
          <w:b/>
          <w:bCs/>
        </w:rPr>
        <w:t xml:space="preserve">, </w:t>
      </w:r>
      <w:r w:rsidRPr="00ED7DDA">
        <w:rPr>
          <w:b/>
          <w:bCs/>
        </w:rPr>
        <w:t xml:space="preserve">Section 504 </w:t>
      </w:r>
      <w:r w:rsidRPr="00D86C94">
        <w:t xml:space="preserve">enables </w:t>
      </w:r>
      <w:r>
        <w:t>individuals with a disability to fully participate in and receive the benefits of any program receiving federal financial assistance. Life-threatening allergies are considered disabilities, and most public schools will receive federal funding of some nature, including national school meal programs.</w:t>
      </w:r>
      <w:r>
        <w:fldChar w:fldCharType="begin"/>
      </w:r>
      <w:r w:rsidR="00BC5064">
        <w:instrText xml:space="preserve"> ADDIN ZOTERO_ITEM CSL_CITATION {"citationID":"asna7erh3g","properties":{"formattedCitation":"\\super 381\\nosupersub{}","plainCitation":"381","noteIndex":0},"citationItems":[{"id":311,"uris":["http://zotero.org/groups/5563646/items/GJSELH3A"],"itemData":{"id":311,"type":"legislation","title":"Federal Rehabilitation Act of 1973","URL":"https://www.govinfo.gov/content/pkg/USCODE-2010-title29/pdf/USCODE-2010-title29-chap16-subchapV-sec794.pdf","accessed":{"date-parts":[["2024",6,24]]}}}],"schema":"https://github.com/citation-style-language/schema/raw/master/csl-citation.json"} </w:instrText>
      </w:r>
      <w:r>
        <w:fldChar w:fldCharType="separate"/>
      </w:r>
      <w:r w:rsidR="00BC5064" w:rsidRPr="00BC5064">
        <w:rPr>
          <w:rFonts w:cs="Arial"/>
          <w:vertAlign w:val="superscript"/>
        </w:rPr>
        <w:t>381</w:t>
      </w:r>
      <w:r>
        <w:fldChar w:fldCharType="end"/>
      </w:r>
      <w:r>
        <w:t xml:space="preserve"> </w:t>
      </w:r>
    </w:p>
    <w:p w14:paraId="7FD3C598" w14:textId="77777777" w:rsidR="00067495" w:rsidRDefault="00067495" w:rsidP="00067495">
      <w:pPr>
        <w:pStyle w:val="Heading4"/>
      </w:pPr>
      <w:r>
        <w:t>Relevant Regulations</w:t>
      </w:r>
    </w:p>
    <w:p w14:paraId="7A5049E2" w14:textId="0FBD18B3" w:rsidR="00067495" w:rsidRDefault="00067495" w:rsidP="006D7DE6">
      <w:pPr>
        <w:pStyle w:val="BodyTextFirstIndent"/>
      </w:pPr>
      <w:r w:rsidRPr="0039303C">
        <w:rPr>
          <w:b/>
          <w:bCs/>
        </w:rPr>
        <w:t>105 CMR 210.</w:t>
      </w:r>
      <w:r>
        <w:rPr>
          <w:b/>
          <w:bCs/>
        </w:rPr>
        <w:t>1</w:t>
      </w:r>
      <w:r w:rsidRPr="0039303C">
        <w:rPr>
          <w:b/>
          <w:bCs/>
        </w:rPr>
        <w:t>00</w:t>
      </w:r>
      <w:r>
        <w:t xml:space="preserve"> governs the administration of prescription medications in public and private schools in Massachusetts. Any properly trained school personnel may administer epinephrine in cases where the school nurse is not available, provided the school district registers with DPH.</w:t>
      </w:r>
      <w:r>
        <w:fldChar w:fldCharType="begin"/>
      </w:r>
      <w:r w:rsidR="00577EAE">
        <w:instrText xml:space="preserve"> ADDIN ZOTERO_ITEM CSL_CITATION {"citationID":"a222v5dtspv","properties":{"formattedCitation":"\\super 382\\nosupersub{}","plainCitation":"382","noteIndex":0},"citationItems":[{"id":1010,"uris":["http://zotero.org/groups/5563646/items/Y5GQKSLM"],"itemData":{"id":1010,"type":"legislation","container-title":"CMR","title":"THE ADMINISTRATION OF PRESCRIPTION MEDICATIONS IN PUBLIC AND PRIVATE SCHOOLS","URL":"https://www.mass.gov/doc/105-cmr-210-the-administration-of-prescription-medications-in-public-and-private-schools/download","volume":"105 210.100"}}],"schema":"https://github.com/citation-style-language/schema/raw/master/csl-citation.json"} </w:instrText>
      </w:r>
      <w:r>
        <w:fldChar w:fldCharType="separate"/>
      </w:r>
      <w:r w:rsidR="00577EAE" w:rsidRPr="00577EAE">
        <w:rPr>
          <w:rFonts w:cs="Arial"/>
          <w:vertAlign w:val="superscript"/>
        </w:rPr>
        <w:t>382</w:t>
      </w:r>
      <w:r>
        <w:fldChar w:fldCharType="end"/>
      </w:r>
      <w:r>
        <w:t xml:space="preserve"> </w:t>
      </w:r>
    </w:p>
    <w:p w14:paraId="752F5211" w14:textId="22D5D7BB" w:rsidR="00067495" w:rsidRPr="0039303C" w:rsidRDefault="00067495" w:rsidP="006D7DE6">
      <w:pPr>
        <w:pStyle w:val="BodyTextFirstIndent"/>
        <w:rPr>
          <w:b/>
          <w:bCs/>
        </w:rPr>
      </w:pPr>
      <w:r w:rsidRPr="00B3111C">
        <w:rPr>
          <w:b/>
          <w:bCs/>
        </w:rPr>
        <w:lastRenderedPageBreak/>
        <w:t>105 CMR 590</w:t>
      </w:r>
      <w:r w:rsidRPr="00AE2AD4">
        <w:rPr>
          <w:b/>
          <w:bCs/>
        </w:rPr>
        <w:t>.011</w:t>
      </w:r>
      <w:r>
        <w:t xml:space="preserve"> contains food allergy awareness requirements for all Massachusetts food establishments.</w:t>
      </w:r>
      <w:r w:rsidR="00365316">
        <w:fldChar w:fldCharType="begin"/>
      </w:r>
      <w:r w:rsidR="00B60864">
        <w:instrText xml:space="preserve"> ADDIN ZOTERO_ITEM CSL_CITATION {"citationID":"a15aa697472","properties":{"formattedCitation":"\\super 383\\nosupersub{}","plainCitation":"383","noteIndex":0},"citationItems":[{"id":1122,"uris":["http://zotero.org/groups/5563646/items/2XCJG5AF"],"itemData":{"id":1122,"type":"legislation","container-title":"105 CMR 590.011","title":"State Sanitary Code - Minimum Sanitation Standards for Food Establishments","URL":"https://www.mass.gov/doc/105-cmr-590-state-sanitary-code-chapter-x-minimum-sanitation-standards-for-food-establishments/download"}}],"schema":"https://github.com/citation-style-language/schema/raw/master/csl-citation.json"} </w:instrText>
      </w:r>
      <w:r w:rsidR="00365316">
        <w:fldChar w:fldCharType="separate"/>
      </w:r>
      <w:r w:rsidR="00B60864" w:rsidRPr="00B60864">
        <w:rPr>
          <w:rFonts w:cs="Arial"/>
          <w:vertAlign w:val="superscript"/>
        </w:rPr>
        <w:t>383</w:t>
      </w:r>
      <w:r w:rsidR="00365316">
        <w:fldChar w:fldCharType="end"/>
      </w:r>
      <w:r>
        <w:t xml:space="preserve"> This regulation requires display of a food allergen poster, </w:t>
      </w:r>
      <w:r w:rsidR="0045371F">
        <w:t xml:space="preserve">a </w:t>
      </w:r>
      <w:r>
        <w:t xml:space="preserve">notice requesting a customer to make the food establishment aware of an allergen, and mandatory training requirements. Public and private schools and educational institutions are exempt from these requirements if they are approved to participate in USDA Child Nutrition Programs. However, regardless of their participation in the USDA programs, </w:t>
      </w:r>
      <w:r w:rsidR="00F10AF6">
        <w:t>schools must train</w:t>
      </w:r>
      <w:r>
        <w:t xml:space="preserve"> employees in food allergy awareness </w:t>
      </w:r>
      <w:r w:rsidR="003F5999">
        <w:t xml:space="preserve">and </w:t>
      </w:r>
      <w:r>
        <w:t xml:space="preserve">provide written policies and procedures for identifying and accommodating students with food allergies and documentation verifying participation in food allergen training </w:t>
      </w:r>
      <w:r w:rsidR="008701C3">
        <w:t>satisfying</w:t>
      </w:r>
      <w:r>
        <w:t xml:space="preserve"> DESE and DPH</w:t>
      </w:r>
      <w:r w:rsidR="008701C3">
        <w:t xml:space="preserve"> requirements</w:t>
      </w:r>
      <w:r>
        <w:t xml:space="preserve">. </w:t>
      </w:r>
    </w:p>
    <w:p w14:paraId="336C56D4" w14:textId="72297111" w:rsidR="00067495" w:rsidRPr="005828BC" w:rsidRDefault="00067495" w:rsidP="006D7DE6">
      <w:pPr>
        <w:pStyle w:val="BodyTextFirstIndent"/>
      </w:pPr>
      <w:r w:rsidRPr="00314D09">
        <w:rPr>
          <w:b/>
          <w:bCs/>
        </w:rPr>
        <w:t>C</w:t>
      </w:r>
      <w:r>
        <w:rPr>
          <w:b/>
          <w:bCs/>
        </w:rPr>
        <w:t>FR</w:t>
      </w:r>
      <w:r w:rsidRPr="00314D09">
        <w:rPr>
          <w:b/>
          <w:bCs/>
        </w:rPr>
        <w:t xml:space="preserve"> </w:t>
      </w:r>
      <w:r w:rsidRPr="00280419">
        <w:rPr>
          <w:b/>
          <w:bCs/>
        </w:rPr>
        <w:t xml:space="preserve">Title 10, </w:t>
      </w:r>
      <w:r>
        <w:rPr>
          <w:b/>
          <w:bCs/>
        </w:rPr>
        <w:t xml:space="preserve">Subtitle B, </w:t>
      </w:r>
      <w:r w:rsidRPr="00280419">
        <w:rPr>
          <w:b/>
          <w:bCs/>
        </w:rPr>
        <w:t xml:space="preserve">Chapter II, </w:t>
      </w:r>
      <w:r>
        <w:rPr>
          <w:b/>
          <w:bCs/>
        </w:rPr>
        <w:t xml:space="preserve">Subchapter A, </w:t>
      </w:r>
      <w:r w:rsidRPr="00280419">
        <w:rPr>
          <w:b/>
          <w:bCs/>
        </w:rPr>
        <w:t xml:space="preserve">Part </w:t>
      </w:r>
      <w:r>
        <w:rPr>
          <w:b/>
          <w:bCs/>
        </w:rPr>
        <w:t>210 (National School Lunch Program)</w:t>
      </w:r>
      <w:r>
        <w:t xml:space="preserve"> requires schools (as a condition for receiving federal reimbursement for school meals) to make substitutions for students whose disability restricts their diet and for students who cannot consume the regular lunch or afterschool snack because of medical or other special dietary needs. A physician or other recognized medical authority must provide a signed statement to make substitutions.</w:t>
      </w:r>
      <w:r>
        <w:fldChar w:fldCharType="begin"/>
      </w:r>
      <w:r w:rsidR="008749E3">
        <w:instrText xml:space="preserve"> ADDIN ZOTERO_ITEM CSL_CITATION {"citationID":"anccce6bvv","properties":{"formattedCitation":"\\super 384\\nosupersub{}","plainCitation":"384","noteIndex":0},"citationItems":[{"id":1009,"uris":["http://zotero.org/groups/5563646/items/E4VG5A64"],"itemData":{"id":1009,"type":"legislation","container-title":"7 CFR","language":"en","title":"National School Lunch Program","URL":"https://www.ecfr.gov/current/title-7/part-210","volume":"Subtitle B c. II sc. A 210","accessed":{"date-parts":[["2024",7,29]]}}}],"schema":"https://github.com/citation-style-language/schema/raw/master/csl-citation.json"} </w:instrText>
      </w:r>
      <w:r>
        <w:fldChar w:fldCharType="separate"/>
      </w:r>
      <w:r w:rsidR="008749E3" w:rsidRPr="008749E3">
        <w:rPr>
          <w:rFonts w:cs="Arial"/>
          <w:vertAlign w:val="superscript"/>
        </w:rPr>
        <w:t>384</w:t>
      </w:r>
      <w:r>
        <w:fldChar w:fldCharType="end"/>
      </w:r>
    </w:p>
    <w:p w14:paraId="5E4BD835" w14:textId="2D153231" w:rsidR="00067495" w:rsidRDefault="00067495" w:rsidP="006D7DE6">
      <w:pPr>
        <w:pStyle w:val="BodyTextFirstIndent"/>
      </w:pPr>
      <w:r>
        <w:fldChar w:fldCharType="begin"/>
      </w:r>
      <w:r>
        <w:instrText xml:space="preserve"> REF _Ref171633124 \h </w:instrText>
      </w:r>
      <w:r>
        <w:fldChar w:fldCharType="separate"/>
      </w:r>
      <w:r w:rsidR="00307850">
        <w:t xml:space="preserve">Table </w:t>
      </w:r>
      <w:r w:rsidR="00307850">
        <w:rPr>
          <w:noProof/>
        </w:rPr>
        <w:t>88</w:t>
      </w:r>
      <w:r>
        <w:fldChar w:fldCharType="end"/>
      </w:r>
      <w:r>
        <w:t xml:space="preserve"> </w:t>
      </w:r>
      <w:r w:rsidRPr="007935AE">
        <w:t xml:space="preserve">summarizes the statutes, regulations, and standards related to </w:t>
      </w:r>
      <w:r w:rsidRPr="0040135F">
        <w:t>creating a safe environment for students with life-threatening food allergies</w:t>
      </w:r>
      <w:r>
        <w:t xml:space="preserve"> in</w:t>
      </w:r>
      <w:r w:rsidRPr="007935AE">
        <w:t xml:space="preserve"> schools</w:t>
      </w:r>
      <w:r>
        <w:t xml:space="preserve"> outlined above</w:t>
      </w:r>
      <w:r w:rsidRPr="007935AE">
        <w:t>.</w:t>
      </w:r>
    </w:p>
    <w:p w14:paraId="1EB25740" w14:textId="7C06B625" w:rsidR="00067495" w:rsidRDefault="00067495" w:rsidP="00B30C96">
      <w:pPr>
        <w:pStyle w:val="TableTitle"/>
      </w:pPr>
      <w:bookmarkStart w:id="675" w:name="_Ref171633124"/>
      <w:bookmarkStart w:id="676" w:name="_Toc172200336"/>
      <w:bookmarkStart w:id="677" w:name="_Toc192711754"/>
      <w:bookmarkStart w:id="678" w:name="_Toc193112636"/>
      <w:bookmarkStart w:id="679" w:name="_Toc193117035"/>
      <w:r>
        <w:t xml:space="preserve">Table </w:t>
      </w:r>
      <w:fldSimple w:instr=" SEQ Table \* ARABIC ">
        <w:r w:rsidR="00307850">
          <w:rPr>
            <w:noProof/>
          </w:rPr>
          <w:t>88</w:t>
        </w:r>
      </w:fldSimple>
      <w:bookmarkEnd w:id="675"/>
      <w:r>
        <w:t>. Statutory/Regulatory Framework and Notable Standards Related to C</w:t>
      </w:r>
      <w:r w:rsidRPr="0040135F">
        <w:t xml:space="preserve">reating a </w:t>
      </w:r>
      <w:r>
        <w:t>S</w:t>
      </w:r>
      <w:r w:rsidRPr="0040135F">
        <w:t xml:space="preserve">afe </w:t>
      </w:r>
      <w:r>
        <w:t>E</w:t>
      </w:r>
      <w:r w:rsidRPr="0040135F">
        <w:t xml:space="preserve">nvironment for </w:t>
      </w:r>
      <w:r>
        <w:t>S</w:t>
      </w:r>
      <w:r w:rsidRPr="0040135F">
        <w:t xml:space="preserve">tudents with </w:t>
      </w:r>
      <w:r>
        <w:t>L</w:t>
      </w:r>
      <w:r w:rsidRPr="0040135F">
        <w:t>ife-</w:t>
      </w:r>
      <w:r>
        <w:t>T</w:t>
      </w:r>
      <w:r w:rsidRPr="0040135F">
        <w:t xml:space="preserve">hreatening </w:t>
      </w:r>
      <w:r>
        <w:t>F</w:t>
      </w:r>
      <w:r w:rsidRPr="0040135F">
        <w:t xml:space="preserve">ood </w:t>
      </w:r>
      <w:r>
        <w:t>A</w:t>
      </w:r>
      <w:r w:rsidRPr="0040135F">
        <w:t>llergies</w:t>
      </w:r>
      <w:bookmarkEnd w:id="676"/>
      <w:bookmarkEnd w:id="677"/>
      <w:bookmarkEnd w:id="678"/>
      <w:bookmarkEnd w:id="679"/>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creating a safe environment or students with life-threatening food allergies.&#10;"/>
      </w:tblPr>
      <w:tblGrid>
        <w:gridCol w:w="6834"/>
        <w:gridCol w:w="838"/>
        <w:gridCol w:w="840"/>
        <w:gridCol w:w="838"/>
      </w:tblGrid>
      <w:tr w:rsidR="00067495" w:rsidRPr="00E11392" w14:paraId="7770DFEC"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3AC9FE9A" w14:textId="77777777" w:rsidR="00067495" w:rsidRPr="00E11392" w:rsidRDefault="00067495">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7239374E" w14:textId="77777777" w:rsidR="00067495" w:rsidRPr="00E11392" w:rsidRDefault="00067495">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80B919E" w14:textId="77777777" w:rsidR="00067495" w:rsidRPr="00E11392" w:rsidRDefault="00067495">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EDE0BA1" w14:textId="77777777" w:rsidR="00067495" w:rsidRPr="00E11392" w:rsidRDefault="00067495">
            <w:pPr>
              <w:pStyle w:val="TableColumnHeader"/>
              <w:jc w:val="left"/>
            </w:pPr>
            <w:r w:rsidRPr="00E11392">
              <w:t>Standard</w:t>
            </w:r>
          </w:p>
        </w:tc>
      </w:tr>
      <w:tr w:rsidR="00067495" w:rsidRPr="00E11392" w14:paraId="28091AF8"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404B6907" w14:textId="77777777" w:rsidR="00067495" w:rsidRPr="00E11392" w:rsidRDefault="00067495">
            <w:pPr>
              <w:pStyle w:val="TableRowHeader"/>
            </w:pPr>
            <w:r w:rsidRPr="00E11392">
              <w:t>Statutes</w:t>
            </w:r>
          </w:p>
        </w:tc>
      </w:tr>
      <w:tr w:rsidR="00067495" w:rsidRPr="00E11392" w14:paraId="05F1BA72"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005C6561" w14:textId="77777777" w:rsidR="00067495" w:rsidRPr="00E11392" w:rsidRDefault="00067495">
            <w:pPr>
              <w:pStyle w:val="TableText"/>
            </w:pPr>
            <w:r w:rsidRPr="005C26AA">
              <w:t>M.G.L. c. 90, § 8A</w:t>
            </w:r>
          </w:p>
        </w:tc>
        <w:tc>
          <w:tcPr>
            <w:tcW w:w="448" w:type="pct"/>
            <w:tcBorders>
              <w:top w:val="nil"/>
              <w:left w:val="single" w:sz="4" w:space="0" w:color="auto"/>
              <w:bottom w:val="single" w:sz="4" w:space="0" w:color="auto"/>
              <w:right w:val="single" w:sz="4" w:space="0" w:color="auto"/>
            </w:tcBorders>
            <w:shd w:val="clear" w:color="auto" w:fill="auto"/>
            <w:vAlign w:val="center"/>
          </w:tcPr>
          <w:p w14:paraId="73A9E013" w14:textId="77777777" w:rsidR="00067495" w:rsidRPr="00E11392" w:rsidRDefault="00067495">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7062EB1" w14:textId="77777777" w:rsidR="00067495" w:rsidRPr="00E11392" w:rsidRDefault="00067495">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233A12D8" w14:textId="77777777" w:rsidR="00067495" w:rsidRPr="00E11392" w:rsidRDefault="00067495">
            <w:pPr>
              <w:jc w:val="center"/>
              <w:rPr>
                <w:rFonts w:ascii="Arial" w:hAnsi="Arial" w:cs="Arial"/>
                <w:b/>
                <w:bCs/>
                <w:sz w:val="24"/>
              </w:rPr>
            </w:pPr>
          </w:p>
        </w:tc>
      </w:tr>
      <w:tr w:rsidR="00067495" w:rsidRPr="00E11392" w14:paraId="579F6AF7"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258A4FF4" w14:textId="77777777" w:rsidR="00067495" w:rsidRPr="00E11392" w:rsidRDefault="00067495">
            <w:pPr>
              <w:pStyle w:val="TableText"/>
            </w:pPr>
            <w:r>
              <w:t xml:space="preserve">M.G.L. c. 71, </w:t>
            </w:r>
            <w:r w:rsidRPr="005C26AA">
              <w:t>§</w:t>
            </w:r>
            <w:r>
              <w:t xml:space="preserve"> 55a</w:t>
            </w:r>
          </w:p>
        </w:tc>
        <w:tc>
          <w:tcPr>
            <w:tcW w:w="448" w:type="pct"/>
            <w:tcBorders>
              <w:top w:val="nil"/>
              <w:left w:val="single" w:sz="4" w:space="0" w:color="auto"/>
              <w:bottom w:val="single" w:sz="4" w:space="0" w:color="auto"/>
              <w:right w:val="single" w:sz="4" w:space="0" w:color="auto"/>
            </w:tcBorders>
            <w:shd w:val="clear" w:color="auto" w:fill="auto"/>
            <w:vAlign w:val="center"/>
          </w:tcPr>
          <w:p w14:paraId="462A0162" w14:textId="77777777" w:rsidR="00067495" w:rsidRPr="00E11392" w:rsidRDefault="00067495">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5483D9DA" w14:textId="77777777" w:rsidR="00067495" w:rsidRPr="00E11392" w:rsidRDefault="00067495">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61496473" w14:textId="77777777" w:rsidR="00067495" w:rsidRPr="00E11392" w:rsidRDefault="00067495">
            <w:pPr>
              <w:jc w:val="center"/>
              <w:rPr>
                <w:rFonts w:ascii="Arial" w:hAnsi="Arial" w:cs="Arial"/>
                <w:b/>
                <w:bCs/>
                <w:sz w:val="24"/>
              </w:rPr>
            </w:pPr>
          </w:p>
        </w:tc>
      </w:tr>
      <w:tr w:rsidR="00067495" w:rsidRPr="00E11392" w14:paraId="0C1B3857"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9D761BF" w14:textId="77777777" w:rsidR="00067495" w:rsidRPr="00E11392" w:rsidRDefault="00067495">
            <w:pPr>
              <w:pStyle w:val="TableText"/>
            </w:pPr>
            <w:r>
              <w:t xml:space="preserve">M.G.L. c. 140, </w:t>
            </w:r>
            <w:r w:rsidRPr="005C26AA">
              <w:t>§</w:t>
            </w:r>
            <w:r>
              <w:t xml:space="preserve"> 6B</w:t>
            </w:r>
          </w:p>
        </w:tc>
        <w:tc>
          <w:tcPr>
            <w:tcW w:w="448" w:type="pct"/>
            <w:tcBorders>
              <w:top w:val="nil"/>
              <w:left w:val="single" w:sz="4" w:space="0" w:color="auto"/>
              <w:bottom w:val="single" w:sz="4" w:space="0" w:color="auto"/>
              <w:right w:val="single" w:sz="4" w:space="0" w:color="auto"/>
            </w:tcBorders>
            <w:shd w:val="clear" w:color="auto" w:fill="auto"/>
            <w:vAlign w:val="center"/>
          </w:tcPr>
          <w:p w14:paraId="76CD91F5" w14:textId="77777777" w:rsidR="00067495" w:rsidRPr="00E11392" w:rsidRDefault="00067495">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47655F56" w14:textId="77777777" w:rsidR="00067495" w:rsidRPr="00E11392" w:rsidRDefault="00067495">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17073F7C" w14:textId="77777777" w:rsidR="00067495" w:rsidRPr="00E11392" w:rsidRDefault="00067495">
            <w:pPr>
              <w:jc w:val="center"/>
              <w:rPr>
                <w:rFonts w:ascii="Arial" w:hAnsi="Arial" w:cs="Arial"/>
                <w:b/>
                <w:bCs/>
                <w:sz w:val="24"/>
              </w:rPr>
            </w:pPr>
          </w:p>
        </w:tc>
      </w:tr>
      <w:tr w:rsidR="00067495" w:rsidRPr="00E11392" w14:paraId="7DDC590F"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0B4D0F3E" w14:textId="77777777" w:rsidR="00067495" w:rsidRDefault="00067495">
            <w:pPr>
              <w:pStyle w:val="TableText"/>
            </w:pPr>
            <w:r>
              <w:t>ADA, Title II</w:t>
            </w:r>
          </w:p>
        </w:tc>
        <w:tc>
          <w:tcPr>
            <w:tcW w:w="448" w:type="pct"/>
            <w:tcBorders>
              <w:top w:val="nil"/>
              <w:left w:val="single" w:sz="4" w:space="0" w:color="auto"/>
              <w:bottom w:val="single" w:sz="4" w:space="0" w:color="auto"/>
              <w:right w:val="single" w:sz="4" w:space="0" w:color="auto"/>
            </w:tcBorders>
            <w:shd w:val="clear" w:color="auto" w:fill="auto"/>
            <w:vAlign w:val="center"/>
          </w:tcPr>
          <w:p w14:paraId="264E6264" w14:textId="77777777" w:rsidR="00067495" w:rsidRPr="00E11392" w:rsidRDefault="00067495">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282157E4" w14:textId="77777777" w:rsidR="00067495" w:rsidRPr="00E11392" w:rsidRDefault="00067495">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22359D32" w14:textId="77777777" w:rsidR="00067495" w:rsidRPr="00E11392" w:rsidRDefault="00067495">
            <w:pPr>
              <w:jc w:val="center"/>
              <w:rPr>
                <w:rFonts w:ascii="Arial" w:hAnsi="Arial" w:cs="Arial"/>
                <w:b/>
                <w:bCs/>
                <w:sz w:val="24"/>
              </w:rPr>
            </w:pPr>
          </w:p>
        </w:tc>
      </w:tr>
      <w:tr w:rsidR="00067495" w:rsidRPr="00E11392" w14:paraId="6EF4CAD8"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095182BF" w14:textId="77777777" w:rsidR="00067495" w:rsidRPr="00E11392" w:rsidRDefault="00067495">
            <w:pPr>
              <w:pStyle w:val="TableText"/>
            </w:pPr>
            <w:r>
              <w:t>Section 504, Rehabilitation Act of 1973</w:t>
            </w:r>
          </w:p>
        </w:tc>
        <w:tc>
          <w:tcPr>
            <w:tcW w:w="448" w:type="pct"/>
            <w:tcBorders>
              <w:top w:val="nil"/>
              <w:left w:val="single" w:sz="4" w:space="0" w:color="auto"/>
              <w:bottom w:val="single" w:sz="4" w:space="0" w:color="auto"/>
              <w:right w:val="single" w:sz="4" w:space="0" w:color="auto"/>
            </w:tcBorders>
            <w:shd w:val="clear" w:color="auto" w:fill="auto"/>
            <w:vAlign w:val="center"/>
          </w:tcPr>
          <w:p w14:paraId="17119B40" w14:textId="77777777" w:rsidR="00067495" w:rsidRPr="00E11392" w:rsidRDefault="00067495">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197DB321" w14:textId="77777777" w:rsidR="00067495" w:rsidRPr="00E11392" w:rsidRDefault="00067495">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064DBA68" w14:textId="77777777" w:rsidR="00067495" w:rsidRPr="00E11392" w:rsidRDefault="00067495">
            <w:pPr>
              <w:jc w:val="center"/>
              <w:rPr>
                <w:rFonts w:ascii="Arial" w:hAnsi="Arial" w:cs="Arial"/>
                <w:b/>
                <w:bCs/>
                <w:sz w:val="24"/>
              </w:rPr>
            </w:pPr>
          </w:p>
        </w:tc>
      </w:tr>
      <w:tr w:rsidR="00067495" w:rsidRPr="00E11392" w14:paraId="43F5D7B7"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4016C0F9" w14:textId="77777777" w:rsidR="00067495" w:rsidRPr="00E11392" w:rsidRDefault="00067495">
            <w:pPr>
              <w:pStyle w:val="TableRowHeader"/>
            </w:pPr>
            <w:r w:rsidRPr="00E11392">
              <w:t>Regulations</w:t>
            </w:r>
          </w:p>
        </w:tc>
      </w:tr>
      <w:tr w:rsidR="00067495" w:rsidRPr="00E11392" w14:paraId="48ACDC91"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4961575B" w14:textId="77777777" w:rsidR="00067495" w:rsidRPr="00E11392" w:rsidRDefault="00067495">
            <w:pPr>
              <w:pStyle w:val="TableText"/>
            </w:pPr>
            <w:r w:rsidRPr="000A5D3E">
              <w:t>105 CMR 210.000</w:t>
            </w:r>
          </w:p>
        </w:tc>
        <w:tc>
          <w:tcPr>
            <w:tcW w:w="448" w:type="pct"/>
            <w:tcBorders>
              <w:top w:val="nil"/>
              <w:left w:val="single" w:sz="4" w:space="0" w:color="auto"/>
              <w:bottom w:val="single" w:sz="4" w:space="0" w:color="auto"/>
              <w:right w:val="single" w:sz="4" w:space="0" w:color="auto"/>
            </w:tcBorders>
            <w:shd w:val="clear" w:color="auto" w:fill="auto"/>
            <w:vAlign w:val="center"/>
          </w:tcPr>
          <w:p w14:paraId="366109AA" w14:textId="77777777" w:rsidR="00067495" w:rsidRPr="00E11392" w:rsidRDefault="00067495">
            <w:pPr>
              <w:jc w:val="center"/>
              <w:rPr>
                <w:rFonts w:ascii="Arial" w:hAnsi="Arial" w:cs="Arial"/>
                <w:b/>
                <w:bCs/>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43BC7CCC" w14:textId="77777777" w:rsidR="00067495" w:rsidRPr="00E11392" w:rsidRDefault="00067495">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310C873C" w14:textId="77777777" w:rsidR="00067495" w:rsidRPr="00E11392" w:rsidRDefault="00067495">
            <w:pPr>
              <w:jc w:val="center"/>
              <w:rPr>
                <w:rFonts w:ascii="Arial" w:hAnsi="Arial" w:cs="Arial"/>
                <w:b/>
                <w:bCs/>
                <w:sz w:val="24"/>
              </w:rPr>
            </w:pPr>
          </w:p>
        </w:tc>
      </w:tr>
      <w:tr w:rsidR="00067495" w:rsidRPr="00E11392" w14:paraId="214B2E5C"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2A96835D" w14:textId="77777777" w:rsidR="00067495" w:rsidRPr="00B52D82" w:rsidRDefault="00067495">
            <w:pPr>
              <w:pStyle w:val="TableText"/>
            </w:pPr>
            <w:r w:rsidRPr="00B52D82">
              <w:t>105 CMR 590.011</w:t>
            </w:r>
          </w:p>
        </w:tc>
        <w:tc>
          <w:tcPr>
            <w:tcW w:w="448" w:type="pct"/>
            <w:tcBorders>
              <w:top w:val="nil"/>
              <w:left w:val="single" w:sz="4" w:space="0" w:color="auto"/>
              <w:bottom w:val="single" w:sz="4" w:space="0" w:color="auto"/>
              <w:right w:val="single" w:sz="4" w:space="0" w:color="auto"/>
            </w:tcBorders>
            <w:shd w:val="clear" w:color="auto" w:fill="auto"/>
            <w:vAlign w:val="center"/>
          </w:tcPr>
          <w:p w14:paraId="6B3A54B5" w14:textId="77777777" w:rsidR="00067495" w:rsidRPr="00E11392" w:rsidRDefault="00067495">
            <w:pPr>
              <w:jc w:val="center"/>
              <w:rPr>
                <w:rFonts w:ascii="Arial" w:hAnsi="Arial" w:cs="Arial"/>
                <w:b/>
                <w:bCs/>
                <w:color w:val="00B050"/>
                <w:sz w:val="24"/>
              </w:rPr>
            </w:pPr>
            <w:r w:rsidRPr="00E11392">
              <w:rPr>
                <w:rFonts w:ascii="Arial" w:hAnsi="Arial" w:cs="Arial"/>
                <w:b/>
                <w:bCs/>
                <w:color w:val="00B050"/>
                <w:sz w:val="24"/>
              </w:rPr>
              <w:t>X</w:t>
            </w:r>
          </w:p>
        </w:tc>
        <w:tc>
          <w:tcPr>
            <w:tcW w:w="449" w:type="pct"/>
            <w:tcBorders>
              <w:top w:val="nil"/>
              <w:left w:val="single" w:sz="4" w:space="0" w:color="auto"/>
              <w:bottom w:val="single" w:sz="4" w:space="0" w:color="auto"/>
              <w:right w:val="single" w:sz="4" w:space="0" w:color="auto"/>
            </w:tcBorders>
            <w:shd w:val="clear" w:color="auto" w:fill="auto"/>
            <w:vAlign w:val="center"/>
          </w:tcPr>
          <w:p w14:paraId="37D0A05C" w14:textId="77777777" w:rsidR="00067495" w:rsidRPr="00E11392" w:rsidRDefault="00067495">
            <w:pPr>
              <w:jc w:val="center"/>
              <w:rPr>
                <w:rFonts w:ascii="Arial" w:hAnsi="Arial" w:cs="Arial"/>
                <w:b/>
                <w:bCs/>
                <w:color w:val="00B050"/>
                <w:sz w:val="24"/>
              </w:rPr>
            </w:pPr>
          </w:p>
        </w:tc>
        <w:tc>
          <w:tcPr>
            <w:tcW w:w="448" w:type="pct"/>
            <w:tcBorders>
              <w:top w:val="nil"/>
              <w:left w:val="single" w:sz="4" w:space="0" w:color="auto"/>
              <w:bottom w:val="single" w:sz="4" w:space="0" w:color="auto"/>
              <w:right w:val="single" w:sz="4" w:space="0" w:color="auto"/>
            </w:tcBorders>
            <w:shd w:val="clear" w:color="auto" w:fill="auto"/>
            <w:vAlign w:val="center"/>
          </w:tcPr>
          <w:p w14:paraId="59A4C5F5" w14:textId="77777777" w:rsidR="00067495" w:rsidRPr="00E11392" w:rsidRDefault="00067495">
            <w:pPr>
              <w:jc w:val="center"/>
              <w:rPr>
                <w:rFonts w:ascii="Arial" w:hAnsi="Arial" w:cs="Arial"/>
                <w:b/>
                <w:bCs/>
                <w:sz w:val="24"/>
              </w:rPr>
            </w:pPr>
          </w:p>
        </w:tc>
      </w:tr>
      <w:tr w:rsidR="00067495" w:rsidRPr="00E11392" w14:paraId="704A8F59"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5C3E378B" w14:textId="77777777" w:rsidR="00067495" w:rsidRPr="00E11392" w:rsidRDefault="00067495">
            <w:pPr>
              <w:pStyle w:val="TableText"/>
            </w:pPr>
            <w:r w:rsidRPr="005B0F10">
              <w:t>CFR Title 10, Subtitle B, Chapter II, Subchapter A, Part 210 (National School Lunch Program)</w:t>
            </w:r>
          </w:p>
        </w:tc>
        <w:tc>
          <w:tcPr>
            <w:tcW w:w="448" w:type="pct"/>
            <w:tcBorders>
              <w:top w:val="nil"/>
              <w:left w:val="single" w:sz="4" w:space="0" w:color="auto"/>
              <w:bottom w:val="single" w:sz="4" w:space="0" w:color="auto"/>
              <w:right w:val="single" w:sz="4" w:space="0" w:color="auto"/>
            </w:tcBorders>
            <w:shd w:val="clear" w:color="auto" w:fill="auto"/>
            <w:vAlign w:val="center"/>
          </w:tcPr>
          <w:p w14:paraId="59E5AB35" w14:textId="77777777" w:rsidR="00067495" w:rsidRPr="00E11392" w:rsidRDefault="00067495">
            <w:pPr>
              <w:jc w:val="center"/>
              <w:rPr>
                <w:rFonts w:ascii="Arial" w:hAnsi="Arial" w:cs="Arial"/>
                <w:b/>
                <w:bCs/>
                <w:color w:val="00B050"/>
                <w:sz w:val="24"/>
              </w:rPr>
            </w:pPr>
          </w:p>
        </w:tc>
        <w:tc>
          <w:tcPr>
            <w:tcW w:w="449" w:type="pct"/>
            <w:tcBorders>
              <w:top w:val="nil"/>
              <w:left w:val="single" w:sz="4" w:space="0" w:color="auto"/>
              <w:bottom w:val="single" w:sz="4" w:space="0" w:color="auto"/>
              <w:right w:val="single" w:sz="4" w:space="0" w:color="auto"/>
            </w:tcBorders>
            <w:shd w:val="clear" w:color="auto" w:fill="auto"/>
            <w:vAlign w:val="center"/>
          </w:tcPr>
          <w:p w14:paraId="5AE5F6AE" w14:textId="77777777" w:rsidR="00067495" w:rsidRPr="00E11392" w:rsidRDefault="00067495">
            <w:pPr>
              <w:jc w:val="center"/>
              <w:rPr>
                <w:rFonts w:ascii="Arial" w:hAnsi="Arial" w:cs="Arial"/>
                <w:b/>
                <w:bCs/>
                <w:color w:val="00B050"/>
                <w:sz w:val="24"/>
              </w:rPr>
            </w:pPr>
            <w:r w:rsidRPr="00E11392">
              <w:rPr>
                <w:rFonts w:ascii="Arial" w:hAnsi="Arial" w:cs="Arial"/>
                <w:b/>
                <w:bCs/>
                <w:color w:val="00B050"/>
                <w:sz w:val="24"/>
              </w:rPr>
              <w:t>X</w:t>
            </w:r>
          </w:p>
        </w:tc>
        <w:tc>
          <w:tcPr>
            <w:tcW w:w="448" w:type="pct"/>
            <w:tcBorders>
              <w:top w:val="nil"/>
              <w:left w:val="single" w:sz="4" w:space="0" w:color="auto"/>
              <w:bottom w:val="single" w:sz="4" w:space="0" w:color="auto"/>
              <w:right w:val="single" w:sz="4" w:space="0" w:color="auto"/>
            </w:tcBorders>
            <w:shd w:val="clear" w:color="auto" w:fill="auto"/>
            <w:vAlign w:val="center"/>
          </w:tcPr>
          <w:p w14:paraId="433556AA" w14:textId="77777777" w:rsidR="00067495" w:rsidRPr="00E11392" w:rsidRDefault="00067495">
            <w:pPr>
              <w:jc w:val="center"/>
              <w:rPr>
                <w:rFonts w:ascii="Arial" w:hAnsi="Arial" w:cs="Arial"/>
                <w:b/>
                <w:bCs/>
                <w:sz w:val="24"/>
              </w:rPr>
            </w:pPr>
          </w:p>
        </w:tc>
      </w:tr>
    </w:tbl>
    <w:p w14:paraId="75DA55D4" w14:textId="77777777" w:rsidR="00067495" w:rsidRDefault="00067495" w:rsidP="006D7DE6">
      <w:pPr>
        <w:pStyle w:val="BodyTextFirstIndent"/>
      </w:pPr>
    </w:p>
    <w:p w14:paraId="3130430E" w14:textId="77777777" w:rsidR="00133A94" w:rsidRDefault="00133A94">
      <w:pPr>
        <w:rPr>
          <w:rFonts w:ascii="Arial" w:hAnsi="Arial" w:cs="Arial"/>
          <w:b/>
          <w:bCs/>
          <w:color w:val="4F6228" w:themeColor="accent3" w:themeShade="80"/>
          <w:sz w:val="26"/>
          <w:szCs w:val="22"/>
        </w:rPr>
      </w:pPr>
      <w:r>
        <w:br w:type="page"/>
      </w:r>
    </w:p>
    <w:p w14:paraId="01E78107" w14:textId="50F71011" w:rsidR="00067495" w:rsidRDefault="00067495" w:rsidP="00067495">
      <w:pPr>
        <w:pStyle w:val="Heading3"/>
      </w:pPr>
      <w:r>
        <w:lastRenderedPageBreak/>
        <w:t>Relevant Resources</w:t>
      </w:r>
    </w:p>
    <w:p w14:paraId="294D92AE" w14:textId="7D3AD92D" w:rsidR="00067495" w:rsidRDefault="00067495" w:rsidP="006D7DE6">
      <w:pPr>
        <w:pStyle w:val="BodyTextFirstIndent"/>
      </w:pPr>
      <w:r>
        <w:fldChar w:fldCharType="begin"/>
      </w:r>
      <w:r>
        <w:instrText xml:space="preserve"> REF _Ref171633234 \h </w:instrText>
      </w:r>
      <w:r>
        <w:fldChar w:fldCharType="separate"/>
      </w:r>
      <w:r w:rsidR="00307850">
        <w:t xml:space="preserve">Table </w:t>
      </w:r>
      <w:r w:rsidR="00307850">
        <w:rPr>
          <w:noProof/>
        </w:rPr>
        <w:t>89</w:t>
      </w:r>
      <w:r>
        <w:fldChar w:fldCharType="end"/>
      </w:r>
      <w:r>
        <w:t xml:space="preserve"> provides a summary of resources related to </w:t>
      </w:r>
      <w:r w:rsidRPr="0040135F">
        <w:t>creating a safe environment for students with life-threatening food allergies</w:t>
      </w:r>
      <w:r>
        <w:t xml:space="preserve"> in schools.</w:t>
      </w:r>
    </w:p>
    <w:p w14:paraId="2000EC57" w14:textId="5DD71669" w:rsidR="00067495" w:rsidRDefault="00067495" w:rsidP="00B30C96">
      <w:pPr>
        <w:pStyle w:val="TableTitle"/>
      </w:pPr>
      <w:bookmarkStart w:id="680" w:name="_Ref171633234"/>
      <w:bookmarkStart w:id="681" w:name="_Toc172200337"/>
      <w:bookmarkStart w:id="682" w:name="_Toc192711755"/>
      <w:bookmarkStart w:id="683" w:name="_Toc193112637"/>
      <w:bookmarkStart w:id="684" w:name="_Toc193117036"/>
      <w:r>
        <w:t xml:space="preserve">Table </w:t>
      </w:r>
      <w:fldSimple w:instr=" SEQ Table \* ARABIC ">
        <w:r w:rsidR="00307850">
          <w:rPr>
            <w:noProof/>
          </w:rPr>
          <w:t>89</w:t>
        </w:r>
      </w:fldSimple>
      <w:bookmarkEnd w:id="680"/>
      <w:r>
        <w:t>. Resources Related to C</w:t>
      </w:r>
      <w:r w:rsidRPr="0040135F">
        <w:t xml:space="preserve">reating a </w:t>
      </w:r>
      <w:r>
        <w:t>S</w:t>
      </w:r>
      <w:r w:rsidRPr="0040135F">
        <w:t xml:space="preserve">afe </w:t>
      </w:r>
      <w:r>
        <w:t>E</w:t>
      </w:r>
      <w:r w:rsidRPr="0040135F">
        <w:t xml:space="preserve">nvironment for </w:t>
      </w:r>
      <w:r>
        <w:t>S</w:t>
      </w:r>
      <w:r w:rsidRPr="0040135F">
        <w:t xml:space="preserve">tudents with </w:t>
      </w:r>
      <w:r>
        <w:t>L</w:t>
      </w:r>
      <w:r w:rsidRPr="0040135F">
        <w:t>ife-</w:t>
      </w:r>
      <w:r>
        <w:t>T</w:t>
      </w:r>
      <w:r w:rsidRPr="0040135F">
        <w:t xml:space="preserve">hreatening </w:t>
      </w:r>
      <w:r>
        <w:t>F</w:t>
      </w:r>
      <w:r w:rsidRPr="0040135F">
        <w:t xml:space="preserve">ood </w:t>
      </w:r>
      <w:r>
        <w:t>A</w:t>
      </w:r>
      <w:r w:rsidRPr="0040135F">
        <w:t>llergies</w:t>
      </w:r>
      <w:bookmarkEnd w:id="681"/>
      <w:bookmarkEnd w:id="682"/>
      <w:bookmarkEnd w:id="683"/>
      <w:bookmarkEnd w:id="684"/>
    </w:p>
    <w:tbl>
      <w:tblPr>
        <w:tblStyle w:val="TableGrid"/>
        <w:tblW w:w="0" w:type="auto"/>
        <w:tblLayout w:type="fixed"/>
        <w:tblLook w:val="04A0" w:firstRow="1" w:lastRow="0" w:firstColumn="1" w:lastColumn="0" w:noHBand="0" w:noVBand="1"/>
        <w:tblDescription w:val="Table listing resources with active URLs for creating a safe environment for students with life-threatening food allergies."/>
      </w:tblPr>
      <w:tblGrid>
        <w:gridCol w:w="3145"/>
        <w:gridCol w:w="2070"/>
        <w:gridCol w:w="4135"/>
      </w:tblGrid>
      <w:tr w:rsidR="00067495" w:rsidRPr="00276B41" w14:paraId="05501BCC" w14:textId="77777777">
        <w:trPr>
          <w:tblHeader/>
        </w:trPr>
        <w:tc>
          <w:tcPr>
            <w:tcW w:w="3145" w:type="dxa"/>
            <w:shd w:val="clear" w:color="auto" w:fill="C6D9F1" w:themeFill="text2" w:themeFillTint="33"/>
          </w:tcPr>
          <w:p w14:paraId="5E7788E4" w14:textId="77777777" w:rsidR="00067495" w:rsidRPr="004C3A1C" w:rsidRDefault="00067495">
            <w:pPr>
              <w:pStyle w:val="TableColumnHeader"/>
            </w:pPr>
            <w:r w:rsidRPr="004C3A1C">
              <w:t>Resource</w:t>
            </w:r>
          </w:p>
        </w:tc>
        <w:tc>
          <w:tcPr>
            <w:tcW w:w="2070" w:type="dxa"/>
            <w:shd w:val="clear" w:color="auto" w:fill="C6D9F1" w:themeFill="text2" w:themeFillTint="33"/>
          </w:tcPr>
          <w:p w14:paraId="2ACB7104" w14:textId="77777777" w:rsidR="00067495" w:rsidRPr="004C3A1C" w:rsidRDefault="00067495">
            <w:pPr>
              <w:pStyle w:val="TableColumnHeader"/>
            </w:pPr>
            <w:r w:rsidRPr="004C3A1C">
              <w:t>Author</w:t>
            </w:r>
          </w:p>
        </w:tc>
        <w:tc>
          <w:tcPr>
            <w:tcW w:w="4135" w:type="dxa"/>
            <w:shd w:val="clear" w:color="auto" w:fill="C6D9F1" w:themeFill="text2" w:themeFillTint="33"/>
          </w:tcPr>
          <w:p w14:paraId="59BB664A" w14:textId="77777777" w:rsidR="00067495" w:rsidRPr="004C3A1C" w:rsidRDefault="00067495">
            <w:pPr>
              <w:pStyle w:val="TableColumnHeader"/>
            </w:pPr>
            <w:r w:rsidRPr="004C3A1C">
              <w:t>URL</w:t>
            </w:r>
          </w:p>
        </w:tc>
      </w:tr>
      <w:tr w:rsidR="00067495" w:rsidRPr="00276B41" w14:paraId="4B7C73DD" w14:textId="77777777">
        <w:tc>
          <w:tcPr>
            <w:tcW w:w="3145" w:type="dxa"/>
          </w:tcPr>
          <w:p w14:paraId="6D471EB3" w14:textId="77777777" w:rsidR="00067495" w:rsidRDefault="00067495">
            <w:pPr>
              <w:pStyle w:val="TableText"/>
            </w:pPr>
            <w:r>
              <w:t>All About Allergies</w:t>
            </w:r>
          </w:p>
        </w:tc>
        <w:tc>
          <w:tcPr>
            <w:tcW w:w="2070" w:type="dxa"/>
          </w:tcPr>
          <w:p w14:paraId="5C719EB4" w14:textId="77777777" w:rsidR="00067495" w:rsidRDefault="00067495">
            <w:pPr>
              <w:pStyle w:val="TableText"/>
            </w:pPr>
            <w:r>
              <w:t>Asthma and Allergy Network</w:t>
            </w:r>
          </w:p>
          <w:p w14:paraId="0DE24BF7" w14:textId="77777777" w:rsidR="00067495" w:rsidRDefault="00067495">
            <w:pPr>
              <w:pStyle w:val="TableText"/>
            </w:pPr>
          </w:p>
        </w:tc>
        <w:tc>
          <w:tcPr>
            <w:tcW w:w="4135" w:type="dxa"/>
          </w:tcPr>
          <w:p w14:paraId="3D88FDC6" w14:textId="7B3A5CD9" w:rsidR="00067495" w:rsidRDefault="00067495">
            <w:pPr>
              <w:pStyle w:val="TableText"/>
            </w:pPr>
            <w:hyperlink r:id="rId372">
              <w:r w:rsidRPr="3B44E17E">
                <w:rPr>
                  <w:rStyle w:val="Hyperlink"/>
                </w:rPr>
                <w:t>https://allergyasthmanetwork.org/</w:t>
              </w:r>
            </w:hyperlink>
            <w:r>
              <w:t xml:space="preserve"> </w:t>
            </w:r>
          </w:p>
        </w:tc>
      </w:tr>
      <w:tr w:rsidR="00067495" w:rsidRPr="00276B41" w14:paraId="47554116" w14:textId="77777777">
        <w:tc>
          <w:tcPr>
            <w:tcW w:w="3145" w:type="dxa"/>
          </w:tcPr>
          <w:p w14:paraId="0075C473" w14:textId="77777777" w:rsidR="00067495" w:rsidRDefault="00067495">
            <w:pPr>
              <w:pStyle w:val="TableText"/>
            </w:pPr>
            <w:r>
              <w:t>Allergies and Anaphylaxis</w:t>
            </w:r>
          </w:p>
        </w:tc>
        <w:tc>
          <w:tcPr>
            <w:tcW w:w="2070" w:type="dxa"/>
          </w:tcPr>
          <w:p w14:paraId="40FE171D" w14:textId="77777777" w:rsidR="00067495" w:rsidRDefault="00067495">
            <w:pPr>
              <w:pStyle w:val="TableText"/>
            </w:pPr>
            <w:r>
              <w:t>National Association of School Nurses</w:t>
            </w:r>
          </w:p>
        </w:tc>
        <w:tc>
          <w:tcPr>
            <w:tcW w:w="4135" w:type="dxa"/>
          </w:tcPr>
          <w:p w14:paraId="6EC99B3C" w14:textId="3869C8B4" w:rsidR="00067495" w:rsidRDefault="00067495">
            <w:pPr>
              <w:pStyle w:val="TableText"/>
            </w:pPr>
            <w:hyperlink r:id="rId373">
              <w:r w:rsidRPr="3B44E17E">
                <w:rPr>
                  <w:rStyle w:val="Hyperlink"/>
                </w:rPr>
                <w:t>https://www.nasn.org/nasn-resources/resources-by-topic/allergies-anaphylaxis</w:t>
              </w:r>
            </w:hyperlink>
            <w:r>
              <w:t xml:space="preserve"> </w:t>
            </w:r>
          </w:p>
        </w:tc>
      </w:tr>
      <w:tr w:rsidR="00067495" w:rsidRPr="00276B41" w14:paraId="310D6807" w14:textId="77777777">
        <w:tc>
          <w:tcPr>
            <w:tcW w:w="3145" w:type="dxa"/>
          </w:tcPr>
          <w:p w14:paraId="2CAEBF3C" w14:textId="77777777" w:rsidR="00067495" w:rsidRDefault="00067495">
            <w:pPr>
              <w:pStyle w:val="TableText"/>
            </w:pPr>
            <w:r>
              <w:t>Back-to-School Headquarters</w:t>
            </w:r>
          </w:p>
        </w:tc>
        <w:tc>
          <w:tcPr>
            <w:tcW w:w="2070" w:type="dxa"/>
          </w:tcPr>
          <w:p w14:paraId="46EB3D42" w14:textId="77777777" w:rsidR="00067495" w:rsidRDefault="00067495">
            <w:pPr>
              <w:pStyle w:val="TableText"/>
            </w:pPr>
            <w:r>
              <w:t>Food Allergy Research &amp; Education</w:t>
            </w:r>
          </w:p>
        </w:tc>
        <w:tc>
          <w:tcPr>
            <w:tcW w:w="4135" w:type="dxa"/>
          </w:tcPr>
          <w:p w14:paraId="4999EC5C" w14:textId="7B1A14AF" w:rsidR="00067495" w:rsidRDefault="00067495">
            <w:pPr>
              <w:pStyle w:val="TableText"/>
            </w:pPr>
            <w:hyperlink r:id="rId374" w:history="1">
              <w:r w:rsidRPr="001238F9">
                <w:rPr>
                  <w:rStyle w:val="Hyperlink"/>
                </w:rPr>
                <w:t>https://www.foodallergy.org/living-food-allergies/food-allergy-essentials/back-school-resource-hub</w:t>
              </w:r>
            </w:hyperlink>
            <w:r>
              <w:t xml:space="preserve"> </w:t>
            </w:r>
          </w:p>
        </w:tc>
      </w:tr>
      <w:tr w:rsidR="00067495" w:rsidRPr="00276B41" w14:paraId="66F57792" w14:textId="77777777">
        <w:tc>
          <w:tcPr>
            <w:tcW w:w="3145" w:type="dxa"/>
          </w:tcPr>
          <w:p w14:paraId="6A5CAFE1" w14:textId="77777777" w:rsidR="00067495" w:rsidRDefault="00067495">
            <w:pPr>
              <w:pStyle w:val="TableText"/>
            </w:pPr>
            <w:r>
              <w:t>Food Allergen Awareness Training and Regulation (includes allergen awareness posters)</w:t>
            </w:r>
          </w:p>
        </w:tc>
        <w:tc>
          <w:tcPr>
            <w:tcW w:w="2070" w:type="dxa"/>
          </w:tcPr>
          <w:p w14:paraId="00D434B1" w14:textId="77777777" w:rsidR="00067495" w:rsidRDefault="00067495">
            <w:pPr>
              <w:pStyle w:val="TableText"/>
            </w:pPr>
            <w:r>
              <w:t>DPH</w:t>
            </w:r>
          </w:p>
        </w:tc>
        <w:tc>
          <w:tcPr>
            <w:tcW w:w="4135" w:type="dxa"/>
          </w:tcPr>
          <w:p w14:paraId="67F617A1" w14:textId="1D8E7EF2" w:rsidR="00067495" w:rsidRDefault="00067495">
            <w:pPr>
              <w:pStyle w:val="TableText"/>
            </w:pPr>
            <w:hyperlink r:id="rId375" w:history="1">
              <w:r w:rsidRPr="00531090">
                <w:rPr>
                  <w:rStyle w:val="Hyperlink"/>
                </w:rPr>
                <w:t>https://www.mass.gov/lists/food-allergen-awareness-training-and-regulation</w:t>
              </w:r>
            </w:hyperlink>
            <w:r>
              <w:t xml:space="preserve"> </w:t>
            </w:r>
          </w:p>
        </w:tc>
      </w:tr>
      <w:tr w:rsidR="00067495" w:rsidRPr="00276B41" w14:paraId="66330AE0" w14:textId="77777777">
        <w:tc>
          <w:tcPr>
            <w:tcW w:w="3145" w:type="dxa"/>
          </w:tcPr>
          <w:p w14:paraId="71F8F98C" w14:textId="77777777" w:rsidR="00067495" w:rsidRDefault="00067495">
            <w:pPr>
              <w:pStyle w:val="TableText"/>
            </w:pPr>
            <w:r>
              <w:t>Food Allergies &amp; Intolerances Resources</w:t>
            </w:r>
          </w:p>
        </w:tc>
        <w:tc>
          <w:tcPr>
            <w:tcW w:w="2070" w:type="dxa"/>
          </w:tcPr>
          <w:p w14:paraId="778A6412" w14:textId="77777777" w:rsidR="00067495" w:rsidRDefault="00067495">
            <w:pPr>
              <w:pStyle w:val="TableText"/>
            </w:pPr>
            <w:r>
              <w:t>John Stalker Institute</w:t>
            </w:r>
          </w:p>
        </w:tc>
        <w:tc>
          <w:tcPr>
            <w:tcW w:w="4135" w:type="dxa"/>
          </w:tcPr>
          <w:p w14:paraId="132DFC41" w14:textId="2A009C4E" w:rsidR="00067495" w:rsidRDefault="00067495">
            <w:pPr>
              <w:pStyle w:val="TableText"/>
            </w:pPr>
            <w:hyperlink r:id="rId376" w:history="1">
              <w:r w:rsidRPr="00531090">
                <w:rPr>
                  <w:rStyle w:val="Hyperlink"/>
                </w:rPr>
                <w:t>https://johnstalkerinstitute.org/resource/food-allergies-intolerances/</w:t>
              </w:r>
            </w:hyperlink>
            <w:r>
              <w:t xml:space="preserve"> </w:t>
            </w:r>
          </w:p>
        </w:tc>
      </w:tr>
      <w:tr w:rsidR="00067495" w:rsidRPr="00276B41" w14:paraId="2DC3FB5F" w14:textId="77777777">
        <w:tc>
          <w:tcPr>
            <w:tcW w:w="3145" w:type="dxa"/>
          </w:tcPr>
          <w:p w14:paraId="4F35153B" w14:textId="77777777" w:rsidR="00067495" w:rsidRDefault="00067495">
            <w:pPr>
              <w:pStyle w:val="TableText"/>
            </w:pPr>
            <w:r>
              <w:t>Food Allergies in Schools Toolkit</w:t>
            </w:r>
          </w:p>
        </w:tc>
        <w:tc>
          <w:tcPr>
            <w:tcW w:w="2070" w:type="dxa"/>
          </w:tcPr>
          <w:p w14:paraId="427C5AD1" w14:textId="77777777" w:rsidR="00067495" w:rsidRDefault="00067495">
            <w:pPr>
              <w:pStyle w:val="TableText"/>
            </w:pPr>
            <w:r>
              <w:t>CDC</w:t>
            </w:r>
          </w:p>
        </w:tc>
        <w:tc>
          <w:tcPr>
            <w:tcW w:w="4135" w:type="dxa"/>
          </w:tcPr>
          <w:p w14:paraId="37B4CA5C" w14:textId="65A5161C" w:rsidR="00067495" w:rsidRDefault="00067495">
            <w:pPr>
              <w:pStyle w:val="TableText"/>
            </w:pPr>
            <w:hyperlink r:id="rId377" w:history="1">
              <w:r w:rsidRPr="00531090">
                <w:rPr>
                  <w:rStyle w:val="Hyperlink"/>
                </w:rPr>
                <w:t>https://www.cdc.gov/healthyschools/foodallergies/toolkit.htm</w:t>
              </w:r>
            </w:hyperlink>
            <w:r>
              <w:t xml:space="preserve"> </w:t>
            </w:r>
          </w:p>
        </w:tc>
      </w:tr>
      <w:tr w:rsidR="00067495" w:rsidRPr="00276B41" w14:paraId="026B82B2" w14:textId="77777777">
        <w:tc>
          <w:tcPr>
            <w:tcW w:w="3145" w:type="dxa"/>
          </w:tcPr>
          <w:p w14:paraId="528F3E15" w14:textId="77777777" w:rsidR="00067495" w:rsidRDefault="00067495">
            <w:pPr>
              <w:pStyle w:val="TableText"/>
            </w:pPr>
            <w:r>
              <w:t>Managing Life-Threatening Allergies in Schools</w:t>
            </w:r>
          </w:p>
        </w:tc>
        <w:tc>
          <w:tcPr>
            <w:tcW w:w="2070" w:type="dxa"/>
          </w:tcPr>
          <w:p w14:paraId="5C4D8BE9" w14:textId="77777777" w:rsidR="00067495" w:rsidRDefault="00067495">
            <w:pPr>
              <w:pStyle w:val="TableText"/>
            </w:pPr>
            <w:r>
              <w:t>DESE</w:t>
            </w:r>
          </w:p>
        </w:tc>
        <w:tc>
          <w:tcPr>
            <w:tcW w:w="4135" w:type="dxa"/>
          </w:tcPr>
          <w:p w14:paraId="25FD5325" w14:textId="138C53A0" w:rsidR="00067495" w:rsidRDefault="00067495">
            <w:pPr>
              <w:pStyle w:val="TableText"/>
            </w:pPr>
            <w:hyperlink r:id="rId378" w:history="1">
              <w:r w:rsidRPr="00531090">
                <w:rPr>
                  <w:rStyle w:val="Hyperlink"/>
                </w:rPr>
                <w:t>https://neusha.org/wp-content/uploads/2017/05/malta2016.pdf</w:t>
              </w:r>
            </w:hyperlink>
            <w:r>
              <w:t xml:space="preserve"> </w:t>
            </w:r>
          </w:p>
        </w:tc>
      </w:tr>
      <w:tr w:rsidR="00067495" w:rsidRPr="00276B41" w14:paraId="7F99968B" w14:textId="77777777">
        <w:tc>
          <w:tcPr>
            <w:tcW w:w="3145" w:type="dxa"/>
          </w:tcPr>
          <w:p w14:paraId="71818861" w14:textId="77777777" w:rsidR="00067495" w:rsidRDefault="00067495">
            <w:pPr>
              <w:pStyle w:val="TableText"/>
            </w:pPr>
            <w:r>
              <w:t>Voluntary Guidelines for Managing Food Allergies in Schools and Early Care and Education Programs</w:t>
            </w:r>
          </w:p>
        </w:tc>
        <w:tc>
          <w:tcPr>
            <w:tcW w:w="2070" w:type="dxa"/>
          </w:tcPr>
          <w:p w14:paraId="1159E768" w14:textId="77777777" w:rsidR="00067495" w:rsidRDefault="00067495">
            <w:pPr>
              <w:pStyle w:val="TableText"/>
            </w:pPr>
            <w:r>
              <w:t>CDC</w:t>
            </w:r>
          </w:p>
        </w:tc>
        <w:tc>
          <w:tcPr>
            <w:tcW w:w="4135" w:type="dxa"/>
          </w:tcPr>
          <w:p w14:paraId="410F360E" w14:textId="491D23AB" w:rsidR="00067495" w:rsidRDefault="00067495">
            <w:pPr>
              <w:pStyle w:val="TableText"/>
            </w:pPr>
            <w:hyperlink r:id="rId379">
              <w:r w:rsidRPr="3B44E17E">
                <w:rPr>
                  <w:rStyle w:val="Hyperlink"/>
                </w:rPr>
                <w:t>https://www.cdc.gov/healthyschools/foodallergies/pdf/20_316712-A_FA_guide_508tag.pdf</w:t>
              </w:r>
            </w:hyperlink>
            <w:r>
              <w:t xml:space="preserve"> </w:t>
            </w:r>
          </w:p>
        </w:tc>
      </w:tr>
    </w:tbl>
    <w:p w14:paraId="3BBC92EC" w14:textId="79550AB7" w:rsidR="00FD43CA" w:rsidRDefault="00FD43CA" w:rsidP="001C7888">
      <w:pPr>
        <w:pStyle w:val="Heading2"/>
      </w:pPr>
      <w:bookmarkStart w:id="685" w:name="_Toc193116941"/>
      <w:r>
        <w:t>Objective 2</w:t>
      </w:r>
      <w:r w:rsidR="008456C2">
        <w:t>i</w:t>
      </w:r>
      <w:r>
        <w:t xml:space="preserve">. </w:t>
      </w:r>
      <w:r w:rsidR="00F974F0" w:rsidRPr="00F974F0">
        <w:t>Create a Productive Learning Environment for All Students</w:t>
      </w:r>
      <w:bookmarkEnd w:id="685"/>
    </w:p>
    <w:p w14:paraId="102DE2EC" w14:textId="39245E86" w:rsidR="008C1964" w:rsidRPr="008C1964" w:rsidRDefault="003D5C24" w:rsidP="008C1964">
      <w:pPr>
        <w:pStyle w:val="AirQualitySubheading"/>
      </w:pPr>
      <w:bookmarkStart w:id="686" w:name="SectVII_2i1"/>
      <w:bookmarkEnd w:id="686"/>
      <w:r>
        <w:t>2i(1)</w:t>
      </w:r>
      <w:r>
        <w:tab/>
      </w:r>
      <w:r w:rsidR="008C1964" w:rsidRPr="008C1964">
        <w:t>Optimize Lighting</w:t>
      </w:r>
    </w:p>
    <w:p w14:paraId="36ADEF87" w14:textId="77777777" w:rsidR="00067495" w:rsidRDefault="00067495" w:rsidP="00067495">
      <w:pPr>
        <w:pStyle w:val="Heading3"/>
      </w:pPr>
      <w:r>
        <w:t>Methods and Best Practices</w:t>
      </w:r>
    </w:p>
    <w:p w14:paraId="49CAE75B" w14:textId="77777777" w:rsidR="00067495" w:rsidRPr="00946387" w:rsidRDefault="00067495" w:rsidP="006D7DE6">
      <w:pPr>
        <w:pStyle w:val="BodyTextFirstIndent"/>
      </w:pPr>
      <w:r>
        <w:t xml:space="preserve">The following best practices focus on enhancing natural and artificial lighting in schools to promote visual comfort in the classroom. </w:t>
      </w:r>
    </w:p>
    <w:p w14:paraId="648EFB64" w14:textId="77777777" w:rsidR="00133A94" w:rsidRDefault="00133A94">
      <w:pPr>
        <w:rPr>
          <w:rFonts w:ascii="Arial" w:hAnsi="Arial"/>
          <w:b/>
          <w:i/>
          <w:color w:val="1F497D"/>
          <w:sz w:val="24"/>
        </w:rPr>
      </w:pPr>
      <w:r>
        <w:br w:type="page"/>
      </w:r>
    </w:p>
    <w:p w14:paraId="081A7BAF" w14:textId="5B6248C8" w:rsidR="00067495" w:rsidRDefault="00067495" w:rsidP="00067495">
      <w:pPr>
        <w:pStyle w:val="Heading5"/>
      </w:pPr>
      <w:r>
        <w:lastRenderedPageBreak/>
        <w:t xml:space="preserve">(1) </w:t>
      </w:r>
      <w:r w:rsidRPr="001676F0">
        <w:t xml:space="preserve">Integrate </w:t>
      </w:r>
      <w:r>
        <w:t>b</w:t>
      </w:r>
      <w:r w:rsidRPr="001676F0">
        <w:t xml:space="preserve">oth </w:t>
      </w:r>
      <w:r>
        <w:t>n</w:t>
      </w:r>
      <w:r w:rsidRPr="001676F0">
        <w:t xml:space="preserve">atural and </w:t>
      </w:r>
      <w:r>
        <w:t>a</w:t>
      </w:r>
      <w:r w:rsidRPr="001676F0">
        <w:t xml:space="preserve">rtificial </w:t>
      </w:r>
      <w:r>
        <w:t>li</w:t>
      </w:r>
      <w:r w:rsidRPr="001676F0">
        <w:t xml:space="preserve">ghting </w:t>
      </w:r>
      <w:r>
        <w:t>th</w:t>
      </w:r>
      <w:r w:rsidRPr="001676F0">
        <w:t xml:space="preserve">roughout </w:t>
      </w:r>
      <w:r>
        <w:t>s</w:t>
      </w:r>
      <w:r w:rsidRPr="001676F0">
        <w:t>chools</w:t>
      </w:r>
    </w:p>
    <w:p w14:paraId="7B079215" w14:textId="2FA96672" w:rsidR="00067495" w:rsidRDefault="00067495" w:rsidP="006D7DE6">
      <w:pPr>
        <w:pStyle w:val="BodyTextFirstIndent"/>
      </w:pPr>
      <w:r>
        <w:t>High-quality lighting in the classroom should come from both natural and artificial sources because natural light can promote health benefits while artificial light can ensure appropriate illuminance.</w:t>
      </w:r>
      <w:r>
        <w:fldChar w:fldCharType="begin"/>
      </w:r>
      <w:r w:rsidR="00930A8D">
        <w:instrText xml:space="preserve"> ADDIN ZOTERO_ITEM CSL_CITATION {"citationID":"Cz1D668D","properties":{"formattedCitation":"\\super 145,385\\nosupersub{}","plainCitation":"145,385","noteIndex":0},"citationItems":[{"id":540,"uris":["http://zotero.org/groups/5563646/items/C36H34MV"],"itemData":{"id":540,"type":"article-journal","language":"en","source":"Zotero","title":"National Best Practices Manual for Building High Performance Schools","author":[{"family":"Nicklas","given":"Mike"},{"family":"Design","given":"Innovative"}]}},{"id":828,"uris":["http://zotero.org/groups/5563646/items/N3KGNVQD"],"itemData":{"id":828,"type":"document","title":"Measuring Energy &amp; Health in Existing Massachusetts Schools: Recommendations for Implementing Section 83 of Chapter 179 of the Acts of 2022","author":[{"family":"MA Chapter of the American Institute of Architects","given":""}]}}],"schema":"https://github.com/citation-style-language/schema/raw/master/csl-citation.json"} </w:instrText>
      </w:r>
      <w:r>
        <w:fldChar w:fldCharType="separate"/>
      </w:r>
      <w:r w:rsidR="00930A8D" w:rsidRPr="00930A8D">
        <w:rPr>
          <w:rFonts w:ascii="Calibri" w:hAnsi="Calibri" w:cs="Calibri"/>
          <w:sz w:val="22"/>
          <w:vertAlign w:val="superscript"/>
        </w:rPr>
        <w:t>145,385</w:t>
      </w:r>
      <w:r>
        <w:fldChar w:fldCharType="end"/>
      </w:r>
      <w:r>
        <w:t xml:space="preserve"> The direction and amount of daylight that enters a space should be taken into account when designing the overall lighting system in the classroom.</w:t>
      </w:r>
      <w:r>
        <w:fldChar w:fldCharType="begin"/>
      </w:r>
      <w:r w:rsidR="00B63C0C">
        <w:instrText xml:space="preserve"> ADDIN ZOTERO_ITEM CSL_CITATION {"citationID":"nGG1PLUw","properties":{"formattedCitation":"\\super 145\\nosupersub{}","plainCitation":"145","noteIndex":0},"citationItems":[{"id":540,"uris":["http://zotero.org/groups/5563646/items/C36H34MV"],"itemData":{"id":540,"type":"article-journal","language":"en","source":"Zotero","title":"National Best Practices Manual for Building High Performance Schools","author":[{"family":"Nicklas","given":"Mike"},{"family":"Design","given":"Innovative"}]}}],"schema":"https://github.com/citation-style-language/schema/raw/master/csl-citation.json"} </w:instrText>
      </w:r>
      <w:r>
        <w:fldChar w:fldCharType="separate"/>
      </w:r>
      <w:r w:rsidR="00B63C0C" w:rsidRPr="00B63C0C">
        <w:rPr>
          <w:rFonts w:ascii="Calibri" w:hAnsi="Calibri" w:cs="Calibri"/>
          <w:sz w:val="22"/>
          <w:vertAlign w:val="superscript"/>
        </w:rPr>
        <w:t>145</w:t>
      </w:r>
      <w:r>
        <w:fldChar w:fldCharType="end"/>
      </w:r>
      <w:r>
        <w:t xml:space="preserve"> Controls should be available to dim or turn off artificial lighting when sufficient daylight is available, and window shades should be available when daylight is excessive.</w:t>
      </w:r>
      <w:r>
        <w:fldChar w:fldCharType="begin"/>
      </w:r>
      <w:r w:rsidR="002B0755">
        <w:instrText xml:space="preserve"> ADDIN ZOTERO_ITEM CSL_CITATION {"citationID":"thULWNio","properties":{"formattedCitation":"\\super 145\\nosupersub{}","plainCitation":"145","noteIndex":0},"citationItems":[{"id":540,"uris":["http://zotero.org/groups/5563646/items/C36H34MV"],"itemData":{"id":540,"type":"article-journal","language":"en","source":"Zotero","title":"National Best Practices Manual for Building High Performance Schools","author":[{"family":"Nicklas","given":"Mike"},{"family":"Design","given":"Innovative"}]}}],"schema":"https://github.com/citation-style-language/schema/raw/master/csl-citation.json"} </w:instrText>
      </w:r>
      <w:r>
        <w:fldChar w:fldCharType="separate"/>
      </w:r>
      <w:r w:rsidR="002B0755" w:rsidRPr="002B0755">
        <w:rPr>
          <w:rFonts w:ascii="Calibri" w:hAnsi="Calibri" w:cs="Calibri"/>
          <w:sz w:val="22"/>
          <w:vertAlign w:val="superscript"/>
        </w:rPr>
        <w:t>145</w:t>
      </w:r>
      <w:r>
        <w:fldChar w:fldCharType="end"/>
      </w:r>
      <w:r>
        <w:t xml:space="preserve"> </w:t>
      </w:r>
    </w:p>
    <w:p w14:paraId="6C7C2198" w14:textId="77777777" w:rsidR="00067495" w:rsidRDefault="00067495" w:rsidP="00067495">
      <w:pPr>
        <w:pStyle w:val="Heading5"/>
      </w:pPr>
      <w:r>
        <w:t>(2) Consider illuminance, color temperature, and glare</w:t>
      </w:r>
    </w:p>
    <w:p w14:paraId="59054F35" w14:textId="2D6AA95C" w:rsidR="00FD43CA" w:rsidRDefault="00067495" w:rsidP="006D7DE6">
      <w:pPr>
        <w:pStyle w:val="BodyTextFirstIndent"/>
      </w:pPr>
      <w:r>
        <w:t>In addition to natural and artificial lighting sources, it is important to consider factors such as illuminance, color temperature, and glare. An illuminance level of 350 lux is recommended for reading text in a normal-sized font with ease.</w:t>
      </w:r>
      <w:r>
        <w:fldChar w:fldCharType="begin"/>
      </w:r>
      <w:r w:rsidR="00881024">
        <w:instrText xml:space="preserve"> ADDIN ZOTERO_ITEM CSL_CITATION {"citationID":"iSt7TLxP","properties":{"formattedCitation":"\\super 120\\nosupersub{}","plainCitation":"120","noteIndex":0},"citationItems":[{"id":541,"uris":["http://zotero.org/groups/5563646/items/YJ5JP7N8"],"itemData":{"id":541,"type":"document","title":"Foundations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program","given":""}]}}],"schema":"https://github.com/citation-style-language/schema/raw/master/csl-citation.json"} </w:instrText>
      </w:r>
      <w:r>
        <w:fldChar w:fldCharType="separate"/>
      </w:r>
      <w:r w:rsidR="00881024" w:rsidRPr="00881024">
        <w:rPr>
          <w:rFonts w:ascii="Calibri" w:hAnsi="Calibri" w:cs="Calibri"/>
          <w:sz w:val="22"/>
          <w:vertAlign w:val="superscript"/>
        </w:rPr>
        <w:t>120</w:t>
      </w:r>
      <w:r>
        <w:fldChar w:fldCharType="end"/>
      </w:r>
      <w:r>
        <w:t xml:space="preserve"> Research suggests, however, that 500-1,000 lux is more appropriate for the classroom.</w:t>
      </w:r>
      <w:r>
        <w:fldChar w:fldCharType="begin"/>
      </w:r>
      <w:r w:rsidR="00C36B87">
        <w:instrText xml:space="preserve"> ADDIN ZOTERO_ITEM CSL_CITATION {"citationID":"bbP1jLbE","properties":{"formattedCitation":"\\super 385\\nosupersub{}","plainCitation":"385","noteIndex":0},"citationItems":[{"id":828,"uris":["http://zotero.org/groups/5563646/items/N3KGNVQD"],"itemData":{"id":828,"type":"document","title":"Measuring Energy &amp; Health in Existing Massachusetts Schools: Recommendations for Implementing Section 83 of Chapter 179 of the Acts of 2022","author":[{"family":"MA Chapter of the American Institute of Architects","given":""}]}}],"schema":"https://github.com/citation-style-language/schema/raw/master/csl-citation.json"} </w:instrText>
      </w:r>
      <w:r>
        <w:fldChar w:fldCharType="separate"/>
      </w:r>
      <w:r w:rsidR="00C36B87" w:rsidRPr="00C36B87">
        <w:rPr>
          <w:rFonts w:ascii="Calibri" w:hAnsi="Calibri" w:cs="Calibri"/>
          <w:sz w:val="22"/>
          <w:vertAlign w:val="superscript"/>
        </w:rPr>
        <w:t>385</w:t>
      </w:r>
      <w:r>
        <w:fldChar w:fldCharType="end"/>
      </w:r>
      <w:r>
        <w:t xml:space="preserve"> Additionally, color temperature, measured as the thermal temperature of a light source, should be low to better mimic natural daylight.</w:t>
      </w:r>
      <w:r>
        <w:fldChar w:fldCharType="begin"/>
      </w:r>
      <w:r w:rsidR="006C3720">
        <w:instrText xml:space="preserve"> ADDIN ZOTERO_ITEM CSL_CITATION {"citationID":"JzeNqslF","properties":{"formattedCitation":"\\super 120,385\\nosupersub{}","plainCitation":"120,385","noteIndex":0},"citationItems":[{"id":541,"uris":["http://zotero.org/groups/5563646/items/YJ5JP7N8"],"itemData":{"id":541,"type":"document","title":"Foundations for Student Success: How School Buildings Influence Student Health, Thinking and Performance","author":[{"family":"Harvard T.H. Chan School of Public Health, Healthy Buildings program","given":""}]}},{"id":828,"uris":["http://zotero.org/groups/5563646/items/N3KGNVQD"],"itemData":{"id":828,"type":"document","title":"Measuring Energy &amp; Health in Existing Massachusetts Schools: Recommendations for Implementing Section 83 of Chapter 179 of the Acts of 2022","author":[{"family":"MA Chapter of the American Institute of Architects","given":""}]}}],"schema":"https://github.com/citation-style-language/schema/raw/master/csl-citation.json"} </w:instrText>
      </w:r>
      <w:r>
        <w:fldChar w:fldCharType="separate"/>
      </w:r>
      <w:r w:rsidR="006C3720" w:rsidRPr="006C3720">
        <w:rPr>
          <w:rFonts w:ascii="Calibri" w:hAnsi="Calibri" w:cs="Calibri"/>
          <w:sz w:val="22"/>
          <w:vertAlign w:val="superscript"/>
        </w:rPr>
        <w:t>120,385</w:t>
      </w:r>
      <w:r>
        <w:fldChar w:fldCharType="end"/>
      </w:r>
      <w:r>
        <w:t xml:space="preserve"> Lastly, efforts should be taken to reduce or eliminate glare by considering how light enters the classroom and where it may hit reflective surfaces.</w:t>
      </w:r>
      <w:r>
        <w:fldChar w:fldCharType="begin"/>
      </w:r>
      <w:r w:rsidR="0000367C">
        <w:instrText xml:space="preserve"> ADDIN ZOTERO_ITEM CSL_CITATION {"citationID":"QxH13ybT","properties":{"formattedCitation":"\\super 145\\nosupersub{}","plainCitation":"145","noteIndex":0},"citationItems":[{"id":540,"uris":["http://zotero.org/groups/5563646/items/C36H34MV"],"itemData":{"id":540,"type":"article-journal","language":"en","source":"Zotero","title":"National Best Practices Manual for Building High Performance Schools","author":[{"family":"Nicklas","given":"Mike"},{"family":"Design","given":"Innovative"}]}}],"schema":"https://github.com/citation-style-language/schema/raw/master/csl-citation.json"} </w:instrText>
      </w:r>
      <w:r>
        <w:fldChar w:fldCharType="separate"/>
      </w:r>
      <w:r w:rsidR="0000367C" w:rsidRPr="0000367C">
        <w:rPr>
          <w:rFonts w:ascii="Calibri" w:hAnsi="Calibri" w:cs="Calibri"/>
          <w:sz w:val="22"/>
          <w:vertAlign w:val="superscript"/>
        </w:rPr>
        <w:t>145</w:t>
      </w:r>
      <w:r>
        <w:fldChar w:fldCharType="end"/>
      </w:r>
      <w:r>
        <w:t xml:space="preserve"> Further, using shades and blinds to control the amount of natural light that enters or modifying the brightness level of artificial light can be effective for minimizing glare.</w:t>
      </w:r>
    </w:p>
    <w:p w14:paraId="1133C706" w14:textId="77777777" w:rsidR="00067495" w:rsidRDefault="00067495" w:rsidP="00067495">
      <w:pPr>
        <w:pStyle w:val="Heading3"/>
      </w:pPr>
      <w:r>
        <w:t>Statutes, Regulations, and Standards</w:t>
      </w:r>
    </w:p>
    <w:p w14:paraId="0A66E75B" w14:textId="77777777" w:rsidR="00067495" w:rsidRPr="00E549B2" w:rsidRDefault="00067495" w:rsidP="006D7DE6">
      <w:pPr>
        <w:pStyle w:val="BodyTextFirstIndent"/>
      </w:pPr>
      <w:r>
        <w:t xml:space="preserve">The following standard is focused on promoting high-quality lighting in educational facilities. </w:t>
      </w:r>
    </w:p>
    <w:p w14:paraId="28C64E0D" w14:textId="77777777" w:rsidR="00067495" w:rsidRDefault="00067495" w:rsidP="00067495">
      <w:pPr>
        <w:pStyle w:val="Heading4"/>
      </w:pPr>
      <w:r>
        <w:t>Relevant Standards</w:t>
      </w:r>
    </w:p>
    <w:p w14:paraId="5AAD00D8" w14:textId="56768E22" w:rsidR="00067495" w:rsidRDefault="00067495" w:rsidP="006D7DE6">
      <w:pPr>
        <w:pStyle w:val="BodyTextFirstIndent"/>
      </w:pPr>
      <w:r>
        <w:rPr>
          <w:b/>
          <w:bCs/>
        </w:rPr>
        <w:t>ANSI/IES RP-3-13</w:t>
      </w:r>
      <w:r>
        <w:t xml:space="preserve"> pertains to lighting in educational facilities and covers lighting design, quality, equipment, and energy controls.</w:t>
      </w:r>
      <w:r>
        <w:fldChar w:fldCharType="begin"/>
      </w:r>
      <w:r w:rsidR="00F1456A">
        <w:instrText xml:space="preserve"> ADDIN ZOTERO_ITEM CSL_CITATION {"citationID":"RxbdZy2W","properties":{"formattedCitation":"\\super 386\\nosupersub{}","plainCitation":"386","noteIndex":0},"citationItems":[{"id":901,"uris":["http://zotero.org/groups/5563646/items/WSLRGFVY"],"itemData":{"id":901,"type":"document","title":"American National Standard Practice on Lighting for Educational Facilities","author":[{"family":"The Educational Facilities Committee of the Illuminating Engineering Society of North America","given":""}],"issued":{"date-parts":[["2013"]]}}}],"schema":"https://github.com/citation-style-language/schema/raw/master/csl-citation.json"} </w:instrText>
      </w:r>
      <w:r>
        <w:fldChar w:fldCharType="separate"/>
      </w:r>
      <w:r w:rsidR="00F1456A" w:rsidRPr="00F1456A">
        <w:rPr>
          <w:rFonts w:ascii="Calibri" w:hAnsi="Calibri" w:cs="Calibri"/>
          <w:sz w:val="22"/>
          <w:vertAlign w:val="superscript"/>
        </w:rPr>
        <w:t>386</w:t>
      </w:r>
      <w:r>
        <w:fldChar w:fldCharType="end"/>
      </w:r>
      <w:r>
        <w:t xml:space="preserve"> </w:t>
      </w:r>
    </w:p>
    <w:p w14:paraId="3A063A2F" w14:textId="3B35B165" w:rsidR="00067495" w:rsidRDefault="00067495" w:rsidP="006D7DE6">
      <w:pPr>
        <w:pStyle w:val="BodyTextFirstIndent"/>
      </w:pPr>
      <w:r>
        <w:fldChar w:fldCharType="begin"/>
      </w:r>
      <w:r>
        <w:instrText xml:space="preserve"> REF _Ref171633523 \h </w:instrText>
      </w:r>
      <w:r>
        <w:fldChar w:fldCharType="separate"/>
      </w:r>
      <w:r w:rsidR="00307850">
        <w:t xml:space="preserve">Table </w:t>
      </w:r>
      <w:r w:rsidR="00307850">
        <w:rPr>
          <w:noProof/>
        </w:rPr>
        <w:t>90</w:t>
      </w:r>
      <w:r>
        <w:fldChar w:fldCharType="end"/>
      </w:r>
      <w:r>
        <w:t xml:space="preserve"> </w:t>
      </w:r>
      <w:r w:rsidRPr="007935AE">
        <w:t xml:space="preserve">summarizes the statutes, regulations, and standards related to </w:t>
      </w:r>
      <w:r>
        <w:t>optimizing lighting in</w:t>
      </w:r>
      <w:r w:rsidRPr="007935AE">
        <w:t xml:space="preserve"> schools</w:t>
      </w:r>
      <w:r>
        <w:t xml:space="preserve"> outlined above</w:t>
      </w:r>
      <w:r w:rsidRPr="007935AE">
        <w:t>.</w:t>
      </w:r>
    </w:p>
    <w:p w14:paraId="1BF2DD24" w14:textId="482E61B9" w:rsidR="00067495" w:rsidRDefault="00067495" w:rsidP="00B30C96">
      <w:pPr>
        <w:pStyle w:val="TableTitle"/>
      </w:pPr>
      <w:bookmarkStart w:id="687" w:name="_Ref171633523"/>
      <w:bookmarkStart w:id="688" w:name="_Toc172200339"/>
      <w:bookmarkStart w:id="689" w:name="_Toc192711756"/>
      <w:bookmarkStart w:id="690" w:name="_Toc193112638"/>
      <w:bookmarkStart w:id="691" w:name="_Toc193117037"/>
      <w:r>
        <w:lastRenderedPageBreak/>
        <w:t xml:space="preserve">Table </w:t>
      </w:r>
      <w:fldSimple w:instr=" SEQ Table \* ARABIC ">
        <w:r w:rsidR="00307850">
          <w:rPr>
            <w:noProof/>
          </w:rPr>
          <w:t>90</w:t>
        </w:r>
      </w:fldSimple>
      <w:bookmarkEnd w:id="687"/>
      <w:r>
        <w:t>. Statutory/Regulatory Framework and Notable Standards Related to Optimizing Lighting</w:t>
      </w:r>
      <w:bookmarkEnd w:id="688"/>
      <w:bookmarkEnd w:id="689"/>
      <w:bookmarkEnd w:id="690"/>
      <w:bookmarkEnd w:id="691"/>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optimizing lighting."/>
      </w:tblPr>
      <w:tblGrid>
        <w:gridCol w:w="6834"/>
        <w:gridCol w:w="838"/>
        <w:gridCol w:w="840"/>
        <w:gridCol w:w="838"/>
      </w:tblGrid>
      <w:tr w:rsidR="00067495" w:rsidRPr="00E11392" w14:paraId="1E407BD3"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4F1A6D2B" w14:textId="77777777" w:rsidR="00067495" w:rsidRPr="00E11392" w:rsidRDefault="00067495">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43DAE236" w14:textId="77777777" w:rsidR="00067495" w:rsidRPr="00E11392" w:rsidRDefault="00067495">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3F25186B" w14:textId="77777777" w:rsidR="00067495" w:rsidRPr="00E11392" w:rsidRDefault="00067495">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0D26A2CE" w14:textId="77777777" w:rsidR="00067495" w:rsidRPr="00E11392" w:rsidRDefault="00067495">
            <w:pPr>
              <w:pStyle w:val="TableColumnHeader"/>
              <w:jc w:val="left"/>
            </w:pPr>
            <w:r w:rsidRPr="00E11392">
              <w:t>Standard</w:t>
            </w:r>
          </w:p>
        </w:tc>
      </w:tr>
      <w:tr w:rsidR="00067495" w:rsidRPr="00E11392" w14:paraId="3100470E"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ADB0FF7" w14:textId="77777777" w:rsidR="00067495" w:rsidRPr="00E11392" w:rsidRDefault="00067495">
            <w:pPr>
              <w:pStyle w:val="TableRowHeader"/>
            </w:pPr>
            <w:r w:rsidRPr="00E11392">
              <w:t>Standards</w:t>
            </w:r>
          </w:p>
        </w:tc>
      </w:tr>
      <w:tr w:rsidR="00067495" w:rsidRPr="00E11392" w14:paraId="3CDF66D5"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72B2B322" w14:textId="77777777" w:rsidR="00067495" w:rsidRPr="00E11392" w:rsidRDefault="00067495">
            <w:pPr>
              <w:pStyle w:val="TableText"/>
            </w:pPr>
            <w:r>
              <w:t>ANSI/IES RP-3-13</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C8F1164" w14:textId="77777777" w:rsidR="00067495" w:rsidRPr="00E11392" w:rsidRDefault="00067495">
            <w:pPr>
              <w:jc w:val="center"/>
              <w:rPr>
                <w:rFonts w:ascii="Arial" w:hAnsi="Arial" w:cs="Arial"/>
                <w:b/>
                <w:bCs/>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279B14DA" w14:textId="77777777" w:rsidR="00067495" w:rsidRPr="00E11392" w:rsidRDefault="00067495">
            <w:pPr>
              <w:jc w:val="center"/>
              <w:rPr>
                <w:rFonts w:ascii="Arial" w:hAnsi="Arial" w:cs="Arial"/>
                <w:b/>
                <w:bCs/>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37BBBC7" w14:textId="77777777" w:rsidR="00067495" w:rsidRPr="00E11392" w:rsidRDefault="00067495">
            <w:pPr>
              <w:jc w:val="center"/>
              <w:rPr>
                <w:rFonts w:ascii="Arial" w:hAnsi="Arial" w:cs="Arial"/>
                <w:b/>
                <w:bCs/>
                <w:color w:val="00B050"/>
                <w:sz w:val="24"/>
              </w:rPr>
            </w:pPr>
            <w:r w:rsidRPr="00E11392">
              <w:rPr>
                <w:rFonts w:ascii="Arial" w:hAnsi="Arial" w:cs="Arial"/>
                <w:b/>
                <w:bCs/>
                <w:color w:val="00B050"/>
                <w:sz w:val="24"/>
              </w:rPr>
              <w:t>X</w:t>
            </w:r>
          </w:p>
        </w:tc>
      </w:tr>
    </w:tbl>
    <w:p w14:paraId="647A475E" w14:textId="77777777" w:rsidR="00067495" w:rsidRDefault="00067495" w:rsidP="00067495">
      <w:pPr>
        <w:pStyle w:val="Heading3"/>
      </w:pPr>
      <w:r>
        <w:t>Relevant Resources</w:t>
      </w:r>
    </w:p>
    <w:p w14:paraId="4210C6C0" w14:textId="1DACEF07" w:rsidR="00067495" w:rsidRDefault="00067495" w:rsidP="006D7DE6">
      <w:pPr>
        <w:pStyle w:val="BodyTextFirstIndent"/>
      </w:pPr>
      <w:r>
        <w:fldChar w:fldCharType="begin"/>
      </w:r>
      <w:r>
        <w:instrText xml:space="preserve"> REF _Ref171633552 \h </w:instrText>
      </w:r>
      <w:r>
        <w:fldChar w:fldCharType="separate"/>
      </w:r>
      <w:r w:rsidR="00307850">
        <w:t xml:space="preserve">Table </w:t>
      </w:r>
      <w:r w:rsidR="00307850">
        <w:rPr>
          <w:noProof/>
        </w:rPr>
        <w:t>91</w:t>
      </w:r>
      <w:r>
        <w:fldChar w:fldCharType="end"/>
      </w:r>
      <w:r>
        <w:t xml:space="preserve"> provides a summary of resources related to optimizing lighting in schools.</w:t>
      </w:r>
    </w:p>
    <w:p w14:paraId="18A59948" w14:textId="31D8E186" w:rsidR="00067495" w:rsidRDefault="00067495" w:rsidP="00B30C96">
      <w:pPr>
        <w:pStyle w:val="TableTitle"/>
      </w:pPr>
      <w:bookmarkStart w:id="692" w:name="_Ref171633552"/>
      <w:bookmarkStart w:id="693" w:name="_Toc172200340"/>
      <w:bookmarkStart w:id="694" w:name="_Toc192711757"/>
      <w:bookmarkStart w:id="695" w:name="_Toc193112639"/>
      <w:bookmarkStart w:id="696" w:name="_Toc193117038"/>
      <w:r>
        <w:t xml:space="preserve">Table </w:t>
      </w:r>
      <w:fldSimple w:instr=" SEQ Table \* ARABIC ">
        <w:r w:rsidR="00307850">
          <w:rPr>
            <w:noProof/>
          </w:rPr>
          <w:t>91</w:t>
        </w:r>
      </w:fldSimple>
      <w:bookmarkEnd w:id="692"/>
      <w:r>
        <w:t>. Resources Related to Optimizing Lighting</w:t>
      </w:r>
      <w:bookmarkEnd w:id="693"/>
      <w:bookmarkEnd w:id="694"/>
      <w:bookmarkEnd w:id="695"/>
      <w:bookmarkEnd w:id="696"/>
    </w:p>
    <w:tbl>
      <w:tblPr>
        <w:tblStyle w:val="TableGrid"/>
        <w:tblW w:w="0" w:type="auto"/>
        <w:tblLayout w:type="fixed"/>
        <w:tblLook w:val="04A0" w:firstRow="1" w:lastRow="0" w:firstColumn="1" w:lastColumn="0" w:noHBand="0" w:noVBand="1"/>
        <w:tblDescription w:val="Table listing resources with active URLs for optimizing lighting"/>
      </w:tblPr>
      <w:tblGrid>
        <w:gridCol w:w="2515"/>
        <w:gridCol w:w="2430"/>
        <w:gridCol w:w="4405"/>
      </w:tblGrid>
      <w:tr w:rsidR="00067495" w:rsidRPr="00276B41" w14:paraId="0BD7E58B" w14:textId="77777777">
        <w:trPr>
          <w:tblHeader/>
        </w:trPr>
        <w:tc>
          <w:tcPr>
            <w:tcW w:w="2515" w:type="dxa"/>
            <w:shd w:val="clear" w:color="auto" w:fill="C6D9F1" w:themeFill="text2" w:themeFillTint="33"/>
          </w:tcPr>
          <w:p w14:paraId="23F6175B" w14:textId="77777777" w:rsidR="00067495" w:rsidRPr="004C3A1C" w:rsidRDefault="00067495">
            <w:pPr>
              <w:pStyle w:val="TableColumnHeader"/>
            </w:pPr>
            <w:r w:rsidRPr="004C3A1C">
              <w:t>Resource</w:t>
            </w:r>
          </w:p>
        </w:tc>
        <w:tc>
          <w:tcPr>
            <w:tcW w:w="2430" w:type="dxa"/>
            <w:shd w:val="clear" w:color="auto" w:fill="C6D9F1" w:themeFill="text2" w:themeFillTint="33"/>
          </w:tcPr>
          <w:p w14:paraId="32EABA61" w14:textId="77777777" w:rsidR="00067495" w:rsidRPr="004C3A1C" w:rsidRDefault="00067495">
            <w:pPr>
              <w:pStyle w:val="TableColumnHeader"/>
            </w:pPr>
            <w:r w:rsidRPr="004C3A1C">
              <w:t>Author</w:t>
            </w:r>
          </w:p>
        </w:tc>
        <w:tc>
          <w:tcPr>
            <w:tcW w:w="4405" w:type="dxa"/>
            <w:shd w:val="clear" w:color="auto" w:fill="C6D9F1" w:themeFill="text2" w:themeFillTint="33"/>
          </w:tcPr>
          <w:p w14:paraId="71FCD72E" w14:textId="77777777" w:rsidR="00067495" w:rsidRPr="004C3A1C" w:rsidRDefault="00067495">
            <w:pPr>
              <w:pStyle w:val="TableColumnHeader"/>
            </w:pPr>
            <w:r w:rsidRPr="004C3A1C">
              <w:t>URL</w:t>
            </w:r>
          </w:p>
        </w:tc>
      </w:tr>
      <w:tr w:rsidR="00067495" w:rsidRPr="00276B41" w14:paraId="7C0D50DE" w14:textId="77777777">
        <w:tc>
          <w:tcPr>
            <w:tcW w:w="2515" w:type="dxa"/>
          </w:tcPr>
          <w:p w14:paraId="748DB346" w14:textId="77777777" w:rsidR="00067495" w:rsidRPr="00276B41" w:rsidRDefault="00067495">
            <w:pPr>
              <w:pStyle w:val="TableText"/>
            </w:pPr>
            <w:r>
              <w:t xml:space="preserve">K-12 Lighting Toolkit </w:t>
            </w:r>
          </w:p>
        </w:tc>
        <w:tc>
          <w:tcPr>
            <w:tcW w:w="2430" w:type="dxa"/>
          </w:tcPr>
          <w:p w14:paraId="7B2383F4" w14:textId="77777777" w:rsidR="00067495" w:rsidRPr="00276B41" w:rsidRDefault="00067495">
            <w:pPr>
              <w:pStyle w:val="TableText"/>
            </w:pPr>
            <w:r>
              <w:t>DOE</w:t>
            </w:r>
          </w:p>
        </w:tc>
        <w:tc>
          <w:tcPr>
            <w:tcW w:w="4405" w:type="dxa"/>
          </w:tcPr>
          <w:p w14:paraId="1C8A2DD7" w14:textId="76FA34FE" w:rsidR="00067495" w:rsidRPr="00276B41" w:rsidRDefault="00067495">
            <w:pPr>
              <w:pStyle w:val="TableText"/>
            </w:pPr>
            <w:hyperlink r:id="rId380" w:history="1">
              <w:r w:rsidRPr="004A47E4">
                <w:rPr>
                  <w:rStyle w:val="Hyperlink"/>
                </w:rPr>
                <w:t>https://betterbuildingssolutioncenter.energy.gov/k-12-lighting-toolkit</w:t>
              </w:r>
            </w:hyperlink>
            <w:r>
              <w:t xml:space="preserve"> </w:t>
            </w:r>
          </w:p>
        </w:tc>
      </w:tr>
    </w:tbl>
    <w:p w14:paraId="25E44498" w14:textId="77777777" w:rsidR="00067495" w:rsidRDefault="00067495" w:rsidP="00067495">
      <w:pPr>
        <w:rPr>
          <w:rFonts w:cs="Arial"/>
          <w:b/>
          <w:bCs/>
          <w:color w:val="1F497D" w:themeColor="text2"/>
          <w:sz w:val="24"/>
          <w:szCs w:val="22"/>
        </w:rPr>
      </w:pPr>
    </w:p>
    <w:p w14:paraId="4151DA7D" w14:textId="13F502F9" w:rsidR="008C1964" w:rsidRDefault="003D5C24" w:rsidP="008C1964">
      <w:pPr>
        <w:pStyle w:val="AirQualitySubheading"/>
      </w:pPr>
      <w:bookmarkStart w:id="697" w:name="SectVII_2i2"/>
      <w:bookmarkEnd w:id="697"/>
      <w:r>
        <w:t>2i(2)</w:t>
      </w:r>
      <w:r>
        <w:tab/>
      </w:r>
      <w:r w:rsidR="008C1964">
        <w:t>Optimize Acoustic Performance</w:t>
      </w:r>
    </w:p>
    <w:p w14:paraId="2BA24B41" w14:textId="77777777" w:rsidR="00466FB3" w:rsidRDefault="00466FB3" w:rsidP="00466FB3">
      <w:pPr>
        <w:pStyle w:val="Heading3"/>
      </w:pPr>
      <w:r>
        <w:t>Methods and Best Practices</w:t>
      </w:r>
    </w:p>
    <w:p w14:paraId="0C2DCA94" w14:textId="77777777" w:rsidR="00466FB3" w:rsidRPr="00F31444" w:rsidRDefault="00466FB3" w:rsidP="006D7DE6">
      <w:pPr>
        <w:pStyle w:val="BodyTextFirstIndent"/>
      </w:pPr>
      <w:r>
        <w:t xml:space="preserve">The following best practice focuses on creating optimal acoustic performance in the classroom by reducing reverberation time and background noise. </w:t>
      </w:r>
    </w:p>
    <w:p w14:paraId="53C1564F" w14:textId="77777777" w:rsidR="00466FB3" w:rsidRDefault="00466FB3" w:rsidP="00466FB3">
      <w:pPr>
        <w:pStyle w:val="Heading5"/>
      </w:pPr>
      <w:r>
        <w:t>(1) Reduce Sound Reverberation Time and Minimize Background Noise in Classrooms</w:t>
      </w:r>
    </w:p>
    <w:p w14:paraId="6F95B011" w14:textId="36C5A942" w:rsidR="008C1964" w:rsidRDefault="00466FB3" w:rsidP="006D7DE6">
      <w:pPr>
        <w:pStyle w:val="BodyTextFirstIndent"/>
      </w:pPr>
      <w:r>
        <w:rPr>
          <w:noProof/>
        </w:rPr>
        <mc:AlternateContent>
          <mc:Choice Requires="wps">
            <w:drawing>
              <wp:anchor distT="0" distB="0" distL="114300" distR="114300" simplePos="0" relativeHeight="251702784" behindDoc="0" locked="0" layoutInCell="1" allowOverlap="1" wp14:anchorId="497963C4" wp14:editId="7ACFA30A">
                <wp:simplePos x="0" y="0"/>
                <wp:positionH relativeFrom="margin">
                  <wp:posOffset>2609850</wp:posOffset>
                </wp:positionH>
                <wp:positionV relativeFrom="paragraph">
                  <wp:posOffset>238125</wp:posOffset>
                </wp:positionV>
                <wp:extent cx="3347085" cy="2076450"/>
                <wp:effectExtent l="0" t="0" r="24765" b="19050"/>
                <wp:wrapSquare wrapText="bothSides"/>
                <wp:docPr id="2027419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2076450"/>
                        </a:xfrm>
                        <a:prstGeom prst="rect">
                          <a:avLst/>
                        </a:prstGeom>
                        <a:solidFill>
                          <a:srgbClr val="DCE6F2"/>
                        </a:solidFill>
                        <a:ln w="9525">
                          <a:solidFill>
                            <a:srgbClr val="000000"/>
                          </a:solidFill>
                          <a:miter lim="800000"/>
                          <a:headEnd/>
                          <a:tailEnd/>
                        </a:ln>
                      </wps:spPr>
                      <wps:txbx>
                        <w:txbxContent>
                          <w:p w14:paraId="018CA657" w14:textId="77777777" w:rsidR="00466FB3" w:rsidRDefault="00466FB3" w:rsidP="00466FB3">
                            <w:pPr>
                              <w:pStyle w:val="TextBoxTitle"/>
                            </w:pPr>
                            <w:r>
                              <w:t>Sound Reverberation Time</w:t>
                            </w:r>
                          </w:p>
                          <w:p w14:paraId="0BD5FEF2" w14:textId="77777777" w:rsidR="00466FB3" w:rsidRPr="00D316F6" w:rsidRDefault="00466FB3" w:rsidP="00466FB3">
                            <w:pPr>
                              <w:pStyle w:val="TextBoxText"/>
                            </w:pPr>
                            <w:r>
                              <w:t>S</w:t>
                            </w:r>
                            <w:r w:rsidRPr="00634311">
                              <w:t>ound consists of pressure waves</w:t>
                            </w:r>
                            <w:r>
                              <w:t xml:space="preserve"> that extend outward from the original source. </w:t>
                            </w:r>
                            <w:r w:rsidRPr="00634311">
                              <w:t xml:space="preserve">Sound waves bounce off </w:t>
                            </w:r>
                            <w:r>
                              <w:t xml:space="preserve">reflective surfaces such as </w:t>
                            </w:r>
                            <w:r w:rsidRPr="00634311">
                              <w:t xml:space="preserve">the floor, walls, </w:t>
                            </w:r>
                            <w:r>
                              <w:t xml:space="preserve">and </w:t>
                            </w:r>
                            <w:r w:rsidRPr="00634311">
                              <w:t>ceiling, and gradually los</w:t>
                            </w:r>
                            <w:r>
                              <w:t>e</w:t>
                            </w:r>
                            <w:r w:rsidRPr="00634311">
                              <w:t xml:space="preserve"> energy over time. </w:t>
                            </w:r>
                            <w:r>
                              <w:t>“R</w:t>
                            </w:r>
                            <w:r w:rsidRPr="00634311">
                              <w:t>everberation</w:t>
                            </w:r>
                            <w:r>
                              <w:t>”</w:t>
                            </w:r>
                            <w:r w:rsidRPr="00634311">
                              <w:t xml:space="preserve"> is </w:t>
                            </w:r>
                            <w:r>
                              <w:t xml:space="preserve">defined as </w:t>
                            </w:r>
                            <w:r w:rsidRPr="00634311">
                              <w:t>the collection of the reflected sounds.</w:t>
                            </w:r>
                            <w:r>
                              <w:t xml:space="preserve"> “R</w:t>
                            </w:r>
                            <w:r w:rsidRPr="00634311">
                              <w:t>everberation time</w:t>
                            </w:r>
                            <w:r>
                              <w:t>”</w:t>
                            </w:r>
                            <w:r w:rsidRPr="00634311">
                              <w:t xml:space="preserve"> </w:t>
                            </w:r>
                            <w:r>
                              <w:t xml:space="preserve">refers to </w:t>
                            </w:r>
                            <w:r w:rsidRPr="00634311">
                              <w:t xml:space="preserve">the </w:t>
                            </w:r>
                            <w:r>
                              <w:t xml:space="preserve">amount of </w:t>
                            </w:r>
                            <w:r w:rsidRPr="00634311">
                              <w:t xml:space="preserve">time that it takes </w:t>
                            </w:r>
                            <w:r>
                              <w:t xml:space="preserve">for </w:t>
                            </w:r>
                            <w:r w:rsidRPr="00634311">
                              <w:t>the sound to fade away</w:t>
                            </w:r>
                            <w:r>
                              <w:t xml:space="preserve"> </w:t>
                            </w:r>
                            <w:r w:rsidRPr="00634311">
                              <w:t>after the source of the sound has ceased</w:t>
                            </w:r>
                            <w:r>
                              <w:t>.</w:t>
                            </w:r>
                            <w:r w:rsidRPr="00D316F6">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7963C4" id="_x0000_s1074" type="#_x0000_t202" style="position:absolute;margin-left:205.5pt;margin-top:18.75pt;width:263.55pt;height:163.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" fillcolor="#dce6f2">
                <v:textbox>
                  <w:txbxContent>
                    <w:p w14:paraId="018CA657" w14:textId="77777777" w:rsidR="00466FB3" w:rsidRDefault="00466FB3" w:rsidP="00466FB3">
                      <w:pPr>
                        <w:pStyle w:val="TextBoxTitle"/>
                      </w:pPr>
                      <w:r>
                        <w:t>Sound Reverberation Time</w:t>
                      </w:r>
                    </w:p>
                    <w:p w14:paraId="0BD5FEF2" w14:textId="77777777" w:rsidR="00466FB3" w:rsidRPr="00D316F6" w:rsidRDefault="00466FB3" w:rsidP="00466FB3">
                      <w:pPr>
                        <w:pStyle w:val="TextBoxText"/>
                      </w:pPr>
                      <w:r>
                        <w:t>S</w:t>
                      </w:r>
                      <w:r w:rsidRPr="00634311">
                        <w:t>ound consists of pressure waves</w:t>
                      </w:r>
                      <w:r>
                        <w:t xml:space="preserve"> that extend outward from the original source. </w:t>
                      </w:r>
                      <w:r w:rsidRPr="00634311">
                        <w:t xml:space="preserve">Sound waves bounce off </w:t>
                      </w:r>
                      <w:r>
                        <w:t xml:space="preserve">reflective surfaces such as </w:t>
                      </w:r>
                      <w:r w:rsidRPr="00634311">
                        <w:t xml:space="preserve">the floor, walls, </w:t>
                      </w:r>
                      <w:r>
                        <w:t xml:space="preserve">and </w:t>
                      </w:r>
                      <w:r w:rsidRPr="00634311">
                        <w:t>ceiling, and gradually los</w:t>
                      </w:r>
                      <w:r>
                        <w:t>e</w:t>
                      </w:r>
                      <w:r w:rsidRPr="00634311">
                        <w:t xml:space="preserve"> energy over time. </w:t>
                      </w:r>
                      <w:r>
                        <w:t>“R</w:t>
                      </w:r>
                      <w:r w:rsidRPr="00634311">
                        <w:t>everberation</w:t>
                      </w:r>
                      <w:r>
                        <w:t>”</w:t>
                      </w:r>
                      <w:r w:rsidRPr="00634311">
                        <w:t xml:space="preserve"> is </w:t>
                      </w:r>
                      <w:r>
                        <w:t xml:space="preserve">defined as </w:t>
                      </w:r>
                      <w:r w:rsidRPr="00634311">
                        <w:t>the collection of the reflected sounds.</w:t>
                      </w:r>
                      <w:r>
                        <w:t xml:space="preserve"> “R</w:t>
                      </w:r>
                      <w:r w:rsidRPr="00634311">
                        <w:t>everberation time</w:t>
                      </w:r>
                      <w:r>
                        <w:t>”</w:t>
                      </w:r>
                      <w:r w:rsidRPr="00634311">
                        <w:t xml:space="preserve"> </w:t>
                      </w:r>
                      <w:r>
                        <w:t xml:space="preserve">refers to </w:t>
                      </w:r>
                      <w:r w:rsidRPr="00634311">
                        <w:t xml:space="preserve">the </w:t>
                      </w:r>
                      <w:r>
                        <w:t xml:space="preserve">amount of </w:t>
                      </w:r>
                      <w:r w:rsidRPr="00634311">
                        <w:t xml:space="preserve">time that it takes </w:t>
                      </w:r>
                      <w:r>
                        <w:t xml:space="preserve">for </w:t>
                      </w:r>
                      <w:r w:rsidRPr="00634311">
                        <w:t>the sound to fade away</w:t>
                      </w:r>
                      <w:r>
                        <w:t xml:space="preserve"> </w:t>
                      </w:r>
                      <w:r w:rsidRPr="00634311">
                        <w:t>after the source of the sound has ceased</w:t>
                      </w:r>
                      <w:r>
                        <w:t>.</w:t>
                      </w:r>
                      <w:r w:rsidRPr="00D316F6">
                        <w:t xml:space="preserve"> </w:t>
                      </w:r>
                    </w:p>
                  </w:txbxContent>
                </v:textbox>
                <w10:wrap type="square" anchorx="margin"/>
              </v:shape>
            </w:pict>
          </mc:Fallback>
        </mc:AlternateContent>
      </w:r>
      <w:r>
        <w:t xml:space="preserve">Schools should reduce sound reverberation times and eliminate background noise as much as possible </w:t>
      </w:r>
      <w:r w:rsidR="00C23322">
        <w:t>for</w:t>
      </w:r>
      <w:r>
        <w:t xml:space="preserve"> acoustic comfort in the classroom. Sound reverberation times can be reduced by increasing the number of sound-absorbing materials in the classroom.</w:t>
      </w:r>
      <w:r>
        <w:fldChar w:fldCharType="begin"/>
      </w:r>
      <w:r w:rsidR="00666E1C">
        <w:instrText xml:space="preserve"> ADDIN ZOTERO_ITEM CSL_CITATION {"citationID":"KD4JqvRG","properties":{"formattedCitation":"\\super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666E1C" w:rsidRPr="00666E1C">
        <w:rPr>
          <w:rFonts w:ascii="Calibri" w:hAnsi="Calibri" w:cs="Calibri"/>
          <w:sz w:val="22"/>
          <w:vertAlign w:val="superscript"/>
        </w:rPr>
        <w:t>387</w:t>
      </w:r>
      <w:r>
        <w:fldChar w:fldCharType="end"/>
      </w:r>
      <w:r>
        <w:t xml:space="preserve"> For example, ceiling panels should have a minimum noise reduction coefficient of 0.70, meaning that 70 percent of the sound waves that strike the material is absorbed.</w:t>
      </w:r>
      <w:r>
        <w:fldChar w:fldCharType="begin"/>
      </w:r>
      <w:r w:rsidR="009D7D17">
        <w:instrText xml:space="preserve"> ADDIN ZOTERO_ITEM CSL_CITATION {"citationID":"a9o4aZC9","properties":{"formattedCitation":"\\super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9D7D17" w:rsidRPr="009D7D17">
        <w:rPr>
          <w:rFonts w:ascii="Calibri" w:hAnsi="Calibri" w:cs="Calibri"/>
          <w:sz w:val="22"/>
          <w:vertAlign w:val="superscript"/>
        </w:rPr>
        <w:t>387</w:t>
      </w:r>
      <w:r>
        <w:fldChar w:fldCharType="end"/>
      </w:r>
      <w:r>
        <w:t xml:space="preserve"> </w:t>
      </w:r>
      <w:r>
        <w:lastRenderedPageBreak/>
        <w:t>Further, ceiling panels should have a high ceiling attenuation class value to reduce the noise traveling through walls.</w:t>
      </w:r>
      <w:r>
        <w:fldChar w:fldCharType="begin"/>
      </w:r>
      <w:r w:rsidR="00DC7210">
        <w:instrText xml:space="preserve"> ADDIN ZOTERO_ITEM CSL_CITATION {"citationID":"xfDhI3Fp","properties":{"formattedCitation":"\\super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DC7210" w:rsidRPr="00DC7210">
        <w:rPr>
          <w:rFonts w:ascii="Calibri" w:hAnsi="Calibri" w:cs="Calibri"/>
          <w:sz w:val="22"/>
          <w:vertAlign w:val="superscript"/>
        </w:rPr>
        <w:t>387</w:t>
      </w:r>
      <w:r>
        <w:fldChar w:fldCharType="end"/>
      </w:r>
      <w:r>
        <w:t xml:space="preserve"> Walls should also be constructed with sufficient insulation to reduce noise transmission.</w:t>
      </w:r>
      <w:r>
        <w:fldChar w:fldCharType="begin"/>
      </w:r>
      <w:r w:rsidR="00EF4A4B">
        <w:instrText xml:space="preserve"> ADDIN ZOTERO_ITEM CSL_CITATION {"citationID":"qcJKWtQ5","properties":{"formattedCitation":"\\super 388\\nosupersub{}","plainCitation":"388","noteIndex":0},"citationItems":[{"id":997,"uris":["http://zotero.org/groups/5563646/items/35CFK4WT"],"itemData":{"id":997,"type":"article-journal","language":"en","source":"Zotero","title":"Acoustics of Schools: a design guide","author":[{"family":"Institute of Acoustics","given":""},{"family":"Acoustics &amp; Noise Consultants","given":""}],"issued":{"date-parts":[["2015",11]]}}}],"schema":"https://github.com/citation-style-language/schema/raw/master/csl-citation.json"} </w:instrText>
      </w:r>
      <w:r>
        <w:fldChar w:fldCharType="separate"/>
      </w:r>
      <w:r w:rsidR="00EF4A4B" w:rsidRPr="00EF4A4B">
        <w:rPr>
          <w:rFonts w:ascii="Calibri" w:hAnsi="Calibri" w:cs="Calibri"/>
          <w:sz w:val="22"/>
          <w:vertAlign w:val="superscript"/>
        </w:rPr>
        <w:t>388</w:t>
      </w:r>
      <w:r>
        <w:fldChar w:fldCharType="end"/>
      </w:r>
      <w:r>
        <w:t xml:space="preserve"> Flooring can also assist in absorbing sound waves; for example, carpeting, in particular, can reduce overall background noise.</w:t>
      </w:r>
      <w:r>
        <w:fldChar w:fldCharType="begin"/>
      </w:r>
      <w:r w:rsidR="00E62B98">
        <w:instrText xml:space="preserve"> ADDIN ZOTERO_ITEM CSL_CITATION {"citationID":"GYcfECEb","properties":{"formattedCitation":"\\super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E62B98" w:rsidRPr="00E62B98">
        <w:rPr>
          <w:rFonts w:ascii="Calibri" w:hAnsi="Calibri" w:cs="Calibri"/>
          <w:sz w:val="22"/>
          <w:vertAlign w:val="superscript"/>
        </w:rPr>
        <w:t>387</w:t>
      </w:r>
      <w:r>
        <w:fldChar w:fldCharType="end"/>
      </w:r>
      <w:r>
        <w:t xml:space="preserve"> Lastly, HVAC units can be one of the primary sources of background noise in a classroom.</w:t>
      </w:r>
      <w:r>
        <w:fldChar w:fldCharType="begin"/>
      </w:r>
      <w:r w:rsidR="00D632B0">
        <w:instrText xml:space="preserve"> ADDIN ZOTERO_ITEM CSL_CITATION {"citationID":"ThSyVYKF","properties":{"formattedCitation":"\\super 145,387\\nosupersub{}","plainCitation":"145,387","noteIndex":0},"citationItems":[{"id":540,"uris":["http://zotero.org/groups/5563646/items/C36H34MV"],"itemData":{"id":540,"type":"article-journal","language":"en","source":"Zotero","title":"National Best Practices Manual for Building High Performance Schools","author":[{"family":"Nicklas","given":"Mike"},{"family":"Design","given":"Innovative"}]}},{"id":995,"uris":["http://zotero.org/groups/5563646/items/GW3ENY64"],"itemData":{"id":995,"type":"document","title":"Meeting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D632B0" w:rsidRPr="00D632B0">
        <w:rPr>
          <w:rFonts w:ascii="Calibri" w:hAnsi="Calibri" w:cs="Calibri"/>
          <w:sz w:val="22"/>
          <w:vertAlign w:val="superscript"/>
        </w:rPr>
        <w:t>145,387</w:t>
      </w:r>
      <w:r>
        <w:fldChar w:fldCharType="end"/>
      </w:r>
      <w:r>
        <w:t xml:space="preserve"> Centralized systems have reduced noise levels as compared to window units; thus, these systems should be employed where possible, and air handlers or any other equipment should be installed away from classrooms and near inherently noisy areas such as cafeterias and gymnasiums.</w:t>
      </w:r>
      <w:r>
        <w:fldChar w:fldCharType="begin"/>
      </w:r>
      <w:r w:rsidR="00BD3FE7">
        <w:instrText xml:space="preserve"> ADDIN ZOTERO_ITEM CSL_CITATION {"citationID":"SQExhY2B","properties":{"formattedCitation":"\\super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BD3FE7" w:rsidRPr="00BD3FE7">
        <w:rPr>
          <w:rFonts w:ascii="Calibri" w:hAnsi="Calibri" w:cs="Calibri"/>
          <w:sz w:val="22"/>
          <w:vertAlign w:val="superscript"/>
        </w:rPr>
        <w:t>387</w:t>
      </w:r>
      <w:r>
        <w:fldChar w:fldCharType="end"/>
      </w:r>
    </w:p>
    <w:p w14:paraId="6C28B85F" w14:textId="77777777" w:rsidR="00465F58" w:rsidRDefault="00465F58" w:rsidP="00465F58">
      <w:pPr>
        <w:pStyle w:val="Heading3"/>
      </w:pPr>
      <w:r>
        <w:t>Statutes, Regulations, and Standards</w:t>
      </w:r>
    </w:p>
    <w:p w14:paraId="71361250" w14:textId="77777777" w:rsidR="00465F58" w:rsidRDefault="00465F58" w:rsidP="006D7DE6">
      <w:pPr>
        <w:pStyle w:val="BodyTextFirstIndent"/>
      </w:pPr>
      <w:r>
        <w:t xml:space="preserve">The following standard addresses classroom acoustics and sets limits for optimal speech intelligibility. </w:t>
      </w:r>
    </w:p>
    <w:p w14:paraId="4269865E" w14:textId="77777777" w:rsidR="00465F58" w:rsidRDefault="00465F58" w:rsidP="00465F58">
      <w:pPr>
        <w:pStyle w:val="Heading4"/>
      </w:pPr>
      <w:r>
        <w:t>Relevant Standards</w:t>
      </w:r>
    </w:p>
    <w:p w14:paraId="65548F00" w14:textId="778E5B36" w:rsidR="00465F58" w:rsidRDefault="00465F58" w:rsidP="006D7DE6">
      <w:pPr>
        <w:pStyle w:val="BodyTextFirstIndent"/>
      </w:pPr>
      <w:r>
        <w:rPr>
          <w:b/>
          <w:bCs/>
        </w:rPr>
        <w:t>ANSI/ASA S12.60</w:t>
      </w:r>
      <w:r>
        <w:t xml:space="preserve"> addresses reverberation time and background noise limits in the classroom.</w:t>
      </w:r>
      <w:r>
        <w:fldChar w:fldCharType="begin"/>
      </w:r>
      <w:r w:rsidR="00480AD3">
        <w:instrText xml:space="preserve"> ADDIN ZOTERO_ITEM CSL_CITATION {"citationID":"BaFWzqE1","properties":{"formattedCitation":"\\super 387\\nosupersub{}","plainCitation":"387","noteIndex":0},"citationItems":[{"id":995,"uris":["http://zotero.org/groups/5563646/items/GW3ENY64"],"itemData":{"id":995,"type":"document","title":"Meeting ANSI Standard S12.60 Requirements","author":[{"family":"Armstrong World Industries","given":""}]}}],"schema":"https://github.com/citation-style-language/schema/raw/master/csl-citation.json"} </w:instrText>
      </w:r>
      <w:r>
        <w:fldChar w:fldCharType="separate"/>
      </w:r>
      <w:r w:rsidR="00480AD3" w:rsidRPr="00480AD3">
        <w:rPr>
          <w:rFonts w:ascii="Calibri" w:hAnsi="Calibri" w:cs="Calibri"/>
          <w:sz w:val="22"/>
          <w:vertAlign w:val="superscript"/>
        </w:rPr>
        <w:t>387</w:t>
      </w:r>
      <w:r>
        <w:fldChar w:fldCharType="end"/>
      </w:r>
    </w:p>
    <w:p w14:paraId="77FEDE72" w14:textId="2BAC45BD" w:rsidR="00465F58" w:rsidRDefault="00465F58" w:rsidP="006D7DE6">
      <w:pPr>
        <w:pStyle w:val="BodyTextFirstIndent"/>
      </w:pPr>
      <w:r>
        <w:fldChar w:fldCharType="begin"/>
      </w:r>
      <w:r>
        <w:instrText xml:space="preserve"> REF _Ref171633687 \h </w:instrText>
      </w:r>
      <w:r>
        <w:fldChar w:fldCharType="separate"/>
      </w:r>
      <w:r w:rsidR="00307850">
        <w:t xml:space="preserve">Table </w:t>
      </w:r>
      <w:r w:rsidR="00307850">
        <w:rPr>
          <w:noProof/>
        </w:rPr>
        <w:t>92</w:t>
      </w:r>
      <w:r>
        <w:fldChar w:fldCharType="end"/>
      </w:r>
      <w:r>
        <w:t xml:space="preserve"> </w:t>
      </w:r>
      <w:r w:rsidRPr="007935AE">
        <w:t xml:space="preserve">summarizes the statutes, regulations, and standards related to </w:t>
      </w:r>
      <w:r>
        <w:t>optimizing acoustic performance in</w:t>
      </w:r>
      <w:r w:rsidRPr="007935AE">
        <w:t xml:space="preserve"> schools</w:t>
      </w:r>
      <w:r>
        <w:t xml:space="preserve"> outlined above</w:t>
      </w:r>
      <w:r w:rsidRPr="007935AE">
        <w:t>.</w:t>
      </w:r>
    </w:p>
    <w:p w14:paraId="07A8A764" w14:textId="33770930" w:rsidR="00465F58" w:rsidRDefault="00465F58" w:rsidP="00B30C96">
      <w:pPr>
        <w:pStyle w:val="TableTitle"/>
      </w:pPr>
      <w:bookmarkStart w:id="698" w:name="_Ref171633687"/>
      <w:bookmarkStart w:id="699" w:name="_Toc172200342"/>
      <w:bookmarkStart w:id="700" w:name="_Toc192711758"/>
      <w:bookmarkStart w:id="701" w:name="_Toc193112640"/>
      <w:bookmarkStart w:id="702" w:name="_Toc193117039"/>
      <w:r>
        <w:t xml:space="preserve">Table </w:t>
      </w:r>
      <w:fldSimple w:instr=" SEQ Table \* ARABIC ">
        <w:r w:rsidR="00307850">
          <w:rPr>
            <w:noProof/>
          </w:rPr>
          <w:t>92</w:t>
        </w:r>
      </w:fldSimple>
      <w:bookmarkEnd w:id="698"/>
      <w:r>
        <w:t>. Statutory/Regulatory Framework and Notable Standards Related to Optimizing Acoustic Performance</w:t>
      </w:r>
      <w:bookmarkEnd w:id="699"/>
      <w:bookmarkEnd w:id="700"/>
      <w:bookmarkEnd w:id="701"/>
      <w:bookmarkEnd w:id="702"/>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optimizing acoustic performance."/>
      </w:tblPr>
      <w:tblGrid>
        <w:gridCol w:w="6834"/>
        <w:gridCol w:w="838"/>
        <w:gridCol w:w="840"/>
        <w:gridCol w:w="838"/>
      </w:tblGrid>
      <w:tr w:rsidR="00465F58" w:rsidRPr="00E11392" w14:paraId="2C83F4E9" w14:textId="77777777">
        <w:trPr>
          <w:cantSplit/>
          <w:trHeight w:val="2060"/>
          <w:tblHeader/>
          <w:jc w:val="center"/>
        </w:trPr>
        <w:tc>
          <w:tcPr>
            <w:tcW w:w="3655"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6C2A5110" w14:textId="77777777" w:rsidR="00465F58" w:rsidRPr="00E11392" w:rsidRDefault="00465F58">
            <w:pPr>
              <w:pStyle w:val="TableColumnHeader"/>
            </w:pPr>
            <w:r w:rsidRPr="00E11392">
              <w:t>Statute/Regulation/Standard</w:t>
            </w:r>
          </w:p>
        </w:tc>
        <w:tc>
          <w:tcPr>
            <w:tcW w:w="448"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2E74B352" w14:textId="77777777" w:rsidR="00465F58" w:rsidRPr="00E11392" w:rsidRDefault="00465F58">
            <w:pPr>
              <w:pStyle w:val="TableColumnHeader"/>
              <w:jc w:val="left"/>
            </w:pPr>
            <w:r>
              <w:t>State</w:t>
            </w:r>
            <w:r w:rsidRPr="00E11392">
              <w:t xml:space="preserve"> Statute/ Regulation</w:t>
            </w:r>
          </w:p>
        </w:tc>
        <w:tc>
          <w:tcPr>
            <w:tcW w:w="449"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4E1028D4" w14:textId="77777777" w:rsidR="00465F58" w:rsidRPr="00E11392" w:rsidRDefault="00465F58">
            <w:pPr>
              <w:pStyle w:val="TableColumnHeader"/>
              <w:jc w:val="left"/>
            </w:pPr>
            <w:r>
              <w:t>Other</w:t>
            </w:r>
            <w:r w:rsidRPr="00E11392">
              <w:t xml:space="preserve"> Statute/ Regulation</w:t>
            </w:r>
          </w:p>
        </w:tc>
        <w:tc>
          <w:tcPr>
            <w:tcW w:w="448"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5CFB3743" w14:textId="77777777" w:rsidR="00465F58" w:rsidRPr="00E11392" w:rsidRDefault="00465F58">
            <w:pPr>
              <w:pStyle w:val="TableColumnHeader"/>
              <w:jc w:val="left"/>
            </w:pPr>
            <w:r w:rsidRPr="00E11392">
              <w:t>Standard</w:t>
            </w:r>
          </w:p>
        </w:tc>
      </w:tr>
      <w:tr w:rsidR="00465F58" w:rsidRPr="00E11392" w14:paraId="7A39B248"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D5753E0" w14:textId="77777777" w:rsidR="00465F58" w:rsidRPr="00E11392" w:rsidRDefault="00465F58">
            <w:pPr>
              <w:pStyle w:val="TableRowHeader"/>
            </w:pPr>
            <w:r w:rsidRPr="00E11392">
              <w:t>Standards</w:t>
            </w:r>
          </w:p>
        </w:tc>
      </w:tr>
      <w:tr w:rsidR="00465F58" w:rsidRPr="00E11392" w14:paraId="35FB3249" w14:textId="77777777">
        <w:trPr>
          <w:cantSplit/>
          <w:trHeight w:val="255"/>
          <w:tblHeader/>
          <w:jc w:val="center"/>
        </w:trPr>
        <w:tc>
          <w:tcPr>
            <w:tcW w:w="3655" w:type="pct"/>
            <w:tcBorders>
              <w:top w:val="nil"/>
              <w:left w:val="single" w:sz="4" w:space="0" w:color="auto"/>
              <w:bottom w:val="single" w:sz="4" w:space="0" w:color="auto"/>
              <w:right w:val="single" w:sz="4" w:space="0" w:color="auto"/>
            </w:tcBorders>
            <w:shd w:val="clear" w:color="auto" w:fill="auto"/>
          </w:tcPr>
          <w:p w14:paraId="1279624E" w14:textId="77777777" w:rsidR="00465F58" w:rsidRPr="00E11392" w:rsidRDefault="00465F58">
            <w:pPr>
              <w:pStyle w:val="TableText"/>
            </w:pPr>
            <w:r>
              <w:t>ANSI/ASA S12.60</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5BCFE69" w14:textId="77777777" w:rsidR="00465F58" w:rsidRPr="00E11392" w:rsidRDefault="00465F58">
            <w:pPr>
              <w:jc w:val="center"/>
              <w:rPr>
                <w:rFonts w:ascii="Arial" w:hAnsi="Arial" w:cs="Arial"/>
                <w:b/>
                <w:bCs/>
                <w:sz w:val="24"/>
              </w:rPr>
            </w:pP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4E78E533" w14:textId="77777777" w:rsidR="00465F58" w:rsidRPr="00E11392" w:rsidRDefault="00465F58">
            <w:pPr>
              <w:jc w:val="center"/>
              <w:rPr>
                <w:rFonts w:ascii="Arial" w:hAnsi="Arial" w:cs="Arial"/>
                <w:b/>
                <w:bCs/>
                <w:sz w:val="24"/>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EFDB451" w14:textId="77777777" w:rsidR="00465F58" w:rsidRPr="00E11392" w:rsidRDefault="00465F58">
            <w:pPr>
              <w:jc w:val="center"/>
              <w:rPr>
                <w:rFonts w:ascii="Arial" w:hAnsi="Arial" w:cs="Arial"/>
                <w:b/>
                <w:bCs/>
                <w:color w:val="00B050"/>
                <w:sz w:val="24"/>
              </w:rPr>
            </w:pPr>
            <w:r w:rsidRPr="00E11392">
              <w:rPr>
                <w:rFonts w:ascii="Arial" w:hAnsi="Arial" w:cs="Arial"/>
                <w:b/>
                <w:bCs/>
                <w:color w:val="00B050"/>
                <w:sz w:val="24"/>
              </w:rPr>
              <w:t>X</w:t>
            </w:r>
          </w:p>
        </w:tc>
      </w:tr>
    </w:tbl>
    <w:p w14:paraId="72AF8387" w14:textId="097CA988" w:rsidR="00FD43CA" w:rsidRDefault="00FD43CA" w:rsidP="001C7888">
      <w:pPr>
        <w:pStyle w:val="Heading2"/>
      </w:pPr>
      <w:bookmarkStart w:id="703" w:name="SectVII_2j"/>
      <w:bookmarkStart w:id="704" w:name="_Toc193116942"/>
      <w:bookmarkEnd w:id="703"/>
      <w:r>
        <w:t>Objective 2</w:t>
      </w:r>
      <w:r w:rsidR="00F974F0">
        <w:t>j</w:t>
      </w:r>
      <w:r>
        <w:t xml:space="preserve">. </w:t>
      </w:r>
      <w:r w:rsidR="00F974F0" w:rsidRPr="00F974F0">
        <w:t>Design the Built Environment to Foster a Peaceful School Community</w:t>
      </w:r>
      <w:bookmarkEnd w:id="704"/>
    </w:p>
    <w:p w14:paraId="5398B24F" w14:textId="77777777" w:rsidR="005520AE" w:rsidRDefault="005520AE" w:rsidP="005520AE">
      <w:pPr>
        <w:pStyle w:val="Heading3"/>
      </w:pPr>
      <w:r>
        <w:t>Methods and Best Practices</w:t>
      </w:r>
    </w:p>
    <w:p w14:paraId="23FD6029" w14:textId="619672F7" w:rsidR="005520AE" w:rsidRDefault="005520AE" w:rsidP="006D7DE6">
      <w:pPr>
        <w:pStyle w:val="BodyTextFirstIndent"/>
        <w:rPr>
          <w:highlight w:val="yellow"/>
        </w:rPr>
      </w:pPr>
      <w:r w:rsidRPr="008233CD">
        <w:t xml:space="preserve">Methods and best practices </w:t>
      </w:r>
      <w:r>
        <w:t>for</w:t>
      </w:r>
      <w:r w:rsidRPr="008233CD">
        <w:t xml:space="preserve"> </w:t>
      </w:r>
      <w:r>
        <w:t>d</w:t>
      </w:r>
      <w:r w:rsidRPr="005F3C83">
        <w:t>esign</w:t>
      </w:r>
      <w:r>
        <w:t>ing</w:t>
      </w:r>
      <w:r w:rsidRPr="005F3C83">
        <w:t xml:space="preserve"> the </w:t>
      </w:r>
      <w:r>
        <w:t>b</w:t>
      </w:r>
      <w:r w:rsidRPr="005F3C83">
        <w:t xml:space="preserve">uilt </w:t>
      </w:r>
      <w:r>
        <w:t>e</w:t>
      </w:r>
      <w:r w:rsidRPr="005F3C83">
        <w:t xml:space="preserve">nvironment to </w:t>
      </w:r>
      <w:r>
        <w:t>f</w:t>
      </w:r>
      <w:r w:rsidRPr="005F3C83">
        <w:t xml:space="preserve">oster a </w:t>
      </w:r>
      <w:r>
        <w:t>p</w:t>
      </w:r>
      <w:r w:rsidRPr="005F3C83">
        <w:t xml:space="preserve">eaceful </w:t>
      </w:r>
      <w:r>
        <w:t>s</w:t>
      </w:r>
      <w:r w:rsidRPr="005F3C83">
        <w:t xml:space="preserve">chool </w:t>
      </w:r>
      <w:r>
        <w:t>c</w:t>
      </w:r>
      <w:r w:rsidRPr="005F3C83">
        <w:t>ommunity</w:t>
      </w:r>
      <w:r>
        <w:t xml:space="preserve"> are organized into three categories. The first focuses on reducing stressors resulting from the built environment, the second focuses on designing spaces in school buildings to </w:t>
      </w:r>
      <w:r w:rsidR="005323BF">
        <w:t>support</w:t>
      </w:r>
      <w:r>
        <w:t xml:space="preserve"> overall well-being, and the third focuses on designing spaces that facilitate positive social interactions at school.</w:t>
      </w:r>
    </w:p>
    <w:p w14:paraId="4A5EC81B" w14:textId="77777777" w:rsidR="005520AE" w:rsidRDefault="005520AE" w:rsidP="005520AE">
      <w:pPr>
        <w:pStyle w:val="Heading4"/>
      </w:pPr>
      <w:r>
        <w:lastRenderedPageBreak/>
        <w:t>Reduce Stressors</w:t>
      </w:r>
    </w:p>
    <w:p w14:paraId="312F8B07" w14:textId="38B5F735" w:rsidR="005520AE" w:rsidRPr="00645F0D" w:rsidRDefault="005520AE" w:rsidP="006D7DE6">
      <w:pPr>
        <w:pStyle w:val="BodyTextFirstIndent"/>
      </w:pPr>
      <w:r w:rsidRPr="0062523A">
        <w:t xml:space="preserve">Reducing stressors from the built environment reduces tension experienced by students and </w:t>
      </w:r>
      <w:r w:rsidR="00F3705A">
        <w:t xml:space="preserve">school </w:t>
      </w:r>
      <w:r w:rsidRPr="0062523A">
        <w:t>staff</w:t>
      </w:r>
      <w:r w:rsidR="00B54522">
        <w:t xml:space="preserve"> members</w:t>
      </w:r>
      <w:r w:rsidRPr="0062523A">
        <w:t xml:space="preserve">, an important step to facilitate a peaceful </w:t>
      </w:r>
      <w:r>
        <w:t>atmosphere</w:t>
      </w:r>
      <w:r w:rsidRPr="0062523A">
        <w:t xml:space="preserve">. </w:t>
      </w:r>
      <w:r>
        <w:t>Schools can reduce stressors associated with the built environment by reducing crowding and environmental stressors.</w:t>
      </w:r>
      <w:r w:rsidRPr="0062523A">
        <w:t xml:space="preserve"> </w:t>
      </w:r>
    </w:p>
    <w:p w14:paraId="07F54F82" w14:textId="77777777" w:rsidR="005520AE" w:rsidRPr="001C28D0" w:rsidRDefault="005520AE" w:rsidP="005520AE">
      <w:pPr>
        <w:pStyle w:val="Heading5"/>
      </w:pPr>
      <w:r>
        <w:t>(1) Reduce</w:t>
      </w:r>
      <w:r w:rsidRPr="001C28D0">
        <w:t xml:space="preserve"> </w:t>
      </w:r>
      <w:r>
        <w:t>c</w:t>
      </w:r>
      <w:r w:rsidRPr="001C28D0">
        <w:t>rowding</w:t>
      </w:r>
    </w:p>
    <w:p w14:paraId="68F7D809" w14:textId="31BAA0CE" w:rsidR="005520AE" w:rsidRPr="001A1604" w:rsidRDefault="005520AE" w:rsidP="006D7DE6">
      <w:pPr>
        <w:pStyle w:val="BodyTextFirstIndent"/>
      </w:pPr>
      <w:r>
        <w:t>Crowding in schools can increase stress and the likelihood of pushing/shoving, leading to further negative outcomes</w:t>
      </w:r>
      <w:r w:rsidR="00B40346">
        <w:t>.</w:t>
      </w:r>
      <w:r>
        <w:t xml:space="preserve"> </w:t>
      </w:r>
      <w:r>
        <w:fldChar w:fldCharType="begin"/>
      </w:r>
      <w:r w:rsidR="00A03AA3">
        <w:instrText xml:space="preserve"> ADDIN ZOTERO_ITEM CSL_CITATION {"citationID":"2WxIs6LN","properties":{"formattedCitation":"\\super 389\\uc0\\u8211{}391\\nosupersub{}","plainCitation":"389–391","noteIndex":0},"citationItems":[{"id":896,"uris":["http://zotero.org/groups/5563646/items/8XC39V7L"],"itemData":{"id":896,"type":"article-journal","abstract":"The article describes a conceptual model proposing that aggression in psychiatric facilities may be reduced by designing the physical environment with ten evidence-grounded stress-reducing features. The model was tested in a newer hospital in Sweden having wards with nine of the ten features. Data on two clinical markers of aggressive behavior, compulsory injections and physical restraints, were compared with data from an older facility (replaced by the newer hospital) that had only one stress-reducing feature. Another hospital with one feature, which did not change during the study period, served as a control. The proportion of patients requiring injections declined (p&lt;0.0027) in the new hospital compared to the old facility but did not change in the control hospital. Among patients who received injections, the average number of injections declined marginally in the new hospital compared to the old facility, but increased in the control hospital by 19%. The average number of physical restraints (among patients who received at least one) decreased 50% in the new hospital compared to the old. These findings suggest that designing better psychiatric buildings using reasoned theory and the best available evidence can reduce the major patient and staff safety threat posed by aggressive behavior.","container-title":"Journal of Environmental Psychology","DOI":"10.1016/j.jenvp.2018.05.002","ISSN":"0272-4944","journalAbbreviation":"Journal of Environmental Psychology","page":"53-66","source":"ScienceDirect","title":"Psychiatric ward design can reduce aggressive behavior","volume":"57","author":[{"family":"Ulrich","given":"Roger S."},{"family":"Bogren","given":"Lennart"},{"family":"Gardiner","given":"Stuart K."},{"family":"Lundin","given":"Stefan"}],"issued":{"date-parts":[["2018",6,1]]}}},{"id":979,"uris":["http://zotero.org/groups/5563646/items/HTHL7JAP"],"itemData":{"id":979,"type":"webpage","container-title":"Walden University","title":"How Overcrowded Classrooms Affect Education","URL":"https://www.waldenu.edu/online-masters-programs/ms-in-education/resource/five-ways-that-overcrowded-classrooms-affect-education","author":[{"family":"Walden University","given":""}],"accessed":{"date-parts":[["2024",7,26]]},"issued":{"date-parts":[["2024"]]}}},{"id":981,"uris":["http://zotero.org/groups/5563646/items/QFILZ5QL"],"itemData":{"id":981,"type":"webpage","title":"Violence in America's Public Schools: The Family Perspective","URL":"https://www.ojp.gov/ncjrs/virtual-library/abstracts/violence-americas-public-schools-family-perspective","author":[{"family":"Office of Justice Programs","given":""}],"accessed":{"date-parts":[["2024",7,26]]},"issued":{"date-parts":[["1994"]]}}}],"schema":"https://github.com/citation-style-language/schema/raw/master/csl-citation.json"} </w:instrText>
      </w:r>
      <w:r>
        <w:fldChar w:fldCharType="separate"/>
      </w:r>
      <w:r w:rsidR="00A03AA3" w:rsidRPr="00A03AA3">
        <w:rPr>
          <w:rFonts w:ascii="Calibri" w:hAnsi="Calibri" w:cs="Calibri"/>
          <w:vertAlign w:val="superscript"/>
        </w:rPr>
        <w:t>389–391</w:t>
      </w:r>
      <w:r>
        <w:fldChar w:fldCharType="end"/>
      </w:r>
      <w:r>
        <w:t xml:space="preserve"> Schools should </w:t>
      </w:r>
      <w:r w:rsidR="00034765">
        <w:t>provide</w:t>
      </w:r>
      <w:r>
        <w:t xml:space="preserve"> building spaces</w:t>
      </w:r>
      <w:r w:rsidR="001A63EF">
        <w:t xml:space="preserve"> that</w:t>
      </w:r>
      <w:r>
        <w:t xml:space="preserve"> are sufficiently wide enough to accommodate students and staff</w:t>
      </w:r>
      <w:r w:rsidR="00B40346">
        <w:t xml:space="preserve"> members</w:t>
      </w:r>
      <w:r>
        <w:t xml:space="preserve"> to reduce crowding and resulting adverse outcomes. Areas to focus on include bathrooms, locker rooms, hallways, stairways, entrances and exits to buildings, classrooms, and other school spaces.</w:t>
      </w:r>
    </w:p>
    <w:p w14:paraId="0727B8C0" w14:textId="77777777" w:rsidR="005520AE" w:rsidRPr="00496AB2" w:rsidRDefault="005520AE" w:rsidP="005520AE">
      <w:pPr>
        <w:pStyle w:val="Heading5"/>
      </w:pPr>
      <w:r>
        <w:t xml:space="preserve">(2) </w:t>
      </w:r>
      <w:r w:rsidRPr="00496AB2">
        <w:t xml:space="preserve">Reduce </w:t>
      </w:r>
      <w:r>
        <w:t>e</w:t>
      </w:r>
      <w:r w:rsidRPr="00496AB2">
        <w:t xml:space="preserve">nvironmental </w:t>
      </w:r>
      <w:r>
        <w:t>s</w:t>
      </w:r>
      <w:r w:rsidRPr="00496AB2">
        <w:t>tressors</w:t>
      </w:r>
    </w:p>
    <w:p w14:paraId="19E74B4F" w14:textId="6F33B69A" w:rsidR="005520AE" w:rsidRDefault="005520AE" w:rsidP="006D7DE6">
      <w:pPr>
        <w:pStyle w:val="BodyTextFirstIndent"/>
      </w:pPr>
      <w:r>
        <w:t>Environmental stressors such as noise, excessive lighting, poor air quality, and uncomfortable temperatures are, by definition, stressful to the human body. Optimizing environmental conditions reduces these stressors and improves well-being.</w:t>
      </w:r>
      <w:r>
        <w:fldChar w:fldCharType="begin"/>
      </w:r>
      <w:r w:rsidR="0075206B">
        <w:instrText xml:space="preserve"> ADDIN ZOTERO_ITEM CSL_CITATION {"citationID":"MLitVwN0","properties":{"formattedCitation":"\\super 392\\uc0\\u8211{}394\\nosupersub{}","plainCitation":"392–394","noteIndex":0},"citationItems":[{"id":958,"uris":["http://zotero.org/groups/5563646/items/9UD5FS79"],"itemData":{"id":958,"type":"article-newspaper","abstract":"School buildings can have a big impact on students' mental health. Here's how schools can make sure it's positive.","container-title":"Education Week","ISSN":"0277-4232","language":"en","section":"Leadership, Student Well-Being","source":"www.edweek.org","title":"5 Tips for Designing School Spaces That Support Students' Mental Health","URL":"https://www.edweek.org/leadership/5-tips-for-designing-school-spaces-that-support-students-mental-health/2023/04","author":[{"family":"Stanford","given":"Libby"},{"family":"Baker","given":"Laura"}],"accessed":{"date-parts":[["2024",7,26]]},"issued":{"date-parts":[["2023",4,6]]}}},{"id":957,"uris":["http://zotero.org/groups/5563646/items/3EH57PPT"],"itemData":{"id":957,"type":"book","event-place":"Washington, DC","ISBN":"978-1-64283-078-1","note":"publisher: Taylor &amp; Francis\n_eprint: https://doi.org/10.1080/23748834.2022.2136611","publisher":"Island Press","publisher-place":"Washington, DC","source":"Taylor and Francis+NEJM","title":"Schools that heal: design with mental health in mind","title-short":"Schools that heal","URL":"https://doi.org/10.1080/23748834.2022.2136611","volume":"6","author":[{"family":"Latané","given":"Claire"}],"accessed":{"date-parts":[["2024",7,26]]},"issued":{"date-parts":[["2021"]]}}},{"id":899,"uris":["http://zotero.org/groups/5563646/items/5TNF3F6R"],"itemData":{"id":899,"type":"webpage","abstract":"DAYLIGHT &amp; ARCHITECTURE is a global knowledge-sharing initiative that promotes daylight in architecture. Our focus is on exploring the limitless potential of daylight, and the many ways that natural light inspires architects to create and innovate.","language":"en-US","title":"Architecture for Well-Being and Health","URL":"https://www.daylightandarchitecture.com/architecture-for-well-being-and-health/","author":[{"family":"Steemers","given":"Koen"}],"accessed":{"date-parts":[["2024",7,25]]},"issued":{"date-parts":[["2021",5,7]]}}}],"schema":"https://github.com/citation-style-language/schema/raw/master/csl-citation.json"} </w:instrText>
      </w:r>
      <w:r>
        <w:fldChar w:fldCharType="separate"/>
      </w:r>
      <w:r w:rsidR="0075206B" w:rsidRPr="0075206B">
        <w:rPr>
          <w:rFonts w:ascii="Calibri" w:hAnsi="Calibri" w:cs="Calibri"/>
          <w:vertAlign w:val="superscript"/>
        </w:rPr>
        <w:t>392–394</w:t>
      </w:r>
      <w:r>
        <w:fldChar w:fldCharType="end"/>
      </w:r>
      <w:r>
        <w:t xml:space="preserve"> Best practices include using natural lighting through windows and skylights, acoustics to minimize stressful noises, maintaining thermal comfort, and ensuring air is free of pollutants or unpleasant odors. See </w:t>
      </w:r>
      <w:hyperlink w:anchor="Objective_2a" w:history="1">
        <w:r w:rsidRPr="00392B47">
          <w:rPr>
            <w:rStyle w:val="Hyperlink"/>
          </w:rPr>
          <w:t>Objective 2a. Improve Air Quality</w:t>
        </w:r>
      </w:hyperlink>
      <w:r>
        <w:t xml:space="preserve">, </w:t>
      </w:r>
      <w:hyperlink w:anchor="Objective_2c" w:history="1">
        <w:r w:rsidRPr="00392B47">
          <w:rPr>
            <w:rStyle w:val="Hyperlink"/>
          </w:rPr>
          <w:t>Objective 2c. Maintain Thermal Comfort</w:t>
        </w:r>
      </w:hyperlink>
      <w:r>
        <w:t xml:space="preserve">, and </w:t>
      </w:r>
      <w:hyperlink w:anchor="Objective_2i" w:history="1">
        <w:r w:rsidRPr="00392B47">
          <w:rPr>
            <w:rStyle w:val="Hyperlink"/>
          </w:rPr>
          <w:t>Objective 2i. Create a Productive Learning Environment for All Students</w:t>
        </w:r>
      </w:hyperlink>
      <w:r>
        <w:t xml:space="preserve"> </w:t>
      </w:r>
      <w:r w:rsidRPr="000870C0">
        <w:t xml:space="preserve">for additional details and best practices for mitigating </w:t>
      </w:r>
      <w:r>
        <w:t xml:space="preserve">this collection of </w:t>
      </w:r>
      <w:r w:rsidRPr="000870C0">
        <w:t>environmental stressors.</w:t>
      </w:r>
    </w:p>
    <w:p w14:paraId="5940D9F5" w14:textId="77777777" w:rsidR="005520AE" w:rsidRDefault="005520AE" w:rsidP="005520AE">
      <w:pPr>
        <w:pStyle w:val="Heading4"/>
      </w:pPr>
      <w:r>
        <w:t>Design Spaces to Support Wellbeing</w:t>
      </w:r>
    </w:p>
    <w:p w14:paraId="27F6780D" w14:textId="59E95701" w:rsidR="005520AE" w:rsidRPr="00157C6D" w:rsidRDefault="005520AE" w:rsidP="006D7DE6">
      <w:pPr>
        <w:pStyle w:val="BodyTextFirstIndent"/>
      </w:pPr>
      <w:r w:rsidRPr="00157C6D">
        <w:t xml:space="preserve">Designing spaces to support wellbeing promotes positive experiences within the school environment and enables students and staff </w:t>
      </w:r>
      <w:r w:rsidR="00D8314D">
        <w:t xml:space="preserve">members </w:t>
      </w:r>
      <w:r w:rsidRPr="00157C6D">
        <w:t>to be at their best, which</w:t>
      </w:r>
      <w:r>
        <w:t>,</w:t>
      </w:r>
      <w:r w:rsidRPr="00157C6D">
        <w:t xml:space="preserve"> in turn</w:t>
      </w:r>
      <w:r>
        <w:t>,</w:t>
      </w:r>
      <w:r w:rsidRPr="00157C6D">
        <w:t xml:space="preserve"> supports a peaceful school community. </w:t>
      </w:r>
      <w:r>
        <w:t>Schools can meet this objective by providing spaces to support neurocognitive balance, incorporating access to both indoor and outdoor nature, and using colors and textures that promote a peaceful environment.</w:t>
      </w:r>
    </w:p>
    <w:p w14:paraId="356861B7" w14:textId="77777777" w:rsidR="005520AE" w:rsidRPr="000870C0" w:rsidRDefault="005520AE" w:rsidP="005520AE">
      <w:pPr>
        <w:pStyle w:val="Heading5"/>
      </w:pPr>
      <w:r>
        <w:t xml:space="preserve">(3) </w:t>
      </w:r>
      <w:r w:rsidRPr="000870C0">
        <w:t xml:space="preserve">Provide </w:t>
      </w:r>
      <w:r>
        <w:t>s</w:t>
      </w:r>
      <w:r w:rsidRPr="000870C0">
        <w:t xml:space="preserve">paces to </w:t>
      </w:r>
      <w:r>
        <w:t>s</w:t>
      </w:r>
      <w:r w:rsidRPr="000870C0">
        <w:t xml:space="preserve">upport </w:t>
      </w:r>
      <w:r>
        <w:t>n</w:t>
      </w:r>
      <w:r w:rsidRPr="000870C0">
        <w:t xml:space="preserve">eurocognitive </w:t>
      </w:r>
      <w:r>
        <w:t>b</w:t>
      </w:r>
      <w:r w:rsidRPr="000870C0">
        <w:t>alance</w:t>
      </w:r>
    </w:p>
    <w:p w14:paraId="00797EE7" w14:textId="6763DCCE" w:rsidR="005520AE" w:rsidRPr="00291D15" w:rsidRDefault="005520AE" w:rsidP="006D7DE6">
      <w:pPr>
        <w:pStyle w:val="BodyTextFirstIndent"/>
      </w:pPr>
      <w:r>
        <w:t>Indoor and outdoor facility design can calm or activate people’s neurological and cognitive systems in various ways—by promoting alertness, agitation, vigilance, distraction and calmness. For schools, the design goal is two-fold: to design facilities that support neurocognitive balance and, where possible, to provide specific spaces that are calming (when students’ minds and nervous systems are over-activated) or activating (when students’ minds and nervous systems are shut down).</w:t>
      </w:r>
      <w:r>
        <w:fldChar w:fldCharType="begin"/>
      </w:r>
      <w:r w:rsidR="00417544">
        <w:instrText xml:space="preserve"> ADDIN ZOTERO_ITEM CSL_CITATION {"citationID":"FHTuB7rx","properties":{"formattedCitation":"\\super 392,393\\nosupersub{}","plainCitation":"392,393","noteIndex":0},"citationItems":[{"id":958,"uris":["http://zotero.org/groups/5563646/items/9UD5FS79"],"itemData":{"id":958,"type":"article-newspaper","abstract":"School buildings can have a big impact on students' mental health. Here's how schools can make sure it's positive.","container-title":"Education Week","ISSN":"0277-4232","language":"en","section":"Leadership, Student Well-Being","source":"www.edweek.org","title":"5 Tips for Designing School Spaces That Support Students' Mental Health","URL":"https://www.edweek.org/leadership/5-tips-for-designing-school-spaces-that-support-students-mental-health/2023/04","author":[{"family":"Stanford","given":"Libby"},{"family":"Baker","given":"Laura"}],"accessed":{"date-parts":[["2024",7,26]]},"issued":{"date-parts":[["2023",4,6]]}}},{"id":957,"uris":["http://zotero.org/groups/5563646/items/3EH57PPT"],"itemData":{"id":957,"type":"book","event-place":"Washington, DC","ISBN":"978-1-64283-078-1","note":"publisher: Taylor &amp; Francis\n_eprint: https://doi.org/10.1080/23748834.2022.2136611","publisher":"Island Press","publisher-place":"Washington, DC","source":"Taylor and Francis+NEJM","title":"Schools that heal: design with mental health in mind","title-short":"Schools that heal","URL":"https://doi.org/10.1080/23748834.2022.2136611","volume":"6","author":[{"family":"Latané","given":"Claire"}],"accessed":{"date-parts":[["2024",7,26]]},"issued":{"date-parts":[["2021"]]}}}],"schema":"https://github.com/citation-style-language/schema/raw/master/csl-citation.json"} </w:instrText>
      </w:r>
      <w:r>
        <w:fldChar w:fldCharType="separate"/>
      </w:r>
      <w:r w:rsidR="00417544" w:rsidRPr="00417544">
        <w:rPr>
          <w:rFonts w:ascii="Calibri" w:hAnsi="Calibri" w:cs="Calibri"/>
          <w:vertAlign w:val="superscript"/>
        </w:rPr>
        <w:t>392,393</w:t>
      </w:r>
      <w:r>
        <w:fldChar w:fldCharType="end"/>
      </w:r>
      <w:r>
        <w:t xml:space="preserve"> In addition, some students benefit from indoor and outdoor spaces that satisfy their need for physical movement. See </w:t>
      </w:r>
      <w:hyperlink w:anchor="Objective_3b" w:history="1">
        <w:r w:rsidRPr="004F4406">
          <w:rPr>
            <w:rStyle w:val="Hyperlink"/>
          </w:rPr>
          <w:t xml:space="preserve">Objective 3b. </w:t>
        </w:r>
        <w:r w:rsidR="00E933E4">
          <w:rPr>
            <w:rStyle w:val="Hyperlink"/>
          </w:rPr>
          <w:t>Prioritize</w:t>
        </w:r>
        <w:r w:rsidRPr="004F4406">
          <w:rPr>
            <w:rStyle w:val="Hyperlink"/>
          </w:rPr>
          <w:t xml:space="preserve"> Universal Accessibility</w:t>
        </w:r>
      </w:hyperlink>
      <w:r>
        <w:t xml:space="preserve"> for additional discussion of the design of neuro-inclusive spaces. </w:t>
      </w:r>
    </w:p>
    <w:p w14:paraId="50061A17" w14:textId="77777777" w:rsidR="005520AE" w:rsidRPr="000038A3" w:rsidRDefault="005520AE" w:rsidP="005520AE">
      <w:pPr>
        <w:pStyle w:val="Heading5"/>
      </w:pPr>
      <w:r>
        <w:lastRenderedPageBreak/>
        <w:t xml:space="preserve">(4) </w:t>
      </w:r>
      <w:r w:rsidRPr="000038A3">
        <w:t xml:space="preserve">Incorporate </w:t>
      </w:r>
      <w:r>
        <w:t>a</w:t>
      </w:r>
      <w:r w:rsidRPr="000038A3">
        <w:t xml:space="preserve">ccess to </w:t>
      </w:r>
      <w:r>
        <w:t>both indoor and outdoor n</w:t>
      </w:r>
      <w:r w:rsidRPr="000038A3">
        <w:t>ature</w:t>
      </w:r>
    </w:p>
    <w:p w14:paraId="1523CAB6" w14:textId="76BD7479" w:rsidR="005520AE" w:rsidRPr="00C8119B" w:rsidRDefault="005520AE" w:rsidP="006D7DE6">
      <w:pPr>
        <w:pStyle w:val="BodyTextFirstIndent"/>
      </w:pPr>
      <w:r>
        <w:t>Schools should provide students</w:t>
      </w:r>
      <w:r w:rsidR="00141AF3">
        <w:t xml:space="preserve"> and staff</w:t>
      </w:r>
      <w:r>
        <w:t xml:space="preserve"> with access to nature in diverse forms (e.g., visual, tactile). This can include nature-related art, windows with nature views, and live plantings—both indoors and outdoors. Access to nature has been shown to have important stress-relieving benefits and supports overall wellbeing,</w:t>
      </w:r>
      <w:r>
        <w:fldChar w:fldCharType="begin"/>
      </w:r>
      <w:r w:rsidR="00366895">
        <w:instrText xml:space="preserve"> ADDIN ZOTERO_ITEM CSL_CITATION {"citationID":"NodFaip6","properties":{"formattedCitation":"\\super 389,393\\uc0\\u8211{}395\\nosupersub{}","plainCitation":"389,393–395","noteIndex":0},"citationItems":[{"id":896,"uris":["http://zotero.org/groups/5563646/items/8XC39V7L"],"itemData":{"id":896,"type":"article-journal","abstract":"The article describes a conceptual model proposing that aggression in psychiatric facilities may be reduced by designing the physical environment with ten evidence-grounded stress-reducing features. The model was tested in a newer hospital in Sweden having wards with nine of the ten features. Data on two clinical markers of aggressive behavior, compulsory injections and physical restraints, were compared with data from an older facility (replaced by the newer hospital) that had only one stress-reducing feature. Another hospital with one feature, which did not change during the study period, served as a control. The proportion of patients requiring injections declined (p&lt;0.0027) in the new hospital compared to the old facility but did not change in the control hospital. Among patients who received injections, the average number of injections declined marginally in the new hospital compared to the old facility, but increased in the control hospital by 19%. The average number of physical restraints (among patients who received at least one) decreased 50% in the new hospital compared to the old. These findings suggest that designing better psychiatric buildings using reasoned theory and the best available evidence can reduce the major patient and staff safety threat posed by aggressive behavior.","container-title":"Journal of Environmental Psychology","DOI":"10.1016/j.jenvp.2018.05.002","ISSN":"0272-4944","journalAbbreviation":"Journal of Environmental Psychology","page":"53-66","source":"ScienceDirect","title":"Psychiatric ward design can reduce aggressive behavior","volume":"57","author":[{"family":"Ulrich","given":"Roger S."},{"family":"Bogren","given":"Lennart"},{"family":"Gardiner","given":"Stuart K."},{"family":"Lundin","given":"Stefan"}],"issued":{"date-parts":[["2018",6,1]]}}},{"id":957,"uris":["http://zotero.org/groups/5563646/items/3EH57PPT"],"itemData":{"id":957,"type":"book","event-place":"Washington, DC","ISBN":"978-1-64283-078-1","note":"publisher: Taylor &amp; Francis\n_eprint: https://doi.org/10.1080/23748834.2022.2136611","publisher":"Island Press","publisher-place":"Washington, DC","source":"Taylor and Francis+NEJM","title":"Schools that heal: design with mental health in mind","title-short":"Schools that heal","URL":"https://doi.org/10.1080/23748834.2022.2136611","volume":"6","author":[{"family":"Latané","given":"Claire"}],"accessed":{"date-parts":[["2024",7,26]]},"issued":{"date-parts":[["2021"]]}}},{"id":899,"uris":["http://zotero.org/groups/5563646/items/5TNF3F6R"],"itemData":{"id":899,"type":"webpage","abstract":"DAYLIGHT &amp; ARCHITECTURE is a global knowledge-sharing initiative that promotes daylight in architecture. Our focus is on exploring the limitless potential of daylight, and the many ways that natural light inspires architects to create and innovate.","language":"en-US","title":"Architecture for Well-Being and Health","URL":"https://www.daylightandarchitecture.com/architecture-for-well-being-and-health/","author":[{"family":"Steemers","given":"Koen"}],"accessed":{"date-parts":[["2024",7,25]]},"issued":{"date-parts":[["2021",5,7]]}}},{"id":898,"uris":["http://zotero.org/groups/5563646/items/CX45PNNS"],"itemData":{"id":898,"type":"article-journal","abstract":"The built environment provides a habitat for the most sophisticated mammal in our universe, the human being. Developments in science and technology are forcing us to reconsider the priority of human needs in current theories of architecture and the built environment. Newly developed theories and methodologies in neuroscience have allowed us to improve and deepen our knowledge of human experience in the built environment. The potential of the relationship between neuroscience and architecture for knowledge creation generates an increasing interest in theoretical and methodological approaches to explore this intersection. Thus, a common ground on which to conduct interdisciplinary studies investigating developing and emerging concepts at the intersection must be established. However, few reviews in the literature have systematically examined developing and emerging concepts at the intersection of neuroscience and architecture. The present review aims to examine the existing literature systematically to explain the influence of the built environment on human experience by using approaches from neuroscience by examining the conceptualizations in the field. The study is conducted as a systematic qualitative review that analyzes and synthesizes the developing and emerging concepts that have appeared in the ever-evolving literature. The study concludes with an overall discussion about these concepts as a means of deeply understanding the influence of the built environment on human experience, responses to the environment based on approaches from neuroscience, and their potential for providing further directions for future research.","container-title":"Frontiers of Architectural Research","DOI":"10.1016/j.foar.2019.10.005","ISSN":"2095-2635","issue":"1","journalAbbreviation":"Frontiers of Architectural Research","page":"236-247","source":"ScienceDirect","title":"Exploring the influence of the built environment on human experience through a neuroscience approach: A systematic review","title-short":"Exploring the influence of the built environment on human experience through a neuroscience approach","volume":"9","author":[{"family":"Karakas","given":"Tulay"},{"family":"Yildiz","given":"Dilek"}],"issued":{"date-parts":[["2020",3,1]]}}}],"schema":"https://github.com/citation-style-language/schema/raw/master/csl-citation.json"} </w:instrText>
      </w:r>
      <w:r>
        <w:fldChar w:fldCharType="separate"/>
      </w:r>
      <w:r w:rsidR="00366895" w:rsidRPr="00366895">
        <w:rPr>
          <w:rFonts w:ascii="Calibri" w:hAnsi="Calibri" w:cs="Calibri"/>
          <w:vertAlign w:val="superscript"/>
        </w:rPr>
        <w:t>389,393–395</w:t>
      </w:r>
      <w:r>
        <w:fldChar w:fldCharType="end"/>
      </w:r>
      <w:r>
        <w:t xml:space="preserve"> which in turn contributes to a peaceful community.</w:t>
      </w:r>
    </w:p>
    <w:p w14:paraId="19246BB5" w14:textId="77777777" w:rsidR="005520AE" w:rsidRPr="009B751A" w:rsidRDefault="005520AE" w:rsidP="005520AE">
      <w:pPr>
        <w:pStyle w:val="Heading5"/>
      </w:pPr>
      <w:r>
        <w:t xml:space="preserve">(5) </w:t>
      </w:r>
      <w:r w:rsidRPr="009B751A">
        <w:t xml:space="preserve">Use </w:t>
      </w:r>
      <w:r>
        <w:t>c</w:t>
      </w:r>
      <w:r w:rsidRPr="009B751A">
        <w:t xml:space="preserve">olors and </w:t>
      </w:r>
      <w:r>
        <w:t>t</w:t>
      </w:r>
      <w:r w:rsidRPr="009B751A">
        <w:t xml:space="preserve">extures that </w:t>
      </w:r>
      <w:r>
        <w:t>p</w:t>
      </w:r>
      <w:r w:rsidRPr="009B751A">
        <w:t xml:space="preserve">romote a </w:t>
      </w:r>
      <w:r>
        <w:t>p</w:t>
      </w:r>
      <w:r w:rsidRPr="009B751A">
        <w:t xml:space="preserve">eaceful </w:t>
      </w:r>
      <w:r>
        <w:t>e</w:t>
      </w:r>
      <w:r w:rsidRPr="009B751A">
        <w:t>nvironment</w:t>
      </w:r>
    </w:p>
    <w:p w14:paraId="2544AC16" w14:textId="3053450E" w:rsidR="005520AE" w:rsidRDefault="005520AE" w:rsidP="006D7DE6">
      <w:pPr>
        <w:pStyle w:val="BodyTextFirstIndent"/>
      </w:pPr>
      <w:r>
        <w:t>Color choices and textures facilitate calming environments supportive of learning and positive interactions.</w:t>
      </w:r>
      <w:r>
        <w:fldChar w:fldCharType="begin"/>
      </w:r>
      <w:r w:rsidR="00C20A37">
        <w:instrText xml:space="preserve"> ADDIN ZOTERO_ITEM CSL_CITATION {"citationID":"0WUhYODM","properties":{"formattedCitation":"\\super 392,395\\nosupersub{}","plainCitation":"392,395","noteIndex":0},"citationItems":[{"id":958,"uris":["http://zotero.org/groups/5563646/items/9UD5FS79"],"itemData":{"id":958,"type":"article-newspaper","abstract":"School buildings can have a big impact on students' mental health. Here's how schools can make sure it's positive.","container-title":"Education Week","ISSN":"0277-4232","language":"en","section":"Leadership, Student Well-Being","source":"www.edweek.org","title":"5 Tips for Designing School Spaces That Support Students' Mental Health","URL":"https://www.edweek.org/leadership/5-tips-for-designing-school-spaces-that-support-students-mental-health/2023/04","author":[{"family":"Stanford","given":"Libby"},{"family":"Baker","given":"Laura"}],"accessed":{"date-parts":[["2024",7,26]]},"issued":{"date-parts":[["2023",4,6]]}}},{"id":898,"uris":["http://zotero.org/groups/5563646/items/CX45PNNS"],"itemData":{"id":898,"type":"article-journal","abstract":"The built environment provides a habitat for the most sophisticated mammal in our universe, the human being. Developments in science and technology are forcing us to reconsider the priority of human needs in current theories of architecture and the built environment. Newly developed theories and methodologies in neuroscience have allowed us to improve and deepen our knowledge of human experience in the built environment. The potential of the relationship between neuroscience and architecture for knowledge creation generates an increasing interest in theoretical and methodological approaches to explore this intersection. Thus, a common ground on which to conduct interdisciplinary studies investigating developing and emerging concepts at the intersection must be established. However, few reviews in the literature have systematically examined developing and emerging concepts at the intersection of neuroscience and architecture. The present review aims to examine the existing literature systematically to explain the influence of the built environment on human experience by using approaches from neuroscience by examining the conceptualizations in the field. The study is conducted as a systematic qualitative review that analyzes and synthesizes the developing and emerging concepts that have appeared in the ever-evolving literature. The study concludes with an overall discussion about these concepts as a means of deeply understanding the influence of the built environment on human experience, responses to the environment based on approaches from neuroscience, and their potential for providing further directions for future research.","container-title":"Frontiers of Architectural Research","DOI":"10.1016/j.foar.2019.10.005","ISSN":"2095-2635","issue":"1","journalAbbreviation":"Frontiers of Architectural Research","page":"236-247","source":"ScienceDirect","title":"Exploring the influence of the built environment on human experience through a neuroscience approach: A systematic review","title-short":"Exploring the influence of the built environment on human experience through a neuroscience approach","volume":"9","author":[{"family":"Karakas","given":"Tulay"},{"family":"Yildiz","given":"Dilek"}],"issued":{"date-parts":[["2020",3,1]]}}}],"schema":"https://github.com/citation-style-language/schema/raw/master/csl-citation.json"} </w:instrText>
      </w:r>
      <w:r>
        <w:fldChar w:fldCharType="separate"/>
      </w:r>
      <w:r w:rsidR="00C20A37" w:rsidRPr="00C20A37">
        <w:rPr>
          <w:rFonts w:ascii="Calibri" w:hAnsi="Calibri" w:cs="Calibri"/>
          <w:vertAlign w:val="superscript"/>
        </w:rPr>
        <w:t>392,395</w:t>
      </w:r>
      <w:r>
        <w:fldChar w:fldCharType="end"/>
      </w:r>
      <w:r>
        <w:t xml:space="preserve"> Schools should incorporate textures and colors appropriate for each space, considering how these materials will impact students’ experiences. </w:t>
      </w:r>
    </w:p>
    <w:p w14:paraId="568A9DB6" w14:textId="6E585733" w:rsidR="005520AE" w:rsidRDefault="005520AE" w:rsidP="005520AE">
      <w:pPr>
        <w:pStyle w:val="Heading4"/>
      </w:pPr>
      <w:r w:rsidRPr="00127232">
        <w:t>Design Spaces to Facilitate Positive Social Interaction</w:t>
      </w:r>
      <w:r w:rsidR="005323BF">
        <w:t>s</w:t>
      </w:r>
      <w:r>
        <w:t xml:space="preserve"> </w:t>
      </w:r>
    </w:p>
    <w:p w14:paraId="1ED1212B" w14:textId="7D018131" w:rsidR="005520AE" w:rsidRPr="003B2537" w:rsidRDefault="005520AE" w:rsidP="006D7DE6">
      <w:pPr>
        <w:pStyle w:val="BodyTextFirstIndent"/>
      </w:pPr>
      <w:r w:rsidRPr="003B2537">
        <w:t xml:space="preserve">Designing spaces to facilitate positive social interactions supports the type of engagement that fosters a sense of community within the school. </w:t>
      </w:r>
      <w:r>
        <w:t>Schools can achieve these design goals by providing diverse communal spaces and designing spaces for students</w:t>
      </w:r>
      <w:r w:rsidR="00016890">
        <w:t xml:space="preserve"> and staff</w:t>
      </w:r>
      <w:r>
        <w:t xml:space="preserve"> </w:t>
      </w:r>
      <w:r w:rsidR="009B66F3">
        <w:t xml:space="preserve">members </w:t>
      </w:r>
      <w:r>
        <w:t>to move easily.</w:t>
      </w:r>
    </w:p>
    <w:p w14:paraId="57F21E20" w14:textId="77777777" w:rsidR="005520AE" w:rsidRPr="003413D8" w:rsidRDefault="005520AE" w:rsidP="005520AE">
      <w:pPr>
        <w:pStyle w:val="Heading5"/>
      </w:pPr>
      <w:r>
        <w:t xml:space="preserve">(6) </w:t>
      </w:r>
      <w:r w:rsidRPr="003413D8">
        <w:t xml:space="preserve">Provide </w:t>
      </w:r>
      <w:r>
        <w:t>d</w:t>
      </w:r>
      <w:r w:rsidRPr="003413D8">
        <w:t xml:space="preserve">iverse </w:t>
      </w:r>
      <w:r>
        <w:t>c</w:t>
      </w:r>
      <w:r w:rsidRPr="003413D8">
        <w:t xml:space="preserve">ommunal </w:t>
      </w:r>
      <w:r>
        <w:t>s</w:t>
      </w:r>
      <w:r w:rsidRPr="003413D8">
        <w:t>paces</w:t>
      </w:r>
    </w:p>
    <w:p w14:paraId="7E7A919B" w14:textId="6DFEFAAA" w:rsidR="005520AE" w:rsidRPr="00204A3F" w:rsidRDefault="005520AE" w:rsidP="006D7DE6">
      <w:pPr>
        <w:pStyle w:val="BodyTextFirstIndent"/>
      </w:pPr>
      <w:r>
        <w:t>Schools should provide diverse communal spaces to facilitate positive engagement among students</w:t>
      </w:r>
      <w:r w:rsidR="00016890">
        <w:t xml:space="preserve"> and staff</w:t>
      </w:r>
      <w:r w:rsidR="00BD630D">
        <w:t xml:space="preserve"> members</w:t>
      </w:r>
      <w:r>
        <w:t xml:space="preserve">. Spaces of </w:t>
      </w:r>
      <w:r w:rsidRPr="00204A3F">
        <w:t>different shapes, sizes, and purposes</w:t>
      </w:r>
      <w:r>
        <w:t xml:space="preserve"> will allow students with different needs to engage with others in a safe space.</w:t>
      </w:r>
    </w:p>
    <w:p w14:paraId="3F30DB4C" w14:textId="77777777" w:rsidR="005520AE" w:rsidRPr="00D1383F" w:rsidRDefault="005520AE" w:rsidP="005520AE">
      <w:pPr>
        <w:pStyle w:val="Heading5"/>
      </w:pPr>
      <w:r>
        <w:t xml:space="preserve">(7) </w:t>
      </w:r>
      <w:r w:rsidRPr="00D1383F">
        <w:t xml:space="preserve">Design </w:t>
      </w:r>
      <w:r>
        <w:t>s</w:t>
      </w:r>
      <w:r w:rsidRPr="00D1383F">
        <w:t xml:space="preserve">paces for </w:t>
      </w:r>
      <w:r>
        <w:t>e</w:t>
      </w:r>
      <w:r w:rsidRPr="00D1383F">
        <w:t xml:space="preserve">asy </w:t>
      </w:r>
      <w:r>
        <w:t>m</w:t>
      </w:r>
      <w:r w:rsidRPr="00D1383F">
        <w:t>ovement</w:t>
      </w:r>
    </w:p>
    <w:p w14:paraId="02D2F938" w14:textId="56713BE1" w:rsidR="00FD43CA" w:rsidRDefault="005520AE" w:rsidP="006D7DE6">
      <w:pPr>
        <w:pStyle w:val="BodyTextFirstIndent"/>
      </w:pPr>
      <w:r>
        <w:t>Feeling safe is a critical component of promoting positive social engagement. Schools should use care in the layout of school buildings to design spaces that facilitate easy movement of students</w:t>
      </w:r>
      <w:r w:rsidR="00C602D0">
        <w:t xml:space="preserve"> and staff</w:t>
      </w:r>
      <w:r>
        <w:t>. Layouts that can trap students in a corner or nook can make them feel less safe, given the loss of freedom of movement. While designing space, consider traffic patterns in areas of congestion (e.g., hallways, stairwells).</w:t>
      </w:r>
    </w:p>
    <w:p w14:paraId="04DAFEA1" w14:textId="77777777" w:rsidR="00C258D2" w:rsidRDefault="00C258D2" w:rsidP="00C258D2">
      <w:pPr>
        <w:pStyle w:val="Heading3"/>
      </w:pPr>
      <w:r>
        <w:t>Statutes, Regulations, and Standards</w:t>
      </w:r>
    </w:p>
    <w:p w14:paraId="60671D09" w14:textId="1C58331C" w:rsidR="00C258D2" w:rsidRPr="001F6A48" w:rsidRDefault="00C258D2" w:rsidP="006D7DE6">
      <w:pPr>
        <w:pStyle w:val="BodyTextFirstIndent"/>
        <w:rPr>
          <w:b/>
          <w:bCs/>
        </w:rPr>
      </w:pPr>
      <w:r>
        <w:t xml:space="preserve">Statutes, regulations, and standards provide baseline requirements and expectations for topics relevant to fostering a peaceful school community. These include fire regulations, building code occupancy limits, and minimum standards regarding environmental conditions such as temperature, noise, air quality, and lighting. These frameworks are designed with a different objective than the primary objective of fostering a peaceful school community, which goes far beyond the minimum expectations of specific statutes and regulations. Therefore, these are not covered in detail in this section. See </w:t>
      </w:r>
      <w:hyperlink w:anchor="Objective_2a" w:history="1">
        <w:r w:rsidRPr="00F70D4A">
          <w:rPr>
            <w:rStyle w:val="Hyperlink"/>
          </w:rPr>
          <w:t>Objective 2a. Improve Air Quality</w:t>
        </w:r>
      </w:hyperlink>
      <w:r>
        <w:t xml:space="preserve">; </w:t>
      </w:r>
      <w:hyperlink w:anchor="Objective_2c" w:history="1">
        <w:r w:rsidRPr="00F70D4A">
          <w:rPr>
            <w:rStyle w:val="Hyperlink"/>
          </w:rPr>
          <w:t>Objective 2c. Maintain Thermal Comfort</w:t>
        </w:r>
      </w:hyperlink>
      <w:r>
        <w:t xml:space="preserve">; and </w:t>
      </w:r>
      <w:hyperlink w:anchor="Objective_2i" w:history="1">
        <w:r w:rsidRPr="00F70D4A">
          <w:rPr>
            <w:rStyle w:val="Hyperlink"/>
          </w:rPr>
          <w:t>Objective 2i. Create a Productive Learning Environment for All Students</w:t>
        </w:r>
      </w:hyperlink>
      <w:r>
        <w:t xml:space="preserve"> </w:t>
      </w:r>
      <w:r w:rsidRPr="000870C0">
        <w:t>for additional details</w:t>
      </w:r>
      <w:r>
        <w:t xml:space="preserve"> regarding relevant statutes, regulations, and standards.</w:t>
      </w:r>
      <w:r w:rsidRPr="000870C0">
        <w:t xml:space="preserve"> </w:t>
      </w:r>
    </w:p>
    <w:p w14:paraId="658D226F" w14:textId="77777777" w:rsidR="00C258D2" w:rsidRDefault="00C258D2" w:rsidP="00C258D2">
      <w:pPr>
        <w:pStyle w:val="Heading3"/>
      </w:pPr>
      <w:r>
        <w:lastRenderedPageBreak/>
        <w:t>Relevant Resources</w:t>
      </w:r>
    </w:p>
    <w:p w14:paraId="726EE871" w14:textId="10E2E15F" w:rsidR="00C258D2" w:rsidRDefault="00C258D2" w:rsidP="006D7DE6">
      <w:pPr>
        <w:pStyle w:val="BodyTextFirstIndent"/>
      </w:pPr>
      <w:r>
        <w:fldChar w:fldCharType="begin"/>
      </w:r>
      <w:r>
        <w:instrText xml:space="preserve"> REF _Ref171633966 \h </w:instrText>
      </w:r>
      <w:r>
        <w:fldChar w:fldCharType="separate"/>
      </w:r>
      <w:r w:rsidR="00307850">
        <w:t xml:space="preserve">Table </w:t>
      </w:r>
      <w:r w:rsidR="00307850">
        <w:rPr>
          <w:noProof/>
        </w:rPr>
        <w:t>93</w:t>
      </w:r>
      <w:r>
        <w:fldChar w:fldCharType="end"/>
      </w:r>
      <w:r>
        <w:t xml:space="preserve"> provides a summary of resources related to </w:t>
      </w:r>
      <w:r w:rsidRPr="00E72B5B">
        <w:t>designing and using space to safely manage the flow of occupants</w:t>
      </w:r>
      <w:r>
        <w:t xml:space="preserve"> in schools.</w:t>
      </w:r>
    </w:p>
    <w:p w14:paraId="23D83B60" w14:textId="5AABED3E" w:rsidR="00C258D2" w:rsidRDefault="00C258D2" w:rsidP="00B30C96">
      <w:pPr>
        <w:pStyle w:val="TableTitle"/>
      </w:pPr>
      <w:bookmarkStart w:id="705" w:name="_Ref171633966"/>
      <w:bookmarkStart w:id="706" w:name="_Toc172200346"/>
      <w:bookmarkStart w:id="707" w:name="_Toc192711759"/>
      <w:bookmarkStart w:id="708" w:name="_Toc193112641"/>
      <w:bookmarkStart w:id="709" w:name="_Toc193117040"/>
      <w:r>
        <w:t xml:space="preserve">Table </w:t>
      </w:r>
      <w:fldSimple w:instr=" SEQ Table \* ARABIC ">
        <w:r w:rsidR="00307850">
          <w:rPr>
            <w:noProof/>
          </w:rPr>
          <w:t>93</w:t>
        </w:r>
      </w:fldSimple>
      <w:bookmarkEnd w:id="705"/>
      <w:r>
        <w:t xml:space="preserve">. Resources </w:t>
      </w:r>
      <w:bookmarkEnd w:id="706"/>
      <w:r w:rsidRPr="00CD7DC3">
        <w:t>Related to Designing the Built Environment to Foster a Peaceful School Community</w:t>
      </w:r>
      <w:bookmarkEnd w:id="707"/>
      <w:bookmarkEnd w:id="708"/>
      <w:bookmarkEnd w:id="709"/>
    </w:p>
    <w:tbl>
      <w:tblPr>
        <w:tblStyle w:val="TableGrid"/>
        <w:tblW w:w="0" w:type="auto"/>
        <w:tblLayout w:type="fixed"/>
        <w:tblLook w:val="04A0" w:firstRow="1" w:lastRow="0" w:firstColumn="1" w:lastColumn="0" w:noHBand="0" w:noVBand="1"/>
        <w:tblDescription w:val="Table listing resources with active URLs for designing the built environment to foster a peaceful school community."/>
      </w:tblPr>
      <w:tblGrid>
        <w:gridCol w:w="3685"/>
        <w:gridCol w:w="1980"/>
        <w:gridCol w:w="3685"/>
      </w:tblGrid>
      <w:tr w:rsidR="00C258D2" w:rsidRPr="00276B41" w14:paraId="75DB7776" w14:textId="77777777">
        <w:trPr>
          <w:tblHeader/>
        </w:trPr>
        <w:tc>
          <w:tcPr>
            <w:tcW w:w="3685" w:type="dxa"/>
            <w:shd w:val="clear" w:color="auto" w:fill="C6D9F1" w:themeFill="text2" w:themeFillTint="33"/>
          </w:tcPr>
          <w:p w14:paraId="396AA353" w14:textId="77777777" w:rsidR="00C258D2" w:rsidRPr="004C3A1C" w:rsidRDefault="00C258D2">
            <w:pPr>
              <w:pStyle w:val="TableColumnHeader"/>
            </w:pPr>
            <w:r w:rsidRPr="004C3A1C">
              <w:t>Resource</w:t>
            </w:r>
          </w:p>
        </w:tc>
        <w:tc>
          <w:tcPr>
            <w:tcW w:w="1980" w:type="dxa"/>
            <w:shd w:val="clear" w:color="auto" w:fill="C6D9F1" w:themeFill="text2" w:themeFillTint="33"/>
          </w:tcPr>
          <w:p w14:paraId="4B086BA3" w14:textId="77777777" w:rsidR="00C258D2" w:rsidRPr="004C3A1C" w:rsidRDefault="00C258D2">
            <w:pPr>
              <w:pStyle w:val="TableColumnHeader"/>
            </w:pPr>
            <w:r w:rsidRPr="004C3A1C">
              <w:t>Author</w:t>
            </w:r>
          </w:p>
        </w:tc>
        <w:tc>
          <w:tcPr>
            <w:tcW w:w="3685" w:type="dxa"/>
            <w:shd w:val="clear" w:color="auto" w:fill="C6D9F1" w:themeFill="text2" w:themeFillTint="33"/>
          </w:tcPr>
          <w:p w14:paraId="1D1626CE" w14:textId="77777777" w:rsidR="00C258D2" w:rsidRPr="004C3A1C" w:rsidRDefault="00C258D2">
            <w:pPr>
              <w:pStyle w:val="TableColumnHeader"/>
            </w:pPr>
            <w:r w:rsidRPr="004C3A1C">
              <w:t>URL</w:t>
            </w:r>
          </w:p>
        </w:tc>
      </w:tr>
      <w:tr w:rsidR="00C258D2" w:rsidRPr="00276B41" w14:paraId="2F905B41" w14:textId="77777777">
        <w:tc>
          <w:tcPr>
            <w:tcW w:w="3685" w:type="dxa"/>
          </w:tcPr>
          <w:p w14:paraId="7F82E6C5" w14:textId="77777777" w:rsidR="00C258D2" w:rsidRPr="00B76B9C" w:rsidRDefault="00C258D2">
            <w:pPr>
              <w:rPr>
                <w:rFonts w:ascii="Arial" w:hAnsi="Arial" w:cs="Arial"/>
                <w:sz w:val="24"/>
              </w:rPr>
            </w:pPr>
            <w:r w:rsidRPr="00B76B9C">
              <w:rPr>
                <w:rFonts w:ascii="Arial" w:hAnsi="Arial" w:cs="Arial"/>
                <w:sz w:val="24"/>
              </w:rPr>
              <w:t>Schools That Heal</w:t>
            </w:r>
            <w:r>
              <w:rPr>
                <w:rFonts w:ascii="Arial" w:hAnsi="Arial" w:cs="Arial"/>
                <w:sz w:val="24"/>
              </w:rPr>
              <w:t>,</w:t>
            </w:r>
          </w:p>
          <w:p w14:paraId="5BDC0BFA" w14:textId="77777777" w:rsidR="00C258D2" w:rsidRPr="00B76B9C" w:rsidRDefault="00C258D2">
            <w:pPr>
              <w:pStyle w:val="TableText"/>
              <w:rPr>
                <w:rFonts w:cs="Arial"/>
                <w:szCs w:val="24"/>
              </w:rPr>
            </w:pPr>
            <w:r w:rsidRPr="00B76B9C">
              <w:rPr>
                <w:rFonts w:cs="Arial"/>
                <w:szCs w:val="24"/>
              </w:rPr>
              <w:t>Design with Mental Health in Mind</w:t>
            </w:r>
          </w:p>
        </w:tc>
        <w:tc>
          <w:tcPr>
            <w:tcW w:w="1980" w:type="dxa"/>
          </w:tcPr>
          <w:p w14:paraId="23C44BC4" w14:textId="77777777" w:rsidR="00C258D2" w:rsidRPr="00B76B9C" w:rsidRDefault="00C258D2">
            <w:pPr>
              <w:pStyle w:val="TableText"/>
              <w:rPr>
                <w:rFonts w:cs="Arial"/>
                <w:szCs w:val="24"/>
              </w:rPr>
            </w:pPr>
            <w:r w:rsidRPr="00B76B9C">
              <w:rPr>
                <w:rFonts w:cs="Arial"/>
                <w:szCs w:val="24"/>
              </w:rPr>
              <w:t>Claire Latane</w:t>
            </w:r>
          </w:p>
        </w:tc>
        <w:tc>
          <w:tcPr>
            <w:tcW w:w="3685" w:type="dxa"/>
          </w:tcPr>
          <w:p w14:paraId="3C9B5ECB" w14:textId="10E1DD2E" w:rsidR="00C258D2" w:rsidRPr="00B76B9C" w:rsidRDefault="00C258D2">
            <w:pPr>
              <w:pStyle w:val="TableText"/>
              <w:rPr>
                <w:rFonts w:cs="Arial"/>
                <w:szCs w:val="24"/>
              </w:rPr>
            </w:pPr>
            <w:hyperlink r:id="rId381" w:anchor="desc" w:history="1">
              <w:r w:rsidRPr="00B76B9C">
                <w:rPr>
                  <w:rStyle w:val="Hyperlink"/>
                  <w:rFonts w:cs="Arial"/>
                  <w:szCs w:val="24"/>
                </w:rPr>
                <w:t>https://islandpress.org/books/schools-heal#desc</w:t>
              </w:r>
            </w:hyperlink>
            <w:r w:rsidRPr="00B76B9C">
              <w:rPr>
                <w:rFonts w:cs="Arial"/>
                <w:szCs w:val="24"/>
              </w:rPr>
              <w:t xml:space="preserve"> </w:t>
            </w:r>
          </w:p>
        </w:tc>
      </w:tr>
    </w:tbl>
    <w:p w14:paraId="5009875B" w14:textId="77777777" w:rsidR="00C258D2" w:rsidRDefault="00C258D2" w:rsidP="008131EB">
      <w:pPr>
        <w:pStyle w:val="ListBullet"/>
        <w:numPr>
          <w:ilvl w:val="0"/>
          <w:numId w:val="0"/>
        </w:numPr>
      </w:pPr>
    </w:p>
    <w:p w14:paraId="23A6E42B" w14:textId="77777777" w:rsidR="008C7545" w:rsidRDefault="008C7545" w:rsidP="006D7DE6">
      <w:pPr>
        <w:pStyle w:val="BodyTextFirstIndent"/>
      </w:pPr>
    </w:p>
    <w:p w14:paraId="548BFAAB" w14:textId="77777777" w:rsidR="008C7545" w:rsidRDefault="008C7545" w:rsidP="008C7545">
      <w:pPr>
        <w:sectPr w:rsidR="008C7545" w:rsidSect="008C7545">
          <w:pgSz w:w="12240" w:h="15840"/>
          <w:pgMar w:top="1440" w:right="1440" w:bottom="1440" w:left="1440" w:header="720" w:footer="720" w:gutter="0"/>
          <w:cols w:space="720"/>
          <w:docGrid w:linePitch="360"/>
        </w:sectPr>
      </w:pPr>
    </w:p>
    <w:p w14:paraId="191C630A" w14:textId="782CB91B" w:rsidR="008C7545" w:rsidRDefault="00EA7056" w:rsidP="00A90558">
      <w:pPr>
        <w:pStyle w:val="Heading1"/>
      </w:pPr>
      <w:bookmarkStart w:id="710" w:name="Appendix_C"/>
      <w:bookmarkStart w:id="711" w:name="Section_VIII"/>
      <w:bookmarkStart w:id="712" w:name="_Toc171518387"/>
      <w:bookmarkStart w:id="713" w:name="_Toc171519340"/>
      <w:bookmarkStart w:id="714" w:name="_Toc193116943"/>
      <w:bookmarkEnd w:id="710"/>
      <w:bookmarkEnd w:id="711"/>
      <w:r>
        <w:lastRenderedPageBreak/>
        <w:t>VII</w:t>
      </w:r>
      <w:r w:rsidR="008D6BFE">
        <w:t>I</w:t>
      </w:r>
      <w:r>
        <w:t>.</w:t>
      </w:r>
      <w:r w:rsidR="008C7545">
        <w:t xml:space="preserve"> </w:t>
      </w:r>
      <w:bookmarkEnd w:id="712"/>
      <w:bookmarkEnd w:id="713"/>
      <w:r w:rsidR="00177552">
        <w:t>Additional Details Related to Goal 3: Achieve Equitable Outcomes</w:t>
      </w:r>
      <w:r>
        <w:t xml:space="preserve"> </w:t>
      </w:r>
      <w:r w:rsidR="00177552">
        <w:t>for All Students</w:t>
      </w:r>
      <w:bookmarkEnd w:id="714"/>
    </w:p>
    <w:p w14:paraId="311863CE" w14:textId="320407C0" w:rsidR="0071640F" w:rsidRDefault="0071640F" w:rsidP="006D7DE6">
      <w:pPr>
        <w:pStyle w:val="BodyTextFirstIndent"/>
      </w:pPr>
      <w:r>
        <w:t xml:space="preserve">This </w:t>
      </w:r>
      <w:r w:rsidR="00EA7056">
        <w:t>section</w:t>
      </w:r>
      <w:r>
        <w:t xml:space="preserve"> presents the following content:</w:t>
      </w:r>
    </w:p>
    <w:p w14:paraId="0FB9AC3B" w14:textId="5A4A4E3D" w:rsidR="0071640F" w:rsidRDefault="0071640F" w:rsidP="008131EB">
      <w:pPr>
        <w:pStyle w:val="ListBullet"/>
      </w:pPr>
      <w:r>
        <w:t>A more detailed narrative description of the methods and best practices presented in Goal 3: Achieve Equitable Outcomes for All Students (Section IV)</w:t>
      </w:r>
    </w:p>
    <w:p w14:paraId="61111777" w14:textId="3CD5EC0B" w:rsidR="0071640F" w:rsidRDefault="0071640F" w:rsidP="008131EB">
      <w:pPr>
        <w:pStyle w:val="ListBullet"/>
      </w:pPr>
      <w:r>
        <w:t>A narrative and tabular summary of the relevant statutory/regulatory framework and notable standards</w:t>
      </w:r>
    </w:p>
    <w:p w14:paraId="67BE2DBC" w14:textId="77777777" w:rsidR="0071640F" w:rsidRDefault="0071640F" w:rsidP="008131EB">
      <w:pPr>
        <w:pStyle w:val="ListBullet"/>
      </w:pPr>
      <w:r>
        <w:t xml:space="preserve">A tabular summary of relevant resources that can help school districts across the Commonwealth achieve green schools </w:t>
      </w:r>
    </w:p>
    <w:p w14:paraId="05ED68A8" w14:textId="0C229388" w:rsidR="0071640F" w:rsidRDefault="0071640F" w:rsidP="006D7DE6">
      <w:pPr>
        <w:pStyle w:val="BodyTextFirstIndent"/>
      </w:pPr>
      <w:r>
        <w:t xml:space="preserve">Content is provided across the following three objectives: </w:t>
      </w:r>
    </w:p>
    <w:p w14:paraId="180D9DF4" w14:textId="77777777" w:rsidR="0071640F" w:rsidRDefault="0071640F" w:rsidP="0073680D">
      <w:pPr>
        <w:pStyle w:val="ListLetter"/>
        <w:numPr>
          <w:ilvl w:val="0"/>
          <w:numId w:val="32"/>
        </w:numPr>
      </w:pPr>
      <w:r>
        <w:t>Optimize space to equitably meet special education needs</w:t>
      </w:r>
    </w:p>
    <w:p w14:paraId="5D714FE3" w14:textId="352D5001" w:rsidR="0071640F" w:rsidRDefault="0077299C" w:rsidP="0073680D">
      <w:pPr>
        <w:pStyle w:val="ListLetter"/>
        <w:numPr>
          <w:ilvl w:val="0"/>
          <w:numId w:val="31"/>
        </w:numPr>
      </w:pPr>
      <w:r>
        <w:t>Prioritize</w:t>
      </w:r>
      <w:r w:rsidR="0071640F">
        <w:t xml:space="preserve"> universal accessibility</w:t>
      </w:r>
    </w:p>
    <w:p w14:paraId="71104634" w14:textId="13FB3C90" w:rsidR="008C7545" w:rsidRDefault="0071640F" w:rsidP="0073680D">
      <w:pPr>
        <w:pStyle w:val="ListLetter"/>
        <w:numPr>
          <w:ilvl w:val="0"/>
          <w:numId w:val="31"/>
        </w:numPr>
      </w:pPr>
      <w:r>
        <w:t>Use available data to identify and equitably prioritize schools of greatest need</w:t>
      </w:r>
      <w:r w:rsidR="007D3A55">
        <w:t xml:space="preserve"> and advocate for additional funding opportunities</w:t>
      </w:r>
    </w:p>
    <w:p w14:paraId="191C07A3" w14:textId="5A9D63FF" w:rsidR="00F974F0" w:rsidRDefault="00F974F0" w:rsidP="006D7DE6">
      <w:pPr>
        <w:pStyle w:val="BodyTextFirstIndent"/>
      </w:pPr>
      <w:r>
        <w:br w:type="page"/>
      </w:r>
    </w:p>
    <w:p w14:paraId="18AFB0AE" w14:textId="73714F85" w:rsidR="00F974F0" w:rsidRDefault="00F974F0" w:rsidP="001C7888">
      <w:pPr>
        <w:pStyle w:val="Heading2"/>
      </w:pPr>
      <w:bookmarkStart w:id="715" w:name="SectVIII_3a"/>
      <w:bookmarkStart w:id="716" w:name="_Toc193116944"/>
      <w:bookmarkEnd w:id="715"/>
      <w:r>
        <w:lastRenderedPageBreak/>
        <w:t xml:space="preserve">Objective 3a. </w:t>
      </w:r>
      <w:r w:rsidR="00E13AD9" w:rsidRPr="00E13AD9">
        <w:t>Optimize Space to Equitably Meet Special Education Needs</w:t>
      </w:r>
      <w:bookmarkEnd w:id="716"/>
    </w:p>
    <w:p w14:paraId="1C4AB103" w14:textId="77777777" w:rsidR="006B12CF" w:rsidRDefault="006B12CF" w:rsidP="006B12CF">
      <w:pPr>
        <w:pStyle w:val="Heading3"/>
      </w:pPr>
      <w:r>
        <w:t>Methods and Best Practices</w:t>
      </w:r>
    </w:p>
    <w:p w14:paraId="78757D87" w14:textId="77777777" w:rsidR="006B12CF" w:rsidRPr="006B12CF" w:rsidRDefault="006B12CF" w:rsidP="006D7DE6">
      <w:pPr>
        <w:pStyle w:val="BodyTextFirstIndent"/>
      </w:pPr>
      <w:r>
        <w:t>This section summarizes the methods and best practices for optimizing space to meet special education needs equitably in schools.</w:t>
      </w:r>
    </w:p>
    <w:p w14:paraId="4E5DA226" w14:textId="77777777" w:rsidR="006B12CF" w:rsidRDefault="006B12CF" w:rsidP="006B12CF">
      <w:pPr>
        <w:pStyle w:val="Heading5"/>
      </w:pPr>
      <w:r>
        <w:t>(1) Design inclusive classrooms</w:t>
      </w:r>
    </w:p>
    <w:p w14:paraId="79225A40" w14:textId="47C1BE8D" w:rsidR="006B12CF" w:rsidRDefault="006B12CF" w:rsidP="006D7DE6">
      <w:pPr>
        <w:pStyle w:val="BodyTextFirstIndent"/>
      </w:pPr>
      <w:r>
        <w:t>Inclusion classrooms contain students with and without disabilities, incorporating supports for students in need of special education services. Students who receive special education in a full inclusion setting spend 80 to 100 percent of their day in a general education setting, while students with partial inclusion spend 40 to 80 percent of their day in general education.</w:t>
      </w:r>
      <w:r>
        <w:fldChar w:fldCharType="begin"/>
      </w:r>
      <w:r w:rsidR="00B35550">
        <w:instrText xml:space="preserve"> ADDIN ZOTERO_ITEM CSL_CITATION {"citationID":"dACQ2fwD","properties":{"formattedCitation":"\\super 396\\nosupersub{}","plainCitation":"396","noteIndex":0},"citationItems":[{"id":272,"uris":["http://zotero.org/groups/5563646/items/JLWWX6XR"],"itemData":{"id":272,"type":"document","title":"Special education continuum of services and design considerations - rules of thumb","URL":"https://www.massschoolbuildings.org/sites/default/files/edit-contentfiles/About_Us/Roundtables/Designer/Handouts.pdf","author":[{"family":"MSBA","given":""}],"accessed":{"date-parts":[["2024",6,24]]},"issued":{"literal":"n.d."}}}],"schema":"https://github.com/citation-style-language/schema/raw/master/csl-citation.json"} </w:instrText>
      </w:r>
      <w:r>
        <w:fldChar w:fldCharType="separate"/>
      </w:r>
      <w:r w:rsidR="00B35550" w:rsidRPr="00B35550">
        <w:rPr>
          <w:rFonts w:cs="Arial"/>
          <w:vertAlign w:val="superscript"/>
        </w:rPr>
        <w:t>396</w:t>
      </w:r>
      <w:r>
        <w:fldChar w:fldCharType="end"/>
      </w:r>
      <w:r>
        <w:t xml:space="preserve"> Inclusion classrooms are often, but not always, the least restrictive learning environment for students receiving special education. In Massachusetts, 18 percent of students are eligible for special education services; of those students, approximately 60 percent are placed in an inclusion classroom.</w:t>
      </w:r>
      <w:r>
        <w:fldChar w:fldCharType="begin"/>
      </w:r>
      <w:r w:rsidR="00643D6C">
        <w:instrText xml:space="preserve"> ADDIN ZOTERO_ITEM CSL_CITATION {"citationID":"7YHCprT2","properties":{"formattedCitation":"\\super 397\\nosupersub{}","plainCitation":"397","noteIndex":0},"citationItems":[{"id":302,"uris":["http://zotero.org/groups/5563646/items/BHJW9TA9"],"itemData":{"id":302,"type":"speech","language":"en","title":"Inclusive Practice","author":[{"family":"MA DESE","given":""}]}}],"schema":"https://github.com/citation-style-language/schema/raw/master/csl-citation.json"} </w:instrText>
      </w:r>
      <w:r>
        <w:fldChar w:fldCharType="separate"/>
      </w:r>
      <w:r w:rsidR="00643D6C" w:rsidRPr="00643D6C">
        <w:rPr>
          <w:rFonts w:cs="Arial"/>
          <w:vertAlign w:val="superscript"/>
        </w:rPr>
        <w:t>397</w:t>
      </w:r>
      <w:r>
        <w:fldChar w:fldCharType="end"/>
      </w:r>
      <w:r>
        <w:t xml:space="preserve"> </w:t>
      </w:r>
    </w:p>
    <w:p w14:paraId="35ED5046" w14:textId="0F7BBC6C" w:rsidR="006B12CF" w:rsidRDefault="006B12CF" w:rsidP="006D7DE6">
      <w:pPr>
        <w:pStyle w:val="BodyTextFirstIndent"/>
      </w:pPr>
      <w:r>
        <w:t>Inclusion classrooms benefit students both with and without disabilities. A review of special education in Massachusetts found that students with disabilities placed in inclusion settings were five times more likely to graduate high school in five years or fewer compared to their peers placed in substantially separate settings.</w:t>
      </w:r>
      <w:r>
        <w:fldChar w:fldCharType="begin"/>
      </w:r>
      <w:r w:rsidR="00C55349">
        <w:instrText xml:space="preserve"> ADDIN ZOTERO_ITEM CSL_CITATION {"citationID":"TGNVT10p","properties":{"formattedCitation":"\\super 149\\nosupersub{}","plainCitation":"149","noteIndex":0},"citationItems":[{"id":264,"uris":["http://zotero.org/groups/5563646/items/Z5D3WVGX"],"itemData":{"id":264,"type":"article-journal","language":"en","source":"Zotero","title":"Review of Special Education in the Commonwealth of Massachusetts: A Synthesis Report","author":[{"family":"Hehir","given":"Thomas"},{"family":"Schifter","given":"Laura"},{"family":"Grindal","given":"Ed"},{"family":"Ng","given":"Monica"},{"family":"Eidelman","given":"Hadas"}],"issued":{"date-parts":[["2014",8]]}}}],"schema":"https://github.com/citation-style-language/schema/raw/master/csl-citation.json"} </w:instrText>
      </w:r>
      <w:r>
        <w:fldChar w:fldCharType="separate"/>
      </w:r>
      <w:r w:rsidR="00C55349" w:rsidRPr="00C55349">
        <w:rPr>
          <w:rFonts w:cs="Arial"/>
          <w:vertAlign w:val="superscript"/>
        </w:rPr>
        <w:t>149</w:t>
      </w:r>
      <w:r>
        <w:fldChar w:fldCharType="end"/>
      </w:r>
      <w:r>
        <w:t xml:space="preserve"> A study completed in 2021 found that students without disabilities also benefit from inclusion classrooms.</w:t>
      </w:r>
      <w:r>
        <w:fldChar w:fldCharType="begin"/>
      </w:r>
      <w:r w:rsidR="004E6159">
        <w:instrText xml:space="preserve"> ADDIN ZOTERO_ITEM CSL_CITATION {"citationID":"pQpQcM72","properties":{"formattedCitation":"\\super 398\\nosupersub{}","plainCitation":"398","noteIndex":0},"citationItems":[{"id":285,"uris":["http://zotero.org/groups/5563646/items/MCRXMFV2"],"itemData":{"id":285,"type":"article-journal","abstract":"Growing evidence in recent years has led to an agreement on the importance and benefits that inclusive education has for students with special educational needs (SEN). However, the extension and universalization of an inclusive approach will also be enhanced with more evidence on the benefits that inclusion has for all students, including those without SEN. Based on the existing knowledge that learning interactions among diverse students are a key component of educational inclusion, the aim of this study is to identify the impact on students without SEN of being educated with students with SEN in shared, inclusive, interactive learning environments. Data were collected in three schools using a qualitative approach with a communicative orientation. Semistructured interviews were held with teachers as well as community volunteers participating in the schools. Further, focus groups were conducted with students and teachers. The results show that students without SEN benefit from participating in interactive learning activities with peers with SEN in different ways: (1) they learn to respect others, accept differences, and acknowledge different abilities, thereby creating opportunities for new friendships to develop; (2) they learn about abilities related to helping others participate and learn, to be patient and to gain the satisfaction in helping others learn and behave better; and (3) they benefit from the cognitive effort required to explain themselves and from the contributions of peers with SEN from which they can learn.","container-title":"Frontiers in Psychology","DOI":"10.3389/fpsyg.2021.661427","ISSN":"1664-1078","journalAbbreviation":"Front Psychol","note":"PMID: 33995221\nPMCID: PMC8116690","page":"661427","source":"PubMed Central","title":"How Inclusive Interactive Learning Environments Benefit Students Without Special Needs","volume":"12","author":[{"family":"Molina Roldán","given":"Silvia"},{"family":"Marauri","given":"Jesús"},{"family":"Aubert","given":"Adriana"},{"family":"Flecha","given":"Ramon"}],"issued":{"date-parts":[["2021",4,29]]}}}],"schema":"https://github.com/citation-style-language/schema/raw/master/csl-citation.json"} </w:instrText>
      </w:r>
      <w:r>
        <w:fldChar w:fldCharType="separate"/>
      </w:r>
      <w:r w:rsidR="004E6159" w:rsidRPr="004E6159">
        <w:rPr>
          <w:rFonts w:cs="Arial"/>
          <w:vertAlign w:val="superscript"/>
        </w:rPr>
        <w:t>398</w:t>
      </w:r>
      <w:r>
        <w:fldChar w:fldCharType="end"/>
      </w:r>
      <w:r>
        <w:t xml:space="preserve"> Maximizing the impact of inclusive classrooms requires designing classrooms with diverse learning needs in mind. </w:t>
      </w:r>
    </w:p>
    <w:p w14:paraId="6C2D4D31" w14:textId="1B86C08F" w:rsidR="006B12CF" w:rsidRDefault="006B12CF" w:rsidP="006D7DE6">
      <w:pPr>
        <w:pStyle w:val="BodyTextFirstIndent"/>
      </w:pPr>
      <w:r>
        <w:t>Student placement should always be based on individual needs rather than available space.</w:t>
      </w:r>
      <w:r>
        <w:fldChar w:fldCharType="begin"/>
      </w:r>
      <w:r w:rsidR="001B11E7">
        <w:instrText xml:space="preserve"> ADDIN ZOTERO_ITEM CSL_CITATION {"citationID":"duJ68uZR","properties":{"formattedCitation":"\\super 153\\nosupersub{}","plainCitation":"153","noteIndex":0},"citationItems":[{"id":267,"uris":["http://zotero.org/groups/5563646/items/NZI2M352"],"itemData":{"id":267,"type":"webpage","abstract":"When educators work to educate students with disabilities alongside their non-disabled peers, while also meeting their unique needs and circumstances, they can effectively move beyond the confines of a one-size-fits-all classroom model.","language":"en","title":"Maximizing Student Success with Least Restrictive Environments and Appropriate Models of Inclusion | NEA","URL":"https://www.nea.org/nea-today/all-news-articles/maximizing-student-success-least-restrictive-environments-and-appropriate-models-inclusion","author":[{"family":"Graham","given":"Edward"}],"accessed":{"date-parts":[["2024",6,24]]}}}],"schema":"https://github.com/citation-style-language/schema/raw/master/csl-citation.json"} </w:instrText>
      </w:r>
      <w:r>
        <w:fldChar w:fldCharType="separate"/>
      </w:r>
      <w:r w:rsidR="001B11E7" w:rsidRPr="001B11E7">
        <w:rPr>
          <w:rFonts w:cs="Arial"/>
          <w:vertAlign w:val="superscript"/>
        </w:rPr>
        <w:t>153</w:t>
      </w:r>
      <w:r>
        <w:fldChar w:fldCharType="end"/>
      </w:r>
      <w:r>
        <w:t xml:space="preserve"> Existing schools are somewhat limited by existing classroom space; however, schools undergoing renovations or being newly constructed should prioritize designing inclusive classrooms. Inclusion classrooms should be large enough to accommodate push-in services, like small breakout groups.</w:t>
      </w:r>
      <w:r>
        <w:fldChar w:fldCharType="begin"/>
      </w:r>
      <w:r w:rsidR="00505474">
        <w:instrText xml:space="preserve"> ADDIN ZOTERO_ITEM CSL_CITATION {"citationID":"9nxypiHe","properties":{"formattedCitation":"\\super 396\\nosupersub{}","plainCitation":"396","noteIndex":0},"citationItems":[{"id":272,"uris":["http://zotero.org/groups/5563646/items/JLWWX6XR"],"itemData":{"id":272,"type":"document","title":"Special education continuum of services and design considerations - rules of thumb","URL":"https://www.massschoolbuildings.org/sites/default/files/edit-contentfiles/About_Us/Roundtables/Designer/Handouts.pdf","author":[{"family":"MSBA","given":""}],"accessed":{"date-parts":[["2024",6,24]]},"issued":{"literal":"n.d."}}}],"schema":"https://github.com/citation-style-language/schema/raw/master/csl-citation.json"} </w:instrText>
      </w:r>
      <w:r>
        <w:fldChar w:fldCharType="separate"/>
      </w:r>
      <w:r w:rsidR="00505474" w:rsidRPr="00505474">
        <w:rPr>
          <w:rFonts w:cs="Arial"/>
          <w:vertAlign w:val="superscript"/>
        </w:rPr>
        <w:t>396</w:t>
      </w:r>
      <w:r>
        <w:fldChar w:fldCharType="end"/>
      </w:r>
      <w:r>
        <w:t xml:space="preserve"> When pull-out services are required, resource rooms, which can be smaller, should be in the vicinity of general classrooms.</w:t>
      </w:r>
      <w:r>
        <w:fldChar w:fldCharType="begin"/>
      </w:r>
      <w:r w:rsidR="00BB2340">
        <w:instrText xml:space="preserve"> ADDIN ZOTERO_ITEM CSL_CITATION {"citationID":"JRGkhxaP","properties":{"formattedCitation":"\\super 396\\nosupersub{}","plainCitation":"396","noteIndex":0},"citationItems":[{"id":272,"uris":["http://zotero.org/groups/5563646/items/JLWWX6XR"],"itemData":{"id":272,"type":"document","title":"Special education continuum of services and design considerations - rules of thumb","URL":"https://www.massschoolbuildings.org/sites/default/files/edit-contentfiles/About_Us/Roundtables/Designer/Handouts.pdf","author":[{"family":"MSBA","given":""}],"accessed":{"date-parts":[["2024",6,24]]},"issued":{"literal":"n.d."}}}],"schema":"https://github.com/citation-style-language/schema/raw/master/csl-citation.json"} </w:instrText>
      </w:r>
      <w:r>
        <w:fldChar w:fldCharType="separate"/>
      </w:r>
      <w:r w:rsidR="00BB2340" w:rsidRPr="00BB2340">
        <w:rPr>
          <w:rFonts w:cs="Arial"/>
          <w:vertAlign w:val="superscript"/>
        </w:rPr>
        <w:t>396</w:t>
      </w:r>
      <w:r>
        <w:fldChar w:fldCharType="end"/>
      </w:r>
    </w:p>
    <w:p w14:paraId="20F740BF" w14:textId="5FEB8364" w:rsidR="006B12CF" w:rsidRDefault="006B12CF" w:rsidP="006D7DE6">
      <w:pPr>
        <w:pStyle w:val="BodyTextFirstIndent"/>
      </w:pPr>
      <w:r>
        <w:t>In some cases, substantially separate classrooms are the most appropriate learning environment to meet student needs. Inclusion practices for substantially separate classrooms involve locating these classrooms within general education neighborhoods, ensuring rooms are the same size as general education classrooms, and placing students of similar ages and grade levels together.</w:t>
      </w:r>
      <w:r>
        <w:fldChar w:fldCharType="begin"/>
      </w:r>
      <w:r w:rsidR="004217B7">
        <w:instrText xml:space="preserve"> ADDIN ZOTERO_ITEM CSL_CITATION {"citationID":"WPIOEHPV","properties":{"formattedCitation":"\\super 396\\nosupersub{}","plainCitation":"396","noteIndex":0},"citationItems":[{"id":272,"uris":["http://zotero.org/groups/5563646/items/JLWWX6XR"],"itemData":{"id":272,"type":"document","title":"Special education continuum of services and design considerations - rules of thumb","URL":"https://www.massschoolbuildings.org/sites/default/files/edit-contentfiles/About_Us/Roundtables/Designer/Handouts.pdf","author":[{"family":"MSBA","given":""}],"accessed":{"date-parts":[["2024",6,24]]},"issued":{"literal":"n.d."}}}],"schema":"https://github.com/citation-style-language/schema/raw/master/csl-citation.json"} </w:instrText>
      </w:r>
      <w:r>
        <w:fldChar w:fldCharType="separate"/>
      </w:r>
      <w:r w:rsidR="004217B7" w:rsidRPr="004217B7">
        <w:rPr>
          <w:rFonts w:cs="Arial"/>
          <w:vertAlign w:val="superscript"/>
        </w:rPr>
        <w:t>396</w:t>
      </w:r>
      <w:r>
        <w:fldChar w:fldCharType="end"/>
      </w:r>
      <w:r>
        <w:t xml:space="preserve"> Additionally, gymnasiums, auditoriums, art rooms, and any other room that might supplement general education should be accessible to students in substantially separate settings to maximize inclusion opportunities when appropriate. </w:t>
      </w:r>
    </w:p>
    <w:p w14:paraId="6D710CE1" w14:textId="77777777" w:rsidR="009A5109" w:rsidRDefault="009A5109">
      <w:pPr>
        <w:rPr>
          <w:rFonts w:ascii="Arial" w:hAnsi="Arial"/>
          <w:b/>
          <w:i/>
          <w:color w:val="1F497D"/>
          <w:sz w:val="24"/>
        </w:rPr>
      </w:pPr>
      <w:r>
        <w:br w:type="page"/>
      </w:r>
    </w:p>
    <w:p w14:paraId="487BA140" w14:textId="5E513BD4" w:rsidR="006B12CF" w:rsidRDefault="006B12CF" w:rsidP="006B12CF">
      <w:pPr>
        <w:pStyle w:val="Heading5"/>
      </w:pPr>
      <w:r>
        <w:lastRenderedPageBreak/>
        <w:t>(2) Avoid clustering special education spaces</w:t>
      </w:r>
    </w:p>
    <w:p w14:paraId="49E5E120" w14:textId="6A5040DA" w:rsidR="006B12CF" w:rsidRDefault="006B12CF" w:rsidP="006D7DE6">
      <w:pPr>
        <w:pStyle w:val="BodyTextFirstIndent"/>
      </w:pPr>
      <w:r>
        <w:t>Massachusetts state regulations require that all eligible students have access to the school facilities necessary for implementing a student’s IEP.</w:t>
      </w:r>
      <w:r>
        <w:fldChar w:fldCharType="begin"/>
      </w:r>
      <w:r w:rsidR="00D66D77">
        <w:instrText xml:space="preserve"> ADDIN ZOTERO_ITEM CSL_CITATION {"citationID":"3d60Nvqd","properties":{"formattedCitation":"\\super 399\\nosupersub{}","plainCitation":"399","noteIndex":0},"citationItems":[{"id":198,"uris":["http://zotero.org/groups/5563646/items/JKDCXWNT"],"itemData":{"id":198,"type":"legislation","title":"603 CMR 28","URL":"https://www.mass.gov/doc/603-cmr-28-special-education/download","accessed":{"date-parts":[["2024",6,21]]}}}],"schema":"https://github.com/citation-style-language/schema/raw/master/csl-citation.json"} </w:instrText>
      </w:r>
      <w:r>
        <w:fldChar w:fldCharType="separate"/>
      </w:r>
      <w:r w:rsidR="00D66D77" w:rsidRPr="00D66D77">
        <w:rPr>
          <w:rFonts w:cs="Arial"/>
          <w:vertAlign w:val="superscript"/>
        </w:rPr>
        <w:t>399</w:t>
      </w:r>
      <w:r>
        <w:fldChar w:fldCharType="end"/>
      </w:r>
      <w:r>
        <w:t xml:space="preserve"> State regulation also requires that steps are taken to minimize the stigmatization of students receiving special education.</w:t>
      </w:r>
      <w:r>
        <w:fldChar w:fldCharType="begin"/>
      </w:r>
      <w:r w:rsidR="00C60472">
        <w:instrText xml:space="preserve"> ADDIN ZOTERO_ITEM CSL_CITATION {"citationID":"cPz2Gume","properties":{"formattedCitation":"\\super 399\\nosupersub{}","plainCitation":"399","noteIndex":0},"citationItems":[{"id":198,"uris":["http://zotero.org/groups/5563646/items/JKDCXWNT"],"itemData":{"id":198,"type":"legislation","title":"603 CMR 28","URL":"https://www.mass.gov/doc/603-cmr-28-special-education/download","accessed":{"date-parts":[["2024",6,21]]}}}],"schema":"https://github.com/citation-style-language/schema/raw/master/csl-citation.json"} </w:instrText>
      </w:r>
      <w:r>
        <w:fldChar w:fldCharType="separate"/>
      </w:r>
      <w:r w:rsidR="00C60472" w:rsidRPr="00C60472">
        <w:rPr>
          <w:rFonts w:cs="Arial"/>
          <w:vertAlign w:val="superscript"/>
        </w:rPr>
        <w:t>399</w:t>
      </w:r>
      <w:r>
        <w:fldChar w:fldCharType="end"/>
      </w:r>
      <w:r>
        <w:t xml:space="preserve"> Classrooms designed to serve students with disabilities, like resource rooms or substantially separate classrooms, should never be clustered away from the age-appropriate general education neighborhood.</w:t>
      </w:r>
      <w:r>
        <w:fldChar w:fldCharType="begin"/>
      </w:r>
      <w:r w:rsidR="003B5D22">
        <w:instrText xml:space="preserve"> ADDIN ZOTERO_ITEM CSL_CITATION {"citationID":"JnQrnW4P","properties":{"formattedCitation":"\\super 396,399\\nosupersub{}","plainCitation":"396,399","noteIndex":0},"citationItems":[{"id":198,"uris":["http://zotero.org/groups/5563646/items/JKDCXWNT"],"itemData":{"id":198,"type":"legislation","title":"603 CMR 28","URL":"https://www.mass.gov/doc/603-cmr-28-special-education/download","accessed":{"date-parts":[["2024",6,21]]}}},{"id":272,"uris":["http://zotero.org/groups/5563646/items/JLWWX6XR"],"itemData":{"id":272,"type":"document","title":"Special education continuum of services and design considerations - rules of thumb","URL":"https://www.massschoolbuildings.org/sites/default/files/edit-contentfiles/About_Us/Roundtables/Designer/Handouts.pdf","author":[{"family":"MSBA","given":""}],"accessed":{"date-parts":[["2024",6,24]]},"issued":{"literal":"n.d."}}}],"schema":"https://github.com/citation-style-language/schema/raw/master/csl-citation.json"} </w:instrText>
      </w:r>
      <w:r>
        <w:fldChar w:fldCharType="separate"/>
      </w:r>
      <w:r w:rsidR="003B5D22" w:rsidRPr="003B5D22">
        <w:rPr>
          <w:rFonts w:cs="Arial"/>
          <w:vertAlign w:val="superscript"/>
        </w:rPr>
        <w:t>396,399</w:t>
      </w:r>
      <w:r>
        <w:fldChar w:fldCharType="end"/>
      </w:r>
      <w:r>
        <w:t xml:space="preserve"> To meet the LRE mandate, schools must ensure every student, regardless of disability, has access to the general education curriculum and environment whenever possible. Special education classrooms should not be identifiable by signs or other means that differentiate them from classrooms that serve non-disabled students.</w:t>
      </w:r>
      <w:r>
        <w:fldChar w:fldCharType="begin"/>
      </w:r>
      <w:r w:rsidR="0041777E">
        <w:instrText xml:space="preserve"> ADDIN ZOTERO_ITEM CSL_CITATION {"citationID":"xePXV4c3","properties":{"formattedCitation":"\\super 399\\nosupersub{}","plainCitation":"399","noteIndex":0},"citationItems":[{"id":198,"uris":["http://zotero.org/groups/5563646/items/JKDCXWNT"],"itemData":{"id":198,"type":"legislation","title":"603 CMR 28","URL":"https://www.mass.gov/doc/603-cmr-28-special-education/download","accessed":{"date-parts":[["2024",6,21]]}}}],"schema":"https://github.com/citation-style-language/schema/raw/master/csl-citation.json"} </w:instrText>
      </w:r>
      <w:r>
        <w:fldChar w:fldCharType="separate"/>
      </w:r>
      <w:r w:rsidR="0041777E" w:rsidRPr="0041777E">
        <w:rPr>
          <w:rFonts w:cs="Arial"/>
          <w:vertAlign w:val="superscript"/>
        </w:rPr>
        <w:t>399</w:t>
      </w:r>
      <w:r>
        <w:fldChar w:fldCharType="end"/>
      </w:r>
      <w:r>
        <w:t xml:space="preserve"> </w:t>
      </w:r>
    </w:p>
    <w:p w14:paraId="12FA7067" w14:textId="77777777" w:rsidR="006B12CF" w:rsidRDefault="006B12CF" w:rsidP="006D7DE6">
      <w:pPr>
        <w:pStyle w:val="BodyTextFirstIndent"/>
      </w:pPr>
      <w:r>
        <w:t xml:space="preserve">Existing schools should evaluate how classrooms are dispersed throughout the school to determine if special education classrooms are clustered or located outside of age-appropriate classroom neighborhoods. This evaluation should also ensure that special education classrooms are not identified by signs or other means that stigmatize students. </w:t>
      </w:r>
    </w:p>
    <w:p w14:paraId="2CB6E8D9" w14:textId="77777777" w:rsidR="006B12CF" w:rsidRPr="002A7E1B" w:rsidRDefault="006B12CF" w:rsidP="006D7DE6">
      <w:pPr>
        <w:pStyle w:val="BodyTextFirstIndent"/>
      </w:pPr>
      <w:r>
        <w:t xml:space="preserve">Schools undergoing renovation and new schools should plan classroom neighborhoods to maximize the inclusion of special education services. These schools should consult with UD experts (see best practice 3) to develop plans that optimize the school layout so every student can access the general education environment, where appropriate. Gymnasiums, auditoriums, and other elective classrooms and extracurricular spaces should be accessible to every student in the school community, including students in substantially separate classrooms.  </w:t>
      </w:r>
    </w:p>
    <w:p w14:paraId="000FA6FA" w14:textId="77777777" w:rsidR="006B12CF" w:rsidRDefault="006B12CF" w:rsidP="006B12CF">
      <w:pPr>
        <w:pStyle w:val="Heading5"/>
      </w:pPr>
      <w:r>
        <w:t>(3) Prioritize principles of universal design</w:t>
      </w:r>
    </w:p>
    <w:p w14:paraId="738565A3" w14:textId="579D2DD0" w:rsidR="006B12CF" w:rsidRDefault="006B12CF" w:rsidP="006D7DE6">
      <w:pPr>
        <w:pStyle w:val="BodyTextFirstIndent"/>
      </w:pPr>
      <w:r>
        <w:t>UD challenges the typical design approach for the “average user” and focuses on developing designs with accessibility at the forefront.</w:t>
      </w:r>
      <w:r>
        <w:fldChar w:fldCharType="begin"/>
      </w:r>
      <w:r w:rsidR="007D418A">
        <w:instrText xml:space="preserve"> ADDIN ZOTERO_ITEM CSL_CITATION {"citationID":"ah5tlvdbo4","properties":{"formattedCitation":"\\super 400\\nosupersub{}","plainCitation":"400","noteIndex":0},"citationItems":[{"id":313,"uris":["http://zotero.org/groups/5563646/items/L9LMT5QB"],"itemData":{"id":313,"type":"webpage","title":"Universal Design in Education: Principles and Applications | DO-IT","URL":"https://www.washington.edu/doit/universal-design-education-principles-and-applications","accessed":{"date-parts":[["2024",6,24]]}}}],"schema":"https://github.com/citation-style-language/schema/raw/master/csl-citation.json"} </w:instrText>
      </w:r>
      <w:r>
        <w:fldChar w:fldCharType="separate"/>
      </w:r>
      <w:r w:rsidR="007D418A" w:rsidRPr="007D418A">
        <w:rPr>
          <w:rFonts w:cs="Arial"/>
          <w:vertAlign w:val="superscript"/>
        </w:rPr>
        <w:t>400</w:t>
      </w:r>
      <w:r>
        <w:fldChar w:fldCharType="end"/>
      </w:r>
      <w:r>
        <w:t xml:space="preserve"> This is accomplished by creating designs and products that are usable, accessible, and inclusive.</w:t>
      </w:r>
      <w:r>
        <w:fldChar w:fldCharType="begin"/>
      </w:r>
      <w:r w:rsidR="00C8400E">
        <w:instrText xml:space="preserve"> ADDIN ZOTERO_ITEM CSL_CITATION {"citationID":"a2a03giskh5","properties":{"formattedCitation":"\\super 400\\nosupersub{}","plainCitation":"400","noteIndex":0},"citationItems":[{"id":313,"uris":["http://zotero.org/groups/5563646/items/L9LMT5QB"],"itemData":{"id":313,"type":"webpage","title":"Universal Design in Education: Principles and Applications | DO-IT","URL":"https://www.washington.edu/doit/universal-design-education-principles-and-applications","accessed":{"date-parts":[["2024",6,24]]}}}],"schema":"https://github.com/citation-style-language/schema/raw/master/csl-citation.json"} </w:instrText>
      </w:r>
      <w:r>
        <w:fldChar w:fldCharType="separate"/>
      </w:r>
      <w:r w:rsidR="00C8400E" w:rsidRPr="00C8400E">
        <w:rPr>
          <w:rFonts w:cs="Arial"/>
          <w:vertAlign w:val="superscript"/>
        </w:rPr>
        <w:t>400</w:t>
      </w:r>
      <w:r>
        <w:fldChar w:fldCharType="end"/>
      </w:r>
      <w:r>
        <w:t xml:space="preserve"> Universal design in learning (UDL) is an instructional approach aimed at creating a more inclusive learning environment by providing adequate accommodations and eliminating unnecessary barriers to the learning process.</w:t>
      </w:r>
      <w:r>
        <w:fldChar w:fldCharType="begin"/>
      </w:r>
      <w:r w:rsidR="004957FF">
        <w:instrText xml:space="preserve"> ADDIN ZOTERO_ITEM CSL_CITATION {"citationID":"a57q3frasi","properties":{"formattedCitation":"\\super 401,402\\nosupersub{}","plainCitation":"401,402","noteIndex":0},"citationItems":[{"id":282,"uris":["http://zotero.org/groups/5563646/items/85IG52T2"],"itemData":{"id":282,"type":"webpage","title":"Universal Design for Learning | Center for Teaching Innovation","URL":"https://teaching.cornell.edu/teaching-resources/designing-your-course/universal-design-learning","accessed":{"date-parts":[["2024",6,24]]}}},{"id":823,"uris":["http://zotero.org/groups/5563646/items/MFVXQKNZ"],"itemData":{"id":823,"type":"webpage","abstract":"Learn more about the UDL framework and the UDL Guidelines, developed and maintained by CAST.","container-title":"CAST","language":"en-us","title":"About Universal Design for Learning","URL":"https://www.cast.org/impact/universal-design-for-learning-udl","accessed":{"date-parts":[["2024",7,23]]}}}],"schema":"https://github.com/citation-style-language/schema/raw/master/csl-citation.json"} </w:instrText>
      </w:r>
      <w:r>
        <w:fldChar w:fldCharType="separate"/>
      </w:r>
      <w:r w:rsidR="004957FF" w:rsidRPr="004957FF">
        <w:rPr>
          <w:rFonts w:cs="Arial"/>
          <w:vertAlign w:val="superscript"/>
        </w:rPr>
        <w:t>401,402</w:t>
      </w:r>
      <w:r>
        <w:fldChar w:fldCharType="end"/>
      </w:r>
      <w:r>
        <w:t xml:space="preserve"> Together, UD and UDL improve accessibility by guiding the development of buildings as well as the development of computers, computer software, curriculum, instruction, and a host of other products and services. Schools that incorporate principles of UD and UDL are better equipped to serve students, staff</w:t>
      </w:r>
      <w:r w:rsidR="006F17F5">
        <w:t xml:space="preserve"> members</w:t>
      </w:r>
      <w:r>
        <w:t>, and visitors with and without disabilities.</w:t>
      </w:r>
      <w:r>
        <w:fldChar w:fldCharType="begin"/>
      </w:r>
      <w:r w:rsidR="00D770B3">
        <w:instrText xml:space="preserve"> ADDIN ZOTERO_ITEM CSL_CITATION {"citationID":"a29budsepsj","properties":{"formattedCitation":"\\super 400,403\\nosupersub{}","plainCitation":"400,403","noteIndex":0},"citationItems":[{"id":313,"uris":["http://zotero.org/groups/5563646/items/L9LMT5QB"],"itemData":{"id":313,"type":"webpage","title":"Universal Design in Education: Principles and Applications | DO-IT","URL":"https://www.washington.edu/doit/universal-design-education-principles-and-applications","accessed":{"date-parts":[["2024",6,24]]}}},{"id":529,"uris":["http://zotero.org/groups/5563646/items/NJ8XHYB7"],"itemData":{"id":529,"type":"post-weblog","abstract":"Magda Mostafa, autism design consultant and architecture professor at the American University in Cairo, discusses inclusive design.","container-title":"Metropolis","language":"en-US","title":"When We Design for Autism, We Design for Everyone","URL":"https://metropolismag.com/viewpoints/when-we-design-for-autism-we-design-for-everyone/","author":[{"family":"Stone","given":"Jaxson"}],"accessed":{"date-parts":[["2024",7,9]]}}}],"schema":"https://github.com/citation-style-language/schema/raw/master/csl-citation.json"} </w:instrText>
      </w:r>
      <w:r>
        <w:fldChar w:fldCharType="separate"/>
      </w:r>
      <w:r w:rsidR="00D770B3" w:rsidRPr="00D770B3">
        <w:rPr>
          <w:rFonts w:cs="Arial"/>
          <w:vertAlign w:val="superscript"/>
        </w:rPr>
        <w:t>400,403</w:t>
      </w:r>
      <w:r>
        <w:fldChar w:fldCharType="end"/>
      </w:r>
    </w:p>
    <w:p w14:paraId="5F990D7C" w14:textId="2CF47D95" w:rsidR="006B12CF" w:rsidRPr="004E5853" w:rsidRDefault="006B12CF" w:rsidP="006D7DE6">
      <w:pPr>
        <w:pStyle w:val="BodyTextFirstIndent"/>
      </w:pPr>
      <w:r>
        <w:t xml:space="preserve">Existing schools are limited by their physical structure and layout; however, there are still </w:t>
      </w:r>
      <w:r w:rsidR="003376C1">
        <w:t xml:space="preserve">ways to </w:t>
      </w:r>
      <w:r>
        <w:t>incorporat</w:t>
      </w:r>
      <w:r w:rsidR="003376C1">
        <w:t>e</w:t>
      </w:r>
      <w:r>
        <w:t xml:space="preserve"> UD and UDL without renovations, especially in classroom settings.</w:t>
      </w:r>
      <w:r>
        <w:fldChar w:fldCharType="begin"/>
      </w:r>
      <w:r w:rsidR="00103D32">
        <w:instrText xml:space="preserve"> ADDIN ZOTERO_ITEM CSL_CITATION {"citationID":"a2ajvfpdanp","properties":{"formattedCitation":"\\super 404,405\\nosupersub{}","plainCitation":"404,405","noteIndex":0},"citationItems":[{"id":520,"uris":["http://zotero.org/groups/5563646/items/ZAAA4YSD"],"itemData":{"id":520,"type":"report","title":"ADA Checklist for Existing Facilities","URL":"https://www.adachecklist.org/doc/fullchecklist/ada-checklist.pdf","author":[{"family":"Institute for Human Centered Design","given":""}],"accessed":{"date-parts":[["2024",7,10]]}}},{"id":315,"uris":["http://zotero.org/groups/5563646/items/RZP8MJW8"],"itemData":{"id":315,"type":"webpage","title":"Equal Access: Universal Design of Physical Spaces | DO-IT","URL":"https://www.washington.edu/doit/equal-access-universal-design-physical-spaces","accessed":{"date-parts":[["2024",6,24]]}}}],"schema":"https://github.com/citation-style-language/schema/raw/master/csl-citation.json"} </w:instrText>
      </w:r>
      <w:r>
        <w:fldChar w:fldCharType="separate"/>
      </w:r>
      <w:r w:rsidR="00103D32" w:rsidRPr="00103D32">
        <w:rPr>
          <w:rFonts w:cs="Arial"/>
          <w:vertAlign w:val="superscript"/>
        </w:rPr>
        <w:t>404,405</w:t>
      </w:r>
      <w:r>
        <w:fldChar w:fldCharType="end"/>
      </w:r>
      <w:r>
        <w:t xml:space="preserve"> Classrooms can be equipped with more physically accessible furniture and furniture layouts. This can include upgrading to larger desks and ensuring desks and chairs are not connected. Some resources for removing existing barriers and incorporating elements of UD are included in </w:t>
      </w:r>
      <w:r>
        <w:fldChar w:fldCharType="begin"/>
      </w:r>
      <w:r>
        <w:instrText xml:space="preserve"> REF _Ref172649615 \h </w:instrText>
      </w:r>
      <w:r>
        <w:fldChar w:fldCharType="separate"/>
      </w:r>
      <w:r w:rsidR="00307850">
        <w:t xml:space="preserve">Table </w:t>
      </w:r>
      <w:r w:rsidR="00307850">
        <w:rPr>
          <w:noProof/>
        </w:rPr>
        <w:t>95</w:t>
      </w:r>
      <w:r>
        <w:fldChar w:fldCharType="end"/>
      </w:r>
      <w:r>
        <w:t xml:space="preserve">. </w:t>
      </w:r>
    </w:p>
    <w:p w14:paraId="0DA72B7C" w14:textId="710EE051" w:rsidR="006B12CF" w:rsidRPr="004E5853" w:rsidRDefault="006B12CF" w:rsidP="006D7DE6">
      <w:pPr>
        <w:pStyle w:val="BodyTextFirstIndent"/>
      </w:pPr>
      <w:r>
        <w:lastRenderedPageBreak/>
        <w:t>Schools undergoing extensive renovations and new</w:t>
      </w:r>
      <w:r w:rsidR="00F75DC4">
        <w:t>ly constructed</w:t>
      </w:r>
      <w:r>
        <w:t xml:space="preserve"> schools should incorporate UD from the planning stage. The construction of Danahey Park in Cambridge, MA, is an example of a project that incorporated UD from the planning stage—ensuring the park is physically accessible while also accommodating the sensory, cognitive, and emotional needs of users.</w:t>
      </w:r>
      <w:r>
        <w:fldChar w:fldCharType="begin"/>
      </w:r>
      <w:r w:rsidR="00682AA6">
        <w:instrText xml:space="preserve"> ADDIN ZOTERO_ITEM CSL_CITATION {"citationID":"a28oibn0jgh","properties":{"formattedCitation":"\\super 406\\nosupersub{}","plainCitation":"406","noteIndex":0},"citationItems":[{"id":840,"uris":["http://zotero.org/groups/5563646/items/BVE85LGU"],"itemData":{"id":840,"type":"webpage","abstract":"The Louis A. DePasquale playground was recently named a 2024 “Best of Boston”  / Best Outdoor Play Space by Boston Magazine.","language":"en","title":"Cambridge Playground Named Best Outdoor Play Space","URL":"https://www.cambridgema.gov/en/news/2024/07/cambridgeplaygroundnamedbestoutdoorplayspace","accessed":{"date-parts":[["2024",7,24]]},"issued":{"date-parts":[["2024",7,12]]}}}],"schema":"https://github.com/citation-style-language/schema/raw/master/csl-citation.json"} </w:instrText>
      </w:r>
      <w:r>
        <w:fldChar w:fldCharType="separate"/>
      </w:r>
      <w:r w:rsidR="00682AA6" w:rsidRPr="00682AA6">
        <w:rPr>
          <w:rFonts w:cs="Arial"/>
          <w:vertAlign w:val="superscript"/>
        </w:rPr>
        <w:t>406</w:t>
      </w:r>
      <w:r>
        <w:fldChar w:fldCharType="end"/>
      </w:r>
      <w:r>
        <w:t xml:space="preserve"> </w:t>
      </w:r>
    </w:p>
    <w:p w14:paraId="613BFAED" w14:textId="77777777" w:rsidR="006B12CF" w:rsidRPr="00FE3E47" w:rsidRDefault="006B12CF" w:rsidP="006B12CF">
      <w:pPr>
        <w:pStyle w:val="Heading5"/>
      </w:pPr>
      <w:r>
        <w:t>(4) Collaborate within and across districts</w:t>
      </w:r>
    </w:p>
    <w:p w14:paraId="55164FDB" w14:textId="53DD7583" w:rsidR="006B12CF" w:rsidRDefault="006B12CF" w:rsidP="006D7DE6">
      <w:pPr>
        <w:pStyle w:val="BodyTextFirstIndent"/>
      </w:pPr>
      <w:r>
        <w:t>With adequate planning, larger school districts in urban and suburban areas can ensure that most students receive placements in the LRE within their district. Only some schools will be able to serve students with the highest needs</w:t>
      </w:r>
      <w:r w:rsidR="009A0F0C">
        <w:t>;</w:t>
      </w:r>
      <w:r>
        <w:t xml:space="preserve"> </w:t>
      </w:r>
      <w:r w:rsidR="009A0F0C">
        <w:t>with</w:t>
      </w:r>
      <w:r>
        <w:t xml:space="preserve"> proper planning,</w:t>
      </w:r>
      <w:r w:rsidR="009A0F0C">
        <w:t xml:space="preserve"> however,</w:t>
      </w:r>
      <w:r>
        <w:t xml:space="preserve"> school districts can coordinate the placement of special education services throughout the district. These services should be dispersed across the district to ease accessibility for all. </w:t>
      </w:r>
    </w:p>
    <w:p w14:paraId="63120FDE" w14:textId="5AC485CA" w:rsidR="00F974F0" w:rsidRDefault="006B12CF" w:rsidP="006D7DE6">
      <w:pPr>
        <w:pStyle w:val="BodyTextFirstIndent"/>
      </w:pPr>
      <w:r>
        <w:t xml:space="preserve">In some cases, districts may only be able to meet the needs of some students. This is more common in smaller and rural districts with limited resources; however, this can also be challenging for larger districts. Collaboration across districts can help maximize efficiencies when serving students with the highest needs. Massachusetts has 24 Education Collaboratives across the </w:t>
      </w:r>
      <w:r w:rsidR="0090076D">
        <w:t>Commonwealth</w:t>
      </w:r>
      <w:r>
        <w:t xml:space="preserve"> designed to increase regional capacity and resources.</w:t>
      </w:r>
      <w:r>
        <w:fldChar w:fldCharType="begin"/>
      </w:r>
      <w:r w:rsidR="005F0260">
        <w:instrText xml:space="preserve"> ADDIN ZOTERO_ITEM CSL_CITATION {"citationID":"a6dj5tjml4","properties":{"formattedCitation":"\\super 407\\nosupersub{}","plainCitation":"407","noteIndex":0},"citationItems":[{"id":841,"uris":["http://zotero.org/groups/5563646/items/4B4R4USF"],"itemData":{"id":841,"type":"post-weblog","language":"en-US","title":"MOEC Collaboratives and Programs | MOEC Collaboratives and Programs","URL":"https://moec-programs.org/","accessed":{"date-parts":[["2024",7,24]]}}}],"schema":"https://github.com/citation-style-language/schema/raw/master/csl-citation.json"} </w:instrText>
      </w:r>
      <w:r>
        <w:fldChar w:fldCharType="separate"/>
      </w:r>
      <w:r w:rsidR="005F0260" w:rsidRPr="005F0260">
        <w:rPr>
          <w:rFonts w:cs="Arial"/>
          <w:vertAlign w:val="superscript"/>
        </w:rPr>
        <w:t>407</w:t>
      </w:r>
      <w:r>
        <w:fldChar w:fldCharType="end"/>
      </w:r>
      <w:r>
        <w:t xml:space="preserve"> Similar coordination should occur across collaboratives to </w:t>
      </w:r>
      <w:r w:rsidR="000B00BF">
        <w:t>meet</w:t>
      </w:r>
      <w:r>
        <w:t xml:space="preserve"> every student’s needs. When out-of-district placements are determined to be the best option for servicing a student’s IEP and transportation is a requirement on the student</w:t>
      </w:r>
      <w:r w:rsidR="00D16246">
        <w:t>’</w:t>
      </w:r>
      <w:r>
        <w:t>s IEP, the student is entitled to receive transportation.</w:t>
      </w:r>
      <w:r>
        <w:fldChar w:fldCharType="begin"/>
      </w:r>
      <w:r w:rsidR="001666F8">
        <w:instrText xml:space="preserve"> ADDIN ZOTERO_ITEM CSL_CITATION {"citationID":"avfktlul9g","properties":{"formattedCitation":"\\super 151\\nosupersub{}","plainCitation":"151","noteIndex":0},"citationItems":[{"id":309,"uris":["http://zotero.org/groups/5563646/items/ZFF3GS9L"],"itemData":{"id":309,"type":"webpage","title":"603 CMR 28.00: Special Education - Education Laws and Regulations","URL":"https://www.doe.mass.edu/lawsregs/603cmr28.html?section=01","accessed":{"date-parts":[["2024",6,24]]}}}],"schema":"https://github.com/citation-style-language/schema/raw/master/csl-citation.json"} </w:instrText>
      </w:r>
      <w:r>
        <w:fldChar w:fldCharType="separate"/>
      </w:r>
      <w:r w:rsidR="001666F8" w:rsidRPr="001666F8">
        <w:rPr>
          <w:rFonts w:cs="Arial"/>
          <w:vertAlign w:val="superscript"/>
        </w:rPr>
        <w:t>151</w:t>
      </w:r>
      <w:r>
        <w:fldChar w:fldCharType="end"/>
      </w:r>
    </w:p>
    <w:p w14:paraId="13DAB41F" w14:textId="77777777" w:rsidR="006B12CF" w:rsidRDefault="006B12CF" w:rsidP="006B12CF">
      <w:pPr>
        <w:pStyle w:val="Heading3"/>
      </w:pPr>
      <w:r>
        <w:t>Statutes, Regulations, and Standards</w:t>
      </w:r>
    </w:p>
    <w:p w14:paraId="483CD53D" w14:textId="77777777" w:rsidR="006B12CF" w:rsidRDefault="006B12CF" w:rsidP="006B12CF">
      <w:pPr>
        <w:pStyle w:val="Heading4"/>
      </w:pPr>
      <w:r>
        <w:t>Relevant Statutes</w:t>
      </w:r>
    </w:p>
    <w:p w14:paraId="60CD660A" w14:textId="03C14959" w:rsidR="006B12CF" w:rsidRDefault="006B12CF" w:rsidP="006D7DE6">
      <w:pPr>
        <w:pStyle w:val="BodyTextFirstIndent"/>
        <w:rPr>
          <w:b/>
        </w:rPr>
      </w:pPr>
      <w:r>
        <w:rPr>
          <w:b/>
          <w:bCs/>
        </w:rPr>
        <w:t>M.G.L., c.71B</w:t>
      </w:r>
      <w:r w:rsidRPr="00DC6A8C">
        <w:rPr>
          <w:b/>
          <w:bCs/>
        </w:rPr>
        <w:t>:</w:t>
      </w:r>
      <w:r>
        <w:rPr>
          <w:b/>
          <w:bCs/>
        </w:rPr>
        <w:t xml:space="preserve"> Children with Special Needs</w:t>
      </w:r>
      <w:r>
        <w:t xml:space="preserve"> guarantees all school</w:t>
      </w:r>
      <w:r w:rsidR="001E5199">
        <w:t>-</w:t>
      </w:r>
      <w:r>
        <w:t>aged children (ages 3 to 21) in Massachusetts a “free and appropriate public education in the least restrictive environment” regardless of disability.</w:t>
      </w:r>
      <w:r>
        <w:fldChar w:fldCharType="begin"/>
      </w:r>
      <w:r w:rsidR="00737BFD">
        <w:instrText xml:space="preserve"> ADDIN ZOTERO_ITEM CSL_CITATION {"citationID":"clf14t0q","properties":{"formattedCitation":"\\super 152\\nosupersub{}","plainCitation":"152","noteIndex":0},"citationItems":[{"id":312,"uris":["http://zotero.org/groups/5563646/items/XTMJ87L2"],"itemData":{"id":312,"type":"webpage","abstract":"If you are a person with a disability, you have certain rights related to your education. Find out about them.","language":"en","title":"Learn about education rights | Mass.gov","URL":"https://www.mass.gov/info-details/learn-about-education-rights","accessed":{"date-parts":[["2024",6,24]]}}}],"schema":"https://github.com/citation-style-language/schema/raw/master/csl-citation.json"} </w:instrText>
      </w:r>
      <w:r>
        <w:fldChar w:fldCharType="separate"/>
      </w:r>
      <w:r w:rsidR="00737BFD" w:rsidRPr="00737BFD">
        <w:rPr>
          <w:rFonts w:cs="Arial"/>
          <w:vertAlign w:val="superscript"/>
        </w:rPr>
        <w:t>152</w:t>
      </w:r>
      <w:r>
        <w:fldChar w:fldCharType="end"/>
      </w:r>
      <w:r>
        <w:t xml:space="preserve"> This statute is formerly known as M.G.L. c.766, which pre-dated federal special education legislation.</w:t>
      </w:r>
      <w:r>
        <w:fldChar w:fldCharType="begin"/>
      </w:r>
      <w:r w:rsidR="00AA4E52">
        <w:instrText xml:space="preserve"> ADDIN ZOTERO_ITEM CSL_CITATION {"citationID":"WRFJxOxg","properties":{"formattedCitation":"\\super 152\\nosupersub{}","plainCitation":"152","noteIndex":0},"citationItems":[{"id":312,"uris":["http://zotero.org/groups/5563646/items/XTMJ87L2"],"itemData":{"id":312,"type":"webpage","abstract":"If you are a person with a disability, you have certain rights related to your education. Find out about them.","language":"en","title":"Learn about education rights | Mass.gov","URL":"https://www.mass.gov/info-details/learn-about-education-rights","accessed":{"date-parts":[["2024",6,24]]}}}],"schema":"https://github.com/citation-style-language/schema/raw/master/csl-citation.json"} </w:instrText>
      </w:r>
      <w:r>
        <w:fldChar w:fldCharType="separate"/>
      </w:r>
      <w:r w:rsidR="00AA4E52" w:rsidRPr="00AA4E52">
        <w:rPr>
          <w:rFonts w:cs="Arial"/>
          <w:vertAlign w:val="superscript"/>
        </w:rPr>
        <w:t>152</w:t>
      </w:r>
      <w:r>
        <w:fldChar w:fldCharType="end"/>
      </w:r>
    </w:p>
    <w:p w14:paraId="42D08884" w14:textId="3740B560" w:rsidR="006B12CF" w:rsidRPr="00FD315A" w:rsidRDefault="006B12CF" w:rsidP="006D7DE6">
      <w:pPr>
        <w:pStyle w:val="BodyTextFirstIndent"/>
      </w:pPr>
      <w:r w:rsidRPr="00956D49">
        <w:rPr>
          <w:b/>
        </w:rPr>
        <w:t xml:space="preserve">20 U.S.C §§ 1400-1482 Individuals with </w:t>
      </w:r>
      <w:r>
        <w:rPr>
          <w:b/>
        </w:rPr>
        <w:t>D</w:t>
      </w:r>
      <w:r w:rsidRPr="00956D49">
        <w:rPr>
          <w:b/>
        </w:rPr>
        <w:t xml:space="preserve">isabilities in </w:t>
      </w:r>
      <w:r>
        <w:rPr>
          <w:b/>
        </w:rPr>
        <w:t>E</w:t>
      </w:r>
      <w:r w:rsidRPr="00956D49">
        <w:rPr>
          <w:b/>
        </w:rPr>
        <w:t xml:space="preserve">ducation </w:t>
      </w:r>
      <w:r>
        <w:rPr>
          <w:b/>
        </w:rPr>
        <w:t>A</w:t>
      </w:r>
      <w:r w:rsidRPr="00956D49">
        <w:rPr>
          <w:b/>
        </w:rPr>
        <w:t>ct</w:t>
      </w:r>
      <w:r>
        <w:t xml:space="preserve"> guarantees free and appropriate public education to all eligible children with disabilities throughout the nation. This statute protects the rights of children with disabilities and assists </w:t>
      </w:r>
      <w:r w:rsidR="009E4BE0">
        <w:t>s</w:t>
      </w:r>
      <w:r>
        <w:t>tates, localities, and other entities with providing those services.</w:t>
      </w:r>
      <w:r>
        <w:fldChar w:fldCharType="begin"/>
      </w:r>
      <w:r w:rsidR="001D022D">
        <w:instrText xml:space="preserve"> ADDIN ZOTERO_ITEM CSL_CITATION {"citationID":"G0qjnrMx","properties":{"formattedCitation":"\\super 150\\nosupersub{}","plainCitation":"150","noteIndex":0},"citationItems":[{"id":277,"uris":["http://zotero.org/groups/5563646/items/WD4RXUTF"],"itemData":{"id":277,"type":"post-weblog","abstract":"The IDEA is a law that makes available a free appropriate public education to eligible children with disabilities throughout the nation and ensures special education and related services to those children.","container-title":"Individuals with Disabilities Education Act","language":"en-US","title":"About IDEA","URL":"https://sites.ed.gov/idea/about-idea/","accessed":{"date-parts":[["2024",6,24]]}}}],"schema":"https://github.com/citation-style-language/schema/raw/master/csl-citation.json"} </w:instrText>
      </w:r>
      <w:r>
        <w:fldChar w:fldCharType="separate"/>
      </w:r>
      <w:r w:rsidR="001D022D" w:rsidRPr="001D022D">
        <w:rPr>
          <w:rFonts w:cs="Arial"/>
          <w:vertAlign w:val="superscript"/>
        </w:rPr>
        <w:t>150</w:t>
      </w:r>
      <w:r>
        <w:fldChar w:fldCharType="end"/>
      </w:r>
      <w:r>
        <w:t xml:space="preserve"> </w:t>
      </w:r>
    </w:p>
    <w:p w14:paraId="55120598" w14:textId="3C43DCC8" w:rsidR="006B12CF" w:rsidRPr="00462E79" w:rsidRDefault="006B12CF" w:rsidP="006D7DE6">
      <w:pPr>
        <w:pStyle w:val="BodyTextFirstIndent"/>
      </w:pPr>
      <w:r w:rsidRPr="00956D49">
        <w:rPr>
          <w:b/>
        </w:rPr>
        <w:t>29 U.S.C. § 794 Section 504 of the Rehabilitation Act of 1973</w:t>
      </w:r>
      <w:r>
        <w:t xml:space="preserve"> protects the rights of individuals with disabilities to access any program or activity that receives federal funding, including schools.</w:t>
      </w:r>
      <w:r>
        <w:fldChar w:fldCharType="begin"/>
      </w:r>
      <w:r w:rsidR="00D2464C">
        <w:instrText xml:space="preserve"> ADDIN ZOTERO_ITEM CSL_CITATION {"citationID":"dDpBIQxe","properties":{"formattedCitation":"\\super 381,408\\nosupersub{}","plainCitation":"381,408","noteIndex":0},"citationItems":[{"id":311,"uris":["http://zotero.org/groups/5563646/items/GJSELH3A"],"itemData":{"id":311,"type":"legislation","title":"Federal Rehabilitation Act of 1973","URL":"https://www.govinfo.gov/content/pkg/USCODE-2010-title29/pdf/USCODE-2010-title29-chap16-subchapV-sec794.pdf","accessed":{"date-parts":[["2024",6,24]]}}},{"id":310,"uris":["http://zotero.org/groups/5563646/items/2L896YFX"],"itemData":{"id":310,"type":"webpage","title":"Section 504 - Special Education","URL":"https://www.doe.mass.edu/sped/links/sec504.html","accessed":{"date-parts":[["2024",6,24]]}}}],"schema":"https://github.com/citation-style-language/schema/raw/master/csl-citation.json"} </w:instrText>
      </w:r>
      <w:r>
        <w:fldChar w:fldCharType="separate"/>
      </w:r>
      <w:r w:rsidR="00D2464C" w:rsidRPr="00D2464C">
        <w:rPr>
          <w:rFonts w:cs="Arial"/>
          <w:vertAlign w:val="superscript"/>
        </w:rPr>
        <w:t>381,408</w:t>
      </w:r>
      <w:r>
        <w:fldChar w:fldCharType="end"/>
      </w:r>
    </w:p>
    <w:p w14:paraId="2F6D89A9" w14:textId="77777777" w:rsidR="006B12CF" w:rsidRDefault="006B12CF" w:rsidP="006B12CF">
      <w:pPr>
        <w:pStyle w:val="Heading4"/>
      </w:pPr>
      <w:r>
        <w:t>Relevant Regulations</w:t>
      </w:r>
    </w:p>
    <w:p w14:paraId="1846F263" w14:textId="5B09A73A" w:rsidR="006B12CF" w:rsidRDefault="006B12CF" w:rsidP="006D7DE6">
      <w:pPr>
        <w:pStyle w:val="BodyTextFirstIndent"/>
      </w:pPr>
      <w:r>
        <w:rPr>
          <w:b/>
        </w:rPr>
        <w:t>603 CMR 28.00: Special Education</w:t>
      </w:r>
      <w:r>
        <w:t xml:space="preserve"> guides the implementation set forth in state statute (M.G.L. c.71B), federal statute (20 U.S.C.</w:t>
      </w:r>
      <w:r w:rsidRPr="00DE26EC">
        <w:t xml:space="preserve"> § 1400</w:t>
      </w:r>
      <w:r>
        <w:t xml:space="preserve"> </w:t>
      </w:r>
      <w:r>
        <w:rPr>
          <w:i/>
          <w:iCs/>
        </w:rPr>
        <w:t>et seq.</w:t>
      </w:r>
      <w:r>
        <w:t>), and federal regulations (</w:t>
      </w:r>
      <w:r w:rsidRPr="00BC1F04">
        <w:t xml:space="preserve">34 </w:t>
      </w:r>
      <w:r w:rsidRPr="00BC1F04">
        <w:lastRenderedPageBreak/>
        <w:t xml:space="preserve">CFR Part 300 </w:t>
      </w:r>
      <w:r>
        <w:rPr>
          <w:i/>
          <w:iCs/>
        </w:rPr>
        <w:t>et seq</w:t>
      </w:r>
      <w:r>
        <w:t>) in Massachusetts schools</w:t>
      </w:r>
      <w:r w:rsidR="007B1DCD">
        <w:t xml:space="preserve"> so </w:t>
      </w:r>
      <w:r>
        <w:t>students receive services designed to develop their individual potential in the least restrictive environment.</w:t>
      </w:r>
      <w:r>
        <w:fldChar w:fldCharType="begin"/>
      </w:r>
      <w:r w:rsidR="00B6728F">
        <w:instrText xml:space="preserve"> ADDIN ZOTERO_ITEM CSL_CITATION {"citationID":"mIHIoFo5","properties":{"formattedCitation":"\\super 151,399\\nosupersub{}","plainCitation":"151,399","noteIndex":0},"citationItems":[{"id":198,"uris":["http://zotero.org/groups/5563646/items/JKDCXWNT"],"itemData":{"id":198,"type":"legislation","title":"603 CMR 28","URL":"https://www.mass.gov/doc/603-cmr-28-special-education/download","accessed":{"date-parts":[["2024",6,21]]}}},{"id":309,"uris":["http://zotero.org/groups/5563646/items/ZFF3GS9L"],"itemData":{"id":309,"type":"webpage","title":"603 CMR 28.00: Special Education - Education Laws and Regulations","URL":"https://www.doe.mass.edu/lawsregs/603cmr28.html?section=01","accessed":{"date-parts":[["2024",6,24]]}}}],"schema":"https://github.com/citation-style-language/schema/raw/master/csl-citation.json"} </w:instrText>
      </w:r>
      <w:r>
        <w:fldChar w:fldCharType="separate"/>
      </w:r>
      <w:r w:rsidR="00B6728F" w:rsidRPr="00B6728F">
        <w:rPr>
          <w:rFonts w:cs="Arial"/>
          <w:vertAlign w:val="superscript"/>
        </w:rPr>
        <w:t>151,399</w:t>
      </w:r>
      <w:r>
        <w:fldChar w:fldCharType="end"/>
      </w:r>
    </w:p>
    <w:p w14:paraId="74CD7935" w14:textId="2EB6073D" w:rsidR="006B12CF" w:rsidRPr="00E558F7" w:rsidRDefault="006B12CF" w:rsidP="006D7DE6">
      <w:pPr>
        <w:pStyle w:val="BodyTextFirstIndent"/>
      </w:pPr>
      <w:r>
        <w:rPr>
          <w:b/>
        </w:rPr>
        <w:t>34 CFR Part 300: Assistance to States for the Education of Children</w:t>
      </w:r>
      <w:r>
        <w:t xml:space="preserve"> </w:t>
      </w:r>
      <w:r w:rsidR="00B1286D">
        <w:t>requires</w:t>
      </w:r>
      <w:r>
        <w:t xml:space="preserve"> that children with disabilities receive educational and other services in the least restrictive environment. Removal of a student from an inclusion setting only happens if inclusion cannot be achieved with supplementary aids and services due to the nature or severity of the disability.</w:t>
      </w:r>
      <w:r>
        <w:fldChar w:fldCharType="begin"/>
      </w:r>
      <w:r w:rsidR="009C2C6D">
        <w:instrText xml:space="preserve"> ADDIN ZOTERO_ITEM CSL_CITATION {"citationID":"pM0WiKMi","properties":{"formattedCitation":"\\super 409\\nosupersub{}","plainCitation":"409","noteIndex":0},"citationItems":[{"id":308,"uris":["http://zotero.org/groups/5563646/items/C46S3NLP"],"itemData":{"id":308,"type":"webpage","container-title":"LII / Legal Information Institute","language":"en","title":"34 CFR § 300.114 - LRE requirements.","URL":"https://www.law.cornell.edu/cfr/text/34/300.114","accessed":{"date-parts":[["2024",6,24]]}}}],"schema":"https://github.com/citation-style-language/schema/raw/master/csl-citation.json"} </w:instrText>
      </w:r>
      <w:r>
        <w:fldChar w:fldCharType="separate"/>
      </w:r>
      <w:r w:rsidR="009C2C6D" w:rsidRPr="009C2C6D">
        <w:rPr>
          <w:rFonts w:cs="Arial"/>
          <w:vertAlign w:val="superscript"/>
        </w:rPr>
        <w:t>409</w:t>
      </w:r>
      <w:r>
        <w:fldChar w:fldCharType="end"/>
      </w:r>
    </w:p>
    <w:p w14:paraId="09AFDDC5" w14:textId="77777777" w:rsidR="006B12CF" w:rsidRDefault="006B12CF" w:rsidP="006B12CF">
      <w:pPr>
        <w:pStyle w:val="Heading4"/>
      </w:pPr>
      <w:r>
        <w:t>Relevant Standards</w:t>
      </w:r>
    </w:p>
    <w:p w14:paraId="3ADB7741" w14:textId="4E3FB678" w:rsidR="006B12CF" w:rsidRPr="00FC29E8" w:rsidRDefault="006B12CF" w:rsidP="006D7DE6">
      <w:pPr>
        <w:pStyle w:val="BodyTextFirstIndent"/>
      </w:pPr>
      <w:r>
        <w:rPr>
          <w:b/>
        </w:rPr>
        <w:t xml:space="preserve">Continuum of alternative services and placements: </w:t>
      </w:r>
      <w:r>
        <w:t xml:space="preserve">School districts must provide or arrange for the placement of each student in an educational setting appropriate for their learning needs from the time they are three to </w:t>
      </w:r>
      <w:r w:rsidR="00B03A3D">
        <w:t>21</w:t>
      </w:r>
      <w:r>
        <w:t xml:space="preserve"> years old.</w:t>
      </w:r>
      <w:r>
        <w:fldChar w:fldCharType="begin"/>
      </w:r>
      <w:r w:rsidR="00185F33">
        <w:instrText xml:space="preserve"> ADDIN ZOTERO_ITEM CSL_CITATION {"citationID":"jcpw6pd0","properties":{"formattedCitation":"\\super 410\\nosupersub{}","plainCitation":"410","noteIndex":0},"citationItems":[{"id":263,"uris":["http://zotero.org/groups/5563646/items/RHW6VX3W"],"itemData":{"id":263,"type":"report","title":"Special Education: Legal Standards, Compliance Ratings, and Comments","URL":"https://campussuite-storage.s3.amazonaws.com/prod/11162/b2004386-1ca3-11e6-b537-22000bd8490f/1670790/165c4d40-dff5-11e7-a0f0-0a83b46fca6a/file/2Shrewsbury_02710000_CPR2016.pdf","author":[{"family":"DESE","given":""}],"accessed":{"date-parts":[["2024",6,24]]},"issued":{"date-parts":[["2016",7,6]]}}}],"schema":"https://github.com/citation-style-language/schema/raw/master/csl-citation.json"} </w:instrText>
      </w:r>
      <w:r>
        <w:fldChar w:fldCharType="separate"/>
      </w:r>
      <w:r w:rsidR="00185F33" w:rsidRPr="00185F33">
        <w:rPr>
          <w:rFonts w:cs="Arial"/>
          <w:vertAlign w:val="superscript"/>
        </w:rPr>
        <w:t>410</w:t>
      </w:r>
      <w:r>
        <w:fldChar w:fldCharType="end"/>
      </w:r>
    </w:p>
    <w:p w14:paraId="107AC44B" w14:textId="7BEE47A8" w:rsidR="006B12CF" w:rsidRPr="00E429AB" w:rsidRDefault="006B12CF" w:rsidP="006D7DE6">
      <w:pPr>
        <w:pStyle w:val="BodyTextFirstIndent"/>
      </w:pPr>
      <w:r w:rsidRPr="001D3574">
        <w:rPr>
          <w:b/>
          <w:bCs/>
        </w:rPr>
        <w:t>Equal opportunity to participate in educational, nonacademic, extracurricular, and ancillary programs, as well as participation in regular education:</w:t>
      </w:r>
      <w:r>
        <w:t xml:space="preserve"> Students receiving special education in both inclusion and substantially separate settings must have equal opportunity to participate in additional programs, classes, and extra-curricular activities offered to students in a general education setting.</w:t>
      </w:r>
      <w:r>
        <w:fldChar w:fldCharType="begin"/>
      </w:r>
      <w:r w:rsidR="001A04CC">
        <w:instrText xml:space="preserve"> ADDIN ZOTERO_ITEM CSL_CITATION {"citationID":"8UWAIkVQ","properties":{"formattedCitation":"\\super 410\\nosupersub{}","plainCitation":"410","noteIndex":0},"citationItems":[{"id":263,"uris":["http://zotero.org/groups/5563646/items/RHW6VX3W"],"itemData":{"id":263,"type":"report","title":"Special Education: Legal Standards, Compliance Ratings, and Comments","URL":"https://campussuite-storage.s3.amazonaws.com/prod/11162/b2004386-1ca3-11e6-b537-22000bd8490f/1670790/165c4d40-dff5-11e7-a0f0-0a83b46fca6a/file/2Shrewsbury_02710000_CPR2016.pdf","author":[{"family":"DESE","given":""}],"accessed":{"date-parts":[["2024",6,24]]},"issued":{"date-parts":[["2016",7,6]]}}}],"schema":"https://github.com/citation-style-language/schema/raw/master/csl-citation.json"} </w:instrText>
      </w:r>
      <w:r>
        <w:fldChar w:fldCharType="separate"/>
      </w:r>
      <w:r w:rsidR="001A04CC" w:rsidRPr="001A04CC">
        <w:rPr>
          <w:rFonts w:cs="Arial"/>
          <w:vertAlign w:val="superscript"/>
        </w:rPr>
        <w:t>410</w:t>
      </w:r>
      <w:r>
        <w:fldChar w:fldCharType="end"/>
      </w:r>
      <w:r>
        <w:t xml:space="preserve"> </w:t>
      </w:r>
    </w:p>
    <w:p w14:paraId="50C93641" w14:textId="5F6EDE94" w:rsidR="006B12CF" w:rsidRDefault="006B12CF" w:rsidP="006D7DE6">
      <w:pPr>
        <w:pStyle w:val="BodyTextFirstIndent"/>
      </w:pPr>
      <w:r>
        <w:rPr>
          <w:b/>
        </w:rPr>
        <w:t>Least restrictive program selected</w:t>
      </w:r>
      <w:r w:rsidR="00F37854">
        <w:rPr>
          <w:b/>
        </w:rPr>
        <w:t>:</w:t>
      </w:r>
      <w:r>
        <w:rPr>
          <w:b/>
        </w:rPr>
        <w:t xml:space="preserve"> </w:t>
      </w:r>
      <w:r>
        <w:t>Students must be placed in programming with the least restrictive environment. If a student is removed from the general education classroom, there must be a clear explanation for why the less restrictive environment is appropriate for the student’s needs.</w:t>
      </w:r>
      <w:r>
        <w:fldChar w:fldCharType="begin"/>
      </w:r>
      <w:r w:rsidR="00095269">
        <w:instrText xml:space="preserve"> ADDIN ZOTERO_ITEM CSL_CITATION {"citationID":"ucg0O6Z1","properties":{"formattedCitation":"\\super 410\\nosupersub{}","plainCitation":"410","noteIndex":0},"citationItems":[{"id":263,"uris":["http://zotero.org/groups/5563646/items/RHW6VX3W"],"itemData":{"id":263,"type":"report","title":"Special Education: Legal Standards, Compliance Ratings, and Comments","URL":"https://campussuite-storage.s3.amazonaws.com/prod/11162/b2004386-1ca3-11e6-b537-22000bd8490f/1670790/165c4d40-dff5-11e7-a0f0-0a83b46fca6a/file/2Shrewsbury_02710000_CPR2016.pdf","author":[{"family":"DESE","given":""}],"accessed":{"date-parts":[["2024",6,24]]},"issued":{"date-parts":[["2016",7,6]]}}}],"schema":"https://github.com/citation-style-language/schema/raw/master/csl-citation.json"} </w:instrText>
      </w:r>
      <w:r>
        <w:fldChar w:fldCharType="separate"/>
      </w:r>
      <w:r w:rsidR="00095269" w:rsidRPr="00095269">
        <w:rPr>
          <w:rFonts w:cs="Arial"/>
          <w:vertAlign w:val="superscript"/>
        </w:rPr>
        <w:t>410</w:t>
      </w:r>
      <w:r>
        <w:fldChar w:fldCharType="end"/>
      </w:r>
      <w:r>
        <w:t xml:space="preserve"> </w:t>
      </w:r>
    </w:p>
    <w:p w14:paraId="5233409E" w14:textId="666E03DE" w:rsidR="006B12CF" w:rsidRPr="00F67967" w:rsidRDefault="006B12CF" w:rsidP="006D7DE6">
      <w:pPr>
        <w:pStyle w:val="BodyTextFirstIndent"/>
      </w:pPr>
      <w:r>
        <w:rPr>
          <w:b/>
        </w:rPr>
        <w:t xml:space="preserve">MA Local Education Agency (LEA) Special Education Determinations: </w:t>
      </w:r>
      <w:r>
        <w:t>DESE determines the needs for assistance or intervention in special education for every Local Education Agency (LEA). LEAs are scored based on performance and compliance data from multiple sources and given one of the following determinations: Meets Requirements, Needs Assistance, Needs Intervention, or Needs Substantial Intervention.</w:t>
      </w:r>
      <w:r>
        <w:fldChar w:fldCharType="begin"/>
      </w:r>
      <w:r w:rsidR="00FB58D2">
        <w:instrText xml:space="preserve"> ADDIN ZOTERO_ITEM CSL_CITATION {"citationID":"Afk4HVeQ","properties":{"formattedCitation":"\\super 411\\nosupersub{}","plainCitation":"411","noteIndex":0},"citationItems":[{"id":307,"uris":["http://zotero.org/groups/5563646/items/2VK2YVJE"],"itemData":{"id":307,"type":"webpage","title":"Special Education Policy Memo SY2023-2024 — 3: 2023-2024 Determinations of Need for Special Education Technical Assistance or Intervention - Special Education","URL":"https://www.doe.mass.edu/sped/advisories/memo2023-3.html","accessed":{"date-parts":[["2024",6,24]]}}}],"schema":"https://github.com/citation-style-language/schema/raw/master/csl-citation.json"} </w:instrText>
      </w:r>
      <w:r>
        <w:fldChar w:fldCharType="separate"/>
      </w:r>
      <w:r w:rsidR="00FB58D2" w:rsidRPr="00FB58D2">
        <w:rPr>
          <w:rFonts w:cs="Arial"/>
          <w:vertAlign w:val="superscript"/>
        </w:rPr>
        <w:t>411</w:t>
      </w:r>
      <w:r>
        <w:fldChar w:fldCharType="end"/>
      </w:r>
      <w:r>
        <w:t xml:space="preserve"> </w:t>
      </w:r>
    </w:p>
    <w:p w14:paraId="1342C18C" w14:textId="7803FA24" w:rsidR="006B12CF" w:rsidRDefault="006B12CF" w:rsidP="006D7DE6">
      <w:pPr>
        <w:pStyle w:val="BodyTextFirstIndent"/>
      </w:pPr>
      <w:r>
        <w:rPr>
          <w:b/>
        </w:rPr>
        <w:t xml:space="preserve">Special education facilities and classrooms. </w:t>
      </w:r>
      <w:r>
        <w:t>School districts must provide facilities and classrooms that maximize the inclusion of special education students in the school community. These facilities and classrooms must provide appropriate accessibility for the implementation of each student’s IEP and must be equal in all physical respects to the average general education setting.</w:t>
      </w:r>
      <w:r>
        <w:fldChar w:fldCharType="begin"/>
      </w:r>
      <w:r w:rsidR="005657E9">
        <w:instrText xml:space="preserve"> ADDIN ZOTERO_ITEM CSL_CITATION {"citationID":"IMo7O579","properties":{"formattedCitation":"\\super 410\\nosupersub{}","plainCitation":"410","noteIndex":0},"citationItems":[{"id":263,"uris":["http://zotero.org/groups/5563646/items/RHW6VX3W"],"itemData":{"id":263,"type":"report","title":"Special Education: Legal Standards, Compliance Ratings, and Comments","URL":"https://campussuite-storage.s3.amazonaws.com/prod/11162/b2004386-1ca3-11e6-b537-22000bd8490f/1670790/165c4d40-dff5-11e7-a0f0-0a83b46fca6a/file/2Shrewsbury_02710000_CPR2016.pdf","author":[{"family":"DESE","given":""}],"accessed":{"date-parts":[["2024",6,24]]},"issued":{"date-parts":[["2016",7,6]]}}}],"schema":"https://github.com/citation-style-language/schema/raw/master/csl-citation.json"} </w:instrText>
      </w:r>
      <w:r>
        <w:fldChar w:fldCharType="separate"/>
      </w:r>
      <w:r w:rsidR="005657E9" w:rsidRPr="005657E9">
        <w:rPr>
          <w:rFonts w:cs="Arial"/>
          <w:vertAlign w:val="superscript"/>
        </w:rPr>
        <w:t>410</w:t>
      </w:r>
      <w:r>
        <w:fldChar w:fldCharType="end"/>
      </w:r>
    </w:p>
    <w:p w14:paraId="0307CAAA" w14:textId="3A328E75" w:rsidR="006B12CF" w:rsidRDefault="006B12CF" w:rsidP="006D7DE6">
      <w:pPr>
        <w:pStyle w:val="BodyTextFirstIndent"/>
      </w:pPr>
      <w:r>
        <w:fldChar w:fldCharType="begin"/>
      </w:r>
      <w:r>
        <w:instrText xml:space="preserve"> REF _Ref173082075 \h </w:instrText>
      </w:r>
      <w:r>
        <w:fldChar w:fldCharType="separate"/>
      </w:r>
      <w:r w:rsidR="00307850">
        <w:t xml:space="preserve">Table </w:t>
      </w:r>
      <w:r w:rsidR="00307850">
        <w:rPr>
          <w:noProof/>
        </w:rPr>
        <w:t>94</w:t>
      </w:r>
      <w:r>
        <w:fldChar w:fldCharType="end"/>
      </w:r>
      <w:r>
        <w:t xml:space="preserve"> summarizes the statutes, regulations, and standards related to optimizing space to equitably meet special education needs in schools. </w:t>
      </w:r>
    </w:p>
    <w:p w14:paraId="5CF69514" w14:textId="12E93C37" w:rsidR="006B12CF" w:rsidRDefault="006B12CF" w:rsidP="00B30C96">
      <w:pPr>
        <w:pStyle w:val="Caption"/>
      </w:pPr>
      <w:bookmarkStart w:id="717" w:name="_Ref173082075"/>
      <w:bookmarkStart w:id="718" w:name="_Toc170345797"/>
      <w:bookmarkStart w:id="719" w:name="_Toc192711760"/>
      <w:bookmarkStart w:id="720" w:name="_Toc193112642"/>
      <w:bookmarkStart w:id="721" w:name="_Toc193117041"/>
      <w:r>
        <w:lastRenderedPageBreak/>
        <w:t xml:space="preserve">Table </w:t>
      </w:r>
      <w:fldSimple w:instr=" SEQ Table \* ARABIC ">
        <w:r w:rsidR="00307850">
          <w:rPr>
            <w:noProof/>
          </w:rPr>
          <w:t>94</w:t>
        </w:r>
      </w:fldSimple>
      <w:bookmarkEnd w:id="717"/>
      <w:r>
        <w:t>.</w:t>
      </w:r>
      <w:r w:rsidRPr="00AD43CE">
        <w:t xml:space="preserve"> </w:t>
      </w:r>
      <w:r>
        <w:t>Statutory/Regulatory Framework and Notable Standards for Optimizing Space to Equitably Meet Special Education Needs</w:t>
      </w:r>
      <w:bookmarkEnd w:id="718"/>
      <w:bookmarkEnd w:id="719"/>
      <w:bookmarkEnd w:id="720"/>
      <w:bookmarkEnd w:id="721"/>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optimizing space to equitably meet special needs."/>
      </w:tblPr>
      <w:tblGrid>
        <w:gridCol w:w="6205"/>
        <w:gridCol w:w="1047"/>
        <w:gridCol w:w="1047"/>
        <w:gridCol w:w="1051"/>
      </w:tblGrid>
      <w:tr w:rsidR="006B12CF" w:rsidRPr="00C8094D" w14:paraId="75D2E427" w14:textId="77777777">
        <w:trPr>
          <w:cantSplit/>
          <w:trHeight w:val="1700"/>
          <w:tblHeader/>
          <w:jc w:val="center"/>
        </w:trPr>
        <w:tc>
          <w:tcPr>
            <w:tcW w:w="3318"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7AC1F861" w14:textId="77777777" w:rsidR="006B12CF" w:rsidRDefault="006B12CF">
            <w:pPr>
              <w:pStyle w:val="TableColumnHeader"/>
            </w:pPr>
            <w:r>
              <w:t>Statute/Regulation/Standard</w:t>
            </w:r>
          </w:p>
        </w:tc>
        <w:tc>
          <w:tcPr>
            <w:tcW w:w="560"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7E62A974" w14:textId="77777777" w:rsidR="006B12CF" w:rsidRDefault="006B12CF">
            <w:pPr>
              <w:pStyle w:val="TableColumnHeader"/>
              <w:jc w:val="left"/>
            </w:pPr>
            <w:r>
              <w:t>State Statute/ Regulation</w:t>
            </w:r>
          </w:p>
        </w:tc>
        <w:tc>
          <w:tcPr>
            <w:tcW w:w="560"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A0BD009" w14:textId="77777777" w:rsidR="006B12CF" w:rsidRDefault="006B12CF">
            <w:pPr>
              <w:pStyle w:val="TableColumnHeader"/>
              <w:jc w:val="left"/>
            </w:pPr>
            <w:r>
              <w:t>Other Statute/ Regulation</w:t>
            </w:r>
          </w:p>
        </w:tc>
        <w:tc>
          <w:tcPr>
            <w:tcW w:w="562"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2238BDB7" w14:textId="77777777" w:rsidR="006B12CF" w:rsidRDefault="006B12CF">
            <w:pPr>
              <w:pStyle w:val="TableColumnHeader"/>
              <w:jc w:val="left"/>
            </w:pPr>
            <w:r>
              <w:t xml:space="preserve"> Standard</w:t>
            </w:r>
          </w:p>
        </w:tc>
      </w:tr>
      <w:tr w:rsidR="006B12CF" w:rsidRPr="00C8094D" w14:paraId="0C545CA0"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687A1BB" w14:textId="77777777" w:rsidR="006B12CF" w:rsidRPr="00DF667B" w:rsidRDefault="006B12CF">
            <w:pPr>
              <w:pStyle w:val="TableRowHeader"/>
            </w:pPr>
            <w:r>
              <w:t>Statutes</w:t>
            </w:r>
          </w:p>
        </w:tc>
      </w:tr>
      <w:tr w:rsidR="006B12CF" w:rsidRPr="00C8094D" w14:paraId="7F5EBA7E"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1B7229DD" w14:textId="77777777" w:rsidR="006B12CF" w:rsidRDefault="006B12CF">
            <w:pPr>
              <w:pStyle w:val="TableTextIndent"/>
              <w:ind w:left="0"/>
            </w:pPr>
            <w:r>
              <w:t>M.G.L. c.71B: Children with Special Needs</w:t>
            </w:r>
          </w:p>
        </w:tc>
        <w:tc>
          <w:tcPr>
            <w:tcW w:w="560" w:type="pct"/>
            <w:tcBorders>
              <w:top w:val="nil"/>
              <w:left w:val="single" w:sz="4" w:space="0" w:color="auto"/>
              <w:bottom w:val="single" w:sz="4" w:space="0" w:color="auto"/>
              <w:right w:val="single" w:sz="4" w:space="0" w:color="auto"/>
            </w:tcBorders>
            <w:shd w:val="clear" w:color="auto" w:fill="auto"/>
            <w:vAlign w:val="center"/>
          </w:tcPr>
          <w:p w14:paraId="05BCBE8F"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c>
          <w:tcPr>
            <w:tcW w:w="560" w:type="pct"/>
            <w:tcBorders>
              <w:top w:val="nil"/>
              <w:left w:val="single" w:sz="4" w:space="0" w:color="auto"/>
              <w:bottom w:val="single" w:sz="4" w:space="0" w:color="auto"/>
              <w:right w:val="single" w:sz="4" w:space="0" w:color="auto"/>
            </w:tcBorders>
            <w:shd w:val="clear" w:color="auto" w:fill="auto"/>
            <w:vAlign w:val="center"/>
          </w:tcPr>
          <w:p w14:paraId="34E71B10" w14:textId="77777777" w:rsidR="006B12CF" w:rsidRPr="004245DB" w:rsidRDefault="006B12CF">
            <w:pPr>
              <w:jc w:val="center"/>
              <w:rPr>
                <w:rFonts w:ascii="Calibri" w:hAnsi="Calibri" w:cs="Calibri"/>
                <w:b/>
                <w:bCs/>
                <w:sz w:val="20"/>
                <w:szCs w:val="20"/>
              </w:rPr>
            </w:pPr>
          </w:p>
        </w:tc>
        <w:tc>
          <w:tcPr>
            <w:tcW w:w="562" w:type="pct"/>
            <w:tcBorders>
              <w:top w:val="nil"/>
              <w:left w:val="single" w:sz="4" w:space="0" w:color="auto"/>
              <w:bottom w:val="single" w:sz="4" w:space="0" w:color="auto"/>
              <w:right w:val="single" w:sz="4" w:space="0" w:color="auto"/>
            </w:tcBorders>
            <w:shd w:val="clear" w:color="auto" w:fill="auto"/>
            <w:vAlign w:val="center"/>
          </w:tcPr>
          <w:p w14:paraId="2106079C" w14:textId="77777777" w:rsidR="006B12CF" w:rsidRPr="004245DB" w:rsidRDefault="006B12CF">
            <w:pPr>
              <w:jc w:val="center"/>
              <w:rPr>
                <w:rFonts w:ascii="Calibri" w:hAnsi="Calibri" w:cs="Calibri"/>
                <w:b/>
                <w:bCs/>
                <w:sz w:val="20"/>
                <w:szCs w:val="20"/>
              </w:rPr>
            </w:pPr>
          </w:p>
        </w:tc>
      </w:tr>
      <w:tr w:rsidR="006B12CF" w:rsidRPr="00C8094D" w14:paraId="42095221"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70257745" w14:textId="77777777" w:rsidR="006B12CF" w:rsidRDefault="006B12CF">
            <w:pPr>
              <w:pStyle w:val="TableTextIndent"/>
              <w:ind w:left="0"/>
            </w:pPr>
            <w:r>
              <w:t>20 U.S.C §§ 1400-1482</w:t>
            </w:r>
          </w:p>
        </w:tc>
        <w:tc>
          <w:tcPr>
            <w:tcW w:w="560" w:type="pct"/>
            <w:tcBorders>
              <w:top w:val="nil"/>
              <w:left w:val="single" w:sz="4" w:space="0" w:color="auto"/>
              <w:bottom w:val="single" w:sz="4" w:space="0" w:color="auto"/>
              <w:right w:val="single" w:sz="4" w:space="0" w:color="auto"/>
            </w:tcBorders>
            <w:shd w:val="clear" w:color="auto" w:fill="auto"/>
            <w:vAlign w:val="center"/>
          </w:tcPr>
          <w:p w14:paraId="685D89E0" w14:textId="77777777" w:rsidR="006B12CF" w:rsidRPr="004245DB" w:rsidRDefault="006B12CF">
            <w:pPr>
              <w:jc w:val="center"/>
              <w:rPr>
                <w:rFonts w:ascii="Calibri" w:hAnsi="Calibri" w:cs="Calibri"/>
                <w:b/>
                <w:bCs/>
                <w:sz w:val="20"/>
                <w:szCs w:val="20"/>
              </w:rPr>
            </w:pPr>
          </w:p>
        </w:tc>
        <w:tc>
          <w:tcPr>
            <w:tcW w:w="560" w:type="pct"/>
            <w:tcBorders>
              <w:top w:val="nil"/>
              <w:left w:val="single" w:sz="4" w:space="0" w:color="auto"/>
              <w:bottom w:val="single" w:sz="4" w:space="0" w:color="auto"/>
              <w:right w:val="single" w:sz="4" w:space="0" w:color="auto"/>
            </w:tcBorders>
            <w:shd w:val="clear" w:color="auto" w:fill="auto"/>
            <w:vAlign w:val="center"/>
          </w:tcPr>
          <w:p w14:paraId="677F414C" w14:textId="77777777" w:rsidR="006B12CF" w:rsidRPr="004245DB" w:rsidRDefault="006B12CF">
            <w:pPr>
              <w:jc w:val="center"/>
              <w:rPr>
                <w:rFonts w:ascii="Calibri" w:hAnsi="Calibri" w:cs="Calibri"/>
                <w:b/>
                <w:bCs/>
                <w:sz w:val="20"/>
                <w:szCs w:val="20"/>
              </w:rPr>
            </w:pPr>
            <w:r>
              <w:rPr>
                <w:rFonts w:ascii="Calibri" w:hAnsi="Calibri" w:cs="Calibri"/>
                <w:b/>
                <w:bCs/>
                <w:color w:val="00B050"/>
                <w:sz w:val="20"/>
                <w:szCs w:val="20"/>
              </w:rPr>
              <w:t>X</w:t>
            </w:r>
          </w:p>
        </w:tc>
        <w:tc>
          <w:tcPr>
            <w:tcW w:w="562" w:type="pct"/>
            <w:tcBorders>
              <w:top w:val="nil"/>
              <w:left w:val="single" w:sz="4" w:space="0" w:color="auto"/>
              <w:bottom w:val="single" w:sz="4" w:space="0" w:color="auto"/>
              <w:right w:val="single" w:sz="4" w:space="0" w:color="auto"/>
            </w:tcBorders>
            <w:shd w:val="clear" w:color="auto" w:fill="auto"/>
            <w:vAlign w:val="center"/>
          </w:tcPr>
          <w:p w14:paraId="17F8E22B" w14:textId="77777777" w:rsidR="006B12CF" w:rsidRPr="004245DB" w:rsidRDefault="006B12CF">
            <w:pPr>
              <w:jc w:val="center"/>
              <w:rPr>
                <w:rFonts w:ascii="Calibri" w:hAnsi="Calibri" w:cs="Calibri"/>
                <w:b/>
                <w:bCs/>
                <w:sz w:val="20"/>
                <w:szCs w:val="20"/>
              </w:rPr>
            </w:pPr>
          </w:p>
        </w:tc>
      </w:tr>
      <w:tr w:rsidR="006B12CF" w:rsidRPr="00C8094D" w14:paraId="49FF6725"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7AA092E7" w14:textId="77777777" w:rsidR="006B12CF" w:rsidRDefault="006B12CF">
            <w:pPr>
              <w:pStyle w:val="TableTextIndent"/>
              <w:ind w:left="0"/>
            </w:pPr>
            <w:r>
              <w:t>29 U.S.C. § 794 Section 504 of the Rehabilitation Act of 1973</w:t>
            </w:r>
          </w:p>
        </w:tc>
        <w:tc>
          <w:tcPr>
            <w:tcW w:w="560" w:type="pct"/>
            <w:tcBorders>
              <w:top w:val="nil"/>
              <w:left w:val="single" w:sz="4" w:space="0" w:color="auto"/>
              <w:bottom w:val="single" w:sz="4" w:space="0" w:color="auto"/>
              <w:right w:val="single" w:sz="4" w:space="0" w:color="auto"/>
            </w:tcBorders>
            <w:shd w:val="clear" w:color="auto" w:fill="auto"/>
            <w:vAlign w:val="center"/>
          </w:tcPr>
          <w:p w14:paraId="7D309CBA" w14:textId="77777777" w:rsidR="006B12CF" w:rsidRPr="004245DB" w:rsidRDefault="006B12CF">
            <w:pPr>
              <w:jc w:val="center"/>
              <w:rPr>
                <w:rFonts w:ascii="Calibri" w:hAnsi="Calibri" w:cs="Calibri"/>
                <w:b/>
                <w:bCs/>
                <w:sz w:val="20"/>
                <w:szCs w:val="20"/>
              </w:rPr>
            </w:pPr>
          </w:p>
        </w:tc>
        <w:tc>
          <w:tcPr>
            <w:tcW w:w="560" w:type="pct"/>
            <w:tcBorders>
              <w:top w:val="nil"/>
              <w:left w:val="single" w:sz="4" w:space="0" w:color="auto"/>
              <w:bottom w:val="single" w:sz="4" w:space="0" w:color="auto"/>
              <w:right w:val="single" w:sz="4" w:space="0" w:color="auto"/>
            </w:tcBorders>
            <w:shd w:val="clear" w:color="auto" w:fill="auto"/>
            <w:vAlign w:val="center"/>
          </w:tcPr>
          <w:p w14:paraId="4CF992AA" w14:textId="77777777" w:rsidR="006B12CF" w:rsidRPr="004245DB" w:rsidRDefault="006B12CF">
            <w:pPr>
              <w:jc w:val="center"/>
              <w:rPr>
                <w:rFonts w:ascii="Calibri" w:hAnsi="Calibri" w:cs="Calibri"/>
                <w:b/>
                <w:bCs/>
                <w:sz w:val="20"/>
                <w:szCs w:val="20"/>
              </w:rPr>
            </w:pPr>
            <w:r>
              <w:rPr>
                <w:rFonts w:ascii="Calibri" w:hAnsi="Calibri" w:cs="Calibri"/>
                <w:b/>
                <w:bCs/>
                <w:color w:val="00B050"/>
                <w:sz w:val="20"/>
                <w:szCs w:val="20"/>
              </w:rPr>
              <w:t>X</w:t>
            </w:r>
          </w:p>
        </w:tc>
        <w:tc>
          <w:tcPr>
            <w:tcW w:w="562" w:type="pct"/>
            <w:tcBorders>
              <w:top w:val="nil"/>
              <w:left w:val="single" w:sz="4" w:space="0" w:color="auto"/>
              <w:bottom w:val="single" w:sz="4" w:space="0" w:color="auto"/>
              <w:right w:val="single" w:sz="4" w:space="0" w:color="auto"/>
            </w:tcBorders>
            <w:shd w:val="clear" w:color="auto" w:fill="auto"/>
            <w:vAlign w:val="center"/>
          </w:tcPr>
          <w:p w14:paraId="1D7C70C8" w14:textId="77777777" w:rsidR="006B12CF" w:rsidRPr="004245DB" w:rsidRDefault="006B12CF">
            <w:pPr>
              <w:jc w:val="center"/>
              <w:rPr>
                <w:rFonts w:ascii="Calibri" w:hAnsi="Calibri" w:cs="Calibri"/>
                <w:b/>
                <w:bCs/>
                <w:sz w:val="20"/>
                <w:szCs w:val="20"/>
              </w:rPr>
            </w:pPr>
          </w:p>
        </w:tc>
      </w:tr>
      <w:tr w:rsidR="006B12CF" w:rsidRPr="00C8094D" w14:paraId="3025CB7F"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6624E303" w14:textId="77777777" w:rsidR="006B12CF" w:rsidRPr="00D854C4" w:rsidRDefault="006B12CF">
            <w:pPr>
              <w:pStyle w:val="TableText"/>
              <w:tabs>
                <w:tab w:val="left" w:pos="1725"/>
              </w:tabs>
              <w:rPr>
                <w:b/>
              </w:rPr>
            </w:pPr>
            <w:r w:rsidRPr="00D854C4">
              <w:rPr>
                <w:b/>
                <w:color w:val="FFFFFF" w:themeColor="background1"/>
              </w:rPr>
              <w:t>Regulations</w:t>
            </w:r>
            <w:r w:rsidRPr="00D854C4">
              <w:rPr>
                <w:b/>
                <w:color w:val="FFFFFF" w:themeColor="background1"/>
              </w:rPr>
              <w:tab/>
            </w:r>
          </w:p>
        </w:tc>
      </w:tr>
      <w:tr w:rsidR="006B12CF" w:rsidRPr="00C8094D" w14:paraId="565185E4"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34FCA612" w14:textId="77777777" w:rsidR="006B12CF" w:rsidRDefault="006B12CF">
            <w:pPr>
              <w:pStyle w:val="TableTextIndent"/>
              <w:ind w:left="0"/>
            </w:pPr>
            <w:r>
              <w:t>603 CMR 28.00 Special Education</w:t>
            </w:r>
          </w:p>
        </w:tc>
        <w:tc>
          <w:tcPr>
            <w:tcW w:w="560" w:type="pct"/>
            <w:tcBorders>
              <w:top w:val="nil"/>
              <w:left w:val="single" w:sz="4" w:space="0" w:color="auto"/>
              <w:bottom w:val="single" w:sz="4" w:space="0" w:color="auto"/>
              <w:right w:val="single" w:sz="4" w:space="0" w:color="auto"/>
            </w:tcBorders>
            <w:shd w:val="clear" w:color="auto" w:fill="auto"/>
            <w:vAlign w:val="center"/>
          </w:tcPr>
          <w:p w14:paraId="5B7BDFB2"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c>
          <w:tcPr>
            <w:tcW w:w="560" w:type="pct"/>
            <w:tcBorders>
              <w:top w:val="nil"/>
              <w:left w:val="single" w:sz="4" w:space="0" w:color="auto"/>
              <w:bottom w:val="single" w:sz="4" w:space="0" w:color="auto"/>
              <w:right w:val="single" w:sz="4" w:space="0" w:color="auto"/>
            </w:tcBorders>
            <w:shd w:val="clear" w:color="auto" w:fill="auto"/>
            <w:vAlign w:val="center"/>
          </w:tcPr>
          <w:p w14:paraId="3A41A3BB" w14:textId="77777777" w:rsidR="006B12CF" w:rsidRDefault="006B12CF">
            <w:pPr>
              <w:jc w:val="center"/>
              <w:rPr>
                <w:rFonts w:ascii="Calibri" w:hAnsi="Calibri" w:cs="Calibri"/>
                <w:b/>
                <w:bCs/>
                <w:color w:val="00B050"/>
                <w:sz w:val="20"/>
                <w:szCs w:val="20"/>
              </w:rPr>
            </w:pPr>
          </w:p>
        </w:tc>
        <w:tc>
          <w:tcPr>
            <w:tcW w:w="562" w:type="pct"/>
            <w:tcBorders>
              <w:top w:val="nil"/>
              <w:left w:val="single" w:sz="4" w:space="0" w:color="auto"/>
              <w:bottom w:val="single" w:sz="4" w:space="0" w:color="auto"/>
              <w:right w:val="single" w:sz="4" w:space="0" w:color="auto"/>
            </w:tcBorders>
            <w:shd w:val="clear" w:color="auto" w:fill="auto"/>
            <w:vAlign w:val="center"/>
          </w:tcPr>
          <w:p w14:paraId="0332FE46" w14:textId="77777777" w:rsidR="006B12CF" w:rsidRPr="004245DB" w:rsidRDefault="006B12CF">
            <w:pPr>
              <w:jc w:val="center"/>
              <w:rPr>
                <w:rFonts w:ascii="Calibri" w:hAnsi="Calibri" w:cs="Calibri"/>
                <w:b/>
                <w:bCs/>
                <w:sz w:val="20"/>
                <w:szCs w:val="20"/>
              </w:rPr>
            </w:pPr>
          </w:p>
        </w:tc>
      </w:tr>
      <w:tr w:rsidR="006B12CF" w:rsidRPr="00C8094D" w14:paraId="5831DD52"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108A5A18" w14:textId="77777777" w:rsidR="006B12CF" w:rsidRPr="00F503E3" w:rsidRDefault="006B12CF">
            <w:pPr>
              <w:pStyle w:val="TableTextIndent"/>
              <w:ind w:left="0"/>
            </w:pPr>
            <w:r>
              <w:t>34 CFR Part 300</w:t>
            </w:r>
            <w:r>
              <w:rPr>
                <w:i/>
                <w:iCs/>
              </w:rPr>
              <w:t xml:space="preserve"> </w:t>
            </w:r>
            <w:r>
              <w:t xml:space="preserve">Assistance to States for the Education of Children </w:t>
            </w:r>
          </w:p>
        </w:tc>
        <w:tc>
          <w:tcPr>
            <w:tcW w:w="560" w:type="pct"/>
            <w:tcBorders>
              <w:top w:val="nil"/>
              <w:left w:val="single" w:sz="4" w:space="0" w:color="auto"/>
              <w:bottom w:val="single" w:sz="4" w:space="0" w:color="auto"/>
              <w:right w:val="single" w:sz="4" w:space="0" w:color="auto"/>
            </w:tcBorders>
            <w:shd w:val="clear" w:color="auto" w:fill="auto"/>
            <w:vAlign w:val="center"/>
          </w:tcPr>
          <w:p w14:paraId="26AF022B" w14:textId="77777777" w:rsidR="006B12CF" w:rsidRPr="004245DB" w:rsidRDefault="006B12CF">
            <w:pPr>
              <w:jc w:val="center"/>
              <w:rPr>
                <w:rFonts w:ascii="Calibri" w:hAnsi="Calibri" w:cs="Calibri"/>
                <w:b/>
                <w:bCs/>
                <w:sz w:val="20"/>
                <w:szCs w:val="20"/>
              </w:rPr>
            </w:pPr>
          </w:p>
        </w:tc>
        <w:tc>
          <w:tcPr>
            <w:tcW w:w="560" w:type="pct"/>
            <w:tcBorders>
              <w:top w:val="nil"/>
              <w:left w:val="single" w:sz="4" w:space="0" w:color="auto"/>
              <w:bottom w:val="single" w:sz="4" w:space="0" w:color="auto"/>
              <w:right w:val="single" w:sz="4" w:space="0" w:color="auto"/>
            </w:tcBorders>
            <w:shd w:val="clear" w:color="auto" w:fill="auto"/>
            <w:vAlign w:val="center"/>
          </w:tcPr>
          <w:p w14:paraId="22F2EEFC" w14:textId="77777777" w:rsidR="006B12CF" w:rsidRPr="004245DB" w:rsidRDefault="006B12CF">
            <w:pPr>
              <w:jc w:val="center"/>
              <w:rPr>
                <w:rFonts w:ascii="Calibri" w:hAnsi="Calibri" w:cs="Calibri"/>
                <w:b/>
                <w:bCs/>
                <w:sz w:val="20"/>
                <w:szCs w:val="20"/>
              </w:rPr>
            </w:pPr>
            <w:r>
              <w:rPr>
                <w:rFonts w:ascii="Calibri" w:hAnsi="Calibri" w:cs="Calibri"/>
                <w:b/>
                <w:bCs/>
                <w:color w:val="00B050"/>
                <w:sz w:val="20"/>
                <w:szCs w:val="20"/>
              </w:rPr>
              <w:t>X</w:t>
            </w:r>
          </w:p>
        </w:tc>
        <w:tc>
          <w:tcPr>
            <w:tcW w:w="562" w:type="pct"/>
            <w:tcBorders>
              <w:top w:val="nil"/>
              <w:left w:val="single" w:sz="4" w:space="0" w:color="auto"/>
              <w:bottom w:val="single" w:sz="4" w:space="0" w:color="auto"/>
              <w:right w:val="single" w:sz="4" w:space="0" w:color="auto"/>
            </w:tcBorders>
            <w:shd w:val="clear" w:color="auto" w:fill="auto"/>
            <w:vAlign w:val="center"/>
          </w:tcPr>
          <w:p w14:paraId="5CC6F856" w14:textId="77777777" w:rsidR="006B12CF" w:rsidRPr="004245DB" w:rsidRDefault="006B12CF">
            <w:pPr>
              <w:jc w:val="center"/>
              <w:rPr>
                <w:rFonts w:ascii="Calibri" w:hAnsi="Calibri" w:cs="Calibri"/>
                <w:b/>
                <w:bCs/>
                <w:sz w:val="20"/>
                <w:szCs w:val="20"/>
              </w:rPr>
            </w:pPr>
          </w:p>
        </w:tc>
      </w:tr>
      <w:tr w:rsidR="006B12CF" w:rsidRPr="00C8094D" w14:paraId="2531DB56"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0C048A14" w14:textId="77777777" w:rsidR="006B12CF" w:rsidRPr="00D21C51" w:rsidRDefault="006B12CF">
            <w:pPr>
              <w:pStyle w:val="TableRowHeader"/>
            </w:pPr>
            <w:r>
              <w:t>Standards</w:t>
            </w:r>
          </w:p>
        </w:tc>
      </w:tr>
      <w:tr w:rsidR="006B12CF" w:rsidRPr="00C8094D" w14:paraId="1F0470AC"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04B84352" w14:textId="77777777" w:rsidR="006B12CF" w:rsidRDefault="006B12CF">
            <w:pPr>
              <w:pStyle w:val="TableText"/>
            </w:pPr>
            <w:r>
              <w:t>Continuum of Alternative Services and Placements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2BFB426F" w14:textId="77777777" w:rsidR="006B12CF" w:rsidRDefault="006B12CF">
            <w:pPr>
              <w:jc w:val="center"/>
              <w:rPr>
                <w:rFonts w:ascii="Calibri" w:hAnsi="Calibri" w:cs="Calibri"/>
                <w:b/>
                <w:bCs/>
                <w:color w:val="00B050"/>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61306527" w14:textId="77777777" w:rsidR="006B12CF" w:rsidRDefault="006B12CF">
            <w:pPr>
              <w:jc w:val="center"/>
              <w:rPr>
                <w:rFonts w:ascii="Calibri" w:hAnsi="Calibri" w:cs="Calibri"/>
                <w:b/>
                <w:bCs/>
                <w:color w:val="00B050"/>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18A5784A"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r>
      <w:tr w:rsidR="006B12CF" w:rsidRPr="00C8094D" w14:paraId="077A7F4F" w14:textId="77777777">
        <w:trPr>
          <w:cantSplit/>
          <w:trHeight w:val="255"/>
          <w:tblHeader/>
          <w:jc w:val="center"/>
        </w:trPr>
        <w:tc>
          <w:tcPr>
            <w:tcW w:w="3318" w:type="pct"/>
            <w:tcBorders>
              <w:top w:val="nil"/>
              <w:left w:val="single" w:sz="4" w:space="0" w:color="auto"/>
              <w:bottom w:val="single" w:sz="4" w:space="0" w:color="auto"/>
              <w:right w:val="single" w:sz="4" w:space="0" w:color="auto"/>
            </w:tcBorders>
            <w:shd w:val="clear" w:color="auto" w:fill="auto"/>
          </w:tcPr>
          <w:p w14:paraId="08633C65" w14:textId="77777777" w:rsidR="006B12CF" w:rsidRDefault="006B12CF">
            <w:pPr>
              <w:pStyle w:val="TableText"/>
            </w:pPr>
            <w:r>
              <w:t>Equal Opportunity to Participate in Educational, Nonacademic, Extracurricular, and Ancillary Programs, as well as Participation in Regular Education</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6210B439" w14:textId="77777777" w:rsidR="006B12CF" w:rsidRDefault="006B12CF">
            <w:pPr>
              <w:jc w:val="center"/>
              <w:rPr>
                <w:rFonts w:ascii="Calibri" w:hAnsi="Calibri" w:cs="Calibri"/>
                <w:b/>
                <w:bCs/>
                <w:color w:val="00B050"/>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35DEDE20" w14:textId="77777777" w:rsidR="006B12CF" w:rsidRDefault="006B12CF">
            <w:pPr>
              <w:jc w:val="center"/>
              <w:rPr>
                <w:rFonts w:ascii="Calibri" w:hAnsi="Calibri" w:cs="Calibri"/>
                <w:b/>
                <w:bCs/>
                <w:color w:val="00B050"/>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41FC4F49"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r>
      <w:tr w:rsidR="006B12CF" w:rsidRPr="00C8094D" w14:paraId="2A759AE5" w14:textId="77777777">
        <w:trPr>
          <w:cantSplit/>
          <w:trHeight w:val="255"/>
          <w:tblHeader/>
          <w:jc w:val="center"/>
        </w:trPr>
        <w:tc>
          <w:tcPr>
            <w:tcW w:w="3318" w:type="pct"/>
            <w:tcBorders>
              <w:top w:val="single" w:sz="4" w:space="0" w:color="auto"/>
              <w:left w:val="single" w:sz="4" w:space="0" w:color="auto"/>
              <w:bottom w:val="single" w:sz="4" w:space="0" w:color="auto"/>
              <w:right w:val="single" w:sz="4" w:space="0" w:color="auto"/>
            </w:tcBorders>
            <w:shd w:val="clear" w:color="auto" w:fill="auto"/>
          </w:tcPr>
          <w:p w14:paraId="0172C0BC" w14:textId="77777777" w:rsidR="006B12CF" w:rsidRDefault="006B12CF">
            <w:pPr>
              <w:pStyle w:val="TableText"/>
            </w:pPr>
            <w:r>
              <w:t>Least Restrictive Program Selected</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2A58A744" w14:textId="77777777" w:rsidR="006B12CF" w:rsidRPr="007A6AAB" w:rsidRDefault="006B12CF">
            <w:pPr>
              <w:jc w:val="center"/>
              <w:rPr>
                <w:rFonts w:ascii="Calibri" w:hAnsi="Calibri" w:cs="Calibri"/>
                <w:b/>
                <w:bCs/>
                <w:color w:val="00B050"/>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2615B3AC" w14:textId="77777777" w:rsidR="006B12CF" w:rsidRPr="007A6AAB" w:rsidRDefault="006B12CF">
            <w:pPr>
              <w:jc w:val="center"/>
              <w:rPr>
                <w:rFonts w:ascii="Calibri" w:hAnsi="Calibri" w:cs="Calibri"/>
                <w:b/>
                <w:bCs/>
                <w:color w:val="00B050"/>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299A95E7"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r>
      <w:tr w:rsidR="006B12CF" w:rsidRPr="00C8094D" w14:paraId="64CA8062" w14:textId="77777777">
        <w:trPr>
          <w:cantSplit/>
          <w:trHeight w:val="255"/>
          <w:tblHeader/>
          <w:jc w:val="center"/>
        </w:trPr>
        <w:tc>
          <w:tcPr>
            <w:tcW w:w="3318" w:type="pct"/>
            <w:tcBorders>
              <w:top w:val="single" w:sz="4" w:space="0" w:color="auto"/>
              <w:left w:val="single" w:sz="4" w:space="0" w:color="auto"/>
              <w:bottom w:val="single" w:sz="4" w:space="0" w:color="auto"/>
              <w:right w:val="single" w:sz="4" w:space="0" w:color="auto"/>
            </w:tcBorders>
            <w:shd w:val="clear" w:color="auto" w:fill="auto"/>
          </w:tcPr>
          <w:p w14:paraId="7CC40876" w14:textId="77777777" w:rsidR="006B12CF" w:rsidRDefault="006B12CF">
            <w:pPr>
              <w:pStyle w:val="TableText"/>
            </w:pPr>
            <w:r w:rsidRPr="00326D74">
              <w:t>MA LEA Special Education Determinations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07858115" w14:textId="77777777" w:rsidR="006B12CF" w:rsidRPr="007A6AAB" w:rsidRDefault="006B12CF">
            <w:pPr>
              <w:jc w:val="center"/>
              <w:rPr>
                <w:rFonts w:ascii="Calibri" w:hAnsi="Calibri" w:cs="Calibri"/>
                <w:b/>
                <w:bCs/>
                <w:color w:val="00B050"/>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27B5B535" w14:textId="77777777" w:rsidR="006B12CF" w:rsidRPr="007A6AAB" w:rsidRDefault="006B12CF">
            <w:pPr>
              <w:jc w:val="center"/>
              <w:rPr>
                <w:rFonts w:ascii="Calibri" w:hAnsi="Calibri" w:cs="Calibri"/>
                <w:b/>
                <w:bCs/>
                <w:color w:val="00B050"/>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00F57D09"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r>
      <w:tr w:rsidR="006B12CF" w:rsidRPr="00C8094D" w14:paraId="036A4692" w14:textId="77777777">
        <w:trPr>
          <w:cantSplit/>
          <w:trHeight w:val="255"/>
          <w:tblHeader/>
          <w:jc w:val="center"/>
        </w:trPr>
        <w:tc>
          <w:tcPr>
            <w:tcW w:w="3318" w:type="pct"/>
            <w:tcBorders>
              <w:top w:val="single" w:sz="4" w:space="0" w:color="auto"/>
              <w:left w:val="single" w:sz="4" w:space="0" w:color="auto"/>
              <w:bottom w:val="single" w:sz="4" w:space="0" w:color="auto"/>
              <w:right w:val="single" w:sz="4" w:space="0" w:color="auto"/>
            </w:tcBorders>
            <w:shd w:val="clear" w:color="auto" w:fill="auto"/>
          </w:tcPr>
          <w:p w14:paraId="47AC1FB2" w14:textId="77777777" w:rsidR="006B12CF" w:rsidRDefault="006B12CF">
            <w:pPr>
              <w:pStyle w:val="TableText"/>
            </w:pPr>
            <w:r>
              <w:t>Special Education Facilities and Classrooms</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3148CAC7" w14:textId="77777777" w:rsidR="006B12CF" w:rsidRDefault="006B12CF">
            <w:pPr>
              <w:jc w:val="center"/>
              <w:rPr>
                <w:rFonts w:ascii="Calibri" w:hAnsi="Calibri" w:cs="Calibri"/>
                <w:b/>
                <w:bCs/>
                <w:color w:val="00B050"/>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50980956" w14:textId="77777777" w:rsidR="006B12CF" w:rsidRDefault="006B12CF">
            <w:pPr>
              <w:jc w:val="center"/>
              <w:rPr>
                <w:rFonts w:ascii="Calibri" w:hAnsi="Calibri" w:cs="Calibri"/>
                <w:b/>
                <w:bCs/>
                <w:color w:val="00B050"/>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73AB084C" w14:textId="77777777" w:rsidR="006B12CF" w:rsidRDefault="006B12CF">
            <w:pPr>
              <w:jc w:val="center"/>
              <w:rPr>
                <w:rFonts w:ascii="Calibri" w:hAnsi="Calibri" w:cs="Calibri"/>
                <w:b/>
                <w:bCs/>
                <w:color w:val="00B050"/>
                <w:sz w:val="20"/>
                <w:szCs w:val="20"/>
              </w:rPr>
            </w:pPr>
            <w:r>
              <w:rPr>
                <w:rFonts w:ascii="Calibri" w:hAnsi="Calibri" w:cs="Calibri"/>
                <w:b/>
                <w:bCs/>
                <w:color w:val="00B050"/>
                <w:sz w:val="20"/>
                <w:szCs w:val="20"/>
              </w:rPr>
              <w:t>X</w:t>
            </w:r>
          </w:p>
        </w:tc>
      </w:tr>
    </w:tbl>
    <w:p w14:paraId="5B30342C" w14:textId="77777777" w:rsidR="006B12CF" w:rsidRDefault="006B12CF" w:rsidP="006B12CF">
      <w:pPr>
        <w:pStyle w:val="Heading3"/>
      </w:pPr>
      <w:r>
        <w:t>Relevant Resources</w:t>
      </w:r>
    </w:p>
    <w:p w14:paraId="634E6D93" w14:textId="5429FDCB" w:rsidR="006B12CF" w:rsidRDefault="006B12CF" w:rsidP="006D7DE6">
      <w:pPr>
        <w:pStyle w:val="BodyTextFirstIndent"/>
      </w:pPr>
      <w:r>
        <w:fldChar w:fldCharType="begin"/>
      </w:r>
      <w:r>
        <w:instrText xml:space="preserve"> REF _Ref172649615 \h </w:instrText>
      </w:r>
      <w:r>
        <w:fldChar w:fldCharType="separate"/>
      </w:r>
      <w:r w:rsidR="00307850">
        <w:t xml:space="preserve">Table </w:t>
      </w:r>
      <w:r w:rsidR="00307850">
        <w:rPr>
          <w:noProof/>
        </w:rPr>
        <w:t>95</w:t>
      </w:r>
      <w:r>
        <w:fldChar w:fldCharType="end"/>
      </w:r>
      <w:r>
        <w:t xml:space="preserve"> provides a summary of resources related to optimizing space to meet special education needs equitably.</w:t>
      </w:r>
    </w:p>
    <w:p w14:paraId="52CE8854" w14:textId="48910551" w:rsidR="006B12CF" w:rsidRDefault="006B12CF" w:rsidP="00B30C96">
      <w:pPr>
        <w:pStyle w:val="Caption"/>
      </w:pPr>
      <w:bookmarkStart w:id="722" w:name="_Ref172649615"/>
      <w:bookmarkStart w:id="723" w:name="_Toc192711761"/>
      <w:bookmarkStart w:id="724" w:name="_Toc193112643"/>
      <w:bookmarkStart w:id="725" w:name="_Toc193117042"/>
      <w:r>
        <w:t xml:space="preserve">Table </w:t>
      </w:r>
      <w:fldSimple w:instr=" SEQ Table \* ARABIC ">
        <w:r w:rsidR="00307850">
          <w:rPr>
            <w:noProof/>
          </w:rPr>
          <w:t>95</w:t>
        </w:r>
      </w:fldSimple>
      <w:bookmarkEnd w:id="722"/>
      <w:r>
        <w:t>. Resources for Optimizing Space to Equitably Meet Special Education Needs</w:t>
      </w:r>
      <w:bookmarkEnd w:id="723"/>
      <w:bookmarkEnd w:id="724"/>
      <w:bookmarkEnd w:id="725"/>
    </w:p>
    <w:tbl>
      <w:tblPr>
        <w:tblStyle w:val="TableGrid"/>
        <w:tblW w:w="0" w:type="auto"/>
        <w:tblLayout w:type="fixed"/>
        <w:tblLook w:val="04A0" w:firstRow="1" w:lastRow="0" w:firstColumn="1" w:lastColumn="0" w:noHBand="0" w:noVBand="1"/>
        <w:tblDescription w:val="Table listing resources with active URLs for optimizing space to equitably meet special needs."/>
      </w:tblPr>
      <w:tblGrid>
        <w:gridCol w:w="3505"/>
        <w:gridCol w:w="1440"/>
        <w:gridCol w:w="4405"/>
      </w:tblGrid>
      <w:tr w:rsidR="006B12CF" w:rsidRPr="00276B41" w14:paraId="62F336AF" w14:textId="77777777">
        <w:tc>
          <w:tcPr>
            <w:tcW w:w="3505" w:type="dxa"/>
            <w:shd w:val="clear" w:color="auto" w:fill="C6D9F1" w:themeFill="text2" w:themeFillTint="33"/>
          </w:tcPr>
          <w:p w14:paraId="5850D5E1" w14:textId="77777777" w:rsidR="006B12CF" w:rsidRPr="004C3A1C" w:rsidRDefault="006B12CF">
            <w:pPr>
              <w:pStyle w:val="TableColumnHeader"/>
            </w:pPr>
            <w:r w:rsidRPr="004C3A1C">
              <w:t>Resource</w:t>
            </w:r>
          </w:p>
        </w:tc>
        <w:tc>
          <w:tcPr>
            <w:tcW w:w="1440" w:type="dxa"/>
            <w:shd w:val="clear" w:color="auto" w:fill="C6D9F1" w:themeFill="text2" w:themeFillTint="33"/>
          </w:tcPr>
          <w:p w14:paraId="302A1100" w14:textId="77777777" w:rsidR="006B12CF" w:rsidRPr="004C3A1C" w:rsidRDefault="006B12CF">
            <w:pPr>
              <w:pStyle w:val="TableColumnHeader"/>
            </w:pPr>
            <w:r w:rsidRPr="004C3A1C">
              <w:t>Author</w:t>
            </w:r>
          </w:p>
        </w:tc>
        <w:tc>
          <w:tcPr>
            <w:tcW w:w="4405" w:type="dxa"/>
            <w:shd w:val="clear" w:color="auto" w:fill="C6D9F1" w:themeFill="text2" w:themeFillTint="33"/>
          </w:tcPr>
          <w:p w14:paraId="58DAF4EE" w14:textId="77777777" w:rsidR="006B12CF" w:rsidRPr="004C3A1C" w:rsidRDefault="006B12CF">
            <w:pPr>
              <w:pStyle w:val="TableColumnHeader"/>
            </w:pPr>
            <w:r w:rsidRPr="004C3A1C">
              <w:t>URL</w:t>
            </w:r>
          </w:p>
        </w:tc>
      </w:tr>
      <w:tr w:rsidR="006B12CF" w:rsidRPr="00276B41" w14:paraId="1ED0B769" w14:textId="77777777">
        <w:tc>
          <w:tcPr>
            <w:tcW w:w="3505" w:type="dxa"/>
          </w:tcPr>
          <w:p w14:paraId="2785CAD1" w14:textId="77777777" w:rsidR="006B12CF" w:rsidRPr="00276B41" w:rsidRDefault="006B12CF">
            <w:pPr>
              <w:pStyle w:val="TableText"/>
            </w:pPr>
            <w:r>
              <w:t>Special Education continuum of services and design considerations – rules of thumb</w:t>
            </w:r>
          </w:p>
        </w:tc>
        <w:tc>
          <w:tcPr>
            <w:tcW w:w="1440" w:type="dxa"/>
          </w:tcPr>
          <w:p w14:paraId="52C27556" w14:textId="77777777" w:rsidR="006B12CF" w:rsidRPr="00276B41" w:rsidRDefault="006B12CF">
            <w:pPr>
              <w:pStyle w:val="TableText"/>
            </w:pPr>
            <w:r>
              <w:t>MSBA</w:t>
            </w:r>
          </w:p>
        </w:tc>
        <w:tc>
          <w:tcPr>
            <w:tcW w:w="4405" w:type="dxa"/>
          </w:tcPr>
          <w:p w14:paraId="091C540A" w14:textId="22379D56" w:rsidR="006B12CF" w:rsidRPr="00276B41" w:rsidRDefault="006B12CF">
            <w:pPr>
              <w:pStyle w:val="TableText"/>
            </w:pPr>
            <w:hyperlink r:id="rId382" w:history="1">
              <w:r w:rsidRPr="00784CC2">
                <w:rPr>
                  <w:rStyle w:val="Hyperlink"/>
                </w:rPr>
                <w:t>https://www.massschoolbuildings.org/sites/default/files/edit-contentfiles/About_Us/Roundtables/Designer/Handouts.pdf</w:t>
              </w:r>
            </w:hyperlink>
            <w:r>
              <w:t xml:space="preserve"> </w:t>
            </w:r>
          </w:p>
        </w:tc>
      </w:tr>
    </w:tbl>
    <w:p w14:paraId="49753C2D" w14:textId="77777777" w:rsidR="00133A94" w:rsidRDefault="00133A94" w:rsidP="001C7888">
      <w:pPr>
        <w:pStyle w:val="Heading2"/>
      </w:pPr>
      <w:bookmarkStart w:id="726" w:name="SectVIII_3b"/>
      <w:bookmarkEnd w:id="726"/>
    </w:p>
    <w:p w14:paraId="580ED7A0" w14:textId="77777777" w:rsidR="00133A94" w:rsidRDefault="00133A94">
      <w:pPr>
        <w:rPr>
          <w:rFonts w:ascii="Arial" w:hAnsi="Arial"/>
          <w:b/>
          <w:bCs/>
          <w:color w:val="1F497D" w:themeColor="text2"/>
          <w:sz w:val="28"/>
          <w:szCs w:val="28"/>
        </w:rPr>
      </w:pPr>
      <w:r>
        <w:br w:type="page"/>
      </w:r>
    </w:p>
    <w:p w14:paraId="715EEDC3" w14:textId="319263E3" w:rsidR="00E13AD9" w:rsidRDefault="00E13AD9" w:rsidP="001C7888">
      <w:pPr>
        <w:pStyle w:val="Heading2"/>
      </w:pPr>
      <w:bookmarkStart w:id="727" w:name="_Toc193116945"/>
      <w:r>
        <w:lastRenderedPageBreak/>
        <w:t xml:space="preserve">Objective 3b. </w:t>
      </w:r>
      <w:r w:rsidR="00E05C31">
        <w:t>Prioritize</w:t>
      </w:r>
      <w:r w:rsidRPr="00E13AD9">
        <w:t xml:space="preserve"> Universal Accessibility</w:t>
      </w:r>
      <w:bookmarkEnd w:id="727"/>
    </w:p>
    <w:p w14:paraId="2B6F2D13" w14:textId="77777777" w:rsidR="006B12CF" w:rsidRDefault="006B12CF" w:rsidP="006B12CF">
      <w:pPr>
        <w:pStyle w:val="Heading3"/>
      </w:pPr>
      <w:r>
        <w:t>Methods and Best Practices</w:t>
      </w:r>
    </w:p>
    <w:p w14:paraId="63210273" w14:textId="1B3C4EC8" w:rsidR="006B12CF" w:rsidRDefault="006B12CF" w:rsidP="006D7DE6">
      <w:pPr>
        <w:pStyle w:val="BodyTextFirstIndent"/>
      </w:pPr>
      <w:r>
        <w:t xml:space="preserve">This section describes the methods and best practices for </w:t>
      </w:r>
      <w:r w:rsidR="0077299C">
        <w:t>prioritizing</w:t>
      </w:r>
      <w:r>
        <w:t xml:space="preserve"> universal accessibility in schools. </w:t>
      </w:r>
      <w:r w:rsidR="0077299C">
        <w:t>Prioritizing</w:t>
      </w:r>
      <w:r>
        <w:t xml:space="preserve"> universal accessibility is addressed in three sections:</w:t>
      </w:r>
    </w:p>
    <w:p w14:paraId="0467D9BC" w14:textId="77777777" w:rsidR="006B12CF" w:rsidRDefault="006B12CF" w:rsidP="008131EB">
      <w:pPr>
        <w:pStyle w:val="ListBullet"/>
      </w:pPr>
      <w:r>
        <w:t>Physical Disabilities: Design Physically Accessible Spaces</w:t>
      </w:r>
    </w:p>
    <w:p w14:paraId="1F18C09D" w14:textId="77777777" w:rsidR="006B12CF" w:rsidRDefault="006B12CF" w:rsidP="008131EB">
      <w:pPr>
        <w:pStyle w:val="ListBullet"/>
      </w:pPr>
      <w:r>
        <w:t>Transgender, Non-Binary, and Intersex Experience: Design Gender-Inclusive Spaces</w:t>
      </w:r>
    </w:p>
    <w:p w14:paraId="13A20D2C" w14:textId="77777777" w:rsidR="006B12CF" w:rsidRPr="001019EF" w:rsidRDefault="006B12CF" w:rsidP="008131EB">
      <w:pPr>
        <w:pStyle w:val="ListBullet"/>
      </w:pPr>
      <w:r>
        <w:t>Neurodivergence: Design Neuro-Inclusive Spaces</w:t>
      </w:r>
    </w:p>
    <w:p w14:paraId="4AE0050F" w14:textId="77777777" w:rsidR="006B12CF" w:rsidRDefault="006B12CF" w:rsidP="006B12CF">
      <w:pPr>
        <w:pStyle w:val="Heading4"/>
      </w:pPr>
      <w:r>
        <w:t>Physical Disabilities: Design Physically Accessible Spaces</w:t>
      </w:r>
    </w:p>
    <w:p w14:paraId="0F2EF382" w14:textId="7567F312" w:rsidR="006B12CF" w:rsidRPr="00CC1F67" w:rsidRDefault="006B12CF" w:rsidP="006D7DE6">
      <w:pPr>
        <w:pStyle w:val="BodyTextFirstIndent"/>
      </w:pPr>
      <w:r>
        <w:t>This section describes the methods and best practices for creating accessible</w:t>
      </w:r>
      <w:r w:rsidR="00E16443">
        <w:t xml:space="preserve"> and </w:t>
      </w:r>
      <w:r>
        <w:t xml:space="preserve">safe spaces for students with physical disabilities. </w:t>
      </w:r>
    </w:p>
    <w:p w14:paraId="17407AA6" w14:textId="77777777" w:rsidR="006B12CF" w:rsidRDefault="006B12CF" w:rsidP="006B12CF">
      <w:pPr>
        <w:pStyle w:val="Heading5"/>
      </w:pPr>
      <w:r>
        <w:t>(1) Evaluate barriers to physical access</w:t>
      </w:r>
    </w:p>
    <w:p w14:paraId="1FAE0387" w14:textId="025D9B52" w:rsidR="006B12CF" w:rsidRPr="000165C7" w:rsidRDefault="006B12CF" w:rsidP="006D7DE6">
      <w:pPr>
        <w:pStyle w:val="BodyTextFirstIndent"/>
      </w:pPr>
      <w:r>
        <w:t xml:space="preserve">Ensuring physical accessibility in schools is necessary to meet legal requirements and to guarantee students full access to the school community. </w:t>
      </w:r>
      <w:r w:rsidRPr="000165C7">
        <w:t xml:space="preserve">By minimizing barriers to physical access, school districts across Massachusetts can better serve their students. Minimizing barriers to physical access requires understanding </w:t>
      </w:r>
      <w:r>
        <w:t>the</w:t>
      </w:r>
      <w:r w:rsidRPr="000165C7">
        <w:t xml:space="preserve"> barriers </w:t>
      </w:r>
      <w:r>
        <w:t xml:space="preserve">that </w:t>
      </w:r>
      <w:r w:rsidRPr="000165C7">
        <w:t xml:space="preserve">exist. Not all physical barriers are legal violations since the ADA includes certain exemptions; however, ensuring all students have equal access to a free education in a least restrictive environment requires school districts to minimize as many physical barriers to learning as possible. Whether a school is planning to undergo renovations or not, school districts, administrators, educators, and </w:t>
      </w:r>
      <w:r w:rsidR="007415B0">
        <w:t xml:space="preserve">other </w:t>
      </w:r>
      <w:r w:rsidRPr="000165C7">
        <w:t>staff</w:t>
      </w:r>
      <w:r w:rsidR="007415B0">
        <w:t xml:space="preserve"> members</w:t>
      </w:r>
      <w:r w:rsidRPr="000165C7">
        <w:t xml:space="preserve"> should be aware of existing barriers to physical access and develop plans to mitigate or eliminate those barriers.</w:t>
      </w:r>
      <w:r>
        <w:fldChar w:fldCharType="begin"/>
      </w:r>
      <w:r w:rsidR="000F0EB3">
        <w:instrText xml:space="preserve"> ADDIN ZOTERO_ITEM CSL_CITATION {"citationID":"at1ae0m993","properties":{"formattedCitation":"\\super 404\\nosupersub{}","plainCitation":"404","noteIndex":0},"citationItems":[{"id":520,"uris":["http://zotero.org/groups/5563646/items/ZAAA4YSD"],"itemData":{"id":520,"type":"report","title":"ADA Checklist for Existing Facilities","URL":"https://www.adachecklist.org/doc/fullchecklist/ada-checklist.pdf","author":[{"family":"Institute for Human Centered Design","given":""}],"accessed":{"date-parts":[["2024",7,10]]}}}],"schema":"https://github.com/citation-style-language/schema/raw/master/csl-citation.json"} </w:instrText>
      </w:r>
      <w:r>
        <w:fldChar w:fldCharType="separate"/>
      </w:r>
      <w:r w:rsidR="000F0EB3" w:rsidRPr="000F0EB3">
        <w:rPr>
          <w:rFonts w:cs="Arial"/>
          <w:vertAlign w:val="superscript"/>
        </w:rPr>
        <w:t>404</w:t>
      </w:r>
      <w:r>
        <w:fldChar w:fldCharType="end"/>
      </w:r>
      <w:r w:rsidRPr="000165C7">
        <w:t xml:space="preserve"> It’s important to note that not every solution will work for every school or classroom; </w:t>
      </w:r>
      <w:r>
        <w:t>however,</w:t>
      </w:r>
      <w:r w:rsidRPr="000165C7">
        <w:t xml:space="preserve"> all schools should strive to improve physical accessibility whenever feasible.  </w:t>
      </w:r>
    </w:p>
    <w:p w14:paraId="71CA27FC" w14:textId="5D03AB45" w:rsidR="006B12CF" w:rsidRPr="000165C7" w:rsidRDefault="006B12CF" w:rsidP="006D7DE6">
      <w:pPr>
        <w:pStyle w:val="BodyTextFirstIndent"/>
      </w:pPr>
      <w:r w:rsidRPr="000165C7">
        <w:t xml:space="preserve">There are formal and informal methods to evaluate the physical accessibility of the school. Formal audits of school accessibility can be costly. However, schools or school districts can perform evaluations using in-house staff and resources. The “ADA Checklist for Existing Facilities” (see </w:t>
      </w:r>
      <w:r>
        <w:fldChar w:fldCharType="begin"/>
      </w:r>
      <w:r>
        <w:instrText xml:space="preserve"> REF _Ref172753841 \h </w:instrText>
      </w:r>
      <w:r>
        <w:fldChar w:fldCharType="separate"/>
      </w:r>
      <w:r w:rsidR="00307850">
        <w:t xml:space="preserve">Table </w:t>
      </w:r>
      <w:r w:rsidR="00307850">
        <w:rPr>
          <w:noProof/>
        </w:rPr>
        <w:t>97</w:t>
      </w:r>
      <w:r>
        <w:fldChar w:fldCharType="end"/>
      </w:r>
      <w:r w:rsidRPr="000165C7">
        <w:t xml:space="preserve">) is a helpful checklist that </w:t>
      </w:r>
      <w:r>
        <w:t>summarizes</w:t>
      </w:r>
      <w:r w:rsidRPr="000165C7">
        <w:t xml:space="preserve"> the accessibility requirements in the Department of Justice’s ADA Ti</w:t>
      </w:r>
      <w:r>
        <w:t>t</w:t>
      </w:r>
      <w:r w:rsidRPr="000165C7">
        <w:t>le II regulations</w:t>
      </w:r>
      <w:r>
        <w:t>,</w:t>
      </w:r>
      <w:r w:rsidRPr="000165C7">
        <w:t xml:space="preserve"> 28CFR Part 35.150.</w:t>
      </w:r>
      <w:r>
        <w:fldChar w:fldCharType="begin"/>
      </w:r>
      <w:r w:rsidR="008A7B77">
        <w:instrText xml:space="preserve"> ADDIN ZOTERO_ITEM CSL_CITATION {"citationID":"a14bks3d87p","properties":{"formattedCitation":"\\super 412\\nosupersub{}","plainCitation":"412","noteIndex":0},"citationItems":[{"id":436,"uris":["http://zotero.org/groups/5563646/items/J93WBJQZ"],"itemData":{"id":436,"type":"webpage","abstract":"Title II of the ADA - regulations for state and local governments meant to ensure that people with disabilities can participate in all aspects of civic life.","container-title":"ADA.gov","language":"en","title":"Americans with Disabilities Act Title II Regulations","URL":"https://www.ada.gov/law-and-regs/regulations/title-ii-2010-regulations/","accessed":{"date-parts":[["2024",7,2]]},"issued":{"date-parts":[["2024",6,24]]}}}],"schema":"https://github.com/citation-style-language/schema/raw/master/csl-citation.json"} </w:instrText>
      </w:r>
      <w:r>
        <w:fldChar w:fldCharType="separate"/>
      </w:r>
      <w:r w:rsidR="008A7B77" w:rsidRPr="008A7B77">
        <w:rPr>
          <w:rFonts w:cs="Arial"/>
          <w:vertAlign w:val="superscript"/>
        </w:rPr>
        <w:t>412</w:t>
      </w:r>
      <w:r>
        <w:fldChar w:fldCharType="end"/>
      </w:r>
      <w:r w:rsidRPr="000165C7">
        <w:t xml:space="preserve"> This checklist includes information on how to use the checklist</w:t>
      </w:r>
      <w:r>
        <w:t xml:space="preserve"> and</w:t>
      </w:r>
      <w:r w:rsidRPr="000165C7">
        <w:t xml:space="preserve"> conduct the survey, </w:t>
      </w:r>
      <w:r>
        <w:t>as well as</w:t>
      </w:r>
      <w:r w:rsidRPr="000165C7">
        <w:t xml:space="preserve"> </w:t>
      </w:r>
      <w:r w:rsidR="00925A44">
        <w:t>pos</w:t>
      </w:r>
      <w:r w:rsidR="004722CA">
        <w:t>t</w:t>
      </w:r>
      <w:r w:rsidR="00925A44">
        <w:t>-</w:t>
      </w:r>
      <w:r w:rsidRPr="000165C7">
        <w:t>survey</w:t>
      </w:r>
      <w:r w:rsidR="00925A44">
        <w:t xml:space="preserve"> activities</w:t>
      </w:r>
      <w:r w:rsidRPr="000165C7">
        <w:t xml:space="preserve">. Since the survey was developed for use </w:t>
      </w:r>
      <w:r>
        <w:t>in</w:t>
      </w:r>
      <w:r w:rsidRPr="000165C7">
        <w:t xml:space="preserve"> multiple places of public accommodation, not every section of the survey is relevant to school facilities. Moreover, the survey does not cover classroom</w:t>
      </w:r>
      <w:r>
        <w:t>-</w:t>
      </w:r>
      <w:r w:rsidRPr="000165C7">
        <w:t xml:space="preserve">specific features, </w:t>
      </w:r>
      <w:r>
        <w:t>such as</w:t>
      </w:r>
      <w:r w:rsidRPr="000165C7">
        <w:t xml:space="preserve"> ensuring accessible paths through desks and lab spaces, which </w:t>
      </w:r>
      <w:r>
        <w:t xml:space="preserve">schools </w:t>
      </w:r>
      <w:r w:rsidRPr="000165C7">
        <w:t>should also consider.</w:t>
      </w:r>
    </w:p>
    <w:p w14:paraId="59C3E928" w14:textId="77777777" w:rsidR="00133A94" w:rsidRDefault="00133A94">
      <w:pPr>
        <w:rPr>
          <w:rFonts w:ascii="Arial" w:hAnsi="Arial"/>
          <w:b/>
          <w:i/>
          <w:color w:val="1F497D"/>
          <w:sz w:val="24"/>
        </w:rPr>
      </w:pPr>
      <w:r>
        <w:br w:type="page"/>
      </w:r>
    </w:p>
    <w:p w14:paraId="736CD57F" w14:textId="38817720" w:rsidR="006B12CF" w:rsidRPr="009769AF" w:rsidRDefault="006B12CF" w:rsidP="006B12CF">
      <w:pPr>
        <w:pStyle w:val="Heading5"/>
      </w:pPr>
      <w:r>
        <w:lastRenderedPageBreak/>
        <w:t xml:space="preserve">(2) </w:t>
      </w:r>
      <w:r w:rsidR="00B97339">
        <w:t>Prioritize</w:t>
      </w:r>
      <w:r>
        <w:t xml:space="preserve"> universal access to school buildings</w:t>
      </w:r>
    </w:p>
    <w:p w14:paraId="31475928" w14:textId="0A667027" w:rsidR="006B12CF" w:rsidRDefault="006B12CF" w:rsidP="006D7DE6">
      <w:pPr>
        <w:pStyle w:val="BodyTextFirstIndent"/>
      </w:pPr>
      <w:r w:rsidRPr="009769AF">
        <w:t>No two schools will have the same results following an accessibility evaluation. The</w:t>
      </w:r>
      <w:r>
        <w:t xml:space="preserve"> </w:t>
      </w:r>
      <w:r w:rsidRPr="009769AF">
        <w:t xml:space="preserve">ADA Checklist covers many of the barriers to physical access </w:t>
      </w:r>
      <w:r>
        <w:t xml:space="preserve">that </w:t>
      </w:r>
      <w:r w:rsidRPr="009769AF">
        <w:t>schools need to address. A study from the U.S. Government Accountability Office on the accessibility of school facilities found that two-thirds of school districts identified barriers that can limit access to people with disabilities in a quarter or more of their school facilities.</w:t>
      </w:r>
      <w:r>
        <w:rPr>
          <w:vertAlign w:val="superscript"/>
        </w:rPr>
        <w:fldChar w:fldCharType="begin"/>
      </w:r>
      <w:r w:rsidR="006F40D3">
        <w:rPr>
          <w:vertAlign w:val="superscript"/>
        </w:rPr>
        <w:instrText xml:space="preserve"> ADDIN ZOTERO_ITEM CSL_CITATION {"citationID":"a1ip8s2ms23","properties":{"formattedCitation":"\\super 413\\nosupersub{}","plainCitation":"413","noteIndex":0},"citationItems":[{"id":550,"uris":["http://zotero.org/groups/5563646/items/S3G7W9Q3"],"itemData":{"id":550,"type":"report","number":"GAO-20-448","title":"K-12 Education: School Districts Need Better Information to Help Improve Access for People with Disabilities","URL":"https://www.gao.gov/assets/d20448.pdf","author":[{"family":"Government Accountability Office","given":""}],"accessed":{"date-parts":[["2024",7,8]]},"issued":{"date-parts":[["2020",6]]}}}],"schema":"https://github.com/citation-style-language/schema/raw/master/csl-citation.json"} </w:instrText>
      </w:r>
      <w:r>
        <w:rPr>
          <w:vertAlign w:val="superscript"/>
        </w:rPr>
        <w:fldChar w:fldCharType="separate"/>
      </w:r>
      <w:r w:rsidR="006F40D3" w:rsidRPr="006F40D3">
        <w:rPr>
          <w:rFonts w:cs="Arial"/>
          <w:vertAlign w:val="superscript"/>
        </w:rPr>
        <w:t>413</w:t>
      </w:r>
      <w:r>
        <w:rPr>
          <w:vertAlign w:val="superscript"/>
        </w:rPr>
        <w:fldChar w:fldCharType="end"/>
      </w:r>
      <w:r w:rsidRPr="009769AF">
        <w:t xml:space="preserve"> The top five barriers found across school facilities are listed below.</w:t>
      </w:r>
      <w:r>
        <w:fldChar w:fldCharType="begin"/>
      </w:r>
      <w:r w:rsidR="00DE551E">
        <w:instrText xml:space="preserve"> ADDIN ZOTERO_ITEM CSL_CITATION {"citationID":"a1khklv964k","properties":{"formattedCitation":"\\super 413\\nosupersub{}","plainCitation":"413","noteIndex":0},"citationItems":[{"id":550,"uris":["http://zotero.org/groups/5563646/items/S3G7W9Q3"],"itemData":{"id":550,"type":"report","number":"GAO-20-448","title":"K-12 Education: School Districts Need Better Information to Help Improve Access for People with Disabilities","URL":"https://www.gao.gov/assets/d20448.pdf","author":[{"family":"Government Accountability Office","given":""}],"accessed":{"date-parts":[["2024",7,8]]},"issued":{"date-parts":[["2020",6]]}}}],"schema":"https://github.com/citation-style-language/schema/raw/master/csl-citation.json"} </w:instrText>
      </w:r>
      <w:r>
        <w:fldChar w:fldCharType="separate"/>
      </w:r>
      <w:r w:rsidR="00DE551E" w:rsidRPr="00DE551E">
        <w:rPr>
          <w:rFonts w:cs="Arial"/>
          <w:vertAlign w:val="superscript"/>
        </w:rPr>
        <w:t>413</w:t>
      </w:r>
      <w:r>
        <w:fldChar w:fldCharType="end"/>
      </w:r>
      <w:r w:rsidRPr="009769AF">
        <w:t>  </w:t>
      </w:r>
    </w:p>
    <w:p w14:paraId="19341C4A" w14:textId="68D60AB0" w:rsidR="006B12CF" w:rsidRPr="00E07187" w:rsidRDefault="006B12CF" w:rsidP="008131EB">
      <w:pPr>
        <w:pStyle w:val="ListBullet"/>
      </w:pPr>
      <w:r w:rsidRPr="00E07187">
        <w:t>Lack of accessible signs</w:t>
      </w:r>
    </w:p>
    <w:p w14:paraId="7F2E04AB" w14:textId="77777777" w:rsidR="006B12CF" w:rsidRPr="00E07187" w:rsidRDefault="006B12CF" w:rsidP="008131EB">
      <w:pPr>
        <w:pStyle w:val="ListBullet"/>
      </w:pPr>
      <w:r w:rsidRPr="00E07187">
        <w:t>Playground barriers (e.g., mulch or other ground surface barriers) </w:t>
      </w:r>
    </w:p>
    <w:p w14:paraId="23760065" w14:textId="77777777" w:rsidR="006B12CF" w:rsidRPr="00E07187" w:rsidRDefault="006B12CF" w:rsidP="008131EB">
      <w:pPr>
        <w:pStyle w:val="ListBullet"/>
      </w:pPr>
      <w:r w:rsidRPr="00E07187">
        <w:t>Door hardware that requires tight grasping, pinching, or twisting of wrist </w:t>
      </w:r>
    </w:p>
    <w:p w14:paraId="00F9E84E" w14:textId="77777777" w:rsidR="006B12CF" w:rsidRPr="00E07187" w:rsidRDefault="006B12CF" w:rsidP="008131EB">
      <w:pPr>
        <w:pStyle w:val="ListBullet"/>
      </w:pPr>
      <w:r w:rsidRPr="00E07187">
        <w:t>Assembly stages requiring steps </w:t>
      </w:r>
    </w:p>
    <w:p w14:paraId="0E51A200" w14:textId="77777777" w:rsidR="006B12CF" w:rsidRDefault="006B12CF" w:rsidP="008131EB">
      <w:pPr>
        <w:pStyle w:val="ListBullet"/>
      </w:pPr>
      <w:r w:rsidRPr="00E07187">
        <w:t>Restroom barriers (e.g., lack of bathroom grab bars or exposed sink pipes)</w:t>
      </w:r>
    </w:p>
    <w:p w14:paraId="6CC08D2D" w14:textId="460FEB47" w:rsidR="006B12CF" w:rsidRDefault="006B12CF" w:rsidP="006D7DE6">
      <w:pPr>
        <w:pStyle w:val="BodyTextFirstIndent"/>
      </w:pPr>
      <w:r w:rsidRPr="00E07187">
        <w:t> </w:t>
      </w:r>
      <w:r>
        <w:t xml:space="preserve">The following are best practices schools should consider to </w:t>
      </w:r>
      <w:r w:rsidR="000C5F8E">
        <w:t>provide</w:t>
      </w:r>
      <w:r>
        <w:t xml:space="preserve"> universal access.</w:t>
      </w:r>
    </w:p>
    <w:p w14:paraId="31F4DF03" w14:textId="77777777" w:rsidR="006B12CF" w:rsidRDefault="006B12CF" w:rsidP="006B12CF">
      <w:pPr>
        <w:pStyle w:val="Heading5a"/>
      </w:pPr>
      <w:r>
        <w:t>(2a) Update signage</w:t>
      </w:r>
    </w:p>
    <w:p w14:paraId="1A1C484A" w14:textId="01BA46B3" w:rsidR="006B12CF" w:rsidRPr="00A744E7" w:rsidRDefault="006B12CF" w:rsidP="008131EB">
      <w:pPr>
        <w:pStyle w:val="ListBullet"/>
        <w:numPr>
          <w:ilvl w:val="0"/>
          <w:numId w:val="0"/>
        </w:numPr>
      </w:pPr>
      <w:r>
        <w:t>ADA Standards call for accessible signs to identify spaces and accessibility elements in public areas.</w:t>
      </w:r>
      <w:r>
        <w:fldChar w:fldCharType="begin"/>
      </w:r>
      <w:r w:rsidR="006722D2">
        <w:instrText xml:space="preserve"> ADDIN ZOTERO_ITEM CSL_CITATION {"citationID":"akfd9fpcju","properties":{"formattedCitation":"\\super 414\\nosupersub{}","plainCitation":"414","noteIndex":0},"citationItems":[{"id":837,"uris":["http://zotero.org/groups/5563646/items/BQX6B73T"],"itemData":{"id":837,"type":"webpage","abstract":"The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7: Signs","title-short":"U.S. Access Board - Chapter 7","URL":"https://www.access-board.gov/ada/guides/chapter-7-signs/","accessed":{"date-parts":[["2024",7,24]]}}}],"schema":"https://github.com/citation-style-language/schema/raw/master/csl-citation.json"} </w:instrText>
      </w:r>
      <w:r>
        <w:fldChar w:fldCharType="separate"/>
      </w:r>
      <w:r w:rsidR="006722D2" w:rsidRPr="006722D2">
        <w:rPr>
          <w:rFonts w:cs="Arial"/>
          <w:vertAlign w:val="superscript"/>
        </w:rPr>
        <w:t>414</w:t>
      </w:r>
      <w:r>
        <w:fldChar w:fldCharType="end"/>
      </w:r>
      <w:r>
        <w:t xml:space="preserve"> Schools should update or add visual and tactile signs to identify permanent rooms and spaces, provide directional information, indicate accessibility, and highlight means of egress in compliance with ADA Sign Standards.</w:t>
      </w:r>
    </w:p>
    <w:p w14:paraId="4A0DFC53" w14:textId="77777777" w:rsidR="006B12CF" w:rsidRDefault="006B12CF" w:rsidP="006B12CF">
      <w:pPr>
        <w:pStyle w:val="Heading5a"/>
      </w:pPr>
      <w:r>
        <w:t>(2b) Update door handles</w:t>
      </w:r>
    </w:p>
    <w:p w14:paraId="1595D3E5" w14:textId="4858AB09" w:rsidR="006B12CF" w:rsidRPr="0042341E" w:rsidRDefault="006B12CF" w:rsidP="008131EB">
      <w:pPr>
        <w:pStyle w:val="ListBullet"/>
        <w:numPr>
          <w:ilvl w:val="0"/>
          <w:numId w:val="0"/>
        </w:numPr>
      </w:pPr>
      <w:r>
        <w:t xml:space="preserve">ADA Standards require door handles to be operable with one hand, not require tight grasping, pinching, or twisting of the wrist, operate with </w:t>
      </w:r>
      <w:r w:rsidR="00944A21">
        <w:t>five</w:t>
      </w:r>
      <w:r>
        <w:t xml:space="preserve"> pounds of maximum force, and be located 34-48 inches off the ground.</w:t>
      </w:r>
      <w:r>
        <w:fldChar w:fldCharType="begin"/>
      </w:r>
      <w:r w:rsidR="00F17C32">
        <w:instrText xml:space="preserve"> ADDIN ZOTERO_ITEM CSL_CITATION {"citationID":"at9sejrr47","properties":{"formattedCitation":"\\super 415\\nosupersub{}","plainCitation":"415","noteIndex":0},"citationItems":[{"id":834,"uris":["http://zotero.org/groups/5563646/items/QFKJ3VVZ"],"itemData":{"id":834,"type":"webpage","abstract":"The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4: Entrances, Doors, and Gates","title-short":"U.S. Access Board - Chapter 4","URL":"https://www.access-board.gov/ada/guides/chapter-4-entrances-doors-and-gates/","accessed":{"date-parts":[["2024",7,24]]}}}],"schema":"https://github.com/citation-style-language/schema/raw/master/csl-citation.json"} </w:instrText>
      </w:r>
      <w:r>
        <w:fldChar w:fldCharType="separate"/>
      </w:r>
      <w:r w:rsidR="00F17C32" w:rsidRPr="00F17C32">
        <w:rPr>
          <w:rFonts w:cs="Arial"/>
          <w:vertAlign w:val="superscript"/>
        </w:rPr>
        <w:t>415</w:t>
      </w:r>
      <w:r>
        <w:fldChar w:fldCharType="end"/>
      </w:r>
      <w:r>
        <w:t xml:space="preserve"> Schools with non-compliant door handles should invest in upgrades.</w:t>
      </w:r>
    </w:p>
    <w:p w14:paraId="2FEEC691" w14:textId="77777777" w:rsidR="006B12CF" w:rsidRDefault="006B12CF" w:rsidP="006B12CF">
      <w:pPr>
        <w:pStyle w:val="Heading5a"/>
      </w:pPr>
      <w:r>
        <w:t>(2c) Update doors (i.e., remove heavy doors, add automatic door openers, etc.)</w:t>
      </w:r>
    </w:p>
    <w:p w14:paraId="7644825D" w14:textId="6EEF0E79" w:rsidR="006B12CF" w:rsidRPr="00205315" w:rsidRDefault="006B12CF" w:rsidP="008131EB">
      <w:pPr>
        <w:pStyle w:val="ListBullet"/>
        <w:numPr>
          <w:ilvl w:val="0"/>
          <w:numId w:val="0"/>
        </w:numPr>
      </w:pPr>
      <w:r>
        <w:t>Doors and gates that provide accessible routes for user passage are required to comply with ADA Standards. Compliance guidelines for doors and entryways cover requirements for maneuvering clearance, thresholds, surface texture, hardware, viewing, opening force, and closing speed.</w:t>
      </w:r>
      <w:r>
        <w:fldChar w:fldCharType="begin"/>
      </w:r>
      <w:r w:rsidR="005D3FE3">
        <w:instrText xml:space="preserve"> ADDIN ZOTERO_ITEM CSL_CITATION {"citationID":"ahgucfsa2l","properties":{"formattedCitation":"\\super 415\\nosupersub{}","plainCitation":"415","noteIndex":0},"citationItems":[{"id":834,"uris":["http://zotero.org/groups/5563646/items/QFKJ3VVZ"],"itemData":{"id":834,"type":"webpage","abstract":"The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4: Entrances, Doors, and Gates","title-short":"U.S. Access Board - Chapter 4","URL":"https://www.access-board.gov/ada/guides/chapter-4-entrances-doors-and-gates/","accessed":{"date-parts":[["2024",7,24]]}}}],"schema":"https://github.com/citation-style-language/schema/raw/master/csl-citation.json"} </w:instrText>
      </w:r>
      <w:r>
        <w:fldChar w:fldCharType="separate"/>
      </w:r>
      <w:r w:rsidR="005D3FE3" w:rsidRPr="005D3FE3">
        <w:rPr>
          <w:rFonts w:cs="Arial"/>
          <w:vertAlign w:val="superscript"/>
        </w:rPr>
        <w:t>415</w:t>
      </w:r>
      <w:r>
        <w:fldChar w:fldCharType="end"/>
      </w:r>
    </w:p>
    <w:p w14:paraId="3D4A13E2" w14:textId="77777777" w:rsidR="006B12CF" w:rsidRDefault="006B12CF" w:rsidP="006B12CF">
      <w:pPr>
        <w:pStyle w:val="Heading5a"/>
      </w:pPr>
      <w:r>
        <w:t>(2d) Add ramps and chair lifts</w:t>
      </w:r>
    </w:p>
    <w:p w14:paraId="5DE9A6BB" w14:textId="5D7AD4FC" w:rsidR="006B12CF" w:rsidRPr="00066542" w:rsidRDefault="006B12CF" w:rsidP="008131EB">
      <w:pPr>
        <w:pStyle w:val="ListBullet"/>
        <w:numPr>
          <w:ilvl w:val="0"/>
          <w:numId w:val="0"/>
        </w:numPr>
      </w:pPr>
      <w:r>
        <w:t>Ramps and chair lifts can help make entryways more accessible when modifying the building or adding an elevator is not possible. ADA Standards define the necessary safety elements, slope, and landing requirements for ramps,</w:t>
      </w:r>
      <w:r>
        <w:fldChar w:fldCharType="begin"/>
      </w:r>
      <w:r w:rsidR="001B193F">
        <w:instrText xml:space="preserve"> ADDIN ZOTERO_ITEM CSL_CITATION {"citationID":"ajoni96rsk","properties":{"formattedCitation":"\\super 416\\nosupersub{}","plainCitation":"416","noteIndex":0},"citationItems":[{"id":833,"uris":["http://zotero.org/groups/5563646/items/SCLWUZ3E"],"itemData":{"id":833,"type":"webpage","abstract":"The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4: Ramps and Curb Ramps","title-short":"U.S. Access Board - Chapter 4","URL":"https://www.access-board.gov/ada/guides/chapter-4-ramps-and-curb-ramps/","accessed":{"date-parts":[["2024",7,24]]}}}],"schema":"https://github.com/citation-style-language/schema/raw/master/csl-citation.json"} </w:instrText>
      </w:r>
      <w:r>
        <w:fldChar w:fldCharType="separate"/>
      </w:r>
      <w:r w:rsidR="001B193F" w:rsidRPr="001B193F">
        <w:rPr>
          <w:rFonts w:cs="Arial"/>
          <w:vertAlign w:val="superscript"/>
        </w:rPr>
        <w:t>416</w:t>
      </w:r>
      <w:r>
        <w:fldChar w:fldCharType="end"/>
      </w:r>
      <w:r>
        <w:t xml:space="preserve"> as well as the requirements for lifts.</w:t>
      </w:r>
      <w:r>
        <w:fldChar w:fldCharType="begin"/>
      </w:r>
      <w:r w:rsidR="00AC52A8">
        <w:instrText xml:space="preserve"> ADDIN ZOTERO_ITEM CSL_CITATION {"citationID":"a2mcq5hmfep","properties":{"formattedCitation":"\\super 417\\nosupersub{}","plainCitation":"417","noteIndex":0},"citationItems":[{"id":832,"uris":["http://zotero.org/groups/5563646/items/WBBRSVWG"],"itemData":{"id":832,"type":"webpage","abstract":"The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4: Elevators and Platform Lifts","title-short":"U.S. Access Board - Chapter 4","URL":"https://www.access-board.gov/ada/guides/chapter-4-elevators-and-platform-lifts/","accessed":{"date-parts":[["2024",7,24]]}}}],"schema":"https://github.com/citation-style-language/schema/raw/master/csl-citation.json"} </w:instrText>
      </w:r>
      <w:r>
        <w:fldChar w:fldCharType="separate"/>
      </w:r>
      <w:r w:rsidR="00AC52A8" w:rsidRPr="00AC52A8">
        <w:rPr>
          <w:rFonts w:cs="Arial"/>
          <w:vertAlign w:val="superscript"/>
        </w:rPr>
        <w:t>417</w:t>
      </w:r>
      <w:r>
        <w:fldChar w:fldCharType="end"/>
      </w:r>
    </w:p>
    <w:p w14:paraId="67AE47C5" w14:textId="77777777" w:rsidR="006B12CF" w:rsidRDefault="006B12CF" w:rsidP="006B12CF">
      <w:pPr>
        <w:pStyle w:val="Heading5a"/>
      </w:pPr>
      <w:r>
        <w:lastRenderedPageBreak/>
        <w:t>(2e) Update bathroom infrastructure (i.e., sinks, stalls, etc.)</w:t>
      </w:r>
    </w:p>
    <w:p w14:paraId="240449BA" w14:textId="1636DE63" w:rsidR="006B12CF" w:rsidRPr="00D019A9" w:rsidRDefault="006B12CF" w:rsidP="008131EB">
      <w:pPr>
        <w:pStyle w:val="ListBullet"/>
        <w:numPr>
          <w:ilvl w:val="0"/>
          <w:numId w:val="0"/>
        </w:numPr>
      </w:pPr>
      <w:r>
        <w:t>Bathrooms that do not meet ADA Standards should be altered for compliance. Existing facilities have multiple avenues for ensuring adequate access to ADA-compliant bathrooms.</w:t>
      </w:r>
      <w:r>
        <w:fldChar w:fldCharType="begin"/>
      </w:r>
      <w:r w:rsidR="00A415BC">
        <w:instrText xml:space="preserve"> ADDIN ZOTERO_ITEM CSL_CITATION {"citationID":"a9ipba5rn2","properties":{"formattedCitation":"\\super 418\\nosupersub{}","plainCitation":"418","noteIndex":0},"citationItems":[{"id":831,"uris":["http://zotero.org/groups/5563646/items/NW936Z2Y"],"itemData":{"id":831,"type":"webpage","abstract":"The U.S. Access Board is a federal agency that promotes equality for people with disabilities through leadership in accessible design and the development of accessibility guidelines and standards for the built environment, transportation, communication, medical diagnostic equipment, and information technology.","language":"en","title":"U.S. Access Board - Chapter 6: Toilet Rooms","title-short":"U.S. Access Board - Chapter 6","URL":"https://www.access-board.gov/ada/guides/chapter-6-toilet-rooms/","accessed":{"date-parts":[["2024",7,24]]}}}],"schema":"https://github.com/citation-style-language/schema/raw/master/csl-citation.json"} </w:instrText>
      </w:r>
      <w:r>
        <w:fldChar w:fldCharType="separate"/>
      </w:r>
      <w:r w:rsidR="00A415BC" w:rsidRPr="00A415BC">
        <w:rPr>
          <w:rFonts w:cs="Arial"/>
          <w:vertAlign w:val="superscript"/>
        </w:rPr>
        <w:t>418</w:t>
      </w:r>
      <w:r>
        <w:fldChar w:fldCharType="end"/>
      </w:r>
      <w:r>
        <w:t xml:space="preserve"> Bathroom updates for accessibility can also incorporate design elements to increase gender-inclusive access to maximize the benefits of updates.</w:t>
      </w:r>
    </w:p>
    <w:p w14:paraId="538D3365" w14:textId="77777777" w:rsidR="006B12CF" w:rsidRDefault="006B12CF" w:rsidP="006B12CF">
      <w:pPr>
        <w:pStyle w:val="Heading4"/>
      </w:pPr>
      <w:r>
        <w:t>Transgender, Non-Binary, and Intersex Experience: Design Gender-Inclusive Spaces</w:t>
      </w:r>
    </w:p>
    <w:p w14:paraId="6AF986D3" w14:textId="77777777" w:rsidR="006B12CF" w:rsidRPr="00CC1F67" w:rsidRDefault="006B12CF" w:rsidP="006D7DE6">
      <w:pPr>
        <w:pStyle w:val="BodyTextFirstIndent"/>
      </w:pPr>
      <w:r>
        <w:t xml:space="preserve">This section describes the methods and best practices for creating safe and inclusive school environments for transgender, non-binary, and intersex students. </w:t>
      </w:r>
    </w:p>
    <w:p w14:paraId="01B64464" w14:textId="77777777" w:rsidR="006B12CF" w:rsidRDefault="006B12CF" w:rsidP="006B12CF">
      <w:pPr>
        <w:pStyle w:val="Heading5"/>
      </w:pPr>
      <w:r>
        <w:t>(3) Evaluate gender-based rules, policies, and practices</w:t>
      </w:r>
    </w:p>
    <w:p w14:paraId="486A6DFE" w14:textId="75D022C7" w:rsidR="006B12CF" w:rsidRDefault="006B12CF" w:rsidP="006D7DE6">
      <w:pPr>
        <w:pStyle w:val="BodyTextFirstIndent"/>
      </w:pPr>
      <w:r>
        <w:t>Students in Massachusetts are protected from discrimination based on gender identity and sexual orientation.</w:t>
      </w:r>
      <w:r>
        <w:fldChar w:fldCharType="begin"/>
      </w:r>
      <w:r w:rsidR="00C725ED">
        <w:instrText xml:space="preserve"> ADDIN ZOTERO_ITEM CSL_CITATION {"citationID":"a21flstg3ps","properties":{"formattedCitation":"\\super 156,419\\nosupersub{}","plainCitation":"156,419","noteIndex":0},"citationItems":[{"id":434,"uris":["http://zotero.org/groups/5563646/items/M24U5RGZ"],"itemData":{"id":434,"type":"webpage","title":"603 CMR 26.00: Access To Equal Educational Opportunity - Education Laws and Regulations","URL":"https://www.doe.mass.edu/lawsregs/603cmr26.html","accessed":{"date-parts":[["2024",7,2]]}}},{"id":435,"uris":["http://zotero.org/groups/5563646/items/WQTH49W7"],"itemData":{"id":435,"type":"webpage","title":"Session Law - Acts of 2011 Chapter 199","URL":"https://malegislature.gov/Laws/SessionLaws/Acts/2011/Chapter199","accessed":{"date-parts":[["2024",7,2]]}}}],"schema":"https://github.com/citation-style-language/schema/raw/master/csl-citation.json"} </w:instrText>
      </w:r>
      <w:r>
        <w:fldChar w:fldCharType="separate"/>
      </w:r>
      <w:r w:rsidR="00C725ED" w:rsidRPr="00C725ED">
        <w:rPr>
          <w:rFonts w:cs="Arial"/>
          <w:vertAlign w:val="superscript"/>
        </w:rPr>
        <w:t>156,419</w:t>
      </w:r>
      <w:r>
        <w:fldChar w:fldCharType="end"/>
      </w:r>
      <w:r>
        <w:t xml:space="preserve"> Schools and school districts should review their policies and procedures to </w:t>
      </w:r>
      <w:r w:rsidR="00294C3A">
        <w:t xml:space="preserve">eliminate rules that perpetuate </w:t>
      </w:r>
      <w:r>
        <w:t>gender-based discrimination. This includes examining policies around student records, bathroom and changing facility access, dress codes, and any other gender-based policies.</w:t>
      </w:r>
    </w:p>
    <w:p w14:paraId="360A95EC" w14:textId="033F52B3" w:rsidR="006B12CF" w:rsidRDefault="006B12CF" w:rsidP="006B12CF">
      <w:pPr>
        <w:pStyle w:val="Heading5"/>
      </w:pPr>
      <w:r>
        <w:t xml:space="preserve">(4) </w:t>
      </w:r>
      <w:r w:rsidR="00D331F4">
        <w:t>Provide</w:t>
      </w:r>
      <w:r>
        <w:t xml:space="preserve"> access to gender-inclusive restrooms, locker rooms, and changing facilities</w:t>
      </w:r>
    </w:p>
    <w:p w14:paraId="4F2657C0" w14:textId="77777777" w:rsidR="006B12CF" w:rsidRDefault="006B12CF" w:rsidP="006D7DE6">
      <w:pPr>
        <w:pStyle w:val="BodyTextFirstIndent"/>
      </w:pPr>
      <w:r>
        <w:t>All students should have access to a restroom, locker room, and changing facility that aligns with their gender identity. If students do not feel safe accessing a facility, an appropriate alternative should be made available. For existing facilities, this can include changing a staff restroom to an all-gender restroom or providing access to the restroom in the nurse’s office.</w:t>
      </w:r>
    </w:p>
    <w:p w14:paraId="0D013280" w14:textId="41E5C59F" w:rsidR="006B12CF" w:rsidRDefault="006B12CF" w:rsidP="006D7DE6">
      <w:pPr>
        <w:pStyle w:val="BodyTextFirstIndent"/>
      </w:pPr>
      <w:r>
        <w:t>Newly constructed and renovated schools should strive to incorporate UD principles from the planning stage forward. Restrooms, locker rooms, and changing facilities designed around gender inclusion benefit everyone because they increase privacy, physical accessibility, and safety.</w:t>
      </w:r>
      <w:r>
        <w:fldChar w:fldCharType="begin"/>
      </w:r>
      <w:r w:rsidR="00181DD4">
        <w:instrText xml:space="preserve"> ADDIN ZOTERO_ITEM CSL_CITATION {"citationID":"a2pmgqjtbt3","properties":{"formattedCitation":"\\super 420\\nosupersub{}","plainCitation":"420","noteIndex":0},"citationItems":[{"id":827,"uris":["http://zotero.org/groups/5563646/items/D8UTCSQU"],"itemData":{"id":827,"type":"report","title":"Design Strategies for Restroom &amp; Locker Room Facilities","URL":"https://www.opsisarch.com/wp-content/uploads//2022/06/Opsis-Architecture-Gender-Inclusive-Facilities-Design-Strategies-Case-Study.pdf","author":[{"family":"Holser","given":"Alec"}],"accessed":{"date-parts":[["2024",7,5]]},"issued":{"literal":"n.d."}}}],"schema":"https://github.com/citation-style-language/schema/raw/master/csl-citation.json"} </w:instrText>
      </w:r>
      <w:r>
        <w:fldChar w:fldCharType="separate"/>
      </w:r>
      <w:r w:rsidR="00181DD4" w:rsidRPr="00181DD4">
        <w:rPr>
          <w:rFonts w:cs="Arial"/>
          <w:vertAlign w:val="superscript"/>
        </w:rPr>
        <w:t>420</w:t>
      </w:r>
      <w:r>
        <w:fldChar w:fldCharType="end"/>
      </w:r>
      <w:r>
        <w:t xml:space="preserve"> </w:t>
      </w:r>
    </w:p>
    <w:p w14:paraId="01FB1280" w14:textId="77777777" w:rsidR="006B12CF" w:rsidRDefault="006B12CF" w:rsidP="006B12CF">
      <w:pPr>
        <w:pStyle w:val="Heading4"/>
      </w:pPr>
      <w:r>
        <w:t>Neurodivergence: Design Neuro-Inclusive Spaces</w:t>
      </w:r>
    </w:p>
    <w:p w14:paraId="18015C3E" w14:textId="77777777" w:rsidR="006B12CF" w:rsidRPr="009D7CD4" w:rsidRDefault="006B12CF" w:rsidP="006D7DE6">
      <w:pPr>
        <w:pStyle w:val="BodyTextFirstIndent"/>
      </w:pPr>
      <w:r>
        <w:t xml:space="preserve">This section describes the methods and best practices for creating safe and inclusive school environments for neurodivergent students. </w:t>
      </w:r>
    </w:p>
    <w:p w14:paraId="073C82A8" w14:textId="77777777" w:rsidR="006B12CF" w:rsidRDefault="006B12CF" w:rsidP="006B12CF">
      <w:pPr>
        <w:pStyle w:val="Heading5"/>
      </w:pPr>
      <w:r>
        <w:t>(5) Evaluate the school’s sensory landscape</w:t>
      </w:r>
    </w:p>
    <w:p w14:paraId="376D2021" w14:textId="299E240B" w:rsidR="006B12CF" w:rsidRDefault="006B12CF" w:rsidP="006D7DE6">
      <w:pPr>
        <w:pStyle w:val="BodyTextFirstIndent"/>
      </w:pPr>
      <w:r>
        <w:t>Students spend much of their day at school. The sensory environment of a school impacts all students; however, for some neurodivergent students, the sensory environment has a larger impact.</w:t>
      </w:r>
      <w:r>
        <w:fldChar w:fldCharType="begin"/>
      </w:r>
      <w:r w:rsidR="00C77DA9">
        <w:instrText xml:space="preserve"> ADDIN ZOTERO_ITEM CSL_CITATION {"citationID":"a1ckemeddvt","properties":{"formattedCitation":"\\super 421,422\\nosupersub{}","plainCitation":"421,422","noteIndex":0},"citationItems":[{"id":414,"uris":["http://zotero.org/groups/5563646/items/7WR37MB5"],"itemData":{"id":414,"type":"webpage","abstract":"In designing for neurodiversity, we’re reminded that design harmony must account for all the senses.","language":"en","title":"Harmonizing the seen and unseen when designing for neurodiversity","URL":"https://www.stantec.com/en/ideas/topic/buildings/harmonizing-the-seen-and-unseen-when-designing-for-neurodiversity","accessed":{"date-parts":[["2024",7,5]]}}},{"id":826,"uris":["http://zotero.org/groups/5563646/items/83ZCHY3L"],"itemData":{"id":826,"type":"article-journal","abstract":"Background\nIn order to make informed decisions about how best to support children and young people with disabilities, effective strategies that facilitate active and meaningful participation in school are required. Clinical factors, diagnosis or impairments somewhat helpful in determining what should be provided in interventions. However, clinical factors alone will not offer a clear view of how to support participation. It is helpful then to look at wider psychosocial and environmental factors. The aim of this review was to synthesise evidence of psychosocial and environmental factors associated with school participation of 4–12 year old children with disabilities to inform the development of participation-fostering interventions.\n\nMethods\nA systematic search and synthesis using realist methods was conducted of published research. Papers had to include consideration of psychosocial and/or environment factors for school participation of children with disabilities. The review was completed in accordance with the Realist and Meta-narrative Evidence Syntheses: Evolving Standards (RAMESES) and Preferred Reporting Items for Systematic Review and Meta-Analysis (PRISMA) guidelines. Papers were identified via Boolean search of the electronic databases MEDLINE, CINAHL, PhycINFO and ERIC (January 2006-October 2018). Appraisal focussed on contributions in terms of whether the articles are appropriate for the review (relevance) and research quality (rigour). Data were analyzed using content and thematic analysis methods using a realist framework. A narrative synthesis of results was reported.\n\nResults and implications\nWe identified 1828 papers in the initial search. Seventy two papers were included in the final synthesis. Synthesis of findings led to three overarching mechanisms representing psychosocial factors for children (1) identity (2) competence and (3) experience of mind and body. Environmental aspects (context) compromised five interrelated areas: (1) structures and organization, (2) peers, (3) adults, (4) space and (5) objects. Our synthesis provides insights on how professionals may organize efforts to improve children’s participation. Consideration of these findings will help to proactively deal with suboptimal participation outcomes. Development of theoretically determined assessments and interventions for management of school participation are now required.","container-title":"PLOS ONE","DOI":"10.1371/journal.pone.0210511","journalAbbreviation":"PLOS ONE","source":"ResearchGate","title":"Participation of children with disabilities in school: A realist systematic review of psychosocial and environmental factors","title-short":"Participation of children with disabilities in school","volume":"14","author":[{"family":"Maciver","given":"Donald"},{"family":"Rutherford","given":"Marion"},{"family":"Arakelyan","given":"Stella"},{"family":"Kramer","given":"Jessica"},{"family":"Richmond","given":"Janet"},{"family":"Todorova","given":"Liliya"},{"family":"Romero-Ayuso","given":"Dulce"},{"family":"Nakamura-Thomas","given":"Hiromi"},{"family":"Veldenid","given":"Marjon"},{"family":"Finlaysonid","given":"Ian"},{"family":"O'hare","given":"Anne"},{"family":"Forsyth","given":"Kirsty"}],"issued":{"date-parts":[["2019",1,31]]}}}],"schema":"https://github.com/citation-style-language/schema/raw/master/csl-citation.json"} </w:instrText>
      </w:r>
      <w:r>
        <w:fldChar w:fldCharType="separate"/>
      </w:r>
      <w:r w:rsidR="00C77DA9" w:rsidRPr="00C77DA9">
        <w:rPr>
          <w:rFonts w:cs="Arial"/>
          <w:vertAlign w:val="superscript"/>
        </w:rPr>
        <w:t>421,422</w:t>
      </w:r>
      <w:r>
        <w:fldChar w:fldCharType="end"/>
      </w:r>
      <w:r>
        <w:t xml:space="preserve"> The sensory environment includes the school building’s visual, auditory, and tactile stimuli. Currently, there are no readily available sensory evaluation guides, but there is information on how to create sensory-friendly environments that can inform how to design for the sensory experience (see </w:t>
      </w:r>
      <w:r>
        <w:fldChar w:fldCharType="begin"/>
      </w:r>
      <w:r>
        <w:instrText xml:space="preserve"> REF _Ref172753841 \h </w:instrText>
      </w:r>
      <w:r>
        <w:fldChar w:fldCharType="separate"/>
      </w:r>
      <w:r w:rsidR="00307850">
        <w:t xml:space="preserve">Table </w:t>
      </w:r>
      <w:r w:rsidR="00307850">
        <w:rPr>
          <w:noProof/>
        </w:rPr>
        <w:t>97</w:t>
      </w:r>
      <w:r>
        <w:fldChar w:fldCharType="end"/>
      </w:r>
      <w:r>
        <w:t>).</w:t>
      </w:r>
    </w:p>
    <w:p w14:paraId="70765532" w14:textId="77777777" w:rsidR="006B12CF" w:rsidRDefault="006B12CF" w:rsidP="006B12CF">
      <w:pPr>
        <w:pStyle w:val="Heading5"/>
      </w:pPr>
      <w:r>
        <w:lastRenderedPageBreak/>
        <w:t>(6) Design with sensory experiences in mind</w:t>
      </w:r>
    </w:p>
    <w:p w14:paraId="06AF5CBF" w14:textId="359C6360" w:rsidR="006B12CF" w:rsidRPr="001B412B" w:rsidRDefault="006B12CF" w:rsidP="006D7DE6">
      <w:pPr>
        <w:pStyle w:val="BodyTextFirstIndent"/>
      </w:pPr>
      <w:r>
        <w:t xml:space="preserve">Designing spaces to accommodate the sensory needs of neurodiverse students benefits all students. Existing schools will be limited when addressing specific sensory needs since the physical environment is somewhat set. Existing schools can prioritize minimizing excessive visual, auditory, and tactile stimuli where possible. This can involve replacing harsh light fixtures, installing sound-dampening materials, and changing other elements of the environment (see </w:t>
      </w:r>
      <w:hyperlink w:anchor="Objective_2i" w:history="1">
        <w:r w:rsidRPr="00032AA1">
          <w:rPr>
            <w:rStyle w:val="Hyperlink"/>
          </w:rPr>
          <w:t>Objective 2i. Create a Productive Learning Environment for All Students</w:t>
        </w:r>
      </w:hyperlink>
      <w:r>
        <w:t xml:space="preserve"> for additional details about optimized lighting and acoustics). In addition to making these changes, existing schools can create sensory spaces designed to support the needs of neurodivergent students best.</w:t>
      </w:r>
      <w:r>
        <w:fldChar w:fldCharType="begin"/>
      </w:r>
      <w:r w:rsidR="00E44D87">
        <w:instrText xml:space="preserve"> ADDIN ZOTERO_ITEM CSL_CITATION {"citationID":"af8tf9nrh9","properties":{"formattedCitation":"\\super 423\\nosupersub{}","plainCitation":"423","noteIndex":0},"citationItems":[{"id":825,"uris":["http://zotero.org/groups/5563646/items/KZUD8JPV"],"itemData":{"id":825,"type":"webpage","title":"Sensory Spaces in Schools","URL":"https://ncse.ie/wp-content/uploads/2021/10/NCSE-Sensory-Spaces-in-Schools-2021.pdf","author":[{"family":"NCSE","given":""}],"accessed":{"date-parts":[["2024",7,3]]},"issued":{"date-parts":[["2021"]]}}}],"schema":"https://github.com/citation-style-language/schema/raw/master/csl-citation.json"} </w:instrText>
      </w:r>
      <w:r>
        <w:fldChar w:fldCharType="separate"/>
      </w:r>
      <w:r w:rsidR="00E44D87" w:rsidRPr="00E44D87">
        <w:rPr>
          <w:rFonts w:cs="Arial"/>
          <w:vertAlign w:val="superscript"/>
        </w:rPr>
        <w:t>423</w:t>
      </w:r>
      <w:r>
        <w:fldChar w:fldCharType="end"/>
      </w:r>
    </w:p>
    <w:p w14:paraId="61D43678" w14:textId="47D8C2E2" w:rsidR="00E13AD9" w:rsidRDefault="006B12CF" w:rsidP="006D7DE6">
      <w:pPr>
        <w:pStyle w:val="BodyTextFirstIndent"/>
      </w:pPr>
      <w:r w:rsidRPr="00B94133">
        <w:t xml:space="preserve">Newly constructed and renovated schools </w:t>
      </w:r>
      <w:r>
        <w:t>should consult experts on creating sensory-friendly spaces throughout the school. From hallways to cafeterias and classrooms, every student deserves to be in an environment designed to meet their needs. Thoughtfully designing with neuro-inclusion can help decrease changes necessitated by overstimulation and increase the time students spend with their peers focusing on the task at hand, whether that is eating lunch, playing at recess, or learning in the classroom.</w:t>
      </w:r>
      <w:r>
        <w:fldChar w:fldCharType="begin"/>
      </w:r>
      <w:r w:rsidR="003C2A50">
        <w:instrText xml:space="preserve"> ADDIN ZOTERO_ITEM CSL_CITATION {"citationID":"aofuc4n1ft","properties":{"formattedCitation":"\\super 424\\nosupersub{}","plainCitation":"424","noteIndex":0},"citationItems":[{"id":418,"uris":["http://zotero.org/groups/5563646/items/S3LZZFL4"],"itemData":{"id":418,"type":"webpage","abstract":"Fostering Success for All Learners Imagine a classroom where every student feels supported and empowered to learn. This is the promise of a","container-title":"Sensory Friendly Solutions","language":"en","title":"How to Create a Sensory-Friendly Classroom","URL":"https://www.sensoryfriendly.net/how-to-create-a-sensory-friendly-classroom/","author":[{"family":"Cooke","given":"Sydney-Ellen"}],"accessed":{"date-parts":[["2024",7,3]]},"issued":{"date-parts":[["2021",7,14]]}}}],"schema":"https://github.com/citation-style-language/schema/raw/master/csl-citation.json"} </w:instrText>
      </w:r>
      <w:r>
        <w:fldChar w:fldCharType="separate"/>
      </w:r>
      <w:r w:rsidR="003C2A50" w:rsidRPr="003C2A50">
        <w:rPr>
          <w:rFonts w:cs="Arial"/>
          <w:vertAlign w:val="superscript"/>
        </w:rPr>
        <w:t>424</w:t>
      </w:r>
      <w:r>
        <w:fldChar w:fldCharType="end"/>
      </w:r>
      <w:r>
        <w:t xml:space="preserve">  </w:t>
      </w:r>
    </w:p>
    <w:p w14:paraId="34139F6C" w14:textId="77777777" w:rsidR="006B12CF" w:rsidRDefault="006B12CF" w:rsidP="006B12CF">
      <w:pPr>
        <w:pStyle w:val="Heading3"/>
      </w:pPr>
      <w:r>
        <w:t>Statutes, Regulations, and Standards</w:t>
      </w:r>
    </w:p>
    <w:p w14:paraId="6FD7CA33" w14:textId="77777777" w:rsidR="006B12CF" w:rsidRDefault="006B12CF" w:rsidP="006B12CF">
      <w:pPr>
        <w:pStyle w:val="Heading4"/>
      </w:pPr>
      <w:r>
        <w:t>Relevant Statutes</w:t>
      </w:r>
    </w:p>
    <w:p w14:paraId="4474E9CF" w14:textId="62DB008E" w:rsidR="006B12CF" w:rsidRPr="00D218CB" w:rsidRDefault="006B12CF" w:rsidP="006D7DE6">
      <w:pPr>
        <w:pStyle w:val="BodyTextFirstIndent"/>
      </w:pPr>
      <w:r w:rsidRPr="00D218CB">
        <w:rPr>
          <w:b/>
        </w:rPr>
        <w:t>M.G.L. c.71 § 37D Public Schools: Racial Imbalance</w:t>
      </w:r>
      <w:r>
        <w:rPr>
          <w:b/>
        </w:rPr>
        <w:t xml:space="preserve"> </w:t>
      </w:r>
      <w:r w:rsidRPr="00BE0D5F">
        <w:rPr>
          <w:bCs/>
        </w:rPr>
        <w:t>d</w:t>
      </w:r>
      <w:r w:rsidRPr="00D218CB">
        <w:t xml:space="preserve">efines the condition of racial imbalance in Massachusetts public schools as the condition in which more than </w:t>
      </w:r>
      <w:r>
        <w:t>50</w:t>
      </w:r>
      <w:r w:rsidRPr="00D218CB">
        <w:t xml:space="preserve"> percent of students attending a school are non-white. This law also defines racial balance, racial isolation, and exempt school. It describes the rights of non-white students attending racially imbalanced schools.</w:t>
      </w:r>
      <w:r>
        <w:fldChar w:fldCharType="begin"/>
      </w:r>
      <w:r w:rsidR="00A70F7A">
        <w:instrText xml:space="preserve"> ADDIN ZOTERO_ITEM CSL_CITATION {"citationID":"a2borsr5tmp","properties":{"formattedCitation":"\\super 152\\nosupersub{}","plainCitation":"152","noteIndex":0},"citationItems":[{"id":312,"uris":["http://zotero.org/groups/5563646/items/XTMJ87L2"],"itemData":{"id":312,"type":"webpage","abstract":"If you are a person with a disability, you have certain rights related to your education. Find out about them.","language":"en","title":"Learn about education rights | Mass.gov","URL":"https://www.mass.gov/info-details/learn-about-education-rights","accessed":{"date-parts":[["2024",6,24]]}}}],"schema":"https://github.com/citation-style-language/schema/raw/master/csl-citation.json"} </w:instrText>
      </w:r>
      <w:r>
        <w:fldChar w:fldCharType="separate"/>
      </w:r>
      <w:r w:rsidR="00A70F7A" w:rsidRPr="00A70F7A">
        <w:rPr>
          <w:rFonts w:cs="Arial"/>
          <w:vertAlign w:val="superscript"/>
        </w:rPr>
        <w:t>152</w:t>
      </w:r>
      <w:r>
        <w:fldChar w:fldCharType="end"/>
      </w:r>
      <w:r w:rsidRPr="00D218CB">
        <w:t>  </w:t>
      </w:r>
    </w:p>
    <w:p w14:paraId="543A7799" w14:textId="233E24DE" w:rsidR="006B12CF" w:rsidRPr="00D218CB" w:rsidRDefault="006B12CF" w:rsidP="006D7DE6">
      <w:pPr>
        <w:pStyle w:val="BodyTextFirstIndent"/>
      </w:pPr>
      <w:r w:rsidRPr="00D218CB">
        <w:rPr>
          <w:b/>
        </w:rPr>
        <w:t xml:space="preserve">M.G.L. c.76 § 5 Place of Attendance; Violations; Discrimination </w:t>
      </w:r>
      <w:r>
        <w:t>s</w:t>
      </w:r>
      <w:r w:rsidRPr="00D218CB">
        <w:t>tates that every person has the right to attend public schools in their town of residence and prevents exclusionary or discriminatory admissions practices based on race, color, sex, gender identity, religion, national origin, or sexual orientation.</w:t>
      </w:r>
      <w:r>
        <w:fldChar w:fldCharType="begin"/>
      </w:r>
      <w:r w:rsidR="00A70F7A">
        <w:instrText xml:space="preserve"> ADDIN ZOTERO_ITEM CSL_CITATION {"citationID":"a2jduhc3i03","properties":{"formattedCitation":"\\super 152\\nosupersub{}","plainCitation":"152","noteIndex":0},"citationItems":[{"id":312,"uris":["http://zotero.org/groups/5563646/items/XTMJ87L2"],"itemData":{"id":312,"type":"webpage","abstract":"If you are a person with a disability, you have certain rights related to your education. Find out about them.","language":"en","title":"Learn about education rights | Mass.gov","URL":"https://www.mass.gov/info-details/learn-about-education-rights","accessed":{"date-parts":[["2024",6,24]]}}}],"schema":"https://github.com/citation-style-language/schema/raw/master/csl-citation.json"} </w:instrText>
      </w:r>
      <w:r>
        <w:fldChar w:fldCharType="separate"/>
      </w:r>
      <w:r w:rsidR="00A70F7A" w:rsidRPr="00A70F7A">
        <w:rPr>
          <w:rFonts w:cs="Arial"/>
          <w:vertAlign w:val="superscript"/>
        </w:rPr>
        <w:t>152</w:t>
      </w:r>
      <w:r>
        <w:fldChar w:fldCharType="end"/>
      </w:r>
      <w:r w:rsidRPr="00D218CB">
        <w:t> </w:t>
      </w:r>
    </w:p>
    <w:p w14:paraId="620B1AC5" w14:textId="62A9E2C7" w:rsidR="006B12CF" w:rsidRDefault="006B12CF" w:rsidP="006D7DE6">
      <w:pPr>
        <w:pStyle w:val="BodyTextFirstIndent"/>
        <w:rPr>
          <w:b/>
        </w:rPr>
      </w:pPr>
      <w:r>
        <w:rPr>
          <w:b/>
        </w:rPr>
        <w:t xml:space="preserve">Massachusetts </w:t>
      </w:r>
      <w:r w:rsidRPr="00D218CB">
        <w:rPr>
          <w:b/>
        </w:rPr>
        <w:t>Act</w:t>
      </w:r>
      <w:r>
        <w:rPr>
          <w:b/>
        </w:rPr>
        <w:t xml:space="preserve"> of 2011,</w:t>
      </w:r>
      <w:r w:rsidRPr="00D218CB">
        <w:rPr>
          <w:b/>
        </w:rPr>
        <w:t xml:space="preserve"> </w:t>
      </w:r>
      <w:r>
        <w:rPr>
          <w:b/>
        </w:rPr>
        <w:t>c.</w:t>
      </w:r>
      <w:r w:rsidRPr="00D218CB">
        <w:rPr>
          <w:b/>
        </w:rPr>
        <w:t xml:space="preserve"> 199 Section 1</w:t>
      </w:r>
      <w:r>
        <w:rPr>
          <w:b/>
        </w:rPr>
        <w:t>,</w:t>
      </w:r>
      <w:r w:rsidRPr="00D218CB">
        <w:rPr>
          <w:b/>
        </w:rPr>
        <w:t xml:space="preserve"> An Act Relative to Gender Identity </w:t>
      </w:r>
      <w:r>
        <w:t>a</w:t>
      </w:r>
      <w:r w:rsidRPr="00D218CB">
        <w:t>mends Section 7 of chapter of the M.G.L. to define gender identity and</w:t>
      </w:r>
      <w:r w:rsidRPr="00D218CB">
        <w:rPr>
          <w:b/>
        </w:rPr>
        <w:t xml:space="preserve"> </w:t>
      </w:r>
      <w:r w:rsidRPr="00D218CB">
        <w:t xml:space="preserve">provide guidance on how gender-related identity can be shown with evidence including, but not limited to, medical history, care or treatment of gender-related identity, </w:t>
      </w:r>
      <w:r>
        <w:t xml:space="preserve">or </w:t>
      </w:r>
      <w:r w:rsidRPr="00D218CB">
        <w:t>consistent and uniform assertion of the gender identity.</w:t>
      </w:r>
      <w:r>
        <w:fldChar w:fldCharType="begin"/>
      </w:r>
      <w:r w:rsidR="005E086D">
        <w:instrText xml:space="preserve"> ADDIN ZOTERO_ITEM CSL_CITATION {"citationID":"a2a3r117a8m","properties":{"formattedCitation":"\\super 425\\nosupersub{}","plainCitation":"425","noteIndex":0},"citationItems":[{"id":444,"uris":["http://zotero.org/groups/5563646/items/KLCCY5SN"],"itemData":{"id":444,"type":"webpage","title":"Guidance for MA Public Schools Creating a Safe and Supportive School Environment - Student and Family Support","URL":"https://www.doe.mass.edu/sfs/lgbtq/GenderIdentity.html","accessed":{"date-parts":[["2024",7,1]]}}}],"schema":"https://github.com/citation-style-language/schema/raw/master/csl-citation.json"} </w:instrText>
      </w:r>
      <w:r>
        <w:fldChar w:fldCharType="separate"/>
      </w:r>
      <w:r w:rsidR="005E086D" w:rsidRPr="005E086D">
        <w:rPr>
          <w:rFonts w:cs="Arial"/>
          <w:vertAlign w:val="superscript"/>
        </w:rPr>
        <w:t>425</w:t>
      </w:r>
      <w:r>
        <w:fldChar w:fldCharType="end"/>
      </w:r>
      <w:r w:rsidRPr="00D218CB">
        <w:t> </w:t>
      </w:r>
    </w:p>
    <w:p w14:paraId="5F0EF0E0" w14:textId="2279165B" w:rsidR="006B12CF" w:rsidRPr="00D218CB" w:rsidRDefault="006B12CF" w:rsidP="006D7DE6">
      <w:pPr>
        <w:pStyle w:val="BodyTextFirstIndent"/>
      </w:pPr>
      <w:r w:rsidRPr="00D218CB">
        <w:rPr>
          <w:b/>
        </w:rPr>
        <w:t xml:space="preserve">20 U.S.C. §1681-§1688. Title IX of the Education Amendment Act of 1972. </w:t>
      </w:r>
      <w:r w:rsidRPr="00D218CB">
        <w:t>Programs or activities that receive federal financial assistance cannot exclude from participation, deny benefits, or discriminate on the basis of sex. This also protects people from discrimination based on their gender identity and sexual orientation.</w:t>
      </w:r>
      <w:r>
        <w:fldChar w:fldCharType="begin"/>
      </w:r>
      <w:r w:rsidR="00A70F7A">
        <w:instrText xml:space="preserve"> ADDIN ZOTERO_ITEM CSL_CITATION {"citationID":"a2evoao87al","properties":{"formattedCitation":"\\super 150\\nosupersub{}","plainCitation":"150","noteIndex":0},"citationItems":[{"id":277,"uris":["http://zotero.org/groups/5563646/items/WD4RXUTF"],"itemData":{"id":277,"type":"post-weblog","abstract":"The IDEA is a law that makes available a free appropriate public education to eligible children with disabilities throughout the nation and ensures special education and related services to those children.","container-title":"Individuals with Disabilities Education Act","language":"en-US","title":"About IDEA","URL":"https://sites.ed.gov/idea/about-idea/","accessed":{"date-parts":[["2024",6,24]]}}}],"schema":"https://github.com/citation-style-language/schema/raw/master/csl-citation.json"} </w:instrText>
      </w:r>
      <w:r>
        <w:fldChar w:fldCharType="separate"/>
      </w:r>
      <w:r w:rsidR="00A70F7A" w:rsidRPr="00A70F7A">
        <w:rPr>
          <w:rFonts w:cs="Arial"/>
          <w:vertAlign w:val="superscript"/>
        </w:rPr>
        <w:t>150</w:t>
      </w:r>
      <w:r>
        <w:fldChar w:fldCharType="end"/>
      </w:r>
      <w:r w:rsidRPr="00D218CB">
        <w:t>  </w:t>
      </w:r>
    </w:p>
    <w:p w14:paraId="5B3B9E23" w14:textId="2FD19924" w:rsidR="006B12CF" w:rsidRPr="007A418D" w:rsidRDefault="006B12CF" w:rsidP="006D7DE6">
      <w:pPr>
        <w:pStyle w:val="BodyTextFirstIndent"/>
        <w:rPr>
          <w:vertAlign w:val="superscript"/>
        </w:rPr>
      </w:pPr>
      <w:r w:rsidRPr="00D218CB">
        <w:rPr>
          <w:b/>
        </w:rPr>
        <w:t>42 U.S.C.c.126 § 12101 et seq., Americans with Disabilities Act of 1990</w:t>
      </w:r>
      <w:r>
        <w:rPr>
          <w:b/>
        </w:rPr>
        <w:t xml:space="preserve"> </w:t>
      </w:r>
      <w:r>
        <w:t>p</w:t>
      </w:r>
      <w:r w:rsidRPr="00D218CB">
        <w:t>rovides a national mandate that prohibits discrimination of individuals with disabilities</w:t>
      </w:r>
      <w:r>
        <w:t>,</w:t>
      </w:r>
      <w:r w:rsidRPr="00D218CB">
        <w:t xml:space="preserve"> </w:t>
      </w:r>
      <w:r>
        <w:t>c</w:t>
      </w:r>
      <w:r w:rsidRPr="00D218CB">
        <w:t xml:space="preserve">learly lays </w:t>
      </w:r>
      <w:r w:rsidRPr="00D218CB">
        <w:lastRenderedPageBreak/>
        <w:t>out enforceable standards</w:t>
      </w:r>
      <w:r>
        <w:t>,</w:t>
      </w:r>
      <w:r w:rsidRPr="00D218CB">
        <w:t xml:space="preserve"> and </w:t>
      </w:r>
      <w:r w:rsidR="00A453A2">
        <w:t>establishes</w:t>
      </w:r>
      <w:r w:rsidR="009123E9">
        <w:t xml:space="preserve"> a central role for</w:t>
      </w:r>
      <w:r w:rsidRPr="00D218CB">
        <w:t xml:space="preserve"> the government in enforcing those standards.</w:t>
      </w:r>
      <w:r>
        <w:fldChar w:fldCharType="begin"/>
      </w:r>
      <w:r w:rsidR="00A70F7A">
        <w:instrText xml:space="preserve"> ADDIN ZOTERO_ITEM CSL_CITATION {"citationID":"a15lghve85v","properties":{"formattedCitation":"\\super 155\\nosupersub{}","plainCitation":"155","noteIndex":0},"citationItems":[{"id":416,"uris":["http://zotero.org/groups/5563646/items/GWD8R58M"],"itemData":{"id":416,"type":"webpage","abstract":"The text of the Americans with Disabilities Act of 1990 (ADA), including changes made by the ADA Amendments Act of 2008.","container-title":"ADA.gov","language":"en","title":"Americans with Disabilities Act of 1990, As Amended","URL":"https://www.ada.gov/law-and-regs/ada/","accessed":{"date-parts":[["2024",7,3]]}}}],"schema":"https://github.com/citation-style-language/schema/raw/master/csl-citation.json"} </w:instrText>
      </w:r>
      <w:r>
        <w:fldChar w:fldCharType="separate"/>
      </w:r>
      <w:r w:rsidR="00A70F7A" w:rsidRPr="00A70F7A">
        <w:rPr>
          <w:rFonts w:cs="Arial"/>
          <w:vertAlign w:val="superscript"/>
        </w:rPr>
        <w:t>155</w:t>
      </w:r>
      <w:r>
        <w:fldChar w:fldCharType="end"/>
      </w:r>
      <w:r w:rsidRPr="00D218CB">
        <w:t>  </w:t>
      </w:r>
    </w:p>
    <w:p w14:paraId="192E799C" w14:textId="77777777" w:rsidR="006B12CF" w:rsidRDefault="006B12CF" w:rsidP="006B12CF">
      <w:pPr>
        <w:pStyle w:val="Heading4"/>
      </w:pPr>
      <w:r>
        <w:t>Relevant Regulations</w:t>
      </w:r>
    </w:p>
    <w:p w14:paraId="26FC27CC" w14:textId="5C4A3351" w:rsidR="006B12CF" w:rsidRPr="00954D05" w:rsidRDefault="006B12CF" w:rsidP="006D7DE6">
      <w:pPr>
        <w:pStyle w:val="BodyTextFirstIndent"/>
      </w:pPr>
      <w:r w:rsidRPr="00954D05">
        <w:rPr>
          <w:b/>
        </w:rPr>
        <w:t xml:space="preserve">521 CMR 12.00, Architectural Access Board: Educational Facilities </w:t>
      </w:r>
      <w:r>
        <w:t>r</w:t>
      </w:r>
      <w:r w:rsidRPr="00954D05">
        <w:t xml:space="preserve">egulates accessibility of public and private schools </w:t>
      </w:r>
      <w:r>
        <w:t>and</w:t>
      </w:r>
      <w:r w:rsidRPr="00954D05">
        <w:t xml:space="preserve"> other educational facilities across the Commonwealth. All administrative and instructional spaces shall comply with the regulations as well as any areas open to students or the general public.</w:t>
      </w:r>
      <w:r>
        <w:fldChar w:fldCharType="begin"/>
      </w:r>
      <w:r w:rsidR="004F04F8">
        <w:instrText xml:space="preserve"> ADDIN ZOTERO_ITEM CSL_CITATION {"citationID":"a2c1dq28tbt","properties":{"formattedCitation":"\\super 426\\nosupersub{}","plainCitation":"426","noteIndex":0},"citationItems":[{"id":431,"uris":["http://zotero.org/groups/5563646/items/ZTCM7F4P"],"itemData":{"id":431,"type":"webpage","abstract":"521 CMR 12.00 regulates accessibility for educational facilities. Educational facilities shall include but not be limited to: public and private schools, nurseries, pre-schools, day care facilities, colleges and universities, libraries, galleries, museums, and training facilities. Download a PDF copy of the regulation below.","language":"en","title":"521 CMR 12.00: Educational facilities | Mass.gov","title-short":"521 CMR 12.00","URL":"https://www.mass.gov/regulations/521-CMR-1200-educational-facilities","accessed":{"date-parts":[["2024",7,2]]}}}],"schema":"https://github.com/citation-style-language/schema/raw/master/csl-citation.json"} </w:instrText>
      </w:r>
      <w:r>
        <w:fldChar w:fldCharType="separate"/>
      </w:r>
      <w:r w:rsidR="004F04F8" w:rsidRPr="004F04F8">
        <w:rPr>
          <w:rFonts w:cs="Arial"/>
          <w:vertAlign w:val="superscript"/>
        </w:rPr>
        <w:t>426</w:t>
      </w:r>
      <w:r>
        <w:fldChar w:fldCharType="end"/>
      </w:r>
      <w:r w:rsidRPr="00954D05">
        <w:t> </w:t>
      </w:r>
    </w:p>
    <w:p w14:paraId="328F7395" w14:textId="53CF00D1" w:rsidR="006B12CF" w:rsidRPr="00FD2819" w:rsidRDefault="006B12CF" w:rsidP="006D7DE6">
      <w:pPr>
        <w:pStyle w:val="BodyTextFirstIndent"/>
        <w:rPr>
          <w:bCs/>
        </w:rPr>
      </w:pPr>
      <w:r w:rsidRPr="00954D05">
        <w:rPr>
          <w:b/>
        </w:rPr>
        <w:t>603 CMR 26.00</w:t>
      </w:r>
      <w:r>
        <w:rPr>
          <w:b/>
        </w:rPr>
        <w:t>,</w:t>
      </w:r>
      <w:r w:rsidRPr="00954D05">
        <w:rPr>
          <w:b/>
        </w:rPr>
        <w:t xml:space="preserve"> Access to Equal Educational Opportunity </w:t>
      </w:r>
      <w:r w:rsidR="00C85EF7">
        <w:t>requires</w:t>
      </w:r>
      <w:r w:rsidRPr="00954D05">
        <w:t xml:space="preserve"> </w:t>
      </w:r>
      <w:r>
        <w:t xml:space="preserve">that </w:t>
      </w:r>
      <w:r w:rsidRPr="00954D05">
        <w:t xml:space="preserve">students at public schools of the Commonwealth have equal rights of access and opportunities during their course of study at public schools and that public schools do not discriminate </w:t>
      </w:r>
      <w:r>
        <w:t>based on</w:t>
      </w:r>
      <w:r w:rsidRPr="00954D05">
        <w:t xml:space="preserve"> race, color, sex, gender identity, religion, national origin, or sexual orientation. This law takes preceden</w:t>
      </w:r>
      <w:r w:rsidR="00757B29">
        <w:t>ce</w:t>
      </w:r>
      <w:r w:rsidRPr="00954D05">
        <w:t xml:space="preserve"> over any local law or rule or organization’s regulation that discriminates on the aforementioned basis.</w:t>
      </w:r>
      <w:r>
        <w:fldChar w:fldCharType="begin"/>
      </w:r>
      <w:r w:rsidR="0077127F">
        <w:instrText xml:space="preserve"> ADDIN ZOTERO_ITEM CSL_CITATION {"citationID":"a2od29jlgch","properties":{"formattedCitation":"\\super 419\\nosupersub{}","plainCitation":"419","noteIndex":0},"citationItems":[{"id":434,"uris":["http://zotero.org/groups/5563646/items/M24U5RGZ"],"itemData":{"id":434,"type":"webpage","title":"603 CMR 26.00: Access To Equal Educational Opportunity - Education Laws and Regulations","URL":"https://www.doe.mass.edu/lawsregs/603cmr26.html","accessed":{"date-parts":[["2024",7,2]]}}}],"schema":"https://github.com/citation-style-language/schema/raw/master/csl-citation.json"} </w:instrText>
      </w:r>
      <w:r>
        <w:fldChar w:fldCharType="separate"/>
      </w:r>
      <w:r w:rsidR="0077127F" w:rsidRPr="0077127F">
        <w:rPr>
          <w:rFonts w:cs="Arial"/>
          <w:vertAlign w:val="superscript"/>
        </w:rPr>
        <w:t>419</w:t>
      </w:r>
      <w:r>
        <w:fldChar w:fldCharType="end"/>
      </w:r>
    </w:p>
    <w:p w14:paraId="4451F6FE" w14:textId="6CB48192" w:rsidR="006B12CF" w:rsidRPr="00954D05" w:rsidRDefault="006B12CF" w:rsidP="006D7DE6">
      <w:pPr>
        <w:pStyle w:val="BodyTextFirstIndent"/>
      </w:pPr>
      <w:r w:rsidRPr="00954D05">
        <w:rPr>
          <w:b/>
        </w:rPr>
        <w:t xml:space="preserve">28 CFR Part 35, Title II Regulations, Nondiscrimination on the Basis of Disability in State and Local Government </w:t>
      </w:r>
      <w:r>
        <w:t>g</w:t>
      </w:r>
      <w:r w:rsidRPr="00954D05">
        <w:t xml:space="preserve">uarantees the rights of people with disabilities to fully participate in all aspects of civic life by requiring all state and local governments to follow ADA regulations regardless of </w:t>
      </w:r>
      <w:r>
        <w:t>municipality’s</w:t>
      </w:r>
      <w:r w:rsidRPr="00954D05">
        <w:t xml:space="preserve"> size.</w:t>
      </w:r>
      <w:r>
        <w:fldChar w:fldCharType="begin"/>
      </w:r>
      <w:r w:rsidR="00B63A79">
        <w:instrText xml:space="preserve"> ADDIN ZOTERO_ITEM CSL_CITATION {"citationID":"a26c5dmi76s","properties":{"formattedCitation":"\\super 412\\nosupersub{}","plainCitation":"412","noteIndex":0},"citationItems":[{"id":436,"uris":["http://zotero.org/groups/5563646/items/J93WBJQZ"],"itemData":{"id":436,"type":"webpage","abstract":"Title II of the ADA - regulations for state and local governments meant to ensure that people with disabilities can participate in all aspects of civic life.","container-title":"ADA.gov","language":"en","title":"Americans with Disabilities Act Title II Regulations","URL":"https://www.ada.gov/law-and-regs/regulations/title-ii-2010-regulations/","accessed":{"date-parts":[["2024",7,2]]},"issued":{"date-parts":[["2024",6,24]]}}}],"schema":"https://github.com/citation-style-language/schema/raw/master/csl-citation.json"} </w:instrText>
      </w:r>
      <w:r>
        <w:fldChar w:fldCharType="separate"/>
      </w:r>
      <w:r w:rsidR="00B63A79" w:rsidRPr="00B63A79">
        <w:rPr>
          <w:rFonts w:cs="Arial"/>
          <w:vertAlign w:val="superscript"/>
        </w:rPr>
        <w:t>412</w:t>
      </w:r>
      <w:r>
        <w:fldChar w:fldCharType="end"/>
      </w:r>
      <w:r w:rsidRPr="00954D05">
        <w:t>  </w:t>
      </w:r>
    </w:p>
    <w:p w14:paraId="177D3C47" w14:textId="2B877E74" w:rsidR="006B12CF" w:rsidRPr="00954D05" w:rsidRDefault="006B12CF" w:rsidP="006D7DE6">
      <w:pPr>
        <w:pStyle w:val="BodyTextFirstIndent"/>
      </w:pPr>
      <w:r w:rsidRPr="00014453">
        <w:rPr>
          <w:b/>
          <w:bCs/>
        </w:rPr>
        <w:t>28 CFR Part 36, Title III Regulations, Nondiscrimination on the Basis of Disability by Public Accommodations and in Commercial Facilities</w:t>
      </w:r>
      <w:r w:rsidRPr="00954D05">
        <w:t xml:space="preserve"> </w:t>
      </w:r>
      <w:r>
        <w:t>g</w:t>
      </w:r>
      <w:r w:rsidRPr="00954D05">
        <w:t xml:space="preserve">uarantees the rights of people with disabilities to participate fully in all aspects of life by requiring most businesses to follow ADA regulations regardless </w:t>
      </w:r>
      <w:r>
        <w:t>of the size of</w:t>
      </w:r>
      <w:r w:rsidRPr="00954D05">
        <w:t xml:space="preserve"> the</w:t>
      </w:r>
      <w:r>
        <w:t>ir business</w:t>
      </w:r>
      <w:r w:rsidRPr="00954D05">
        <w:t xml:space="preserve"> or the age of the building.</w:t>
      </w:r>
      <w:r>
        <w:fldChar w:fldCharType="begin"/>
      </w:r>
      <w:r w:rsidR="00821380">
        <w:instrText xml:space="preserve"> ADDIN ZOTERO_ITEM CSL_CITATION {"citationID":"ar08umr8lc","properties":{"formattedCitation":"\\super 427\\nosupersub{}","plainCitation":"427","noteIndex":0},"citationItems":[{"id":430,"uris":["http://zotero.org/groups/5563646/items/NHXFTS9B"],"itemData":{"id":430,"type":"webpage","abstract":"Title III of the ADA - regulations for businesses, including nonprofits meant to ensure that people with disabilities can access places of business and public accommodation.","container-title":"ADA.gov","language":"en","title":"Americans with Disabilities Act Title III Regulations","URL":"https://www.ada.gov/law-and-regs/regulations/title-iii-regulations/","accessed":{"date-parts":[["2024",7,2]]},"issued":{"date-parts":[["2012",3,8]]}}}],"schema":"https://github.com/citation-style-language/schema/raw/master/csl-citation.json"} </w:instrText>
      </w:r>
      <w:r>
        <w:fldChar w:fldCharType="separate"/>
      </w:r>
      <w:r w:rsidR="00821380" w:rsidRPr="00821380">
        <w:rPr>
          <w:rFonts w:cs="Arial"/>
          <w:vertAlign w:val="superscript"/>
        </w:rPr>
        <w:t>427</w:t>
      </w:r>
      <w:r>
        <w:fldChar w:fldCharType="end"/>
      </w:r>
      <w:r w:rsidRPr="00954D05">
        <w:t> </w:t>
      </w:r>
    </w:p>
    <w:p w14:paraId="3A7E26A4" w14:textId="3C8C96DE" w:rsidR="006B12CF" w:rsidRPr="00954D05" w:rsidRDefault="006B12CF" w:rsidP="006D7DE6">
      <w:pPr>
        <w:pStyle w:val="BodyTextFirstIndent"/>
      </w:pPr>
      <w:r w:rsidRPr="00954D05">
        <w:rPr>
          <w:b/>
        </w:rPr>
        <w:t>34 CFR Part 106, Title IX Regulations</w:t>
      </w:r>
      <w:r>
        <w:rPr>
          <w:b/>
        </w:rPr>
        <w:t>,</w:t>
      </w:r>
      <w:r w:rsidRPr="00954D05">
        <w:rPr>
          <w:b/>
        </w:rPr>
        <w:t xml:space="preserve"> </w:t>
      </w:r>
      <w:r>
        <w:t>r</w:t>
      </w:r>
      <w:r w:rsidRPr="00954D05">
        <w:t>equires the adoption of grievance procedures to ensure complaints of sexual discrimination receive fair, prompt, and equitable resolutions. Expands the meaning and clarifies the definition of sex discrimination to include discrimination based on sex stereotypes, sex characteristics, pregnancy or related conditions, sexual orientation, and gender identity.</w:t>
      </w:r>
      <w:r>
        <w:fldChar w:fldCharType="begin"/>
      </w:r>
      <w:r w:rsidR="00F47474">
        <w:instrText xml:space="preserve"> ADDIN ZOTERO_ITEM CSL_CITATION {"citationID":"a25q0v5hvi6","properties":{"formattedCitation":"\\super 428\\nosupersub{}","plainCitation":"428","noteIndex":0},"citationItems":[{"id":438,"uris":["http://zotero.org/groups/5563646/items/XJD3KQWH"],"itemData":{"id":438,"type":"webpage","abstract":"This page defines discrimination under education","genre":"Other Policies and Guidance","language":"en","title":"Title IX of the Education Amendments Act of 1972","URL":"https://www.epa.gov/external-civil-rights/title-ix-education-amendments-act-1972","author":[{"family":"US EPA","given":"OEJECR"}],"accessed":{"date-parts":[["2024",7,2]]},"issued":{"date-parts":[["2015",2,28]]}}}],"schema":"https://github.com/citation-style-language/schema/raw/master/csl-citation.json"} </w:instrText>
      </w:r>
      <w:r>
        <w:fldChar w:fldCharType="separate"/>
      </w:r>
      <w:r w:rsidR="00F47474" w:rsidRPr="00F47474">
        <w:rPr>
          <w:rFonts w:cs="Arial"/>
          <w:vertAlign w:val="superscript"/>
        </w:rPr>
        <w:t>428</w:t>
      </w:r>
      <w:r>
        <w:fldChar w:fldCharType="end"/>
      </w:r>
      <w:r w:rsidRPr="00954D05">
        <w:t> </w:t>
      </w:r>
    </w:p>
    <w:p w14:paraId="149D39EC" w14:textId="77777777" w:rsidR="006B12CF" w:rsidRDefault="006B12CF" w:rsidP="006B12CF">
      <w:pPr>
        <w:pStyle w:val="Heading4"/>
      </w:pPr>
      <w:r>
        <w:t>Relevant Standards</w:t>
      </w:r>
    </w:p>
    <w:p w14:paraId="6EC3CC20" w14:textId="72028FCE" w:rsidR="006B12CF" w:rsidRDefault="006B12CF" w:rsidP="006D7DE6">
      <w:pPr>
        <w:pStyle w:val="BodyTextFirstIndent"/>
      </w:pPr>
      <w:r w:rsidRPr="00F5524C">
        <w:rPr>
          <w:b/>
        </w:rPr>
        <w:t xml:space="preserve">2010 ADA Standards for Accessible Design </w:t>
      </w:r>
      <w:r>
        <w:t>d</w:t>
      </w:r>
      <w:r w:rsidRPr="00F5524C">
        <w:t>escribes the requirements that must be met when constructing new buildings and facilities or altering existing buildings and facilities. Defines architectural barriers and explains how to remove them without difficult</w:t>
      </w:r>
      <w:r>
        <w:t>y</w:t>
      </w:r>
      <w:r w:rsidRPr="00F5524C">
        <w:t xml:space="preserve"> or expense to an existing building.</w:t>
      </w:r>
      <w:r>
        <w:fldChar w:fldCharType="begin"/>
      </w:r>
      <w:r w:rsidR="00A63936">
        <w:instrText xml:space="preserve"> ADDIN ZOTERO_ITEM CSL_CITATION {"citationID":"a19027nbrrk","properties":{"formattedCitation":"\\super 429\\nosupersub{}","plainCitation":"429","noteIndex":0},"citationItems":[{"id":417,"uris":["http://zotero.org/groups/5563646/items/2PY5RI4Y"],"itemData":{"id":417,"type":"webpage","abstract":"The 2010 Standards set minimum requirements – both scoping and technical – for newly designed and constructed or altered State and local government facilities, public accommodations, and commercial facilities to be readily accessible to and usable by individuals with disabilities.","container-title":"ADA.gov","language":"en","title":"2010 ADA Standards for Accessible Design","URL":"https://www.ada.gov/law-and-regs/design-standards/2010-stds/","accessed":{"date-parts":[["2024",7,3]]},"issued":{"date-parts":[["2010",9,15]]}}}],"schema":"https://github.com/citation-style-language/schema/raw/master/csl-citation.json"} </w:instrText>
      </w:r>
      <w:r>
        <w:fldChar w:fldCharType="separate"/>
      </w:r>
      <w:r w:rsidR="00A63936" w:rsidRPr="00A63936">
        <w:rPr>
          <w:rFonts w:cs="Arial"/>
          <w:vertAlign w:val="superscript"/>
        </w:rPr>
        <w:t>429</w:t>
      </w:r>
      <w:r>
        <w:fldChar w:fldCharType="end"/>
      </w:r>
    </w:p>
    <w:p w14:paraId="687AED12" w14:textId="2AE26A1E" w:rsidR="006B12CF" w:rsidRDefault="006B12CF" w:rsidP="006D7DE6">
      <w:pPr>
        <w:pStyle w:val="BodyTextFirstIndent"/>
      </w:pPr>
      <w:r>
        <w:fldChar w:fldCharType="begin"/>
      </w:r>
      <w:r>
        <w:instrText xml:space="preserve"> REF _Ref172201262 \h </w:instrText>
      </w:r>
      <w:r>
        <w:fldChar w:fldCharType="separate"/>
      </w:r>
      <w:r w:rsidR="00307850">
        <w:t xml:space="preserve">Table </w:t>
      </w:r>
      <w:r w:rsidR="00307850">
        <w:rPr>
          <w:noProof/>
        </w:rPr>
        <w:t>96</w:t>
      </w:r>
      <w:r>
        <w:fldChar w:fldCharType="end"/>
      </w:r>
      <w:r w:rsidRPr="007935AE">
        <w:t xml:space="preserve"> summarizes the statutes, regulations, and standards related to </w:t>
      </w:r>
      <w:r w:rsidR="0077299C">
        <w:t>priorit</w:t>
      </w:r>
      <w:r w:rsidR="002B7CB9">
        <w:t>iz</w:t>
      </w:r>
      <w:r>
        <w:t>ing universal accessibility</w:t>
      </w:r>
      <w:r w:rsidRPr="007935AE">
        <w:t>.</w:t>
      </w:r>
    </w:p>
    <w:p w14:paraId="4EE5B8B6" w14:textId="0FCEC37B" w:rsidR="006B12CF" w:rsidRDefault="006B12CF" w:rsidP="00B30C96">
      <w:pPr>
        <w:pStyle w:val="Caption"/>
      </w:pPr>
      <w:bookmarkStart w:id="728" w:name="_Ref172201262"/>
      <w:bookmarkStart w:id="729" w:name="_Toc192711762"/>
      <w:bookmarkStart w:id="730" w:name="_Toc193112644"/>
      <w:bookmarkStart w:id="731" w:name="_Toc193117043"/>
      <w:r>
        <w:lastRenderedPageBreak/>
        <w:t xml:space="preserve">Table </w:t>
      </w:r>
      <w:fldSimple w:instr=" SEQ Table \* ARABIC ">
        <w:r w:rsidR="00307850">
          <w:rPr>
            <w:noProof/>
          </w:rPr>
          <w:t>96</w:t>
        </w:r>
      </w:fldSimple>
      <w:bookmarkEnd w:id="728"/>
      <w:r>
        <w:t xml:space="preserve">. Statutory/Regulatory Framework and Notable Standards for </w:t>
      </w:r>
      <w:r w:rsidR="002B7CB9">
        <w:t>Prioritiz</w:t>
      </w:r>
      <w:r>
        <w:t>ing Universal Accessibility</w:t>
      </w:r>
      <w:bookmarkEnd w:id="729"/>
      <w:bookmarkEnd w:id="730"/>
      <w:bookmarkEnd w:id="731"/>
      <w:r>
        <w:t xml:space="preserve"> </w:t>
      </w:r>
    </w:p>
    <w:tbl>
      <w:tblPr>
        <w:tblW w:w="5000" w:type="pct"/>
        <w:jc w:val="center"/>
        <w:tblCellMar>
          <w:left w:w="58" w:type="dxa"/>
          <w:right w:w="58" w:type="dxa"/>
        </w:tblCellMar>
        <w:tblLook w:val="04A0" w:firstRow="1" w:lastRow="0" w:firstColumn="1" w:lastColumn="0" w:noHBand="0" w:noVBand="1"/>
        <w:tblDescription w:val="Table listing statutes, regulations, and standards relevant to prioritizing universal accessibility."/>
      </w:tblPr>
      <w:tblGrid>
        <w:gridCol w:w="7014"/>
        <w:gridCol w:w="812"/>
        <w:gridCol w:w="810"/>
        <w:gridCol w:w="714"/>
      </w:tblGrid>
      <w:tr w:rsidR="006B12CF" w:rsidRPr="00E11392" w14:paraId="0D66B9BF" w14:textId="77777777">
        <w:trPr>
          <w:cantSplit/>
          <w:trHeight w:val="2060"/>
          <w:tblHeader/>
          <w:jc w:val="center"/>
        </w:trPr>
        <w:tc>
          <w:tcPr>
            <w:tcW w:w="3751" w:type="pct"/>
            <w:tcBorders>
              <w:top w:val="single" w:sz="4" w:space="0" w:color="auto"/>
              <w:left w:val="single" w:sz="4" w:space="0" w:color="auto"/>
              <w:right w:val="single" w:sz="4" w:space="0" w:color="auto"/>
            </w:tcBorders>
            <w:shd w:val="clear" w:color="auto" w:fill="C6D9F1" w:themeFill="text2" w:themeFillTint="33"/>
            <w:tcMar>
              <w:bottom w:w="58" w:type="dxa"/>
            </w:tcMar>
            <w:vAlign w:val="center"/>
          </w:tcPr>
          <w:p w14:paraId="5DEBEA8B" w14:textId="77777777" w:rsidR="006B12CF" w:rsidRPr="00E11392" w:rsidRDefault="006B12CF">
            <w:pPr>
              <w:pStyle w:val="TableColumnHeader"/>
            </w:pPr>
            <w:r w:rsidRPr="00E11392">
              <w:t>Statute/Regulation/Standard</w:t>
            </w:r>
          </w:p>
        </w:tc>
        <w:tc>
          <w:tcPr>
            <w:tcW w:w="434" w:type="pct"/>
            <w:tcBorders>
              <w:top w:val="single" w:sz="4" w:space="0" w:color="auto"/>
              <w:left w:val="single" w:sz="4" w:space="0" w:color="auto"/>
              <w:right w:val="single" w:sz="4" w:space="0" w:color="auto"/>
            </w:tcBorders>
            <w:shd w:val="clear" w:color="auto" w:fill="C6D9F1" w:themeFill="text2" w:themeFillTint="33"/>
            <w:tcMar>
              <w:bottom w:w="58" w:type="dxa"/>
            </w:tcMar>
            <w:textDirection w:val="btLr"/>
            <w:vAlign w:val="center"/>
          </w:tcPr>
          <w:p w14:paraId="3E91BAD3" w14:textId="77777777" w:rsidR="006B12CF" w:rsidRPr="00E11392" w:rsidRDefault="006B12CF">
            <w:pPr>
              <w:pStyle w:val="TableColumnHeader"/>
              <w:jc w:val="left"/>
            </w:pPr>
            <w:r>
              <w:t>State</w:t>
            </w:r>
            <w:r w:rsidRPr="00E11392">
              <w:t xml:space="preserve"> Statute/ Regulation</w:t>
            </w:r>
          </w:p>
        </w:tc>
        <w:tc>
          <w:tcPr>
            <w:tcW w:w="433"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77B912CE" w14:textId="77777777" w:rsidR="006B12CF" w:rsidRPr="00E11392" w:rsidRDefault="006B12CF">
            <w:pPr>
              <w:pStyle w:val="TableColumnHeader"/>
              <w:jc w:val="left"/>
            </w:pPr>
            <w:r>
              <w:t>Other</w:t>
            </w:r>
            <w:r w:rsidRPr="00E11392">
              <w:t xml:space="preserve"> Statute/ Regulation</w:t>
            </w:r>
          </w:p>
        </w:tc>
        <w:tc>
          <w:tcPr>
            <w:tcW w:w="382" w:type="pc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2136718" w14:textId="77777777" w:rsidR="006B12CF" w:rsidRPr="00E11392" w:rsidRDefault="006B12CF">
            <w:pPr>
              <w:pStyle w:val="TableColumnHeader"/>
              <w:jc w:val="left"/>
            </w:pPr>
            <w:r w:rsidRPr="00E11392">
              <w:t>Standard</w:t>
            </w:r>
          </w:p>
        </w:tc>
      </w:tr>
      <w:tr w:rsidR="006B12CF" w:rsidRPr="00E11392" w14:paraId="7E625D69"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38F08671" w14:textId="77777777" w:rsidR="006B12CF" w:rsidRPr="00E11392" w:rsidRDefault="006B12CF">
            <w:pPr>
              <w:pStyle w:val="TableRowHeader"/>
            </w:pPr>
            <w:r w:rsidRPr="00E11392">
              <w:t>Statutes</w:t>
            </w:r>
          </w:p>
        </w:tc>
      </w:tr>
      <w:tr w:rsidR="006B12CF" w:rsidRPr="00E11392" w14:paraId="3F98FA0A"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1EA68679" w14:textId="77777777" w:rsidR="006B12CF" w:rsidRPr="00D448BA" w:rsidRDefault="006B12CF">
            <w:pPr>
              <w:pStyle w:val="TableTextIndent"/>
              <w:ind w:left="0"/>
            </w:pPr>
            <w:r w:rsidRPr="00C26E71">
              <w:t>Massachusetts Act of 2011, c. 199 Section 1, An Act Relative to Gender Identity</w:t>
            </w:r>
          </w:p>
        </w:tc>
        <w:tc>
          <w:tcPr>
            <w:tcW w:w="434" w:type="pct"/>
            <w:tcBorders>
              <w:top w:val="nil"/>
              <w:left w:val="single" w:sz="4" w:space="0" w:color="auto"/>
              <w:bottom w:val="single" w:sz="4" w:space="0" w:color="auto"/>
              <w:right w:val="single" w:sz="4" w:space="0" w:color="auto"/>
            </w:tcBorders>
            <w:shd w:val="clear" w:color="auto" w:fill="auto"/>
            <w:vAlign w:val="center"/>
          </w:tcPr>
          <w:p w14:paraId="75819736"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433" w:type="pct"/>
            <w:tcBorders>
              <w:top w:val="nil"/>
              <w:left w:val="single" w:sz="4" w:space="0" w:color="auto"/>
              <w:bottom w:val="single" w:sz="4" w:space="0" w:color="auto"/>
              <w:right w:val="single" w:sz="4" w:space="0" w:color="auto"/>
            </w:tcBorders>
            <w:shd w:val="clear" w:color="auto" w:fill="auto"/>
            <w:vAlign w:val="center"/>
          </w:tcPr>
          <w:p w14:paraId="0792E8DC" w14:textId="77777777" w:rsidR="006B12CF" w:rsidRPr="00E11392" w:rsidRDefault="006B12CF">
            <w:pPr>
              <w:jc w:val="center"/>
              <w:rPr>
                <w:rFonts w:ascii="Arial" w:hAnsi="Arial" w:cs="Arial"/>
                <w:b/>
                <w:bCs/>
                <w:color w:val="00B050"/>
                <w:sz w:val="24"/>
              </w:rPr>
            </w:pPr>
          </w:p>
        </w:tc>
        <w:tc>
          <w:tcPr>
            <w:tcW w:w="382" w:type="pct"/>
            <w:tcBorders>
              <w:top w:val="nil"/>
              <w:left w:val="single" w:sz="4" w:space="0" w:color="auto"/>
              <w:bottom w:val="single" w:sz="4" w:space="0" w:color="auto"/>
              <w:right w:val="single" w:sz="4" w:space="0" w:color="auto"/>
            </w:tcBorders>
            <w:shd w:val="clear" w:color="auto" w:fill="auto"/>
            <w:vAlign w:val="center"/>
          </w:tcPr>
          <w:p w14:paraId="29FBE550" w14:textId="77777777" w:rsidR="006B12CF" w:rsidRPr="00E11392" w:rsidRDefault="006B12CF">
            <w:pPr>
              <w:jc w:val="center"/>
              <w:rPr>
                <w:rFonts w:ascii="Arial" w:hAnsi="Arial" w:cs="Arial"/>
                <w:b/>
                <w:bCs/>
                <w:sz w:val="24"/>
              </w:rPr>
            </w:pPr>
          </w:p>
        </w:tc>
      </w:tr>
      <w:tr w:rsidR="006B12CF" w:rsidRPr="00E11392" w14:paraId="53F4700A"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6ABD3283" w14:textId="77777777" w:rsidR="006B12CF" w:rsidRPr="00E11392" w:rsidRDefault="006B12CF">
            <w:pPr>
              <w:pStyle w:val="TableTextIndent"/>
              <w:ind w:left="0"/>
            </w:pPr>
            <w:r w:rsidRPr="00D448BA">
              <w:t>M.G.L.</w:t>
            </w:r>
            <w:r>
              <w:t>,</w:t>
            </w:r>
            <w:r w:rsidRPr="00D448BA">
              <w:t xml:space="preserve"> c.71 § 37D, </w:t>
            </w:r>
            <w:r>
              <w:t xml:space="preserve">Public Schools: </w:t>
            </w:r>
            <w:r w:rsidRPr="00D448BA">
              <w:t xml:space="preserve">Racial Imbalance </w:t>
            </w:r>
          </w:p>
        </w:tc>
        <w:tc>
          <w:tcPr>
            <w:tcW w:w="434" w:type="pct"/>
            <w:tcBorders>
              <w:top w:val="nil"/>
              <w:left w:val="single" w:sz="4" w:space="0" w:color="auto"/>
              <w:bottom w:val="single" w:sz="4" w:space="0" w:color="auto"/>
              <w:right w:val="single" w:sz="4" w:space="0" w:color="auto"/>
            </w:tcBorders>
            <w:shd w:val="clear" w:color="auto" w:fill="auto"/>
            <w:vAlign w:val="center"/>
          </w:tcPr>
          <w:p w14:paraId="7747C678" w14:textId="77777777" w:rsidR="006B12CF" w:rsidRPr="00E11392" w:rsidRDefault="006B12CF">
            <w:pPr>
              <w:jc w:val="center"/>
              <w:rPr>
                <w:rFonts w:ascii="Arial" w:hAnsi="Arial" w:cs="Arial"/>
                <w:b/>
                <w:bCs/>
                <w:sz w:val="24"/>
              </w:rPr>
            </w:pPr>
            <w:r w:rsidRPr="00E11392">
              <w:rPr>
                <w:rFonts w:ascii="Arial" w:hAnsi="Arial" w:cs="Arial"/>
                <w:b/>
                <w:bCs/>
                <w:color w:val="00B050"/>
                <w:sz w:val="24"/>
              </w:rPr>
              <w:t>X</w:t>
            </w:r>
          </w:p>
        </w:tc>
        <w:tc>
          <w:tcPr>
            <w:tcW w:w="433" w:type="pct"/>
            <w:tcBorders>
              <w:top w:val="nil"/>
              <w:left w:val="single" w:sz="4" w:space="0" w:color="auto"/>
              <w:bottom w:val="single" w:sz="4" w:space="0" w:color="auto"/>
              <w:right w:val="single" w:sz="4" w:space="0" w:color="auto"/>
            </w:tcBorders>
            <w:shd w:val="clear" w:color="auto" w:fill="auto"/>
            <w:vAlign w:val="center"/>
          </w:tcPr>
          <w:p w14:paraId="1795E59A" w14:textId="77777777" w:rsidR="006B12CF" w:rsidRPr="00E11392" w:rsidRDefault="006B12CF">
            <w:pPr>
              <w:jc w:val="center"/>
              <w:rPr>
                <w:rFonts w:ascii="Arial" w:hAnsi="Arial" w:cs="Arial"/>
                <w:b/>
                <w:bCs/>
                <w:color w:val="00B050"/>
                <w:sz w:val="24"/>
              </w:rPr>
            </w:pPr>
          </w:p>
        </w:tc>
        <w:tc>
          <w:tcPr>
            <w:tcW w:w="382" w:type="pct"/>
            <w:tcBorders>
              <w:top w:val="nil"/>
              <w:left w:val="single" w:sz="4" w:space="0" w:color="auto"/>
              <w:bottom w:val="single" w:sz="4" w:space="0" w:color="auto"/>
              <w:right w:val="single" w:sz="4" w:space="0" w:color="auto"/>
            </w:tcBorders>
            <w:shd w:val="clear" w:color="auto" w:fill="auto"/>
            <w:vAlign w:val="center"/>
          </w:tcPr>
          <w:p w14:paraId="6C961019" w14:textId="77777777" w:rsidR="006B12CF" w:rsidRPr="00E11392" w:rsidRDefault="006B12CF">
            <w:pPr>
              <w:jc w:val="center"/>
              <w:rPr>
                <w:rFonts w:ascii="Arial" w:hAnsi="Arial" w:cs="Arial"/>
                <w:b/>
                <w:bCs/>
                <w:sz w:val="24"/>
              </w:rPr>
            </w:pPr>
          </w:p>
        </w:tc>
      </w:tr>
      <w:tr w:rsidR="006B12CF" w:rsidRPr="00E11392" w14:paraId="3B4B0155"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637B0B45" w14:textId="77777777" w:rsidR="006B12CF" w:rsidRPr="00E11392" w:rsidRDefault="006B12CF">
            <w:pPr>
              <w:pStyle w:val="TableTextIndent"/>
              <w:ind w:left="0"/>
            </w:pPr>
            <w:r w:rsidRPr="001D631E">
              <w:t>M.G.L.</w:t>
            </w:r>
            <w:r>
              <w:t>,</w:t>
            </w:r>
            <w:r w:rsidRPr="001D631E">
              <w:t xml:space="preserve"> c.76 § 5, Place of Attendance; Violations; Discrimination </w:t>
            </w:r>
          </w:p>
        </w:tc>
        <w:tc>
          <w:tcPr>
            <w:tcW w:w="434" w:type="pct"/>
            <w:tcBorders>
              <w:top w:val="nil"/>
              <w:left w:val="single" w:sz="4" w:space="0" w:color="auto"/>
              <w:bottom w:val="single" w:sz="4" w:space="0" w:color="auto"/>
              <w:right w:val="single" w:sz="4" w:space="0" w:color="auto"/>
            </w:tcBorders>
            <w:shd w:val="clear" w:color="auto" w:fill="auto"/>
            <w:vAlign w:val="center"/>
          </w:tcPr>
          <w:p w14:paraId="026C3587" w14:textId="77777777" w:rsidR="006B12CF" w:rsidRPr="00E11392" w:rsidRDefault="006B12CF">
            <w:pPr>
              <w:jc w:val="center"/>
              <w:rPr>
                <w:rFonts w:ascii="Arial" w:hAnsi="Arial" w:cs="Arial"/>
                <w:b/>
                <w:bCs/>
                <w:sz w:val="24"/>
              </w:rPr>
            </w:pPr>
            <w:r w:rsidRPr="00E11392">
              <w:rPr>
                <w:rFonts w:ascii="Arial" w:hAnsi="Arial" w:cs="Arial"/>
                <w:b/>
                <w:bCs/>
                <w:color w:val="00B050"/>
                <w:sz w:val="24"/>
              </w:rPr>
              <w:t>X</w:t>
            </w:r>
          </w:p>
        </w:tc>
        <w:tc>
          <w:tcPr>
            <w:tcW w:w="433" w:type="pct"/>
            <w:tcBorders>
              <w:top w:val="nil"/>
              <w:left w:val="single" w:sz="4" w:space="0" w:color="auto"/>
              <w:bottom w:val="single" w:sz="4" w:space="0" w:color="auto"/>
              <w:right w:val="single" w:sz="4" w:space="0" w:color="auto"/>
            </w:tcBorders>
            <w:shd w:val="clear" w:color="auto" w:fill="auto"/>
            <w:vAlign w:val="center"/>
          </w:tcPr>
          <w:p w14:paraId="0C4E3F42" w14:textId="77777777" w:rsidR="006B12CF" w:rsidRPr="00E11392" w:rsidRDefault="006B12CF">
            <w:pPr>
              <w:jc w:val="center"/>
              <w:rPr>
                <w:rFonts w:ascii="Arial" w:hAnsi="Arial" w:cs="Arial"/>
                <w:b/>
                <w:bCs/>
                <w:color w:val="00B050"/>
                <w:sz w:val="24"/>
              </w:rPr>
            </w:pPr>
          </w:p>
        </w:tc>
        <w:tc>
          <w:tcPr>
            <w:tcW w:w="382" w:type="pct"/>
            <w:tcBorders>
              <w:top w:val="nil"/>
              <w:left w:val="single" w:sz="4" w:space="0" w:color="auto"/>
              <w:bottom w:val="single" w:sz="4" w:space="0" w:color="auto"/>
              <w:right w:val="single" w:sz="4" w:space="0" w:color="auto"/>
            </w:tcBorders>
            <w:shd w:val="clear" w:color="auto" w:fill="auto"/>
            <w:vAlign w:val="center"/>
          </w:tcPr>
          <w:p w14:paraId="30DD77D5" w14:textId="77777777" w:rsidR="006B12CF" w:rsidRPr="00E11392" w:rsidRDefault="006B12CF">
            <w:pPr>
              <w:jc w:val="center"/>
              <w:rPr>
                <w:rFonts w:ascii="Arial" w:hAnsi="Arial" w:cs="Arial"/>
                <w:b/>
                <w:bCs/>
                <w:sz w:val="24"/>
              </w:rPr>
            </w:pPr>
          </w:p>
        </w:tc>
      </w:tr>
      <w:tr w:rsidR="006B12CF" w:rsidRPr="00E11392" w14:paraId="68263EC5"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477EF81A" w14:textId="77777777" w:rsidR="006B12CF" w:rsidRPr="00E11392" w:rsidRDefault="006B12CF">
            <w:pPr>
              <w:pStyle w:val="TableTextIndent"/>
              <w:ind w:left="0"/>
            </w:pPr>
            <w:r w:rsidRPr="00FF59DD">
              <w:t>20 U.S.C. §1681-§1688, Title IX of the Education Amendment Act of 1972 </w:t>
            </w:r>
          </w:p>
        </w:tc>
        <w:tc>
          <w:tcPr>
            <w:tcW w:w="434" w:type="pct"/>
            <w:tcBorders>
              <w:top w:val="nil"/>
              <w:left w:val="single" w:sz="4" w:space="0" w:color="auto"/>
              <w:bottom w:val="single" w:sz="4" w:space="0" w:color="auto"/>
              <w:right w:val="single" w:sz="4" w:space="0" w:color="auto"/>
            </w:tcBorders>
            <w:shd w:val="clear" w:color="auto" w:fill="auto"/>
            <w:vAlign w:val="center"/>
          </w:tcPr>
          <w:p w14:paraId="6D00D3E9" w14:textId="77777777" w:rsidR="006B12CF" w:rsidRPr="00E11392" w:rsidRDefault="006B12CF">
            <w:pPr>
              <w:jc w:val="center"/>
              <w:rPr>
                <w:rFonts w:ascii="Arial" w:hAnsi="Arial" w:cs="Arial"/>
                <w:b/>
                <w:bCs/>
                <w:color w:val="00B050"/>
                <w:sz w:val="24"/>
              </w:rPr>
            </w:pPr>
          </w:p>
        </w:tc>
        <w:tc>
          <w:tcPr>
            <w:tcW w:w="433" w:type="pct"/>
            <w:tcBorders>
              <w:top w:val="nil"/>
              <w:left w:val="single" w:sz="4" w:space="0" w:color="auto"/>
              <w:bottom w:val="single" w:sz="4" w:space="0" w:color="auto"/>
              <w:right w:val="single" w:sz="4" w:space="0" w:color="auto"/>
            </w:tcBorders>
            <w:shd w:val="clear" w:color="auto" w:fill="auto"/>
            <w:vAlign w:val="center"/>
          </w:tcPr>
          <w:p w14:paraId="53CE8303"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382" w:type="pct"/>
            <w:tcBorders>
              <w:top w:val="nil"/>
              <w:left w:val="single" w:sz="4" w:space="0" w:color="auto"/>
              <w:bottom w:val="single" w:sz="4" w:space="0" w:color="auto"/>
              <w:right w:val="single" w:sz="4" w:space="0" w:color="auto"/>
            </w:tcBorders>
            <w:shd w:val="clear" w:color="auto" w:fill="auto"/>
            <w:vAlign w:val="center"/>
          </w:tcPr>
          <w:p w14:paraId="3484DD30" w14:textId="77777777" w:rsidR="006B12CF" w:rsidRPr="00E11392" w:rsidRDefault="006B12CF">
            <w:pPr>
              <w:jc w:val="center"/>
              <w:rPr>
                <w:rFonts w:ascii="Arial" w:hAnsi="Arial" w:cs="Arial"/>
                <w:b/>
                <w:bCs/>
                <w:sz w:val="24"/>
              </w:rPr>
            </w:pPr>
          </w:p>
        </w:tc>
      </w:tr>
      <w:tr w:rsidR="006B12CF" w:rsidRPr="00E11392" w14:paraId="13591C97"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1E42FE95" w14:textId="77777777" w:rsidR="006B12CF" w:rsidRDefault="006B12CF">
            <w:pPr>
              <w:pStyle w:val="TableTextIndent"/>
              <w:ind w:left="0"/>
            </w:pPr>
            <w:r w:rsidRPr="00F022C6">
              <w:t>42 U.S.C.c.126 § 12101 et seq., Americans with Disabilities Act of 1990 </w:t>
            </w:r>
          </w:p>
        </w:tc>
        <w:tc>
          <w:tcPr>
            <w:tcW w:w="434" w:type="pct"/>
            <w:tcBorders>
              <w:top w:val="nil"/>
              <w:left w:val="single" w:sz="4" w:space="0" w:color="auto"/>
              <w:bottom w:val="single" w:sz="4" w:space="0" w:color="auto"/>
              <w:right w:val="single" w:sz="4" w:space="0" w:color="auto"/>
            </w:tcBorders>
            <w:shd w:val="clear" w:color="auto" w:fill="auto"/>
            <w:vAlign w:val="center"/>
          </w:tcPr>
          <w:p w14:paraId="0B2D6D01" w14:textId="77777777" w:rsidR="006B12CF" w:rsidRPr="00E11392" w:rsidRDefault="006B12CF">
            <w:pPr>
              <w:jc w:val="center"/>
              <w:rPr>
                <w:rFonts w:ascii="Arial" w:hAnsi="Arial" w:cs="Arial"/>
                <w:b/>
                <w:bCs/>
                <w:color w:val="00B050"/>
                <w:sz w:val="24"/>
              </w:rPr>
            </w:pPr>
          </w:p>
        </w:tc>
        <w:tc>
          <w:tcPr>
            <w:tcW w:w="433" w:type="pct"/>
            <w:tcBorders>
              <w:top w:val="nil"/>
              <w:left w:val="single" w:sz="4" w:space="0" w:color="auto"/>
              <w:bottom w:val="single" w:sz="4" w:space="0" w:color="auto"/>
              <w:right w:val="single" w:sz="4" w:space="0" w:color="auto"/>
            </w:tcBorders>
            <w:shd w:val="clear" w:color="auto" w:fill="auto"/>
            <w:vAlign w:val="center"/>
          </w:tcPr>
          <w:p w14:paraId="68BB6ECA"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382" w:type="pct"/>
            <w:tcBorders>
              <w:top w:val="nil"/>
              <w:left w:val="single" w:sz="4" w:space="0" w:color="auto"/>
              <w:bottom w:val="single" w:sz="4" w:space="0" w:color="auto"/>
              <w:right w:val="single" w:sz="4" w:space="0" w:color="auto"/>
            </w:tcBorders>
            <w:shd w:val="clear" w:color="auto" w:fill="auto"/>
            <w:vAlign w:val="center"/>
          </w:tcPr>
          <w:p w14:paraId="79963AC2" w14:textId="77777777" w:rsidR="006B12CF" w:rsidRPr="00E11392" w:rsidRDefault="006B12CF">
            <w:pPr>
              <w:jc w:val="center"/>
              <w:rPr>
                <w:rFonts w:ascii="Arial" w:hAnsi="Arial" w:cs="Arial"/>
                <w:b/>
                <w:bCs/>
                <w:sz w:val="24"/>
              </w:rPr>
            </w:pPr>
          </w:p>
        </w:tc>
      </w:tr>
      <w:tr w:rsidR="006B12CF" w:rsidRPr="00E11392" w14:paraId="1507032C"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5CAA86EC" w14:textId="77777777" w:rsidR="006B12CF" w:rsidRPr="00E11392" w:rsidRDefault="006B12CF">
            <w:pPr>
              <w:pStyle w:val="TableRowHeader"/>
            </w:pPr>
            <w:r w:rsidRPr="00E11392">
              <w:t>Regulations</w:t>
            </w:r>
          </w:p>
        </w:tc>
      </w:tr>
      <w:tr w:rsidR="006B12CF" w:rsidRPr="00E11392" w14:paraId="7809AE23"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491176FE" w14:textId="77777777" w:rsidR="006B12CF" w:rsidRPr="00E11392" w:rsidRDefault="006B12CF">
            <w:pPr>
              <w:pStyle w:val="TableTextIndent"/>
              <w:ind w:left="0"/>
            </w:pPr>
            <w:r w:rsidRPr="00DF2EE3">
              <w:t>521 CMR 12.00</w:t>
            </w:r>
            <w:r w:rsidRPr="00DF2EE3">
              <w:rPr>
                <w:i/>
                <w:iCs/>
              </w:rPr>
              <w:t xml:space="preserve">, </w:t>
            </w:r>
            <w:r w:rsidRPr="00DF2EE3">
              <w:t>Architectural Access Board, Educational Facilities </w:t>
            </w:r>
          </w:p>
        </w:tc>
        <w:tc>
          <w:tcPr>
            <w:tcW w:w="434" w:type="pct"/>
            <w:tcBorders>
              <w:top w:val="nil"/>
              <w:left w:val="single" w:sz="4" w:space="0" w:color="auto"/>
              <w:bottom w:val="single" w:sz="4" w:space="0" w:color="auto"/>
              <w:right w:val="single" w:sz="4" w:space="0" w:color="auto"/>
            </w:tcBorders>
            <w:shd w:val="clear" w:color="auto" w:fill="auto"/>
            <w:vAlign w:val="center"/>
          </w:tcPr>
          <w:p w14:paraId="3E0EB71B" w14:textId="77777777" w:rsidR="006B12CF" w:rsidRPr="00E11392" w:rsidRDefault="006B12CF">
            <w:pPr>
              <w:jc w:val="center"/>
              <w:rPr>
                <w:rFonts w:ascii="Arial" w:hAnsi="Arial" w:cs="Arial"/>
                <w:b/>
                <w:bCs/>
                <w:sz w:val="24"/>
              </w:rPr>
            </w:pPr>
            <w:r w:rsidRPr="00E11392">
              <w:rPr>
                <w:rFonts w:ascii="Arial" w:hAnsi="Arial" w:cs="Arial"/>
                <w:b/>
                <w:bCs/>
                <w:color w:val="00B050"/>
                <w:sz w:val="24"/>
              </w:rPr>
              <w:t>X</w:t>
            </w:r>
          </w:p>
        </w:tc>
        <w:tc>
          <w:tcPr>
            <w:tcW w:w="433" w:type="pct"/>
            <w:tcBorders>
              <w:top w:val="nil"/>
              <w:left w:val="single" w:sz="4" w:space="0" w:color="auto"/>
              <w:bottom w:val="single" w:sz="4" w:space="0" w:color="auto"/>
              <w:right w:val="single" w:sz="4" w:space="0" w:color="auto"/>
            </w:tcBorders>
            <w:shd w:val="clear" w:color="auto" w:fill="auto"/>
            <w:vAlign w:val="center"/>
          </w:tcPr>
          <w:p w14:paraId="55934F90" w14:textId="77777777" w:rsidR="006B12CF" w:rsidRPr="00E11392" w:rsidRDefault="006B12CF">
            <w:pPr>
              <w:jc w:val="center"/>
              <w:rPr>
                <w:rFonts w:ascii="Arial" w:hAnsi="Arial" w:cs="Arial"/>
                <w:b/>
                <w:bCs/>
                <w:color w:val="00B050"/>
                <w:sz w:val="24"/>
              </w:rPr>
            </w:pPr>
          </w:p>
        </w:tc>
        <w:tc>
          <w:tcPr>
            <w:tcW w:w="382" w:type="pct"/>
            <w:tcBorders>
              <w:top w:val="nil"/>
              <w:left w:val="single" w:sz="4" w:space="0" w:color="auto"/>
              <w:bottom w:val="single" w:sz="4" w:space="0" w:color="auto"/>
              <w:right w:val="single" w:sz="4" w:space="0" w:color="auto"/>
            </w:tcBorders>
            <w:shd w:val="clear" w:color="auto" w:fill="auto"/>
            <w:vAlign w:val="center"/>
          </w:tcPr>
          <w:p w14:paraId="0F602F77" w14:textId="77777777" w:rsidR="006B12CF" w:rsidRPr="00E11392" w:rsidRDefault="006B12CF">
            <w:pPr>
              <w:jc w:val="center"/>
              <w:rPr>
                <w:rFonts w:ascii="Arial" w:hAnsi="Arial" w:cs="Arial"/>
                <w:b/>
                <w:bCs/>
                <w:sz w:val="24"/>
              </w:rPr>
            </w:pPr>
          </w:p>
        </w:tc>
      </w:tr>
      <w:tr w:rsidR="006B12CF" w:rsidRPr="00E11392" w14:paraId="68E4528E"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266A609D" w14:textId="77777777" w:rsidR="006B12CF" w:rsidRPr="00E11392" w:rsidRDefault="006B12CF">
            <w:pPr>
              <w:pStyle w:val="TableTextIndent"/>
              <w:ind w:left="0"/>
            </w:pPr>
            <w:r w:rsidRPr="00BC7F80">
              <w:t>603 CMR 26.00, Access to Equal Educational Opportunity </w:t>
            </w:r>
          </w:p>
        </w:tc>
        <w:tc>
          <w:tcPr>
            <w:tcW w:w="434" w:type="pct"/>
            <w:tcBorders>
              <w:top w:val="nil"/>
              <w:left w:val="single" w:sz="4" w:space="0" w:color="auto"/>
              <w:bottom w:val="single" w:sz="4" w:space="0" w:color="auto"/>
              <w:right w:val="single" w:sz="4" w:space="0" w:color="auto"/>
            </w:tcBorders>
            <w:shd w:val="clear" w:color="auto" w:fill="auto"/>
            <w:vAlign w:val="center"/>
          </w:tcPr>
          <w:p w14:paraId="5A093017" w14:textId="77777777" w:rsidR="006B12CF" w:rsidRPr="00E11392" w:rsidRDefault="006B12CF">
            <w:pPr>
              <w:jc w:val="center"/>
              <w:rPr>
                <w:rFonts w:ascii="Arial" w:hAnsi="Arial" w:cs="Arial"/>
                <w:b/>
                <w:bCs/>
                <w:sz w:val="24"/>
              </w:rPr>
            </w:pPr>
            <w:r w:rsidRPr="00E11392">
              <w:rPr>
                <w:rFonts w:ascii="Arial" w:hAnsi="Arial" w:cs="Arial"/>
                <w:b/>
                <w:bCs/>
                <w:color w:val="00B050"/>
                <w:sz w:val="24"/>
              </w:rPr>
              <w:t>X</w:t>
            </w:r>
          </w:p>
        </w:tc>
        <w:tc>
          <w:tcPr>
            <w:tcW w:w="433" w:type="pct"/>
            <w:tcBorders>
              <w:top w:val="nil"/>
              <w:left w:val="single" w:sz="4" w:space="0" w:color="auto"/>
              <w:bottom w:val="single" w:sz="4" w:space="0" w:color="auto"/>
              <w:right w:val="single" w:sz="4" w:space="0" w:color="auto"/>
            </w:tcBorders>
            <w:shd w:val="clear" w:color="auto" w:fill="auto"/>
            <w:vAlign w:val="center"/>
          </w:tcPr>
          <w:p w14:paraId="2D86C004" w14:textId="77777777" w:rsidR="006B12CF" w:rsidRPr="00E11392" w:rsidRDefault="006B12CF">
            <w:pPr>
              <w:jc w:val="center"/>
              <w:rPr>
                <w:rFonts w:ascii="Arial" w:hAnsi="Arial" w:cs="Arial"/>
                <w:b/>
                <w:bCs/>
                <w:color w:val="00B050"/>
                <w:sz w:val="24"/>
              </w:rPr>
            </w:pPr>
          </w:p>
        </w:tc>
        <w:tc>
          <w:tcPr>
            <w:tcW w:w="382" w:type="pct"/>
            <w:tcBorders>
              <w:top w:val="nil"/>
              <w:left w:val="single" w:sz="4" w:space="0" w:color="auto"/>
              <w:bottom w:val="single" w:sz="4" w:space="0" w:color="auto"/>
              <w:right w:val="single" w:sz="4" w:space="0" w:color="auto"/>
            </w:tcBorders>
            <w:shd w:val="clear" w:color="auto" w:fill="auto"/>
            <w:vAlign w:val="center"/>
          </w:tcPr>
          <w:p w14:paraId="2581353E" w14:textId="77777777" w:rsidR="006B12CF" w:rsidRPr="00E11392" w:rsidRDefault="006B12CF">
            <w:pPr>
              <w:jc w:val="center"/>
              <w:rPr>
                <w:rFonts w:ascii="Arial" w:hAnsi="Arial" w:cs="Arial"/>
                <w:b/>
                <w:bCs/>
                <w:sz w:val="24"/>
              </w:rPr>
            </w:pPr>
          </w:p>
        </w:tc>
      </w:tr>
      <w:tr w:rsidR="006B12CF" w:rsidRPr="00E11392" w14:paraId="39307E96"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1A3FF2EC" w14:textId="77777777" w:rsidR="006B12CF" w:rsidRDefault="006B12CF">
            <w:pPr>
              <w:pStyle w:val="TableTextIndent"/>
              <w:ind w:left="0"/>
            </w:pPr>
            <w:r w:rsidRPr="00EA5FBE">
              <w:t>28 CFR Part 35, Title II Regulations</w:t>
            </w:r>
            <w:r>
              <w:t>, Nondiscrimination on the Basis of Disability in State and Local Government</w:t>
            </w:r>
            <w:r w:rsidRPr="00EA5FBE">
              <w:t> </w:t>
            </w:r>
          </w:p>
        </w:tc>
        <w:tc>
          <w:tcPr>
            <w:tcW w:w="434" w:type="pct"/>
            <w:tcBorders>
              <w:top w:val="nil"/>
              <w:left w:val="single" w:sz="4" w:space="0" w:color="auto"/>
              <w:bottom w:val="single" w:sz="4" w:space="0" w:color="auto"/>
              <w:right w:val="single" w:sz="4" w:space="0" w:color="auto"/>
            </w:tcBorders>
            <w:shd w:val="clear" w:color="auto" w:fill="auto"/>
            <w:vAlign w:val="center"/>
          </w:tcPr>
          <w:p w14:paraId="2256F957" w14:textId="77777777" w:rsidR="006B12CF" w:rsidRPr="00E11392" w:rsidRDefault="006B12CF">
            <w:pPr>
              <w:jc w:val="center"/>
              <w:rPr>
                <w:rFonts w:ascii="Arial" w:hAnsi="Arial" w:cs="Arial"/>
                <w:b/>
                <w:bCs/>
                <w:color w:val="00B050"/>
                <w:sz w:val="24"/>
              </w:rPr>
            </w:pPr>
          </w:p>
        </w:tc>
        <w:tc>
          <w:tcPr>
            <w:tcW w:w="433" w:type="pct"/>
            <w:tcBorders>
              <w:top w:val="nil"/>
              <w:left w:val="single" w:sz="4" w:space="0" w:color="auto"/>
              <w:bottom w:val="single" w:sz="4" w:space="0" w:color="auto"/>
              <w:right w:val="single" w:sz="4" w:space="0" w:color="auto"/>
            </w:tcBorders>
            <w:shd w:val="clear" w:color="auto" w:fill="auto"/>
            <w:vAlign w:val="center"/>
          </w:tcPr>
          <w:p w14:paraId="7DA83B85"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382" w:type="pct"/>
            <w:tcBorders>
              <w:top w:val="nil"/>
              <w:left w:val="single" w:sz="4" w:space="0" w:color="auto"/>
              <w:bottom w:val="single" w:sz="4" w:space="0" w:color="auto"/>
              <w:right w:val="single" w:sz="4" w:space="0" w:color="auto"/>
            </w:tcBorders>
            <w:shd w:val="clear" w:color="auto" w:fill="auto"/>
            <w:vAlign w:val="center"/>
          </w:tcPr>
          <w:p w14:paraId="3A005102" w14:textId="77777777" w:rsidR="006B12CF" w:rsidRPr="00E11392" w:rsidRDefault="006B12CF">
            <w:pPr>
              <w:jc w:val="center"/>
              <w:rPr>
                <w:rFonts w:ascii="Arial" w:hAnsi="Arial" w:cs="Arial"/>
                <w:b/>
                <w:bCs/>
                <w:sz w:val="24"/>
              </w:rPr>
            </w:pPr>
          </w:p>
        </w:tc>
      </w:tr>
      <w:tr w:rsidR="006B12CF" w:rsidRPr="00E11392" w14:paraId="6967E070"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14751790" w14:textId="77777777" w:rsidR="006B12CF" w:rsidRDefault="006B12CF">
            <w:pPr>
              <w:pStyle w:val="TableTextIndent"/>
              <w:ind w:left="0"/>
            </w:pPr>
            <w:r w:rsidRPr="00487B36">
              <w:t>28 CFR Part 36, Title III Regulations</w:t>
            </w:r>
            <w:r>
              <w:t>, Nondiscrimination on the Basis of Disability by Public Accommodations and in Commercial Facilities</w:t>
            </w:r>
            <w:r w:rsidRPr="00487B36">
              <w:t> </w:t>
            </w:r>
          </w:p>
        </w:tc>
        <w:tc>
          <w:tcPr>
            <w:tcW w:w="434" w:type="pct"/>
            <w:tcBorders>
              <w:top w:val="nil"/>
              <w:left w:val="single" w:sz="4" w:space="0" w:color="auto"/>
              <w:bottom w:val="single" w:sz="4" w:space="0" w:color="auto"/>
              <w:right w:val="single" w:sz="4" w:space="0" w:color="auto"/>
            </w:tcBorders>
            <w:shd w:val="clear" w:color="auto" w:fill="auto"/>
            <w:vAlign w:val="center"/>
          </w:tcPr>
          <w:p w14:paraId="6B15A555" w14:textId="77777777" w:rsidR="006B12CF" w:rsidRPr="00E11392" w:rsidRDefault="006B12CF">
            <w:pPr>
              <w:jc w:val="center"/>
              <w:rPr>
                <w:rFonts w:ascii="Arial" w:hAnsi="Arial" w:cs="Arial"/>
                <w:b/>
                <w:bCs/>
                <w:color w:val="00B050"/>
                <w:sz w:val="24"/>
              </w:rPr>
            </w:pPr>
          </w:p>
        </w:tc>
        <w:tc>
          <w:tcPr>
            <w:tcW w:w="433" w:type="pct"/>
            <w:tcBorders>
              <w:top w:val="nil"/>
              <w:left w:val="single" w:sz="4" w:space="0" w:color="auto"/>
              <w:bottom w:val="single" w:sz="4" w:space="0" w:color="auto"/>
              <w:right w:val="single" w:sz="4" w:space="0" w:color="auto"/>
            </w:tcBorders>
            <w:shd w:val="clear" w:color="auto" w:fill="auto"/>
            <w:vAlign w:val="center"/>
          </w:tcPr>
          <w:p w14:paraId="3874ACA9"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382" w:type="pct"/>
            <w:tcBorders>
              <w:top w:val="nil"/>
              <w:left w:val="single" w:sz="4" w:space="0" w:color="auto"/>
              <w:bottom w:val="single" w:sz="4" w:space="0" w:color="auto"/>
              <w:right w:val="single" w:sz="4" w:space="0" w:color="auto"/>
            </w:tcBorders>
            <w:shd w:val="clear" w:color="auto" w:fill="auto"/>
            <w:vAlign w:val="center"/>
          </w:tcPr>
          <w:p w14:paraId="6F108FC1" w14:textId="77777777" w:rsidR="006B12CF" w:rsidRPr="00E11392" w:rsidRDefault="006B12CF">
            <w:pPr>
              <w:jc w:val="center"/>
              <w:rPr>
                <w:rFonts w:ascii="Arial" w:hAnsi="Arial" w:cs="Arial"/>
                <w:b/>
                <w:bCs/>
                <w:sz w:val="24"/>
              </w:rPr>
            </w:pPr>
          </w:p>
        </w:tc>
      </w:tr>
      <w:tr w:rsidR="006B12CF" w:rsidRPr="00E11392" w14:paraId="5FD5A946"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511A164F" w14:textId="77777777" w:rsidR="006B12CF" w:rsidRPr="00E11392" w:rsidRDefault="006B12CF">
            <w:pPr>
              <w:pStyle w:val="TableTextIndent"/>
              <w:ind w:left="0"/>
            </w:pPr>
            <w:r w:rsidRPr="00723183">
              <w:t>34 CFR Part 106, Title IX Regulations </w:t>
            </w:r>
          </w:p>
        </w:tc>
        <w:tc>
          <w:tcPr>
            <w:tcW w:w="434" w:type="pct"/>
            <w:tcBorders>
              <w:top w:val="nil"/>
              <w:left w:val="single" w:sz="4" w:space="0" w:color="auto"/>
              <w:bottom w:val="single" w:sz="4" w:space="0" w:color="auto"/>
              <w:right w:val="single" w:sz="4" w:space="0" w:color="auto"/>
            </w:tcBorders>
            <w:shd w:val="clear" w:color="auto" w:fill="auto"/>
            <w:vAlign w:val="center"/>
          </w:tcPr>
          <w:p w14:paraId="70D6A492" w14:textId="77777777" w:rsidR="006B12CF" w:rsidRPr="00E11392" w:rsidRDefault="006B12CF">
            <w:pPr>
              <w:jc w:val="center"/>
              <w:rPr>
                <w:rFonts w:ascii="Arial" w:hAnsi="Arial" w:cs="Arial"/>
                <w:b/>
                <w:bCs/>
                <w:color w:val="00B050"/>
                <w:sz w:val="24"/>
              </w:rPr>
            </w:pPr>
          </w:p>
        </w:tc>
        <w:tc>
          <w:tcPr>
            <w:tcW w:w="433" w:type="pct"/>
            <w:tcBorders>
              <w:top w:val="nil"/>
              <w:left w:val="single" w:sz="4" w:space="0" w:color="auto"/>
              <w:bottom w:val="single" w:sz="4" w:space="0" w:color="auto"/>
              <w:right w:val="single" w:sz="4" w:space="0" w:color="auto"/>
            </w:tcBorders>
            <w:shd w:val="clear" w:color="auto" w:fill="auto"/>
            <w:vAlign w:val="center"/>
          </w:tcPr>
          <w:p w14:paraId="75746701"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c>
          <w:tcPr>
            <w:tcW w:w="382" w:type="pct"/>
            <w:tcBorders>
              <w:top w:val="nil"/>
              <w:left w:val="single" w:sz="4" w:space="0" w:color="auto"/>
              <w:bottom w:val="single" w:sz="4" w:space="0" w:color="auto"/>
              <w:right w:val="single" w:sz="4" w:space="0" w:color="auto"/>
            </w:tcBorders>
            <w:shd w:val="clear" w:color="auto" w:fill="auto"/>
            <w:vAlign w:val="center"/>
          </w:tcPr>
          <w:p w14:paraId="0DA075D8" w14:textId="77777777" w:rsidR="006B12CF" w:rsidRPr="00E11392" w:rsidRDefault="006B12CF">
            <w:pPr>
              <w:jc w:val="center"/>
              <w:rPr>
                <w:rFonts w:ascii="Arial" w:hAnsi="Arial" w:cs="Arial"/>
                <w:b/>
                <w:bCs/>
                <w:sz w:val="24"/>
              </w:rPr>
            </w:pPr>
          </w:p>
        </w:tc>
      </w:tr>
      <w:tr w:rsidR="006B12CF" w:rsidRPr="00E11392" w14:paraId="7C86DA4C" w14:textId="77777777">
        <w:trPr>
          <w:cantSplit/>
          <w:trHeight w:val="255"/>
          <w:tblHeader/>
          <w:jc w:val="center"/>
        </w:trPr>
        <w:tc>
          <w:tcPr>
            <w:tcW w:w="5000" w:type="pct"/>
            <w:gridSpan w:val="4"/>
            <w:tcBorders>
              <w:top w:val="nil"/>
              <w:left w:val="single" w:sz="4" w:space="0" w:color="auto"/>
              <w:bottom w:val="single" w:sz="4" w:space="0" w:color="auto"/>
              <w:right w:val="single" w:sz="4" w:space="0" w:color="auto"/>
            </w:tcBorders>
            <w:shd w:val="clear" w:color="auto" w:fill="002060"/>
          </w:tcPr>
          <w:p w14:paraId="22CBB90D" w14:textId="77777777" w:rsidR="006B12CF" w:rsidRPr="00E11392" w:rsidRDefault="006B12CF">
            <w:pPr>
              <w:pStyle w:val="TableRowHeader"/>
            </w:pPr>
            <w:r w:rsidRPr="00E11392">
              <w:t>Standards</w:t>
            </w:r>
          </w:p>
        </w:tc>
      </w:tr>
      <w:tr w:rsidR="006B12CF" w:rsidRPr="00E11392" w14:paraId="40A5D4BF" w14:textId="77777777">
        <w:trPr>
          <w:cantSplit/>
          <w:trHeight w:val="255"/>
          <w:tblHeader/>
          <w:jc w:val="center"/>
        </w:trPr>
        <w:tc>
          <w:tcPr>
            <w:tcW w:w="3751" w:type="pct"/>
            <w:tcBorders>
              <w:top w:val="nil"/>
              <w:left w:val="single" w:sz="4" w:space="0" w:color="auto"/>
              <w:bottom w:val="single" w:sz="4" w:space="0" w:color="auto"/>
              <w:right w:val="single" w:sz="4" w:space="0" w:color="auto"/>
            </w:tcBorders>
            <w:shd w:val="clear" w:color="auto" w:fill="auto"/>
          </w:tcPr>
          <w:p w14:paraId="5C7186C0" w14:textId="77777777" w:rsidR="006B12CF" w:rsidRPr="00E11392" w:rsidRDefault="006B12CF">
            <w:pPr>
              <w:pStyle w:val="TableText"/>
            </w:pPr>
            <w:r w:rsidRPr="00414AB0">
              <w:t>2010 ADA Standards for Accessible Design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0A4B5862" w14:textId="77777777" w:rsidR="006B12CF" w:rsidRPr="00E11392" w:rsidRDefault="006B12CF">
            <w:pPr>
              <w:jc w:val="center"/>
              <w:rPr>
                <w:rFonts w:ascii="Arial" w:hAnsi="Arial" w:cs="Arial"/>
                <w:b/>
                <w:bCs/>
                <w:sz w:val="24"/>
              </w:rPr>
            </w:pP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78A58E8" w14:textId="77777777" w:rsidR="006B12CF" w:rsidRPr="00E11392" w:rsidRDefault="006B12CF">
            <w:pPr>
              <w:jc w:val="center"/>
              <w:rPr>
                <w:rFonts w:ascii="Arial" w:hAnsi="Arial" w:cs="Arial"/>
                <w:b/>
                <w:bCs/>
                <w:sz w:val="24"/>
              </w:rPr>
            </w:pP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618183B0" w14:textId="77777777" w:rsidR="006B12CF" w:rsidRPr="00E11392" w:rsidRDefault="006B12CF">
            <w:pPr>
              <w:jc w:val="center"/>
              <w:rPr>
                <w:rFonts w:ascii="Arial" w:hAnsi="Arial" w:cs="Arial"/>
                <w:b/>
                <w:bCs/>
                <w:color w:val="00B050"/>
                <w:sz w:val="24"/>
              </w:rPr>
            </w:pPr>
            <w:r w:rsidRPr="00E11392">
              <w:rPr>
                <w:rFonts w:ascii="Arial" w:hAnsi="Arial" w:cs="Arial"/>
                <w:b/>
                <w:bCs/>
                <w:color w:val="00B050"/>
                <w:sz w:val="24"/>
              </w:rPr>
              <w:t>X</w:t>
            </w:r>
          </w:p>
        </w:tc>
      </w:tr>
    </w:tbl>
    <w:p w14:paraId="506E8538" w14:textId="68B3513B" w:rsidR="006B12CF" w:rsidRDefault="006B12CF" w:rsidP="006B12CF">
      <w:pPr>
        <w:pStyle w:val="Heading3"/>
      </w:pPr>
      <w:r>
        <w:t>Relevant Resources</w:t>
      </w:r>
    </w:p>
    <w:p w14:paraId="3AF98B10" w14:textId="46A5543B" w:rsidR="006B12CF" w:rsidRDefault="006B12CF" w:rsidP="006D7DE6">
      <w:pPr>
        <w:pStyle w:val="BodyTextFirstIndent"/>
      </w:pPr>
      <w:r>
        <w:fldChar w:fldCharType="begin"/>
      </w:r>
      <w:r>
        <w:instrText xml:space="preserve"> REF _Ref172753841 \h </w:instrText>
      </w:r>
      <w:r>
        <w:fldChar w:fldCharType="separate"/>
      </w:r>
      <w:r w:rsidR="00307850">
        <w:t xml:space="preserve">Table </w:t>
      </w:r>
      <w:r w:rsidR="00307850">
        <w:rPr>
          <w:noProof/>
        </w:rPr>
        <w:t>97</w:t>
      </w:r>
      <w:r>
        <w:fldChar w:fldCharType="end"/>
      </w:r>
      <w:r>
        <w:t xml:space="preserve"> provides a summary of resources related to ensuring universal access in schools.</w:t>
      </w:r>
    </w:p>
    <w:p w14:paraId="1258B6DD" w14:textId="5A94E58B" w:rsidR="006B12CF" w:rsidRDefault="006B12CF" w:rsidP="00B30C96">
      <w:pPr>
        <w:pStyle w:val="TableTitle"/>
      </w:pPr>
      <w:bookmarkStart w:id="732" w:name="_Ref172753248"/>
      <w:bookmarkStart w:id="733" w:name="_Ref172753841"/>
      <w:bookmarkStart w:id="734" w:name="_Toc192711763"/>
      <w:bookmarkStart w:id="735" w:name="_Toc193112645"/>
      <w:bookmarkStart w:id="736" w:name="_Toc193117044"/>
      <w:r>
        <w:t>Table</w:t>
      </w:r>
      <w:bookmarkEnd w:id="732"/>
      <w:r>
        <w:t xml:space="preserve"> </w:t>
      </w:r>
      <w:fldSimple w:instr=" SEQ Table \* ARABIC ">
        <w:r w:rsidR="00307850">
          <w:rPr>
            <w:noProof/>
          </w:rPr>
          <w:t>97</w:t>
        </w:r>
      </w:fldSimple>
      <w:bookmarkEnd w:id="733"/>
      <w:r>
        <w:t>. Resources for Ensuring Universal Access</w:t>
      </w:r>
      <w:bookmarkEnd w:id="734"/>
      <w:bookmarkEnd w:id="735"/>
      <w:bookmarkEnd w:id="736"/>
    </w:p>
    <w:tbl>
      <w:tblPr>
        <w:tblStyle w:val="TableGrid"/>
        <w:tblW w:w="0" w:type="auto"/>
        <w:tblLayout w:type="fixed"/>
        <w:tblLook w:val="04A0" w:firstRow="1" w:lastRow="0" w:firstColumn="1" w:lastColumn="0" w:noHBand="0" w:noVBand="1"/>
        <w:tblDescription w:val="Table listing resources with active URLs for ensuring universal access."/>
      </w:tblPr>
      <w:tblGrid>
        <w:gridCol w:w="2785"/>
        <w:gridCol w:w="2070"/>
        <w:gridCol w:w="4495"/>
      </w:tblGrid>
      <w:tr w:rsidR="006B12CF" w:rsidRPr="00276B41" w14:paraId="6E88879B" w14:textId="77777777">
        <w:trPr>
          <w:tblHeader/>
        </w:trPr>
        <w:tc>
          <w:tcPr>
            <w:tcW w:w="2785" w:type="dxa"/>
            <w:shd w:val="clear" w:color="auto" w:fill="C6D9F1" w:themeFill="text2" w:themeFillTint="33"/>
          </w:tcPr>
          <w:p w14:paraId="706BEBC9" w14:textId="77777777" w:rsidR="006B12CF" w:rsidRPr="004C3A1C" w:rsidRDefault="006B12CF">
            <w:pPr>
              <w:pStyle w:val="TableColumnHeader"/>
            </w:pPr>
            <w:r w:rsidRPr="004C3A1C">
              <w:t>Resource</w:t>
            </w:r>
          </w:p>
        </w:tc>
        <w:tc>
          <w:tcPr>
            <w:tcW w:w="2070" w:type="dxa"/>
            <w:shd w:val="clear" w:color="auto" w:fill="C6D9F1" w:themeFill="text2" w:themeFillTint="33"/>
          </w:tcPr>
          <w:p w14:paraId="7741845D" w14:textId="77777777" w:rsidR="006B12CF" w:rsidRPr="004C3A1C" w:rsidRDefault="006B12CF">
            <w:pPr>
              <w:pStyle w:val="TableColumnHeader"/>
            </w:pPr>
            <w:r w:rsidRPr="004C3A1C">
              <w:t>Author</w:t>
            </w:r>
          </w:p>
        </w:tc>
        <w:tc>
          <w:tcPr>
            <w:tcW w:w="4495" w:type="dxa"/>
            <w:shd w:val="clear" w:color="auto" w:fill="C6D9F1" w:themeFill="text2" w:themeFillTint="33"/>
          </w:tcPr>
          <w:p w14:paraId="277FD7DA" w14:textId="77777777" w:rsidR="006B12CF" w:rsidRPr="004C3A1C" w:rsidRDefault="006B12CF">
            <w:pPr>
              <w:pStyle w:val="TableColumnHeader"/>
            </w:pPr>
            <w:r w:rsidRPr="004C3A1C">
              <w:t>URL</w:t>
            </w:r>
          </w:p>
        </w:tc>
      </w:tr>
      <w:tr w:rsidR="006B12CF" w:rsidRPr="00276B41" w14:paraId="644385D6" w14:textId="77777777">
        <w:tc>
          <w:tcPr>
            <w:tcW w:w="2785" w:type="dxa"/>
          </w:tcPr>
          <w:p w14:paraId="06C7351B" w14:textId="77777777" w:rsidR="006B12CF" w:rsidRPr="00276B41" w:rsidRDefault="006B12CF">
            <w:pPr>
              <w:pStyle w:val="TableText"/>
            </w:pPr>
            <w:r w:rsidRPr="00291E04">
              <w:t>ADA Checklist for Existing Facilities </w:t>
            </w:r>
          </w:p>
        </w:tc>
        <w:tc>
          <w:tcPr>
            <w:tcW w:w="2070" w:type="dxa"/>
          </w:tcPr>
          <w:p w14:paraId="234D0096" w14:textId="77777777" w:rsidR="006B12CF" w:rsidRPr="00276B41" w:rsidRDefault="006B12CF">
            <w:pPr>
              <w:pStyle w:val="TableText"/>
            </w:pPr>
            <w:r w:rsidRPr="00291E04">
              <w:t>Institute for Human Centered Design </w:t>
            </w:r>
          </w:p>
        </w:tc>
        <w:tc>
          <w:tcPr>
            <w:tcW w:w="4495" w:type="dxa"/>
          </w:tcPr>
          <w:p w14:paraId="5C1C41AC" w14:textId="2CFB2FD1" w:rsidR="006B12CF" w:rsidRDefault="006B12CF">
            <w:pPr>
              <w:pStyle w:val="TableText"/>
            </w:pPr>
            <w:hyperlink r:id="rId383" w:history="1">
              <w:r w:rsidRPr="00E11282">
                <w:rPr>
                  <w:rStyle w:val="Hyperlink"/>
                </w:rPr>
                <w:t>https://www.adachecklist.org/doc/fullchecklist/ada-checklist.pdf</w:t>
              </w:r>
            </w:hyperlink>
          </w:p>
          <w:p w14:paraId="431052C1" w14:textId="77777777" w:rsidR="006B12CF" w:rsidRPr="00276B41" w:rsidRDefault="006B12CF">
            <w:pPr>
              <w:pStyle w:val="TableText"/>
            </w:pPr>
            <w:r w:rsidRPr="00291E04">
              <w:t> </w:t>
            </w:r>
          </w:p>
        </w:tc>
      </w:tr>
      <w:tr w:rsidR="006B12CF" w:rsidRPr="00276B41" w14:paraId="04166E2A" w14:textId="77777777">
        <w:tc>
          <w:tcPr>
            <w:tcW w:w="2785" w:type="dxa"/>
          </w:tcPr>
          <w:p w14:paraId="0D7246C6" w14:textId="77777777" w:rsidR="006B12CF" w:rsidRPr="00291E04" w:rsidRDefault="006B12CF">
            <w:pPr>
              <w:pStyle w:val="TableText"/>
            </w:pPr>
            <w:r>
              <w:t>Design Strategies for Restroom &amp; Locker Room Facilities</w:t>
            </w:r>
          </w:p>
        </w:tc>
        <w:tc>
          <w:tcPr>
            <w:tcW w:w="2070" w:type="dxa"/>
          </w:tcPr>
          <w:p w14:paraId="7411E036" w14:textId="77777777" w:rsidR="006B12CF" w:rsidRPr="00291E04" w:rsidRDefault="006B12CF">
            <w:pPr>
              <w:pStyle w:val="TableText"/>
            </w:pPr>
            <w:r w:rsidRPr="008610FB">
              <w:t>Opsis Architecture</w:t>
            </w:r>
          </w:p>
        </w:tc>
        <w:tc>
          <w:tcPr>
            <w:tcW w:w="4495" w:type="dxa"/>
          </w:tcPr>
          <w:p w14:paraId="6CD35FFD" w14:textId="5B4964F8" w:rsidR="006B12CF" w:rsidRDefault="006B12CF">
            <w:pPr>
              <w:pStyle w:val="TableText"/>
            </w:pPr>
            <w:hyperlink r:id="rId384" w:history="1">
              <w:r w:rsidRPr="00A40CE8">
                <w:rPr>
                  <w:rStyle w:val="Hyperlink"/>
                </w:rPr>
                <w:t>https://www.opsisarch.com/wp-content/uploads//2022/06/Opsis-</w:t>
              </w:r>
              <w:r w:rsidRPr="00A40CE8">
                <w:rPr>
                  <w:rStyle w:val="Hyperlink"/>
                </w:rPr>
                <w:lastRenderedPageBreak/>
                <w:t>Architecture-Gender-Inclusive-Facilities-Design-Strategies-Case-Study.pdf</w:t>
              </w:r>
            </w:hyperlink>
          </w:p>
        </w:tc>
      </w:tr>
      <w:tr w:rsidR="006B12CF" w:rsidRPr="00276B41" w14:paraId="46C225BE" w14:textId="77777777">
        <w:tc>
          <w:tcPr>
            <w:tcW w:w="2785" w:type="dxa"/>
          </w:tcPr>
          <w:p w14:paraId="6B8D0178" w14:textId="77777777" w:rsidR="006B12CF" w:rsidRDefault="006B12CF">
            <w:pPr>
              <w:pStyle w:val="TableText"/>
            </w:pPr>
            <w:r w:rsidRPr="00261E3C">
              <w:t>Harmonizing the seen and unseen when designing for neurodiversity</w:t>
            </w:r>
          </w:p>
        </w:tc>
        <w:tc>
          <w:tcPr>
            <w:tcW w:w="2070" w:type="dxa"/>
          </w:tcPr>
          <w:p w14:paraId="1B7E4BFC" w14:textId="77777777" w:rsidR="006B12CF" w:rsidRPr="008610FB" w:rsidRDefault="006B12CF">
            <w:pPr>
              <w:pStyle w:val="TableText"/>
            </w:pPr>
            <w:r>
              <w:t>Brenda Bush-Moline, Stantec</w:t>
            </w:r>
          </w:p>
        </w:tc>
        <w:tc>
          <w:tcPr>
            <w:tcW w:w="4495" w:type="dxa"/>
          </w:tcPr>
          <w:p w14:paraId="5735D1E5" w14:textId="64436F53" w:rsidR="006B12CF" w:rsidRDefault="006B12CF">
            <w:pPr>
              <w:pStyle w:val="TableText"/>
            </w:pPr>
            <w:hyperlink r:id="rId385" w:history="1">
              <w:r w:rsidRPr="00A40CE8">
                <w:rPr>
                  <w:rStyle w:val="Hyperlink"/>
                </w:rPr>
                <w:t>https://www.stantec.com/en/ideas/topic/buildings/harmonizing-the-seen-and-unseen-when-designing-for-neurodiversity</w:t>
              </w:r>
            </w:hyperlink>
            <w:r>
              <w:br/>
            </w:r>
          </w:p>
        </w:tc>
      </w:tr>
      <w:tr w:rsidR="006B12CF" w:rsidRPr="00276B41" w14:paraId="073BE84B" w14:textId="77777777">
        <w:tc>
          <w:tcPr>
            <w:tcW w:w="2785" w:type="dxa"/>
          </w:tcPr>
          <w:p w14:paraId="212EC4EA" w14:textId="77777777" w:rsidR="006B12CF" w:rsidRDefault="006B12CF">
            <w:pPr>
              <w:pStyle w:val="TableText"/>
            </w:pPr>
            <w:r w:rsidRPr="00291E04">
              <w:t>K-12 Education: School Districts Need Better Information to Help Improve Access for People with Disabilities </w:t>
            </w:r>
          </w:p>
        </w:tc>
        <w:tc>
          <w:tcPr>
            <w:tcW w:w="2070" w:type="dxa"/>
          </w:tcPr>
          <w:p w14:paraId="1A450526" w14:textId="77777777" w:rsidR="006B12CF" w:rsidRDefault="006B12CF">
            <w:pPr>
              <w:pStyle w:val="TableText"/>
            </w:pPr>
            <w:r w:rsidRPr="00291E04">
              <w:t>Government Accountability Office </w:t>
            </w:r>
          </w:p>
        </w:tc>
        <w:tc>
          <w:tcPr>
            <w:tcW w:w="4495" w:type="dxa"/>
          </w:tcPr>
          <w:p w14:paraId="64E348DC" w14:textId="0AC983A9" w:rsidR="006B12CF" w:rsidRDefault="006B12CF">
            <w:pPr>
              <w:pStyle w:val="TableText"/>
            </w:pPr>
            <w:hyperlink r:id="rId386" w:history="1">
              <w:r w:rsidRPr="00E11282">
                <w:rPr>
                  <w:rStyle w:val="Hyperlink"/>
                </w:rPr>
                <w:t>https://www.gao.gov/assets/d20448.pdf</w:t>
              </w:r>
            </w:hyperlink>
          </w:p>
          <w:p w14:paraId="7E6F19C0" w14:textId="77777777" w:rsidR="006B12CF" w:rsidRDefault="006B12CF">
            <w:pPr>
              <w:pStyle w:val="TableText"/>
            </w:pPr>
            <w:r w:rsidRPr="00291E04">
              <w:t> </w:t>
            </w:r>
          </w:p>
        </w:tc>
      </w:tr>
      <w:tr w:rsidR="006B12CF" w:rsidRPr="00276B41" w14:paraId="74EC4BC8" w14:textId="77777777">
        <w:tc>
          <w:tcPr>
            <w:tcW w:w="2785" w:type="dxa"/>
          </w:tcPr>
          <w:p w14:paraId="204B3D5F" w14:textId="77777777" w:rsidR="006B12CF" w:rsidRDefault="006B12CF">
            <w:pPr>
              <w:pStyle w:val="TableText"/>
              <w:rPr>
                <w:rStyle w:val="normaltextrun"/>
                <w:rFonts w:ascii="Calibri" w:hAnsi="Calibri"/>
                <w:sz w:val="22"/>
                <w:szCs w:val="22"/>
                <w:shd w:val="clear" w:color="auto" w:fill="FFFFFF"/>
              </w:rPr>
            </w:pPr>
            <w:r>
              <w:t>Universal Design in Education: Principles and Applications</w:t>
            </w:r>
          </w:p>
        </w:tc>
        <w:tc>
          <w:tcPr>
            <w:tcW w:w="2070" w:type="dxa"/>
          </w:tcPr>
          <w:p w14:paraId="017E1ADD" w14:textId="77777777" w:rsidR="006B12CF" w:rsidRDefault="006B12CF">
            <w:pPr>
              <w:pStyle w:val="TableText"/>
              <w:rPr>
                <w:rStyle w:val="normaltextrun"/>
                <w:rFonts w:ascii="Calibri" w:hAnsi="Calibri"/>
                <w:sz w:val="22"/>
                <w:szCs w:val="22"/>
                <w:shd w:val="clear" w:color="auto" w:fill="FFFFFF"/>
              </w:rPr>
            </w:pPr>
            <w:r>
              <w:t>Disabilities, Opportunities, Internetworking, and Technology</w:t>
            </w:r>
          </w:p>
        </w:tc>
        <w:tc>
          <w:tcPr>
            <w:tcW w:w="4495" w:type="dxa"/>
          </w:tcPr>
          <w:p w14:paraId="5DD95059" w14:textId="17052EDE" w:rsidR="006B12CF" w:rsidRDefault="006B12CF">
            <w:pPr>
              <w:pStyle w:val="TableText"/>
              <w:rPr>
                <w:rStyle w:val="normaltextrun"/>
                <w:rFonts w:ascii="Calibri" w:hAnsi="Calibri"/>
                <w:sz w:val="22"/>
                <w:szCs w:val="22"/>
                <w:shd w:val="clear" w:color="auto" w:fill="FFFFFF"/>
              </w:rPr>
            </w:pPr>
            <w:hyperlink r:id="rId387" w:history="1">
              <w:r w:rsidRPr="00784CC2">
                <w:rPr>
                  <w:rStyle w:val="Hyperlink"/>
                </w:rPr>
                <w:t>https://www.washington.edu/doit/universal-design-education-principles-and-applications</w:t>
              </w:r>
            </w:hyperlink>
            <w:r>
              <w:t xml:space="preserve"> </w:t>
            </w:r>
          </w:p>
        </w:tc>
      </w:tr>
    </w:tbl>
    <w:p w14:paraId="1ED09930" w14:textId="77777777" w:rsidR="0071640F" w:rsidRPr="007A07F2" w:rsidRDefault="0071640F" w:rsidP="006D7DE6">
      <w:pPr>
        <w:pStyle w:val="BodyTextFirstIndent"/>
      </w:pPr>
    </w:p>
    <w:p w14:paraId="6DF16F3C" w14:textId="77777777" w:rsidR="00574A37" w:rsidRDefault="00AC6156" w:rsidP="00A90558">
      <w:pPr>
        <w:pStyle w:val="Heading1"/>
      </w:pPr>
      <w:bookmarkStart w:id="737" w:name="_Toc193116946"/>
      <w:r>
        <w:t>IX. Conclusion</w:t>
      </w:r>
      <w:bookmarkEnd w:id="737"/>
    </w:p>
    <w:p w14:paraId="6E3A5B7D" w14:textId="32D98EAC" w:rsidR="000018C4" w:rsidRPr="00E222B3" w:rsidRDefault="000018C4" w:rsidP="7375434C">
      <w:pPr>
        <w:rPr>
          <w:rFonts w:ascii="Arial" w:hAnsi="Arial" w:cs="Arial"/>
          <w:sz w:val="24"/>
        </w:rPr>
      </w:pPr>
      <w:r w:rsidRPr="7375434C">
        <w:rPr>
          <w:rFonts w:ascii="Arial" w:hAnsi="Arial" w:cs="Arial"/>
          <w:sz w:val="24"/>
        </w:rPr>
        <w:t xml:space="preserve">Massachusetts led the nation with the creation of the oldest public school system in the United States. While that legacy is a testament to our commitment to the betterment of our citizens, this legacy also leads to Massachusetts having an antiquated school infrastructure that is dispersed across a range of geographic locations including urban, rural, and </w:t>
      </w:r>
      <w:r w:rsidR="00C47AA7">
        <w:rPr>
          <w:rFonts w:ascii="Arial" w:hAnsi="Arial" w:cs="Arial"/>
          <w:sz w:val="24"/>
        </w:rPr>
        <w:t>those</w:t>
      </w:r>
      <w:r w:rsidRPr="7375434C">
        <w:rPr>
          <w:rFonts w:ascii="Arial" w:hAnsi="Arial" w:cs="Arial"/>
          <w:sz w:val="24"/>
        </w:rPr>
        <w:t xml:space="preserve"> close to industrial activity. As this report demonstrates, the complexity and the interdependency of the types of problems these schools and districts face, as well as the complexity and interdependencies of the short-term and long-term solutions to address these problems is highly variable and</w:t>
      </w:r>
      <w:r w:rsidR="6228E27D" w:rsidRPr="7375434C">
        <w:rPr>
          <w:rFonts w:ascii="Arial" w:hAnsi="Arial" w:cs="Arial"/>
          <w:sz w:val="24"/>
        </w:rPr>
        <w:t>,</w:t>
      </w:r>
      <w:r w:rsidRPr="7375434C">
        <w:rPr>
          <w:rFonts w:ascii="Arial" w:hAnsi="Arial" w:cs="Arial"/>
          <w:sz w:val="24"/>
        </w:rPr>
        <w:t xml:space="preserve"> </w:t>
      </w:r>
      <w:r w:rsidR="68564078" w:rsidRPr="7375434C">
        <w:rPr>
          <w:rFonts w:ascii="Arial" w:hAnsi="Arial" w:cs="Arial"/>
          <w:sz w:val="24"/>
        </w:rPr>
        <w:t>in some instances</w:t>
      </w:r>
      <w:r w:rsidR="7D47A6DA" w:rsidRPr="7375434C">
        <w:rPr>
          <w:rFonts w:ascii="Arial" w:hAnsi="Arial" w:cs="Arial"/>
          <w:sz w:val="24"/>
        </w:rPr>
        <w:t>,</w:t>
      </w:r>
      <w:r w:rsidR="68564078" w:rsidRPr="7375434C">
        <w:rPr>
          <w:rFonts w:ascii="Arial" w:hAnsi="Arial" w:cs="Arial"/>
          <w:sz w:val="24"/>
        </w:rPr>
        <w:t xml:space="preserve"> </w:t>
      </w:r>
      <w:r w:rsidR="3A395379" w:rsidRPr="7375434C">
        <w:rPr>
          <w:rFonts w:ascii="Arial" w:hAnsi="Arial" w:cs="Arial"/>
          <w:sz w:val="24"/>
        </w:rPr>
        <w:t>require significant resources. T</w:t>
      </w:r>
      <w:r w:rsidRPr="7375434C">
        <w:rPr>
          <w:rFonts w:ascii="Arial" w:eastAsiaTheme="majorEastAsia" w:hAnsi="Arial" w:cs="Arial"/>
          <w:sz w:val="24"/>
        </w:rPr>
        <w:t xml:space="preserve">his </w:t>
      </w:r>
      <w:r w:rsidRPr="7375434C">
        <w:rPr>
          <w:rFonts w:ascii="Arial" w:hAnsi="Arial" w:cs="Arial"/>
          <w:sz w:val="24"/>
        </w:rPr>
        <w:t>document strives to provide both high</w:t>
      </w:r>
      <w:r w:rsidR="000B2BFA">
        <w:rPr>
          <w:rFonts w:ascii="Arial" w:hAnsi="Arial" w:cs="Arial"/>
          <w:sz w:val="24"/>
        </w:rPr>
        <w:t>-</w:t>
      </w:r>
      <w:r w:rsidRPr="7375434C">
        <w:rPr>
          <w:rFonts w:ascii="Arial" w:hAnsi="Arial" w:cs="Arial"/>
          <w:sz w:val="24"/>
        </w:rPr>
        <w:t xml:space="preserve">level and detailed explanations of </w:t>
      </w:r>
      <w:r w:rsidRPr="7375434C">
        <w:rPr>
          <w:rFonts w:ascii="Arial" w:eastAsiaTheme="majorEastAsia" w:hAnsi="Arial" w:cs="Arial"/>
          <w:sz w:val="24"/>
        </w:rPr>
        <w:t xml:space="preserve">strategies to help Massachusetts schools incorporate sustainable design, construction, and operations and provide a healthy environment for all </w:t>
      </w:r>
      <w:r w:rsidR="00CF6DF3">
        <w:rPr>
          <w:rFonts w:ascii="Arial" w:eastAsiaTheme="majorEastAsia" w:hAnsi="Arial" w:cs="Arial"/>
          <w:sz w:val="24"/>
        </w:rPr>
        <w:t xml:space="preserve">staff and </w:t>
      </w:r>
      <w:r w:rsidRPr="7375434C">
        <w:rPr>
          <w:rFonts w:ascii="Arial" w:eastAsiaTheme="majorEastAsia" w:hAnsi="Arial" w:cs="Arial"/>
          <w:sz w:val="24"/>
        </w:rPr>
        <w:t>students.</w:t>
      </w:r>
    </w:p>
    <w:p w14:paraId="43A1DCC1" w14:textId="56EE53AE" w:rsidR="000018C4" w:rsidRDefault="000018C4" w:rsidP="006D7DE6">
      <w:pPr>
        <w:pStyle w:val="BodyTextFirstIndent"/>
        <w:sectPr w:rsidR="000018C4" w:rsidSect="00B20DE2">
          <w:pgSz w:w="12240" w:h="15840"/>
          <w:pgMar w:top="1440" w:right="1440" w:bottom="1440" w:left="1440" w:header="720" w:footer="720" w:gutter="0"/>
          <w:cols w:space="720"/>
          <w:docGrid w:linePitch="360"/>
        </w:sectPr>
      </w:pPr>
    </w:p>
    <w:p w14:paraId="0A21990F" w14:textId="0E3A9E4E" w:rsidR="0010549E" w:rsidRDefault="00DD6EA7" w:rsidP="00A90558">
      <w:pPr>
        <w:pStyle w:val="Heading1"/>
      </w:pPr>
      <w:bookmarkStart w:id="738" w:name="_Toc171518384"/>
      <w:bookmarkStart w:id="739" w:name="_Toc171519337"/>
      <w:bookmarkStart w:id="740" w:name="_Toc193116947"/>
      <w:r>
        <w:lastRenderedPageBreak/>
        <w:t xml:space="preserve">Appendix </w:t>
      </w:r>
      <w:r w:rsidR="00A179AC">
        <w:t>A</w:t>
      </w:r>
      <w:r>
        <w:t>:</w:t>
      </w:r>
      <w:r w:rsidR="0010549E">
        <w:t xml:space="preserve"> References</w:t>
      </w:r>
      <w:bookmarkEnd w:id="738"/>
      <w:bookmarkEnd w:id="739"/>
      <w:bookmarkEnd w:id="740"/>
    </w:p>
    <w:p w14:paraId="4715D8D2" w14:textId="77777777" w:rsidR="0025692F" w:rsidRPr="0025692F" w:rsidRDefault="00A70F7A" w:rsidP="0025692F">
      <w:pPr>
        <w:pStyle w:val="Bibliography"/>
        <w:rPr>
          <w:rFonts w:cs="Arial"/>
        </w:rPr>
      </w:pPr>
      <w:r>
        <w:fldChar w:fldCharType="begin"/>
      </w:r>
      <w:r w:rsidR="0025692F">
        <w:instrText xml:space="preserve"> ADDIN ZOTERO_BIBL {"uncited":[],"omitted":[],"custom":[]} CSL_BIBLIOGRAPHY </w:instrText>
      </w:r>
      <w:r>
        <w:fldChar w:fldCharType="separate"/>
      </w:r>
      <w:r w:rsidR="0025692F" w:rsidRPr="0025692F">
        <w:rPr>
          <w:rFonts w:cs="Arial"/>
        </w:rPr>
        <w:t xml:space="preserve">1. Massachusetts Department of Public Health. (n.d.). </w:t>
      </w:r>
      <w:r w:rsidR="0025692F" w:rsidRPr="0025692F">
        <w:rPr>
          <w:rFonts w:cs="Arial"/>
          <w:i/>
          <w:iCs/>
        </w:rPr>
        <w:t>About the Department of Public Health</w:t>
      </w:r>
      <w:r w:rsidR="0025692F" w:rsidRPr="0025692F">
        <w:rPr>
          <w:rFonts w:cs="Arial"/>
        </w:rPr>
        <w:t>. Retrieved August 8, 2024, from https://www.mass.gov/info-details/about-the-department-of-public-health</w:t>
      </w:r>
    </w:p>
    <w:p w14:paraId="2C2BDC6A" w14:textId="77777777" w:rsidR="0025692F" w:rsidRPr="0025692F" w:rsidRDefault="0025692F" w:rsidP="0025692F">
      <w:pPr>
        <w:pStyle w:val="Bibliography"/>
        <w:rPr>
          <w:rFonts w:cs="Arial"/>
        </w:rPr>
      </w:pPr>
      <w:r w:rsidRPr="0025692F">
        <w:rPr>
          <w:rFonts w:cs="Arial"/>
        </w:rPr>
        <w:t xml:space="preserve">2. Kreslová, M., Kirchnerová, O., Rajdl, D., Sudová, V., Blažek, J., Sýkorová, A., Jehlička, P., Trefil, L., Schwarz, J., Pomahačová, R., &amp; Sýkora, J. (2022). Bronchial Asthma as a Cardiovascular Risk Factor: A Prospective Observational Study. </w:t>
      </w:r>
      <w:r w:rsidRPr="0025692F">
        <w:rPr>
          <w:rFonts w:cs="Arial"/>
          <w:i/>
          <w:iCs/>
        </w:rPr>
        <w:t>Biomedicines</w:t>
      </w:r>
      <w:r w:rsidRPr="0025692F">
        <w:rPr>
          <w:rFonts w:cs="Arial"/>
        </w:rPr>
        <w:t xml:space="preserve">, </w:t>
      </w:r>
      <w:r w:rsidRPr="0025692F">
        <w:rPr>
          <w:rFonts w:cs="Arial"/>
          <w:i/>
          <w:iCs/>
        </w:rPr>
        <w:t>10</w:t>
      </w:r>
      <w:r w:rsidRPr="0025692F">
        <w:rPr>
          <w:rFonts w:cs="Arial"/>
        </w:rPr>
        <w:t>(10), 2614. https://doi.org/10.3390/biomedicines10102614</w:t>
      </w:r>
    </w:p>
    <w:p w14:paraId="29B3861B" w14:textId="77777777" w:rsidR="0025692F" w:rsidRPr="0025692F" w:rsidRDefault="0025692F" w:rsidP="0025692F">
      <w:pPr>
        <w:pStyle w:val="Bibliography"/>
        <w:rPr>
          <w:rFonts w:cs="Arial"/>
        </w:rPr>
      </w:pPr>
      <w:r w:rsidRPr="0025692F">
        <w:rPr>
          <w:rFonts w:cs="Arial"/>
        </w:rPr>
        <w:t xml:space="preserve">3. Massachusetts Department of Public Health. (n.d.). </w:t>
      </w:r>
      <w:r w:rsidRPr="0025692F">
        <w:rPr>
          <w:rFonts w:cs="Arial"/>
          <w:i/>
          <w:iCs/>
        </w:rPr>
        <w:t>2022–2026 Strategic Plan for Asthma in Massachusetts</w:t>
      </w:r>
      <w:r w:rsidRPr="0025692F">
        <w:rPr>
          <w:rFonts w:cs="Arial"/>
        </w:rPr>
        <w:t>. Retrieved July 25, 2024, from https://www.mass.gov/doc/strategic-plan-for-asthma-in-massachusetts-2022-2026/download</w:t>
      </w:r>
    </w:p>
    <w:p w14:paraId="672C8B1B" w14:textId="77777777" w:rsidR="0025692F" w:rsidRPr="0025692F" w:rsidRDefault="0025692F" w:rsidP="0025692F">
      <w:pPr>
        <w:pStyle w:val="Bibliography"/>
        <w:rPr>
          <w:rFonts w:cs="Arial"/>
        </w:rPr>
      </w:pPr>
      <w:r w:rsidRPr="0025692F">
        <w:rPr>
          <w:rFonts w:cs="Arial"/>
        </w:rPr>
        <w:t xml:space="preserve">4. Massachusetts Department of Public Health. (2023). </w:t>
      </w:r>
      <w:r w:rsidRPr="0025692F">
        <w:rPr>
          <w:rFonts w:cs="Arial"/>
          <w:i/>
          <w:iCs/>
        </w:rPr>
        <w:t>Massachusetts Health Data Tool</w:t>
      </w:r>
      <w:r w:rsidRPr="0025692F">
        <w:rPr>
          <w:rFonts w:cs="Arial"/>
        </w:rPr>
        <w:t>. https://healthdatatool.mass.gov/</w:t>
      </w:r>
    </w:p>
    <w:p w14:paraId="32E167B9" w14:textId="77777777" w:rsidR="0025692F" w:rsidRPr="0025692F" w:rsidRDefault="0025692F" w:rsidP="0025692F">
      <w:pPr>
        <w:pStyle w:val="Bibliography"/>
        <w:rPr>
          <w:rFonts w:cs="Arial"/>
        </w:rPr>
      </w:pPr>
      <w:r w:rsidRPr="0025692F">
        <w:rPr>
          <w:rFonts w:cs="Arial"/>
        </w:rPr>
        <w:t xml:space="preserve">5. National Geographic. (2023, October 19). </w:t>
      </w:r>
      <w:r w:rsidRPr="0025692F">
        <w:rPr>
          <w:rFonts w:cs="Arial"/>
          <w:i/>
          <w:iCs/>
        </w:rPr>
        <w:t>First Public School in America</w:t>
      </w:r>
      <w:r w:rsidRPr="0025692F">
        <w:rPr>
          <w:rFonts w:cs="Arial"/>
        </w:rPr>
        <w:t>. https://education.nationalgeographic.org/resource/first-public-school-america</w:t>
      </w:r>
    </w:p>
    <w:p w14:paraId="0C54E0AD" w14:textId="77777777" w:rsidR="0025692F" w:rsidRPr="0025692F" w:rsidRDefault="0025692F" w:rsidP="0025692F">
      <w:pPr>
        <w:pStyle w:val="Bibliography"/>
        <w:rPr>
          <w:rFonts w:cs="Arial"/>
        </w:rPr>
      </w:pPr>
      <w:r w:rsidRPr="0025692F">
        <w:rPr>
          <w:rFonts w:cs="Arial"/>
        </w:rPr>
        <w:t xml:space="preserve">6. Town of Dedham. (n.d.). </w:t>
      </w:r>
      <w:r w:rsidRPr="0025692F">
        <w:rPr>
          <w:rFonts w:cs="Arial"/>
          <w:i/>
          <w:iCs/>
        </w:rPr>
        <w:t>Dedham’s History</w:t>
      </w:r>
      <w:r w:rsidRPr="0025692F">
        <w:rPr>
          <w:rFonts w:cs="Arial"/>
        </w:rPr>
        <w:t>. Retrieved June 25, 2024, from https://www.dedham-ma.gov/services/dedham-historical-society</w:t>
      </w:r>
    </w:p>
    <w:p w14:paraId="2F3C16BA" w14:textId="77777777" w:rsidR="0025692F" w:rsidRPr="0025692F" w:rsidRDefault="0025692F" w:rsidP="0025692F">
      <w:pPr>
        <w:pStyle w:val="Bibliography"/>
        <w:rPr>
          <w:rFonts w:cs="Arial"/>
        </w:rPr>
      </w:pPr>
      <w:r w:rsidRPr="0025692F">
        <w:rPr>
          <w:rFonts w:cs="Arial"/>
        </w:rPr>
        <w:t xml:space="preserve">7. Race Forward. (n.d.). </w:t>
      </w:r>
      <w:r w:rsidRPr="0025692F">
        <w:rPr>
          <w:rFonts w:cs="Arial"/>
          <w:i/>
          <w:iCs/>
        </w:rPr>
        <w:t>Historical Timeline of Public Education in the US</w:t>
      </w:r>
      <w:r w:rsidRPr="0025692F">
        <w:rPr>
          <w:rFonts w:cs="Arial"/>
        </w:rPr>
        <w:t>. Retrieved June 25, 2024, from https://give.raceforward.org/give/419664/#!/donation/checkout?eg=true&amp;egp=do&amp;egfa=true</w:t>
      </w:r>
    </w:p>
    <w:p w14:paraId="2F40BB28" w14:textId="77777777" w:rsidR="0025692F" w:rsidRPr="0025692F" w:rsidRDefault="0025692F" w:rsidP="0025692F">
      <w:pPr>
        <w:pStyle w:val="Bibliography"/>
        <w:rPr>
          <w:rFonts w:cs="Arial"/>
        </w:rPr>
      </w:pPr>
      <w:r w:rsidRPr="0025692F">
        <w:rPr>
          <w:rFonts w:cs="Arial"/>
        </w:rPr>
        <w:t xml:space="preserve">8. the English High School Association. (2021, July 9). History of The English High School. </w:t>
      </w:r>
      <w:r w:rsidRPr="0025692F">
        <w:rPr>
          <w:rFonts w:cs="Arial"/>
          <w:i/>
          <w:iCs/>
        </w:rPr>
        <w:t>The English High School Association</w:t>
      </w:r>
      <w:r w:rsidRPr="0025692F">
        <w:rPr>
          <w:rFonts w:cs="Arial"/>
        </w:rPr>
        <w:t>. https://englishhighalumni.org/2021/07/09/history-of-the-english-high-school/</w:t>
      </w:r>
    </w:p>
    <w:p w14:paraId="6158C259" w14:textId="77777777" w:rsidR="0025692F" w:rsidRPr="0025692F" w:rsidRDefault="0025692F" w:rsidP="0025692F">
      <w:pPr>
        <w:pStyle w:val="Bibliography"/>
        <w:rPr>
          <w:rFonts w:cs="Arial"/>
        </w:rPr>
      </w:pPr>
      <w:r w:rsidRPr="0025692F">
        <w:rPr>
          <w:rFonts w:cs="Arial"/>
        </w:rPr>
        <w:t xml:space="preserve">9. FutureEd. (2023, August 28). </w:t>
      </w:r>
      <w:r w:rsidRPr="0025692F">
        <w:rPr>
          <w:rFonts w:cs="Arial"/>
          <w:i/>
          <w:iCs/>
        </w:rPr>
        <w:t>Historical Milestones in American Education</w:t>
      </w:r>
      <w:r w:rsidRPr="0025692F">
        <w:rPr>
          <w:rFonts w:cs="Arial"/>
        </w:rPr>
        <w:t>. FutureEd. https://www.future-ed.org/u-s-education-timeline/</w:t>
      </w:r>
    </w:p>
    <w:p w14:paraId="2524C1DA" w14:textId="77777777" w:rsidR="0025692F" w:rsidRPr="0025692F" w:rsidRDefault="0025692F" w:rsidP="0025692F">
      <w:pPr>
        <w:pStyle w:val="Bibliography"/>
        <w:rPr>
          <w:rFonts w:cs="Arial"/>
        </w:rPr>
      </w:pPr>
      <w:r w:rsidRPr="0025692F">
        <w:rPr>
          <w:rFonts w:cs="Arial"/>
        </w:rPr>
        <w:t xml:space="preserve">10. WorldAtlas. (2018, August 30). </w:t>
      </w:r>
      <w:r w:rsidRPr="0025692F">
        <w:rPr>
          <w:rFonts w:cs="Arial"/>
          <w:i/>
          <w:iCs/>
        </w:rPr>
        <w:t>Where is the Oldest High School in America?</w:t>
      </w:r>
      <w:r w:rsidRPr="0025692F">
        <w:rPr>
          <w:rFonts w:cs="Arial"/>
        </w:rPr>
        <w:t xml:space="preserve"> https://www.worldatlas.com/articles/oldest-public-high-schools-in-the-united-states-still-in-use.html</w:t>
      </w:r>
    </w:p>
    <w:p w14:paraId="0E2D82CB" w14:textId="77777777" w:rsidR="0025692F" w:rsidRPr="0025692F" w:rsidRDefault="0025692F" w:rsidP="0025692F">
      <w:pPr>
        <w:pStyle w:val="Bibliography"/>
        <w:rPr>
          <w:rFonts w:cs="Arial"/>
        </w:rPr>
      </w:pPr>
      <w:r w:rsidRPr="0025692F">
        <w:rPr>
          <w:rFonts w:cs="Arial"/>
        </w:rPr>
        <w:t xml:space="preserve">11. Richard, B. (2024, March 22). </w:t>
      </w:r>
      <w:r w:rsidRPr="0025692F">
        <w:rPr>
          <w:rFonts w:cs="Arial"/>
          <w:i/>
          <w:iCs/>
        </w:rPr>
        <w:t>Massachusetts Home to 28 of 100 Oldest High Schools in America</w:t>
      </w:r>
      <w:r w:rsidRPr="0025692F">
        <w:rPr>
          <w:rFonts w:cs="Arial"/>
        </w:rPr>
        <w:t>. 1420 WBSM. https://wbsm.com/massachusetts-oldest-high-schools/</w:t>
      </w:r>
    </w:p>
    <w:p w14:paraId="02FF5AE0" w14:textId="77777777" w:rsidR="0025692F" w:rsidRPr="0025692F" w:rsidRDefault="0025692F" w:rsidP="0025692F">
      <w:pPr>
        <w:pStyle w:val="Bibliography"/>
        <w:rPr>
          <w:rFonts w:cs="Arial"/>
        </w:rPr>
      </w:pPr>
      <w:r w:rsidRPr="0025692F">
        <w:rPr>
          <w:rFonts w:cs="Arial"/>
        </w:rPr>
        <w:t xml:space="preserve">12. Massachusetts Department of Elementary and Secondary Education. (n.d.). </w:t>
      </w:r>
      <w:r w:rsidRPr="0025692F">
        <w:rPr>
          <w:rFonts w:cs="Arial"/>
          <w:i/>
          <w:iCs/>
        </w:rPr>
        <w:t>School and District Profiles</w:t>
      </w:r>
      <w:r w:rsidRPr="0025692F">
        <w:rPr>
          <w:rFonts w:cs="Arial"/>
        </w:rPr>
        <w:t>. Retrieved June 26, 2024, from https://profiles.doe.mass.edu/search/search.aspx?leftNavId=11238</w:t>
      </w:r>
    </w:p>
    <w:p w14:paraId="194DEE89" w14:textId="77777777" w:rsidR="0025692F" w:rsidRPr="0025692F" w:rsidRDefault="0025692F" w:rsidP="0025692F">
      <w:pPr>
        <w:pStyle w:val="Bibliography"/>
        <w:rPr>
          <w:rFonts w:cs="Arial"/>
        </w:rPr>
      </w:pPr>
      <w:r w:rsidRPr="0025692F">
        <w:rPr>
          <w:rFonts w:cs="Arial"/>
        </w:rPr>
        <w:t xml:space="preserve">13. Massachusetts Department of Elementary and Secondary Education. (n.d.). </w:t>
      </w:r>
      <w:r w:rsidRPr="0025692F">
        <w:rPr>
          <w:rFonts w:cs="Arial"/>
          <w:i/>
          <w:iCs/>
        </w:rPr>
        <w:t>School and District Profiles, General, 2023-24 Enrollment Data</w:t>
      </w:r>
      <w:r w:rsidRPr="0025692F">
        <w:rPr>
          <w:rFonts w:cs="Arial"/>
        </w:rPr>
        <w:t>. Retrieved July 29, 2024, from https://profiles.doe.mass.edu/general/generalstate.aspx?topNavID=1&amp;leftNavId=100&amp;orgcode=00000000&amp;orgtypecode=0</w:t>
      </w:r>
    </w:p>
    <w:p w14:paraId="5DC4C939" w14:textId="77777777" w:rsidR="0025692F" w:rsidRPr="0025692F" w:rsidRDefault="0025692F" w:rsidP="0025692F">
      <w:pPr>
        <w:pStyle w:val="Bibliography"/>
        <w:rPr>
          <w:rFonts w:cs="Arial"/>
        </w:rPr>
      </w:pPr>
      <w:r w:rsidRPr="0025692F">
        <w:rPr>
          <w:rFonts w:cs="Arial"/>
        </w:rPr>
        <w:t xml:space="preserve">14. National Geographic. (n.d.). </w:t>
      </w:r>
      <w:r w:rsidRPr="0025692F">
        <w:rPr>
          <w:rFonts w:cs="Arial"/>
          <w:i/>
          <w:iCs/>
        </w:rPr>
        <w:t>Urban Area</w:t>
      </w:r>
      <w:r w:rsidRPr="0025692F">
        <w:rPr>
          <w:rFonts w:cs="Arial"/>
        </w:rPr>
        <w:t>. Retrieved August 8, 2024, from https://education.nationalgeographic.org/resource/urban-area</w:t>
      </w:r>
    </w:p>
    <w:p w14:paraId="61687D2D" w14:textId="77777777" w:rsidR="0025692F" w:rsidRPr="0025692F" w:rsidRDefault="0025692F" w:rsidP="0025692F">
      <w:pPr>
        <w:pStyle w:val="Bibliography"/>
        <w:rPr>
          <w:rFonts w:cs="Arial"/>
        </w:rPr>
      </w:pPr>
      <w:r w:rsidRPr="0025692F">
        <w:rPr>
          <w:rFonts w:cs="Arial"/>
        </w:rPr>
        <w:t xml:space="preserve">15. MA State Office of Rural Health. (n.d.). </w:t>
      </w:r>
      <w:r w:rsidRPr="0025692F">
        <w:rPr>
          <w:rFonts w:cs="Arial"/>
          <w:i/>
          <w:iCs/>
        </w:rPr>
        <w:t>MA State Office of Rural Health Rural Definition</w:t>
      </w:r>
      <w:r w:rsidRPr="0025692F">
        <w:rPr>
          <w:rFonts w:cs="Arial"/>
        </w:rPr>
        <w:t>. https://www.mass.gov/doc/rural-definition-detail-0/download#:~:text=%2D%20Urbanized%20Areas%20(UAs)%20are,of%202%2C500%20to%2050%2C000%20people.</w:t>
      </w:r>
    </w:p>
    <w:p w14:paraId="00970FA7" w14:textId="77777777" w:rsidR="0025692F" w:rsidRPr="0025692F" w:rsidRDefault="0025692F" w:rsidP="0025692F">
      <w:pPr>
        <w:pStyle w:val="Bibliography"/>
        <w:rPr>
          <w:rFonts w:cs="Arial"/>
        </w:rPr>
      </w:pPr>
      <w:r w:rsidRPr="0025692F">
        <w:rPr>
          <w:rFonts w:cs="Arial"/>
        </w:rPr>
        <w:t xml:space="preserve">16. US EPA, O. (2014, February 28). </w:t>
      </w:r>
      <w:r w:rsidRPr="0025692F">
        <w:rPr>
          <w:rFonts w:cs="Arial"/>
          <w:i/>
          <w:iCs/>
        </w:rPr>
        <w:t>Heat Island Effect</w:t>
      </w:r>
      <w:r w:rsidRPr="0025692F">
        <w:rPr>
          <w:rFonts w:cs="Arial"/>
        </w:rPr>
        <w:t xml:space="preserve"> [Collections and Lists]. https://www.epa.gov/heatislands</w:t>
      </w:r>
    </w:p>
    <w:p w14:paraId="3E402726" w14:textId="77777777" w:rsidR="0025692F" w:rsidRPr="0025692F" w:rsidRDefault="0025692F" w:rsidP="0025692F">
      <w:pPr>
        <w:pStyle w:val="Bibliography"/>
        <w:rPr>
          <w:rFonts w:cs="Arial"/>
        </w:rPr>
      </w:pPr>
      <w:r w:rsidRPr="0025692F">
        <w:rPr>
          <w:rFonts w:cs="Arial"/>
        </w:rPr>
        <w:t xml:space="preserve">17. U.S. EPA, Region 3. (2020, August). </w:t>
      </w:r>
      <w:r w:rsidRPr="0025692F">
        <w:rPr>
          <w:rFonts w:cs="Arial"/>
          <w:i/>
          <w:iCs/>
        </w:rPr>
        <w:t>Lead in Soil</w:t>
      </w:r>
      <w:r w:rsidRPr="0025692F">
        <w:rPr>
          <w:rFonts w:cs="Arial"/>
        </w:rPr>
        <w:t>. https://www.epa.gov/sites/default/files/2020-10/documents/lead-in-soil-aug2020.pdf</w:t>
      </w:r>
    </w:p>
    <w:p w14:paraId="3E2AC076" w14:textId="77777777" w:rsidR="0025692F" w:rsidRPr="0025692F" w:rsidRDefault="0025692F" w:rsidP="0025692F">
      <w:pPr>
        <w:pStyle w:val="Bibliography"/>
        <w:rPr>
          <w:rFonts w:cs="Arial"/>
        </w:rPr>
      </w:pPr>
      <w:r w:rsidRPr="0025692F">
        <w:rPr>
          <w:rFonts w:cs="Arial"/>
        </w:rPr>
        <w:t xml:space="preserve">18. Ratcliffe, M., Burd, C., Holder, K., &amp; Fields, A. (2016, December). </w:t>
      </w:r>
      <w:r w:rsidRPr="0025692F">
        <w:rPr>
          <w:rFonts w:cs="Arial"/>
          <w:i/>
          <w:iCs/>
        </w:rPr>
        <w:t>Defining Rural at the U.S. Census Bureau</w:t>
      </w:r>
      <w:r w:rsidRPr="0025692F">
        <w:rPr>
          <w:rFonts w:cs="Arial"/>
        </w:rPr>
        <w:t xml:space="preserve">. U.S. Department of Commerce, Economics and Statistics </w:t>
      </w:r>
      <w:r w:rsidRPr="0025692F">
        <w:rPr>
          <w:rFonts w:cs="Arial"/>
        </w:rPr>
        <w:lastRenderedPageBreak/>
        <w:t>Administration, U.S. Census Bureau. https://www2.census.gov/geo/pdfs/reference/ua/Defining_Rural.pdf</w:t>
      </w:r>
    </w:p>
    <w:p w14:paraId="09264424" w14:textId="77777777" w:rsidR="0025692F" w:rsidRPr="0025692F" w:rsidRDefault="0025692F" w:rsidP="0025692F">
      <w:pPr>
        <w:pStyle w:val="Bibliography"/>
        <w:rPr>
          <w:rFonts w:cs="Arial"/>
        </w:rPr>
      </w:pPr>
      <w:r w:rsidRPr="0025692F">
        <w:rPr>
          <w:rFonts w:cs="Arial"/>
        </w:rPr>
        <w:t xml:space="preserve">19. Health Resources and Services Administration. (2024, January). </w:t>
      </w:r>
      <w:r w:rsidRPr="0025692F">
        <w:rPr>
          <w:rFonts w:cs="Arial"/>
          <w:i/>
          <w:iCs/>
        </w:rPr>
        <w:t>Defining Rural Population</w:t>
      </w:r>
      <w:r w:rsidRPr="0025692F">
        <w:rPr>
          <w:rFonts w:cs="Arial"/>
        </w:rPr>
        <w:t>. https://www.hrsa.gov/rural-health/about-us/what-is-rural</w:t>
      </w:r>
    </w:p>
    <w:p w14:paraId="1C10C151" w14:textId="77777777" w:rsidR="0025692F" w:rsidRPr="0025692F" w:rsidRDefault="0025692F" w:rsidP="0025692F">
      <w:pPr>
        <w:pStyle w:val="Bibliography"/>
        <w:rPr>
          <w:rFonts w:cs="Arial"/>
        </w:rPr>
      </w:pPr>
      <w:r w:rsidRPr="0025692F">
        <w:rPr>
          <w:rFonts w:cs="Arial"/>
        </w:rPr>
        <w:t xml:space="preserve">20. </w:t>
      </w:r>
      <w:r w:rsidRPr="0025692F">
        <w:rPr>
          <w:rFonts w:cs="Arial"/>
          <w:i/>
          <w:iCs/>
        </w:rPr>
        <w:t>USDA ERS - Rural Classifications</w:t>
      </w:r>
      <w:r w:rsidRPr="0025692F">
        <w:rPr>
          <w:rFonts w:cs="Arial"/>
        </w:rPr>
        <w:t>. (2024, March 26). https://www.ers.usda.gov/topics/rural-economy-population/rural-classifications/</w:t>
      </w:r>
    </w:p>
    <w:p w14:paraId="49D508A8" w14:textId="77777777" w:rsidR="0025692F" w:rsidRPr="0025692F" w:rsidRDefault="0025692F" w:rsidP="0025692F">
      <w:pPr>
        <w:pStyle w:val="Bibliography"/>
        <w:rPr>
          <w:rFonts w:cs="Arial"/>
        </w:rPr>
      </w:pPr>
      <w:r w:rsidRPr="0025692F">
        <w:rPr>
          <w:rFonts w:cs="Arial"/>
        </w:rPr>
        <w:t xml:space="preserve">21. Berkshire Regional Planning Commission. (n.d.). </w:t>
      </w:r>
      <w:r w:rsidRPr="0025692F">
        <w:rPr>
          <w:rFonts w:cs="Arial"/>
          <w:i/>
          <w:iCs/>
        </w:rPr>
        <w:t>Massachusetts Rural Policy Plan</w:t>
      </w:r>
      <w:r w:rsidRPr="0025692F">
        <w:rPr>
          <w:rFonts w:cs="Arial"/>
        </w:rPr>
        <w:t>. Berkshire Regional Planning Commission. Retrieved August 8, 2024, from https://berkshireplanning.org/initiatives/massachusetts-rural-policy-plan/</w:t>
      </w:r>
    </w:p>
    <w:p w14:paraId="0CB9F2C5" w14:textId="77777777" w:rsidR="0025692F" w:rsidRPr="0025692F" w:rsidRDefault="0025692F" w:rsidP="0025692F">
      <w:pPr>
        <w:pStyle w:val="Bibliography"/>
        <w:rPr>
          <w:rFonts w:cs="Arial"/>
        </w:rPr>
      </w:pPr>
      <w:r w:rsidRPr="0025692F">
        <w:rPr>
          <w:rFonts w:cs="Arial"/>
        </w:rPr>
        <w:t xml:space="preserve">22. Executive Office of Energy and Environmental Affairs. (2022, December). </w:t>
      </w:r>
      <w:r w:rsidRPr="0025692F">
        <w:rPr>
          <w:rFonts w:cs="Arial"/>
          <w:i/>
          <w:iCs/>
        </w:rPr>
        <w:t>2022 Massachusetts Climate Change Assessment</w:t>
      </w:r>
      <w:r w:rsidRPr="0025692F">
        <w:rPr>
          <w:rFonts w:cs="Arial"/>
        </w:rPr>
        <w:t>. https://www.mass.gov/info-details/massachusetts-climate-change-assessment#read-the-report-</w:t>
      </w:r>
    </w:p>
    <w:p w14:paraId="54A32BF5" w14:textId="77777777" w:rsidR="0025692F" w:rsidRPr="0025692F" w:rsidRDefault="0025692F" w:rsidP="0025692F">
      <w:pPr>
        <w:pStyle w:val="Bibliography"/>
        <w:rPr>
          <w:rFonts w:cs="Arial"/>
        </w:rPr>
      </w:pPr>
      <w:r w:rsidRPr="0025692F">
        <w:rPr>
          <w:rFonts w:cs="Arial"/>
        </w:rPr>
        <w:t xml:space="preserve">23. Rural Schools Advocacy in Massachusetts. (n.d.). </w:t>
      </w:r>
      <w:r w:rsidRPr="0025692F">
        <w:rPr>
          <w:rFonts w:cs="Arial"/>
          <w:i/>
          <w:iCs/>
        </w:rPr>
        <w:t>Rural Needs and Information Sources</w:t>
      </w:r>
      <w:r w:rsidRPr="0025692F">
        <w:rPr>
          <w:rFonts w:cs="Arial"/>
        </w:rPr>
        <w:t>. Rural Schools Advocacy in Massachusetts. Retrieved July 8, 2024, from https://www.ruralschoolsma.org/info</w:t>
      </w:r>
    </w:p>
    <w:p w14:paraId="12DA3F48" w14:textId="77777777" w:rsidR="0025692F" w:rsidRPr="0025692F" w:rsidRDefault="0025692F" w:rsidP="0025692F">
      <w:pPr>
        <w:pStyle w:val="Bibliography"/>
        <w:rPr>
          <w:rFonts w:cs="Arial"/>
        </w:rPr>
      </w:pPr>
      <w:r w:rsidRPr="0025692F">
        <w:rPr>
          <w:rFonts w:cs="Arial"/>
        </w:rPr>
        <w:t xml:space="preserve">24. Grossman, E. (2016, November 10). 12,000 U.S. schools are within a mile of a hazardous chemical facility. What should we do about that? </w:t>
      </w:r>
      <w:r w:rsidRPr="0025692F">
        <w:rPr>
          <w:rFonts w:cs="Arial"/>
          <w:i/>
          <w:iCs/>
        </w:rPr>
        <w:t>Ensia</w:t>
      </w:r>
      <w:r w:rsidRPr="0025692F">
        <w:rPr>
          <w:rFonts w:cs="Arial"/>
        </w:rPr>
        <w:t>. https://ensia.com/features/schools-hazardous-chemical-facilities/</w:t>
      </w:r>
    </w:p>
    <w:p w14:paraId="59BA6880" w14:textId="77777777" w:rsidR="0025692F" w:rsidRPr="0025692F" w:rsidRDefault="0025692F" w:rsidP="0025692F">
      <w:pPr>
        <w:pStyle w:val="Bibliography"/>
        <w:rPr>
          <w:rFonts w:cs="Arial"/>
        </w:rPr>
      </w:pPr>
      <w:r w:rsidRPr="0025692F">
        <w:rPr>
          <w:rFonts w:cs="Arial"/>
        </w:rPr>
        <w:t xml:space="preserve">25. Meng, Y. (2020). Schools near Toxics Release Inventory Sites: An Environmental Justice Study for Schoolchildren in Boston, MA. </w:t>
      </w:r>
      <w:r w:rsidRPr="0025692F">
        <w:rPr>
          <w:rFonts w:cs="Arial"/>
          <w:i/>
          <w:iCs/>
        </w:rPr>
        <w:t>Cybergeo: European Journal of Geography</w:t>
      </w:r>
      <w:r w:rsidRPr="0025692F">
        <w:rPr>
          <w:rFonts w:cs="Arial"/>
        </w:rPr>
        <w:t>. https://doi.org/10.4000/cybergeo.34682</w:t>
      </w:r>
    </w:p>
    <w:p w14:paraId="5F47CAF1" w14:textId="77777777" w:rsidR="0025692F" w:rsidRPr="0025692F" w:rsidRDefault="0025692F" w:rsidP="0025692F">
      <w:pPr>
        <w:pStyle w:val="Bibliography"/>
        <w:rPr>
          <w:rFonts w:cs="Arial"/>
        </w:rPr>
      </w:pPr>
      <w:r w:rsidRPr="0025692F">
        <w:rPr>
          <w:rFonts w:cs="Arial"/>
        </w:rPr>
        <w:t xml:space="preserve">26. US EPA, O. (2015, September 23). </w:t>
      </w:r>
      <w:r w:rsidRPr="0025692F">
        <w:rPr>
          <w:rFonts w:cs="Arial"/>
          <w:i/>
          <w:iCs/>
        </w:rPr>
        <w:t>What is Vapor Intrusion?</w:t>
      </w:r>
      <w:r w:rsidRPr="0025692F">
        <w:rPr>
          <w:rFonts w:cs="Arial"/>
        </w:rPr>
        <w:t xml:space="preserve"> [Overviews and Factsheets]. https://www.epa.gov/vaporintrusion/what-vapor-intrusion</w:t>
      </w:r>
    </w:p>
    <w:p w14:paraId="60417496" w14:textId="77777777" w:rsidR="0025692F" w:rsidRPr="0025692F" w:rsidRDefault="0025692F" w:rsidP="0025692F">
      <w:pPr>
        <w:pStyle w:val="Bibliography"/>
        <w:rPr>
          <w:rFonts w:cs="Arial"/>
        </w:rPr>
      </w:pPr>
      <w:r w:rsidRPr="0025692F">
        <w:rPr>
          <w:rFonts w:cs="Arial"/>
        </w:rPr>
        <w:t xml:space="preserve">27. Massachusetts School Building Authority. (2024). </w:t>
      </w:r>
      <w:r w:rsidRPr="0025692F">
        <w:rPr>
          <w:rFonts w:cs="Arial"/>
          <w:i/>
          <w:iCs/>
        </w:rPr>
        <w:t>About Us | Massachusetts School Building Authority</w:t>
      </w:r>
      <w:r w:rsidRPr="0025692F">
        <w:rPr>
          <w:rFonts w:cs="Arial"/>
        </w:rPr>
        <w:t>. https://www.massschoolbuildings.org/about</w:t>
      </w:r>
    </w:p>
    <w:p w14:paraId="4A22940E" w14:textId="77777777" w:rsidR="0025692F" w:rsidRPr="0025692F" w:rsidRDefault="0025692F" w:rsidP="0025692F">
      <w:pPr>
        <w:pStyle w:val="Bibliography"/>
        <w:rPr>
          <w:rFonts w:cs="Arial"/>
        </w:rPr>
      </w:pPr>
      <w:r w:rsidRPr="0025692F">
        <w:rPr>
          <w:rFonts w:cs="Arial"/>
        </w:rPr>
        <w:t xml:space="preserve">28. Massachusetts School Building Authority. (n.d.). </w:t>
      </w:r>
      <w:r w:rsidRPr="0025692F">
        <w:rPr>
          <w:rFonts w:cs="Arial"/>
          <w:i/>
          <w:iCs/>
        </w:rPr>
        <w:t>Needs Survey FAQs</w:t>
      </w:r>
      <w:r w:rsidRPr="0025692F">
        <w:rPr>
          <w:rFonts w:cs="Arial"/>
        </w:rPr>
        <w:t>. Retrieved June 26, 2024, from https://www.massschoolbuildings.org/programs/needs_survey/FAQs</w:t>
      </w:r>
    </w:p>
    <w:p w14:paraId="2B96B6B4" w14:textId="77777777" w:rsidR="0025692F" w:rsidRPr="0025692F" w:rsidRDefault="0025692F" w:rsidP="0025692F">
      <w:pPr>
        <w:pStyle w:val="Bibliography"/>
        <w:rPr>
          <w:rFonts w:cs="Arial"/>
        </w:rPr>
      </w:pPr>
      <w:r w:rsidRPr="0025692F">
        <w:rPr>
          <w:rFonts w:cs="Arial"/>
        </w:rPr>
        <w:t xml:space="preserve">29. Trial Court Law Libraries. (2024, May 10). </w:t>
      </w:r>
      <w:r w:rsidRPr="0025692F">
        <w:rPr>
          <w:rFonts w:cs="Arial"/>
          <w:i/>
          <w:iCs/>
        </w:rPr>
        <w:t>963 CMR 2.00: School building grant program</w:t>
      </w:r>
      <w:r w:rsidRPr="0025692F">
        <w:rPr>
          <w:rFonts w:cs="Arial"/>
        </w:rPr>
        <w:t>. https://www.mass.gov/regulations/963-CMR-200-school-building-grant-program</w:t>
      </w:r>
    </w:p>
    <w:p w14:paraId="4FEBD428" w14:textId="77777777" w:rsidR="0025692F" w:rsidRPr="0025692F" w:rsidRDefault="0025692F" w:rsidP="0025692F">
      <w:pPr>
        <w:pStyle w:val="Bibliography"/>
        <w:rPr>
          <w:rFonts w:cs="Arial"/>
        </w:rPr>
      </w:pPr>
      <w:r w:rsidRPr="0025692F">
        <w:rPr>
          <w:rFonts w:cs="Arial"/>
        </w:rPr>
        <w:t xml:space="preserve">30. </w:t>
      </w:r>
      <w:r w:rsidRPr="0025692F">
        <w:rPr>
          <w:rFonts w:cs="Arial"/>
          <w:i/>
          <w:iCs/>
        </w:rPr>
        <w:t>Chapter 70B: School Building Assistance Program</w:t>
      </w:r>
      <w:r w:rsidRPr="0025692F">
        <w:rPr>
          <w:rFonts w:cs="Arial"/>
        </w:rPr>
        <w:t>. (n.d.). Retrieved June 17, 2024, from https://malegislature.gov/Laws/GeneralLaws/PartI/TitleXII/Chapter70B</w:t>
      </w:r>
    </w:p>
    <w:p w14:paraId="2536E849" w14:textId="77777777" w:rsidR="0025692F" w:rsidRPr="0025692F" w:rsidRDefault="0025692F" w:rsidP="0025692F">
      <w:pPr>
        <w:pStyle w:val="Bibliography"/>
        <w:rPr>
          <w:rFonts w:cs="Arial"/>
        </w:rPr>
      </w:pPr>
      <w:r w:rsidRPr="0025692F">
        <w:rPr>
          <w:rFonts w:cs="Arial"/>
        </w:rPr>
        <w:t xml:space="preserve">31. Massachusetts School Building Authority. (n.d.). </w:t>
      </w:r>
      <w:r w:rsidRPr="0025692F">
        <w:rPr>
          <w:rFonts w:cs="Arial"/>
          <w:i/>
          <w:iCs/>
        </w:rPr>
        <w:t>Reimbursement Rate Calculation</w:t>
      </w:r>
      <w:r w:rsidRPr="0025692F">
        <w:rPr>
          <w:rFonts w:cs="Arial"/>
        </w:rPr>
        <w:t>. Retrieved September 24, 2024, from https://www.massschoolbuildings.org/sites/default/files/edit-contentfiles/Guidelines_Forms/Pro-Pay/Reimbursement-Rate-Calculation-UPDATE%20with%20changes.pdf</w:t>
      </w:r>
    </w:p>
    <w:p w14:paraId="467A059F" w14:textId="77777777" w:rsidR="0025692F" w:rsidRPr="0025692F" w:rsidRDefault="0025692F" w:rsidP="0025692F">
      <w:pPr>
        <w:pStyle w:val="Bibliography"/>
        <w:rPr>
          <w:rFonts w:cs="Arial"/>
        </w:rPr>
      </w:pPr>
      <w:r w:rsidRPr="0025692F">
        <w:rPr>
          <w:rFonts w:cs="Arial"/>
        </w:rPr>
        <w:t xml:space="preserve">32. The General Court of the Commonwealth of Massachusetts. (2022, August 11). </w:t>
      </w:r>
      <w:r w:rsidRPr="0025692F">
        <w:rPr>
          <w:rFonts w:cs="Arial"/>
          <w:i/>
          <w:iCs/>
        </w:rPr>
        <w:t>Session Law—Acts of 2022 Chapter 179</w:t>
      </w:r>
      <w:r w:rsidRPr="0025692F">
        <w:rPr>
          <w:rFonts w:cs="Arial"/>
        </w:rPr>
        <w:t>. https://malegislature.gov/Laws/SessionLaws/Acts/2022/Chapter179</w:t>
      </w:r>
    </w:p>
    <w:p w14:paraId="52367B14" w14:textId="77777777" w:rsidR="0025692F" w:rsidRPr="0025692F" w:rsidRDefault="0025692F" w:rsidP="0025692F">
      <w:pPr>
        <w:pStyle w:val="Bibliography"/>
        <w:rPr>
          <w:rFonts w:cs="Arial"/>
        </w:rPr>
      </w:pPr>
      <w:r w:rsidRPr="0025692F">
        <w:rPr>
          <w:rFonts w:cs="Arial"/>
        </w:rPr>
        <w:t xml:space="preserve">33. Alliance. (n.d.). </w:t>
      </w:r>
      <w:r w:rsidRPr="0025692F">
        <w:rPr>
          <w:rFonts w:cs="Arial"/>
          <w:i/>
          <w:iCs/>
        </w:rPr>
        <w:t>Green &amp; Healthy Schools Academy—Green Building Alliance</w:t>
      </w:r>
      <w:r w:rsidRPr="0025692F">
        <w:rPr>
          <w:rFonts w:cs="Arial"/>
        </w:rPr>
        <w:t>. Retrieved December 12, 2024, from https://www.gba.org/initiatives/green-healthy-schools-academy/</w:t>
      </w:r>
    </w:p>
    <w:p w14:paraId="0F1C91B3" w14:textId="77777777" w:rsidR="0025692F" w:rsidRPr="0025692F" w:rsidRDefault="0025692F" w:rsidP="0025692F">
      <w:pPr>
        <w:pStyle w:val="Bibliography"/>
        <w:rPr>
          <w:rFonts w:cs="Arial"/>
        </w:rPr>
      </w:pPr>
      <w:r w:rsidRPr="0025692F">
        <w:rPr>
          <w:rFonts w:cs="Arial"/>
        </w:rPr>
        <w:t xml:space="preserve">34. The White House. (2024, April 26). </w:t>
      </w:r>
      <w:r w:rsidRPr="0025692F">
        <w:rPr>
          <w:rFonts w:cs="Arial"/>
          <w:i/>
          <w:iCs/>
        </w:rPr>
        <w:t>Fact Sheet: Biden-Harris Administration Hosts First-Ever White House Summit for Sustainable and Healthy Schools</w:t>
      </w:r>
      <w:r w:rsidRPr="0025692F">
        <w:rPr>
          <w:rFonts w:cs="Arial"/>
        </w:rPr>
        <w:t>. The White House. https://www.whitehouse.gov/briefing-room/statements-releases/2024/04/26/fact-sheet-biden-harris-administration-hosts-first-ever-white-house-summit-for-sustainable-and-healthy-schools/</w:t>
      </w:r>
    </w:p>
    <w:p w14:paraId="560E34ED" w14:textId="77777777" w:rsidR="0025692F" w:rsidRPr="0025692F" w:rsidRDefault="0025692F" w:rsidP="0025692F">
      <w:pPr>
        <w:pStyle w:val="Bibliography"/>
        <w:rPr>
          <w:rFonts w:cs="Arial"/>
        </w:rPr>
      </w:pPr>
      <w:r w:rsidRPr="0025692F">
        <w:rPr>
          <w:rFonts w:cs="Arial"/>
        </w:rPr>
        <w:t xml:space="preserve">35. Baillie, T. (2024, May 30). </w:t>
      </w:r>
      <w:r w:rsidRPr="0025692F">
        <w:rPr>
          <w:rFonts w:cs="Arial"/>
          <w:i/>
          <w:iCs/>
        </w:rPr>
        <w:t>Webinar Recap: Making the Honor Role with K-12 Waste Reduction</w:t>
      </w:r>
      <w:r w:rsidRPr="0025692F">
        <w:rPr>
          <w:rFonts w:cs="Arial"/>
        </w:rPr>
        <w:t>. Busch Systems Blog. https://www.buschsystems.com/blog/webinars/webinar-recap-k-12-waste-reduction/</w:t>
      </w:r>
    </w:p>
    <w:p w14:paraId="7A114B13" w14:textId="77777777" w:rsidR="0025692F" w:rsidRPr="0025692F" w:rsidRDefault="0025692F" w:rsidP="0025692F">
      <w:pPr>
        <w:pStyle w:val="Bibliography"/>
        <w:rPr>
          <w:rFonts w:cs="Arial"/>
        </w:rPr>
      </w:pPr>
      <w:r w:rsidRPr="0025692F">
        <w:rPr>
          <w:rFonts w:cs="Arial"/>
        </w:rPr>
        <w:lastRenderedPageBreak/>
        <w:t xml:space="preserve">36. New Buildings Institute. (n.d.). </w:t>
      </w:r>
      <w:r w:rsidRPr="0025692F">
        <w:rPr>
          <w:rFonts w:cs="Arial"/>
          <w:i/>
          <w:iCs/>
        </w:rPr>
        <w:t>Decarbonizing School Buildings – the Building Electrification Technology Roadmap</w:t>
      </w:r>
      <w:r w:rsidRPr="0025692F">
        <w:rPr>
          <w:rFonts w:cs="Arial"/>
        </w:rPr>
        <w:t>. Retrieved July 24, 2024, from https://drive.google.com/file/d/1yPyI994sR9BLtcrYCtul5Q47Jlwygtb7/view</w:t>
      </w:r>
    </w:p>
    <w:p w14:paraId="047A1616" w14:textId="77777777" w:rsidR="0025692F" w:rsidRPr="0025692F" w:rsidRDefault="0025692F" w:rsidP="0025692F">
      <w:pPr>
        <w:pStyle w:val="Bibliography"/>
        <w:rPr>
          <w:rFonts w:cs="Arial"/>
        </w:rPr>
      </w:pPr>
      <w:r w:rsidRPr="0025692F">
        <w:rPr>
          <w:rFonts w:cs="Arial"/>
        </w:rPr>
        <w:t xml:space="preserve">37. Massachusetts Clean Energy Center. (n.d.). </w:t>
      </w:r>
      <w:r w:rsidRPr="0025692F">
        <w:rPr>
          <w:rFonts w:cs="Arial"/>
          <w:i/>
          <w:iCs/>
        </w:rPr>
        <w:t>Green School Works</w:t>
      </w:r>
      <w:r w:rsidRPr="0025692F">
        <w:rPr>
          <w:rFonts w:cs="Arial"/>
        </w:rPr>
        <w:t>. Retrieved July 24, 2024, from https://www.masscec.com/program/green-school-works</w:t>
      </w:r>
    </w:p>
    <w:p w14:paraId="5AADF8F9" w14:textId="77777777" w:rsidR="0025692F" w:rsidRPr="0025692F" w:rsidRDefault="0025692F" w:rsidP="0025692F">
      <w:pPr>
        <w:pStyle w:val="Bibliography"/>
        <w:rPr>
          <w:rFonts w:cs="Arial"/>
        </w:rPr>
      </w:pPr>
      <w:r w:rsidRPr="0025692F">
        <w:rPr>
          <w:rFonts w:cs="Arial"/>
        </w:rPr>
        <w:t xml:space="preserve">38. </w:t>
      </w:r>
      <w:r w:rsidRPr="0025692F">
        <w:rPr>
          <w:rFonts w:cs="Arial"/>
          <w:i/>
          <w:iCs/>
        </w:rPr>
        <w:t>2023 Stretch Energy Code Update and Municipal Opt-in Specialized Code</w:t>
      </w:r>
      <w:r w:rsidRPr="0025692F">
        <w:rPr>
          <w:rFonts w:cs="Arial"/>
        </w:rPr>
        <w:t>. (2022, September 22).</w:t>
      </w:r>
    </w:p>
    <w:p w14:paraId="5F353E06" w14:textId="77777777" w:rsidR="0025692F" w:rsidRPr="0025692F" w:rsidRDefault="0025692F" w:rsidP="0025692F">
      <w:pPr>
        <w:pStyle w:val="Bibliography"/>
        <w:rPr>
          <w:rFonts w:cs="Arial"/>
        </w:rPr>
      </w:pPr>
      <w:r w:rsidRPr="0025692F">
        <w:rPr>
          <w:rFonts w:cs="Arial"/>
        </w:rPr>
        <w:t xml:space="preserve">39. </w:t>
      </w:r>
      <w:r w:rsidRPr="0025692F">
        <w:rPr>
          <w:rFonts w:cs="Arial"/>
          <w:i/>
          <w:iCs/>
        </w:rPr>
        <w:t>Massachusetts Climate Report Card—Buildings Decarbonization</w:t>
      </w:r>
      <w:r w:rsidRPr="0025692F">
        <w:rPr>
          <w:rFonts w:cs="Arial"/>
        </w:rPr>
        <w:t>. (n.d.). Retrieved June 17, 2024, from https://www.mass.gov/info-details/massachusetts-climate-report-card-buildings-decarbonization</w:t>
      </w:r>
    </w:p>
    <w:p w14:paraId="189956A8" w14:textId="77777777" w:rsidR="0025692F" w:rsidRPr="0025692F" w:rsidRDefault="0025692F" w:rsidP="0025692F">
      <w:pPr>
        <w:pStyle w:val="Bibliography"/>
        <w:rPr>
          <w:rFonts w:cs="Arial"/>
        </w:rPr>
      </w:pPr>
      <w:r w:rsidRPr="0025692F">
        <w:rPr>
          <w:rFonts w:cs="Arial"/>
        </w:rPr>
        <w:t xml:space="preserve">40. </w:t>
      </w:r>
      <w:r w:rsidRPr="0025692F">
        <w:rPr>
          <w:rFonts w:cs="Arial"/>
          <w:i/>
          <w:iCs/>
        </w:rPr>
        <w:t>Massachusetts Clean Energy and Climate Plan for 2025 and 2030</w:t>
      </w:r>
      <w:r w:rsidRPr="0025692F">
        <w:rPr>
          <w:rFonts w:cs="Arial"/>
        </w:rPr>
        <w:t>. (2022, June 30). https://www.mass.gov/doc/clean-energy-and-climate-plan-for-2025-and-2030/download</w:t>
      </w:r>
    </w:p>
    <w:p w14:paraId="4D9E22C7" w14:textId="77777777" w:rsidR="0025692F" w:rsidRPr="0025692F" w:rsidRDefault="0025692F" w:rsidP="0025692F">
      <w:pPr>
        <w:pStyle w:val="Bibliography"/>
        <w:rPr>
          <w:rFonts w:cs="Arial"/>
        </w:rPr>
      </w:pPr>
      <w:r w:rsidRPr="0025692F">
        <w:rPr>
          <w:rFonts w:cs="Arial"/>
        </w:rPr>
        <w:t xml:space="preserve">41. </w:t>
      </w:r>
      <w:r w:rsidRPr="0025692F">
        <w:rPr>
          <w:rFonts w:cs="Arial"/>
          <w:i/>
          <w:iCs/>
        </w:rPr>
        <w:t>Executive Order No. 594: Leading By Example: Decarbonizing and Minimizing Environmental Impacts of State Government</w:t>
      </w:r>
      <w:r w:rsidRPr="0025692F">
        <w:rPr>
          <w:rFonts w:cs="Arial"/>
        </w:rPr>
        <w:t>. (n.d.). Retrieved June 13, 2024, from https://www.mass.gov/executive-orders/no-594-leading-by-example-decarbonizing-and-minimizing-environmental-impacts-of-state-government</w:t>
      </w:r>
    </w:p>
    <w:p w14:paraId="46A90B87" w14:textId="77777777" w:rsidR="0025692F" w:rsidRPr="0025692F" w:rsidRDefault="0025692F" w:rsidP="0025692F">
      <w:pPr>
        <w:pStyle w:val="Bibliography"/>
        <w:rPr>
          <w:rFonts w:cs="Arial"/>
        </w:rPr>
      </w:pPr>
      <w:r w:rsidRPr="0025692F">
        <w:rPr>
          <w:rFonts w:cs="Arial"/>
        </w:rPr>
        <w:t xml:space="preserve">42. Mills, R. (2024, May 22). </w:t>
      </w:r>
      <w:r w:rsidRPr="0025692F">
        <w:rPr>
          <w:rFonts w:cs="Arial"/>
          <w:i/>
          <w:iCs/>
        </w:rPr>
        <w:t>The Retrofit Playbook for Large Buildings</w:t>
      </w:r>
      <w:r w:rsidRPr="0025692F">
        <w:rPr>
          <w:rFonts w:cs="Arial"/>
        </w:rPr>
        <w:t>. RMI. https://rmi.org/the-retrofit-playbook-for-large-buildings/</w:t>
      </w:r>
    </w:p>
    <w:p w14:paraId="5E2C0EB6" w14:textId="77777777" w:rsidR="0025692F" w:rsidRPr="0025692F" w:rsidRDefault="0025692F" w:rsidP="0025692F">
      <w:pPr>
        <w:pStyle w:val="Bibliography"/>
        <w:rPr>
          <w:rFonts w:cs="Arial"/>
        </w:rPr>
      </w:pPr>
      <w:r w:rsidRPr="0025692F">
        <w:rPr>
          <w:rFonts w:cs="Arial"/>
        </w:rPr>
        <w:t xml:space="preserve">43. Torcellini, P., Zaleski, S., &amp; McIntyre, M. (2021). </w:t>
      </w:r>
      <w:r w:rsidRPr="0025692F">
        <w:rPr>
          <w:rFonts w:cs="Arial"/>
          <w:i/>
          <w:iCs/>
        </w:rPr>
        <w:t>Affordable Zero Energy K-12 Schools: The Cost Barrier Illusion</w:t>
      </w:r>
      <w:r w:rsidRPr="0025692F">
        <w:rPr>
          <w:rFonts w:cs="Arial"/>
        </w:rPr>
        <w:t xml:space="preserve"> (No. NREL/TP-5500-80766, 1837979, MainId:77550; p. NREL/TP-5500-80766, 1837979, MainId:77550). https://doi.org/10.2172/1837979</w:t>
      </w:r>
    </w:p>
    <w:p w14:paraId="5B3D3FB2" w14:textId="77777777" w:rsidR="0025692F" w:rsidRPr="0025692F" w:rsidRDefault="0025692F" w:rsidP="0025692F">
      <w:pPr>
        <w:pStyle w:val="Bibliography"/>
        <w:rPr>
          <w:rFonts w:cs="Arial"/>
        </w:rPr>
      </w:pPr>
      <w:r w:rsidRPr="0025692F">
        <w:rPr>
          <w:rFonts w:cs="Arial"/>
        </w:rPr>
        <w:t xml:space="preserve">44. US EPA. (2024, May 24). </w:t>
      </w:r>
      <w:r w:rsidRPr="0025692F">
        <w:rPr>
          <w:rFonts w:cs="Arial"/>
          <w:i/>
          <w:iCs/>
        </w:rPr>
        <w:t>About WaterSense</w:t>
      </w:r>
      <w:r w:rsidRPr="0025692F">
        <w:rPr>
          <w:rFonts w:cs="Arial"/>
        </w:rPr>
        <w:t>. https://www.epa.gov/watersense/about-watersense</w:t>
      </w:r>
    </w:p>
    <w:p w14:paraId="57C178DD" w14:textId="77777777" w:rsidR="0025692F" w:rsidRPr="0025692F" w:rsidRDefault="0025692F" w:rsidP="0025692F">
      <w:pPr>
        <w:pStyle w:val="Bibliography"/>
        <w:rPr>
          <w:rFonts w:cs="Arial"/>
        </w:rPr>
      </w:pPr>
      <w:r w:rsidRPr="0025692F">
        <w:rPr>
          <w:rFonts w:cs="Arial"/>
        </w:rPr>
        <w:t xml:space="preserve">45. U.S. Department of Agriculture, National Drought Mitigation Center at the University of Nebraska-Lincoln, &amp; National Oceanic and Atmospheric Administration. (2024). </w:t>
      </w:r>
      <w:r w:rsidRPr="0025692F">
        <w:rPr>
          <w:rFonts w:cs="Arial"/>
          <w:i/>
          <w:iCs/>
        </w:rPr>
        <w:t>Time Series | U.S. Drought Monitor</w:t>
      </w:r>
      <w:r w:rsidRPr="0025692F">
        <w:rPr>
          <w:rFonts w:cs="Arial"/>
        </w:rPr>
        <w:t>. https://droughtmonitor.unl.edu/DmData/TimeSeries.aspx</w:t>
      </w:r>
    </w:p>
    <w:p w14:paraId="34469106" w14:textId="77777777" w:rsidR="0025692F" w:rsidRPr="0025692F" w:rsidRDefault="0025692F" w:rsidP="0025692F">
      <w:pPr>
        <w:pStyle w:val="Bibliography"/>
        <w:rPr>
          <w:rFonts w:cs="Arial"/>
        </w:rPr>
      </w:pPr>
      <w:r w:rsidRPr="0025692F">
        <w:rPr>
          <w:rFonts w:cs="Arial"/>
        </w:rPr>
        <w:t xml:space="preserve">46. Massachusetts Energy and Environmental Affairs and Massachusetts Emergency Management Agency. (2023). </w:t>
      </w:r>
      <w:r w:rsidRPr="0025692F">
        <w:rPr>
          <w:rFonts w:cs="Arial"/>
          <w:i/>
          <w:iCs/>
        </w:rPr>
        <w:t>Massachusetts Drought Management Plan Preparedness &amp; Response</w:t>
      </w:r>
      <w:r w:rsidRPr="0025692F">
        <w:rPr>
          <w:rFonts w:cs="Arial"/>
        </w:rPr>
        <w:t>. https://www.mass.gov/doc/massachusetts-drought-management-plan/download</w:t>
      </w:r>
    </w:p>
    <w:p w14:paraId="12366BC0" w14:textId="77777777" w:rsidR="0025692F" w:rsidRPr="0025692F" w:rsidRDefault="0025692F" w:rsidP="0025692F">
      <w:pPr>
        <w:pStyle w:val="Bibliography"/>
        <w:rPr>
          <w:rFonts w:cs="Arial"/>
        </w:rPr>
      </w:pPr>
      <w:r w:rsidRPr="0025692F">
        <w:rPr>
          <w:rFonts w:cs="Arial"/>
        </w:rPr>
        <w:t xml:space="preserve">47. Runkle, J., K.E. Kunkel, R. Frankson, D.R. Easterling, A.T. DeGaetano, B.C. Stewart, W. Sweet, and J. Spaccio. (2022). </w:t>
      </w:r>
      <w:r w:rsidRPr="0025692F">
        <w:rPr>
          <w:rFonts w:cs="Arial"/>
          <w:i/>
          <w:iCs/>
        </w:rPr>
        <w:t>Massachusetts State Climate Summary 2022</w:t>
      </w:r>
      <w:r w:rsidRPr="0025692F">
        <w:rPr>
          <w:rFonts w:cs="Arial"/>
        </w:rPr>
        <w:t xml:space="preserve"> (No. NOAA Technical Report NESDIS 150-MA). https://statesummaries.ncics.org/downloads/Massachusetts-StateClimateSummary2022.pdf</w:t>
      </w:r>
    </w:p>
    <w:p w14:paraId="4CD04CB0" w14:textId="77777777" w:rsidR="0025692F" w:rsidRPr="0025692F" w:rsidRDefault="0025692F" w:rsidP="0025692F">
      <w:pPr>
        <w:pStyle w:val="Bibliography"/>
        <w:rPr>
          <w:rFonts w:cs="Arial"/>
        </w:rPr>
      </w:pPr>
      <w:r w:rsidRPr="0025692F">
        <w:rPr>
          <w:rFonts w:cs="Arial"/>
        </w:rPr>
        <w:t xml:space="preserve">48. Alliance for Water Efficiency. (2022). </w:t>
      </w:r>
      <w:r w:rsidRPr="0025692F">
        <w:rPr>
          <w:rFonts w:cs="Arial"/>
          <w:i/>
          <w:iCs/>
        </w:rPr>
        <w:t>2022 State Policy Scorecard for Water Efficiency and Sustainability</w:t>
      </w:r>
      <w:r w:rsidRPr="0025692F">
        <w:rPr>
          <w:rFonts w:cs="Arial"/>
        </w:rPr>
        <w:t>. https://www.allianceforwaterefficiency.org/sites/default/files/assets/AWE%202022%20Scorecard%20Full%20Report.pdf</w:t>
      </w:r>
    </w:p>
    <w:p w14:paraId="6E1ACEA8" w14:textId="77777777" w:rsidR="0025692F" w:rsidRPr="0025692F" w:rsidRDefault="0025692F" w:rsidP="0025692F">
      <w:pPr>
        <w:pStyle w:val="Bibliography"/>
        <w:rPr>
          <w:rFonts w:cs="Arial"/>
        </w:rPr>
      </w:pPr>
      <w:r w:rsidRPr="0025692F">
        <w:rPr>
          <w:rFonts w:cs="Arial"/>
        </w:rPr>
        <w:t xml:space="preserve">49. US EPA. (2023, November 22). </w:t>
      </w:r>
      <w:r w:rsidRPr="0025692F">
        <w:rPr>
          <w:rFonts w:cs="Arial"/>
          <w:i/>
          <w:iCs/>
        </w:rPr>
        <w:t>National Overview: Facts and Figures on Materials, Wastes and Recycling</w:t>
      </w:r>
      <w:r w:rsidRPr="0025692F">
        <w:rPr>
          <w:rFonts w:cs="Arial"/>
        </w:rPr>
        <w:t xml:space="preserve"> [Overviews and Factsheets]. https://www.epa.gov/facts-and-figures-about-materials-waste-and-recycling/national-overview-facts-and-figures-materials</w:t>
      </w:r>
    </w:p>
    <w:p w14:paraId="1576F141" w14:textId="77777777" w:rsidR="0025692F" w:rsidRPr="0025692F" w:rsidRDefault="0025692F" w:rsidP="0025692F">
      <w:pPr>
        <w:pStyle w:val="Bibliography"/>
        <w:rPr>
          <w:rFonts w:cs="Arial"/>
        </w:rPr>
      </w:pPr>
      <w:r w:rsidRPr="0025692F">
        <w:rPr>
          <w:rFonts w:cs="Arial"/>
        </w:rPr>
        <w:t xml:space="preserve">50. US EPA. (2024, April 25). </w:t>
      </w:r>
      <w:r w:rsidRPr="0025692F">
        <w:rPr>
          <w:rFonts w:cs="Arial"/>
          <w:i/>
          <w:iCs/>
        </w:rPr>
        <w:t>Basic Information about Landfill Gas</w:t>
      </w:r>
      <w:r w:rsidRPr="0025692F">
        <w:rPr>
          <w:rFonts w:cs="Arial"/>
        </w:rPr>
        <w:t xml:space="preserve"> [Overviews and Factsheets]. https://www.epa.gov/lmop/basic-information-about-landfill-gas</w:t>
      </w:r>
    </w:p>
    <w:p w14:paraId="0F120596" w14:textId="77777777" w:rsidR="0025692F" w:rsidRPr="0025692F" w:rsidRDefault="0025692F" w:rsidP="0025692F">
      <w:pPr>
        <w:pStyle w:val="Bibliography"/>
        <w:rPr>
          <w:rFonts w:cs="Arial"/>
        </w:rPr>
      </w:pPr>
      <w:r w:rsidRPr="0025692F">
        <w:rPr>
          <w:rFonts w:cs="Arial"/>
        </w:rPr>
        <w:t xml:space="preserve">51. US EPA. (2024, February 21). </w:t>
      </w:r>
      <w:r w:rsidRPr="0025692F">
        <w:rPr>
          <w:rFonts w:cs="Arial"/>
          <w:i/>
          <w:iCs/>
        </w:rPr>
        <w:t>Municipal Solid Waste Landfills</w:t>
      </w:r>
      <w:r w:rsidRPr="0025692F">
        <w:rPr>
          <w:rFonts w:cs="Arial"/>
        </w:rPr>
        <w:t xml:space="preserve"> [Overviews and Factsheets]. https://www.epa.gov/landfills/municipal-solid-waste-landfills</w:t>
      </w:r>
    </w:p>
    <w:p w14:paraId="416CFD18" w14:textId="77777777" w:rsidR="0025692F" w:rsidRPr="0025692F" w:rsidRDefault="0025692F" w:rsidP="0025692F">
      <w:pPr>
        <w:pStyle w:val="Bibliography"/>
        <w:rPr>
          <w:rFonts w:cs="Arial"/>
        </w:rPr>
      </w:pPr>
      <w:r w:rsidRPr="0025692F">
        <w:rPr>
          <w:rFonts w:cs="Arial"/>
        </w:rPr>
        <w:t xml:space="preserve">52. Rosenberg, D., Singla, V., &amp; Hoover, D. (2021, July 19). Burned: Why Waste Incineration Is Harmful. </w:t>
      </w:r>
      <w:r w:rsidRPr="0025692F">
        <w:rPr>
          <w:rFonts w:cs="Arial"/>
          <w:i/>
          <w:iCs/>
        </w:rPr>
        <w:t>Burned: Why Waste Incineration Is Harmful</w:t>
      </w:r>
      <w:r w:rsidRPr="0025692F">
        <w:rPr>
          <w:rFonts w:cs="Arial"/>
        </w:rPr>
        <w:t>. https://www.nrdc.org/bio/daniel-rosenberg/burned-why-waste-incineration-harmful</w:t>
      </w:r>
    </w:p>
    <w:p w14:paraId="0D366501" w14:textId="77777777" w:rsidR="0025692F" w:rsidRPr="0025692F" w:rsidRDefault="0025692F" w:rsidP="0025692F">
      <w:pPr>
        <w:pStyle w:val="Bibliography"/>
        <w:rPr>
          <w:rFonts w:cs="Arial"/>
        </w:rPr>
      </w:pPr>
      <w:r w:rsidRPr="0025692F">
        <w:rPr>
          <w:rFonts w:cs="Arial"/>
        </w:rPr>
        <w:lastRenderedPageBreak/>
        <w:t xml:space="preserve">53. Massachusetts Department of Environmental Protection. (2023). </w:t>
      </w:r>
      <w:r w:rsidRPr="0025692F">
        <w:rPr>
          <w:rFonts w:cs="Arial"/>
          <w:i/>
          <w:iCs/>
        </w:rPr>
        <w:t>2022 Solid Waste Data Update November 2023</w:t>
      </w:r>
      <w:r w:rsidRPr="0025692F">
        <w:rPr>
          <w:rFonts w:cs="Arial"/>
        </w:rPr>
        <w:t>. https://www.mass.gov/doc/2022-solid-waste-data-update/download</w:t>
      </w:r>
    </w:p>
    <w:p w14:paraId="7ACD7E53" w14:textId="77777777" w:rsidR="0025692F" w:rsidRPr="0025692F" w:rsidRDefault="0025692F" w:rsidP="0025692F">
      <w:pPr>
        <w:pStyle w:val="Bibliography"/>
        <w:rPr>
          <w:rFonts w:cs="Arial"/>
        </w:rPr>
      </w:pPr>
      <w:r w:rsidRPr="0025692F">
        <w:rPr>
          <w:rFonts w:cs="Arial"/>
        </w:rPr>
        <w:t xml:space="preserve">54. Massachusetts Department of Environmental Protection. (2023). </w:t>
      </w:r>
      <w:r w:rsidRPr="0025692F">
        <w:rPr>
          <w:rFonts w:cs="Arial"/>
          <w:i/>
          <w:iCs/>
        </w:rPr>
        <w:t>Greenhouse Gas Baseline &amp; Inventory, Appendix C: Massachusetts Annual Greenhouse Gas Emissions Inventory: 1990-2020, with Partial 2021 &amp; 2022 Data</w:t>
      </w:r>
      <w:r w:rsidRPr="0025692F">
        <w:rPr>
          <w:rFonts w:cs="Arial"/>
        </w:rPr>
        <w:t xml:space="preserve"> [Dataset]. https://www.mass.gov/lists/massdep-emissions-inventories#greenhouse-gas-baseline-&amp;-inventory-</w:t>
      </w:r>
    </w:p>
    <w:p w14:paraId="38742160" w14:textId="77777777" w:rsidR="0025692F" w:rsidRPr="0025692F" w:rsidRDefault="0025692F" w:rsidP="0025692F">
      <w:pPr>
        <w:pStyle w:val="Bibliography"/>
        <w:rPr>
          <w:rFonts w:cs="Arial"/>
        </w:rPr>
      </w:pPr>
      <w:r w:rsidRPr="0025692F">
        <w:rPr>
          <w:rFonts w:cs="Arial"/>
        </w:rPr>
        <w:t xml:space="preserve">55. </w:t>
      </w:r>
      <w:r w:rsidRPr="0025692F">
        <w:rPr>
          <w:rFonts w:cs="Arial"/>
          <w:i/>
          <w:iCs/>
        </w:rPr>
        <w:t>Massachusetts 2030 Solid Waste Master Plan: Working Together Toward Zero Waste</w:t>
      </w:r>
      <w:r w:rsidRPr="0025692F">
        <w:rPr>
          <w:rFonts w:cs="Arial"/>
        </w:rPr>
        <w:t>. (2021). https://www.mass.gov/doc/2030-solid-waste-master-plan-working-together-toward-zero-waste/download</w:t>
      </w:r>
    </w:p>
    <w:p w14:paraId="5A313704" w14:textId="77777777" w:rsidR="0025692F" w:rsidRPr="0025692F" w:rsidRDefault="0025692F" w:rsidP="0025692F">
      <w:pPr>
        <w:pStyle w:val="Bibliography"/>
        <w:rPr>
          <w:rFonts w:cs="Arial"/>
        </w:rPr>
      </w:pPr>
      <w:r w:rsidRPr="0025692F">
        <w:rPr>
          <w:rFonts w:cs="Arial"/>
        </w:rPr>
        <w:t xml:space="preserve">56. </w:t>
      </w:r>
      <w:r w:rsidRPr="0025692F">
        <w:rPr>
          <w:rFonts w:cs="Arial"/>
          <w:i/>
          <w:iCs/>
        </w:rPr>
        <w:t>National Household Travel Survey</w:t>
      </w:r>
      <w:r w:rsidRPr="0025692F">
        <w:rPr>
          <w:rFonts w:cs="Arial"/>
        </w:rPr>
        <w:t>. (n.d.). Federal Highway Administration. Retrieved July 22, 2024, from https://nhts.ornl.gov/</w:t>
      </w:r>
    </w:p>
    <w:p w14:paraId="2D1877CF" w14:textId="77777777" w:rsidR="0025692F" w:rsidRPr="0025692F" w:rsidRDefault="0025692F" w:rsidP="0025692F">
      <w:pPr>
        <w:pStyle w:val="Bibliography"/>
        <w:rPr>
          <w:rFonts w:cs="Arial"/>
        </w:rPr>
      </w:pPr>
      <w:r w:rsidRPr="0025692F">
        <w:rPr>
          <w:rFonts w:cs="Arial"/>
        </w:rPr>
        <w:t xml:space="preserve">57. </w:t>
      </w:r>
      <w:r w:rsidRPr="0025692F">
        <w:rPr>
          <w:rFonts w:cs="Arial"/>
          <w:i/>
          <w:iCs/>
        </w:rPr>
        <w:t>The Longer Route To School</w:t>
      </w:r>
      <w:r w:rsidRPr="0025692F">
        <w:rPr>
          <w:rFonts w:cs="Arial"/>
        </w:rPr>
        <w:t>. (2021, January 12). Bureau of Transportation Statistics. https://www.bts.gov/topics/passenger-travel/back-school-2019</w:t>
      </w:r>
    </w:p>
    <w:p w14:paraId="1EB9147F" w14:textId="77777777" w:rsidR="0025692F" w:rsidRPr="0025692F" w:rsidRDefault="0025692F" w:rsidP="0025692F">
      <w:pPr>
        <w:pStyle w:val="Bibliography"/>
        <w:rPr>
          <w:rFonts w:cs="Arial"/>
        </w:rPr>
      </w:pPr>
      <w:r w:rsidRPr="0025692F">
        <w:rPr>
          <w:rFonts w:cs="Arial"/>
        </w:rPr>
        <w:t xml:space="preserve">58. </w:t>
      </w:r>
      <w:r w:rsidRPr="0025692F">
        <w:rPr>
          <w:rFonts w:cs="Arial"/>
          <w:i/>
          <w:iCs/>
        </w:rPr>
        <w:t>Why We Need to Transition to Electric School Buses | Electric School Bus Initiative</w:t>
      </w:r>
      <w:r w:rsidRPr="0025692F">
        <w:rPr>
          <w:rFonts w:cs="Arial"/>
        </w:rPr>
        <w:t>. (2022, October 17). Electric School Bus Initiative. https://electricschoolbusinitiative.org/why-we-need-transition-electric-school-buses</w:t>
      </w:r>
    </w:p>
    <w:p w14:paraId="3D540CE0" w14:textId="77777777" w:rsidR="0025692F" w:rsidRPr="0025692F" w:rsidRDefault="0025692F" w:rsidP="0025692F">
      <w:pPr>
        <w:pStyle w:val="Bibliography"/>
        <w:rPr>
          <w:rFonts w:cs="Arial"/>
        </w:rPr>
      </w:pPr>
      <w:r w:rsidRPr="0025692F">
        <w:rPr>
          <w:rFonts w:cs="Arial"/>
        </w:rPr>
        <w:t xml:space="preserve">59. North Shine, K. (2023, April 10). </w:t>
      </w:r>
      <w:r w:rsidRPr="0025692F">
        <w:rPr>
          <w:rFonts w:cs="Arial"/>
          <w:i/>
          <w:iCs/>
        </w:rPr>
        <w:t>Upgraded school buses linked to increased student attendance</w:t>
      </w:r>
      <w:r w:rsidRPr="0025692F">
        <w:rPr>
          <w:rFonts w:cs="Arial"/>
        </w:rPr>
        <w:t>. University of Michigan News. https://news.umich.edu/upgraded-school-buses-linked-to-increased-student-attendance/</w:t>
      </w:r>
    </w:p>
    <w:p w14:paraId="5C7EC4D1" w14:textId="77777777" w:rsidR="0025692F" w:rsidRPr="0025692F" w:rsidRDefault="0025692F" w:rsidP="0025692F">
      <w:pPr>
        <w:pStyle w:val="Bibliography"/>
        <w:rPr>
          <w:rFonts w:cs="Arial"/>
        </w:rPr>
      </w:pPr>
      <w:r w:rsidRPr="0025692F">
        <w:rPr>
          <w:rFonts w:cs="Arial"/>
        </w:rPr>
        <w:t xml:space="preserve">60. Liu, N. M., &amp; Grigg, J. (2018). Diesel, children and respiratory disease. </w:t>
      </w:r>
      <w:r w:rsidRPr="0025692F">
        <w:rPr>
          <w:rFonts w:cs="Arial"/>
          <w:i/>
          <w:iCs/>
        </w:rPr>
        <w:t>BMJ Pediatrics Open</w:t>
      </w:r>
      <w:r w:rsidRPr="0025692F">
        <w:rPr>
          <w:rFonts w:cs="Arial"/>
        </w:rPr>
        <w:t xml:space="preserve">, </w:t>
      </w:r>
      <w:r w:rsidRPr="0025692F">
        <w:rPr>
          <w:rFonts w:cs="Arial"/>
          <w:i/>
          <w:iCs/>
        </w:rPr>
        <w:t>2</w:t>
      </w:r>
      <w:r w:rsidRPr="0025692F">
        <w:rPr>
          <w:rFonts w:cs="Arial"/>
        </w:rPr>
        <w:t>(1). https://doi.org/10.1136/bmjpo-2017-000210</w:t>
      </w:r>
    </w:p>
    <w:p w14:paraId="06515ECB" w14:textId="77777777" w:rsidR="0025692F" w:rsidRPr="0025692F" w:rsidRDefault="0025692F" w:rsidP="0025692F">
      <w:pPr>
        <w:pStyle w:val="Bibliography"/>
        <w:rPr>
          <w:rFonts w:cs="Arial"/>
        </w:rPr>
      </w:pPr>
      <w:r w:rsidRPr="0025692F">
        <w:rPr>
          <w:rFonts w:cs="Arial"/>
        </w:rPr>
        <w:t xml:space="preserve">61. </w:t>
      </w:r>
      <w:r w:rsidRPr="0025692F">
        <w:rPr>
          <w:rFonts w:cs="Arial"/>
          <w:i/>
          <w:iCs/>
        </w:rPr>
        <w:t>EDF_School_bus_pollution_studies.pdf</w:t>
      </w:r>
      <w:r w:rsidRPr="0025692F">
        <w:rPr>
          <w:rFonts w:cs="Arial"/>
        </w:rPr>
        <w:t>. (n.d.).</w:t>
      </w:r>
    </w:p>
    <w:p w14:paraId="7AAE558E" w14:textId="77777777" w:rsidR="0025692F" w:rsidRPr="0025692F" w:rsidRDefault="0025692F" w:rsidP="0025692F">
      <w:pPr>
        <w:pStyle w:val="Bibliography"/>
        <w:rPr>
          <w:rFonts w:cs="Arial"/>
        </w:rPr>
      </w:pPr>
      <w:r w:rsidRPr="0025692F">
        <w:rPr>
          <w:rFonts w:cs="Arial"/>
        </w:rPr>
        <w:t xml:space="preserve">62. </w:t>
      </w:r>
      <w:r w:rsidRPr="0025692F">
        <w:rPr>
          <w:rFonts w:cs="Arial"/>
          <w:i/>
          <w:iCs/>
        </w:rPr>
        <w:t>EDF: ELECTRIC SCHOOL BUSES: GOOD FOR THE ENVIRONMENT AND THE BOTTOM LINE</w:t>
      </w:r>
      <w:r w:rsidRPr="0025692F">
        <w:rPr>
          <w:rFonts w:cs="Arial"/>
        </w:rPr>
        <w:t>. (n.d.).</w:t>
      </w:r>
    </w:p>
    <w:p w14:paraId="0D151130" w14:textId="77777777" w:rsidR="0025692F" w:rsidRPr="0025692F" w:rsidRDefault="0025692F" w:rsidP="0025692F">
      <w:pPr>
        <w:pStyle w:val="Bibliography"/>
        <w:rPr>
          <w:rFonts w:cs="Arial"/>
        </w:rPr>
      </w:pPr>
      <w:r w:rsidRPr="0025692F">
        <w:rPr>
          <w:rFonts w:cs="Arial"/>
        </w:rPr>
        <w:t xml:space="preserve">63. Curran, A. (2023, April 17). </w:t>
      </w:r>
      <w:r w:rsidRPr="0025692F">
        <w:rPr>
          <w:rFonts w:cs="Arial"/>
          <w:i/>
          <w:iCs/>
        </w:rPr>
        <w:t>All About Total Cost of Ownership (TCO) for Electric School Buses | Electric School Bus Initiative</w:t>
      </w:r>
      <w:r w:rsidRPr="0025692F">
        <w:rPr>
          <w:rFonts w:cs="Arial"/>
        </w:rPr>
        <w:t>. Electric School Bus Initiative. https://electricschoolbusinitiative.org/all-about-total-cost-ownership-tco-electric-school-buses</w:t>
      </w:r>
    </w:p>
    <w:p w14:paraId="7C4127CA" w14:textId="77777777" w:rsidR="0025692F" w:rsidRPr="0025692F" w:rsidRDefault="0025692F" w:rsidP="0025692F">
      <w:pPr>
        <w:pStyle w:val="Bibliography"/>
        <w:rPr>
          <w:rFonts w:cs="Arial"/>
        </w:rPr>
      </w:pPr>
      <w:r w:rsidRPr="0025692F">
        <w:rPr>
          <w:rFonts w:cs="Arial"/>
        </w:rPr>
        <w:t xml:space="preserve">64. Boloor, M., Valderrama, P., Statler, A., &amp; Garcia, S. (2019, July 31). </w:t>
      </w:r>
      <w:r w:rsidRPr="0025692F">
        <w:rPr>
          <w:rFonts w:cs="Arial"/>
          <w:i/>
          <w:iCs/>
        </w:rPr>
        <w:t>Electric Vehicle Basics</w:t>
      </w:r>
      <w:r w:rsidRPr="0025692F">
        <w:rPr>
          <w:rFonts w:cs="Arial"/>
        </w:rPr>
        <w:t>. NRDC. https://www.nrdc.org/bio/madhur-boloor/electric-vehicle-basics</w:t>
      </w:r>
    </w:p>
    <w:p w14:paraId="6AA069EA" w14:textId="77777777" w:rsidR="0025692F" w:rsidRPr="0025692F" w:rsidRDefault="0025692F" w:rsidP="0025692F">
      <w:pPr>
        <w:pStyle w:val="Bibliography"/>
        <w:rPr>
          <w:rFonts w:cs="Arial"/>
        </w:rPr>
      </w:pPr>
      <w:r w:rsidRPr="0025692F">
        <w:rPr>
          <w:rFonts w:cs="Arial"/>
        </w:rPr>
        <w:t xml:space="preserve">65. Muller, J. (2022, December 19). </w:t>
      </w:r>
      <w:r w:rsidRPr="0025692F">
        <w:rPr>
          <w:rFonts w:cs="Arial"/>
          <w:i/>
          <w:iCs/>
        </w:rPr>
        <w:t>Electric school buses are practically free now</w:t>
      </w:r>
      <w:r w:rsidRPr="0025692F">
        <w:rPr>
          <w:rFonts w:cs="Arial"/>
        </w:rPr>
        <w:t>. Axios. https://www.axios.com/2022/12/19/electric-school-buses</w:t>
      </w:r>
    </w:p>
    <w:p w14:paraId="270C27D3" w14:textId="77777777" w:rsidR="0025692F" w:rsidRPr="0025692F" w:rsidRDefault="0025692F" w:rsidP="0025692F">
      <w:pPr>
        <w:pStyle w:val="Bibliography"/>
        <w:rPr>
          <w:rFonts w:cs="Arial"/>
        </w:rPr>
      </w:pPr>
      <w:r w:rsidRPr="0025692F">
        <w:rPr>
          <w:rFonts w:cs="Arial"/>
        </w:rPr>
        <w:t xml:space="preserve">66. </w:t>
      </w:r>
      <w:r w:rsidRPr="0025692F">
        <w:rPr>
          <w:rFonts w:cs="Arial"/>
          <w:i/>
          <w:iCs/>
        </w:rPr>
        <w:t>All About Range and Reliability | Electric School Bus Initiative</w:t>
      </w:r>
      <w:r w:rsidRPr="0025692F">
        <w:rPr>
          <w:rFonts w:cs="Arial"/>
        </w:rPr>
        <w:t>. (n.d.). Electric School Bus Initiative. Retrieved July 17, 2024, from https://electricschoolbusinitiative.org/all-about-range-and-reliability</w:t>
      </w:r>
    </w:p>
    <w:p w14:paraId="1860A01F" w14:textId="77777777" w:rsidR="0025692F" w:rsidRPr="0025692F" w:rsidRDefault="0025692F" w:rsidP="0025692F">
      <w:pPr>
        <w:pStyle w:val="Bibliography"/>
        <w:rPr>
          <w:rFonts w:cs="Arial"/>
        </w:rPr>
      </w:pPr>
      <w:r w:rsidRPr="0025692F">
        <w:rPr>
          <w:rFonts w:cs="Arial"/>
        </w:rPr>
        <w:t xml:space="preserve">67. Ashmore, R. (2023, October 18). School Bus Drivers Discuss Real-Life Experiences Driving Electric Buses. </w:t>
      </w:r>
      <w:r w:rsidRPr="0025692F">
        <w:rPr>
          <w:rFonts w:cs="Arial"/>
          <w:i/>
          <w:iCs/>
        </w:rPr>
        <w:t>School Transportation News</w:t>
      </w:r>
      <w:r w:rsidRPr="0025692F">
        <w:rPr>
          <w:rFonts w:cs="Arial"/>
        </w:rPr>
        <w:t>. https://stnonline.com/special-reports/school-bus-drivers-discuss-real-life-experiences-driving-electric-buses/</w:t>
      </w:r>
    </w:p>
    <w:p w14:paraId="4DEB9044" w14:textId="77777777" w:rsidR="0025692F" w:rsidRPr="0025692F" w:rsidRDefault="0025692F" w:rsidP="0025692F">
      <w:pPr>
        <w:pStyle w:val="Bibliography"/>
        <w:rPr>
          <w:rFonts w:cs="Arial"/>
        </w:rPr>
      </w:pPr>
      <w:r w:rsidRPr="0025692F">
        <w:rPr>
          <w:rFonts w:cs="Arial"/>
        </w:rPr>
        <w:t xml:space="preserve">68. Freehafer, L., Lazer, L., &amp; Zepka, B. (2024). </w:t>
      </w:r>
      <w:r w:rsidRPr="0025692F">
        <w:rPr>
          <w:rFonts w:cs="Arial"/>
          <w:i/>
          <w:iCs/>
        </w:rPr>
        <w:t>The State of Electric School Bus Adoption in the US</w:t>
      </w:r>
      <w:r w:rsidRPr="0025692F">
        <w:rPr>
          <w:rFonts w:cs="Arial"/>
        </w:rPr>
        <w:t>. https://www.wri.org/insights/where-electric-school-buses-us</w:t>
      </w:r>
    </w:p>
    <w:p w14:paraId="610A53B9" w14:textId="77777777" w:rsidR="0025692F" w:rsidRPr="0025692F" w:rsidRDefault="0025692F" w:rsidP="0025692F">
      <w:pPr>
        <w:pStyle w:val="Bibliography"/>
        <w:rPr>
          <w:rFonts w:cs="Arial"/>
        </w:rPr>
      </w:pPr>
      <w:r w:rsidRPr="0025692F">
        <w:rPr>
          <w:rFonts w:cs="Arial"/>
        </w:rPr>
        <w:t xml:space="preserve">69. </w:t>
      </w:r>
      <w:r w:rsidRPr="0025692F">
        <w:rPr>
          <w:rFonts w:cs="Arial"/>
          <w:i/>
          <w:iCs/>
        </w:rPr>
        <w:t>Electric School Buses</w:t>
      </w:r>
      <w:r w:rsidRPr="0025692F">
        <w:rPr>
          <w:rFonts w:cs="Arial"/>
        </w:rPr>
        <w:t>. (n.d.). NYSERDA. Retrieved July 17, 2024, from https://www.nyserda.ny.gov/All-Programs/Electric-School-Buses</w:t>
      </w:r>
    </w:p>
    <w:p w14:paraId="643AC3EF" w14:textId="77777777" w:rsidR="0025692F" w:rsidRPr="0025692F" w:rsidRDefault="0025692F" w:rsidP="0025692F">
      <w:pPr>
        <w:pStyle w:val="Bibliography"/>
        <w:rPr>
          <w:rFonts w:cs="Arial"/>
        </w:rPr>
      </w:pPr>
      <w:r w:rsidRPr="0025692F">
        <w:rPr>
          <w:rFonts w:cs="Arial"/>
        </w:rPr>
        <w:t xml:space="preserve">70. </w:t>
      </w:r>
      <w:r w:rsidRPr="0025692F">
        <w:rPr>
          <w:rFonts w:cs="Arial"/>
          <w:i/>
          <w:iCs/>
        </w:rPr>
        <w:t>Tracking Electric School Bus State Legislation | Electric School Bus Initiative</w:t>
      </w:r>
      <w:r w:rsidRPr="0025692F">
        <w:rPr>
          <w:rFonts w:cs="Arial"/>
        </w:rPr>
        <w:t>. (2023, September 19). https://electricschoolbusinitiative.org/tracking-electric-school-bus-state-legislation</w:t>
      </w:r>
    </w:p>
    <w:p w14:paraId="3D7B9EF6" w14:textId="77777777" w:rsidR="0025692F" w:rsidRPr="0025692F" w:rsidRDefault="0025692F" w:rsidP="0025692F">
      <w:pPr>
        <w:pStyle w:val="Bibliography"/>
        <w:rPr>
          <w:rFonts w:cs="Arial"/>
        </w:rPr>
      </w:pPr>
      <w:r w:rsidRPr="0025692F">
        <w:rPr>
          <w:rFonts w:cs="Arial"/>
        </w:rPr>
        <w:t xml:space="preserve">71. </w:t>
      </w:r>
      <w:r w:rsidRPr="0025692F">
        <w:rPr>
          <w:rFonts w:cs="Arial"/>
          <w:i/>
          <w:iCs/>
        </w:rPr>
        <w:t>70 Municipal Officials Sign Letter to the Governor in Support of School Bus Electrification | Sierra Club</w:t>
      </w:r>
      <w:r w:rsidRPr="0025692F">
        <w:rPr>
          <w:rFonts w:cs="Arial"/>
        </w:rPr>
        <w:t>. (n.d.). Retrieved July 17, 2024, from https://www.sierraclub.org/massachusetts/blog/2024/02/70-municipal-officials-sign-letter-governor-support-school-bus</w:t>
      </w:r>
    </w:p>
    <w:p w14:paraId="4A8E15DD" w14:textId="77777777" w:rsidR="0025692F" w:rsidRPr="0025692F" w:rsidRDefault="0025692F" w:rsidP="0025692F">
      <w:pPr>
        <w:pStyle w:val="Bibliography"/>
        <w:rPr>
          <w:rFonts w:cs="Arial"/>
        </w:rPr>
      </w:pPr>
      <w:r w:rsidRPr="0025692F">
        <w:rPr>
          <w:rFonts w:cs="Arial"/>
        </w:rPr>
        <w:lastRenderedPageBreak/>
        <w:t xml:space="preserve">72. </w:t>
      </w:r>
      <w:r w:rsidRPr="0025692F">
        <w:rPr>
          <w:rFonts w:cs="Arial"/>
          <w:i/>
          <w:iCs/>
        </w:rPr>
        <w:t>Accelerating Clean Transportation (ACT) School Bus: Overview | MassCEC</w:t>
      </w:r>
      <w:r w:rsidRPr="0025692F">
        <w:rPr>
          <w:rFonts w:cs="Arial"/>
        </w:rPr>
        <w:t>. (n.d.). Massachusetts Clean Energy Center. Retrieved July 17, 2024, from https://www.masscec.com/accelerating-clean-transportation-act-school-bus-overview</w:t>
      </w:r>
    </w:p>
    <w:p w14:paraId="47E99899" w14:textId="77777777" w:rsidR="0025692F" w:rsidRPr="0025692F" w:rsidRDefault="0025692F" w:rsidP="0025692F">
      <w:pPr>
        <w:pStyle w:val="Bibliography"/>
        <w:rPr>
          <w:rFonts w:cs="Arial"/>
        </w:rPr>
      </w:pPr>
      <w:r w:rsidRPr="0025692F">
        <w:rPr>
          <w:rFonts w:cs="Arial"/>
        </w:rPr>
        <w:t xml:space="preserve">73. </w:t>
      </w:r>
      <w:r w:rsidRPr="0025692F">
        <w:rPr>
          <w:rFonts w:cs="Arial"/>
          <w:i/>
          <w:iCs/>
        </w:rPr>
        <w:t>About</w:t>
      </w:r>
      <w:r w:rsidRPr="0025692F">
        <w:rPr>
          <w:rFonts w:cs="Arial"/>
        </w:rPr>
        <w:t>. (n.d.). MOR-EV.Org. Retrieved July 23, 2024, from https://mor-ev.org/about</w:t>
      </w:r>
    </w:p>
    <w:p w14:paraId="67901333" w14:textId="77777777" w:rsidR="0025692F" w:rsidRPr="0025692F" w:rsidRDefault="0025692F" w:rsidP="0025692F">
      <w:pPr>
        <w:pStyle w:val="Bibliography"/>
        <w:rPr>
          <w:rFonts w:cs="Arial"/>
        </w:rPr>
      </w:pPr>
      <w:r w:rsidRPr="0025692F">
        <w:rPr>
          <w:rFonts w:cs="Arial"/>
        </w:rPr>
        <w:t xml:space="preserve">74. </w:t>
      </w:r>
      <w:r w:rsidRPr="0025692F">
        <w:rPr>
          <w:rFonts w:cs="Arial"/>
          <w:i/>
          <w:iCs/>
        </w:rPr>
        <w:t>Eligible Trucks</w:t>
      </w:r>
      <w:r w:rsidRPr="0025692F">
        <w:rPr>
          <w:rFonts w:cs="Arial"/>
        </w:rPr>
        <w:t>. (n.d.). MOR-EV.Org. Retrieved July 23, 2024, from https://mor-ev.org/eligible-vehicles-trucks</w:t>
      </w:r>
    </w:p>
    <w:p w14:paraId="1D3D81C4" w14:textId="77777777" w:rsidR="0025692F" w:rsidRPr="0025692F" w:rsidRDefault="0025692F" w:rsidP="0025692F">
      <w:pPr>
        <w:pStyle w:val="Bibliography"/>
        <w:rPr>
          <w:rFonts w:cs="Arial"/>
        </w:rPr>
      </w:pPr>
      <w:r w:rsidRPr="0025692F">
        <w:rPr>
          <w:rFonts w:cs="Arial"/>
        </w:rPr>
        <w:t xml:space="preserve">75. </w:t>
      </w:r>
      <w:r w:rsidRPr="0025692F">
        <w:rPr>
          <w:rFonts w:cs="Arial"/>
          <w:i/>
          <w:iCs/>
        </w:rPr>
        <w:t>All About Operating Electric School Buses in Cold Weather | Electric School Bus Initiative</w:t>
      </w:r>
      <w:r w:rsidRPr="0025692F">
        <w:rPr>
          <w:rFonts w:cs="Arial"/>
        </w:rPr>
        <w:t>. (2024, February 27). Electric School Bus Initiative. https://electricschoolbusinitiative.org/all-about-operating-electric-school-buses-cold-weather</w:t>
      </w:r>
    </w:p>
    <w:p w14:paraId="5BA807CE" w14:textId="77777777" w:rsidR="0025692F" w:rsidRPr="0025692F" w:rsidRDefault="0025692F" w:rsidP="0025692F">
      <w:pPr>
        <w:pStyle w:val="Bibliography"/>
        <w:rPr>
          <w:rFonts w:cs="Arial"/>
        </w:rPr>
      </w:pPr>
      <w:r w:rsidRPr="0025692F">
        <w:rPr>
          <w:rFonts w:cs="Arial"/>
        </w:rPr>
        <w:t xml:space="preserve">76. </w:t>
      </w:r>
      <w:r w:rsidRPr="0025692F">
        <w:rPr>
          <w:rFonts w:cs="Arial"/>
          <w:i/>
          <w:iCs/>
        </w:rPr>
        <w:t>Cold Weather Impacts on Electric School Buses</w:t>
      </w:r>
      <w:r w:rsidRPr="0025692F">
        <w:rPr>
          <w:rFonts w:cs="Arial"/>
        </w:rPr>
        <w:t>. (n.d.). Joint Office of Energy and Transportation.</w:t>
      </w:r>
    </w:p>
    <w:p w14:paraId="58404E3D" w14:textId="77777777" w:rsidR="0025692F" w:rsidRPr="0025692F" w:rsidRDefault="0025692F" w:rsidP="0025692F">
      <w:pPr>
        <w:pStyle w:val="Bibliography"/>
        <w:rPr>
          <w:rFonts w:cs="Arial"/>
        </w:rPr>
      </w:pPr>
      <w:r w:rsidRPr="0025692F">
        <w:rPr>
          <w:rFonts w:cs="Arial"/>
        </w:rPr>
        <w:t xml:space="preserve">77. Ellis, T. (2021, November 16). Alaska’s first electric-powered school bus is performing well – even at 40 below. </w:t>
      </w:r>
      <w:r w:rsidRPr="0025692F">
        <w:rPr>
          <w:rFonts w:cs="Arial"/>
          <w:i/>
          <w:iCs/>
        </w:rPr>
        <w:t>Alaska Public Media</w:t>
      </w:r>
      <w:r w:rsidRPr="0025692F">
        <w:rPr>
          <w:rFonts w:cs="Arial"/>
        </w:rPr>
        <w:t>. https://alaskapublic.org/2021/11/16/alaskas-first-electric-powered-school-bus-is-performing-well-even-at-40-below/</w:t>
      </w:r>
    </w:p>
    <w:p w14:paraId="36066349" w14:textId="77777777" w:rsidR="0025692F" w:rsidRPr="0025692F" w:rsidRDefault="0025692F" w:rsidP="0025692F">
      <w:pPr>
        <w:pStyle w:val="Bibliography"/>
        <w:rPr>
          <w:rFonts w:cs="Arial"/>
        </w:rPr>
      </w:pPr>
      <w:r w:rsidRPr="0025692F">
        <w:rPr>
          <w:rFonts w:cs="Arial"/>
        </w:rPr>
        <w:t xml:space="preserve">78. Dumont, A., &amp; Burgoyne-Allen, P. (2023, August 25). </w:t>
      </w:r>
      <w:r w:rsidRPr="0025692F">
        <w:rPr>
          <w:rFonts w:cs="Arial"/>
          <w:i/>
          <w:iCs/>
        </w:rPr>
        <w:t>The Electric School Bus Series: Successfully Operating in Cold Weather in Three Rivers, Michigan | Electric School Bus Initiative</w:t>
      </w:r>
      <w:r w:rsidRPr="0025692F">
        <w:rPr>
          <w:rFonts w:cs="Arial"/>
        </w:rPr>
        <w:t>. https://electricschoolbusinitiative.org/electric-school-bus-series-successfully-operating-cold-weather-three-rivers-michigan-0</w:t>
      </w:r>
    </w:p>
    <w:p w14:paraId="2E1BBB4A" w14:textId="77777777" w:rsidR="0025692F" w:rsidRPr="0025692F" w:rsidRDefault="0025692F" w:rsidP="0025692F">
      <w:pPr>
        <w:pStyle w:val="Bibliography"/>
        <w:rPr>
          <w:rFonts w:cs="Arial"/>
        </w:rPr>
      </w:pPr>
      <w:r w:rsidRPr="0025692F">
        <w:rPr>
          <w:rFonts w:cs="Arial"/>
        </w:rPr>
        <w:t xml:space="preserve">79. </w:t>
      </w:r>
      <w:r w:rsidRPr="0025692F">
        <w:rPr>
          <w:rFonts w:cs="Arial"/>
          <w:i/>
          <w:iCs/>
        </w:rPr>
        <w:t>Hot Weather Impacts on Battery-Electric Transit Buses</w:t>
      </w:r>
      <w:r w:rsidRPr="0025692F">
        <w:rPr>
          <w:rFonts w:cs="Arial"/>
        </w:rPr>
        <w:t>. (n.d.). Joint Office of Energy and Transportation.</w:t>
      </w:r>
    </w:p>
    <w:p w14:paraId="78ECE291" w14:textId="77777777" w:rsidR="0025692F" w:rsidRPr="0025692F" w:rsidRDefault="0025692F" w:rsidP="0025692F">
      <w:pPr>
        <w:pStyle w:val="Bibliography"/>
        <w:rPr>
          <w:rFonts w:cs="Arial"/>
        </w:rPr>
      </w:pPr>
      <w:r w:rsidRPr="0025692F">
        <w:rPr>
          <w:rFonts w:cs="Arial"/>
        </w:rPr>
        <w:t xml:space="preserve">80. Eisenstein, P. (2019, February 7). </w:t>
      </w:r>
      <w:r w:rsidRPr="0025692F">
        <w:rPr>
          <w:rFonts w:cs="Arial"/>
          <w:i/>
          <w:iCs/>
        </w:rPr>
        <w:t>AAA confirms what Tesla, BMW, Nissan EV owners suspected of cold weather</w:t>
      </w:r>
      <w:r w:rsidRPr="0025692F">
        <w:rPr>
          <w:rFonts w:cs="Arial"/>
        </w:rPr>
        <w:t>. CNBC. https://www.cnbc.com/2019/02/06/aaa-confirms-what-tesla-bmw-nissan-ev-owners-suspected-of-cold-weather.html</w:t>
      </w:r>
    </w:p>
    <w:p w14:paraId="32BCC8F7" w14:textId="77777777" w:rsidR="0025692F" w:rsidRPr="0025692F" w:rsidRDefault="0025692F" w:rsidP="0025692F">
      <w:pPr>
        <w:pStyle w:val="Bibliography"/>
        <w:rPr>
          <w:rFonts w:cs="Arial"/>
        </w:rPr>
      </w:pPr>
      <w:r w:rsidRPr="0025692F">
        <w:rPr>
          <w:rFonts w:cs="Arial"/>
        </w:rPr>
        <w:t xml:space="preserve">81. Nelson, G. (2024, April 30). </w:t>
      </w:r>
      <w:r w:rsidRPr="0025692F">
        <w:rPr>
          <w:rFonts w:cs="Arial"/>
          <w:i/>
          <w:iCs/>
        </w:rPr>
        <w:t>Michigan schools receive $24 million to buy electric buses</w:t>
      </w:r>
      <w:r w:rsidRPr="0025692F">
        <w:rPr>
          <w:rFonts w:cs="Arial"/>
        </w:rPr>
        <w:t>. Bridge Michigan. https://www.bridgemi.com/michigan-environment-watch/michigan-schools-receive-24-million-buy-electric-buses</w:t>
      </w:r>
    </w:p>
    <w:p w14:paraId="0F7681FA" w14:textId="77777777" w:rsidR="0025692F" w:rsidRPr="0025692F" w:rsidRDefault="0025692F" w:rsidP="0025692F">
      <w:pPr>
        <w:pStyle w:val="Bibliography"/>
        <w:rPr>
          <w:rFonts w:cs="Arial"/>
        </w:rPr>
      </w:pPr>
      <w:r w:rsidRPr="0025692F">
        <w:rPr>
          <w:rFonts w:cs="Arial"/>
        </w:rPr>
        <w:t xml:space="preserve">82. Matthews, K. (2021, March 6). </w:t>
      </w:r>
      <w:r w:rsidRPr="0025692F">
        <w:rPr>
          <w:rFonts w:cs="Arial"/>
          <w:i/>
          <w:iCs/>
        </w:rPr>
        <w:t>Total Cost of Ownership: Determining if Electric Buses are Right for Your District</w:t>
      </w:r>
      <w:r w:rsidRPr="0025692F">
        <w:rPr>
          <w:rFonts w:cs="Arial"/>
        </w:rPr>
        <w:t>. First Student, Inc. https://firststudentinc.com/resources/electric/total-cost-of-ownership-determining-if-electric-buses-are-right-for-your-district/</w:t>
      </w:r>
    </w:p>
    <w:p w14:paraId="506509EB" w14:textId="77777777" w:rsidR="0025692F" w:rsidRPr="0025692F" w:rsidRDefault="0025692F" w:rsidP="0025692F">
      <w:pPr>
        <w:pStyle w:val="Bibliography"/>
        <w:rPr>
          <w:rFonts w:cs="Arial"/>
        </w:rPr>
      </w:pPr>
      <w:r w:rsidRPr="0025692F">
        <w:rPr>
          <w:rFonts w:cs="Arial"/>
        </w:rPr>
        <w:t xml:space="preserve">83. Burget, S. (2022, September 2). EV eligible funding in IIJA and IRA represents nearly 30 times the total EV funding awarded by U.S. government to date. </w:t>
      </w:r>
      <w:r w:rsidRPr="0025692F">
        <w:rPr>
          <w:rFonts w:cs="Arial"/>
          <w:i/>
          <w:iCs/>
        </w:rPr>
        <w:t>Atlas EV Hub</w:t>
      </w:r>
      <w:r w:rsidRPr="0025692F">
        <w:rPr>
          <w:rFonts w:cs="Arial"/>
        </w:rPr>
        <w:t>. https://www.atlasevhub.com/data_story/3-billion-in-federal-funding-for-evs-to-date/</w:t>
      </w:r>
    </w:p>
    <w:p w14:paraId="4F3A5BC1" w14:textId="77777777" w:rsidR="0025692F" w:rsidRPr="0025692F" w:rsidRDefault="0025692F" w:rsidP="0025692F">
      <w:pPr>
        <w:pStyle w:val="Bibliography"/>
        <w:rPr>
          <w:rFonts w:cs="Arial"/>
        </w:rPr>
      </w:pPr>
      <w:r w:rsidRPr="0025692F">
        <w:rPr>
          <w:rFonts w:cs="Arial"/>
        </w:rPr>
        <w:t xml:space="preserve">84. Slowik, P., &amp; Isenstadt, A. (2024, January 26). U.S. electric vehicle sales soar into ‘24. </w:t>
      </w:r>
      <w:r w:rsidRPr="0025692F">
        <w:rPr>
          <w:rFonts w:cs="Arial"/>
          <w:i/>
          <w:iCs/>
        </w:rPr>
        <w:t>International Council on Clean Transportation</w:t>
      </w:r>
      <w:r w:rsidRPr="0025692F">
        <w:rPr>
          <w:rFonts w:cs="Arial"/>
        </w:rPr>
        <w:t>. https://theicct.org/us-ev-sales-soar-into-24-jan24/</w:t>
      </w:r>
    </w:p>
    <w:p w14:paraId="0CDEDDB9" w14:textId="77777777" w:rsidR="0025692F" w:rsidRPr="0025692F" w:rsidRDefault="0025692F" w:rsidP="0025692F">
      <w:pPr>
        <w:pStyle w:val="Bibliography"/>
        <w:rPr>
          <w:rFonts w:cs="Arial"/>
        </w:rPr>
      </w:pPr>
      <w:r w:rsidRPr="0025692F">
        <w:rPr>
          <w:rFonts w:cs="Arial"/>
        </w:rPr>
        <w:t xml:space="preserve">85. Pierce, L., &amp; Slowik, P. (2024, March 13). Assessment of U.S. electric vehicle charging needs and announced deployment through 2032. </w:t>
      </w:r>
      <w:r w:rsidRPr="0025692F">
        <w:rPr>
          <w:rFonts w:cs="Arial"/>
          <w:i/>
          <w:iCs/>
        </w:rPr>
        <w:t>International Council on Clean Transportation</w:t>
      </w:r>
      <w:r w:rsidRPr="0025692F">
        <w:rPr>
          <w:rFonts w:cs="Arial"/>
        </w:rPr>
        <w:t>. https://theicct.org/publication/assessment-of-us-ev-charging-needs-and-announced-deployment-through-2032-mar24/</w:t>
      </w:r>
    </w:p>
    <w:p w14:paraId="5CECB72E" w14:textId="77777777" w:rsidR="0025692F" w:rsidRPr="0025692F" w:rsidRDefault="0025692F" w:rsidP="0025692F">
      <w:pPr>
        <w:pStyle w:val="Bibliography"/>
        <w:rPr>
          <w:rFonts w:cs="Arial"/>
        </w:rPr>
      </w:pPr>
      <w:r w:rsidRPr="0025692F">
        <w:rPr>
          <w:rFonts w:cs="Arial"/>
        </w:rPr>
        <w:t xml:space="preserve">86. </w:t>
      </w:r>
      <w:r w:rsidRPr="0025692F">
        <w:rPr>
          <w:rFonts w:cs="Arial"/>
          <w:i/>
          <w:iCs/>
        </w:rPr>
        <w:t>Charger Types and Speeds | US Department of Transportation</w:t>
      </w:r>
      <w:r w:rsidRPr="0025692F">
        <w:rPr>
          <w:rFonts w:cs="Arial"/>
        </w:rPr>
        <w:t>. (2023, June 22). US Department of Transportation. https://www.transportation.gov/rural/ev/toolkit/ev-basics/charging-speeds</w:t>
      </w:r>
    </w:p>
    <w:p w14:paraId="003C49AA" w14:textId="77777777" w:rsidR="0025692F" w:rsidRPr="0025692F" w:rsidRDefault="0025692F" w:rsidP="0025692F">
      <w:pPr>
        <w:pStyle w:val="Bibliography"/>
        <w:rPr>
          <w:rFonts w:cs="Arial"/>
        </w:rPr>
      </w:pPr>
      <w:r w:rsidRPr="0025692F">
        <w:rPr>
          <w:rFonts w:cs="Arial"/>
        </w:rPr>
        <w:t xml:space="preserve">87. </w:t>
      </w:r>
      <w:r w:rsidRPr="0025692F">
        <w:rPr>
          <w:rFonts w:cs="Arial"/>
          <w:i/>
          <w:iCs/>
        </w:rPr>
        <w:t>Electric School Bus Guidebook—Guide 3: Charger Purchasing</w:t>
      </w:r>
      <w:r w:rsidRPr="0025692F">
        <w:rPr>
          <w:rFonts w:cs="Arial"/>
        </w:rPr>
        <w:t>. (n.d.). NYSERDA. https://www.nyserda.ny.gov/-/media/Project/Nyserda/Files/Programs/Electric-School-Bus/Electric-School-Bus-Charger-Purchasing.pdf</w:t>
      </w:r>
    </w:p>
    <w:p w14:paraId="23E2AC17" w14:textId="77777777" w:rsidR="0025692F" w:rsidRPr="0025692F" w:rsidRDefault="0025692F" w:rsidP="0025692F">
      <w:pPr>
        <w:pStyle w:val="Bibliography"/>
        <w:rPr>
          <w:rFonts w:cs="Arial"/>
        </w:rPr>
      </w:pPr>
      <w:r w:rsidRPr="0025692F">
        <w:rPr>
          <w:rFonts w:cs="Arial"/>
        </w:rPr>
        <w:t xml:space="preserve">88. </w:t>
      </w:r>
      <w:r w:rsidRPr="0025692F">
        <w:rPr>
          <w:rFonts w:cs="Arial"/>
          <w:i/>
          <w:iCs/>
        </w:rPr>
        <w:t>Frequently Asked Questions (FAQs) | Electric School Bus Initiative</w:t>
      </w:r>
      <w:r w:rsidRPr="0025692F">
        <w:rPr>
          <w:rFonts w:cs="Arial"/>
        </w:rPr>
        <w:t>. (n.d.). Electric School Bus Initiative. Retrieved July 17, 2024, from https://electricschoolbusinitiative.org/frequently-asked-questions-faqs</w:t>
      </w:r>
    </w:p>
    <w:p w14:paraId="49F0C413" w14:textId="77777777" w:rsidR="0025692F" w:rsidRPr="0025692F" w:rsidRDefault="0025692F" w:rsidP="0025692F">
      <w:pPr>
        <w:pStyle w:val="Bibliography"/>
        <w:rPr>
          <w:rFonts w:cs="Arial"/>
        </w:rPr>
      </w:pPr>
      <w:r w:rsidRPr="0025692F">
        <w:rPr>
          <w:rFonts w:cs="Arial"/>
        </w:rPr>
        <w:lastRenderedPageBreak/>
        <w:t xml:space="preserve">89. </w:t>
      </w:r>
      <w:r w:rsidRPr="0025692F">
        <w:rPr>
          <w:rFonts w:cs="Arial"/>
          <w:i/>
          <w:iCs/>
        </w:rPr>
        <w:t>Research on Health Effects, Exposure, &amp; Risk from Mobile Source Pollution | US EPA</w:t>
      </w:r>
      <w:r w:rsidRPr="0025692F">
        <w:rPr>
          <w:rFonts w:cs="Arial"/>
        </w:rPr>
        <w:t>. (2024, May 7). EPA. https://www.epa.gov/mobile-source-pollution/research-health-effects-exposure-risk-mobile-source-pollution</w:t>
      </w:r>
    </w:p>
    <w:p w14:paraId="349EED56" w14:textId="77777777" w:rsidR="0025692F" w:rsidRPr="0025692F" w:rsidRDefault="0025692F" w:rsidP="0025692F">
      <w:pPr>
        <w:pStyle w:val="Bibliography"/>
        <w:rPr>
          <w:rFonts w:cs="Arial"/>
        </w:rPr>
      </w:pPr>
      <w:r w:rsidRPr="0025692F">
        <w:rPr>
          <w:rFonts w:cs="Arial"/>
        </w:rPr>
        <w:t xml:space="preserve">90. Dellinger, A. (n.d.). </w:t>
      </w:r>
      <w:r w:rsidRPr="0025692F">
        <w:rPr>
          <w:rFonts w:cs="Arial"/>
          <w:i/>
          <w:iCs/>
        </w:rPr>
        <w:t>Peak and Off-Peak Energy Explainer: Here’s the Cheapest Time to Use Electricity</w:t>
      </w:r>
      <w:r w:rsidRPr="0025692F">
        <w:rPr>
          <w:rFonts w:cs="Arial"/>
        </w:rPr>
        <w:t>. CNET. Retrieved July 17, 2024, from https://www.cnet.com/home/energy-and-utilities/peak-and-off-peak-energy-explainer-heres-the-cheapest-time-to-use-electricity/</w:t>
      </w:r>
    </w:p>
    <w:p w14:paraId="5003CD50" w14:textId="77777777" w:rsidR="0025692F" w:rsidRPr="0025692F" w:rsidRDefault="0025692F" w:rsidP="0025692F">
      <w:pPr>
        <w:pStyle w:val="Bibliography"/>
        <w:rPr>
          <w:rFonts w:cs="Arial"/>
        </w:rPr>
      </w:pPr>
      <w:r w:rsidRPr="0025692F">
        <w:rPr>
          <w:rFonts w:cs="Arial"/>
        </w:rPr>
        <w:t xml:space="preserve">91. Lee, J. (n.d.). </w:t>
      </w:r>
      <w:r w:rsidRPr="0025692F">
        <w:rPr>
          <w:rFonts w:cs="Arial"/>
          <w:i/>
          <w:iCs/>
        </w:rPr>
        <w:t>Thieves target electric vehicle charging stations, likely for copper in cables: Officials</w:t>
      </w:r>
      <w:r w:rsidRPr="0025692F">
        <w:rPr>
          <w:rFonts w:cs="Arial"/>
        </w:rPr>
        <w:t>. Fox29. Retrieved July 17, 2024, from https://www.fox29.com/news/thieves-target-electric-vehicle-charging-stations</w:t>
      </w:r>
    </w:p>
    <w:p w14:paraId="3CE8646F" w14:textId="77777777" w:rsidR="0025692F" w:rsidRPr="0025692F" w:rsidRDefault="0025692F" w:rsidP="0025692F">
      <w:pPr>
        <w:pStyle w:val="Bibliography"/>
        <w:rPr>
          <w:rFonts w:cs="Arial"/>
        </w:rPr>
      </w:pPr>
      <w:r w:rsidRPr="0025692F">
        <w:rPr>
          <w:rFonts w:cs="Arial"/>
        </w:rPr>
        <w:t xml:space="preserve">92. Pape, P. (2024, April). </w:t>
      </w:r>
      <w:r w:rsidRPr="0025692F">
        <w:rPr>
          <w:rFonts w:cs="Arial"/>
          <w:i/>
          <w:iCs/>
        </w:rPr>
        <w:t>Protect Your EV Charging Station from Vandals</w:t>
      </w:r>
      <w:r w:rsidRPr="0025692F">
        <w:rPr>
          <w:rFonts w:cs="Arial"/>
        </w:rPr>
        <w:t>. NACS - Magazine. https://www.nacsmagazine.com/Issues/April-2024/Protect-Your-EV-Charging-Station-from-Vandals</w:t>
      </w:r>
    </w:p>
    <w:p w14:paraId="3A61BF28" w14:textId="77777777" w:rsidR="0025692F" w:rsidRPr="0025692F" w:rsidRDefault="0025692F" w:rsidP="0025692F">
      <w:pPr>
        <w:pStyle w:val="Bibliography"/>
        <w:rPr>
          <w:rFonts w:cs="Arial"/>
        </w:rPr>
      </w:pPr>
      <w:r w:rsidRPr="0025692F">
        <w:rPr>
          <w:rFonts w:cs="Arial"/>
        </w:rPr>
        <w:t xml:space="preserve">93. Massachusetts Executive Office of Energy and Environmental Affairs. (2023). </w:t>
      </w:r>
      <w:r w:rsidRPr="0025692F">
        <w:rPr>
          <w:rFonts w:cs="Arial"/>
          <w:i/>
          <w:iCs/>
        </w:rPr>
        <w:t>ResilientMass Plan—Chapter 1 Introduction</w:t>
      </w:r>
      <w:r w:rsidRPr="0025692F">
        <w:rPr>
          <w:rFonts w:cs="Arial"/>
        </w:rPr>
        <w:t>. https://www.mass.gov/doc/resilientmass-plan-chapter-1-introduction/download</w:t>
      </w:r>
    </w:p>
    <w:p w14:paraId="52EF2A49" w14:textId="77777777" w:rsidR="0025692F" w:rsidRPr="0025692F" w:rsidRDefault="0025692F" w:rsidP="0025692F">
      <w:pPr>
        <w:pStyle w:val="Bibliography"/>
        <w:rPr>
          <w:rFonts w:cs="Arial"/>
        </w:rPr>
      </w:pPr>
      <w:r w:rsidRPr="0025692F">
        <w:rPr>
          <w:rFonts w:cs="Arial"/>
        </w:rPr>
        <w:t xml:space="preserve">94. </w:t>
      </w:r>
      <w:r w:rsidRPr="0025692F">
        <w:rPr>
          <w:rFonts w:cs="Arial"/>
          <w:i/>
          <w:iCs/>
        </w:rPr>
        <w:t>Extreme Weather, School Closures, and Lost Learning Time</w:t>
      </w:r>
      <w:r w:rsidRPr="0025692F">
        <w:rPr>
          <w:rFonts w:cs="Arial"/>
        </w:rPr>
        <w:t>. (n.d.). UndauntedK12. Retrieved July 17, 2024, from https://www.undauntedk12.org/lostlearningtime</w:t>
      </w:r>
    </w:p>
    <w:p w14:paraId="3C361AAC" w14:textId="77777777" w:rsidR="0025692F" w:rsidRPr="0025692F" w:rsidRDefault="0025692F" w:rsidP="0025692F">
      <w:pPr>
        <w:pStyle w:val="Bibliography"/>
        <w:rPr>
          <w:rFonts w:cs="Arial"/>
        </w:rPr>
      </w:pPr>
      <w:r w:rsidRPr="0025692F">
        <w:rPr>
          <w:rFonts w:cs="Arial"/>
        </w:rPr>
        <w:t xml:space="preserve">95. Massachusetts Executive Office of Energy and Environmental Affairs. (2023). </w:t>
      </w:r>
      <w:r w:rsidRPr="0025692F">
        <w:rPr>
          <w:rFonts w:cs="Arial"/>
          <w:i/>
          <w:iCs/>
        </w:rPr>
        <w:t>ResilientMass Plan</w:t>
      </w:r>
      <w:r w:rsidRPr="0025692F">
        <w:rPr>
          <w:rFonts w:cs="Arial"/>
        </w:rPr>
        <w:t>. https://www.mass.gov/doc/resilientmass-plan-2023/download</w:t>
      </w:r>
    </w:p>
    <w:p w14:paraId="02A9FE66" w14:textId="77777777" w:rsidR="0025692F" w:rsidRPr="0025692F" w:rsidRDefault="0025692F" w:rsidP="0025692F">
      <w:pPr>
        <w:pStyle w:val="Bibliography"/>
        <w:rPr>
          <w:rFonts w:cs="Arial"/>
        </w:rPr>
      </w:pPr>
      <w:r w:rsidRPr="0025692F">
        <w:rPr>
          <w:rFonts w:cs="Arial"/>
        </w:rPr>
        <w:t xml:space="preserve">96. </w:t>
      </w:r>
      <w:r w:rsidRPr="0025692F">
        <w:rPr>
          <w:rFonts w:cs="Arial"/>
          <w:i/>
          <w:iCs/>
        </w:rPr>
        <w:t>Water, Water, Everywhere: The Increasing Threat of Stormwater Flooding in Greater Boston</w:t>
      </w:r>
      <w:r w:rsidRPr="0025692F">
        <w:rPr>
          <w:rFonts w:cs="Arial"/>
        </w:rPr>
        <w:t>. (n.d.).</w:t>
      </w:r>
    </w:p>
    <w:p w14:paraId="4E912E39" w14:textId="77777777" w:rsidR="0025692F" w:rsidRPr="0025692F" w:rsidRDefault="0025692F" w:rsidP="0025692F">
      <w:pPr>
        <w:pStyle w:val="Bibliography"/>
        <w:rPr>
          <w:rFonts w:cs="Arial"/>
        </w:rPr>
      </w:pPr>
      <w:r w:rsidRPr="0025692F">
        <w:rPr>
          <w:rFonts w:cs="Arial"/>
        </w:rPr>
        <w:t xml:space="preserve">97. </w:t>
      </w:r>
      <w:r w:rsidRPr="0025692F">
        <w:rPr>
          <w:rFonts w:cs="Arial"/>
          <w:i/>
          <w:iCs/>
        </w:rPr>
        <w:t>MEPHT | Asthma Overview</w:t>
      </w:r>
      <w:r w:rsidRPr="0025692F">
        <w:rPr>
          <w:rFonts w:cs="Arial"/>
        </w:rPr>
        <w:t>. (n.d.). Retrieved September 23, 2024, from https://matracking.ehs.state.ma.us/Health-Data/Asthma/index.html</w:t>
      </w:r>
    </w:p>
    <w:p w14:paraId="32A73021" w14:textId="77777777" w:rsidR="0025692F" w:rsidRPr="0025692F" w:rsidRDefault="0025692F" w:rsidP="0025692F">
      <w:pPr>
        <w:pStyle w:val="Bibliography"/>
        <w:rPr>
          <w:rFonts w:cs="Arial"/>
        </w:rPr>
      </w:pPr>
      <w:r w:rsidRPr="0025692F">
        <w:rPr>
          <w:rFonts w:cs="Arial"/>
        </w:rPr>
        <w:t xml:space="preserve">98. CDC. (2024, May 17). </w:t>
      </w:r>
      <w:r w:rsidRPr="0025692F">
        <w:rPr>
          <w:rFonts w:cs="Arial"/>
          <w:i/>
          <w:iCs/>
        </w:rPr>
        <w:t>Preventing Spread of Infections in K-12 Schools</w:t>
      </w:r>
      <w:r w:rsidRPr="0025692F">
        <w:rPr>
          <w:rFonts w:cs="Arial"/>
        </w:rPr>
        <w:t>. CDC.Gov. https://www.cdc.gov/orr/school-preparedness/infection-prevention/index.html</w:t>
      </w:r>
    </w:p>
    <w:p w14:paraId="52EE304A" w14:textId="77777777" w:rsidR="0025692F" w:rsidRPr="0025692F" w:rsidRDefault="0025692F" w:rsidP="0025692F">
      <w:pPr>
        <w:pStyle w:val="Bibliography"/>
        <w:rPr>
          <w:rFonts w:cs="Arial"/>
        </w:rPr>
      </w:pPr>
      <w:r w:rsidRPr="0025692F">
        <w:rPr>
          <w:rFonts w:cs="Arial"/>
        </w:rPr>
        <w:t xml:space="preserve">99. US EPA. (2006). </w:t>
      </w:r>
      <w:r w:rsidRPr="0025692F">
        <w:rPr>
          <w:rFonts w:cs="Arial"/>
          <w:i/>
          <w:iCs/>
        </w:rPr>
        <w:t>Chemical Management Resource Guide for School Administrators</w:t>
      </w:r>
      <w:r w:rsidRPr="0025692F">
        <w:rPr>
          <w:rFonts w:cs="Arial"/>
        </w:rPr>
        <w:t>. https://www.epa.gov/sites/default/files/2017-01/documents/chemical_management_resource_guide_school_administrators_508.pdf</w:t>
      </w:r>
    </w:p>
    <w:p w14:paraId="16BF599B" w14:textId="77777777" w:rsidR="0025692F" w:rsidRPr="0025692F" w:rsidRDefault="0025692F" w:rsidP="0025692F">
      <w:pPr>
        <w:pStyle w:val="Bibliography"/>
        <w:rPr>
          <w:rFonts w:cs="Arial"/>
        </w:rPr>
      </w:pPr>
      <w:r w:rsidRPr="0025692F">
        <w:rPr>
          <w:rFonts w:cs="Arial"/>
        </w:rPr>
        <w:t xml:space="preserve">100. US EPA. (2016). </w:t>
      </w:r>
      <w:r w:rsidRPr="0025692F">
        <w:rPr>
          <w:rFonts w:cs="Arial"/>
          <w:i/>
          <w:iCs/>
        </w:rPr>
        <w:t>Sensible Guide for Healthier School Renovations: Key Environmental Health Considerations When Renovating Schools</w:t>
      </w:r>
      <w:r w:rsidRPr="0025692F">
        <w:rPr>
          <w:rFonts w:cs="Arial"/>
        </w:rPr>
        <w:t xml:space="preserve"> (No. EPA-909-R-15-002). Environmental Protection Agency. https://www.epa.gov/sites/default/files/2016-01/documents/schools_renov_brochure-8_5x11_final.pdf</w:t>
      </w:r>
    </w:p>
    <w:p w14:paraId="45DD572A" w14:textId="77777777" w:rsidR="0025692F" w:rsidRPr="0025692F" w:rsidRDefault="0025692F" w:rsidP="0025692F">
      <w:pPr>
        <w:pStyle w:val="Bibliography"/>
        <w:rPr>
          <w:rFonts w:cs="Arial"/>
        </w:rPr>
      </w:pPr>
      <w:r w:rsidRPr="0025692F">
        <w:rPr>
          <w:rFonts w:cs="Arial"/>
        </w:rPr>
        <w:t xml:space="preserve">101. US EPA. (2012). </w:t>
      </w:r>
      <w:r w:rsidRPr="0025692F">
        <w:rPr>
          <w:rFonts w:cs="Arial"/>
          <w:i/>
          <w:iCs/>
        </w:rPr>
        <w:t>Sensible Steps to Healthier School Environments</w:t>
      </w:r>
      <w:r w:rsidRPr="0025692F">
        <w:rPr>
          <w:rFonts w:cs="Arial"/>
        </w:rPr>
        <w:t xml:space="preserve"> (No. EPA-908-R-12-0001). https://www.epa.gov/sites/default/files/2014-05/documents/sensible_steps.pdf</w:t>
      </w:r>
    </w:p>
    <w:p w14:paraId="5765C783" w14:textId="77777777" w:rsidR="0025692F" w:rsidRPr="0025692F" w:rsidRDefault="0025692F" w:rsidP="0025692F">
      <w:pPr>
        <w:pStyle w:val="Bibliography"/>
        <w:rPr>
          <w:rFonts w:cs="Arial"/>
        </w:rPr>
      </w:pPr>
      <w:r w:rsidRPr="0025692F">
        <w:rPr>
          <w:rFonts w:cs="Arial"/>
        </w:rPr>
        <w:t xml:space="preserve">102. Ernst, R. (2023, October 2). </w:t>
      </w:r>
      <w:r w:rsidRPr="0025692F">
        <w:rPr>
          <w:rFonts w:cs="Arial"/>
          <w:i/>
          <w:iCs/>
        </w:rPr>
        <w:t>Asbestos in Schools Across United States</w:t>
      </w:r>
      <w:r w:rsidRPr="0025692F">
        <w:rPr>
          <w:rFonts w:cs="Arial"/>
        </w:rPr>
        <w:t>. Mesothelioma Hub. https://www.mesotheliomahub.com/blog/asbestos-in-schools/</w:t>
      </w:r>
    </w:p>
    <w:p w14:paraId="76A3E3F3" w14:textId="77777777" w:rsidR="0025692F" w:rsidRPr="0025692F" w:rsidRDefault="0025692F" w:rsidP="0025692F">
      <w:pPr>
        <w:pStyle w:val="Bibliography"/>
        <w:rPr>
          <w:rFonts w:cs="Arial"/>
        </w:rPr>
      </w:pPr>
      <w:r w:rsidRPr="0025692F">
        <w:rPr>
          <w:rFonts w:cs="Arial"/>
        </w:rPr>
        <w:t xml:space="preserve">103. MA Department of Fire Services. (n.d.). </w:t>
      </w:r>
      <w:r w:rsidRPr="0025692F">
        <w:rPr>
          <w:rFonts w:cs="Arial"/>
          <w:i/>
          <w:iCs/>
        </w:rPr>
        <w:t>Carbon Monoxide (CO) Safety</w:t>
      </w:r>
      <w:r w:rsidRPr="0025692F">
        <w:rPr>
          <w:rFonts w:cs="Arial"/>
        </w:rPr>
        <w:t>. Mass.Gov. Retrieved June 19, 2024, from https://www.mass.gov/info-details/carbon-monoxide-co-safety</w:t>
      </w:r>
    </w:p>
    <w:p w14:paraId="086CC8AF" w14:textId="77777777" w:rsidR="0025692F" w:rsidRPr="0025692F" w:rsidRDefault="0025692F" w:rsidP="0025692F">
      <w:pPr>
        <w:pStyle w:val="Bibliography"/>
        <w:rPr>
          <w:rFonts w:cs="Arial"/>
        </w:rPr>
      </w:pPr>
      <w:r w:rsidRPr="0025692F">
        <w:rPr>
          <w:rFonts w:cs="Arial"/>
        </w:rPr>
        <w:t xml:space="preserve">104. US EPA. (2014). </w:t>
      </w:r>
      <w:r w:rsidRPr="0025692F">
        <w:rPr>
          <w:rFonts w:cs="Arial"/>
          <w:i/>
          <w:iCs/>
        </w:rPr>
        <w:t>Energy Savings Plus Health: Indoor Air Quality Guidelines for School Building Upgrades</w:t>
      </w:r>
      <w:r w:rsidRPr="0025692F">
        <w:rPr>
          <w:rFonts w:cs="Arial"/>
        </w:rPr>
        <w:t>. Environmental Protection Agency. https://www.epa.gov/sites/default/files/2014-10/documents/energy_savings_plus_health_guideline.pdf</w:t>
      </w:r>
    </w:p>
    <w:p w14:paraId="505B8829" w14:textId="77777777" w:rsidR="0025692F" w:rsidRPr="0025692F" w:rsidRDefault="0025692F" w:rsidP="0025692F">
      <w:pPr>
        <w:pStyle w:val="Bibliography"/>
        <w:rPr>
          <w:rFonts w:cs="Arial"/>
        </w:rPr>
      </w:pPr>
      <w:r w:rsidRPr="0025692F">
        <w:rPr>
          <w:rFonts w:cs="Arial"/>
        </w:rPr>
        <w:t xml:space="preserve">105. US EPA. (2024, June 17). </w:t>
      </w:r>
      <w:r w:rsidRPr="0025692F">
        <w:rPr>
          <w:rFonts w:cs="Arial"/>
          <w:i/>
          <w:iCs/>
        </w:rPr>
        <w:t>Learn about Polychlorinated Biphenyls</w:t>
      </w:r>
      <w:r w:rsidRPr="0025692F">
        <w:rPr>
          <w:rFonts w:cs="Arial"/>
        </w:rPr>
        <w:t xml:space="preserve"> [Other Policies and Guidance]. https://www.epa.gov/pcbs/learn-about-polychlorinated-biphenyls</w:t>
      </w:r>
    </w:p>
    <w:p w14:paraId="62837BA3" w14:textId="77777777" w:rsidR="0025692F" w:rsidRPr="0025692F" w:rsidRDefault="0025692F" w:rsidP="0025692F">
      <w:pPr>
        <w:pStyle w:val="Bibliography"/>
        <w:rPr>
          <w:rFonts w:cs="Arial"/>
        </w:rPr>
      </w:pPr>
      <w:r w:rsidRPr="0025692F">
        <w:rPr>
          <w:rFonts w:cs="Arial"/>
        </w:rPr>
        <w:t xml:space="preserve">106. MDPH. (n.d.). </w:t>
      </w:r>
      <w:r w:rsidRPr="0025692F">
        <w:rPr>
          <w:rFonts w:cs="Arial"/>
          <w:i/>
          <w:iCs/>
        </w:rPr>
        <w:t>PCBs (Polychlorinated Biphenyls) in building materials</w:t>
      </w:r>
      <w:r w:rsidRPr="0025692F">
        <w:rPr>
          <w:rFonts w:cs="Arial"/>
        </w:rPr>
        <w:t>. Mass.Gov. Retrieved June 20, 2024, from https://www.mass.gov/info-details/pcbs-polychlorinated-biphenyls-in-building-materials</w:t>
      </w:r>
    </w:p>
    <w:p w14:paraId="692B07E2" w14:textId="77777777" w:rsidR="0025692F" w:rsidRPr="0025692F" w:rsidRDefault="0025692F" w:rsidP="0025692F">
      <w:pPr>
        <w:pStyle w:val="Bibliography"/>
        <w:rPr>
          <w:rFonts w:cs="Arial"/>
        </w:rPr>
      </w:pPr>
      <w:r w:rsidRPr="0025692F">
        <w:rPr>
          <w:rFonts w:cs="Arial"/>
        </w:rPr>
        <w:lastRenderedPageBreak/>
        <w:t xml:space="preserve">107. US EPA. (2023, September 11). </w:t>
      </w:r>
      <w:r w:rsidRPr="0025692F">
        <w:rPr>
          <w:rFonts w:cs="Arial"/>
          <w:i/>
          <w:iCs/>
        </w:rPr>
        <w:t>Polychlorinated Biphenyls (PCBs) in Building Materials</w:t>
      </w:r>
      <w:r w:rsidRPr="0025692F">
        <w:rPr>
          <w:rFonts w:cs="Arial"/>
        </w:rPr>
        <w:t xml:space="preserve"> [Other Policies and Guidance]. https://www.epa.gov/pcbs/polychlorinated-biphenyls-pcbs-building-materials</w:t>
      </w:r>
    </w:p>
    <w:p w14:paraId="32DA69FB" w14:textId="77777777" w:rsidR="0025692F" w:rsidRPr="0025692F" w:rsidRDefault="0025692F" w:rsidP="0025692F">
      <w:pPr>
        <w:pStyle w:val="Bibliography"/>
        <w:rPr>
          <w:rFonts w:cs="Arial"/>
        </w:rPr>
      </w:pPr>
      <w:r w:rsidRPr="0025692F">
        <w:rPr>
          <w:rFonts w:cs="Arial"/>
        </w:rPr>
        <w:t xml:space="preserve">108. </w:t>
      </w:r>
      <w:r w:rsidRPr="0025692F">
        <w:rPr>
          <w:rFonts w:cs="Arial"/>
          <w:i/>
          <w:iCs/>
        </w:rPr>
        <w:t>PCBs in Schools | Department of Environmental Conservation</w:t>
      </w:r>
      <w:r w:rsidRPr="0025692F">
        <w:rPr>
          <w:rFonts w:cs="Arial"/>
        </w:rPr>
        <w:t>. (n.d.). Retrieved September 23, 2024, from https://dec.vermont.gov/waste-management/contaminated-sites/PCBsinSchools</w:t>
      </w:r>
    </w:p>
    <w:p w14:paraId="002085D9" w14:textId="77777777" w:rsidR="0025692F" w:rsidRPr="0025692F" w:rsidRDefault="0025692F" w:rsidP="0025692F">
      <w:pPr>
        <w:pStyle w:val="Bibliography"/>
        <w:rPr>
          <w:rFonts w:cs="Arial"/>
        </w:rPr>
      </w:pPr>
      <w:r w:rsidRPr="0025692F">
        <w:rPr>
          <w:rFonts w:cs="Arial"/>
        </w:rPr>
        <w:t xml:space="preserve">109. Western States PEHSU. (2017). </w:t>
      </w:r>
      <w:r w:rsidRPr="0025692F">
        <w:rPr>
          <w:rFonts w:cs="Arial"/>
          <w:i/>
          <w:iCs/>
        </w:rPr>
        <w:t>Managing PCBs in Schools</w:t>
      </w:r>
      <w:r w:rsidRPr="0025692F">
        <w:rPr>
          <w:rFonts w:cs="Arial"/>
        </w:rPr>
        <w:t>. Western States Pediatric Environmental Health Specialty Unit. https://wspehsu.ucsf.edu/wp-content/uploads/2017/10/the-final_managing-pcbs-in-schools-poster_2017.pdf</w:t>
      </w:r>
    </w:p>
    <w:p w14:paraId="7ABB8A21" w14:textId="77777777" w:rsidR="0025692F" w:rsidRPr="0025692F" w:rsidRDefault="0025692F" w:rsidP="0025692F">
      <w:pPr>
        <w:pStyle w:val="Bibliography"/>
        <w:rPr>
          <w:rFonts w:cs="Arial"/>
        </w:rPr>
      </w:pPr>
      <w:r w:rsidRPr="0025692F">
        <w:rPr>
          <w:rFonts w:cs="Arial"/>
        </w:rPr>
        <w:t>110. Toxic Substances Control Act, 40 CFR 761 - Polychlorinated Biphenyls (PCBs) Manufacturing, Processing, Distribution in Commerce, and Use Prohibitions, Pub. L. No. 94–469, 40 CFR 761 Code of Federal Regulations (1976). https://www.ecfr.gov/current/title-40/part-761</w:t>
      </w:r>
    </w:p>
    <w:p w14:paraId="07AF0BF4" w14:textId="77777777" w:rsidR="0025692F" w:rsidRPr="0025692F" w:rsidRDefault="0025692F" w:rsidP="0025692F">
      <w:pPr>
        <w:pStyle w:val="Bibliography"/>
        <w:rPr>
          <w:rFonts w:cs="Arial"/>
        </w:rPr>
      </w:pPr>
      <w:r w:rsidRPr="0025692F">
        <w:rPr>
          <w:rFonts w:cs="Arial"/>
        </w:rPr>
        <w:t xml:space="preserve">111. Lieberman, M. (2022, October 27). What to Know About PCBs in Schools: A Visual Primer. </w:t>
      </w:r>
      <w:r w:rsidRPr="0025692F">
        <w:rPr>
          <w:rFonts w:cs="Arial"/>
          <w:i/>
          <w:iCs/>
        </w:rPr>
        <w:t>Education Week</w:t>
      </w:r>
      <w:r w:rsidRPr="0025692F">
        <w:rPr>
          <w:rFonts w:cs="Arial"/>
        </w:rPr>
        <w:t>. https://www.edweek.org/leadership/what-to-know-about-pcbs-in-schools-a-visual-primer/2022/10</w:t>
      </w:r>
    </w:p>
    <w:p w14:paraId="616A4A28" w14:textId="77777777" w:rsidR="0025692F" w:rsidRPr="0025692F" w:rsidRDefault="0025692F" w:rsidP="0025692F">
      <w:pPr>
        <w:pStyle w:val="Bibliography"/>
        <w:rPr>
          <w:rFonts w:cs="Arial"/>
        </w:rPr>
      </w:pPr>
      <w:r w:rsidRPr="0025692F">
        <w:rPr>
          <w:rFonts w:cs="Arial"/>
        </w:rPr>
        <w:t xml:space="preserve">112. Christensen, K. (2022, March). Exposure to airborne PCBs an ongoing challenge, expert says. </w:t>
      </w:r>
      <w:r w:rsidRPr="0025692F">
        <w:rPr>
          <w:rFonts w:cs="Arial"/>
          <w:i/>
          <w:iCs/>
        </w:rPr>
        <w:t>Environmental Factor</w:t>
      </w:r>
      <w:r w:rsidRPr="0025692F">
        <w:rPr>
          <w:rFonts w:cs="Arial"/>
        </w:rPr>
        <w:t>. https://factor.niehs.nih.gov/2022/3/feature/2-feature-pcb-exposure</w:t>
      </w:r>
    </w:p>
    <w:p w14:paraId="45ABDB6A" w14:textId="77777777" w:rsidR="0025692F" w:rsidRPr="0025692F" w:rsidRDefault="0025692F" w:rsidP="0025692F">
      <w:pPr>
        <w:pStyle w:val="Bibliography"/>
        <w:rPr>
          <w:rFonts w:cs="Arial"/>
        </w:rPr>
      </w:pPr>
      <w:r w:rsidRPr="0025692F">
        <w:rPr>
          <w:rFonts w:cs="Arial"/>
        </w:rPr>
        <w:t xml:space="preserve">113. MDPH. (2024, April 3). </w:t>
      </w:r>
      <w:r w:rsidRPr="0025692F">
        <w:rPr>
          <w:rFonts w:cs="Arial"/>
          <w:i/>
          <w:iCs/>
        </w:rPr>
        <w:t>MEPHT | Radon</w:t>
      </w:r>
      <w:r w:rsidRPr="0025692F">
        <w:rPr>
          <w:rFonts w:cs="Arial"/>
        </w:rPr>
        <w:t>. Massachusetts Environmental Public Health Tracking. https://matracking.ehs.state.ma.us/Environmental-Data/radon/index.html</w:t>
      </w:r>
    </w:p>
    <w:p w14:paraId="6D0D4726" w14:textId="77777777" w:rsidR="0025692F" w:rsidRPr="0025692F" w:rsidRDefault="0025692F" w:rsidP="0025692F">
      <w:pPr>
        <w:pStyle w:val="Bibliography"/>
        <w:rPr>
          <w:rFonts w:cs="Arial"/>
        </w:rPr>
      </w:pPr>
      <w:r w:rsidRPr="0025692F">
        <w:rPr>
          <w:rFonts w:cs="Arial"/>
        </w:rPr>
        <w:t xml:space="preserve">114. MDPH. (2023, November). </w:t>
      </w:r>
      <w:r w:rsidRPr="0025692F">
        <w:rPr>
          <w:rFonts w:cs="Arial"/>
          <w:i/>
          <w:iCs/>
        </w:rPr>
        <w:t>Radon—Get the Facts</w:t>
      </w:r>
      <w:r w:rsidRPr="0025692F">
        <w:rPr>
          <w:rFonts w:cs="Arial"/>
        </w:rPr>
        <w:t>. Mass.Gov. https://www.mass.gov/info-details/radon-get-the-facts</w:t>
      </w:r>
    </w:p>
    <w:p w14:paraId="316F6E3F" w14:textId="77777777" w:rsidR="0025692F" w:rsidRPr="0025692F" w:rsidRDefault="0025692F" w:rsidP="0025692F">
      <w:pPr>
        <w:pStyle w:val="Bibliography"/>
        <w:rPr>
          <w:rFonts w:cs="Arial"/>
        </w:rPr>
      </w:pPr>
      <w:r w:rsidRPr="0025692F">
        <w:rPr>
          <w:rFonts w:cs="Arial"/>
        </w:rPr>
        <w:t xml:space="preserve">115. </w:t>
      </w:r>
      <w:r w:rsidRPr="0025692F">
        <w:rPr>
          <w:rFonts w:cs="Arial"/>
          <w:i/>
          <w:iCs/>
        </w:rPr>
        <w:t>What is Vapor Intrusion? | US EPA</w:t>
      </w:r>
      <w:r w:rsidRPr="0025692F">
        <w:rPr>
          <w:rFonts w:cs="Arial"/>
        </w:rPr>
        <w:t>. (n.d.). Retrieved September 23, 2024, from https://www.epa.gov/vaporintrusion/what-vapor-intrusion</w:t>
      </w:r>
    </w:p>
    <w:p w14:paraId="1AE54107" w14:textId="77777777" w:rsidR="0025692F" w:rsidRPr="0025692F" w:rsidRDefault="0025692F" w:rsidP="0025692F">
      <w:pPr>
        <w:pStyle w:val="Bibliography"/>
        <w:rPr>
          <w:rFonts w:cs="Arial"/>
        </w:rPr>
      </w:pPr>
      <w:r w:rsidRPr="0025692F">
        <w:rPr>
          <w:rFonts w:cs="Arial"/>
        </w:rPr>
        <w:t xml:space="preserve">116. MassDEP. (2016). </w:t>
      </w:r>
      <w:r w:rsidRPr="0025692F">
        <w:rPr>
          <w:rFonts w:cs="Arial"/>
          <w:i/>
          <w:iCs/>
        </w:rPr>
        <w:t>Vapor Intrusion Guidance: Site assessment, mitigation and closure</w:t>
      </w:r>
      <w:r w:rsidRPr="0025692F">
        <w:rPr>
          <w:rFonts w:cs="Arial"/>
        </w:rPr>
        <w:t>.</w:t>
      </w:r>
    </w:p>
    <w:p w14:paraId="67FC70B9" w14:textId="77777777" w:rsidR="0025692F" w:rsidRPr="0025692F" w:rsidRDefault="0025692F" w:rsidP="0025692F">
      <w:pPr>
        <w:pStyle w:val="Bibliography"/>
        <w:rPr>
          <w:rFonts w:cs="Arial"/>
        </w:rPr>
      </w:pPr>
      <w:r w:rsidRPr="0025692F">
        <w:rPr>
          <w:rFonts w:cs="Arial"/>
        </w:rPr>
        <w:t xml:space="preserve">117. US EPA. (2021). </w:t>
      </w:r>
      <w:r w:rsidRPr="0025692F">
        <w:rPr>
          <w:rFonts w:cs="Arial"/>
          <w:i/>
          <w:iCs/>
        </w:rPr>
        <w:t>Best Practices for Reducing Near-Road Pollution Exposure at Schools</w:t>
      </w:r>
      <w:r w:rsidRPr="0025692F">
        <w:rPr>
          <w:rFonts w:cs="Arial"/>
        </w:rPr>
        <w:t xml:space="preserve"> (No. EPA-420-R-21-022). https://nepis.epa.gov/Exe/ZyPDF.cgi?Dockey=P1013GDE.pdf</w:t>
      </w:r>
    </w:p>
    <w:p w14:paraId="5A7D5879" w14:textId="77777777" w:rsidR="0025692F" w:rsidRPr="0025692F" w:rsidRDefault="0025692F" w:rsidP="0025692F">
      <w:pPr>
        <w:pStyle w:val="Bibliography"/>
        <w:rPr>
          <w:rFonts w:cs="Arial"/>
        </w:rPr>
      </w:pPr>
      <w:r w:rsidRPr="0025692F">
        <w:rPr>
          <w:rFonts w:cs="Arial"/>
        </w:rPr>
        <w:t xml:space="preserve">118. OSHA. (n.d.). </w:t>
      </w:r>
      <w:r w:rsidRPr="0025692F">
        <w:rPr>
          <w:rFonts w:cs="Arial"/>
          <w:i/>
          <w:iCs/>
        </w:rPr>
        <w:t>Diesel Exhaust—Partial List of Chemicals Associated with Diesel Exhaust</w:t>
      </w:r>
      <w:r w:rsidRPr="0025692F">
        <w:rPr>
          <w:rFonts w:cs="Arial"/>
        </w:rPr>
        <w:t>. Retrieved July 22, 2024, from https://www.osha.gov/diesel-exhaust/chemical</w:t>
      </w:r>
    </w:p>
    <w:p w14:paraId="15B8100C" w14:textId="77777777" w:rsidR="0025692F" w:rsidRPr="0025692F" w:rsidRDefault="0025692F" w:rsidP="0025692F">
      <w:pPr>
        <w:pStyle w:val="Bibliography"/>
        <w:rPr>
          <w:rFonts w:cs="Arial"/>
        </w:rPr>
      </w:pPr>
      <w:r w:rsidRPr="0025692F">
        <w:rPr>
          <w:rFonts w:cs="Arial"/>
        </w:rPr>
        <w:t xml:space="preserve">119. </w:t>
      </w:r>
      <w:r w:rsidRPr="0025692F">
        <w:rPr>
          <w:rFonts w:cs="Arial"/>
          <w:i/>
          <w:iCs/>
        </w:rPr>
        <w:t>Wildfire Smoke Safety Tips | Mass.gov</w:t>
      </w:r>
      <w:r w:rsidRPr="0025692F">
        <w:rPr>
          <w:rFonts w:cs="Arial"/>
        </w:rPr>
        <w:t>. (n.d.). Retrieved July 22, 2024, from https://www.mass.gov/info-details/wildfire-smoke-safety-tips</w:t>
      </w:r>
    </w:p>
    <w:p w14:paraId="514C5A06" w14:textId="77777777" w:rsidR="0025692F" w:rsidRPr="0025692F" w:rsidRDefault="0025692F" w:rsidP="0025692F">
      <w:pPr>
        <w:pStyle w:val="Bibliography"/>
        <w:rPr>
          <w:rFonts w:cs="Arial"/>
        </w:rPr>
      </w:pPr>
      <w:r w:rsidRPr="0025692F">
        <w:rPr>
          <w:rFonts w:cs="Arial"/>
        </w:rPr>
        <w:t xml:space="preserve">120. Harvard T.H. Chan School of Public Health, Healthy Buildings program. (n.d.). </w:t>
      </w:r>
      <w:r w:rsidRPr="0025692F">
        <w:rPr>
          <w:rFonts w:cs="Arial"/>
          <w:i/>
          <w:iCs/>
        </w:rPr>
        <w:t>Foundations for Student Success: How School Buildings Influence Student Health, Thinking and Performance</w:t>
      </w:r>
      <w:r w:rsidRPr="0025692F">
        <w:rPr>
          <w:rFonts w:cs="Arial"/>
        </w:rPr>
        <w:t>.</w:t>
      </w:r>
    </w:p>
    <w:p w14:paraId="792684D3" w14:textId="77777777" w:rsidR="0025692F" w:rsidRPr="0025692F" w:rsidRDefault="0025692F" w:rsidP="0025692F">
      <w:pPr>
        <w:pStyle w:val="Bibliography"/>
        <w:rPr>
          <w:rFonts w:cs="Arial"/>
        </w:rPr>
      </w:pPr>
      <w:r w:rsidRPr="0025692F">
        <w:rPr>
          <w:rFonts w:cs="Arial"/>
        </w:rPr>
        <w:t xml:space="preserve">121. US EPA. (2018). </w:t>
      </w:r>
      <w:r w:rsidRPr="0025692F">
        <w:rPr>
          <w:rFonts w:cs="Arial"/>
          <w:i/>
          <w:iCs/>
        </w:rPr>
        <w:t>3Ts for Reducing Lead in Drinking Water in Schools and Child Care Facilities</w:t>
      </w:r>
      <w:r w:rsidRPr="0025692F">
        <w:rPr>
          <w:rFonts w:cs="Arial"/>
        </w:rPr>
        <w:t>.</w:t>
      </w:r>
    </w:p>
    <w:p w14:paraId="55C27B07" w14:textId="77777777" w:rsidR="0025692F" w:rsidRPr="0025692F" w:rsidRDefault="0025692F" w:rsidP="0025692F">
      <w:pPr>
        <w:pStyle w:val="Bibliography"/>
        <w:rPr>
          <w:rFonts w:cs="Arial"/>
        </w:rPr>
      </w:pPr>
      <w:r w:rsidRPr="0025692F">
        <w:rPr>
          <w:rFonts w:cs="Arial"/>
        </w:rPr>
        <w:t xml:space="preserve">122. CT DPH. (n.d.). </w:t>
      </w:r>
      <w:r w:rsidRPr="0025692F">
        <w:rPr>
          <w:rFonts w:cs="Arial"/>
          <w:i/>
          <w:iCs/>
        </w:rPr>
        <w:t>Best Management Practices: Reducing and Monitoring Lead in Schools and Childcare Facilities</w:t>
      </w:r>
      <w:r w:rsidRPr="0025692F">
        <w:rPr>
          <w:rFonts w:cs="Arial"/>
        </w:rPr>
        <w:t>.</w:t>
      </w:r>
    </w:p>
    <w:p w14:paraId="20F6966F" w14:textId="77777777" w:rsidR="0025692F" w:rsidRPr="0025692F" w:rsidRDefault="0025692F" w:rsidP="0025692F">
      <w:pPr>
        <w:pStyle w:val="Bibliography"/>
        <w:rPr>
          <w:rFonts w:cs="Arial"/>
        </w:rPr>
      </w:pPr>
      <w:r w:rsidRPr="0025692F">
        <w:rPr>
          <w:rFonts w:cs="Arial"/>
        </w:rPr>
        <w:t xml:space="preserve">123. Clean Water Fund, &amp; Community Action Works. (n.d.). </w:t>
      </w:r>
      <w:r w:rsidRPr="0025692F">
        <w:rPr>
          <w:rFonts w:cs="Arial"/>
          <w:i/>
          <w:iCs/>
        </w:rPr>
        <w:t>Massachusetts and PFAS</w:t>
      </w:r>
      <w:r w:rsidRPr="0025692F">
        <w:rPr>
          <w:rFonts w:cs="Arial"/>
        </w:rPr>
        <w:t>.</w:t>
      </w:r>
    </w:p>
    <w:p w14:paraId="2EF5E077" w14:textId="77777777" w:rsidR="0025692F" w:rsidRPr="0025692F" w:rsidRDefault="0025692F" w:rsidP="0025692F">
      <w:pPr>
        <w:pStyle w:val="Bibliography"/>
        <w:rPr>
          <w:rFonts w:cs="Arial"/>
        </w:rPr>
      </w:pPr>
      <w:r w:rsidRPr="0025692F">
        <w:rPr>
          <w:rFonts w:cs="Arial"/>
        </w:rPr>
        <w:t xml:space="preserve">124. MA DEP, &amp; Finn, M. (2019, March). </w:t>
      </w:r>
      <w:r w:rsidRPr="0025692F">
        <w:rPr>
          <w:rFonts w:cs="Arial"/>
          <w:i/>
          <w:iCs/>
        </w:rPr>
        <w:t>Current Issues in Drinking Water: PFAS Lead in Schools</w:t>
      </w:r>
      <w:r w:rsidRPr="0025692F">
        <w:rPr>
          <w:rFonts w:cs="Arial"/>
        </w:rPr>
        <w:t>.</w:t>
      </w:r>
    </w:p>
    <w:p w14:paraId="29B0FB4A" w14:textId="77777777" w:rsidR="0025692F" w:rsidRPr="0025692F" w:rsidRDefault="0025692F" w:rsidP="0025692F">
      <w:pPr>
        <w:pStyle w:val="Bibliography"/>
        <w:rPr>
          <w:rFonts w:cs="Arial"/>
        </w:rPr>
      </w:pPr>
      <w:r w:rsidRPr="0025692F">
        <w:rPr>
          <w:rFonts w:cs="Arial"/>
        </w:rPr>
        <w:t xml:space="preserve">125. Center for Green Schools. (n.d.). </w:t>
      </w:r>
      <w:r w:rsidRPr="0025692F">
        <w:rPr>
          <w:rFonts w:cs="Arial"/>
          <w:i/>
          <w:iCs/>
        </w:rPr>
        <w:t>PFAS in Schools</w:t>
      </w:r>
      <w:r w:rsidRPr="0025692F">
        <w:rPr>
          <w:rFonts w:cs="Arial"/>
        </w:rPr>
        <w:t>.</w:t>
      </w:r>
    </w:p>
    <w:p w14:paraId="05A5195B" w14:textId="77777777" w:rsidR="0025692F" w:rsidRPr="0025692F" w:rsidRDefault="0025692F" w:rsidP="0025692F">
      <w:pPr>
        <w:pStyle w:val="Bibliography"/>
        <w:rPr>
          <w:rFonts w:cs="Arial"/>
        </w:rPr>
      </w:pPr>
      <w:r w:rsidRPr="0025692F">
        <w:rPr>
          <w:rFonts w:cs="Arial"/>
        </w:rPr>
        <w:t xml:space="preserve">126. MassDEP. (n.d.). </w:t>
      </w:r>
      <w:r w:rsidRPr="0025692F">
        <w:rPr>
          <w:rFonts w:cs="Arial"/>
          <w:i/>
          <w:iCs/>
        </w:rPr>
        <w:t>Per- and Polyfluoroalkyl Substances (PFAS)</w:t>
      </w:r>
      <w:r w:rsidRPr="0025692F">
        <w:rPr>
          <w:rFonts w:cs="Arial"/>
        </w:rPr>
        <w:t>. https://www.mass.gov/info-details/per-and-polyfluoroalkyl-substances-pfas#pfas-detected-in-drinking-water-supplies-in-massachusetts-</w:t>
      </w:r>
    </w:p>
    <w:p w14:paraId="29CA78E0" w14:textId="77777777" w:rsidR="0025692F" w:rsidRPr="0025692F" w:rsidRDefault="0025692F" w:rsidP="0025692F">
      <w:pPr>
        <w:pStyle w:val="Bibliography"/>
        <w:rPr>
          <w:rFonts w:cs="Arial"/>
        </w:rPr>
      </w:pPr>
      <w:r w:rsidRPr="0025692F">
        <w:rPr>
          <w:rFonts w:cs="Arial"/>
        </w:rPr>
        <w:t xml:space="preserve">127. MA Interagency Taskforce on PFAS. (2022, April). </w:t>
      </w:r>
      <w:r w:rsidRPr="0025692F">
        <w:rPr>
          <w:rFonts w:cs="Arial"/>
          <w:i/>
          <w:iCs/>
        </w:rPr>
        <w:t>PFAS in the Commonwealth of Massachusetts</w:t>
      </w:r>
      <w:r w:rsidRPr="0025692F">
        <w:rPr>
          <w:rFonts w:cs="Arial"/>
        </w:rPr>
        <w:t>.</w:t>
      </w:r>
    </w:p>
    <w:p w14:paraId="578BE16C" w14:textId="77777777" w:rsidR="0025692F" w:rsidRPr="0025692F" w:rsidRDefault="0025692F" w:rsidP="0025692F">
      <w:pPr>
        <w:pStyle w:val="Bibliography"/>
        <w:rPr>
          <w:rFonts w:cs="Arial"/>
        </w:rPr>
      </w:pPr>
      <w:r w:rsidRPr="0025692F">
        <w:rPr>
          <w:rFonts w:cs="Arial"/>
        </w:rPr>
        <w:t xml:space="preserve">128. Center for Climate Integrity. (2021). </w:t>
      </w:r>
      <w:r w:rsidRPr="0025692F">
        <w:rPr>
          <w:rFonts w:cs="Arial"/>
          <w:i/>
          <w:iCs/>
        </w:rPr>
        <w:t>Massachusetts</w:t>
      </w:r>
      <w:r w:rsidRPr="0025692F">
        <w:rPr>
          <w:rFonts w:cs="Arial"/>
        </w:rPr>
        <w:t xml:space="preserve"> (Hotter Days, Higher Costs: The Cooling Crisis in America’s Classrooms). https://coolingcrisis.org/uploads/media/CCI-StateReport-Massachusetts.pdf</w:t>
      </w:r>
    </w:p>
    <w:p w14:paraId="2C53C0FB" w14:textId="77777777" w:rsidR="0025692F" w:rsidRPr="0025692F" w:rsidRDefault="0025692F" w:rsidP="0025692F">
      <w:pPr>
        <w:pStyle w:val="Bibliography"/>
        <w:rPr>
          <w:rFonts w:cs="Arial"/>
        </w:rPr>
      </w:pPr>
      <w:r w:rsidRPr="0025692F">
        <w:rPr>
          <w:rFonts w:cs="Arial"/>
        </w:rPr>
        <w:lastRenderedPageBreak/>
        <w:t xml:space="preserve">129. MDPH. (2024). </w:t>
      </w:r>
      <w:r w:rsidRPr="0025692F">
        <w:rPr>
          <w:rFonts w:cs="Arial"/>
          <w:i/>
          <w:iCs/>
        </w:rPr>
        <w:t>Extreme Heat and Poor Air Quality</w:t>
      </w:r>
      <w:r w:rsidRPr="0025692F">
        <w:rPr>
          <w:rFonts w:cs="Arial"/>
        </w:rPr>
        <w:t>. https://www.mass.gov/info-details/extreme-heat-and-poor-air-quality</w:t>
      </w:r>
    </w:p>
    <w:p w14:paraId="241F215F" w14:textId="77777777" w:rsidR="0025692F" w:rsidRPr="0025692F" w:rsidRDefault="0025692F" w:rsidP="0025692F">
      <w:pPr>
        <w:pStyle w:val="Bibliography"/>
        <w:rPr>
          <w:rFonts w:cs="Arial"/>
        </w:rPr>
      </w:pPr>
      <w:r w:rsidRPr="0025692F">
        <w:rPr>
          <w:rFonts w:cs="Arial"/>
        </w:rPr>
        <w:t xml:space="preserve">130. Shyduroff, S. (2022, June 29). Heatwaves: How Extreme Heat Impacts Students and Educators. </w:t>
      </w:r>
      <w:r w:rsidRPr="0025692F">
        <w:rPr>
          <w:rFonts w:cs="Arial"/>
          <w:i/>
          <w:iCs/>
        </w:rPr>
        <w:t>MAPC</w:t>
      </w:r>
      <w:r w:rsidRPr="0025692F">
        <w:rPr>
          <w:rFonts w:cs="Arial"/>
        </w:rPr>
        <w:t>. https://www.mapc.org/planning101/how-extreme-heat-impacts-students-educators/</w:t>
      </w:r>
    </w:p>
    <w:p w14:paraId="594FF83A" w14:textId="77777777" w:rsidR="0025692F" w:rsidRPr="0025692F" w:rsidRDefault="0025692F" w:rsidP="0025692F">
      <w:pPr>
        <w:pStyle w:val="Bibliography"/>
        <w:rPr>
          <w:rFonts w:cs="Arial"/>
        </w:rPr>
      </w:pPr>
      <w:r w:rsidRPr="0025692F">
        <w:rPr>
          <w:rFonts w:cs="Arial"/>
        </w:rPr>
        <w:t xml:space="preserve">131. Jung, C. (2023, September 6). </w:t>
      </w:r>
      <w:r w:rsidRPr="0025692F">
        <w:rPr>
          <w:rFonts w:cs="Arial"/>
          <w:i/>
          <w:iCs/>
        </w:rPr>
        <w:t>Some Western Mass. School districts opt to end classes early during heat wave</w:t>
      </w:r>
      <w:r w:rsidRPr="0025692F">
        <w:rPr>
          <w:rFonts w:cs="Arial"/>
        </w:rPr>
        <w:t>. https://www.wbur.org/news/2023/09/06/western-mass-school-districts-heat-wave-september</w:t>
      </w:r>
    </w:p>
    <w:p w14:paraId="6BF2A42E" w14:textId="77777777" w:rsidR="0025692F" w:rsidRPr="0025692F" w:rsidRDefault="0025692F" w:rsidP="0025692F">
      <w:pPr>
        <w:pStyle w:val="Bibliography"/>
        <w:rPr>
          <w:rFonts w:cs="Arial"/>
        </w:rPr>
      </w:pPr>
      <w:r w:rsidRPr="0025692F">
        <w:rPr>
          <w:rFonts w:cs="Arial"/>
        </w:rPr>
        <w:t xml:space="preserve">132. Jung, C. (2023, September 5). </w:t>
      </w:r>
      <w:r w:rsidRPr="0025692F">
        <w:rPr>
          <w:rFonts w:cs="Arial"/>
          <w:i/>
          <w:iCs/>
        </w:rPr>
        <w:t>More Boston Public School buildings will start the year with air conditioning</w:t>
      </w:r>
      <w:r w:rsidRPr="0025692F">
        <w:rPr>
          <w:rFonts w:cs="Arial"/>
        </w:rPr>
        <w:t>. https://www.wbur.org/news/2023/09/05/boston-schools-air-conditioning-installation-heat</w:t>
      </w:r>
    </w:p>
    <w:p w14:paraId="5691741E" w14:textId="77777777" w:rsidR="0025692F" w:rsidRPr="0025692F" w:rsidRDefault="0025692F" w:rsidP="0025692F">
      <w:pPr>
        <w:pStyle w:val="Bibliography"/>
        <w:rPr>
          <w:rFonts w:cs="Arial"/>
        </w:rPr>
      </w:pPr>
      <w:r w:rsidRPr="0025692F">
        <w:rPr>
          <w:rFonts w:cs="Arial"/>
        </w:rPr>
        <w:t xml:space="preserve">133. MassDEP. (2006, November). </w:t>
      </w:r>
      <w:r w:rsidRPr="0025692F">
        <w:rPr>
          <w:rFonts w:cs="Arial"/>
          <w:i/>
          <w:iCs/>
        </w:rPr>
        <w:t>Massachusetts School Chemical Management Program</w:t>
      </w:r>
      <w:r w:rsidRPr="0025692F">
        <w:rPr>
          <w:rFonts w:cs="Arial"/>
        </w:rPr>
        <w:t>.</w:t>
      </w:r>
    </w:p>
    <w:p w14:paraId="25208309" w14:textId="77777777" w:rsidR="0025692F" w:rsidRPr="0025692F" w:rsidRDefault="0025692F" w:rsidP="0025692F">
      <w:pPr>
        <w:pStyle w:val="Bibliography"/>
        <w:rPr>
          <w:rFonts w:cs="Arial"/>
        </w:rPr>
      </w:pPr>
      <w:r w:rsidRPr="0025692F">
        <w:rPr>
          <w:rFonts w:cs="Arial"/>
        </w:rPr>
        <w:t xml:space="preserve">134. Flattery, J., Jordan, D., Kunitz, J., Lipman, J., Messenger, B., Rose, B., Schaffner, A., &amp; Weinberg, J. (n.d.). </w:t>
      </w:r>
      <w:r w:rsidRPr="0025692F">
        <w:rPr>
          <w:rFonts w:cs="Arial"/>
          <w:i/>
          <w:iCs/>
        </w:rPr>
        <w:t>Green Cleaning, Sanitizing, and Disinfecting: A Curriculum for Early Care and Education</w:t>
      </w:r>
      <w:r w:rsidRPr="0025692F">
        <w:rPr>
          <w:rFonts w:cs="Arial"/>
        </w:rPr>
        <w:t>.</w:t>
      </w:r>
    </w:p>
    <w:p w14:paraId="6B4FA577" w14:textId="77777777" w:rsidR="0025692F" w:rsidRPr="0025692F" w:rsidRDefault="0025692F" w:rsidP="0025692F">
      <w:pPr>
        <w:pStyle w:val="Bibliography"/>
        <w:rPr>
          <w:rFonts w:cs="Arial"/>
        </w:rPr>
      </w:pPr>
      <w:r w:rsidRPr="0025692F">
        <w:rPr>
          <w:rFonts w:cs="Arial"/>
        </w:rPr>
        <w:t xml:space="preserve">135. Wilcox, M., &amp; Colella, R. (n.d.). </w:t>
      </w:r>
      <w:r w:rsidRPr="0025692F">
        <w:rPr>
          <w:rFonts w:cs="Arial"/>
          <w:i/>
          <w:iCs/>
        </w:rPr>
        <w:t>Getting Mercury Out of Schools</w:t>
      </w:r>
      <w:r w:rsidRPr="0025692F">
        <w:rPr>
          <w:rFonts w:cs="Arial"/>
        </w:rPr>
        <w:t>.</w:t>
      </w:r>
    </w:p>
    <w:p w14:paraId="698BC515" w14:textId="77777777" w:rsidR="0025692F" w:rsidRPr="0025692F" w:rsidRDefault="0025692F" w:rsidP="0025692F">
      <w:pPr>
        <w:pStyle w:val="Bibliography"/>
        <w:rPr>
          <w:rFonts w:cs="Arial"/>
        </w:rPr>
      </w:pPr>
      <w:r w:rsidRPr="0025692F">
        <w:rPr>
          <w:rFonts w:cs="Arial"/>
        </w:rPr>
        <w:t xml:space="preserve">136. MassDEP. (n.d.). </w:t>
      </w:r>
      <w:r w:rsidRPr="0025692F">
        <w:rPr>
          <w:rFonts w:cs="Arial"/>
          <w:i/>
          <w:iCs/>
        </w:rPr>
        <w:t>MassDEP Mercury Information</w:t>
      </w:r>
      <w:r w:rsidRPr="0025692F">
        <w:rPr>
          <w:rFonts w:cs="Arial"/>
        </w:rPr>
        <w:t>. https://www.mass.gov/guides/massdep-mercury-information</w:t>
      </w:r>
    </w:p>
    <w:p w14:paraId="3214A466" w14:textId="77777777" w:rsidR="0025692F" w:rsidRPr="0025692F" w:rsidRDefault="0025692F" w:rsidP="0025692F">
      <w:pPr>
        <w:pStyle w:val="Bibliography"/>
        <w:rPr>
          <w:rFonts w:cs="Arial"/>
        </w:rPr>
      </w:pPr>
      <w:r w:rsidRPr="0025692F">
        <w:rPr>
          <w:rFonts w:cs="Arial"/>
        </w:rPr>
        <w:t xml:space="preserve">137. Massachusetts Department of Public Health. (2020, June). </w:t>
      </w:r>
      <w:r w:rsidRPr="0025692F">
        <w:rPr>
          <w:rFonts w:cs="Arial"/>
          <w:i/>
          <w:iCs/>
        </w:rPr>
        <w:t>Artificial turf fields</w:t>
      </w:r>
      <w:r w:rsidRPr="0025692F">
        <w:rPr>
          <w:rFonts w:cs="Arial"/>
        </w:rPr>
        <w:t>. Mass.Gov. https://www.mass.gov/info-details/artificial-turf-fields</w:t>
      </w:r>
    </w:p>
    <w:p w14:paraId="5CF3BADD" w14:textId="77777777" w:rsidR="0025692F" w:rsidRPr="0025692F" w:rsidRDefault="0025692F" w:rsidP="0025692F">
      <w:pPr>
        <w:pStyle w:val="Bibliography"/>
        <w:rPr>
          <w:rFonts w:cs="Arial"/>
        </w:rPr>
      </w:pPr>
      <w:r w:rsidRPr="0025692F">
        <w:rPr>
          <w:rFonts w:cs="Arial"/>
        </w:rPr>
        <w:t xml:space="preserve">138. Toxic Use Reduction Institute (TURI). (2019). </w:t>
      </w:r>
      <w:r w:rsidRPr="0025692F">
        <w:rPr>
          <w:rFonts w:cs="Arial"/>
          <w:i/>
          <w:iCs/>
        </w:rPr>
        <w:t>Athletic Playing Fields: Choosing Safer Options for Health and the Environment</w:t>
      </w:r>
      <w:r w:rsidRPr="0025692F">
        <w:rPr>
          <w:rFonts w:cs="Arial"/>
        </w:rPr>
        <w:t>. University of Massachusetts Lowell. https://easternresearchgroup.sharepoint.com/sites/FacilitiesTeam2/Shared%20Documents/General/Projects/MA%20DPH_BCEH_Green%20&amp;%20Healthy%20Schools/01_Task%201%20(Review%20MSBA%20Assessment%20&amp;%20Research)/Other%20Research/Env%20Health/Crumb%20Rubber/TURI+Report+2018-002+June+2019.+Athletic+Playing+Fields.pdf?CT=1721939336940&amp;OR=ItemsView</w:t>
      </w:r>
    </w:p>
    <w:p w14:paraId="0D549A03" w14:textId="77777777" w:rsidR="0025692F" w:rsidRPr="0025692F" w:rsidRDefault="0025692F" w:rsidP="0025692F">
      <w:pPr>
        <w:pStyle w:val="Bibliography"/>
        <w:rPr>
          <w:rFonts w:cs="Arial"/>
        </w:rPr>
      </w:pPr>
      <w:r w:rsidRPr="0025692F">
        <w:rPr>
          <w:rFonts w:cs="Arial"/>
        </w:rPr>
        <w:t xml:space="preserve">139. Lazar, K. (2022, September 24). Aging artificial turf fields may carry risk of head injuries. </w:t>
      </w:r>
      <w:r w:rsidRPr="0025692F">
        <w:rPr>
          <w:rFonts w:cs="Arial"/>
          <w:i/>
          <w:iCs/>
        </w:rPr>
        <w:t>The Boston Globe</w:t>
      </w:r>
      <w:r w:rsidRPr="0025692F">
        <w:rPr>
          <w:rFonts w:cs="Arial"/>
        </w:rPr>
        <w:t>. https://www.bostonglobe.com/2022/09/24/metro/aging-artificial-turf-fields-may-carry-risk-head-injuries/?p1=Article_Inline_Text_Link</w:t>
      </w:r>
    </w:p>
    <w:p w14:paraId="01A523E2" w14:textId="77777777" w:rsidR="0025692F" w:rsidRPr="0025692F" w:rsidRDefault="0025692F" w:rsidP="0025692F">
      <w:pPr>
        <w:pStyle w:val="Bibliography"/>
        <w:rPr>
          <w:rFonts w:cs="Arial"/>
        </w:rPr>
      </w:pPr>
      <w:r w:rsidRPr="0025692F">
        <w:rPr>
          <w:rFonts w:cs="Arial"/>
        </w:rPr>
        <w:t xml:space="preserve">140. Perkins, T. (2022, September 30). Boston bans artificial turf in parks due to toxic ‘forever chemicals.’ </w:t>
      </w:r>
      <w:r w:rsidRPr="0025692F">
        <w:rPr>
          <w:rFonts w:cs="Arial"/>
          <w:i/>
          <w:iCs/>
        </w:rPr>
        <w:t>The Guardian</w:t>
      </w:r>
      <w:r w:rsidRPr="0025692F">
        <w:rPr>
          <w:rFonts w:cs="Arial"/>
        </w:rPr>
        <w:t>. https://www.theguardian.com/environment/2022/sep/30/boston-bans-artificial-turf-toxic-forever-chemicals-pfas</w:t>
      </w:r>
    </w:p>
    <w:p w14:paraId="375E50D2" w14:textId="77777777" w:rsidR="0025692F" w:rsidRPr="0025692F" w:rsidRDefault="0025692F" w:rsidP="0025692F">
      <w:pPr>
        <w:pStyle w:val="Bibliography"/>
        <w:rPr>
          <w:rFonts w:cs="Arial"/>
        </w:rPr>
      </w:pPr>
      <w:r w:rsidRPr="0025692F">
        <w:rPr>
          <w:rFonts w:cs="Arial"/>
        </w:rPr>
        <w:t xml:space="preserve">141. US EPA. (2024, April 17). </w:t>
      </w:r>
      <w:r w:rsidRPr="0025692F">
        <w:rPr>
          <w:rFonts w:cs="Arial"/>
          <w:i/>
          <w:iCs/>
        </w:rPr>
        <w:t>Federal Research on Recycled Tire Crumb Used on Playing Fields and Playgrounds</w:t>
      </w:r>
      <w:r w:rsidRPr="0025692F">
        <w:rPr>
          <w:rFonts w:cs="Arial"/>
        </w:rPr>
        <w:t xml:space="preserve"> [Overviews and Factsheets]. https://www.epa.gov/chemical-research/federal-research-recycled-tire-crumb-used-playing-fields-and-playgrounds</w:t>
      </w:r>
    </w:p>
    <w:p w14:paraId="384F5937" w14:textId="77777777" w:rsidR="0025692F" w:rsidRPr="0025692F" w:rsidRDefault="0025692F" w:rsidP="0025692F">
      <w:pPr>
        <w:pStyle w:val="Bibliography"/>
        <w:rPr>
          <w:rFonts w:cs="Arial"/>
        </w:rPr>
      </w:pPr>
      <w:r w:rsidRPr="0025692F">
        <w:rPr>
          <w:rFonts w:cs="Arial"/>
        </w:rPr>
        <w:t xml:space="preserve">142. </w:t>
      </w:r>
      <w:r w:rsidRPr="0025692F">
        <w:rPr>
          <w:rFonts w:cs="Arial"/>
          <w:i/>
          <w:iCs/>
        </w:rPr>
        <w:t>Food Allergies | Healthy Schools | CDC</w:t>
      </w:r>
      <w:r w:rsidRPr="0025692F">
        <w:rPr>
          <w:rFonts w:cs="Arial"/>
        </w:rPr>
        <w:t>. (2022, August 24). https://www.cdc.gov/healthyschools/foodallergies/index.htm</w:t>
      </w:r>
    </w:p>
    <w:p w14:paraId="571E5883" w14:textId="77777777" w:rsidR="0025692F" w:rsidRPr="0025692F" w:rsidRDefault="0025692F" w:rsidP="0025692F">
      <w:pPr>
        <w:pStyle w:val="Bibliography"/>
        <w:rPr>
          <w:rFonts w:cs="Arial"/>
        </w:rPr>
      </w:pPr>
      <w:r w:rsidRPr="0025692F">
        <w:rPr>
          <w:rFonts w:cs="Arial"/>
        </w:rPr>
        <w:t xml:space="preserve">143. MA DPH. (2017). </w:t>
      </w:r>
      <w:r w:rsidRPr="0025692F">
        <w:rPr>
          <w:rFonts w:cs="Arial"/>
          <w:i/>
          <w:iCs/>
        </w:rPr>
        <w:t>Life-Threatening Allergies, Anaphylactic Events and the Administration of Epinephrine in School</w:t>
      </w:r>
      <w:r w:rsidRPr="0025692F">
        <w:rPr>
          <w:rFonts w:cs="Arial"/>
        </w:rPr>
        <w:t>. https://www.mass.gov/lists/life-threatening-allergies-and-anaphylactic-events-in-schools</w:t>
      </w:r>
    </w:p>
    <w:p w14:paraId="42368902" w14:textId="77777777" w:rsidR="0025692F" w:rsidRPr="0025692F" w:rsidRDefault="0025692F" w:rsidP="0025692F">
      <w:pPr>
        <w:pStyle w:val="Bibliography"/>
        <w:rPr>
          <w:rFonts w:cs="Arial"/>
        </w:rPr>
      </w:pPr>
      <w:r w:rsidRPr="0025692F">
        <w:rPr>
          <w:rFonts w:cs="Arial"/>
        </w:rPr>
        <w:t xml:space="preserve">144. Carter, S., Cavanaugh, J., Gapinski, M. A., Hall, M., Leshin, R., Fischer, L., Sedlacko, I., Socolow, A., Sylvia, D., Hughes, K., Leibowitz, R., &amp; McGrail, K. (n.d.). </w:t>
      </w:r>
      <w:r w:rsidRPr="0025692F">
        <w:rPr>
          <w:rFonts w:cs="Arial"/>
          <w:i/>
          <w:iCs/>
        </w:rPr>
        <w:t>Managing Life-Threatening Allergies in Schools</w:t>
      </w:r>
      <w:r w:rsidRPr="0025692F">
        <w:rPr>
          <w:rFonts w:cs="Arial"/>
        </w:rPr>
        <w:t>.</w:t>
      </w:r>
    </w:p>
    <w:p w14:paraId="4132EF63" w14:textId="77777777" w:rsidR="0025692F" w:rsidRPr="0025692F" w:rsidRDefault="0025692F" w:rsidP="0025692F">
      <w:pPr>
        <w:pStyle w:val="Bibliography"/>
        <w:rPr>
          <w:rFonts w:cs="Arial"/>
        </w:rPr>
      </w:pPr>
      <w:r w:rsidRPr="0025692F">
        <w:rPr>
          <w:rFonts w:cs="Arial"/>
        </w:rPr>
        <w:t xml:space="preserve">145. Nicklas, M., &amp; Design, I. (n.d.). </w:t>
      </w:r>
      <w:r w:rsidRPr="0025692F">
        <w:rPr>
          <w:rFonts w:cs="Arial"/>
          <w:i/>
          <w:iCs/>
        </w:rPr>
        <w:t>National Best Practices Manual for Building High Performance Schools</w:t>
      </w:r>
      <w:r w:rsidRPr="0025692F">
        <w:rPr>
          <w:rFonts w:cs="Arial"/>
        </w:rPr>
        <w:t>.</w:t>
      </w:r>
    </w:p>
    <w:p w14:paraId="5A1684C0" w14:textId="77777777" w:rsidR="0025692F" w:rsidRPr="0025692F" w:rsidRDefault="0025692F" w:rsidP="0025692F">
      <w:pPr>
        <w:pStyle w:val="Bibliography"/>
        <w:rPr>
          <w:rFonts w:cs="Arial"/>
        </w:rPr>
      </w:pPr>
      <w:r w:rsidRPr="0025692F">
        <w:rPr>
          <w:rFonts w:cs="Arial"/>
        </w:rPr>
        <w:t xml:space="preserve">146. Eitland, E., Klingensmith, L., MacNaughton, P., Laurent, J. C., Spengler, J., Bernstein, A., &amp; Allen, J. (2020). </w:t>
      </w:r>
      <w:r w:rsidRPr="0025692F">
        <w:rPr>
          <w:rFonts w:cs="Arial"/>
          <w:i/>
          <w:iCs/>
        </w:rPr>
        <w:t>Foundations for Student Success: How School Buildings Influence Student Health, Thinking and Performance</w:t>
      </w:r>
      <w:r w:rsidRPr="0025692F">
        <w:rPr>
          <w:rFonts w:cs="Arial"/>
        </w:rPr>
        <w:t xml:space="preserve">. Harvard T.H. Chan School of Public Health, </w:t>
      </w:r>
      <w:r w:rsidRPr="0025692F">
        <w:rPr>
          <w:rFonts w:cs="Arial"/>
        </w:rPr>
        <w:lastRenderedPageBreak/>
        <w:t>Healthy Buildings program. https://schools.forhealth.org/wp-content/uploads/2020/02/Schools_ForHealth_UpdatedJan21.pdf</w:t>
      </w:r>
    </w:p>
    <w:p w14:paraId="2CEFA726" w14:textId="77777777" w:rsidR="0025692F" w:rsidRPr="0025692F" w:rsidRDefault="0025692F" w:rsidP="0025692F">
      <w:pPr>
        <w:pStyle w:val="Bibliography"/>
        <w:rPr>
          <w:rFonts w:cs="Arial"/>
        </w:rPr>
      </w:pPr>
      <w:r w:rsidRPr="0025692F">
        <w:rPr>
          <w:rFonts w:cs="Arial"/>
        </w:rPr>
        <w:t xml:space="preserve">147. Chaaraoui, L. (2024, January 5). Massachusetts’ Public Schools Have Been Grappling with Educational Inequity for Decades. Cambridge has a Solution. </w:t>
      </w:r>
      <w:r w:rsidRPr="0025692F">
        <w:rPr>
          <w:rFonts w:cs="Arial"/>
          <w:i/>
          <w:iCs/>
        </w:rPr>
        <w:t>Harvard Political Review</w:t>
      </w:r>
      <w:r w:rsidRPr="0025692F">
        <w:rPr>
          <w:rFonts w:cs="Arial"/>
        </w:rPr>
        <w:t>. https://harvardpolitics.com/controlled-choice-cambridge/</w:t>
      </w:r>
    </w:p>
    <w:p w14:paraId="00EC17C7" w14:textId="77777777" w:rsidR="0025692F" w:rsidRPr="0025692F" w:rsidRDefault="0025692F" w:rsidP="0025692F">
      <w:pPr>
        <w:pStyle w:val="Bibliography"/>
        <w:rPr>
          <w:rFonts w:cs="Arial"/>
        </w:rPr>
      </w:pPr>
      <w:r w:rsidRPr="0025692F">
        <w:rPr>
          <w:rFonts w:cs="Arial"/>
        </w:rPr>
        <w:t xml:space="preserve">148. Scharfenberg, D. (2020, December 11). </w:t>
      </w:r>
      <w:r w:rsidRPr="0025692F">
        <w:rPr>
          <w:rFonts w:cs="Arial"/>
          <w:i/>
          <w:iCs/>
        </w:rPr>
        <w:t>Massachusetts’ public schools are highly segregated. It’s time we treated that like the crisis it is—The Boston Globe</w:t>
      </w:r>
      <w:r w:rsidRPr="0025692F">
        <w:rPr>
          <w:rFonts w:cs="Arial"/>
        </w:rPr>
        <w:t>. BostonGlobe.Com. https://www.bostonglobe.com/2020/12/11/opinion/massachusetts-public-schools-are-highly-segregated-its-time-we-treated-that-like-crisis-it-is/</w:t>
      </w:r>
    </w:p>
    <w:p w14:paraId="7C58DEE4" w14:textId="77777777" w:rsidR="0025692F" w:rsidRPr="0025692F" w:rsidRDefault="0025692F" w:rsidP="0025692F">
      <w:pPr>
        <w:pStyle w:val="Bibliography"/>
        <w:rPr>
          <w:rFonts w:cs="Arial"/>
        </w:rPr>
      </w:pPr>
      <w:r w:rsidRPr="0025692F">
        <w:rPr>
          <w:rFonts w:cs="Arial"/>
        </w:rPr>
        <w:t xml:space="preserve">149. Hehir, T., Schifter, L., Grindal, E., Ng, M., &amp; Eidelman, H. (2014). </w:t>
      </w:r>
      <w:r w:rsidRPr="0025692F">
        <w:rPr>
          <w:rFonts w:cs="Arial"/>
          <w:i/>
          <w:iCs/>
        </w:rPr>
        <w:t>Review of Special Education in the Commonwealth of Massachusetts: A Synthesis Report</w:t>
      </w:r>
      <w:r w:rsidRPr="0025692F">
        <w:rPr>
          <w:rFonts w:cs="Arial"/>
        </w:rPr>
        <w:t>.</w:t>
      </w:r>
    </w:p>
    <w:p w14:paraId="786BDA78" w14:textId="77777777" w:rsidR="0025692F" w:rsidRPr="0025692F" w:rsidRDefault="0025692F" w:rsidP="0025692F">
      <w:pPr>
        <w:pStyle w:val="Bibliography"/>
        <w:rPr>
          <w:rFonts w:cs="Arial"/>
        </w:rPr>
      </w:pPr>
      <w:r w:rsidRPr="0025692F">
        <w:rPr>
          <w:rFonts w:cs="Arial"/>
        </w:rPr>
        <w:t xml:space="preserve">150. About IDEA. (n.d.). </w:t>
      </w:r>
      <w:r w:rsidRPr="0025692F">
        <w:rPr>
          <w:rFonts w:cs="Arial"/>
          <w:i/>
          <w:iCs/>
        </w:rPr>
        <w:t>Individuals with Disabilities Education Act</w:t>
      </w:r>
      <w:r w:rsidRPr="0025692F">
        <w:rPr>
          <w:rFonts w:cs="Arial"/>
        </w:rPr>
        <w:t>. Retrieved June 24, 2024, from https://sites.ed.gov/idea/about-idea/</w:t>
      </w:r>
    </w:p>
    <w:p w14:paraId="5CA92CE5" w14:textId="77777777" w:rsidR="0025692F" w:rsidRPr="0025692F" w:rsidRDefault="0025692F" w:rsidP="0025692F">
      <w:pPr>
        <w:pStyle w:val="Bibliography"/>
        <w:rPr>
          <w:rFonts w:cs="Arial"/>
        </w:rPr>
      </w:pPr>
      <w:r w:rsidRPr="0025692F">
        <w:rPr>
          <w:rFonts w:cs="Arial"/>
        </w:rPr>
        <w:t xml:space="preserve">151. </w:t>
      </w:r>
      <w:r w:rsidRPr="0025692F">
        <w:rPr>
          <w:rFonts w:cs="Arial"/>
          <w:i/>
          <w:iCs/>
        </w:rPr>
        <w:t>603 CMR 28.00: Special Education—Education Laws and Regulations</w:t>
      </w:r>
      <w:r w:rsidRPr="0025692F">
        <w:rPr>
          <w:rFonts w:cs="Arial"/>
        </w:rPr>
        <w:t>. (n.d.). Retrieved June 24, 2024, from https://www.doe.mass.edu/lawsregs/603cmr28.html?section=01</w:t>
      </w:r>
    </w:p>
    <w:p w14:paraId="612C3E68" w14:textId="77777777" w:rsidR="0025692F" w:rsidRPr="0025692F" w:rsidRDefault="0025692F" w:rsidP="0025692F">
      <w:pPr>
        <w:pStyle w:val="Bibliography"/>
        <w:rPr>
          <w:rFonts w:cs="Arial"/>
        </w:rPr>
      </w:pPr>
      <w:r w:rsidRPr="0025692F">
        <w:rPr>
          <w:rFonts w:cs="Arial"/>
        </w:rPr>
        <w:t xml:space="preserve">152. </w:t>
      </w:r>
      <w:r w:rsidRPr="0025692F">
        <w:rPr>
          <w:rFonts w:cs="Arial"/>
          <w:i/>
          <w:iCs/>
        </w:rPr>
        <w:t>Learn about education rights | Mass.gov</w:t>
      </w:r>
      <w:r w:rsidRPr="0025692F">
        <w:rPr>
          <w:rFonts w:cs="Arial"/>
        </w:rPr>
        <w:t>. (n.d.). Retrieved June 24, 2024, from https://www.mass.gov/info-details/learn-about-education-rights</w:t>
      </w:r>
    </w:p>
    <w:p w14:paraId="7963073A" w14:textId="77777777" w:rsidR="0025692F" w:rsidRPr="0025692F" w:rsidRDefault="0025692F" w:rsidP="0025692F">
      <w:pPr>
        <w:pStyle w:val="Bibliography"/>
        <w:rPr>
          <w:rFonts w:cs="Arial"/>
        </w:rPr>
      </w:pPr>
      <w:r w:rsidRPr="0025692F">
        <w:rPr>
          <w:rFonts w:cs="Arial"/>
        </w:rPr>
        <w:t xml:space="preserve">153. Graham, E. (n.d.). </w:t>
      </w:r>
      <w:r w:rsidRPr="0025692F">
        <w:rPr>
          <w:rFonts w:cs="Arial"/>
          <w:i/>
          <w:iCs/>
        </w:rPr>
        <w:t>Maximizing Student Success with Least Restrictive Environments and Appropriate Models of Inclusion | NEA</w:t>
      </w:r>
      <w:r w:rsidRPr="0025692F">
        <w:rPr>
          <w:rFonts w:cs="Arial"/>
        </w:rPr>
        <w:t>. Retrieved June 24, 2024, from https://www.nea.org/nea-today/all-news-articles/maximizing-student-success-least-restrictive-environments-and-appropriate-models-inclusion</w:t>
      </w:r>
    </w:p>
    <w:p w14:paraId="6719280A" w14:textId="77777777" w:rsidR="0025692F" w:rsidRPr="0025692F" w:rsidRDefault="0025692F" w:rsidP="0025692F">
      <w:pPr>
        <w:pStyle w:val="Bibliography"/>
        <w:rPr>
          <w:rFonts w:cs="Arial"/>
        </w:rPr>
      </w:pPr>
      <w:r w:rsidRPr="0025692F">
        <w:rPr>
          <w:rFonts w:cs="Arial"/>
        </w:rPr>
        <w:t xml:space="preserve">154. Vaznis, J., &amp; Staff, C. H. G. (n.d.). </w:t>
      </w:r>
      <w:r w:rsidRPr="0025692F">
        <w:rPr>
          <w:rFonts w:cs="Arial"/>
          <w:i/>
          <w:iCs/>
        </w:rPr>
        <w:t>Massachusetts spends thousands more on school construction aid for white students than for students of color—The Boston Globe</w:t>
      </w:r>
      <w:r w:rsidRPr="0025692F">
        <w:rPr>
          <w:rFonts w:cs="Arial"/>
        </w:rPr>
        <w:t>. BostonGlobe.Com. Retrieved July 25, 2024, from https://www.bostonglobe.com/2023/05/27/metro/massachusetts-school-construction-aid/</w:t>
      </w:r>
    </w:p>
    <w:p w14:paraId="4B21FE18" w14:textId="77777777" w:rsidR="0025692F" w:rsidRPr="0025692F" w:rsidRDefault="0025692F" w:rsidP="0025692F">
      <w:pPr>
        <w:pStyle w:val="Bibliography"/>
        <w:rPr>
          <w:rFonts w:cs="Arial"/>
        </w:rPr>
      </w:pPr>
      <w:r w:rsidRPr="0025692F">
        <w:rPr>
          <w:rFonts w:cs="Arial"/>
        </w:rPr>
        <w:t xml:space="preserve">155. </w:t>
      </w:r>
      <w:r w:rsidRPr="0025692F">
        <w:rPr>
          <w:rFonts w:cs="Arial"/>
          <w:i/>
          <w:iCs/>
        </w:rPr>
        <w:t>Americans with Disabilities Act of 1990, As Amended</w:t>
      </w:r>
      <w:r w:rsidRPr="0025692F">
        <w:rPr>
          <w:rFonts w:cs="Arial"/>
        </w:rPr>
        <w:t>. (n.d.). ADA.Gov. Retrieved July 3, 2024, from https://www.ada.gov/law-and-regs/ada/</w:t>
      </w:r>
    </w:p>
    <w:p w14:paraId="721DBF39" w14:textId="77777777" w:rsidR="0025692F" w:rsidRPr="0025692F" w:rsidRDefault="0025692F" w:rsidP="0025692F">
      <w:pPr>
        <w:pStyle w:val="Bibliography"/>
        <w:rPr>
          <w:rFonts w:cs="Arial"/>
        </w:rPr>
      </w:pPr>
      <w:r w:rsidRPr="0025692F">
        <w:rPr>
          <w:rFonts w:cs="Arial"/>
        </w:rPr>
        <w:t xml:space="preserve">156. </w:t>
      </w:r>
      <w:r w:rsidRPr="0025692F">
        <w:rPr>
          <w:rFonts w:cs="Arial"/>
          <w:i/>
          <w:iCs/>
        </w:rPr>
        <w:t>Session Law—Acts of 2011 Chapter 199</w:t>
      </w:r>
      <w:r w:rsidRPr="0025692F">
        <w:rPr>
          <w:rFonts w:cs="Arial"/>
        </w:rPr>
        <w:t>. (n.d.). Retrieved July 2, 2024, from https://malegislature.gov/Laws/SessionLaws/Acts/2011/Chapter199</w:t>
      </w:r>
    </w:p>
    <w:p w14:paraId="7A3DEC1C" w14:textId="77777777" w:rsidR="0025692F" w:rsidRPr="0025692F" w:rsidRDefault="0025692F" w:rsidP="0025692F">
      <w:pPr>
        <w:pStyle w:val="Bibliography"/>
        <w:rPr>
          <w:rFonts w:cs="Arial"/>
        </w:rPr>
      </w:pPr>
      <w:r w:rsidRPr="0025692F">
        <w:rPr>
          <w:rFonts w:cs="Arial"/>
        </w:rPr>
        <w:t xml:space="preserve">157. University Of Massachusetts Amherst, School of Education. (2003). Education REFORM: Ten Years after the Massachusetts Education Reform Act of 1993. </w:t>
      </w:r>
      <w:r w:rsidRPr="0025692F">
        <w:rPr>
          <w:rFonts w:cs="Arial"/>
          <w:i/>
          <w:iCs/>
        </w:rPr>
        <w:t>Education Connection</w:t>
      </w:r>
      <w:r w:rsidRPr="0025692F">
        <w:rPr>
          <w:rFonts w:cs="Arial"/>
        </w:rPr>
        <w:t>. https://www.mass.gov/doc/public-infrastructure-in-western-massachusetts-a-critical-need-for-regional-investment-and-revitalization/download</w:t>
      </w:r>
    </w:p>
    <w:p w14:paraId="3497D87F" w14:textId="77777777" w:rsidR="0025692F" w:rsidRPr="0025692F" w:rsidRDefault="0025692F" w:rsidP="0025692F">
      <w:pPr>
        <w:pStyle w:val="Bibliography"/>
        <w:rPr>
          <w:rFonts w:cs="Arial"/>
        </w:rPr>
      </w:pPr>
      <w:r w:rsidRPr="0025692F">
        <w:rPr>
          <w:rFonts w:cs="Arial"/>
        </w:rPr>
        <w:t xml:space="preserve">158. Massachusetts DESE. (2020, December). </w:t>
      </w:r>
      <w:r w:rsidRPr="0025692F">
        <w:rPr>
          <w:rFonts w:cs="Arial"/>
          <w:i/>
          <w:iCs/>
        </w:rPr>
        <w:t>Local Contribution Study</w:t>
      </w:r>
      <w:r w:rsidRPr="0025692F">
        <w:rPr>
          <w:rFonts w:cs="Arial"/>
        </w:rPr>
        <w:t>. https://www.doe.mass.edu/research/reports/2020/12local-contribution-study.docx</w:t>
      </w:r>
    </w:p>
    <w:p w14:paraId="40595063" w14:textId="77777777" w:rsidR="0025692F" w:rsidRPr="0025692F" w:rsidRDefault="0025692F" w:rsidP="0025692F">
      <w:pPr>
        <w:pStyle w:val="Bibliography"/>
        <w:rPr>
          <w:rFonts w:cs="Arial"/>
        </w:rPr>
      </w:pPr>
      <w:r w:rsidRPr="0025692F">
        <w:rPr>
          <w:rFonts w:cs="Arial"/>
        </w:rPr>
        <w:t xml:space="preserve">159. MFT. (n.d.). </w:t>
      </w:r>
      <w:r w:rsidRPr="0025692F">
        <w:rPr>
          <w:rFonts w:cs="Arial"/>
          <w:i/>
          <w:iCs/>
        </w:rPr>
        <w:t>Local Aid &amp; K-12 Education</w:t>
      </w:r>
      <w:r w:rsidRPr="0025692F">
        <w:rPr>
          <w:rFonts w:cs="Arial"/>
        </w:rPr>
        <w:t>. Retrieved July 2, 2024, from https://www.masstaxpayers.org/sites/default/files/publications/2024-03/MTF%20Closer%20Look%20-%20Local%20Aid%20%26%20K-12%20Education.pdf</w:t>
      </w:r>
    </w:p>
    <w:p w14:paraId="3D6DAE0C" w14:textId="77777777" w:rsidR="0025692F" w:rsidRPr="0025692F" w:rsidRDefault="0025692F" w:rsidP="0025692F">
      <w:pPr>
        <w:pStyle w:val="Bibliography"/>
        <w:rPr>
          <w:rFonts w:cs="Arial"/>
        </w:rPr>
      </w:pPr>
      <w:r w:rsidRPr="0025692F">
        <w:rPr>
          <w:rFonts w:cs="Arial"/>
        </w:rPr>
        <w:t xml:space="preserve">160. Commonwealth of Massachusetts, Office of State Auditor. (2021). </w:t>
      </w:r>
      <w:r w:rsidRPr="0025692F">
        <w:rPr>
          <w:rFonts w:cs="Arial"/>
          <w:i/>
          <w:iCs/>
        </w:rPr>
        <w:t>Public Infrastructure in Western Massachusetts: A Critical Need for Regional Investment  and Revitalization</w:t>
      </w:r>
      <w:r w:rsidRPr="0025692F">
        <w:rPr>
          <w:rFonts w:cs="Arial"/>
        </w:rPr>
        <w:t>. https://www.mass.gov/doc/public-infrastructure-in-western-massachusetts-a-critical-need-for-regional-investment-and-revitalization/download</w:t>
      </w:r>
    </w:p>
    <w:p w14:paraId="33BAD229" w14:textId="77777777" w:rsidR="0025692F" w:rsidRPr="0025692F" w:rsidRDefault="0025692F" w:rsidP="0025692F">
      <w:pPr>
        <w:pStyle w:val="Bibliography"/>
        <w:rPr>
          <w:rFonts w:cs="Arial"/>
        </w:rPr>
      </w:pPr>
      <w:r w:rsidRPr="0025692F">
        <w:rPr>
          <w:rFonts w:cs="Arial"/>
        </w:rPr>
        <w:t xml:space="preserve">161. Allen, B. (n.d.). </w:t>
      </w:r>
      <w:r w:rsidRPr="0025692F">
        <w:rPr>
          <w:rFonts w:cs="Arial"/>
          <w:i/>
          <w:iCs/>
        </w:rPr>
        <w:t>Overview of Chapter 70 Funding for Education</w:t>
      </w:r>
      <w:r w:rsidRPr="0025692F">
        <w:rPr>
          <w:rFonts w:cs="Arial"/>
        </w:rPr>
        <w:t>. https://www.mma.org/wp-content/uploads/2024/03/MMA-webinar-Ch70-Foundation-Budget-Presentation-3.20.24.pdf</w:t>
      </w:r>
    </w:p>
    <w:p w14:paraId="211D3388" w14:textId="77777777" w:rsidR="0025692F" w:rsidRPr="0025692F" w:rsidRDefault="0025692F" w:rsidP="0025692F">
      <w:pPr>
        <w:pStyle w:val="Bibliography"/>
        <w:rPr>
          <w:rFonts w:cs="Arial"/>
        </w:rPr>
      </w:pPr>
      <w:r w:rsidRPr="0025692F">
        <w:rPr>
          <w:rFonts w:cs="Arial"/>
        </w:rPr>
        <w:t xml:space="preserve">162. Commission on the Fiscal Health of Rural School Districts. (2022). </w:t>
      </w:r>
      <w:r w:rsidRPr="0025692F">
        <w:rPr>
          <w:rFonts w:cs="Arial"/>
          <w:i/>
          <w:iCs/>
        </w:rPr>
        <w:t>A Sustainable Future for Rural Schools</w:t>
      </w:r>
      <w:r w:rsidRPr="0025692F">
        <w:rPr>
          <w:rFonts w:cs="Arial"/>
        </w:rPr>
        <w:t>. https://drive.google.com/file/d/1i8MgkvJNG_mJDOoFL9yPIX1fz2NgiLT7/view?usp=sharing&amp;usp=embed_facebook</w:t>
      </w:r>
    </w:p>
    <w:p w14:paraId="784EAA91" w14:textId="77777777" w:rsidR="0025692F" w:rsidRPr="0025692F" w:rsidRDefault="0025692F" w:rsidP="0025692F">
      <w:pPr>
        <w:pStyle w:val="Bibliography"/>
        <w:rPr>
          <w:rFonts w:cs="Arial"/>
        </w:rPr>
      </w:pPr>
      <w:r w:rsidRPr="0025692F">
        <w:rPr>
          <w:rFonts w:cs="Arial"/>
        </w:rPr>
        <w:lastRenderedPageBreak/>
        <w:t xml:space="preserve">163. </w:t>
      </w:r>
      <w:r w:rsidRPr="0025692F">
        <w:rPr>
          <w:rFonts w:cs="Arial"/>
          <w:i/>
          <w:iCs/>
        </w:rPr>
        <w:t>FY2024 Rural School Aid—Chapter 70 Program—School Finance</w:t>
      </w:r>
      <w:r w:rsidRPr="0025692F">
        <w:rPr>
          <w:rFonts w:cs="Arial"/>
        </w:rPr>
        <w:t>. (n.d.). Retrieved July 15, 2024, from https://www.doe.mass.edu/finance/chapter70/foundation/fy2024-rural-school-aid.html</w:t>
      </w:r>
    </w:p>
    <w:p w14:paraId="7CF2656C" w14:textId="77777777" w:rsidR="0025692F" w:rsidRPr="0025692F" w:rsidRDefault="0025692F" w:rsidP="0025692F">
      <w:pPr>
        <w:pStyle w:val="Bibliography"/>
        <w:rPr>
          <w:rFonts w:cs="Arial"/>
        </w:rPr>
      </w:pPr>
      <w:r w:rsidRPr="0025692F">
        <w:rPr>
          <w:rFonts w:cs="Arial"/>
        </w:rPr>
        <w:t xml:space="preserve">164. MassCEC. (2024, July 12). </w:t>
      </w:r>
      <w:r w:rsidRPr="0025692F">
        <w:rPr>
          <w:rFonts w:cs="Arial"/>
          <w:i/>
          <w:iCs/>
        </w:rPr>
        <w:t>Green School Works_Draft Program Concept_FINAL_updated 240712.pdf</w:t>
      </w:r>
      <w:r w:rsidRPr="0025692F">
        <w:rPr>
          <w:rFonts w:cs="Arial"/>
        </w:rPr>
        <w:t>. https://www.masscec.com/sites/default/files/documents/Green%20School%20Works_Draft%20Program%20Concept_FINAL_updated%20240712.pdf</w:t>
      </w:r>
    </w:p>
    <w:p w14:paraId="7A29DE09" w14:textId="77777777" w:rsidR="0025692F" w:rsidRPr="0025692F" w:rsidRDefault="0025692F" w:rsidP="0025692F">
      <w:pPr>
        <w:pStyle w:val="Bibliography"/>
        <w:rPr>
          <w:rFonts w:cs="Arial"/>
        </w:rPr>
      </w:pPr>
      <w:r w:rsidRPr="0025692F">
        <w:rPr>
          <w:rFonts w:cs="Arial"/>
        </w:rPr>
        <w:t xml:space="preserve">165. </w:t>
      </w:r>
      <w:r w:rsidRPr="0025692F">
        <w:rPr>
          <w:rFonts w:cs="Arial"/>
          <w:i/>
          <w:iCs/>
        </w:rPr>
        <w:t>School Water Improvement Grants | Mass.gov</w:t>
      </w:r>
      <w:r w:rsidRPr="0025692F">
        <w:rPr>
          <w:rFonts w:cs="Arial"/>
        </w:rPr>
        <w:t>. (n.d.). Retrieved July 15, 2024, from https://www.mass.gov/school-water-improvement-grants</w:t>
      </w:r>
    </w:p>
    <w:p w14:paraId="3337FE93" w14:textId="77777777" w:rsidR="0025692F" w:rsidRPr="0025692F" w:rsidRDefault="0025692F" w:rsidP="0025692F">
      <w:pPr>
        <w:pStyle w:val="Bibliography"/>
        <w:rPr>
          <w:rFonts w:cs="Arial"/>
        </w:rPr>
      </w:pPr>
      <w:r w:rsidRPr="0025692F">
        <w:rPr>
          <w:rFonts w:cs="Arial"/>
        </w:rPr>
        <w:t xml:space="preserve">166. MA Department of Revenue, Division of Local Services. (2020, January). </w:t>
      </w:r>
      <w:r w:rsidRPr="0025692F">
        <w:rPr>
          <w:rFonts w:cs="Arial"/>
          <w:i/>
          <w:iCs/>
        </w:rPr>
        <w:t>Understanding Municipal Debt</w:t>
      </w:r>
      <w:r w:rsidRPr="0025692F">
        <w:rPr>
          <w:rFonts w:cs="Arial"/>
        </w:rPr>
        <w:t>. https://www.mass.gov/doc/understanding-municipal-debt/download</w:t>
      </w:r>
    </w:p>
    <w:p w14:paraId="062E1842" w14:textId="77777777" w:rsidR="0025692F" w:rsidRPr="0025692F" w:rsidRDefault="0025692F" w:rsidP="0025692F">
      <w:pPr>
        <w:pStyle w:val="Bibliography"/>
        <w:rPr>
          <w:rFonts w:cs="Arial"/>
        </w:rPr>
      </w:pPr>
      <w:r w:rsidRPr="0025692F">
        <w:rPr>
          <w:rFonts w:cs="Arial"/>
        </w:rPr>
        <w:t xml:space="preserve">167. None, N. (2021). </w:t>
      </w:r>
      <w:r w:rsidRPr="0025692F">
        <w:rPr>
          <w:rFonts w:cs="Arial"/>
          <w:i/>
          <w:iCs/>
        </w:rPr>
        <w:t>A Primer on Organizational Use of Energy Management and Information Systems (EMIS)</w:t>
      </w:r>
      <w:r w:rsidRPr="0025692F">
        <w:rPr>
          <w:rFonts w:cs="Arial"/>
        </w:rPr>
        <w:t xml:space="preserve"> (No. DOE/EE--2195, 1755532, 8496; p. DOE/EE--2195, 1755532, 8496). https://doi.org/10.2172/1755532</w:t>
      </w:r>
    </w:p>
    <w:p w14:paraId="31656110" w14:textId="77777777" w:rsidR="0025692F" w:rsidRPr="0025692F" w:rsidRDefault="0025692F" w:rsidP="0025692F">
      <w:pPr>
        <w:pStyle w:val="Bibliography"/>
        <w:rPr>
          <w:rFonts w:cs="Arial"/>
        </w:rPr>
      </w:pPr>
      <w:r w:rsidRPr="0025692F">
        <w:rPr>
          <w:rFonts w:cs="Arial"/>
        </w:rPr>
        <w:t xml:space="preserve">168. Massachusetts Department of Energy Resources. (n.d.). </w:t>
      </w:r>
      <w:r w:rsidRPr="0025692F">
        <w:rPr>
          <w:rFonts w:cs="Arial"/>
          <w:i/>
          <w:iCs/>
        </w:rPr>
        <w:t>Large Building Energy Disclosure | Mass.gov</w:t>
      </w:r>
      <w:r w:rsidRPr="0025692F">
        <w:rPr>
          <w:rFonts w:cs="Arial"/>
        </w:rPr>
        <w:t>. Retrieved July 26, 2024, from https://www.mass.gov/large-building-energy-disclosure</w:t>
      </w:r>
    </w:p>
    <w:p w14:paraId="1949686C" w14:textId="77777777" w:rsidR="0025692F" w:rsidRPr="0025692F" w:rsidRDefault="0025692F" w:rsidP="0025692F">
      <w:pPr>
        <w:pStyle w:val="Bibliography"/>
        <w:rPr>
          <w:rFonts w:cs="Arial"/>
        </w:rPr>
      </w:pPr>
      <w:r w:rsidRPr="0025692F">
        <w:rPr>
          <w:rFonts w:cs="Arial"/>
        </w:rPr>
        <w:t xml:space="preserve">169. </w:t>
      </w:r>
      <w:r w:rsidRPr="0025692F">
        <w:rPr>
          <w:rFonts w:cs="Arial"/>
          <w:i/>
          <w:iCs/>
        </w:rPr>
        <w:t>ENERGY STAR Score for K-12 Schools | ENERGY STAR</w:t>
      </w:r>
      <w:r w:rsidRPr="0025692F">
        <w:rPr>
          <w:rFonts w:cs="Arial"/>
        </w:rPr>
        <w:t>. (n.d.). Retrieved June 17, 2024, from https://www.energystar.gov/buildings/tools-and-resources/energy-star-score-k-12-schools</w:t>
      </w:r>
    </w:p>
    <w:p w14:paraId="3037C742" w14:textId="77777777" w:rsidR="0025692F" w:rsidRPr="0025692F" w:rsidRDefault="0025692F" w:rsidP="0025692F">
      <w:pPr>
        <w:pStyle w:val="Bibliography"/>
        <w:rPr>
          <w:rFonts w:cs="Arial"/>
        </w:rPr>
      </w:pPr>
      <w:r w:rsidRPr="0025692F">
        <w:rPr>
          <w:rFonts w:cs="Arial"/>
        </w:rPr>
        <w:t xml:space="preserve">170. Kramer, H., Abram, T., Hart, N., &amp; Granderson, J. (2023). </w:t>
      </w:r>
      <w:r w:rsidRPr="0025692F">
        <w:rPr>
          <w:rFonts w:cs="Arial"/>
          <w:i/>
          <w:iCs/>
        </w:rPr>
        <w:t>Framework for Greenhouse Gas Emissions Reduction Planning: Building Portfolios</w:t>
      </w:r>
      <w:r w:rsidRPr="0025692F">
        <w:rPr>
          <w:rFonts w:cs="Arial"/>
        </w:rPr>
        <w:t xml:space="preserve"> (No. DOE/EE--2688, 1971619, 8954; p. DOE/EE--2688, 1971619, 8954). https://doi.org/10.2172/1971619</w:t>
      </w:r>
    </w:p>
    <w:p w14:paraId="66E40884" w14:textId="77777777" w:rsidR="0025692F" w:rsidRPr="0025692F" w:rsidRDefault="0025692F" w:rsidP="0025692F">
      <w:pPr>
        <w:pStyle w:val="Bibliography"/>
        <w:rPr>
          <w:rFonts w:cs="Arial"/>
        </w:rPr>
      </w:pPr>
      <w:r w:rsidRPr="0025692F">
        <w:rPr>
          <w:rFonts w:cs="Arial"/>
        </w:rPr>
        <w:t xml:space="preserve">171. </w:t>
      </w:r>
      <w:r w:rsidRPr="0025692F">
        <w:rPr>
          <w:rFonts w:cs="Arial"/>
          <w:i/>
          <w:iCs/>
        </w:rPr>
        <w:t>For net-zero cities, we need to retrofit our older buildings. Here’s what’s needed</w:t>
      </w:r>
      <w:r w:rsidRPr="0025692F">
        <w:rPr>
          <w:rFonts w:cs="Arial"/>
        </w:rPr>
        <w:t>. (2022, November 8). World Economic Forum. https://www.weforum.org/agenda/2022/11/net-zero-cities-retrofit-older-buildings-cop27/</w:t>
      </w:r>
    </w:p>
    <w:p w14:paraId="55278C1D" w14:textId="77777777" w:rsidR="0025692F" w:rsidRPr="0025692F" w:rsidRDefault="0025692F" w:rsidP="0025692F">
      <w:pPr>
        <w:pStyle w:val="Bibliography"/>
        <w:rPr>
          <w:rFonts w:cs="Arial"/>
        </w:rPr>
      </w:pPr>
      <w:r w:rsidRPr="0025692F">
        <w:rPr>
          <w:rFonts w:cs="Arial"/>
        </w:rPr>
        <w:t xml:space="preserve">172. NEEP. (2020, May 1). </w:t>
      </w:r>
      <w:r w:rsidRPr="0025692F">
        <w:rPr>
          <w:rFonts w:cs="Arial"/>
          <w:i/>
          <w:iCs/>
        </w:rPr>
        <w:t>Zero Energy Schools Toolkit</w:t>
      </w:r>
      <w:r w:rsidRPr="0025692F">
        <w:rPr>
          <w:rFonts w:cs="Arial"/>
        </w:rPr>
        <w:t>. https://neep.org/sites/default/files/resources/Zero%20Energy%20Schools%20Toolkit%20FINAL.pdf</w:t>
      </w:r>
    </w:p>
    <w:p w14:paraId="69371E68" w14:textId="77777777" w:rsidR="0025692F" w:rsidRPr="0025692F" w:rsidRDefault="0025692F" w:rsidP="0025692F">
      <w:pPr>
        <w:pStyle w:val="Bibliography"/>
        <w:rPr>
          <w:rFonts w:cs="Arial"/>
        </w:rPr>
      </w:pPr>
      <w:r w:rsidRPr="0025692F">
        <w:rPr>
          <w:rFonts w:cs="Arial"/>
        </w:rPr>
        <w:t xml:space="preserve">173. Torcellini, P. A., Trenbath, T.-K. L., Allen, N., &amp; McIntyre, M. (2019). </w:t>
      </w:r>
      <w:r w:rsidRPr="0025692F">
        <w:rPr>
          <w:rFonts w:cs="Arial"/>
          <w:i/>
          <w:iCs/>
        </w:rPr>
        <w:t>A Guide to Zero Energy and Zero Energy Ready K-12 Schools</w:t>
      </w:r>
      <w:r w:rsidRPr="0025692F">
        <w:rPr>
          <w:rFonts w:cs="Arial"/>
        </w:rPr>
        <w:t xml:space="preserve"> (No. NREL/TP--5500-72847, 1557416; p. NREL/TP--5500-72847, 1557416). https://doi.org/10.2172/1557416</w:t>
      </w:r>
    </w:p>
    <w:p w14:paraId="02966EE0" w14:textId="77777777" w:rsidR="0025692F" w:rsidRPr="0025692F" w:rsidRDefault="0025692F" w:rsidP="0025692F">
      <w:pPr>
        <w:pStyle w:val="Bibliography"/>
        <w:rPr>
          <w:rFonts w:cs="Arial"/>
        </w:rPr>
      </w:pPr>
      <w:r w:rsidRPr="0025692F">
        <w:rPr>
          <w:rFonts w:cs="Arial"/>
        </w:rPr>
        <w:t xml:space="preserve">174. </w:t>
      </w:r>
      <w:r w:rsidRPr="0025692F">
        <w:rPr>
          <w:rFonts w:cs="Arial"/>
          <w:i/>
          <w:iCs/>
        </w:rPr>
        <w:t>MassSave New Construction or Major Renovation Path 1</w:t>
      </w:r>
      <w:r w:rsidRPr="0025692F">
        <w:rPr>
          <w:rFonts w:cs="Arial"/>
        </w:rPr>
        <w:t>. (2022). https://www.masssave.com/-/media/Files/PDFs/Business/2022-MS-NC-Summary-Path-1-1222-Final.pdf</w:t>
      </w:r>
    </w:p>
    <w:p w14:paraId="60283AD9" w14:textId="77777777" w:rsidR="0025692F" w:rsidRPr="0025692F" w:rsidRDefault="0025692F" w:rsidP="0025692F">
      <w:pPr>
        <w:pStyle w:val="Bibliography"/>
        <w:rPr>
          <w:rFonts w:cs="Arial"/>
        </w:rPr>
      </w:pPr>
      <w:r w:rsidRPr="0025692F">
        <w:rPr>
          <w:rFonts w:cs="Arial"/>
        </w:rPr>
        <w:t xml:space="preserve">175. None, N. (2021). </w:t>
      </w:r>
      <w:r w:rsidRPr="0025692F">
        <w:rPr>
          <w:rFonts w:cs="Arial"/>
          <w:i/>
          <w:iCs/>
        </w:rPr>
        <w:t>Decarbonizing HVAC and Water Heating in Commercial Buildings</w:t>
      </w:r>
      <w:r w:rsidRPr="0025692F">
        <w:rPr>
          <w:rFonts w:cs="Arial"/>
        </w:rPr>
        <w:t xml:space="preserve"> (No. DOE/EE-2525, 1832100, 8805; p. DOE/EE-2525, 1832100, 8805). https://doi.org/10.2172/1832100</w:t>
      </w:r>
    </w:p>
    <w:p w14:paraId="02668EE0" w14:textId="77777777" w:rsidR="0025692F" w:rsidRPr="0025692F" w:rsidRDefault="0025692F" w:rsidP="0025692F">
      <w:pPr>
        <w:pStyle w:val="Bibliography"/>
        <w:rPr>
          <w:rFonts w:cs="Arial"/>
        </w:rPr>
      </w:pPr>
      <w:r w:rsidRPr="0025692F">
        <w:rPr>
          <w:rFonts w:cs="Arial"/>
        </w:rPr>
        <w:t xml:space="preserve">176. </w:t>
      </w:r>
      <w:r w:rsidRPr="0025692F">
        <w:rPr>
          <w:rFonts w:cs="Arial"/>
          <w:i/>
          <w:iCs/>
        </w:rPr>
        <w:t>Building Envelope Campaign | Better Buildings Initiative</w:t>
      </w:r>
      <w:r w:rsidRPr="0025692F">
        <w:rPr>
          <w:rFonts w:cs="Arial"/>
        </w:rPr>
        <w:t>. (n.d.). Retrieved June 14, 2024, from https://betterbuildingssolutioncenter.energy.gov/alliance/technology-campaigns/building-envelope-campaign</w:t>
      </w:r>
    </w:p>
    <w:p w14:paraId="3383CB0B" w14:textId="77777777" w:rsidR="0025692F" w:rsidRPr="0025692F" w:rsidRDefault="0025692F" w:rsidP="0025692F">
      <w:pPr>
        <w:pStyle w:val="Bibliography"/>
        <w:rPr>
          <w:rFonts w:cs="Arial"/>
        </w:rPr>
      </w:pPr>
      <w:r w:rsidRPr="0025692F">
        <w:rPr>
          <w:rFonts w:cs="Arial"/>
        </w:rPr>
        <w:t xml:space="preserve">177. </w:t>
      </w:r>
      <w:r w:rsidRPr="0025692F">
        <w:rPr>
          <w:rFonts w:cs="Arial"/>
          <w:i/>
          <w:iCs/>
        </w:rPr>
        <w:t>K-12 Lighting Toolkit | Better Buildings Initiative</w:t>
      </w:r>
      <w:r w:rsidRPr="0025692F">
        <w:rPr>
          <w:rFonts w:cs="Arial"/>
        </w:rPr>
        <w:t>. (n.d.). Retrieved June 19, 2024, from https://betterbuildingssolutioncenter.energy.gov/k-12-lighting-toolkit</w:t>
      </w:r>
    </w:p>
    <w:p w14:paraId="62112A28" w14:textId="77777777" w:rsidR="0025692F" w:rsidRPr="0025692F" w:rsidRDefault="0025692F" w:rsidP="0025692F">
      <w:pPr>
        <w:pStyle w:val="Bibliography"/>
        <w:rPr>
          <w:rFonts w:cs="Arial"/>
        </w:rPr>
      </w:pPr>
      <w:r w:rsidRPr="0025692F">
        <w:rPr>
          <w:rFonts w:cs="Arial"/>
        </w:rPr>
        <w:t xml:space="preserve">178. Hines, E., Ross, S., Klein, J., Lu, A., Seals, B. A., Taylor, E., &amp; Unger, R. (2023). </w:t>
      </w:r>
      <w:r w:rsidRPr="0025692F">
        <w:rPr>
          <w:rFonts w:cs="Arial"/>
          <w:i/>
          <w:iCs/>
        </w:rPr>
        <w:t>HVAC Choices for Student Health and Learning</w:t>
      </w:r>
      <w:r w:rsidRPr="0025692F">
        <w:rPr>
          <w:rFonts w:cs="Arial"/>
        </w:rPr>
        <w:t>.</w:t>
      </w:r>
    </w:p>
    <w:p w14:paraId="478B241C" w14:textId="77777777" w:rsidR="0025692F" w:rsidRPr="0025692F" w:rsidRDefault="0025692F" w:rsidP="0025692F">
      <w:pPr>
        <w:pStyle w:val="Bibliography"/>
        <w:rPr>
          <w:rFonts w:cs="Arial"/>
        </w:rPr>
      </w:pPr>
      <w:r w:rsidRPr="0025692F">
        <w:rPr>
          <w:rFonts w:cs="Arial"/>
        </w:rPr>
        <w:t xml:space="preserve">179. </w:t>
      </w:r>
      <w:r w:rsidRPr="0025692F">
        <w:rPr>
          <w:rFonts w:cs="Arial"/>
          <w:i/>
          <w:iCs/>
        </w:rPr>
        <w:t>Town of Arlington Electrification &amp; Air Quality Master Plan</w:t>
      </w:r>
      <w:r w:rsidRPr="0025692F">
        <w:rPr>
          <w:rFonts w:cs="Arial"/>
        </w:rPr>
        <w:t>. (2023, January). https://www.arlingtonma.gov/home/showpublisheddocument/65935/638233929669870000</w:t>
      </w:r>
    </w:p>
    <w:p w14:paraId="3FF52F5F" w14:textId="77777777" w:rsidR="0025692F" w:rsidRPr="0025692F" w:rsidRDefault="0025692F" w:rsidP="0025692F">
      <w:pPr>
        <w:pStyle w:val="Bibliography"/>
        <w:rPr>
          <w:rFonts w:cs="Arial"/>
        </w:rPr>
      </w:pPr>
      <w:r w:rsidRPr="0025692F">
        <w:rPr>
          <w:rFonts w:cs="Arial"/>
        </w:rPr>
        <w:t xml:space="preserve">180. </w:t>
      </w:r>
      <w:r w:rsidRPr="0025692F">
        <w:rPr>
          <w:rFonts w:cs="Arial"/>
          <w:i/>
          <w:iCs/>
        </w:rPr>
        <w:t>Calculators—California Energy Wise</w:t>
      </w:r>
      <w:r w:rsidRPr="0025692F">
        <w:rPr>
          <w:rFonts w:cs="Arial"/>
        </w:rPr>
        <w:t>. (n.d.). Retrieved June 17, 2024, from https://caenergywise.com/calculators/</w:t>
      </w:r>
    </w:p>
    <w:p w14:paraId="3C272A40" w14:textId="77777777" w:rsidR="0025692F" w:rsidRPr="0025692F" w:rsidRDefault="0025692F" w:rsidP="0025692F">
      <w:pPr>
        <w:pStyle w:val="Bibliography"/>
        <w:rPr>
          <w:rFonts w:cs="Arial"/>
        </w:rPr>
      </w:pPr>
      <w:r w:rsidRPr="0025692F">
        <w:rPr>
          <w:rFonts w:cs="Arial"/>
        </w:rPr>
        <w:lastRenderedPageBreak/>
        <w:t xml:space="preserve">181. </w:t>
      </w:r>
      <w:r w:rsidRPr="0025692F">
        <w:rPr>
          <w:rFonts w:cs="Arial"/>
          <w:i/>
          <w:iCs/>
        </w:rPr>
        <w:t>Anne Arundel County Public Schools: Optimizing Energy Use through Central Monitoring and Control | Better Buildings Initiative</w:t>
      </w:r>
      <w:r w:rsidRPr="0025692F">
        <w:rPr>
          <w:rFonts w:cs="Arial"/>
        </w:rPr>
        <w:t>. (n.d.). Retrieved June 20, 2024, from https://betterbuildingssolutioncenter.energy.gov/solutions-at-a-glance/anne-arundel-county-public-schools-optimizing-energy-use-through-central</w:t>
      </w:r>
    </w:p>
    <w:p w14:paraId="458CB1D1" w14:textId="77777777" w:rsidR="0025692F" w:rsidRPr="0025692F" w:rsidRDefault="0025692F" w:rsidP="0025692F">
      <w:pPr>
        <w:pStyle w:val="Bibliography"/>
        <w:rPr>
          <w:rFonts w:cs="Arial"/>
        </w:rPr>
      </w:pPr>
      <w:r w:rsidRPr="0025692F">
        <w:rPr>
          <w:rFonts w:cs="Arial"/>
        </w:rPr>
        <w:t xml:space="preserve">182. </w:t>
      </w:r>
      <w:r w:rsidRPr="0025692F">
        <w:rPr>
          <w:rFonts w:cs="Arial"/>
          <w:i/>
          <w:iCs/>
        </w:rPr>
        <w:t>Clean Energy and Climate Plan for 2050</w:t>
      </w:r>
      <w:r w:rsidRPr="0025692F">
        <w:rPr>
          <w:rFonts w:cs="Arial"/>
        </w:rPr>
        <w:t>. (n.d.).</w:t>
      </w:r>
    </w:p>
    <w:p w14:paraId="418E6D3A" w14:textId="77777777" w:rsidR="0025692F" w:rsidRPr="0025692F" w:rsidRDefault="0025692F" w:rsidP="0025692F">
      <w:pPr>
        <w:pStyle w:val="Bibliography"/>
        <w:rPr>
          <w:rFonts w:cs="Arial"/>
        </w:rPr>
      </w:pPr>
      <w:r w:rsidRPr="0025692F">
        <w:rPr>
          <w:rFonts w:cs="Arial"/>
        </w:rPr>
        <w:t xml:space="preserve">183. NEEP, &amp; NE-CHPS. (2022). </w:t>
      </w:r>
      <w:r w:rsidRPr="0025692F">
        <w:rPr>
          <w:rFonts w:cs="Arial"/>
          <w:i/>
          <w:iCs/>
        </w:rPr>
        <w:t>Northeast CHPS Criteria for New Construction and Renovations Version 4.0: Assessment Tool</w:t>
      </w:r>
      <w:r w:rsidRPr="0025692F">
        <w:rPr>
          <w:rFonts w:cs="Arial"/>
        </w:rPr>
        <w:t>. Northeast Energy Efficiency Partnerships and Northeast Collaborative for High Performance Schools. https://neep.org/sites/default/files/media-files/NE%20CHPS%20v4.0%20Clean%20Final%20Draft%20May%202022.pdf</w:t>
      </w:r>
    </w:p>
    <w:p w14:paraId="10011CCB" w14:textId="77777777" w:rsidR="0025692F" w:rsidRPr="0025692F" w:rsidRDefault="0025692F" w:rsidP="0025692F">
      <w:pPr>
        <w:pStyle w:val="Bibliography"/>
        <w:rPr>
          <w:rFonts w:cs="Arial"/>
        </w:rPr>
      </w:pPr>
      <w:r w:rsidRPr="0025692F">
        <w:rPr>
          <w:rFonts w:cs="Arial"/>
        </w:rPr>
        <w:t xml:space="preserve">184. </w:t>
      </w:r>
      <w:r w:rsidRPr="0025692F">
        <w:rPr>
          <w:rFonts w:cs="Arial"/>
          <w:i/>
          <w:iCs/>
        </w:rPr>
        <w:t>Solar Massachusetts Renewable Target Program Guideline</w:t>
      </w:r>
      <w:r w:rsidRPr="0025692F">
        <w:rPr>
          <w:rFonts w:cs="Arial"/>
        </w:rPr>
        <w:t>. (2018, September 13). https://www.mass.gov/doc/ess-guideline-october-2020/download</w:t>
      </w:r>
    </w:p>
    <w:p w14:paraId="15BA5F9B" w14:textId="77777777" w:rsidR="0025692F" w:rsidRPr="0025692F" w:rsidRDefault="0025692F" w:rsidP="0025692F">
      <w:pPr>
        <w:pStyle w:val="Bibliography"/>
        <w:rPr>
          <w:rFonts w:cs="Arial"/>
        </w:rPr>
      </w:pPr>
      <w:r w:rsidRPr="0025692F">
        <w:rPr>
          <w:rFonts w:cs="Arial"/>
        </w:rPr>
        <w:t xml:space="preserve">185. </w:t>
      </w:r>
      <w:r w:rsidRPr="0025692F">
        <w:rPr>
          <w:rFonts w:cs="Arial"/>
          <w:i/>
          <w:iCs/>
        </w:rPr>
        <w:t>Session Law—Acts of 2021 Chapter 8</w:t>
      </w:r>
      <w:r w:rsidRPr="0025692F">
        <w:rPr>
          <w:rFonts w:cs="Arial"/>
        </w:rPr>
        <w:t>. (n.d.). Retrieved June 13, 2024, from https://malegislature.gov/Laws/SessionLaws/Acts/2021/Chapter8</w:t>
      </w:r>
    </w:p>
    <w:p w14:paraId="29F27834" w14:textId="77777777" w:rsidR="0025692F" w:rsidRPr="0025692F" w:rsidRDefault="0025692F" w:rsidP="0025692F">
      <w:pPr>
        <w:pStyle w:val="Bibliography"/>
        <w:rPr>
          <w:rFonts w:cs="Arial"/>
        </w:rPr>
      </w:pPr>
      <w:r w:rsidRPr="0025692F">
        <w:rPr>
          <w:rFonts w:cs="Arial"/>
        </w:rPr>
        <w:t xml:space="preserve">186. </w:t>
      </w:r>
      <w:r w:rsidRPr="0025692F">
        <w:rPr>
          <w:rFonts w:cs="Arial"/>
          <w:i/>
          <w:iCs/>
        </w:rPr>
        <w:t>General Law—Part I, Title II, Chapter 25A, Section 11F</w:t>
      </w:r>
      <w:r w:rsidRPr="0025692F">
        <w:rPr>
          <w:rFonts w:cs="Arial"/>
        </w:rPr>
        <w:t>. (n.d.). Retrieved June 13, 2024, from https://malegislature.gov/Laws/GeneralLaws/PartI/TitleII/Chapter25A/Section11F</w:t>
      </w:r>
    </w:p>
    <w:p w14:paraId="55FA33E3" w14:textId="77777777" w:rsidR="0025692F" w:rsidRPr="0025692F" w:rsidRDefault="0025692F" w:rsidP="0025692F">
      <w:pPr>
        <w:pStyle w:val="Bibliography"/>
        <w:rPr>
          <w:rFonts w:cs="Arial"/>
        </w:rPr>
      </w:pPr>
      <w:r w:rsidRPr="0025692F">
        <w:rPr>
          <w:rFonts w:cs="Arial"/>
        </w:rPr>
        <w:t xml:space="preserve">187. MA DOER. (n.d.). </w:t>
      </w:r>
      <w:r w:rsidRPr="0025692F">
        <w:rPr>
          <w:rFonts w:cs="Arial"/>
          <w:i/>
          <w:iCs/>
        </w:rPr>
        <w:t>Energy Management Services (EMS) Contracts RFP Process</w:t>
      </w:r>
      <w:r w:rsidRPr="0025692F">
        <w:rPr>
          <w:rFonts w:cs="Arial"/>
        </w:rPr>
        <w:t>. https://www.mass.gov/media/5806/download</w:t>
      </w:r>
    </w:p>
    <w:p w14:paraId="7AA572DD" w14:textId="77777777" w:rsidR="0025692F" w:rsidRPr="0025692F" w:rsidRDefault="0025692F" w:rsidP="0025692F">
      <w:pPr>
        <w:pStyle w:val="Bibliography"/>
        <w:rPr>
          <w:rFonts w:cs="Arial"/>
        </w:rPr>
      </w:pPr>
      <w:r w:rsidRPr="0025692F">
        <w:rPr>
          <w:rFonts w:cs="Arial"/>
        </w:rPr>
        <w:t>188. Energy Management Services (EMS) Contracts Requests for Qualifications Process, 225 CMR 19.00. https://www.mass.gov/regulations/225-CMR-1900-energy-management-services-ems-contracts-requests-for-qualification-process</w:t>
      </w:r>
    </w:p>
    <w:p w14:paraId="38347B9A" w14:textId="77777777" w:rsidR="0025692F" w:rsidRPr="0025692F" w:rsidRDefault="0025692F" w:rsidP="0025692F">
      <w:pPr>
        <w:pStyle w:val="Bibliography"/>
        <w:rPr>
          <w:rFonts w:cs="Arial"/>
        </w:rPr>
      </w:pPr>
      <w:r w:rsidRPr="0025692F">
        <w:rPr>
          <w:rFonts w:cs="Arial"/>
        </w:rPr>
        <w:t>189. Commercial (and All Other) Construction Stretch Energy Code, 225 CMR 23. https://www.mass.gov/doc/commercial-and-other-stretch-energy-code-and-specialized-opt-in-code-language/download</w:t>
      </w:r>
    </w:p>
    <w:p w14:paraId="50768B66" w14:textId="77777777" w:rsidR="0025692F" w:rsidRPr="0025692F" w:rsidRDefault="0025692F" w:rsidP="0025692F">
      <w:pPr>
        <w:pStyle w:val="Bibliography"/>
        <w:rPr>
          <w:rFonts w:cs="Arial"/>
        </w:rPr>
      </w:pPr>
      <w:r w:rsidRPr="0025692F">
        <w:rPr>
          <w:rFonts w:cs="Arial"/>
        </w:rPr>
        <w:t>190. Clean Energy Standard, 310 CMR 7.75. https://www.mass.gov/guides/clean-energy-standard-310-cmr-775</w:t>
      </w:r>
    </w:p>
    <w:p w14:paraId="6ECEBAB1" w14:textId="77777777" w:rsidR="0025692F" w:rsidRPr="0025692F" w:rsidRDefault="0025692F" w:rsidP="0025692F">
      <w:pPr>
        <w:pStyle w:val="Bibliography"/>
        <w:rPr>
          <w:rFonts w:cs="Arial"/>
        </w:rPr>
      </w:pPr>
      <w:r w:rsidRPr="0025692F">
        <w:rPr>
          <w:rFonts w:cs="Arial"/>
        </w:rPr>
        <w:t xml:space="preserve">191. </w:t>
      </w:r>
      <w:r w:rsidRPr="0025692F">
        <w:rPr>
          <w:rFonts w:cs="Arial"/>
          <w:i/>
          <w:iCs/>
        </w:rPr>
        <w:t>Massachusetts State Building Code—780 CMR</w:t>
      </w:r>
      <w:r w:rsidRPr="0025692F">
        <w:rPr>
          <w:rFonts w:cs="Arial"/>
        </w:rPr>
        <w:t>. (n.d.). Mass.Gov. Retrieved July 26, 2024, from https://www.mass.gov/massachusetts-state-building-code-780-cmr</w:t>
      </w:r>
    </w:p>
    <w:p w14:paraId="0BDD150F" w14:textId="77777777" w:rsidR="0025692F" w:rsidRPr="0025692F" w:rsidRDefault="0025692F" w:rsidP="0025692F">
      <w:pPr>
        <w:pStyle w:val="Bibliography"/>
        <w:rPr>
          <w:rFonts w:cs="Arial"/>
        </w:rPr>
      </w:pPr>
      <w:r w:rsidRPr="0025692F">
        <w:rPr>
          <w:rFonts w:cs="Arial"/>
        </w:rPr>
        <w:t>192. School Building Grant Program, 963 CMR 2.00. https://www.mass.gov/regulations/963-CMR-200-school-building-grant-program</w:t>
      </w:r>
    </w:p>
    <w:p w14:paraId="3B7DA48F" w14:textId="77777777" w:rsidR="0025692F" w:rsidRPr="0025692F" w:rsidRDefault="0025692F" w:rsidP="0025692F">
      <w:pPr>
        <w:pStyle w:val="Bibliography"/>
        <w:rPr>
          <w:rFonts w:cs="Arial"/>
        </w:rPr>
      </w:pPr>
      <w:r w:rsidRPr="0025692F">
        <w:rPr>
          <w:rFonts w:cs="Arial"/>
        </w:rPr>
        <w:t>193. Massachusetts Appliance Energy and Water Efficiency Standards. https://www.mass.gov/info-details/appliance-energy-and-water-efficiency-standards</w:t>
      </w:r>
    </w:p>
    <w:p w14:paraId="5E1EE00F" w14:textId="77777777" w:rsidR="0025692F" w:rsidRPr="0025692F" w:rsidRDefault="0025692F" w:rsidP="0025692F">
      <w:pPr>
        <w:pStyle w:val="Bibliography"/>
        <w:rPr>
          <w:rFonts w:cs="Arial"/>
        </w:rPr>
      </w:pPr>
      <w:r w:rsidRPr="0025692F">
        <w:rPr>
          <w:rFonts w:cs="Arial"/>
        </w:rPr>
        <w:t xml:space="preserve">194. </w:t>
      </w:r>
      <w:r w:rsidRPr="0025692F">
        <w:rPr>
          <w:rFonts w:cs="Arial"/>
          <w:i/>
          <w:iCs/>
        </w:rPr>
        <w:t>Northeast Collaborative for High Performance Schools Criteria (NE-CHPS) Version 3.2 | Northeast Energy Efficiency Partnerships</w:t>
      </w:r>
      <w:r w:rsidRPr="0025692F">
        <w:rPr>
          <w:rFonts w:cs="Arial"/>
        </w:rPr>
        <w:t>. (n.d.). Retrieved December 4, 2024, from https://neep.org/northeast-collaborative-high-performance-schools-criteria</w:t>
      </w:r>
    </w:p>
    <w:p w14:paraId="61867EAE" w14:textId="77777777" w:rsidR="0025692F" w:rsidRPr="0025692F" w:rsidRDefault="0025692F" w:rsidP="0025692F">
      <w:pPr>
        <w:pStyle w:val="Bibliography"/>
        <w:rPr>
          <w:rFonts w:cs="Arial"/>
        </w:rPr>
      </w:pPr>
      <w:r w:rsidRPr="0025692F">
        <w:rPr>
          <w:rFonts w:cs="Arial"/>
        </w:rPr>
        <w:t xml:space="preserve">195. DOE. (n.d.). </w:t>
      </w:r>
      <w:r w:rsidRPr="0025692F">
        <w:rPr>
          <w:rFonts w:cs="Arial"/>
          <w:i/>
          <w:iCs/>
        </w:rPr>
        <w:t>Appliance and Equipment Standards Program</w:t>
      </w:r>
      <w:r w:rsidRPr="0025692F">
        <w:rPr>
          <w:rFonts w:cs="Arial"/>
        </w:rPr>
        <w:t>. Energy.Gov. Retrieved December 4, 2024, from https://www.energy.gov/eere/buildings/appliance-and-equipment-standards-program</w:t>
      </w:r>
    </w:p>
    <w:p w14:paraId="7FB6D43D" w14:textId="77777777" w:rsidR="0025692F" w:rsidRPr="0025692F" w:rsidRDefault="0025692F" w:rsidP="0025692F">
      <w:pPr>
        <w:pStyle w:val="Bibliography"/>
        <w:rPr>
          <w:rFonts w:cs="Arial"/>
        </w:rPr>
      </w:pPr>
      <w:r w:rsidRPr="0025692F">
        <w:rPr>
          <w:rFonts w:cs="Arial"/>
        </w:rPr>
        <w:t xml:space="preserve">196. ANSI/ASHRAE/ACCA. (n.d.). </w:t>
      </w:r>
      <w:r w:rsidRPr="0025692F">
        <w:rPr>
          <w:rFonts w:cs="Arial"/>
          <w:i/>
          <w:iCs/>
        </w:rPr>
        <w:t>Standard for Commercial Building Energy Audits 211-2018</w:t>
      </w:r>
      <w:r w:rsidRPr="0025692F">
        <w:rPr>
          <w:rFonts w:cs="Arial"/>
        </w:rPr>
        <w:t>. https://www.ashrae.org/File%20Library/Technical%20Resources/Bookstore/previews_2016437_pre.pdf</w:t>
      </w:r>
    </w:p>
    <w:p w14:paraId="23F9321B" w14:textId="77777777" w:rsidR="0025692F" w:rsidRPr="0025692F" w:rsidRDefault="0025692F" w:rsidP="0025692F">
      <w:pPr>
        <w:pStyle w:val="Bibliography"/>
        <w:rPr>
          <w:rFonts w:cs="Arial"/>
        </w:rPr>
      </w:pPr>
      <w:r w:rsidRPr="0025692F">
        <w:rPr>
          <w:rFonts w:cs="Arial"/>
        </w:rPr>
        <w:t xml:space="preserve">197. ASTM. (n.d.). </w:t>
      </w:r>
      <w:r w:rsidRPr="0025692F">
        <w:rPr>
          <w:rFonts w:cs="Arial"/>
          <w:i/>
          <w:iCs/>
        </w:rPr>
        <w:t>Standard Guide for Property Condition Assessments: Baseline Property Condition Assessment Process</w:t>
      </w:r>
      <w:r w:rsidRPr="0025692F">
        <w:rPr>
          <w:rFonts w:cs="Arial"/>
        </w:rPr>
        <w:t>. Retrieved December 4, 2024, from https://www.astm.org/e2018-15.html</w:t>
      </w:r>
    </w:p>
    <w:p w14:paraId="2A03F8B9" w14:textId="77777777" w:rsidR="0025692F" w:rsidRPr="0025692F" w:rsidRDefault="0025692F" w:rsidP="0025692F">
      <w:pPr>
        <w:pStyle w:val="Bibliography"/>
        <w:rPr>
          <w:rFonts w:cs="Arial"/>
        </w:rPr>
      </w:pPr>
      <w:r w:rsidRPr="0025692F">
        <w:rPr>
          <w:rFonts w:cs="Arial"/>
        </w:rPr>
        <w:t xml:space="preserve">198. USGBC. (2024). </w:t>
      </w:r>
      <w:r w:rsidRPr="0025692F">
        <w:rPr>
          <w:rFonts w:cs="Arial"/>
          <w:i/>
          <w:iCs/>
        </w:rPr>
        <w:t>LEED v4.1 Building Design + Construction</w:t>
      </w:r>
      <w:r w:rsidRPr="0025692F">
        <w:rPr>
          <w:rFonts w:cs="Arial"/>
        </w:rPr>
        <w:t>. https://build.usgbc.org/bd+c_guide</w:t>
      </w:r>
    </w:p>
    <w:p w14:paraId="75698C8C" w14:textId="77777777" w:rsidR="0025692F" w:rsidRPr="0025692F" w:rsidRDefault="0025692F" w:rsidP="0025692F">
      <w:pPr>
        <w:pStyle w:val="Bibliography"/>
        <w:rPr>
          <w:rFonts w:cs="Arial"/>
        </w:rPr>
      </w:pPr>
      <w:r w:rsidRPr="0025692F">
        <w:rPr>
          <w:rFonts w:cs="Arial"/>
        </w:rPr>
        <w:t xml:space="preserve">199. US EPA. (2024, March 7). </w:t>
      </w:r>
      <w:r w:rsidRPr="0025692F">
        <w:rPr>
          <w:rFonts w:cs="Arial"/>
          <w:i/>
          <w:iCs/>
        </w:rPr>
        <w:t>WaterSense Best Management Practices</w:t>
      </w:r>
      <w:r w:rsidRPr="0025692F">
        <w:rPr>
          <w:rFonts w:cs="Arial"/>
        </w:rPr>
        <w:t>. https://www.epa.gov/watersense/best-management-practices</w:t>
      </w:r>
    </w:p>
    <w:p w14:paraId="6D41D1AA" w14:textId="77777777" w:rsidR="0025692F" w:rsidRPr="0025692F" w:rsidRDefault="0025692F" w:rsidP="0025692F">
      <w:pPr>
        <w:pStyle w:val="Bibliography"/>
        <w:rPr>
          <w:rFonts w:cs="Arial"/>
        </w:rPr>
      </w:pPr>
      <w:r w:rsidRPr="0025692F">
        <w:rPr>
          <w:rFonts w:cs="Arial"/>
        </w:rPr>
        <w:t xml:space="preserve">200. The Commonwealth of Massachusetts Executive Office of Energy and Environmental Affairs and Water Resources Commission. (2018). </w:t>
      </w:r>
      <w:r w:rsidRPr="0025692F">
        <w:rPr>
          <w:rFonts w:cs="Arial"/>
          <w:i/>
          <w:iCs/>
        </w:rPr>
        <w:t xml:space="preserve">Massachusetts Water Conservation </w:t>
      </w:r>
      <w:r w:rsidRPr="0025692F">
        <w:rPr>
          <w:rFonts w:cs="Arial"/>
          <w:i/>
          <w:iCs/>
        </w:rPr>
        <w:lastRenderedPageBreak/>
        <w:t>Standards</w:t>
      </w:r>
      <w:r w:rsidRPr="0025692F">
        <w:rPr>
          <w:rFonts w:cs="Arial"/>
        </w:rPr>
        <w:t>. https://www.mass.gov/doc/massachusetts-water-conservation-standards-2/download</w:t>
      </w:r>
    </w:p>
    <w:p w14:paraId="11155BE0" w14:textId="77777777" w:rsidR="0025692F" w:rsidRPr="0025692F" w:rsidRDefault="0025692F" w:rsidP="0025692F">
      <w:pPr>
        <w:pStyle w:val="Bibliography"/>
        <w:rPr>
          <w:rFonts w:cs="Arial"/>
        </w:rPr>
      </w:pPr>
      <w:r w:rsidRPr="0025692F">
        <w:rPr>
          <w:rFonts w:cs="Arial"/>
        </w:rPr>
        <w:t xml:space="preserve">201. Massachusetts Water Resources Commission. (2024). </w:t>
      </w:r>
      <w:r w:rsidRPr="0025692F">
        <w:rPr>
          <w:rFonts w:cs="Arial"/>
          <w:i/>
          <w:iCs/>
        </w:rPr>
        <w:t>School, Recreation and Facilities Managers</w:t>
      </w:r>
      <w:r w:rsidRPr="0025692F">
        <w:rPr>
          <w:rFonts w:cs="Arial"/>
        </w:rPr>
        <w:t>. https://www.mass.gov/guides/school-recreation-and-facilities-managers</w:t>
      </w:r>
    </w:p>
    <w:p w14:paraId="7B725040" w14:textId="77777777" w:rsidR="0025692F" w:rsidRPr="0025692F" w:rsidRDefault="0025692F" w:rsidP="0025692F">
      <w:pPr>
        <w:pStyle w:val="Bibliography"/>
        <w:rPr>
          <w:rFonts w:cs="Arial"/>
        </w:rPr>
      </w:pPr>
      <w:r w:rsidRPr="0025692F">
        <w:rPr>
          <w:rFonts w:cs="Arial"/>
        </w:rPr>
        <w:t xml:space="preserve">202. US EPA. (n.d.). </w:t>
      </w:r>
      <w:r w:rsidRPr="0025692F">
        <w:rPr>
          <w:rFonts w:cs="Arial"/>
          <w:i/>
          <w:iCs/>
        </w:rPr>
        <w:t>ENERGY STAR Portfolio Manager</w:t>
      </w:r>
      <w:r w:rsidRPr="0025692F">
        <w:rPr>
          <w:rFonts w:cs="Arial"/>
        </w:rPr>
        <w:t>. Retrieved July 14, 2024, from https://portfoliomanager.energystar.gov/pm/login</w:t>
      </w:r>
    </w:p>
    <w:p w14:paraId="6B7DAA13" w14:textId="77777777" w:rsidR="0025692F" w:rsidRPr="0025692F" w:rsidRDefault="0025692F" w:rsidP="0025692F">
      <w:pPr>
        <w:pStyle w:val="Bibliography"/>
        <w:rPr>
          <w:rFonts w:cs="Arial"/>
        </w:rPr>
      </w:pPr>
      <w:r w:rsidRPr="0025692F">
        <w:rPr>
          <w:rFonts w:cs="Arial"/>
        </w:rPr>
        <w:t xml:space="preserve">203. US EPA. (2023). </w:t>
      </w:r>
      <w:r w:rsidRPr="0025692F">
        <w:rPr>
          <w:rFonts w:cs="Arial"/>
          <w:i/>
          <w:iCs/>
        </w:rPr>
        <w:t>WaterSense at Work Section 2.2: Leak Detection and Repair</w:t>
      </w:r>
      <w:r w:rsidRPr="0025692F">
        <w:rPr>
          <w:rFonts w:cs="Arial"/>
        </w:rPr>
        <w:t>. https://www.epa.gov/system/files/documents/2023-11/ws-commercial-bmp-watersenseatwork_section2.2_leakdetectionandrepair.pdf</w:t>
      </w:r>
    </w:p>
    <w:p w14:paraId="4EF27A6F" w14:textId="77777777" w:rsidR="0025692F" w:rsidRPr="0025692F" w:rsidRDefault="0025692F" w:rsidP="0025692F">
      <w:pPr>
        <w:pStyle w:val="Bibliography"/>
        <w:rPr>
          <w:rFonts w:cs="Arial"/>
        </w:rPr>
      </w:pPr>
      <w:r w:rsidRPr="0025692F">
        <w:rPr>
          <w:rFonts w:cs="Arial"/>
        </w:rPr>
        <w:t xml:space="preserve">204. US EPA. (2022). </w:t>
      </w:r>
      <w:r w:rsidRPr="0025692F">
        <w:rPr>
          <w:rFonts w:cs="Arial"/>
          <w:i/>
          <w:iCs/>
        </w:rPr>
        <w:t>Improving Water Management Using Advanced Metering Infrastructure Data: A Guide for Facility Managers</w:t>
      </w:r>
      <w:r w:rsidRPr="0025692F">
        <w:rPr>
          <w:rFonts w:cs="Arial"/>
        </w:rPr>
        <w:t>. https://www.epa.gov/system/files/documents/2022-09/ws-commercial-ami-guide-facility-managers.pdf</w:t>
      </w:r>
    </w:p>
    <w:p w14:paraId="474FE4F1" w14:textId="77777777" w:rsidR="0025692F" w:rsidRPr="0025692F" w:rsidRDefault="0025692F" w:rsidP="0025692F">
      <w:pPr>
        <w:pStyle w:val="Bibliography"/>
        <w:rPr>
          <w:rFonts w:cs="Arial"/>
        </w:rPr>
      </w:pPr>
      <w:r w:rsidRPr="0025692F">
        <w:rPr>
          <w:rFonts w:cs="Arial"/>
        </w:rPr>
        <w:t xml:space="preserve">205. US EPA. (2023). </w:t>
      </w:r>
      <w:r w:rsidRPr="0025692F">
        <w:rPr>
          <w:rFonts w:cs="Arial"/>
          <w:i/>
          <w:iCs/>
        </w:rPr>
        <w:t>WaterSense at Work Section 2.1: Metering and Submetering</w:t>
      </w:r>
      <w:r w:rsidRPr="0025692F">
        <w:rPr>
          <w:rFonts w:cs="Arial"/>
        </w:rPr>
        <w:t>. https://www.epa.gov/system/files/documents/2023-11/ws-commercial-bmp-watersenseatwork_section2.1_meteringandsubmetering.pdf</w:t>
      </w:r>
    </w:p>
    <w:p w14:paraId="5F0ECB9D" w14:textId="77777777" w:rsidR="0025692F" w:rsidRPr="0025692F" w:rsidRDefault="0025692F" w:rsidP="0025692F">
      <w:pPr>
        <w:pStyle w:val="Bibliography"/>
        <w:rPr>
          <w:rFonts w:cs="Arial"/>
        </w:rPr>
      </w:pPr>
      <w:r w:rsidRPr="0025692F">
        <w:rPr>
          <w:rFonts w:cs="Arial"/>
        </w:rPr>
        <w:t xml:space="preserve">206. US EPA. (2024). </w:t>
      </w:r>
      <w:r w:rsidRPr="0025692F">
        <w:rPr>
          <w:rFonts w:cs="Arial"/>
          <w:i/>
          <w:iCs/>
        </w:rPr>
        <w:t>WaterSense at Work Section 2.3: Benchmarking</w:t>
      </w:r>
      <w:r w:rsidRPr="0025692F">
        <w:rPr>
          <w:rFonts w:cs="Arial"/>
        </w:rPr>
        <w:t>. https://www.epa.gov/system/files/documents/2024-03/ws-commercial-bmp-watersenseatwork_section2.3_benchmarking.pdf</w:t>
      </w:r>
    </w:p>
    <w:p w14:paraId="55A62C9C" w14:textId="77777777" w:rsidR="0025692F" w:rsidRPr="0025692F" w:rsidRDefault="0025692F" w:rsidP="0025692F">
      <w:pPr>
        <w:pStyle w:val="Bibliography"/>
        <w:rPr>
          <w:rFonts w:cs="Arial"/>
        </w:rPr>
      </w:pPr>
      <w:r w:rsidRPr="0025692F">
        <w:rPr>
          <w:rFonts w:cs="Arial"/>
        </w:rPr>
        <w:t xml:space="preserve">207. US EPA. (2023). </w:t>
      </w:r>
      <w:r w:rsidRPr="0025692F">
        <w:rPr>
          <w:rFonts w:cs="Arial"/>
          <w:i/>
          <w:iCs/>
        </w:rPr>
        <w:t>ENERGY STAR Portfolio Manager U.S. Water Use Intensity by Property Type</w:t>
      </w:r>
      <w:r w:rsidRPr="0025692F">
        <w:rPr>
          <w:rFonts w:cs="Arial"/>
        </w:rPr>
        <w:t>. https://www.energystar.gov/sites/default/files/tools/National%20WUI%20Technical%20Reference%202023_0719b.pdf</w:t>
      </w:r>
    </w:p>
    <w:p w14:paraId="630A500F" w14:textId="77777777" w:rsidR="0025692F" w:rsidRPr="0025692F" w:rsidRDefault="0025692F" w:rsidP="0025692F">
      <w:pPr>
        <w:pStyle w:val="Bibliography"/>
        <w:rPr>
          <w:rFonts w:cs="Arial"/>
        </w:rPr>
      </w:pPr>
      <w:r w:rsidRPr="0025692F">
        <w:rPr>
          <w:rFonts w:cs="Arial"/>
        </w:rPr>
        <w:t xml:space="preserve">208. City of Boston. (2021, September). </w:t>
      </w:r>
      <w:r w:rsidRPr="0025692F">
        <w:rPr>
          <w:rFonts w:cs="Arial"/>
          <w:i/>
          <w:iCs/>
        </w:rPr>
        <w:t>City of Boston Code, Ordinances, Chapter VII, Sections 7-2.1 and 7-2.2, Building Energy Reporting and Disclosure</w:t>
      </w:r>
      <w:r w:rsidRPr="0025692F">
        <w:rPr>
          <w:rFonts w:cs="Arial"/>
        </w:rPr>
        <w:t>.</w:t>
      </w:r>
    </w:p>
    <w:p w14:paraId="1DAE452A" w14:textId="77777777" w:rsidR="0025692F" w:rsidRPr="0025692F" w:rsidRDefault="0025692F" w:rsidP="0025692F">
      <w:pPr>
        <w:pStyle w:val="Bibliography"/>
        <w:rPr>
          <w:rFonts w:cs="Arial"/>
        </w:rPr>
      </w:pPr>
      <w:r w:rsidRPr="0025692F">
        <w:rPr>
          <w:rFonts w:cs="Arial"/>
        </w:rPr>
        <w:t xml:space="preserve">209. Town of Lexington, MA. (2024, March 11). </w:t>
      </w:r>
      <w:r w:rsidRPr="0025692F">
        <w:rPr>
          <w:rFonts w:cs="Arial"/>
          <w:i/>
          <w:iCs/>
        </w:rPr>
        <w:t>Town of Lexington, MA, Bylaws</w:t>
      </w:r>
      <w:r w:rsidRPr="0025692F">
        <w:rPr>
          <w:rFonts w:cs="Arial"/>
        </w:rPr>
        <w:t>. https://ecode360.com/41461386</w:t>
      </w:r>
    </w:p>
    <w:p w14:paraId="41A01D72" w14:textId="77777777" w:rsidR="0025692F" w:rsidRPr="0025692F" w:rsidRDefault="0025692F" w:rsidP="0025692F">
      <w:pPr>
        <w:pStyle w:val="Bibliography"/>
        <w:rPr>
          <w:rFonts w:cs="Arial"/>
        </w:rPr>
      </w:pPr>
      <w:r w:rsidRPr="0025692F">
        <w:rPr>
          <w:rFonts w:cs="Arial"/>
        </w:rPr>
        <w:t xml:space="preserve">210. US EPA. (2023). </w:t>
      </w:r>
      <w:r w:rsidRPr="0025692F">
        <w:rPr>
          <w:rFonts w:cs="Arial"/>
          <w:i/>
          <w:iCs/>
        </w:rPr>
        <w:t>WaterSense at Work Section 1.2: Water Management Planning</w:t>
      </w:r>
      <w:r w:rsidRPr="0025692F">
        <w:rPr>
          <w:rFonts w:cs="Arial"/>
        </w:rPr>
        <w:t>. https://www.epa.gov/system/files/documents/2023-05/ws-commercial-watersense-at-work_Section_1.2_Planning.pdf</w:t>
      </w:r>
    </w:p>
    <w:p w14:paraId="3696794E" w14:textId="77777777" w:rsidR="0025692F" w:rsidRPr="0025692F" w:rsidRDefault="0025692F" w:rsidP="0025692F">
      <w:pPr>
        <w:pStyle w:val="Bibliography"/>
        <w:rPr>
          <w:rFonts w:cs="Arial"/>
        </w:rPr>
      </w:pPr>
      <w:r w:rsidRPr="0025692F">
        <w:rPr>
          <w:rFonts w:cs="Arial"/>
        </w:rPr>
        <w:t xml:space="preserve">211. US EPA. (2024, June 26). </w:t>
      </w:r>
      <w:r w:rsidRPr="0025692F">
        <w:rPr>
          <w:rFonts w:cs="Arial"/>
          <w:i/>
          <w:iCs/>
        </w:rPr>
        <w:t>WaterSense Webinars</w:t>
      </w:r>
      <w:r w:rsidRPr="0025692F">
        <w:rPr>
          <w:rFonts w:cs="Arial"/>
        </w:rPr>
        <w:t>. https://www.epa.gov/watersense/webinars</w:t>
      </w:r>
    </w:p>
    <w:p w14:paraId="45B86579" w14:textId="77777777" w:rsidR="0025692F" w:rsidRPr="0025692F" w:rsidRDefault="0025692F" w:rsidP="0025692F">
      <w:pPr>
        <w:pStyle w:val="Bibliography"/>
        <w:rPr>
          <w:rFonts w:cs="Arial"/>
        </w:rPr>
      </w:pPr>
      <w:r w:rsidRPr="0025692F">
        <w:rPr>
          <w:rFonts w:cs="Arial"/>
        </w:rPr>
        <w:t xml:space="preserve">212. US EPA. (2024, February 2). </w:t>
      </w:r>
      <w:r w:rsidRPr="0025692F">
        <w:rPr>
          <w:rFonts w:cs="Arial"/>
          <w:i/>
          <w:iCs/>
        </w:rPr>
        <w:t>WaterSense Tools for CI Facilities</w:t>
      </w:r>
      <w:r w:rsidRPr="0025692F">
        <w:rPr>
          <w:rFonts w:cs="Arial"/>
        </w:rPr>
        <w:t>. https://www.epa.gov/watersense/tools-ci-facilities</w:t>
      </w:r>
    </w:p>
    <w:p w14:paraId="4E19BF61" w14:textId="77777777" w:rsidR="0025692F" w:rsidRPr="0025692F" w:rsidRDefault="0025692F" w:rsidP="0025692F">
      <w:pPr>
        <w:pStyle w:val="Bibliography"/>
        <w:rPr>
          <w:rFonts w:cs="Arial"/>
        </w:rPr>
      </w:pPr>
      <w:r w:rsidRPr="0025692F">
        <w:rPr>
          <w:rFonts w:cs="Arial"/>
        </w:rPr>
        <w:t xml:space="preserve">213. Board of State Examiners of Plumbers and Gas Fitters. (2023, December 8). </w:t>
      </w:r>
      <w:r w:rsidRPr="0025692F">
        <w:rPr>
          <w:rFonts w:cs="Arial"/>
          <w:i/>
          <w:iCs/>
        </w:rPr>
        <w:t>248 CMR 10.00: Uniform State Plumbing Code</w:t>
      </w:r>
      <w:r w:rsidRPr="0025692F">
        <w:rPr>
          <w:rFonts w:cs="Arial"/>
        </w:rPr>
        <w:t>. https://www.mass.gov/regulations/248-CMR-1000-uniform-state-plumbing-code</w:t>
      </w:r>
    </w:p>
    <w:p w14:paraId="4CCFBFB5" w14:textId="77777777" w:rsidR="0025692F" w:rsidRPr="0025692F" w:rsidRDefault="0025692F" w:rsidP="0025692F">
      <w:pPr>
        <w:pStyle w:val="Bibliography"/>
        <w:rPr>
          <w:rFonts w:cs="Arial"/>
        </w:rPr>
      </w:pPr>
      <w:r w:rsidRPr="0025692F">
        <w:rPr>
          <w:rFonts w:cs="Arial"/>
        </w:rPr>
        <w:t xml:space="preserve">214. US EPA. (n.d.). </w:t>
      </w:r>
      <w:r w:rsidRPr="0025692F">
        <w:rPr>
          <w:rFonts w:cs="Arial"/>
          <w:i/>
          <w:iCs/>
        </w:rPr>
        <w:t>WaterSense Product Search</w:t>
      </w:r>
      <w:r w:rsidRPr="0025692F">
        <w:rPr>
          <w:rFonts w:cs="Arial"/>
        </w:rPr>
        <w:t>. Retrieved July 15, 2024, from https://www.epa.gov/watersense/product-search</w:t>
      </w:r>
    </w:p>
    <w:p w14:paraId="58FA69EE" w14:textId="77777777" w:rsidR="0025692F" w:rsidRPr="0025692F" w:rsidRDefault="0025692F" w:rsidP="0025692F">
      <w:pPr>
        <w:pStyle w:val="Bibliography"/>
        <w:rPr>
          <w:rFonts w:cs="Arial"/>
        </w:rPr>
      </w:pPr>
      <w:r w:rsidRPr="0025692F">
        <w:rPr>
          <w:rFonts w:cs="Arial"/>
        </w:rPr>
        <w:t xml:space="preserve">215. Massachusetts Department of Energy Resources. (2021, December 24). </w:t>
      </w:r>
      <w:r w:rsidRPr="0025692F">
        <w:rPr>
          <w:rFonts w:cs="Arial"/>
          <w:i/>
          <w:iCs/>
        </w:rPr>
        <w:t>225 CMR 9.00: Appliance energy-efficiency standards, testing and certification program</w:t>
      </w:r>
      <w:r w:rsidRPr="0025692F">
        <w:rPr>
          <w:rFonts w:cs="Arial"/>
        </w:rPr>
        <w:t>. https://www.mass.gov/regulations/225-CMR-900-appliance-energy-efficiency-standards-testing-and-certification-program</w:t>
      </w:r>
    </w:p>
    <w:p w14:paraId="19BEADE0" w14:textId="77777777" w:rsidR="0025692F" w:rsidRPr="0025692F" w:rsidRDefault="0025692F" w:rsidP="0025692F">
      <w:pPr>
        <w:pStyle w:val="Bibliography"/>
        <w:rPr>
          <w:rFonts w:cs="Arial"/>
        </w:rPr>
      </w:pPr>
      <w:r w:rsidRPr="0025692F">
        <w:rPr>
          <w:rFonts w:cs="Arial"/>
        </w:rPr>
        <w:t xml:space="preserve">216. </w:t>
      </w:r>
      <w:r w:rsidRPr="0025692F">
        <w:rPr>
          <w:rFonts w:cs="Arial"/>
          <w:i/>
          <w:iCs/>
        </w:rPr>
        <w:t>ENERGY STAR Product Finder</w:t>
      </w:r>
      <w:r w:rsidRPr="0025692F">
        <w:rPr>
          <w:rFonts w:cs="Arial"/>
        </w:rPr>
        <w:t>. (n.d.). Retrieved July 15, 2024, from https://www.energystar.gov/productfinder/</w:t>
      </w:r>
    </w:p>
    <w:p w14:paraId="432118C1" w14:textId="77777777" w:rsidR="0025692F" w:rsidRPr="0025692F" w:rsidRDefault="0025692F" w:rsidP="0025692F">
      <w:pPr>
        <w:pStyle w:val="Bibliography"/>
        <w:rPr>
          <w:rFonts w:cs="Arial"/>
        </w:rPr>
      </w:pPr>
      <w:r w:rsidRPr="0025692F">
        <w:rPr>
          <w:rFonts w:cs="Arial"/>
        </w:rPr>
        <w:t xml:space="preserve">217. U.S. Department of Energy. (2016, January 27). </w:t>
      </w:r>
      <w:r w:rsidRPr="0025692F">
        <w:rPr>
          <w:rFonts w:cs="Arial"/>
          <w:i/>
          <w:iCs/>
        </w:rPr>
        <w:t>CRF Title 10, Chapter II, Parts 429 and 431—Energy Conservation Program: Energy Conservation Standards for Commercial Prerinse Spray Valves</w:t>
      </w:r>
      <w:r w:rsidRPr="0025692F">
        <w:rPr>
          <w:rFonts w:cs="Arial"/>
        </w:rPr>
        <w:t>. https://www.regulations.gov/document/EERE-2014-BT-STD-0027-0050</w:t>
      </w:r>
    </w:p>
    <w:p w14:paraId="67BF8EA9" w14:textId="77777777" w:rsidR="0025692F" w:rsidRPr="0025692F" w:rsidRDefault="0025692F" w:rsidP="0025692F">
      <w:pPr>
        <w:pStyle w:val="Bibliography"/>
        <w:rPr>
          <w:rFonts w:cs="Arial"/>
        </w:rPr>
      </w:pPr>
      <w:r w:rsidRPr="0025692F">
        <w:rPr>
          <w:rFonts w:cs="Arial"/>
        </w:rPr>
        <w:t xml:space="preserve">218. US EPA. (2023). </w:t>
      </w:r>
      <w:r w:rsidRPr="0025692F">
        <w:rPr>
          <w:rFonts w:cs="Arial"/>
          <w:i/>
          <w:iCs/>
        </w:rPr>
        <w:t>WaterSense at Work Section 5.2: Irrigation</w:t>
      </w:r>
      <w:r w:rsidRPr="0025692F">
        <w:rPr>
          <w:rFonts w:cs="Arial"/>
        </w:rPr>
        <w:t>. https://www.epa.gov/system/files/documents/2023-11/ws-commercial-bmp-watersenseatwork_section5.2_irrigation.pdf</w:t>
      </w:r>
    </w:p>
    <w:p w14:paraId="3AD0CE79" w14:textId="77777777" w:rsidR="0025692F" w:rsidRPr="0025692F" w:rsidRDefault="0025692F" w:rsidP="0025692F">
      <w:pPr>
        <w:pStyle w:val="Bibliography"/>
        <w:rPr>
          <w:rFonts w:cs="Arial"/>
        </w:rPr>
      </w:pPr>
      <w:r w:rsidRPr="0025692F">
        <w:rPr>
          <w:rFonts w:cs="Arial"/>
        </w:rPr>
        <w:lastRenderedPageBreak/>
        <w:t xml:space="preserve">219. US EPA. (n.d.). </w:t>
      </w:r>
      <w:r w:rsidRPr="0025692F">
        <w:rPr>
          <w:rFonts w:cs="Arial"/>
          <w:i/>
          <w:iCs/>
        </w:rPr>
        <w:t>WaterSense Find a Pro</w:t>
      </w:r>
      <w:r w:rsidRPr="0025692F">
        <w:rPr>
          <w:rFonts w:cs="Arial"/>
        </w:rPr>
        <w:t>. Retrieved July 19, 2024, from https://www.epa.gov/watersense/find-pro</w:t>
      </w:r>
    </w:p>
    <w:p w14:paraId="778DD311" w14:textId="77777777" w:rsidR="0025692F" w:rsidRPr="0025692F" w:rsidRDefault="0025692F" w:rsidP="0025692F">
      <w:pPr>
        <w:pStyle w:val="Bibliography"/>
        <w:rPr>
          <w:rFonts w:cs="Arial"/>
        </w:rPr>
      </w:pPr>
      <w:r w:rsidRPr="0025692F">
        <w:rPr>
          <w:rFonts w:cs="Arial"/>
        </w:rPr>
        <w:t xml:space="preserve">220. American Society of Agricultural and Biological Engineers. (2016, September). </w:t>
      </w:r>
      <w:r w:rsidRPr="0025692F">
        <w:rPr>
          <w:rFonts w:cs="Arial"/>
          <w:i/>
          <w:iCs/>
        </w:rPr>
        <w:t>ANSI/ASABE Standard S626: Landscape Irrigation System Uniformity and Application Rate Testing</w:t>
      </w:r>
      <w:r w:rsidRPr="0025692F">
        <w:rPr>
          <w:rFonts w:cs="Arial"/>
        </w:rPr>
        <w:t>. https://doi.org/http://dx.doi.org/10.13031/s2000.2013</w:t>
      </w:r>
    </w:p>
    <w:p w14:paraId="16E72E96" w14:textId="77777777" w:rsidR="0025692F" w:rsidRPr="0025692F" w:rsidRDefault="0025692F" w:rsidP="0025692F">
      <w:pPr>
        <w:pStyle w:val="Bibliography"/>
        <w:rPr>
          <w:rFonts w:cs="Arial"/>
        </w:rPr>
      </w:pPr>
      <w:r w:rsidRPr="0025692F">
        <w:rPr>
          <w:rFonts w:cs="Arial"/>
        </w:rPr>
        <w:t xml:space="preserve">221. The 193rd Court of the Commonwealth of Massachusetts. (n.d.). </w:t>
      </w:r>
      <w:r w:rsidRPr="0025692F">
        <w:rPr>
          <w:rFonts w:cs="Arial"/>
          <w:i/>
          <w:iCs/>
        </w:rPr>
        <w:t>General Law—Part I, Title II, Chapter 21, Section 67</w:t>
      </w:r>
      <w:r w:rsidRPr="0025692F">
        <w:rPr>
          <w:rFonts w:cs="Arial"/>
        </w:rPr>
        <w:t>. Retrieved June 25, 2024, from https://malegislature.gov/Laws/GeneralLaws/PartI/TitleII/Chapter21/Section67</w:t>
      </w:r>
    </w:p>
    <w:p w14:paraId="3DF2EA43" w14:textId="77777777" w:rsidR="0025692F" w:rsidRPr="0025692F" w:rsidRDefault="0025692F" w:rsidP="0025692F">
      <w:pPr>
        <w:pStyle w:val="Bibliography"/>
        <w:rPr>
          <w:rFonts w:cs="Arial"/>
        </w:rPr>
      </w:pPr>
      <w:r w:rsidRPr="0025692F">
        <w:rPr>
          <w:rFonts w:cs="Arial"/>
        </w:rPr>
        <w:t xml:space="preserve">222. Massachusetts Department of Environmental Protection. (2023, January 20). </w:t>
      </w:r>
      <w:r w:rsidRPr="0025692F">
        <w:rPr>
          <w:rFonts w:cs="Arial"/>
          <w:i/>
          <w:iCs/>
        </w:rPr>
        <w:t>Guidance on Nonessential Outdoor Water Use, Amended Water Resources Management Program Regulations 310 CMR 36.00</w:t>
      </w:r>
      <w:r w:rsidRPr="0025692F">
        <w:rPr>
          <w:rFonts w:cs="Arial"/>
        </w:rPr>
        <w:t>. https://www.mass.gov/doc/guidance-on-nonessential-outdoor-water-use-for-wma-registrants/download</w:t>
      </w:r>
    </w:p>
    <w:p w14:paraId="2B11E7E7" w14:textId="77777777" w:rsidR="0025692F" w:rsidRPr="0025692F" w:rsidRDefault="0025692F" w:rsidP="0025692F">
      <w:pPr>
        <w:pStyle w:val="Bibliography"/>
        <w:rPr>
          <w:rFonts w:cs="Arial"/>
        </w:rPr>
      </w:pPr>
      <w:r w:rsidRPr="0025692F">
        <w:rPr>
          <w:rFonts w:cs="Arial"/>
        </w:rPr>
        <w:t xml:space="preserve">223. International Institute for Sustainable Laboratories and US EPA. (2022). </w:t>
      </w:r>
      <w:r w:rsidRPr="0025692F">
        <w:rPr>
          <w:rFonts w:cs="Arial"/>
          <w:i/>
          <w:iCs/>
        </w:rPr>
        <w:t>Best Practices Guide: Water Efficiency in Laboratories</w:t>
      </w:r>
      <w:r w:rsidRPr="0025692F">
        <w:rPr>
          <w:rFonts w:cs="Arial"/>
        </w:rPr>
        <w:t>. https://www.i2sl.org/_files/ugd/59662e_464c82ed60d94cca9003e531101f08af.pdf</w:t>
      </w:r>
    </w:p>
    <w:p w14:paraId="68FA6168" w14:textId="77777777" w:rsidR="0025692F" w:rsidRPr="0025692F" w:rsidRDefault="0025692F" w:rsidP="0025692F">
      <w:pPr>
        <w:pStyle w:val="Bibliography"/>
        <w:rPr>
          <w:rFonts w:cs="Arial"/>
        </w:rPr>
      </w:pPr>
      <w:r w:rsidRPr="0025692F">
        <w:rPr>
          <w:rFonts w:cs="Arial"/>
        </w:rPr>
        <w:t xml:space="preserve">224. Federal Energy Management Program. (n.d.). </w:t>
      </w:r>
      <w:r w:rsidRPr="0025692F">
        <w:rPr>
          <w:rFonts w:cs="Arial"/>
          <w:i/>
          <w:iCs/>
        </w:rPr>
        <w:t>Federal Energy Management Program Alternative Water Sources</w:t>
      </w:r>
      <w:r w:rsidRPr="0025692F">
        <w:rPr>
          <w:rFonts w:cs="Arial"/>
        </w:rPr>
        <w:t>. Retrieved July 21, 2024, from https://www.energy.gov/femp/alternative-water-sources</w:t>
      </w:r>
    </w:p>
    <w:p w14:paraId="6877C079" w14:textId="77777777" w:rsidR="0025692F" w:rsidRPr="0025692F" w:rsidRDefault="0025692F" w:rsidP="0025692F">
      <w:pPr>
        <w:pStyle w:val="Bibliography"/>
        <w:rPr>
          <w:rFonts w:cs="Arial"/>
        </w:rPr>
      </w:pPr>
      <w:r w:rsidRPr="0025692F">
        <w:rPr>
          <w:rFonts w:cs="Arial"/>
        </w:rPr>
        <w:t>225. Acts of 2021, Chapter 8: An Act Creating a Next-Generation Roadmap for Massachusetts Climate Policy (2021). https://malegislature.gov/Laws/SessionLaws/Acts/2021/Chapter8</w:t>
      </w:r>
    </w:p>
    <w:p w14:paraId="551FDF29" w14:textId="77777777" w:rsidR="0025692F" w:rsidRPr="0025692F" w:rsidRDefault="0025692F" w:rsidP="0025692F">
      <w:pPr>
        <w:pStyle w:val="Bibliography"/>
        <w:rPr>
          <w:rFonts w:cs="Arial"/>
        </w:rPr>
      </w:pPr>
      <w:r w:rsidRPr="0025692F">
        <w:rPr>
          <w:rFonts w:cs="Arial"/>
        </w:rPr>
        <w:t>226. Massachusetts Appliance Efficiency Standards Act, M.G.L. c. 25B §§ 3-10. https://malegislature.gov/Laws/GeneralLaws/PartI/TitleII/Chapter25B</w:t>
      </w:r>
    </w:p>
    <w:p w14:paraId="42C115BD" w14:textId="77777777" w:rsidR="0025692F" w:rsidRPr="0025692F" w:rsidRDefault="0025692F" w:rsidP="0025692F">
      <w:pPr>
        <w:pStyle w:val="Bibliography"/>
        <w:rPr>
          <w:rFonts w:cs="Arial"/>
        </w:rPr>
      </w:pPr>
      <w:r w:rsidRPr="0025692F">
        <w:rPr>
          <w:rFonts w:cs="Arial"/>
        </w:rPr>
        <w:t>227. System Interruption Devices Requirement for New Irrigation Systems, M.G.L. c. 21 § 67. https://malegislature.gov/Laws/GeneralLaws/PartI/TitleII/Chapter21/Section67</w:t>
      </w:r>
    </w:p>
    <w:p w14:paraId="046BD871" w14:textId="77777777" w:rsidR="0025692F" w:rsidRPr="0025692F" w:rsidRDefault="0025692F" w:rsidP="0025692F">
      <w:pPr>
        <w:pStyle w:val="Bibliography"/>
        <w:rPr>
          <w:rFonts w:cs="Arial"/>
        </w:rPr>
      </w:pPr>
      <w:r w:rsidRPr="0025692F">
        <w:rPr>
          <w:rFonts w:cs="Arial"/>
        </w:rPr>
        <w:t>228. The Water Management Act, M.G.L. c. 21G. https://malegislature.gov/Laws/GeneralLaws/PartI/TitleII/Chapter21G</w:t>
      </w:r>
    </w:p>
    <w:p w14:paraId="385B264B" w14:textId="77777777" w:rsidR="0025692F" w:rsidRPr="0025692F" w:rsidRDefault="0025692F" w:rsidP="0025692F">
      <w:pPr>
        <w:pStyle w:val="Bibliography"/>
        <w:rPr>
          <w:rFonts w:cs="Arial"/>
        </w:rPr>
      </w:pPr>
      <w:r w:rsidRPr="0025692F">
        <w:rPr>
          <w:rFonts w:cs="Arial"/>
        </w:rPr>
        <w:t>229. Energy Policy Act of 2005, Pub. L. No. 109–58 (2005). https://www.congress.gov/109/plaws/publ58/PLAW-109publ58.pdf</w:t>
      </w:r>
    </w:p>
    <w:p w14:paraId="1BD8CA6A" w14:textId="77777777" w:rsidR="0025692F" w:rsidRPr="0025692F" w:rsidRDefault="0025692F" w:rsidP="0025692F">
      <w:pPr>
        <w:pStyle w:val="Bibliography"/>
        <w:rPr>
          <w:rFonts w:cs="Arial"/>
        </w:rPr>
      </w:pPr>
      <w:r w:rsidRPr="0025692F">
        <w:rPr>
          <w:rFonts w:cs="Arial"/>
        </w:rPr>
        <w:t>230. Uniform State Plumbing Code, 248 CMR 10.00. https://www.mass.gov/regulations/248-CMR-1000-uniform-state-plumbing-code</w:t>
      </w:r>
    </w:p>
    <w:p w14:paraId="66D9FCB4" w14:textId="77777777" w:rsidR="0025692F" w:rsidRPr="0025692F" w:rsidRDefault="0025692F" w:rsidP="0025692F">
      <w:pPr>
        <w:pStyle w:val="Bibliography"/>
        <w:rPr>
          <w:rFonts w:cs="Arial"/>
        </w:rPr>
      </w:pPr>
      <w:r w:rsidRPr="0025692F">
        <w:rPr>
          <w:rFonts w:cs="Arial"/>
        </w:rPr>
        <w:t xml:space="preserve">231. Massachusetts Department of Environmental Protection. (2023, January 20). </w:t>
      </w:r>
      <w:r w:rsidRPr="0025692F">
        <w:rPr>
          <w:rFonts w:cs="Arial"/>
          <w:i/>
          <w:iCs/>
        </w:rPr>
        <w:t>310 CMR 36.00: The Water Management Act Regulations</w:t>
      </w:r>
      <w:r w:rsidRPr="0025692F">
        <w:rPr>
          <w:rFonts w:cs="Arial"/>
        </w:rPr>
        <w:t>. https://www.mass.gov/doc/310-cmr-3600-the-water-management-act-regulations</w:t>
      </w:r>
    </w:p>
    <w:p w14:paraId="53C06812" w14:textId="77777777" w:rsidR="0025692F" w:rsidRPr="0025692F" w:rsidRDefault="0025692F" w:rsidP="0025692F">
      <w:pPr>
        <w:pStyle w:val="Bibliography"/>
        <w:rPr>
          <w:rFonts w:cs="Arial"/>
        </w:rPr>
      </w:pPr>
      <w:r w:rsidRPr="0025692F">
        <w:rPr>
          <w:rFonts w:cs="Arial"/>
        </w:rPr>
        <w:t xml:space="preserve">232. U.S. Department of Energy. (2011). </w:t>
      </w:r>
      <w:r w:rsidRPr="0025692F">
        <w:rPr>
          <w:rFonts w:cs="Arial"/>
          <w:i/>
          <w:iCs/>
        </w:rPr>
        <w:t>CFR Title 10, Chapter II, Part 430—Energy Conservation Program for Consumer Products</w:t>
      </w:r>
      <w:r w:rsidRPr="0025692F">
        <w:rPr>
          <w:rFonts w:cs="Arial"/>
        </w:rPr>
        <w:t>. https://www.gpo.gov/fdsys/pkg/CFR-2011-title10-vol3/pdf/CFR-2011-title10-vol3-part430.pdf</w:t>
      </w:r>
    </w:p>
    <w:p w14:paraId="17655CD9" w14:textId="77777777" w:rsidR="0025692F" w:rsidRPr="0025692F" w:rsidRDefault="0025692F" w:rsidP="0025692F">
      <w:pPr>
        <w:pStyle w:val="Bibliography"/>
        <w:rPr>
          <w:rFonts w:cs="Arial"/>
        </w:rPr>
      </w:pPr>
      <w:r w:rsidRPr="0025692F">
        <w:rPr>
          <w:rFonts w:cs="Arial"/>
        </w:rPr>
        <w:t xml:space="preserve">233. U.S. Department of Energy. (2016). </w:t>
      </w:r>
      <w:r w:rsidRPr="0025692F">
        <w:rPr>
          <w:rFonts w:cs="Arial"/>
          <w:i/>
          <w:iCs/>
        </w:rPr>
        <w:t>CFR Title 10, Chapter II, Part 431—Energy Efficiency Program for Certain Commercial and Industrial Equipment</w:t>
      </w:r>
      <w:r w:rsidRPr="0025692F">
        <w:rPr>
          <w:rFonts w:cs="Arial"/>
        </w:rPr>
        <w:t>. https://www.gpo.gov/fdsys/pkg/CFR-2016-title10-vol3/pdf/CFR-2016-title10-vol3-part431.pdf</w:t>
      </w:r>
    </w:p>
    <w:p w14:paraId="26A7B04C" w14:textId="77777777" w:rsidR="0025692F" w:rsidRPr="0025692F" w:rsidRDefault="0025692F" w:rsidP="0025692F">
      <w:pPr>
        <w:pStyle w:val="Bibliography"/>
        <w:rPr>
          <w:rFonts w:cs="Arial"/>
        </w:rPr>
      </w:pPr>
      <w:r w:rsidRPr="0025692F">
        <w:rPr>
          <w:rFonts w:cs="Arial"/>
        </w:rPr>
        <w:t xml:space="preserve">234. </w:t>
      </w:r>
      <w:r w:rsidRPr="0025692F">
        <w:rPr>
          <w:rFonts w:cs="Arial"/>
          <w:i/>
          <w:iCs/>
        </w:rPr>
        <w:t>Massachusetts Appliance Energy and Water Efficiency Standards</w:t>
      </w:r>
      <w:r w:rsidRPr="0025692F">
        <w:rPr>
          <w:rFonts w:cs="Arial"/>
        </w:rPr>
        <w:t>. (n.d.). Retrieved December 4, 2024, from https://www.mass.gov/info-details/appliance-energy-and-water-efficiency-standards</w:t>
      </w:r>
    </w:p>
    <w:p w14:paraId="0A2327AF" w14:textId="77777777" w:rsidR="0025692F" w:rsidRPr="0025692F" w:rsidRDefault="0025692F" w:rsidP="0025692F">
      <w:pPr>
        <w:pStyle w:val="Bibliography"/>
        <w:rPr>
          <w:rFonts w:cs="Arial"/>
        </w:rPr>
      </w:pPr>
      <w:r w:rsidRPr="0025692F">
        <w:rPr>
          <w:rFonts w:cs="Arial"/>
        </w:rPr>
        <w:t xml:space="preserve">235. World Wildlife Fund. (n.d.). </w:t>
      </w:r>
      <w:r w:rsidRPr="0025692F">
        <w:rPr>
          <w:rFonts w:cs="Arial"/>
          <w:i/>
          <w:iCs/>
        </w:rPr>
        <w:t>Food waste warriors: A deep dive into food waste in US schools</w:t>
      </w:r>
      <w:r w:rsidRPr="0025692F">
        <w:rPr>
          <w:rFonts w:cs="Arial"/>
        </w:rPr>
        <w:t>. World Wildlife Fund. Retrieved June 21, 2024, from https://www.worldwildlife.org/stories/food-waste-warriors</w:t>
      </w:r>
    </w:p>
    <w:p w14:paraId="01B61069" w14:textId="77777777" w:rsidR="0025692F" w:rsidRPr="0025692F" w:rsidRDefault="0025692F" w:rsidP="0025692F">
      <w:pPr>
        <w:pStyle w:val="Bibliography"/>
        <w:rPr>
          <w:rFonts w:cs="Arial"/>
        </w:rPr>
      </w:pPr>
      <w:r w:rsidRPr="0025692F">
        <w:rPr>
          <w:rFonts w:cs="Arial"/>
        </w:rPr>
        <w:t xml:space="preserve">236. MA DESE. (n.d.). </w:t>
      </w:r>
      <w:r w:rsidRPr="0025692F">
        <w:rPr>
          <w:rFonts w:cs="Arial"/>
          <w:i/>
          <w:iCs/>
        </w:rPr>
        <w:t>School Meal Programs Questions and Answers</w:t>
      </w:r>
      <w:r w:rsidRPr="0025692F">
        <w:rPr>
          <w:rFonts w:cs="Arial"/>
        </w:rPr>
        <w:t>.</w:t>
      </w:r>
    </w:p>
    <w:p w14:paraId="40A04996" w14:textId="77777777" w:rsidR="0025692F" w:rsidRPr="0025692F" w:rsidRDefault="0025692F" w:rsidP="0025692F">
      <w:pPr>
        <w:pStyle w:val="Bibliography"/>
        <w:rPr>
          <w:rFonts w:cs="Arial"/>
        </w:rPr>
      </w:pPr>
      <w:r w:rsidRPr="0025692F">
        <w:rPr>
          <w:rFonts w:cs="Arial"/>
        </w:rPr>
        <w:t xml:space="preserve">237. Center for Science in the Public Interest. (2023). </w:t>
      </w:r>
      <w:r w:rsidRPr="0025692F">
        <w:rPr>
          <w:rFonts w:cs="Arial"/>
          <w:i/>
          <w:iCs/>
        </w:rPr>
        <w:t>Cut Waste, Not Nutrition, in School Meals</w:t>
      </w:r>
      <w:r w:rsidRPr="0025692F">
        <w:rPr>
          <w:rFonts w:cs="Arial"/>
        </w:rPr>
        <w:t>.</w:t>
      </w:r>
    </w:p>
    <w:p w14:paraId="6033D73C" w14:textId="77777777" w:rsidR="0025692F" w:rsidRPr="0025692F" w:rsidRDefault="0025692F" w:rsidP="0025692F">
      <w:pPr>
        <w:pStyle w:val="Bibliography"/>
        <w:rPr>
          <w:rFonts w:cs="Arial"/>
        </w:rPr>
      </w:pPr>
      <w:r w:rsidRPr="0025692F">
        <w:rPr>
          <w:rFonts w:cs="Arial"/>
        </w:rPr>
        <w:t xml:space="preserve">238. USDA. (2015). </w:t>
      </w:r>
      <w:r w:rsidRPr="0025692F">
        <w:rPr>
          <w:rFonts w:cs="Arial"/>
          <w:i/>
          <w:iCs/>
        </w:rPr>
        <w:t>Reducing Food Waste at K-12 Schools</w:t>
      </w:r>
      <w:r w:rsidRPr="0025692F">
        <w:rPr>
          <w:rFonts w:cs="Arial"/>
        </w:rPr>
        <w:t>. https://www.usda.gov/foodlossandwaste/schools</w:t>
      </w:r>
    </w:p>
    <w:p w14:paraId="3FD4FE2D" w14:textId="77777777" w:rsidR="0025692F" w:rsidRPr="0025692F" w:rsidRDefault="0025692F" w:rsidP="0025692F">
      <w:pPr>
        <w:pStyle w:val="Bibliography"/>
        <w:rPr>
          <w:rFonts w:cs="Arial"/>
        </w:rPr>
      </w:pPr>
      <w:r w:rsidRPr="0025692F">
        <w:rPr>
          <w:rFonts w:cs="Arial"/>
        </w:rPr>
        <w:lastRenderedPageBreak/>
        <w:t xml:space="preserve">239. USDA. (2015, July 21). </w:t>
      </w:r>
      <w:r w:rsidRPr="0025692F">
        <w:rPr>
          <w:rFonts w:cs="Arial"/>
          <w:i/>
          <w:iCs/>
        </w:rPr>
        <w:t>Updated Offer vs Serve Guidance for the NSLP and SBP Beginning SY2015-16 | Food and Nutrition Service</w:t>
      </w:r>
      <w:r w:rsidRPr="0025692F">
        <w:rPr>
          <w:rFonts w:cs="Arial"/>
        </w:rPr>
        <w:t>. https://www.fns.usda.gov/cn/updated-offer-vs-serve-guidance-nslp-and-sbp-beginning-sy2015-16</w:t>
      </w:r>
    </w:p>
    <w:p w14:paraId="6927D4F8" w14:textId="77777777" w:rsidR="0025692F" w:rsidRPr="0025692F" w:rsidRDefault="0025692F" w:rsidP="0025692F">
      <w:pPr>
        <w:pStyle w:val="Bibliography"/>
        <w:rPr>
          <w:rFonts w:cs="Arial"/>
        </w:rPr>
      </w:pPr>
      <w:r w:rsidRPr="0025692F">
        <w:rPr>
          <w:rFonts w:cs="Arial"/>
        </w:rPr>
        <w:t xml:space="preserve">240. USDA. (2016). </w:t>
      </w:r>
      <w:r w:rsidRPr="0025692F">
        <w:rPr>
          <w:rFonts w:cs="Arial"/>
          <w:i/>
          <w:iCs/>
        </w:rPr>
        <w:t>What You Can Do To Help Prevent Wasted Food</w:t>
      </w:r>
      <w:r w:rsidRPr="0025692F">
        <w:rPr>
          <w:rFonts w:cs="Arial"/>
        </w:rPr>
        <w:t>.</w:t>
      </w:r>
    </w:p>
    <w:p w14:paraId="38221904" w14:textId="77777777" w:rsidR="0025692F" w:rsidRPr="0025692F" w:rsidRDefault="0025692F" w:rsidP="0025692F">
      <w:pPr>
        <w:pStyle w:val="Bibliography"/>
        <w:rPr>
          <w:rFonts w:cs="Arial"/>
        </w:rPr>
      </w:pPr>
      <w:r w:rsidRPr="0025692F">
        <w:rPr>
          <w:rFonts w:cs="Arial"/>
        </w:rPr>
        <w:t xml:space="preserve">241. Calvert, H. G., Ohri-Vachaspati, P., McQuilkin, M., Boedeker, P., &amp; Turner, L. (2021). Prevalence of Evidence-Based School Meal Practices and Associations with Reported Food Waste across a National Sample of U.S. Elementary Schools. </w:t>
      </w:r>
      <w:r w:rsidRPr="0025692F">
        <w:rPr>
          <w:rFonts w:cs="Arial"/>
          <w:i/>
          <w:iCs/>
        </w:rPr>
        <w:t>International Journal of Environmental Research and Public Health</w:t>
      </w:r>
      <w:r w:rsidRPr="0025692F">
        <w:rPr>
          <w:rFonts w:cs="Arial"/>
        </w:rPr>
        <w:t xml:space="preserve">, </w:t>
      </w:r>
      <w:r w:rsidRPr="0025692F">
        <w:rPr>
          <w:rFonts w:cs="Arial"/>
          <w:i/>
          <w:iCs/>
        </w:rPr>
        <w:t>18</w:t>
      </w:r>
      <w:r w:rsidRPr="0025692F">
        <w:rPr>
          <w:rFonts w:cs="Arial"/>
        </w:rPr>
        <w:t>(16), 8558. https://doi.org/10.3390/ijerph18168558</w:t>
      </w:r>
    </w:p>
    <w:p w14:paraId="0F269003" w14:textId="77777777" w:rsidR="0025692F" w:rsidRPr="0025692F" w:rsidRDefault="0025692F" w:rsidP="0025692F">
      <w:pPr>
        <w:pStyle w:val="Bibliography"/>
        <w:rPr>
          <w:rFonts w:cs="Arial"/>
        </w:rPr>
      </w:pPr>
      <w:r w:rsidRPr="0025692F">
        <w:rPr>
          <w:rFonts w:cs="Arial"/>
        </w:rPr>
        <w:t xml:space="preserve">242. Cohen, J. F. W., Hecht, A. A., McLoughlin, G. M., Turner, L., &amp; Schwartz, M. B. (2021). Universal School Meals and Associations with Student Participation, Attendance, Academic Performance, Diet Quality, Food Security, and Body Mass Index: A Systematic Review. </w:t>
      </w:r>
      <w:r w:rsidRPr="0025692F">
        <w:rPr>
          <w:rFonts w:cs="Arial"/>
          <w:i/>
          <w:iCs/>
        </w:rPr>
        <w:t>Nutrients</w:t>
      </w:r>
      <w:r w:rsidRPr="0025692F">
        <w:rPr>
          <w:rFonts w:cs="Arial"/>
        </w:rPr>
        <w:t xml:space="preserve">, </w:t>
      </w:r>
      <w:r w:rsidRPr="0025692F">
        <w:rPr>
          <w:rFonts w:cs="Arial"/>
          <w:i/>
          <w:iCs/>
        </w:rPr>
        <w:t>13</w:t>
      </w:r>
      <w:r w:rsidRPr="0025692F">
        <w:rPr>
          <w:rFonts w:cs="Arial"/>
        </w:rPr>
        <w:t>(3), 911. https://doi.org/10.3390/nu13030911</w:t>
      </w:r>
    </w:p>
    <w:p w14:paraId="556F8999" w14:textId="77777777" w:rsidR="0025692F" w:rsidRPr="0025692F" w:rsidRDefault="0025692F" w:rsidP="0025692F">
      <w:pPr>
        <w:pStyle w:val="Bibliography"/>
        <w:rPr>
          <w:rFonts w:cs="Arial"/>
        </w:rPr>
      </w:pPr>
      <w:r w:rsidRPr="0025692F">
        <w:rPr>
          <w:rFonts w:cs="Arial"/>
        </w:rPr>
        <w:t xml:space="preserve">243. CDC. (2022, July 7). </w:t>
      </w:r>
      <w:r w:rsidRPr="0025692F">
        <w:rPr>
          <w:rFonts w:cs="Arial"/>
          <w:i/>
          <w:iCs/>
        </w:rPr>
        <w:t>Considering Cultural Food Preferences in Food Service</w:t>
      </w:r>
      <w:r w:rsidRPr="0025692F">
        <w:rPr>
          <w:rFonts w:cs="Arial"/>
        </w:rPr>
        <w:t>. Centers for Disease Control and Prevention. https://www.cdc.gov/nutrition/food-service-guidelines/strategize-and-act/cultural-food-preferences.html</w:t>
      </w:r>
    </w:p>
    <w:p w14:paraId="32FE8980" w14:textId="77777777" w:rsidR="0025692F" w:rsidRPr="0025692F" w:rsidRDefault="0025692F" w:rsidP="0025692F">
      <w:pPr>
        <w:pStyle w:val="Bibliography"/>
        <w:rPr>
          <w:rFonts w:cs="Arial"/>
        </w:rPr>
      </w:pPr>
      <w:r w:rsidRPr="0025692F">
        <w:rPr>
          <w:rFonts w:cs="Arial"/>
        </w:rPr>
        <w:t xml:space="preserve">244. Cohen, J. F. W., Jahn, J. L., Richardson, S., Cluggish, S. A., Parker, E., &amp; Rimm, E. B. (2016). The Amount of Time to Eat Lunch is Associated with Children’s Selection and Consumption of School Meal Entrée, Fruits, Vegetable, and Milk. </w:t>
      </w:r>
      <w:r w:rsidRPr="0025692F">
        <w:rPr>
          <w:rFonts w:cs="Arial"/>
          <w:i/>
          <w:iCs/>
        </w:rPr>
        <w:t>Journal of the Academy of Nutrition and Dietetics</w:t>
      </w:r>
      <w:r w:rsidRPr="0025692F">
        <w:rPr>
          <w:rFonts w:cs="Arial"/>
        </w:rPr>
        <w:t xml:space="preserve">, </w:t>
      </w:r>
      <w:r w:rsidRPr="0025692F">
        <w:rPr>
          <w:rFonts w:cs="Arial"/>
          <w:i/>
          <w:iCs/>
        </w:rPr>
        <w:t>116</w:t>
      </w:r>
      <w:r w:rsidRPr="0025692F">
        <w:rPr>
          <w:rFonts w:cs="Arial"/>
        </w:rPr>
        <w:t>(1), 123–128. https://doi.org/10.1016/j.jand.2015.07.019</w:t>
      </w:r>
    </w:p>
    <w:p w14:paraId="69EDC1F3" w14:textId="77777777" w:rsidR="0025692F" w:rsidRPr="0025692F" w:rsidRDefault="0025692F" w:rsidP="0025692F">
      <w:pPr>
        <w:pStyle w:val="Bibliography"/>
        <w:rPr>
          <w:rFonts w:cs="Arial"/>
        </w:rPr>
      </w:pPr>
      <w:r w:rsidRPr="0025692F">
        <w:rPr>
          <w:rFonts w:cs="Arial"/>
        </w:rPr>
        <w:t xml:space="preserve">245. Chapman, L. E., Cohen, J., Canterberry, M., &amp; Carton, T. W. (2017). Factors Associated with School Lunch Consumption: Reverse Recess and School “Brunch.” </w:t>
      </w:r>
      <w:r w:rsidRPr="0025692F">
        <w:rPr>
          <w:rFonts w:cs="Arial"/>
          <w:i/>
          <w:iCs/>
        </w:rPr>
        <w:t>Journal of the Academy of Nutrition and Dietetics</w:t>
      </w:r>
      <w:r w:rsidRPr="0025692F">
        <w:rPr>
          <w:rFonts w:cs="Arial"/>
        </w:rPr>
        <w:t xml:space="preserve">, </w:t>
      </w:r>
      <w:r w:rsidRPr="0025692F">
        <w:rPr>
          <w:rFonts w:cs="Arial"/>
          <w:i/>
          <w:iCs/>
        </w:rPr>
        <w:t>117</w:t>
      </w:r>
      <w:r w:rsidRPr="0025692F">
        <w:rPr>
          <w:rFonts w:cs="Arial"/>
        </w:rPr>
        <w:t>(9), 1413–1418. https://doi.org/10.1016/j.jand.2017.04.016</w:t>
      </w:r>
    </w:p>
    <w:p w14:paraId="613667EF" w14:textId="77777777" w:rsidR="0025692F" w:rsidRPr="0025692F" w:rsidRDefault="0025692F" w:rsidP="0025692F">
      <w:pPr>
        <w:pStyle w:val="Bibliography"/>
        <w:rPr>
          <w:rFonts w:cs="Arial"/>
        </w:rPr>
      </w:pPr>
      <w:r w:rsidRPr="0025692F">
        <w:rPr>
          <w:rFonts w:cs="Arial"/>
        </w:rPr>
        <w:t xml:space="preserve">246. Price, J., &amp; Just, D. R. (2015). Lunch, recess and nutrition: Responding to time incentives in the cafeteria. </w:t>
      </w:r>
      <w:r w:rsidRPr="0025692F">
        <w:rPr>
          <w:rFonts w:cs="Arial"/>
          <w:i/>
          <w:iCs/>
        </w:rPr>
        <w:t>Preventive Medicine</w:t>
      </w:r>
      <w:r w:rsidRPr="0025692F">
        <w:rPr>
          <w:rFonts w:cs="Arial"/>
        </w:rPr>
        <w:t xml:space="preserve">, </w:t>
      </w:r>
      <w:r w:rsidRPr="0025692F">
        <w:rPr>
          <w:rFonts w:cs="Arial"/>
          <w:i/>
          <w:iCs/>
        </w:rPr>
        <w:t>71</w:t>
      </w:r>
      <w:r w:rsidRPr="0025692F">
        <w:rPr>
          <w:rFonts w:cs="Arial"/>
        </w:rPr>
        <w:t>, 27–30. https://doi.org/10.1016/j.ypmed.2014.11.016</w:t>
      </w:r>
    </w:p>
    <w:p w14:paraId="7F3E21CC" w14:textId="77777777" w:rsidR="0025692F" w:rsidRPr="0025692F" w:rsidRDefault="0025692F" w:rsidP="0025692F">
      <w:pPr>
        <w:pStyle w:val="Bibliography"/>
        <w:rPr>
          <w:rFonts w:cs="Arial"/>
        </w:rPr>
      </w:pPr>
      <w:r w:rsidRPr="0025692F">
        <w:rPr>
          <w:rFonts w:cs="Arial"/>
        </w:rPr>
        <w:t xml:space="preserve">247. MassDEP. (n.d.). </w:t>
      </w:r>
      <w:r w:rsidRPr="0025692F">
        <w:rPr>
          <w:rFonts w:cs="Arial"/>
          <w:i/>
          <w:iCs/>
        </w:rPr>
        <w:t>Green SWoRD - School Waste Reduction and Diversion Working Group—Reusable Food Serviceware</w:t>
      </w:r>
      <w:r w:rsidRPr="0025692F">
        <w:rPr>
          <w:rFonts w:cs="Arial"/>
        </w:rPr>
        <w:t>. Retrieved June 17, 2024, from https://sites.google.com/view/ma-green-sword-k-12-schools/reusable-food-serviceware</w:t>
      </w:r>
    </w:p>
    <w:p w14:paraId="0DA3977B" w14:textId="77777777" w:rsidR="0025692F" w:rsidRPr="0025692F" w:rsidRDefault="0025692F" w:rsidP="0025692F">
      <w:pPr>
        <w:pStyle w:val="Bibliography"/>
        <w:rPr>
          <w:rFonts w:cs="Arial"/>
        </w:rPr>
      </w:pPr>
      <w:r w:rsidRPr="0025692F">
        <w:rPr>
          <w:rFonts w:cs="Arial"/>
        </w:rPr>
        <w:t xml:space="preserve">248. King County. (2021). </w:t>
      </w:r>
      <w:r w:rsidRPr="0025692F">
        <w:rPr>
          <w:rFonts w:cs="Arial"/>
          <w:i/>
          <w:iCs/>
        </w:rPr>
        <w:t>Analysis of Milk Dispensers and Milk Cartons for Auburn School District</w:t>
      </w:r>
      <w:r w:rsidRPr="0025692F">
        <w:rPr>
          <w:rFonts w:cs="Arial"/>
        </w:rPr>
        <w:t>.</w:t>
      </w:r>
    </w:p>
    <w:p w14:paraId="57F713A3" w14:textId="77777777" w:rsidR="0025692F" w:rsidRPr="0025692F" w:rsidRDefault="0025692F" w:rsidP="0025692F">
      <w:pPr>
        <w:pStyle w:val="Bibliography"/>
        <w:rPr>
          <w:rFonts w:cs="Arial"/>
        </w:rPr>
      </w:pPr>
      <w:r w:rsidRPr="0025692F">
        <w:rPr>
          <w:rFonts w:cs="Arial"/>
        </w:rPr>
        <w:t xml:space="preserve">249. USDA. (2023). </w:t>
      </w:r>
      <w:r w:rsidRPr="0025692F">
        <w:rPr>
          <w:rFonts w:cs="Arial"/>
          <w:i/>
          <w:iCs/>
        </w:rPr>
        <w:t>Clarification of Allowable Flexibilities for Child Nutrition Programs Experiencing Milk Supply Shortages</w:t>
      </w:r>
      <w:r w:rsidRPr="0025692F">
        <w:rPr>
          <w:rFonts w:cs="Arial"/>
        </w:rPr>
        <w:t>.</w:t>
      </w:r>
    </w:p>
    <w:p w14:paraId="3CB938C5" w14:textId="77777777" w:rsidR="0025692F" w:rsidRPr="0025692F" w:rsidRDefault="0025692F" w:rsidP="0025692F">
      <w:pPr>
        <w:pStyle w:val="Bibliography"/>
        <w:rPr>
          <w:rFonts w:cs="Arial"/>
        </w:rPr>
      </w:pPr>
      <w:r w:rsidRPr="0025692F">
        <w:rPr>
          <w:rFonts w:cs="Arial"/>
        </w:rPr>
        <w:t xml:space="preserve">250. Merod, A. (2023, November 8). </w:t>
      </w:r>
      <w:r w:rsidRPr="0025692F">
        <w:rPr>
          <w:rFonts w:cs="Arial"/>
          <w:i/>
          <w:iCs/>
        </w:rPr>
        <w:t>Milk carton shortage spills into schools</w:t>
      </w:r>
      <w:r w:rsidRPr="0025692F">
        <w:rPr>
          <w:rFonts w:cs="Arial"/>
        </w:rPr>
        <w:t>. Waste Dive. https://www.k12dive.com/news/milk-carton-shortage-schools/699137/</w:t>
      </w:r>
    </w:p>
    <w:p w14:paraId="28C3AE44" w14:textId="77777777" w:rsidR="0025692F" w:rsidRPr="0025692F" w:rsidRDefault="0025692F" w:rsidP="0025692F">
      <w:pPr>
        <w:pStyle w:val="Bibliography"/>
        <w:rPr>
          <w:rFonts w:cs="Arial"/>
        </w:rPr>
      </w:pPr>
      <w:r w:rsidRPr="0025692F">
        <w:rPr>
          <w:rFonts w:cs="Arial"/>
        </w:rPr>
        <w:t xml:space="preserve">251. King County. (2024). </w:t>
      </w:r>
      <w:r w:rsidRPr="0025692F">
        <w:rPr>
          <w:rFonts w:cs="Arial"/>
          <w:i/>
          <w:iCs/>
        </w:rPr>
        <w:t>Reducing food waste in schools—King County, Washington</w:t>
      </w:r>
      <w:r w:rsidRPr="0025692F">
        <w:rPr>
          <w:rFonts w:cs="Arial"/>
        </w:rPr>
        <w:t>. https://www.kingcounty.gov/en/dept/dnrp/waste-services/garbage-recycling-compost/solid-waste-programs/green-schools/program-levels/level-one/food-waste</w:t>
      </w:r>
    </w:p>
    <w:p w14:paraId="7601323A" w14:textId="77777777" w:rsidR="0025692F" w:rsidRPr="0025692F" w:rsidRDefault="0025692F" w:rsidP="0025692F">
      <w:pPr>
        <w:pStyle w:val="Bibliography"/>
        <w:rPr>
          <w:rFonts w:cs="Arial"/>
        </w:rPr>
      </w:pPr>
      <w:r w:rsidRPr="0025692F">
        <w:rPr>
          <w:rFonts w:cs="Arial"/>
        </w:rPr>
        <w:t xml:space="preserve">252. Duke University. (2015, October 27). </w:t>
      </w:r>
      <w:r w:rsidRPr="0025692F">
        <w:rPr>
          <w:rFonts w:cs="Arial"/>
          <w:i/>
          <w:iCs/>
        </w:rPr>
        <w:t>Campus Water Stations Save 400,000 Plastic Bottles | Duke Today</w:t>
      </w:r>
      <w:r w:rsidRPr="0025692F">
        <w:rPr>
          <w:rFonts w:cs="Arial"/>
        </w:rPr>
        <w:t>. https://today.duke.edu/2015/10/hydrationstations</w:t>
      </w:r>
    </w:p>
    <w:p w14:paraId="26F0DEDF" w14:textId="77777777" w:rsidR="0025692F" w:rsidRPr="0025692F" w:rsidRDefault="0025692F" w:rsidP="0025692F">
      <w:pPr>
        <w:pStyle w:val="Bibliography"/>
        <w:rPr>
          <w:rFonts w:cs="Arial"/>
        </w:rPr>
      </w:pPr>
      <w:r w:rsidRPr="0025692F">
        <w:rPr>
          <w:rFonts w:cs="Arial"/>
        </w:rPr>
        <w:t xml:space="preserve">253. USDA. (2016). </w:t>
      </w:r>
      <w:r w:rsidRPr="0025692F">
        <w:rPr>
          <w:rFonts w:cs="Arial"/>
          <w:i/>
          <w:iCs/>
        </w:rPr>
        <w:t>Share Table Guidelines</w:t>
      </w:r>
      <w:r w:rsidRPr="0025692F">
        <w:rPr>
          <w:rFonts w:cs="Arial"/>
        </w:rPr>
        <w:t>. https://fns-prod.azureedge.us/sites/default/files/cn/SP41_CACFP13_SFSP15_2016os.pdf</w:t>
      </w:r>
    </w:p>
    <w:p w14:paraId="01A2D7F9" w14:textId="77777777" w:rsidR="0025692F" w:rsidRPr="0025692F" w:rsidRDefault="0025692F" w:rsidP="0025692F">
      <w:pPr>
        <w:pStyle w:val="Bibliography"/>
        <w:rPr>
          <w:rFonts w:cs="Arial"/>
        </w:rPr>
      </w:pPr>
      <w:r w:rsidRPr="0025692F">
        <w:rPr>
          <w:rFonts w:cs="Arial"/>
        </w:rPr>
        <w:t xml:space="preserve">254. White, K., Habib, R., &amp; Hardisty, D. J. (2019). How to SHIFT Consumer Behaviors to be More Sustainable: A Literature Review and Guiding Framework. </w:t>
      </w:r>
      <w:r w:rsidRPr="0025692F">
        <w:rPr>
          <w:rFonts w:cs="Arial"/>
          <w:i/>
          <w:iCs/>
        </w:rPr>
        <w:t>Journal of Marketing</w:t>
      </w:r>
      <w:r w:rsidRPr="0025692F">
        <w:rPr>
          <w:rFonts w:cs="Arial"/>
        </w:rPr>
        <w:t xml:space="preserve">, </w:t>
      </w:r>
      <w:r w:rsidRPr="0025692F">
        <w:rPr>
          <w:rFonts w:cs="Arial"/>
          <w:i/>
          <w:iCs/>
        </w:rPr>
        <w:t>83</w:t>
      </w:r>
      <w:r w:rsidRPr="0025692F">
        <w:rPr>
          <w:rFonts w:cs="Arial"/>
        </w:rPr>
        <w:t>(3), 22–49. https://doi.org/10.1177/0022242919825649</w:t>
      </w:r>
    </w:p>
    <w:p w14:paraId="5F441F75" w14:textId="77777777" w:rsidR="0025692F" w:rsidRPr="0025692F" w:rsidRDefault="0025692F" w:rsidP="0025692F">
      <w:pPr>
        <w:pStyle w:val="Bibliography"/>
        <w:rPr>
          <w:rFonts w:cs="Arial"/>
        </w:rPr>
      </w:pPr>
      <w:r w:rsidRPr="0025692F">
        <w:rPr>
          <w:rFonts w:cs="Arial"/>
        </w:rPr>
        <w:t xml:space="preserve">255. Geller, E. S. (n.d.). Encouraging Pro-Environmental Behaviour with Rewards and Penalties. </w:t>
      </w:r>
      <w:r w:rsidRPr="0025692F">
        <w:rPr>
          <w:rFonts w:cs="Arial"/>
          <w:i/>
          <w:iCs/>
        </w:rPr>
        <w:t>Environmental Psychology</w:t>
      </w:r>
      <w:r w:rsidRPr="0025692F">
        <w:rPr>
          <w:rFonts w:cs="Arial"/>
        </w:rPr>
        <w:t xml:space="preserve">. Retrieved June 18, 2024, from </w:t>
      </w:r>
      <w:r w:rsidRPr="0025692F">
        <w:rPr>
          <w:rFonts w:cs="Arial"/>
        </w:rPr>
        <w:lastRenderedPageBreak/>
        <w:t>https://www.academia.edu/69074765/Encouraging_Pro_Environmental_Behaviour_with_Rewards_and_Penalties</w:t>
      </w:r>
    </w:p>
    <w:p w14:paraId="5377A797" w14:textId="77777777" w:rsidR="0025692F" w:rsidRPr="0025692F" w:rsidRDefault="0025692F" w:rsidP="0025692F">
      <w:pPr>
        <w:pStyle w:val="Bibliography"/>
        <w:rPr>
          <w:rFonts w:cs="Arial"/>
        </w:rPr>
      </w:pPr>
      <w:r w:rsidRPr="0025692F">
        <w:rPr>
          <w:rFonts w:cs="Arial"/>
        </w:rPr>
        <w:t xml:space="preserve">256. Gutterman, L. (2023, April 18). </w:t>
      </w:r>
      <w:r w:rsidRPr="0025692F">
        <w:rPr>
          <w:rFonts w:cs="Arial"/>
          <w:i/>
          <w:iCs/>
        </w:rPr>
        <w:t>“Chromebook Churn” report highlights problems of short-lived laptops in schools</w:t>
      </w:r>
      <w:r w:rsidRPr="0025692F">
        <w:rPr>
          <w:rFonts w:cs="Arial"/>
        </w:rPr>
        <w:t>. U.S. PIRG Education Fund. https://pirg.org/edfund/resources/chromebook-churn-report-highlights-problems-of-short-lived-laptops-in-schools/</w:t>
      </w:r>
    </w:p>
    <w:p w14:paraId="30653A3A" w14:textId="77777777" w:rsidR="0025692F" w:rsidRPr="0025692F" w:rsidRDefault="0025692F" w:rsidP="0025692F">
      <w:pPr>
        <w:pStyle w:val="Bibliography"/>
        <w:rPr>
          <w:rFonts w:cs="Arial"/>
        </w:rPr>
      </w:pPr>
      <w:r w:rsidRPr="0025692F">
        <w:rPr>
          <w:rFonts w:cs="Arial"/>
        </w:rPr>
        <w:t xml:space="preserve">257. Desye, B., Tesfaye, A. H., Berihun, G., Ademas, A., &amp; Sewunet, B. (2023). A systematic review of the health effects of lead exposure from electronic waste in children. </w:t>
      </w:r>
      <w:r w:rsidRPr="0025692F">
        <w:rPr>
          <w:rFonts w:cs="Arial"/>
          <w:i/>
          <w:iCs/>
        </w:rPr>
        <w:t>Frontiers in Public Health</w:t>
      </w:r>
      <w:r w:rsidRPr="0025692F">
        <w:rPr>
          <w:rFonts w:cs="Arial"/>
        </w:rPr>
        <w:t xml:space="preserve">, </w:t>
      </w:r>
      <w:r w:rsidRPr="0025692F">
        <w:rPr>
          <w:rFonts w:cs="Arial"/>
          <w:i/>
          <w:iCs/>
        </w:rPr>
        <w:t>11</w:t>
      </w:r>
      <w:r w:rsidRPr="0025692F">
        <w:rPr>
          <w:rFonts w:cs="Arial"/>
        </w:rPr>
        <w:t>, 1113561. https://doi.org/10.3389/fpubh.2023.1113561</w:t>
      </w:r>
    </w:p>
    <w:p w14:paraId="36778BE7" w14:textId="77777777" w:rsidR="0025692F" w:rsidRPr="0025692F" w:rsidRDefault="0025692F" w:rsidP="0025692F">
      <w:pPr>
        <w:pStyle w:val="Bibliography"/>
        <w:rPr>
          <w:rFonts w:cs="Arial"/>
        </w:rPr>
      </w:pPr>
      <w:r w:rsidRPr="0025692F">
        <w:rPr>
          <w:rFonts w:cs="Arial"/>
        </w:rPr>
        <w:t xml:space="preserve">258. LEED v4. (n.d.). </w:t>
      </w:r>
      <w:r w:rsidRPr="0025692F">
        <w:rPr>
          <w:rFonts w:cs="Arial"/>
          <w:i/>
          <w:iCs/>
        </w:rPr>
        <w:t>LEED v4 Waste Management Credits—Zero Waste</w:t>
      </w:r>
      <w:r w:rsidRPr="0025692F">
        <w:rPr>
          <w:rFonts w:cs="Arial"/>
        </w:rPr>
        <w:t>. Retrieved June 21, 2024, from https://www.zerowastedesign.org/5-appendices/leed-v4-waste-management-credits/</w:t>
      </w:r>
    </w:p>
    <w:p w14:paraId="233EE5AD" w14:textId="77777777" w:rsidR="0025692F" w:rsidRPr="0025692F" w:rsidRDefault="0025692F" w:rsidP="0025692F">
      <w:pPr>
        <w:pStyle w:val="Bibliography"/>
        <w:rPr>
          <w:rFonts w:cs="Arial"/>
        </w:rPr>
      </w:pPr>
      <w:r w:rsidRPr="0025692F">
        <w:rPr>
          <w:rFonts w:cs="Arial"/>
        </w:rPr>
        <w:t xml:space="preserve">259. Friell, J. (n.d.). </w:t>
      </w:r>
      <w:r w:rsidRPr="0025692F">
        <w:rPr>
          <w:rFonts w:cs="Arial"/>
          <w:i/>
          <w:iCs/>
        </w:rPr>
        <w:t>Benefits of Recycling Lawn Clippings: A Brief Summary | Turfgrass Science</w:t>
      </w:r>
      <w:r w:rsidRPr="0025692F">
        <w:rPr>
          <w:rFonts w:cs="Arial"/>
        </w:rPr>
        <w:t>. Retrieved June 21, 2024, from https://turf.umn.edu/news/benefits-recycling-lawn-clippings-brief-summary</w:t>
      </w:r>
    </w:p>
    <w:p w14:paraId="3EFDDFA3" w14:textId="77777777" w:rsidR="0025692F" w:rsidRPr="0025692F" w:rsidRDefault="0025692F" w:rsidP="0025692F">
      <w:pPr>
        <w:pStyle w:val="Bibliography"/>
        <w:rPr>
          <w:rFonts w:cs="Arial"/>
        </w:rPr>
      </w:pPr>
      <w:r w:rsidRPr="0025692F">
        <w:rPr>
          <w:rFonts w:cs="Arial"/>
        </w:rPr>
        <w:t xml:space="preserve">260. University of Minnesota Extension. (2018). </w:t>
      </w:r>
      <w:r w:rsidRPr="0025692F">
        <w:rPr>
          <w:rFonts w:cs="Arial"/>
          <w:i/>
          <w:iCs/>
        </w:rPr>
        <w:t>What to do with lawn clippings</w:t>
      </w:r>
      <w:r w:rsidRPr="0025692F">
        <w:rPr>
          <w:rFonts w:cs="Arial"/>
        </w:rPr>
        <w:t>. https://extension.umn.edu/lawn-care/what-do-lawn-clippings</w:t>
      </w:r>
    </w:p>
    <w:p w14:paraId="2C793620" w14:textId="77777777" w:rsidR="0025692F" w:rsidRPr="0025692F" w:rsidRDefault="0025692F" w:rsidP="0025692F">
      <w:pPr>
        <w:pStyle w:val="Bibliography"/>
        <w:rPr>
          <w:rFonts w:cs="Arial"/>
        </w:rPr>
      </w:pPr>
      <w:r w:rsidRPr="0025692F">
        <w:rPr>
          <w:rFonts w:cs="Arial"/>
        </w:rPr>
        <w:t xml:space="preserve">261. Massachusetts Department of Environmental Protection. (2024). </w:t>
      </w:r>
      <w:r w:rsidRPr="0025692F">
        <w:rPr>
          <w:rFonts w:cs="Arial"/>
          <w:i/>
          <w:iCs/>
        </w:rPr>
        <w:t>Mercury Management Act</w:t>
      </w:r>
      <w:r w:rsidRPr="0025692F">
        <w:rPr>
          <w:rFonts w:cs="Arial"/>
        </w:rPr>
        <w:t>. https://www.mass.gov/guides/massdep-mercury-information#-mercury-management-act-</w:t>
      </w:r>
    </w:p>
    <w:p w14:paraId="411E2F29" w14:textId="77777777" w:rsidR="0025692F" w:rsidRPr="0025692F" w:rsidRDefault="0025692F" w:rsidP="0025692F">
      <w:pPr>
        <w:pStyle w:val="Bibliography"/>
        <w:rPr>
          <w:rFonts w:cs="Arial"/>
        </w:rPr>
      </w:pPr>
      <w:r w:rsidRPr="0025692F">
        <w:rPr>
          <w:rFonts w:cs="Arial"/>
        </w:rPr>
        <w:t>262. Solid Waste Facility Regulations, 310 CMR 19.000. https://www.mass.gov/regulations/310-CMR-19000-solid-waste-facility-regulations</w:t>
      </w:r>
    </w:p>
    <w:p w14:paraId="3E0400F3" w14:textId="77777777" w:rsidR="0025692F" w:rsidRPr="0025692F" w:rsidRDefault="0025692F" w:rsidP="0025692F">
      <w:pPr>
        <w:pStyle w:val="Bibliography"/>
        <w:rPr>
          <w:rFonts w:cs="Arial"/>
        </w:rPr>
      </w:pPr>
      <w:r w:rsidRPr="0025692F">
        <w:rPr>
          <w:rFonts w:cs="Arial"/>
        </w:rPr>
        <w:t xml:space="preserve">263. </w:t>
      </w:r>
      <w:r w:rsidRPr="0025692F">
        <w:rPr>
          <w:rFonts w:cs="Arial"/>
          <w:i/>
          <w:iCs/>
        </w:rPr>
        <w:t>Use of Share Tables in Child Nutrition Programs | Food and Nutrition Service</w:t>
      </w:r>
      <w:r w:rsidRPr="0025692F">
        <w:rPr>
          <w:rFonts w:cs="Arial"/>
        </w:rPr>
        <w:t>. (2016). https://www.fns.usda.gov/cn/use-share-tables-child-nutrition-programs</w:t>
      </w:r>
    </w:p>
    <w:p w14:paraId="3AA547F0" w14:textId="77777777" w:rsidR="0025692F" w:rsidRPr="0025692F" w:rsidRDefault="0025692F" w:rsidP="0025692F">
      <w:pPr>
        <w:pStyle w:val="Bibliography"/>
        <w:rPr>
          <w:rFonts w:cs="Arial"/>
        </w:rPr>
      </w:pPr>
      <w:r w:rsidRPr="0025692F">
        <w:rPr>
          <w:rFonts w:cs="Arial"/>
        </w:rPr>
        <w:t xml:space="preserve">264. Henry. (2022, June 25). </w:t>
      </w:r>
      <w:r w:rsidRPr="0025692F">
        <w:rPr>
          <w:rFonts w:cs="Arial"/>
          <w:i/>
          <w:iCs/>
        </w:rPr>
        <w:t>Repairing An Electric Vehicle Could Cost More Than Gasoline Cars: A New Kind Of Sticker Shock</w:t>
      </w:r>
      <w:r w:rsidRPr="0025692F">
        <w:rPr>
          <w:rFonts w:cs="Arial"/>
        </w:rPr>
        <w:t>. Forbes. https://www.forbes.com/sites/jimhenry/2022/07/25/repairing-an-electric-vehicle-could-cost-more-than-gasoline-cars-a-new-kind-of-sticker-shock/</w:t>
      </w:r>
    </w:p>
    <w:p w14:paraId="71C59DF9" w14:textId="77777777" w:rsidR="0025692F" w:rsidRPr="0025692F" w:rsidRDefault="0025692F" w:rsidP="0025692F">
      <w:pPr>
        <w:pStyle w:val="Bibliography"/>
        <w:rPr>
          <w:rFonts w:cs="Arial"/>
        </w:rPr>
      </w:pPr>
      <w:r w:rsidRPr="0025692F">
        <w:rPr>
          <w:rFonts w:cs="Arial"/>
        </w:rPr>
        <w:t xml:space="preserve">265. </w:t>
      </w:r>
      <w:r w:rsidRPr="0025692F">
        <w:rPr>
          <w:rFonts w:cs="Arial"/>
          <w:i/>
          <w:iCs/>
        </w:rPr>
        <w:t>OIG Letter to Committee on Transportation Re School Bus Procurement</w:t>
      </w:r>
      <w:r w:rsidRPr="0025692F">
        <w:rPr>
          <w:rFonts w:cs="Arial"/>
        </w:rPr>
        <w:t>. (n.d.).</w:t>
      </w:r>
    </w:p>
    <w:p w14:paraId="454A46DA" w14:textId="77777777" w:rsidR="0025692F" w:rsidRPr="0025692F" w:rsidRDefault="0025692F" w:rsidP="0025692F">
      <w:pPr>
        <w:pStyle w:val="Bibliography"/>
        <w:rPr>
          <w:rFonts w:cs="Arial"/>
        </w:rPr>
      </w:pPr>
      <w:r w:rsidRPr="0025692F">
        <w:rPr>
          <w:rFonts w:cs="Arial"/>
        </w:rPr>
        <w:t xml:space="preserve">266. </w:t>
      </w:r>
      <w:r w:rsidRPr="0025692F">
        <w:rPr>
          <w:rFonts w:cs="Arial"/>
          <w:i/>
          <w:iCs/>
        </w:rPr>
        <w:t>Massachusetts Laws and Incentives</w:t>
      </w:r>
      <w:r w:rsidRPr="0025692F">
        <w:rPr>
          <w:rFonts w:cs="Arial"/>
        </w:rPr>
        <w:t>. (n.d.). Department of Energy: Alternative Fuels Data Center. Retrieved July 23, 2024, from https://afdc.energy.gov/laws/all?state=MA</w:t>
      </w:r>
    </w:p>
    <w:p w14:paraId="4D8CFA87" w14:textId="77777777" w:rsidR="0025692F" w:rsidRPr="0025692F" w:rsidRDefault="0025692F" w:rsidP="0025692F">
      <w:pPr>
        <w:pStyle w:val="Bibliography"/>
        <w:rPr>
          <w:rFonts w:cs="Arial"/>
        </w:rPr>
      </w:pPr>
      <w:r w:rsidRPr="0025692F">
        <w:rPr>
          <w:rFonts w:cs="Arial"/>
        </w:rPr>
        <w:t xml:space="preserve">267. </w:t>
      </w:r>
      <w:r w:rsidRPr="0025692F">
        <w:rPr>
          <w:rFonts w:cs="Arial"/>
          <w:i/>
          <w:iCs/>
        </w:rPr>
        <w:t>ERG’s work with Massachusetts districts on ESB adoption</w:t>
      </w:r>
      <w:r w:rsidRPr="0025692F">
        <w:rPr>
          <w:rFonts w:cs="Arial"/>
        </w:rPr>
        <w:t>. (n.d.).</w:t>
      </w:r>
    </w:p>
    <w:p w14:paraId="3473E503" w14:textId="77777777" w:rsidR="0025692F" w:rsidRPr="0025692F" w:rsidRDefault="0025692F" w:rsidP="0025692F">
      <w:pPr>
        <w:pStyle w:val="Bibliography"/>
        <w:rPr>
          <w:rFonts w:cs="Arial"/>
        </w:rPr>
      </w:pPr>
      <w:r w:rsidRPr="0025692F">
        <w:rPr>
          <w:rFonts w:cs="Arial"/>
        </w:rPr>
        <w:t xml:space="preserve">268. </w:t>
      </w:r>
      <w:r w:rsidRPr="0025692F">
        <w:rPr>
          <w:rFonts w:cs="Arial"/>
          <w:i/>
          <w:iCs/>
        </w:rPr>
        <w:t>Operation and Maintenance for Electric Vehicle Charging Infrastructure</w:t>
      </w:r>
      <w:r w:rsidRPr="0025692F">
        <w:rPr>
          <w:rFonts w:cs="Arial"/>
        </w:rPr>
        <w:t>. (n.d.). Department of Energy: Alternative Fuels Data Center. Retrieved July 24, 2024, from https://afdc.energy.gov/fuels/electricity-infrastructure-maintenance-and-operation</w:t>
      </w:r>
    </w:p>
    <w:p w14:paraId="5D256101" w14:textId="77777777" w:rsidR="0025692F" w:rsidRPr="0025692F" w:rsidRDefault="0025692F" w:rsidP="0025692F">
      <w:pPr>
        <w:pStyle w:val="Bibliography"/>
        <w:rPr>
          <w:rFonts w:cs="Arial"/>
        </w:rPr>
      </w:pPr>
      <w:r w:rsidRPr="0025692F">
        <w:rPr>
          <w:rFonts w:cs="Arial"/>
        </w:rPr>
        <w:t>269. Public Electrical Vehicle Charging Stations, M.G.L. c. 25A §§ 16B-16E. https://malegislature.gov/Laws/GeneralLaws/PartI/TitleII/Chapter25A/Section16</w:t>
      </w:r>
    </w:p>
    <w:p w14:paraId="7E07570D" w14:textId="77777777" w:rsidR="0025692F" w:rsidRPr="0025692F" w:rsidRDefault="0025692F" w:rsidP="0025692F">
      <w:pPr>
        <w:pStyle w:val="Bibliography"/>
        <w:rPr>
          <w:rFonts w:cs="Arial"/>
        </w:rPr>
      </w:pPr>
      <w:r w:rsidRPr="0025692F">
        <w:rPr>
          <w:rFonts w:cs="Arial"/>
        </w:rPr>
        <w:t xml:space="preserve">270. </w:t>
      </w:r>
      <w:r w:rsidRPr="0025692F">
        <w:rPr>
          <w:rFonts w:cs="Arial"/>
          <w:i/>
          <w:iCs/>
        </w:rPr>
        <w:t>Build America, Buy America Act</w:t>
      </w:r>
      <w:r w:rsidRPr="0025692F">
        <w:rPr>
          <w:rFonts w:cs="Arial"/>
        </w:rPr>
        <w:t>. (2023, January 4). USDA Rural Development. https://www.rd.usda.gov/build-america-buy-america</w:t>
      </w:r>
    </w:p>
    <w:p w14:paraId="7AA378F1" w14:textId="77777777" w:rsidR="0025692F" w:rsidRPr="0025692F" w:rsidRDefault="0025692F" w:rsidP="0025692F">
      <w:pPr>
        <w:pStyle w:val="Bibliography"/>
        <w:rPr>
          <w:rFonts w:cs="Arial"/>
        </w:rPr>
      </w:pPr>
      <w:r w:rsidRPr="0025692F">
        <w:rPr>
          <w:rFonts w:cs="Arial"/>
        </w:rPr>
        <w:t xml:space="preserve">271. </w:t>
      </w:r>
      <w:r w:rsidRPr="0025692F">
        <w:rPr>
          <w:rFonts w:cs="Arial"/>
          <w:i/>
          <w:iCs/>
        </w:rPr>
        <w:t>Bipartisan Infrastructure Law—National Electric Vehicle Infrastructure (NEVI) Formula Program Fact Sheet | Federal Highway Administration</w:t>
      </w:r>
      <w:r w:rsidRPr="0025692F">
        <w:rPr>
          <w:rFonts w:cs="Arial"/>
        </w:rPr>
        <w:t>. (2022, February 10). Federal Highway Administration. https://www.fhwa.dot.gov/bipartisan-infrastructure-law/nevi_formula_program.cfm</w:t>
      </w:r>
    </w:p>
    <w:p w14:paraId="6C63B30E" w14:textId="77777777" w:rsidR="0025692F" w:rsidRPr="0025692F" w:rsidRDefault="0025692F" w:rsidP="0025692F">
      <w:pPr>
        <w:pStyle w:val="Bibliography"/>
        <w:rPr>
          <w:rFonts w:cs="Arial"/>
        </w:rPr>
      </w:pPr>
      <w:r w:rsidRPr="0025692F">
        <w:rPr>
          <w:rFonts w:cs="Arial"/>
        </w:rPr>
        <w:t xml:space="preserve">272. </w:t>
      </w:r>
      <w:r w:rsidRPr="0025692F">
        <w:rPr>
          <w:rFonts w:cs="Arial"/>
          <w:i/>
          <w:iCs/>
        </w:rPr>
        <w:t>Training | EVITP</w:t>
      </w:r>
      <w:r w:rsidRPr="0025692F">
        <w:rPr>
          <w:rFonts w:cs="Arial"/>
        </w:rPr>
        <w:t>. (n.d.). Electric Vehicle Infrastructure Training Program (EVITP). Retrieved July 17, 2024, from https://evitp.org/training/</w:t>
      </w:r>
    </w:p>
    <w:p w14:paraId="47D90384" w14:textId="77777777" w:rsidR="0025692F" w:rsidRPr="0025692F" w:rsidRDefault="0025692F" w:rsidP="0025692F">
      <w:pPr>
        <w:pStyle w:val="Bibliography"/>
        <w:rPr>
          <w:rFonts w:cs="Arial"/>
        </w:rPr>
      </w:pPr>
      <w:r w:rsidRPr="0025692F">
        <w:rPr>
          <w:rFonts w:cs="Arial"/>
        </w:rPr>
        <w:t xml:space="preserve">273. </w:t>
      </w:r>
      <w:r w:rsidRPr="0025692F">
        <w:rPr>
          <w:rFonts w:cs="Arial"/>
          <w:i/>
          <w:iCs/>
        </w:rPr>
        <w:t>Alternative Fuels Data Center: National Electric Vehicle Infrastructure (NEVI) Formula Program</w:t>
      </w:r>
      <w:r w:rsidRPr="0025692F">
        <w:rPr>
          <w:rFonts w:cs="Arial"/>
        </w:rPr>
        <w:t>. (n.d.). U.S. Department of Energy. Retrieved July 17, 2024, from https://afdc.energy.gov/laws/12744</w:t>
      </w:r>
    </w:p>
    <w:p w14:paraId="6B68BA4A" w14:textId="77777777" w:rsidR="0025692F" w:rsidRPr="0025692F" w:rsidRDefault="0025692F" w:rsidP="0025692F">
      <w:pPr>
        <w:pStyle w:val="Bibliography"/>
        <w:rPr>
          <w:rFonts w:cs="Arial"/>
        </w:rPr>
      </w:pPr>
      <w:r w:rsidRPr="0025692F">
        <w:rPr>
          <w:rFonts w:cs="Arial"/>
        </w:rPr>
        <w:t xml:space="preserve">274. </w:t>
      </w:r>
      <w:r w:rsidRPr="0025692F">
        <w:rPr>
          <w:rFonts w:cs="Arial"/>
          <w:i/>
          <w:iCs/>
        </w:rPr>
        <w:t>Alternative Fuels Data Center: Public Access Electric Vehicle (EV) Charging Station Grants</w:t>
      </w:r>
      <w:r w:rsidRPr="0025692F">
        <w:rPr>
          <w:rFonts w:cs="Arial"/>
        </w:rPr>
        <w:t>. (n.d.). U.S. Department of Energy. Retrieved July 17, 2024, from https://afdc.energy.gov/laws/12159</w:t>
      </w:r>
    </w:p>
    <w:p w14:paraId="2BBF92D5" w14:textId="77777777" w:rsidR="0025692F" w:rsidRPr="0025692F" w:rsidRDefault="0025692F" w:rsidP="0025692F">
      <w:pPr>
        <w:pStyle w:val="Bibliography"/>
        <w:rPr>
          <w:rFonts w:cs="Arial"/>
        </w:rPr>
      </w:pPr>
      <w:r w:rsidRPr="0025692F">
        <w:rPr>
          <w:rFonts w:cs="Arial"/>
        </w:rPr>
        <w:lastRenderedPageBreak/>
        <w:t xml:space="preserve">275. </w:t>
      </w:r>
      <w:r w:rsidRPr="0025692F">
        <w:rPr>
          <w:rFonts w:cs="Arial"/>
          <w:i/>
          <w:iCs/>
        </w:rPr>
        <w:t>Open Charge Alliance—Connecting the EV charging industry</w:t>
      </w:r>
      <w:r w:rsidRPr="0025692F">
        <w:rPr>
          <w:rFonts w:cs="Arial"/>
        </w:rPr>
        <w:t>. (n.d.). Open Charge Alliance. Retrieved July 17, 2024, from https://openchargealliance.org/</w:t>
      </w:r>
    </w:p>
    <w:p w14:paraId="6F70C939" w14:textId="77777777" w:rsidR="0025692F" w:rsidRPr="0025692F" w:rsidRDefault="0025692F" w:rsidP="0025692F">
      <w:pPr>
        <w:pStyle w:val="Bibliography"/>
        <w:rPr>
          <w:rFonts w:cs="Arial"/>
        </w:rPr>
      </w:pPr>
      <w:r w:rsidRPr="0025692F">
        <w:rPr>
          <w:rFonts w:cs="Arial"/>
        </w:rPr>
        <w:t xml:space="preserve">276. </w:t>
      </w:r>
      <w:r w:rsidRPr="0025692F">
        <w:rPr>
          <w:rFonts w:cs="Arial"/>
          <w:i/>
          <w:iCs/>
        </w:rPr>
        <w:t>National Electric Vehicle Infrastructure Standards and Requirements</w:t>
      </w:r>
      <w:r w:rsidRPr="0025692F">
        <w:rPr>
          <w:rFonts w:cs="Arial"/>
        </w:rPr>
        <w:t>. (2023, February 28). Federal Register. https://www.federalregister.gov/documents/2023/02/28/2023-03500/national-electric-vehicle-infrastructure-standards-and-requirements</w:t>
      </w:r>
    </w:p>
    <w:p w14:paraId="54E4735C" w14:textId="77777777" w:rsidR="0025692F" w:rsidRPr="0025692F" w:rsidRDefault="0025692F" w:rsidP="0025692F">
      <w:pPr>
        <w:pStyle w:val="Bibliography"/>
        <w:rPr>
          <w:rFonts w:cs="Arial"/>
        </w:rPr>
      </w:pPr>
      <w:r w:rsidRPr="0025692F">
        <w:rPr>
          <w:rFonts w:cs="Arial"/>
        </w:rPr>
        <w:t xml:space="preserve">277. How to secure EV charger funding through the Charging and Fueling Infrastructure (CFI) Program. (2024, June 26). </w:t>
      </w:r>
      <w:r w:rsidRPr="0025692F">
        <w:rPr>
          <w:rFonts w:cs="Arial"/>
          <w:i/>
          <w:iCs/>
        </w:rPr>
        <w:t>SWTCH | Electric Vehicle (EV) Charging Solution</w:t>
      </w:r>
      <w:r w:rsidRPr="0025692F">
        <w:rPr>
          <w:rFonts w:cs="Arial"/>
        </w:rPr>
        <w:t>. https://swtchenergy.com/how-to-secure-ev-charger-funding-through-the-charging-and-fueling-infrastructure-cfi-program/</w:t>
      </w:r>
    </w:p>
    <w:p w14:paraId="5B2A80BD" w14:textId="77777777" w:rsidR="0025692F" w:rsidRPr="0025692F" w:rsidRDefault="0025692F" w:rsidP="0025692F">
      <w:pPr>
        <w:pStyle w:val="Bibliography"/>
        <w:rPr>
          <w:rFonts w:cs="Arial"/>
        </w:rPr>
      </w:pPr>
      <w:r w:rsidRPr="0025692F">
        <w:rPr>
          <w:rFonts w:cs="Arial"/>
        </w:rPr>
        <w:t xml:space="preserve">278. RESILIENT MASSACHUSETTS ACTION TEAM. (2022, July). </w:t>
      </w:r>
      <w:r w:rsidRPr="0025692F">
        <w:rPr>
          <w:rFonts w:cs="Arial"/>
          <w:i/>
          <w:iCs/>
        </w:rPr>
        <w:t>Climate Resilience Design Standards &amp; Guidance</w:t>
      </w:r>
      <w:r w:rsidRPr="0025692F">
        <w:rPr>
          <w:rFonts w:cs="Arial"/>
        </w:rPr>
        <w:t>.</w:t>
      </w:r>
    </w:p>
    <w:p w14:paraId="0899B738" w14:textId="77777777" w:rsidR="0025692F" w:rsidRPr="0025692F" w:rsidRDefault="0025692F" w:rsidP="0025692F">
      <w:pPr>
        <w:pStyle w:val="Bibliography"/>
        <w:rPr>
          <w:rFonts w:cs="Arial"/>
        </w:rPr>
      </w:pPr>
      <w:r w:rsidRPr="0025692F">
        <w:rPr>
          <w:rFonts w:cs="Arial"/>
        </w:rPr>
        <w:t xml:space="preserve">279. </w:t>
      </w:r>
      <w:r w:rsidRPr="0025692F">
        <w:rPr>
          <w:rFonts w:cs="Arial"/>
          <w:i/>
          <w:iCs/>
        </w:rPr>
        <w:t>LEED Resilient Design Pilot Credits</w:t>
      </w:r>
      <w:r w:rsidRPr="0025692F">
        <w:rPr>
          <w:rFonts w:cs="Arial"/>
        </w:rPr>
        <w:t>. (2019, January). USGBC. https://www.usgbc.org/sites/default/files/LEED-Resilient-Design-Pilot-Credits-Brief-FINAL.pdf</w:t>
      </w:r>
    </w:p>
    <w:p w14:paraId="0C1689AF" w14:textId="77777777" w:rsidR="0025692F" w:rsidRPr="0025692F" w:rsidRDefault="0025692F" w:rsidP="0025692F">
      <w:pPr>
        <w:pStyle w:val="Bibliography"/>
        <w:rPr>
          <w:rFonts w:cs="Arial"/>
        </w:rPr>
      </w:pPr>
      <w:r w:rsidRPr="0025692F">
        <w:rPr>
          <w:rFonts w:cs="Arial"/>
        </w:rPr>
        <w:t xml:space="preserve">280. CDC. (2024, May 17). </w:t>
      </w:r>
      <w:r w:rsidRPr="0025692F">
        <w:rPr>
          <w:rFonts w:cs="Arial"/>
          <w:i/>
          <w:iCs/>
        </w:rPr>
        <w:t>Everyday Actions for Schools to Prevent and Control the Spread of Infections</w:t>
      </w:r>
      <w:r w:rsidRPr="0025692F">
        <w:rPr>
          <w:rFonts w:cs="Arial"/>
        </w:rPr>
        <w:t>. CDC.Gov. https://www.cdc.gov/orr/school-preparedness/infection-prevention/actions.html</w:t>
      </w:r>
    </w:p>
    <w:p w14:paraId="57ACA3BD" w14:textId="77777777" w:rsidR="0025692F" w:rsidRPr="0025692F" w:rsidRDefault="0025692F" w:rsidP="0025692F">
      <w:pPr>
        <w:pStyle w:val="Bibliography"/>
        <w:rPr>
          <w:rFonts w:cs="Arial"/>
        </w:rPr>
      </w:pPr>
      <w:r w:rsidRPr="0025692F">
        <w:rPr>
          <w:rFonts w:cs="Arial"/>
        </w:rPr>
        <w:t xml:space="preserve">281. Jones, E., Young, A., Clevenger, K., Salimifard, P., Wu, E., Luna, M. L., Lahvis, M., Lang, J., Bliss, M., Azimi, P., Cedeno-Laurent, J., Wilson, C., Segule, M. N., Keshavarz, Z., Chin, W., Dedesko, S., Parikh, S., Vallarino, J., &amp; Allen, J. (2020). </w:t>
      </w:r>
      <w:r w:rsidRPr="0025692F">
        <w:rPr>
          <w:rFonts w:cs="Arial"/>
          <w:i/>
          <w:iCs/>
        </w:rPr>
        <w:t>Schools for Health: Risk Reduction Strategies for Reopening Schools</w:t>
      </w:r>
      <w:r w:rsidRPr="0025692F">
        <w:rPr>
          <w:rFonts w:cs="Arial"/>
        </w:rPr>
        <w:t>. Harvard T.H. Chan School of Public Health, Healthy Buildings program. https://schools.forhealth.org/wp-content/uploads/sites/19/2020/11/Harvard-Healthy-Buildings-Program-COVID19-Risk-Reduction-in-Schools-Nov-2020.pdf</w:t>
      </w:r>
    </w:p>
    <w:p w14:paraId="15126719" w14:textId="77777777" w:rsidR="0025692F" w:rsidRPr="0025692F" w:rsidRDefault="0025692F" w:rsidP="0025692F">
      <w:pPr>
        <w:pStyle w:val="Bibliography"/>
        <w:rPr>
          <w:rFonts w:cs="Arial"/>
        </w:rPr>
      </w:pPr>
      <w:r w:rsidRPr="0025692F">
        <w:rPr>
          <w:rFonts w:cs="Arial"/>
        </w:rPr>
        <w:t>282. 105 CMR 300.00: Reportable Diseases, Surveillance, and Isolation and Quarantine Requirements, 105 CMR 300.00 Code of Massachusetts Register (2022). https://www.mass.gov/regulations/105-CMR-30000-reportable-diseases-surveillance-and-isolation-and-quarantine-requirements</w:t>
      </w:r>
    </w:p>
    <w:p w14:paraId="7E09F0F6" w14:textId="77777777" w:rsidR="0025692F" w:rsidRPr="0025692F" w:rsidRDefault="0025692F" w:rsidP="0025692F">
      <w:pPr>
        <w:pStyle w:val="Bibliography"/>
        <w:rPr>
          <w:rFonts w:cs="Arial"/>
        </w:rPr>
      </w:pPr>
      <w:r w:rsidRPr="0025692F">
        <w:rPr>
          <w:rFonts w:cs="Arial"/>
        </w:rPr>
        <w:t xml:space="preserve">283. CDC. (2024, May 17). </w:t>
      </w:r>
      <w:r w:rsidRPr="0025692F">
        <w:rPr>
          <w:rFonts w:cs="Arial"/>
          <w:i/>
          <w:iCs/>
        </w:rPr>
        <w:t>Additional Strategies that May Be Used to Minimize Infectious Disease Transmission in Schools during Times of Elevated Illness Activity | CDC</w:t>
      </w:r>
      <w:r w:rsidRPr="0025692F">
        <w:rPr>
          <w:rFonts w:cs="Arial"/>
        </w:rPr>
        <w:t>. CDC.Gov. https://www.cdc.gov/orr/school-preparedness/infection-prevention/strategies.html</w:t>
      </w:r>
    </w:p>
    <w:p w14:paraId="5E6E0720" w14:textId="77777777" w:rsidR="0025692F" w:rsidRPr="0025692F" w:rsidRDefault="0025692F" w:rsidP="0025692F">
      <w:pPr>
        <w:pStyle w:val="Bibliography"/>
        <w:rPr>
          <w:rFonts w:cs="Arial"/>
        </w:rPr>
      </w:pPr>
      <w:r w:rsidRPr="0025692F">
        <w:rPr>
          <w:rFonts w:cs="Arial"/>
        </w:rPr>
        <w:t xml:space="preserve">284. Massachusetts Department of Labor Standards. (2023). </w:t>
      </w:r>
      <w:r w:rsidRPr="0025692F">
        <w:rPr>
          <w:rFonts w:cs="Arial"/>
          <w:i/>
          <w:iCs/>
        </w:rPr>
        <w:t>454 CMR 28.00: The Removal, Containment, Maintenance, or Encapsulation of Asbestos</w:t>
      </w:r>
      <w:r w:rsidRPr="0025692F">
        <w:rPr>
          <w:rFonts w:cs="Arial"/>
        </w:rPr>
        <w:t>. https://www.mass.gov/doc/454-cmr-28-the-removal-containment-maintenance-or-encapsulation-of-asbestos/download</w:t>
      </w:r>
    </w:p>
    <w:p w14:paraId="3E1436E9" w14:textId="77777777" w:rsidR="0025692F" w:rsidRPr="0025692F" w:rsidRDefault="0025692F" w:rsidP="0025692F">
      <w:pPr>
        <w:pStyle w:val="Bibliography"/>
        <w:rPr>
          <w:rFonts w:cs="Arial"/>
        </w:rPr>
      </w:pPr>
      <w:r w:rsidRPr="0025692F">
        <w:rPr>
          <w:rFonts w:cs="Arial"/>
        </w:rPr>
        <w:t xml:space="preserve">285. US EPA. (2013, March 12). </w:t>
      </w:r>
      <w:r w:rsidRPr="0025692F">
        <w:rPr>
          <w:rFonts w:cs="Arial"/>
          <w:i/>
          <w:iCs/>
        </w:rPr>
        <w:t>Asbestos Laws and Regulations</w:t>
      </w:r>
      <w:r w:rsidRPr="0025692F">
        <w:rPr>
          <w:rFonts w:cs="Arial"/>
        </w:rPr>
        <w:t xml:space="preserve"> [Overviews and Factsheets]. https://www.epa.gov/asbestos/asbestos-laws-and-regulations</w:t>
      </w:r>
    </w:p>
    <w:p w14:paraId="288B4BC8" w14:textId="77777777" w:rsidR="0025692F" w:rsidRPr="0025692F" w:rsidRDefault="0025692F" w:rsidP="0025692F">
      <w:pPr>
        <w:pStyle w:val="Bibliography"/>
        <w:rPr>
          <w:rFonts w:cs="Arial"/>
        </w:rPr>
      </w:pPr>
      <w:r w:rsidRPr="0025692F">
        <w:rPr>
          <w:rFonts w:cs="Arial"/>
        </w:rPr>
        <w:t xml:space="preserve">286. US EPA. (2023, September 1). </w:t>
      </w:r>
      <w:r w:rsidRPr="0025692F">
        <w:rPr>
          <w:rFonts w:cs="Arial"/>
          <w:i/>
          <w:iCs/>
        </w:rPr>
        <w:t>Model AHERA Asbestos Management Plan for Local Education Agencies</w:t>
      </w:r>
      <w:r w:rsidRPr="0025692F">
        <w:rPr>
          <w:rFonts w:cs="Arial"/>
        </w:rPr>
        <w:t xml:space="preserve"> [Other Policies and Guidance]. https://www.epa.gov/asbestos/model-ahera-asbestos-management-plan-local-education-agencies</w:t>
      </w:r>
    </w:p>
    <w:p w14:paraId="02E707E9" w14:textId="77777777" w:rsidR="0025692F" w:rsidRPr="0025692F" w:rsidRDefault="0025692F" w:rsidP="0025692F">
      <w:pPr>
        <w:pStyle w:val="Bibliography"/>
        <w:rPr>
          <w:rFonts w:cs="Arial"/>
        </w:rPr>
      </w:pPr>
      <w:r w:rsidRPr="0025692F">
        <w:rPr>
          <w:rFonts w:cs="Arial"/>
        </w:rPr>
        <w:t xml:space="preserve">287. Healthy Schools Council. (2003). </w:t>
      </w:r>
      <w:r w:rsidRPr="0025692F">
        <w:rPr>
          <w:rFonts w:cs="Arial"/>
          <w:i/>
          <w:iCs/>
        </w:rPr>
        <w:t>Checklist Concerning Environmental Health &amp; Safety in Schools</w:t>
      </w:r>
      <w:r w:rsidRPr="0025692F">
        <w:rPr>
          <w:rFonts w:cs="Arial"/>
        </w:rPr>
        <w:t>.</w:t>
      </w:r>
    </w:p>
    <w:p w14:paraId="7427175C" w14:textId="77777777" w:rsidR="0025692F" w:rsidRPr="0025692F" w:rsidRDefault="0025692F" w:rsidP="0025692F">
      <w:pPr>
        <w:pStyle w:val="Bibliography"/>
        <w:rPr>
          <w:rFonts w:cs="Arial"/>
        </w:rPr>
      </w:pPr>
      <w:r w:rsidRPr="0025692F">
        <w:rPr>
          <w:rFonts w:cs="Arial"/>
        </w:rPr>
        <w:t xml:space="preserve">288. Massachusetts Department of Labor Standards. (2021). </w:t>
      </w:r>
      <w:r w:rsidRPr="0025692F">
        <w:rPr>
          <w:rFonts w:cs="Arial"/>
          <w:i/>
          <w:iCs/>
        </w:rPr>
        <w:t>AHERA Regulation Changes under 454 CMR 28.00</w:t>
      </w:r>
      <w:r w:rsidRPr="0025692F">
        <w:rPr>
          <w:rFonts w:cs="Arial"/>
        </w:rPr>
        <w:t xml:space="preserve"> (No. Doc #2021-022). https://www.mass.gov/doc/faqs-about-ahera-regulation-changes-under-454-cmr-28/download</w:t>
      </w:r>
    </w:p>
    <w:p w14:paraId="1AB81A97" w14:textId="77777777" w:rsidR="0025692F" w:rsidRPr="0025692F" w:rsidRDefault="0025692F" w:rsidP="0025692F">
      <w:pPr>
        <w:pStyle w:val="Bibliography"/>
        <w:rPr>
          <w:rFonts w:cs="Arial"/>
        </w:rPr>
      </w:pPr>
      <w:r w:rsidRPr="0025692F">
        <w:rPr>
          <w:rFonts w:cs="Arial"/>
        </w:rPr>
        <w:t xml:space="preserve">289. Commonwealth of Massachusetts, Executive Office of Labor and Workforce Development, Department of Labor Standards. (2014, May). </w:t>
      </w:r>
      <w:r w:rsidRPr="0025692F">
        <w:rPr>
          <w:rFonts w:cs="Arial"/>
          <w:i/>
          <w:iCs/>
        </w:rPr>
        <w:t>PCM Clearance Air Sampling Guidance for Asbestos Project Monitors</w:t>
      </w:r>
      <w:r w:rsidRPr="0025692F">
        <w:rPr>
          <w:rFonts w:cs="Arial"/>
        </w:rPr>
        <w:t>. https://www.mass.gov/doc/pcm-clearance-air-sampling-guidance-for-asbestos-project-monitors/download</w:t>
      </w:r>
    </w:p>
    <w:p w14:paraId="23E0C822" w14:textId="77777777" w:rsidR="0025692F" w:rsidRPr="0025692F" w:rsidRDefault="0025692F" w:rsidP="0025692F">
      <w:pPr>
        <w:pStyle w:val="Bibliography"/>
        <w:rPr>
          <w:rFonts w:cs="Arial"/>
        </w:rPr>
      </w:pPr>
      <w:r w:rsidRPr="0025692F">
        <w:rPr>
          <w:rFonts w:cs="Arial"/>
        </w:rPr>
        <w:lastRenderedPageBreak/>
        <w:t xml:space="preserve">290. MassDEP. (n.d.). </w:t>
      </w:r>
      <w:r w:rsidRPr="0025692F">
        <w:rPr>
          <w:rFonts w:cs="Arial"/>
          <w:i/>
          <w:iCs/>
        </w:rPr>
        <w:t>310 CMR 7.15: U Asbestos</w:t>
      </w:r>
      <w:r w:rsidRPr="0025692F">
        <w:rPr>
          <w:rFonts w:cs="Arial"/>
        </w:rPr>
        <w:t xml:space="preserve"> (Air Pollution Control Regulation). Massachusetts Department of Environmental Protection. Retrieved June 26, 2024, from https://www.mass.gov/doc/310-cmr-700-air-pollution-control-regulation/download</w:t>
      </w:r>
    </w:p>
    <w:p w14:paraId="016A7973" w14:textId="77777777" w:rsidR="0025692F" w:rsidRPr="0025692F" w:rsidRDefault="0025692F" w:rsidP="0025692F">
      <w:pPr>
        <w:pStyle w:val="Bibliography"/>
        <w:rPr>
          <w:rFonts w:cs="Arial"/>
        </w:rPr>
      </w:pPr>
      <w:r w:rsidRPr="0025692F">
        <w:rPr>
          <w:rFonts w:cs="Arial"/>
        </w:rPr>
        <w:t>291. Requirements to Maintain Air Quality in Indoor Skating Rinks, 105 CMR 675.000 State Sanitary Code, Chapter XI (2004). https://www.mass.gov/doc/105-cmr-675-state-sanitary-code-chapter-xi-requirements-to-maintain-air-quality-in-indoor-skating-rinks/download</w:t>
      </w:r>
    </w:p>
    <w:p w14:paraId="6CC1F3FC" w14:textId="77777777" w:rsidR="0025692F" w:rsidRPr="0025692F" w:rsidRDefault="0025692F" w:rsidP="0025692F">
      <w:pPr>
        <w:pStyle w:val="Bibliography"/>
        <w:rPr>
          <w:rFonts w:cs="Arial"/>
        </w:rPr>
      </w:pPr>
      <w:r w:rsidRPr="0025692F">
        <w:rPr>
          <w:rFonts w:cs="Arial"/>
        </w:rPr>
        <w:t xml:space="preserve">292. US EPA. (2024, February 7). </w:t>
      </w:r>
      <w:r w:rsidRPr="0025692F">
        <w:rPr>
          <w:rFonts w:cs="Arial"/>
          <w:i/>
          <w:iCs/>
        </w:rPr>
        <w:t>NAAQS Table</w:t>
      </w:r>
      <w:r w:rsidRPr="0025692F">
        <w:rPr>
          <w:rFonts w:cs="Arial"/>
        </w:rPr>
        <w:t>. Criteria Air Pollutants. https://www.epa.gov/criteria-air-pollutants/naaqs-table</w:t>
      </w:r>
    </w:p>
    <w:p w14:paraId="67BA0820" w14:textId="77777777" w:rsidR="0025692F" w:rsidRPr="0025692F" w:rsidRDefault="0025692F" w:rsidP="0025692F">
      <w:pPr>
        <w:pStyle w:val="Bibliography"/>
        <w:rPr>
          <w:rFonts w:cs="Arial"/>
        </w:rPr>
      </w:pPr>
      <w:r w:rsidRPr="0025692F">
        <w:rPr>
          <w:rFonts w:cs="Arial"/>
        </w:rPr>
        <w:t xml:space="preserve">293. OSHA. (n.d.). </w:t>
      </w:r>
      <w:r w:rsidRPr="0025692F">
        <w:rPr>
          <w:rFonts w:cs="Arial"/>
          <w:i/>
          <w:iCs/>
        </w:rPr>
        <w:t>Limits for Air Contaminants</w:t>
      </w:r>
      <w:r w:rsidRPr="0025692F">
        <w:rPr>
          <w:rFonts w:cs="Arial"/>
        </w:rPr>
        <w:t xml:space="preserve"> (No. 1910.1000 Subpart Z: Toxic and Hazardous Substances). Retrieved June 19, 2024, from https://www.osha.gov/laws-regs/regulations/standardnumber/1910/1910.1000TABLEZ1</w:t>
      </w:r>
    </w:p>
    <w:p w14:paraId="66D6A97C" w14:textId="77777777" w:rsidR="0025692F" w:rsidRPr="0025692F" w:rsidRDefault="0025692F" w:rsidP="0025692F">
      <w:pPr>
        <w:pStyle w:val="Bibliography"/>
        <w:rPr>
          <w:rFonts w:cs="Arial"/>
        </w:rPr>
      </w:pPr>
      <w:r w:rsidRPr="0025692F">
        <w:rPr>
          <w:rFonts w:cs="Arial"/>
        </w:rPr>
        <w:t xml:space="preserve">294. ACGIH. (n.d.). </w:t>
      </w:r>
      <w:r w:rsidRPr="0025692F">
        <w:rPr>
          <w:rFonts w:cs="Arial"/>
          <w:i/>
          <w:iCs/>
        </w:rPr>
        <w:t>Carbon monoxide</w:t>
      </w:r>
      <w:r w:rsidRPr="0025692F">
        <w:rPr>
          <w:rFonts w:cs="Arial"/>
        </w:rPr>
        <w:t>. Retrieved June 19, 2024, from https://www.acgih.org/carbon-monoxide-3/</w:t>
      </w:r>
    </w:p>
    <w:p w14:paraId="5430EF89" w14:textId="77777777" w:rsidR="0025692F" w:rsidRPr="0025692F" w:rsidRDefault="0025692F" w:rsidP="0025692F">
      <w:pPr>
        <w:pStyle w:val="Bibliography"/>
        <w:rPr>
          <w:rFonts w:cs="Arial"/>
        </w:rPr>
      </w:pPr>
      <w:r w:rsidRPr="0025692F">
        <w:rPr>
          <w:rFonts w:cs="Arial"/>
        </w:rPr>
        <w:t xml:space="preserve">295. ANSI/ASHRAE. (2022). </w:t>
      </w:r>
      <w:r w:rsidRPr="0025692F">
        <w:rPr>
          <w:rFonts w:cs="Arial"/>
          <w:i/>
          <w:iCs/>
        </w:rPr>
        <w:t>Standard 62.1, Ventilation and Acceptable Indoor Air Quality</w:t>
      </w:r>
      <w:r w:rsidRPr="0025692F">
        <w:rPr>
          <w:rFonts w:cs="Arial"/>
        </w:rPr>
        <w:t>. https://ashrae.iwrapper.com/ASHRAE_PREVIEW_ONLY_STANDARDS/STD_62.1_2022</w:t>
      </w:r>
    </w:p>
    <w:p w14:paraId="74622D6A" w14:textId="77777777" w:rsidR="0025692F" w:rsidRPr="0025692F" w:rsidRDefault="0025692F" w:rsidP="0025692F">
      <w:pPr>
        <w:pStyle w:val="Bibliography"/>
        <w:rPr>
          <w:rFonts w:cs="Arial"/>
        </w:rPr>
      </w:pPr>
      <w:r w:rsidRPr="0025692F">
        <w:rPr>
          <w:rFonts w:cs="Arial"/>
        </w:rPr>
        <w:t xml:space="preserve">296. MA DPH Indoor Air Quality Program. (2015, September). </w:t>
      </w:r>
      <w:r w:rsidRPr="0025692F">
        <w:rPr>
          <w:rFonts w:cs="Arial"/>
          <w:i/>
          <w:iCs/>
        </w:rPr>
        <w:t>Chapter II: Indoor Air Quality Results Interpretation</w:t>
      </w:r>
      <w:r w:rsidRPr="0025692F">
        <w:rPr>
          <w:rFonts w:cs="Arial"/>
        </w:rPr>
        <w:t>. https://www.mass.gov/lists/indoor-air-quality-manual-and-appendices#indoor-air-quality-manual-</w:t>
      </w:r>
    </w:p>
    <w:p w14:paraId="757522C2" w14:textId="77777777" w:rsidR="0025692F" w:rsidRPr="0025692F" w:rsidRDefault="0025692F" w:rsidP="0025692F">
      <w:pPr>
        <w:pStyle w:val="Bibliography"/>
        <w:rPr>
          <w:rFonts w:cs="Arial"/>
        </w:rPr>
      </w:pPr>
      <w:r w:rsidRPr="0025692F">
        <w:rPr>
          <w:rFonts w:cs="Arial"/>
        </w:rPr>
        <w:t xml:space="preserve">297. NIOSH. (2019, October 30). </w:t>
      </w:r>
      <w:r w:rsidRPr="0025692F">
        <w:rPr>
          <w:rFonts w:cs="Arial"/>
          <w:i/>
          <w:iCs/>
        </w:rPr>
        <w:t>Pocket Guide to Chemical Hazards—Carbon monoxide</w:t>
      </w:r>
      <w:r w:rsidRPr="0025692F">
        <w:rPr>
          <w:rFonts w:cs="Arial"/>
        </w:rPr>
        <w:t>. https://www.cdc.gov/niosh/npg/npgd0105.html</w:t>
      </w:r>
    </w:p>
    <w:p w14:paraId="29C35202" w14:textId="77777777" w:rsidR="0025692F" w:rsidRPr="0025692F" w:rsidRDefault="0025692F" w:rsidP="0025692F">
      <w:pPr>
        <w:pStyle w:val="Bibliography"/>
        <w:rPr>
          <w:rFonts w:cs="Arial"/>
        </w:rPr>
      </w:pPr>
      <w:r w:rsidRPr="0025692F">
        <w:rPr>
          <w:rFonts w:cs="Arial"/>
        </w:rPr>
        <w:t xml:space="preserve">298. </w:t>
      </w:r>
      <w:r w:rsidRPr="0025692F">
        <w:rPr>
          <w:rFonts w:cs="Arial"/>
          <w:i/>
          <w:iCs/>
        </w:rPr>
        <w:t>Remediation and prevention of mold growth and water damage in public schools and buildings to maintain air quality | Mass.gov</w:t>
      </w:r>
      <w:r w:rsidRPr="0025692F">
        <w:rPr>
          <w:rFonts w:cs="Arial"/>
        </w:rPr>
        <w:t>. (n.d.). Retrieved July 24, 2024, from https://www.mass.gov/info-details/remediation-and-prevention-of-mold-growth-and-water-damage-in-public-schools-and-buildings-to-maintain-air-quality</w:t>
      </w:r>
    </w:p>
    <w:p w14:paraId="452DCEFF" w14:textId="77777777" w:rsidR="0025692F" w:rsidRPr="0025692F" w:rsidRDefault="0025692F" w:rsidP="0025692F">
      <w:pPr>
        <w:pStyle w:val="Bibliography"/>
        <w:rPr>
          <w:rFonts w:cs="Arial"/>
        </w:rPr>
      </w:pPr>
      <w:r w:rsidRPr="0025692F">
        <w:rPr>
          <w:rFonts w:cs="Arial"/>
        </w:rPr>
        <w:t xml:space="preserve">299. MDPH. (2016). </w:t>
      </w:r>
      <w:r w:rsidRPr="0025692F">
        <w:rPr>
          <w:rFonts w:cs="Arial"/>
          <w:i/>
          <w:iCs/>
        </w:rPr>
        <w:t>Asthma and Your Environment</w:t>
      </w:r>
      <w:r w:rsidRPr="0025692F">
        <w:rPr>
          <w:rFonts w:cs="Arial"/>
        </w:rPr>
        <w:t>.</w:t>
      </w:r>
    </w:p>
    <w:p w14:paraId="096AF64A" w14:textId="77777777" w:rsidR="0025692F" w:rsidRPr="0025692F" w:rsidRDefault="0025692F" w:rsidP="0025692F">
      <w:pPr>
        <w:pStyle w:val="Bibliography"/>
        <w:rPr>
          <w:rFonts w:cs="Arial"/>
        </w:rPr>
      </w:pPr>
      <w:r w:rsidRPr="0025692F">
        <w:rPr>
          <w:rFonts w:cs="Arial"/>
        </w:rPr>
        <w:t xml:space="preserve">300. </w:t>
      </w:r>
      <w:r w:rsidRPr="0025692F">
        <w:rPr>
          <w:rFonts w:cs="Arial"/>
          <w:i/>
          <w:iCs/>
        </w:rPr>
        <w:t>Leaks &amp; Moisture</w:t>
      </w:r>
      <w:r w:rsidRPr="0025692F">
        <w:rPr>
          <w:rFonts w:cs="Arial"/>
        </w:rPr>
        <w:t>. (n.d.). Asthma Prevention and Control. Retrieved July 24, 2024, from https://www.maasthma.org/toolkit/leaks</w:t>
      </w:r>
    </w:p>
    <w:p w14:paraId="67772CB4" w14:textId="77777777" w:rsidR="0025692F" w:rsidRPr="0025692F" w:rsidRDefault="0025692F" w:rsidP="0025692F">
      <w:pPr>
        <w:pStyle w:val="Bibliography"/>
        <w:rPr>
          <w:rFonts w:cs="Arial"/>
        </w:rPr>
      </w:pPr>
      <w:r w:rsidRPr="0025692F">
        <w:rPr>
          <w:rFonts w:cs="Arial"/>
        </w:rPr>
        <w:t xml:space="preserve">301. US EPA. (2021). </w:t>
      </w:r>
      <w:r w:rsidRPr="0025692F">
        <w:rPr>
          <w:rFonts w:cs="Arial"/>
          <w:i/>
          <w:iCs/>
        </w:rPr>
        <w:t>PCBs in Building Materials: Determining the Presence of Manufactured PCB Products in Buildings or Other Structures</w:t>
      </w:r>
      <w:r w:rsidRPr="0025692F">
        <w:rPr>
          <w:rFonts w:cs="Arial"/>
        </w:rPr>
        <w:t>. U.S. Environmental Protection Agency. https://www.epa.gov/sites/default/files/2021-05/documents/final_pcb_buildings_fact_sheet_05-10-2021_to_upload.pdf</w:t>
      </w:r>
    </w:p>
    <w:p w14:paraId="61FADB97" w14:textId="77777777" w:rsidR="0025692F" w:rsidRPr="0025692F" w:rsidRDefault="0025692F" w:rsidP="0025692F">
      <w:pPr>
        <w:pStyle w:val="Bibliography"/>
        <w:rPr>
          <w:rFonts w:cs="Arial"/>
        </w:rPr>
      </w:pPr>
      <w:r w:rsidRPr="0025692F">
        <w:rPr>
          <w:rFonts w:cs="Arial"/>
        </w:rPr>
        <w:t xml:space="preserve">302. US EPA. (2023). </w:t>
      </w:r>
      <w:r w:rsidRPr="0025692F">
        <w:rPr>
          <w:rFonts w:cs="Arial"/>
          <w:i/>
          <w:iCs/>
        </w:rPr>
        <w:t>Technical Guidance for Determining the Presence of Manufactured PCB Products in Buildings and Other Structures</w:t>
      </w:r>
      <w:r w:rsidRPr="0025692F">
        <w:rPr>
          <w:rFonts w:cs="Arial"/>
        </w:rPr>
        <w:t xml:space="preserve"> (No. EPA-530-R-23-015). U.S. Environmental Protection Agency. https://www.epa.gov/system/files/documents/2023-09/Technical_Guidance_Determining_Presence_Manufactured_PCB_Products_Buildings_Structures.pdf</w:t>
      </w:r>
    </w:p>
    <w:p w14:paraId="6FC726C4" w14:textId="77777777" w:rsidR="0025692F" w:rsidRPr="0025692F" w:rsidRDefault="0025692F" w:rsidP="0025692F">
      <w:pPr>
        <w:pStyle w:val="Bibliography"/>
        <w:rPr>
          <w:rFonts w:cs="Arial"/>
        </w:rPr>
      </w:pPr>
      <w:r w:rsidRPr="0025692F">
        <w:rPr>
          <w:rFonts w:cs="Arial"/>
        </w:rPr>
        <w:t xml:space="preserve">303. US EPA. (2023, November 4). </w:t>
      </w:r>
      <w:r w:rsidRPr="0025692F">
        <w:rPr>
          <w:rFonts w:cs="Arial"/>
          <w:i/>
          <w:iCs/>
        </w:rPr>
        <w:t>Polychlorinated Biphenyl (PCB)-Containing Fluorescent Light Ballasts (FLBs) in School Buildings</w:t>
      </w:r>
      <w:r w:rsidRPr="0025692F">
        <w:rPr>
          <w:rFonts w:cs="Arial"/>
        </w:rPr>
        <w:t xml:space="preserve"> [Other Policies and Guidance]. https://www.epa.gov/pcbs/polychlorinated-biphenyl-pcb-containing-fluorescent-light-ballasts-flbs-school-buildings</w:t>
      </w:r>
    </w:p>
    <w:p w14:paraId="46271128" w14:textId="77777777" w:rsidR="0025692F" w:rsidRPr="0025692F" w:rsidRDefault="0025692F" w:rsidP="0025692F">
      <w:pPr>
        <w:pStyle w:val="Bibliography"/>
        <w:rPr>
          <w:rFonts w:cs="Arial"/>
        </w:rPr>
      </w:pPr>
      <w:r w:rsidRPr="0025692F">
        <w:rPr>
          <w:rFonts w:cs="Arial"/>
        </w:rPr>
        <w:t xml:space="preserve">304. US EPA. (2015). </w:t>
      </w:r>
      <w:r w:rsidRPr="0025692F">
        <w:rPr>
          <w:rFonts w:cs="Arial"/>
          <w:i/>
          <w:iCs/>
        </w:rPr>
        <w:t>Practical Actions for Reducing Exposure to PCBs in Schools and Other Buildings</w:t>
      </w:r>
      <w:r w:rsidRPr="0025692F">
        <w:rPr>
          <w:rFonts w:cs="Arial"/>
        </w:rPr>
        <w:t>. https://www.epa.gov/sites/default/files/2016-03/documents/practical_actions_for_reducing_exposure_to_pcbs_in_schools_and_other_buildings.pdf</w:t>
      </w:r>
    </w:p>
    <w:p w14:paraId="63CA115B" w14:textId="77777777" w:rsidR="0025692F" w:rsidRPr="0025692F" w:rsidRDefault="0025692F" w:rsidP="0025692F">
      <w:pPr>
        <w:pStyle w:val="Bibliography"/>
        <w:rPr>
          <w:rFonts w:cs="Arial"/>
        </w:rPr>
      </w:pPr>
      <w:r w:rsidRPr="0025692F">
        <w:rPr>
          <w:rFonts w:cs="Arial"/>
        </w:rPr>
        <w:t xml:space="preserve">305. US EPA. (2015). </w:t>
      </w:r>
      <w:r w:rsidRPr="0025692F">
        <w:rPr>
          <w:rFonts w:cs="Arial"/>
          <w:i/>
          <w:iCs/>
        </w:rPr>
        <w:t>Laboratory Study of Polychlorinated Biphenyl (PCB) Contamination in Buildings Evaluation of the Encapsulation Method</w:t>
      </w:r>
      <w:r w:rsidRPr="0025692F">
        <w:rPr>
          <w:rFonts w:cs="Arial"/>
        </w:rPr>
        <w:t xml:space="preserve"> (Science in Action). U.S. Environmental Protection Agency. https://www.epa.gov/sites/default/files/2015-08/documents/pcb_encapsulation_fs.pdf</w:t>
      </w:r>
    </w:p>
    <w:p w14:paraId="5A08CA7D" w14:textId="77777777" w:rsidR="0025692F" w:rsidRPr="0025692F" w:rsidRDefault="0025692F" w:rsidP="0025692F">
      <w:pPr>
        <w:pStyle w:val="Bibliography"/>
        <w:rPr>
          <w:rFonts w:cs="Arial"/>
        </w:rPr>
      </w:pPr>
      <w:r w:rsidRPr="0025692F">
        <w:rPr>
          <w:rFonts w:cs="Arial"/>
        </w:rPr>
        <w:lastRenderedPageBreak/>
        <w:t xml:space="preserve">306. US EPA. (2023, October 25). </w:t>
      </w:r>
      <w:r w:rsidRPr="0025692F">
        <w:rPr>
          <w:rFonts w:cs="Arial"/>
          <w:i/>
          <w:iCs/>
        </w:rPr>
        <w:t>Exposure Levels for Evaluating Polychlorinated Biphenyls (PCBs) in Indoor School Air</w:t>
      </w:r>
      <w:r w:rsidRPr="0025692F">
        <w:rPr>
          <w:rFonts w:cs="Arial"/>
        </w:rPr>
        <w:t xml:space="preserve"> [Other Policies and Guidance]. https://www.epa.gov/pcbs/exposure-levels-evaluating-polychlorinated-biphenyls-pcbs-indoor-school-air</w:t>
      </w:r>
    </w:p>
    <w:p w14:paraId="1E4D15F9" w14:textId="77777777" w:rsidR="0025692F" w:rsidRPr="0025692F" w:rsidRDefault="0025692F" w:rsidP="0025692F">
      <w:pPr>
        <w:pStyle w:val="Bibliography"/>
        <w:rPr>
          <w:rFonts w:cs="Arial"/>
        </w:rPr>
      </w:pPr>
      <w:r w:rsidRPr="0025692F">
        <w:rPr>
          <w:rFonts w:cs="Arial"/>
        </w:rPr>
        <w:t xml:space="preserve">307. US EPA. (2010). </w:t>
      </w:r>
      <w:r w:rsidRPr="0025692F">
        <w:rPr>
          <w:rFonts w:cs="Arial"/>
          <w:i/>
          <w:iCs/>
        </w:rPr>
        <w:t>Managing Radon in Schools</w:t>
      </w:r>
      <w:r w:rsidRPr="0025692F">
        <w:rPr>
          <w:rFonts w:cs="Arial"/>
        </w:rPr>
        <w:t xml:space="preserve"> (The Indoor Air Quality Tools for Schools Approach). Environmental Protection Agency. https://www.epa.gov/sites/default/files/2014-11/documents/managing_radon.pdf</w:t>
      </w:r>
    </w:p>
    <w:p w14:paraId="0E50AEE7" w14:textId="77777777" w:rsidR="0025692F" w:rsidRPr="0025692F" w:rsidRDefault="0025692F" w:rsidP="0025692F">
      <w:pPr>
        <w:pStyle w:val="Bibliography"/>
        <w:rPr>
          <w:rFonts w:cs="Arial"/>
        </w:rPr>
      </w:pPr>
      <w:r w:rsidRPr="0025692F">
        <w:rPr>
          <w:rFonts w:cs="Arial"/>
        </w:rPr>
        <w:t xml:space="preserve">308. MDPH. (n.d.). </w:t>
      </w:r>
      <w:r w:rsidRPr="0025692F">
        <w:rPr>
          <w:rFonts w:cs="Arial"/>
          <w:i/>
          <w:iCs/>
        </w:rPr>
        <w:t>Fixing Radon In Your Home</w:t>
      </w:r>
      <w:r w:rsidRPr="0025692F">
        <w:rPr>
          <w:rFonts w:cs="Arial"/>
        </w:rPr>
        <w:t xml:space="preserve"> [Fact Sheet]. Massachusetts Department of Public Health, Bureau of Climate and Environmental Health. https://www.mass.gov/doc/fixing-radon-in-your-home/download</w:t>
      </w:r>
    </w:p>
    <w:p w14:paraId="4852854C" w14:textId="77777777" w:rsidR="0025692F" w:rsidRPr="0025692F" w:rsidRDefault="0025692F" w:rsidP="0025692F">
      <w:pPr>
        <w:pStyle w:val="Bibliography"/>
        <w:rPr>
          <w:rFonts w:cs="Arial"/>
        </w:rPr>
      </w:pPr>
      <w:r w:rsidRPr="0025692F">
        <w:rPr>
          <w:rFonts w:cs="Arial"/>
        </w:rPr>
        <w:t xml:space="preserve">309. US EPA. (2023, July 6). </w:t>
      </w:r>
      <w:r w:rsidRPr="0025692F">
        <w:rPr>
          <w:rFonts w:cs="Arial"/>
          <w:i/>
          <w:iCs/>
        </w:rPr>
        <w:t>What is EPA’s Action Level for Radon and What Does it Mean?</w:t>
      </w:r>
      <w:r w:rsidRPr="0025692F">
        <w:rPr>
          <w:rFonts w:cs="Arial"/>
        </w:rPr>
        <w:t xml:space="preserve"> [Overviews and Factsheets]. https://www.epa.gov/radon/what-epas-action-level-radon-and-what-does-it-mean</w:t>
      </w:r>
    </w:p>
    <w:p w14:paraId="20D082FD" w14:textId="77777777" w:rsidR="0025692F" w:rsidRPr="0025692F" w:rsidRDefault="0025692F" w:rsidP="0025692F">
      <w:pPr>
        <w:pStyle w:val="Bibliography"/>
        <w:rPr>
          <w:rFonts w:cs="Arial"/>
        </w:rPr>
      </w:pPr>
      <w:r w:rsidRPr="0025692F">
        <w:rPr>
          <w:rFonts w:cs="Arial"/>
        </w:rPr>
        <w:t xml:space="preserve">310. US EPA. (2024, January 30). </w:t>
      </w:r>
      <w:r w:rsidRPr="0025692F">
        <w:rPr>
          <w:rFonts w:cs="Arial"/>
          <w:i/>
          <w:iCs/>
        </w:rPr>
        <w:t>Radon in Schools</w:t>
      </w:r>
      <w:r w:rsidRPr="0025692F">
        <w:rPr>
          <w:rFonts w:cs="Arial"/>
        </w:rPr>
        <w:t xml:space="preserve"> [Overviews and Factsheets]. https://www.epa.gov/radon/radon-schools</w:t>
      </w:r>
    </w:p>
    <w:p w14:paraId="7A3DD73C" w14:textId="77777777" w:rsidR="0025692F" w:rsidRPr="0025692F" w:rsidRDefault="0025692F" w:rsidP="0025692F">
      <w:pPr>
        <w:pStyle w:val="Bibliography"/>
        <w:rPr>
          <w:rFonts w:cs="Arial"/>
        </w:rPr>
      </w:pPr>
      <w:r w:rsidRPr="0025692F">
        <w:rPr>
          <w:rFonts w:cs="Arial"/>
        </w:rPr>
        <w:t xml:space="preserve">311. </w:t>
      </w:r>
      <w:r w:rsidRPr="0025692F">
        <w:rPr>
          <w:rFonts w:cs="Arial"/>
          <w:i/>
          <w:iCs/>
        </w:rPr>
        <w:t>Air Quality Flag Program Main Page | AirNow.gov</w:t>
      </w:r>
      <w:r w:rsidRPr="0025692F">
        <w:rPr>
          <w:rFonts w:cs="Arial"/>
        </w:rPr>
        <w:t>. (n.d.). Retrieved July 22, 2024, from https://www.airnow.gov/air-quality-flag-program/</w:t>
      </w:r>
    </w:p>
    <w:p w14:paraId="317702E6" w14:textId="77777777" w:rsidR="0025692F" w:rsidRPr="0025692F" w:rsidRDefault="0025692F" w:rsidP="0025692F">
      <w:pPr>
        <w:pStyle w:val="Bibliography"/>
        <w:rPr>
          <w:rFonts w:cs="Arial"/>
        </w:rPr>
      </w:pPr>
      <w:r w:rsidRPr="0025692F">
        <w:rPr>
          <w:rFonts w:cs="Arial"/>
        </w:rPr>
        <w:t xml:space="preserve">312. MA DEP. (2020). </w:t>
      </w:r>
      <w:r w:rsidRPr="0025692F">
        <w:rPr>
          <w:rFonts w:cs="Arial"/>
          <w:i/>
          <w:iCs/>
        </w:rPr>
        <w:t>Engine Idling Guidance for School Bus Drivers</w:t>
      </w:r>
      <w:r w:rsidRPr="0025692F">
        <w:rPr>
          <w:rFonts w:cs="Arial"/>
        </w:rPr>
        <w:t>. https://www.mass.gov/doc/engine-idling-guidance-for-school-bus-drivers/download</w:t>
      </w:r>
    </w:p>
    <w:p w14:paraId="3DB6ECD3" w14:textId="77777777" w:rsidR="0025692F" w:rsidRPr="0025692F" w:rsidRDefault="0025692F" w:rsidP="0025692F">
      <w:pPr>
        <w:pStyle w:val="Bibliography"/>
        <w:rPr>
          <w:rFonts w:cs="Arial"/>
        </w:rPr>
      </w:pPr>
      <w:r w:rsidRPr="0025692F">
        <w:rPr>
          <w:rFonts w:cs="Arial"/>
        </w:rPr>
        <w:t xml:space="preserve">313. MA Department of Public Health, &amp; Massachusetts Asthma Action Partnership. (2024). </w:t>
      </w:r>
      <w:r w:rsidRPr="0025692F">
        <w:rPr>
          <w:rFonts w:cs="Arial"/>
          <w:i/>
          <w:iCs/>
        </w:rPr>
        <w:t>Clearing the Air: An Asthma Toolkit for Healthy Schools</w:t>
      </w:r>
      <w:r w:rsidRPr="0025692F">
        <w:rPr>
          <w:rFonts w:cs="Arial"/>
        </w:rPr>
        <w:t>. Asthma Prevention and Control. https://www.maasthma.org/toolkit/outdoorairpollution</w:t>
      </w:r>
    </w:p>
    <w:p w14:paraId="2DA82821" w14:textId="77777777" w:rsidR="0025692F" w:rsidRPr="0025692F" w:rsidRDefault="0025692F" w:rsidP="0025692F">
      <w:pPr>
        <w:pStyle w:val="Bibliography"/>
        <w:rPr>
          <w:rFonts w:cs="Arial"/>
        </w:rPr>
      </w:pPr>
      <w:r w:rsidRPr="0025692F">
        <w:rPr>
          <w:rFonts w:cs="Arial"/>
        </w:rPr>
        <w:t xml:space="preserve">314. MA DEP. (n.d.). </w:t>
      </w:r>
      <w:r w:rsidRPr="0025692F">
        <w:rPr>
          <w:rFonts w:cs="Arial"/>
          <w:i/>
          <w:iCs/>
        </w:rPr>
        <w:t>Best Management Practices: Reducing Diesel Pollution at Schools</w:t>
      </w:r>
      <w:r w:rsidRPr="0025692F">
        <w:rPr>
          <w:rFonts w:cs="Arial"/>
        </w:rPr>
        <w:t>. https://www.mass.gov/doc/massdep-best-management-practices-reducing-diesel-pollution-at-schools/download</w:t>
      </w:r>
    </w:p>
    <w:p w14:paraId="27184CC9" w14:textId="77777777" w:rsidR="0025692F" w:rsidRPr="0025692F" w:rsidRDefault="0025692F" w:rsidP="0025692F">
      <w:pPr>
        <w:pStyle w:val="Bibliography"/>
        <w:rPr>
          <w:rFonts w:cs="Arial"/>
        </w:rPr>
      </w:pPr>
      <w:r w:rsidRPr="0025692F">
        <w:rPr>
          <w:rFonts w:cs="Arial"/>
        </w:rPr>
        <w:t xml:space="preserve">315. EPA. (n.d.). </w:t>
      </w:r>
      <w:r w:rsidRPr="0025692F">
        <w:rPr>
          <w:rFonts w:cs="Arial"/>
          <w:i/>
          <w:iCs/>
        </w:rPr>
        <w:t>Recommendations for Reducing Wildfire Smoke Exposure in Commercial Buildings and Schools</w:t>
      </w:r>
      <w:r w:rsidRPr="0025692F">
        <w:rPr>
          <w:rFonts w:cs="Arial"/>
        </w:rPr>
        <w:t>. https://www.epa.gov/system/files/documents/2021-07/flyer-recommendations-for-reducing-wildfire-smoke-in-commercial-buildings-and-schools.pdf</w:t>
      </w:r>
    </w:p>
    <w:p w14:paraId="6A4689D8" w14:textId="77777777" w:rsidR="0025692F" w:rsidRPr="0025692F" w:rsidRDefault="0025692F" w:rsidP="0025692F">
      <w:pPr>
        <w:pStyle w:val="Bibliography"/>
        <w:rPr>
          <w:rFonts w:cs="Arial"/>
        </w:rPr>
      </w:pPr>
      <w:r w:rsidRPr="0025692F">
        <w:rPr>
          <w:rFonts w:cs="Arial"/>
        </w:rPr>
        <w:t xml:space="preserve">316. ASHRAE. (2021). </w:t>
      </w:r>
      <w:r w:rsidRPr="0025692F">
        <w:rPr>
          <w:rFonts w:cs="Arial"/>
          <w:i/>
          <w:iCs/>
        </w:rPr>
        <w:t>Planning Framework for Protecting Commercial Building Occupants from Smoke During Wildfire Events</w:t>
      </w:r>
      <w:r w:rsidRPr="0025692F">
        <w:rPr>
          <w:rFonts w:cs="Arial"/>
        </w:rPr>
        <w:t>. https://www.ashrae.org/File%20Library/Technical%20Resources/COVID-19/Planning-Framework-for-Protecting-Commercial-Building-Occupants-from-Smoke-During-Wildfire-Events.pdf</w:t>
      </w:r>
    </w:p>
    <w:p w14:paraId="2F23009B" w14:textId="77777777" w:rsidR="0025692F" w:rsidRPr="0025692F" w:rsidRDefault="0025692F" w:rsidP="0025692F">
      <w:pPr>
        <w:pStyle w:val="Bibliography"/>
        <w:rPr>
          <w:rFonts w:cs="Arial"/>
        </w:rPr>
      </w:pPr>
      <w:r w:rsidRPr="0025692F">
        <w:rPr>
          <w:rFonts w:cs="Arial"/>
        </w:rPr>
        <w:t xml:space="preserve">317. U.S EPA, O. of R. and D. (2016, July). </w:t>
      </w:r>
      <w:r w:rsidRPr="0025692F">
        <w:rPr>
          <w:rFonts w:cs="Arial"/>
          <w:i/>
          <w:iCs/>
        </w:rPr>
        <w:t>Recommendations for Constructing Roadside Vegetation Barriers to Improve Near-Road Air Quality</w:t>
      </w:r>
      <w:r w:rsidRPr="0025692F">
        <w:rPr>
          <w:rFonts w:cs="Arial"/>
        </w:rPr>
        <w:t>. https://cfpub.epa.gov/si/si_public_record_report.cfm?Lab=NRMRL&amp;dirEntryId=321772&amp;subject=Air%20Research&amp;showCriteria=0&amp;searchAll=Air%20and%20%28roads%20or%20road%20or%20roadway%20or%20roadways%20or%20traffic%20or%20%7Bnear%20road%7D%29&amp;actType=Product&amp;TIMSType=PUBLISHED+REPORT&amp;sortBy=revisionDate</w:t>
      </w:r>
    </w:p>
    <w:p w14:paraId="6CDB0BAE" w14:textId="77777777" w:rsidR="0025692F" w:rsidRPr="0025692F" w:rsidRDefault="0025692F" w:rsidP="0025692F">
      <w:pPr>
        <w:pStyle w:val="Bibliography"/>
        <w:rPr>
          <w:rFonts w:cs="Arial"/>
        </w:rPr>
      </w:pPr>
      <w:r w:rsidRPr="0025692F">
        <w:rPr>
          <w:rFonts w:cs="Arial"/>
        </w:rPr>
        <w:t>318. Motor Vehicles and Aircraft | Stopped Motor Vehicles; Operation of Engine; Time Limit; Penalty, M.G.L., c. 90 § 16A. https://malegislature.gov/Laws/GeneralLaws/PartI/TitleXIV/Chapter90/Section16a</w:t>
      </w:r>
    </w:p>
    <w:p w14:paraId="2A5BF618" w14:textId="77777777" w:rsidR="0025692F" w:rsidRPr="0025692F" w:rsidRDefault="0025692F" w:rsidP="0025692F">
      <w:pPr>
        <w:pStyle w:val="Bibliography"/>
        <w:rPr>
          <w:rFonts w:cs="Arial"/>
        </w:rPr>
      </w:pPr>
      <w:r w:rsidRPr="0025692F">
        <w:rPr>
          <w:rFonts w:cs="Arial"/>
        </w:rPr>
        <w:t>319. Motor Vehicles and Aircraft | Idling of a Motor Vehicle Engine on School Property; Penalties; Adoption of Regulations, M.G.L., c. 90 § 16B. https://malegislature.gov/Laws/GeneralLaws/PartI/TitleXIV/Chapter90/Section16B</w:t>
      </w:r>
    </w:p>
    <w:p w14:paraId="24FCAF24" w14:textId="77777777" w:rsidR="0025692F" w:rsidRPr="0025692F" w:rsidRDefault="0025692F" w:rsidP="0025692F">
      <w:pPr>
        <w:pStyle w:val="Bibliography"/>
        <w:rPr>
          <w:rFonts w:cs="Arial"/>
        </w:rPr>
      </w:pPr>
      <w:r w:rsidRPr="0025692F">
        <w:rPr>
          <w:rFonts w:cs="Arial"/>
        </w:rPr>
        <w:t>320. Regulation of Motor Vehicle Idling on School Grounds, 27.00 MGL 90 § 16B 540. https://www.mass.gov/doc/540-cmr-27-regulation-of-motor-vehicle-idling-on-school-grounds/download</w:t>
      </w:r>
    </w:p>
    <w:p w14:paraId="0CD7C94E" w14:textId="77777777" w:rsidR="0025692F" w:rsidRPr="0025692F" w:rsidRDefault="0025692F" w:rsidP="0025692F">
      <w:pPr>
        <w:pStyle w:val="Bibliography"/>
        <w:rPr>
          <w:rFonts w:cs="Arial"/>
        </w:rPr>
      </w:pPr>
      <w:r w:rsidRPr="0025692F">
        <w:rPr>
          <w:rFonts w:cs="Arial"/>
        </w:rPr>
        <w:t xml:space="preserve">321. National Drinking Water Alliance. (n.d.). </w:t>
      </w:r>
      <w:r w:rsidRPr="0025692F">
        <w:rPr>
          <w:rFonts w:cs="Arial"/>
          <w:i/>
          <w:iCs/>
        </w:rPr>
        <w:t>Healthy Hydration: Ensuring Access to Safe Water in Schools</w:t>
      </w:r>
      <w:r w:rsidRPr="0025692F">
        <w:rPr>
          <w:rFonts w:cs="Arial"/>
        </w:rPr>
        <w:t>.</w:t>
      </w:r>
    </w:p>
    <w:p w14:paraId="4D5264EA" w14:textId="77777777" w:rsidR="0025692F" w:rsidRPr="0025692F" w:rsidRDefault="0025692F" w:rsidP="0025692F">
      <w:pPr>
        <w:pStyle w:val="Bibliography"/>
        <w:rPr>
          <w:rFonts w:cs="Arial"/>
        </w:rPr>
      </w:pPr>
      <w:r w:rsidRPr="0025692F">
        <w:rPr>
          <w:rFonts w:cs="Arial"/>
        </w:rPr>
        <w:lastRenderedPageBreak/>
        <w:t xml:space="preserve">322. US EPA. (n.d.). </w:t>
      </w:r>
      <w:r w:rsidRPr="0025692F">
        <w:rPr>
          <w:rFonts w:cs="Arial"/>
          <w:i/>
          <w:iCs/>
        </w:rPr>
        <w:t>Ensuring Drinking Water Quality in Schools During and After Extended Closures</w:t>
      </w:r>
      <w:r w:rsidRPr="0025692F">
        <w:rPr>
          <w:rFonts w:cs="Arial"/>
        </w:rPr>
        <w:t>.</w:t>
      </w:r>
    </w:p>
    <w:p w14:paraId="6CF64BF5" w14:textId="77777777" w:rsidR="0025692F" w:rsidRPr="0025692F" w:rsidRDefault="0025692F" w:rsidP="0025692F">
      <w:pPr>
        <w:pStyle w:val="Bibliography"/>
        <w:rPr>
          <w:rFonts w:cs="Arial"/>
        </w:rPr>
      </w:pPr>
      <w:r w:rsidRPr="0025692F">
        <w:rPr>
          <w:rFonts w:cs="Arial"/>
        </w:rPr>
        <w:t xml:space="preserve">323. US EPA. (n.d.). </w:t>
      </w:r>
      <w:r w:rsidRPr="0025692F">
        <w:rPr>
          <w:rFonts w:cs="Arial"/>
          <w:i/>
          <w:iCs/>
        </w:rPr>
        <w:t>3Ts Checklist—Establishing a Lead Testing Program</w:t>
      </w:r>
      <w:r w:rsidRPr="0025692F">
        <w:rPr>
          <w:rFonts w:cs="Arial"/>
        </w:rPr>
        <w:t>.</w:t>
      </w:r>
    </w:p>
    <w:p w14:paraId="3FCCE5DF" w14:textId="77777777" w:rsidR="0025692F" w:rsidRPr="0025692F" w:rsidRDefault="0025692F" w:rsidP="0025692F">
      <w:pPr>
        <w:pStyle w:val="Bibliography"/>
        <w:rPr>
          <w:rFonts w:cs="Arial"/>
        </w:rPr>
      </w:pPr>
      <w:r w:rsidRPr="0025692F">
        <w:rPr>
          <w:rFonts w:cs="Arial"/>
        </w:rPr>
        <w:t xml:space="preserve">324. MA DEP. (n.d.). </w:t>
      </w:r>
      <w:r w:rsidRPr="0025692F">
        <w:rPr>
          <w:rFonts w:cs="Arial"/>
          <w:i/>
          <w:iCs/>
        </w:rPr>
        <w:t>The Lead Contamination Control Act (LLCA)</w:t>
      </w:r>
      <w:r w:rsidRPr="0025692F">
        <w:rPr>
          <w:rFonts w:cs="Arial"/>
        </w:rPr>
        <w:t>. https://www.mass.gov/info-details/the-lead-contamination-control-act-lcca#:~:text=MassDEP's%20LCCA%20program%20recommends%20that,possible%20concentration%20of%20lead%20is</w:t>
      </w:r>
    </w:p>
    <w:p w14:paraId="329B7D32" w14:textId="77777777" w:rsidR="0025692F" w:rsidRPr="0025692F" w:rsidRDefault="0025692F" w:rsidP="0025692F">
      <w:pPr>
        <w:pStyle w:val="Bibliography"/>
        <w:rPr>
          <w:rFonts w:cs="Arial"/>
        </w:rPr>
      </w:pPr>
      <w:r w:rsidRPr="0025692F">
        <w:rPr>
          <w:rFonts w:cs="Arial"/>
        </w:rPr>
        <w:t xml:space="preserve">325. Tobiason, J. E., Ram, K., Hatte, M.-F., Larson, R., &amp; Reckhow, D. A. (2018). </w:t>
      </w:r>
      <w:r w:rsidRPr="0025692F">
        <w:rPr>
          <w:rFonts w:cs="Arial"/>
          <w:i/>
          <w:iCs/>
        </w:rPr>
        <w:t>Massachusetts Assistance Program for Lead in School Drinking Water</w:t>
      </w:r>
      <w:r w:rsidRPr="0025692F">
        <w:rPr>
          <w:rFonts w:cs="Arial"/>
        </w:rPr>
        <w:t>.</w:t>
      </w:r>
    </w:p>
    <w:p w14:paraId="121EB132" w14:textId="77777777" w:rsidR="0025692F" w:rsidRPr="0025692F" w:rsidRDefault="0025692F" w:rsidP="0025692F">
      <w:pPr>
        <w:pStyle w:val="Bibliography"/>
        <w:rPr>
          <w:rFonts w:cs="Arial"/>
        </w:rPr>
      </w:pPr>
      <w:r w:rsidRPr="0025692F">
        <w:rPr>
          <w:rFonts w:cs="Arial"/>
        </w:rPr>
        <w:t xml:space="preserve">326. MassDEP. (2019). </w:t>
      </w:r>
      <w:r w:rsidRPr="0025692F">
        <w:rPr>
          <w:rFonts w:cs="Arial"/>
          <w:i/>
          <w:iCs/>
        </w:rPr>
        <w:t>Flushing: A Short-Term Solution to Reduce Lead and Copper</w:t>
      </w:r>
      <w:r w:rsidRPr="0025692F">
        <w:rPr>
          <w:rFonts w:cs="Arial"/>
        </w:rPr>
        <w:t>.</w:t>
      </w:r>
    </w:p>
    <w:p w14:paraId="3E809053" w14:textId="77777777" w:rsidR="0025692F" w:rsidRPr="0025692F" w:rsidRDefault="0025692F" w:rsidP="0025692F">
      <w:pPr>
        <w:pStyle w:val="Bibliography"/>
        <w:rPr>
          <w:rFonts w:cs="Arial"/>
        </w:rPr>
      </w:pPr>
      <w:r w:rsidRPr="0025692F">
        <w:rPr>
          <w:rFonts w:cs="Arial"/>
        </w:rPr>
        <w:t xml:space="preserve">327. US Congress. (n.d.). </w:t>
      </w:r>
      <w:r w:rsidRPr="0025692F">
        <w:rPr>
          <w:rFonts w:cs="Arial"/>
          <w:i/>
          <w:iCs/>
        </w:rPr>
        <w:t>S. 3874—Reduction of Lead in Drinking Water Act</w:t>
      </w:r>
      <w:r w:rsidRPr="0025692F">
        <w:rPr>
          <w:rFonts w:cs="Arial"/>
        </w:rPr>
        <w:t>. https://www.congress.gov/bill/111th-congress/senate-bill/3874</w:t>
      </w:r>
    </w:p>
    <w:p w14:paraId="652D8CBA" w14:textId="77777777" w:rsidR="0025692F" w:rsidRPr="0025692F" w:rsidRDefault="0025692F" w:rsidP="0025692F">
      <w:pPr>
        <w:pStyle w:val="Bibliography"/>
        <w:rPr>
          <w:rFonts w:cs="Arial"/>
        </w:rPr>
      </w:pPr>
      <w:r w:rsidRPr="0025692F">
        <w:rPr>
          <w:rFonts w:cs="Arial"/>
        </w:rPr>
        <w:t xml:space="preserve">328. US EPA. (2024, February 14). </w:t>
      </w:r>
      <w:r w:rsidRPr="0025692F">
        <w:rPr>
          <w:rFonts w:cs="Arial"/>
          <w:i/>
          <w:iCs/>
        </w:rPr>
        <w:t>Overview of the Safe Drinking Water Act</w:t>
      </w:r>
      <w:r w:rsidRPr="0025692F">
        <w:rPr>
          <w:rFonts w:cs="Arial"/>
        </w:rPr>
        <w:t>. https://www.epa.gov/sdwa/overview-safe-drinking-water-act</w:t>
      </w:r>
    </w:p>
    <w:p w14:paraId="1F7CADD7" w14:textId="77777777" w:rsidR="0025692F" w:rsidRPr="0025692F" w:rsidRDefault="0025692F" w:rsidP="0025692F">
      <w:pPr>
        <w:pStyle w:val="Bibliography"/>
        <w:rPr>
          <w:rFonts w:cs="Arial"/>
        </w:rPr>
      </w:pPr>
      <w:r w:rsidRPr="0025692F">
        <w:rPr>
          <w:rFonts w:cs="Arial"/>
        </w:rPr>
        <w:t xml:space="preserve">329. MA DEP. (n.d.). </w:t>
      </w:r>
      <w:r w:rsidRPr="0025692F">
        <w:rPr>
          <w:rFonts w:cs="Arial"/>
          <w:i/>
          <w:iCs/>
        </w:rPr>
        <w:t>310 CMR 22: The Massachusetts Drinking Water Regulations</w:t>
      </w:r>
      <w:r w:rsidRPr="0025692F">
        <w:rPr>
          <w:rFonts w:cs="Arial"/>
        </w:rPr>
        <w:t>. https://www.mass.gov/regulations/310-CMR-22-the-massachusetts-drinking-water-regulations</w:t>
      </w:r>
    </w:p>
    <w:p w14:paraId="0D25C4A9" w14:textId="77777777" w:rsidR="0025692F" w:rsidRPr="0025692F" w:rsidRDefault="0025692F" w:rsidP="0025692F">
      <w:pPr>
        <w:pStyle w:val="Bibliography"/>
        <w:rPr>
          <w:rFonts w:cs="Arial"/>
        </w:rPr>
      </w:pPr>
      <w:r w:rsidRPr="0025692F">
        <w:rPr>
          <w:rFonts w:cs="Arial"/>
        </w:rPr>
        <w:t xml:space="preserve">330. US EPA. (2023, November 28). </w:t>
      </w:r>
      <w:r w:rsidRPr="0025692F">
        <w:rPr>
          <w:rFonts w:cs="Arial"/>
          <w:i/>
          <w:iCs/>
        </w:rPr>
        <w:t>Lead and Copper Rule</w:t>
      </w:r>
      <w:r w:rsidRPr="0025692F">
        <w:rPr>
          <w:rFonts w:cs="Arial"/>
        </w:rPr>
        <w:t>. https://www.epa.gov/dwreginfo/lead-and-copper-rule</w:t>
      </w:r>
    </w:p>
    <w:p w14:paraId="7CF639AB" w14:textId="77777777" w:rsidR="0025692F" w:rsidRPr="0025692F" w:rsidRDefault="0025692F" w:rsidP="0025692F">
      <w:pPr>
        <w:pStyle w:val="Bibliography"/>
        <w:rPr>
          <w:rFonts w:cs="Arial"/>
        </w:rPr>
      </w:pPr>
      <w:r w:rsidRPr="0025692F">
        <w:rPr>
          <w:rFonts w:cs="Arial"/>
        </w:rPr>
        <w:t xml:space="preserve">331. US EPA. (2024, June 13). </w:t>
      </w:r>
      <w:r w:rsidRPr="0025692F">
        <w:rPr>
          <w:rFonts w:cs="Arial"/>
          <w:i/>
          <w:iCs/>
        </w:rPr>
        <w:t>National Primary Drinking Water Regulations</w:t>
      </w:r>
      <w:r w:rsidRPr="0025692F">
        <w:rPr>
          <w:rFonts w:cs="Arial"/>
        </w:rPr>
        <w:t>. https://www.epa.gov/ground-water-and-drinking-water/national-primary-drinking-water-regulations#Inorganics</w:t>
      </w:r>
    </w:p>
    <w:p w14:paraId="0D0F50C2" w14:textId="77777777" w:rsidR="0025692F" w:rsidRPr="0025692F" w:rsidRDefault="0025692F" w:rsidP="0025692F">
      <w:pPr>
        <w:pStyle w:val="Bibliography"/>
        <w:rPr>
          <w:rFonts w:cs="Arial"/>
        </w:rPr>
      </w:pPr>
      <w:r w:rsidRPr="0025692F">
        <w:rPr>
          <w:rFonts w:cs="Arial"/>
        </w:rPr>
        <w:t xml:space="preserve">332. MA DEP. (n.d.). </w:t>
      </w:r>
      <w:r w:rsidRPr="0025692F">
        <w:rPr>
          <w:rFonts w:cs="Arial"/>
          <w:i/>
          <w:iCs/>
        </w:rPr>
        <w:t>Drinking Water Standards and Guidelines</w:t>
      </w:r>
      <w:r w:rsidRPr="0025692F">
        <w:rPr>
          <w:rFonts w:cs="Arial"/>
        </w:rPr>
        <w:t>. https://www.mass.gov/guides/drinking-water-standards-and-guidelines</w:t>
      </w:r>
    </w:p>
    <w:p w14:paraId="1F99CADD" w14:textId="77777777" w:rsidR="0025692F" w:rsidRPr="0025692F" w:rsidRDefault="0025692F" w:rsidP="0025692F">
      <w:pPr>
        <w:pStyle w:val="Bibliography"/>
        <w:rPr>
          <w:rFonts w:cs="Arial"/>
        </w:rPr>
      </w:pPr>
      <w:r w:rsidRPr="0025692F">
        <w:rPr>
          <w:rFonts w:cs="Arial"/>
        </w:rPr>
        <w:t xml:space="preserve">333. National Sanitation Foundation. (2018, June 8). </w:t>
      </w:r>
      <w:r w:rsidRPr="0025692F">
        <w:rPr>
          <w:rFonts w:cs="Arial"/>
          <w:i/>
          <w:iCs/>
        </w:rPr>
        <w:t>NSF/ANSI/CAN 372 Technical Requirements</w:t>
      </w:r>
      <w:r w:rsidRPr="0025692F">
        <w:rPr>
          <w:rFonts w:cs="Arial"/>
        </w:rPr>
        <w:t>. https://www.nsf.org/knowledge-library/nsf-ansi-can-372-technical-requirements</w:t>
      </w:r>
    </w:p>
    <w:p w14:paraId="6A085673" w14:textId="77777777" w:rsidR="0025692F" w:rsidRPr="0025692F" w:rsidRDefault="0025692F" w:rsidP="0025692F">
      <w:pPr>
        <w:pStyle w:val="Bibliography"/>
        <w:rPr>
          <w:rFonts w:cs="Arial"/>
        </w:rPr>
      </w:pPr>
      <w:r w:rsidRPr="0025692F">
        <w:rPr>
          <w:rFonts w:cs="Arial"/>
        </w:rPr>
        <w:t xml:space="preserve">334. New Hampshire Department of Environmental Services. (2024). </w:t>
      </w:r>
      <w:r w:rsidRPr="0025692F">
        <w:rPr>
          <w:rFonts w:cs="Arial"/>
          <w:i/>
          <w:iCs/>
        </w:rPr>
        <w:t>Report on the Occurrence of Per- and Polyfluoroalkyl Substances (PFAS) in Floor Stripping and Refinishing Wastewater at Four Schools in New Hampshire</w:t>
      </w:r>
      <w:r w:rsidRPr="0025692F">
        <w:rPr>
          <w:rFonts w:cs="Arial"/>
        </w:rPr>
        <w:t>. https://www.pfas.des.nh.gov/sites/g/files/ehbemt341/files/documents/r-wd-24-04.pdf</w:t>
      </w:r>
    </w:p>
    <w:p w14:paraId="5CE975A2" w14:textId="77777777" w:rsidR="0025692F" w:rsidRPr="0025692F" w:rsidRDefault="0025692F" w:rsidP="0025692F">
      <w:pPr>
        <w:pStyle w:val="Bibliography"/>
        <w:rPr>
          <w:rFonts w:cs="Arial"/>
        </w:rPr>
      </w:pPr>
      <w:r w:rsidRPr="0025692F">
        <w:rPr>
          <w:rFonts w:cs="Arial"/>
        </w:rPr>
        <w:t xml:space="preserve">335. US EPA. (2024, May 8). </w:t>
      </w:r>
      <w:r w:rsidRPr="0025692F">
        <w:rPr>
          <w:rFonts w:cs="Arial"/>
          <w:i/>
          <w:iCs/>
        </w:rPr>
        <w:t>Designation of Perfluorooctanoic Acid (PFOA) and Perfluorooctanesulfonic Acid (PFOS) as CERCLA Hazardous Substances</w:t>
      </w:r>
      <w:r w:rsidRPr="0025692F">
        <w:rPr>
          <w:rFonts w:cs="Arial"/>
        </w:rPr>
        <w:t>. https://www.federalregister.gov/documents/2024/05/08/2024-08547/designation-of-perfluorooctanoic-acid-pfoa-and-perfluorooctanesulfonic-acid-pfos-as-cercla-hazardous</w:t>
      </w:r>
    </w:p>
    <w:p w14:paraId="0352AB5C" w14:textId="77777777" w:rsidR="0025692F" w:rsidRPr="0025692F" w:rsidRDefault="0025692F" w:rsidP="0025692F">
      <w:pPr>
        <w:pStyle w:val="Bibliography"/>
        <w:rPr>
          <w:rFonts w:cs="Arial"/>
        </w:rPr>
      </w:pPr>
      <w:r w:rsidRPr="0025692F">
        <w:rPr>
          <w:rFonts w:cs="Arial"/>
        </w:rPr>
        <w:t xml:space="preserve">336. US EPA. (2023, March 29). </w:t>
      </w:r>
      <w:r w:rsidRPr="0025692F">
        <w:rPr>
          <w:rFonts w:cs="Arial"/>
          <w:i/>
          <w:iCs/>
        </w:rPr>
        <w:t>PFAS National Primary Drinking Water Regulation Rulemaking</w:t>
      </w:r>
      <w:r w:rsidRPr="0025692F">
        <w:rPr>
          <w:rFonts w:cs="Arial"/>
        </w:rPr>
        <w:t>. https://www.federalregister.gov/documents/2023/03/29/2023-05471/pfas-national-primary-drinking-water-regulation-rulemaking#:~:text=In%20summary%2C%20the%20proposed%20MCLs,PFNA%2C%20and%2For%20PFBS.</w:t>
      </w:r>
    </w:p>
    <w:p w14:paraId="1584A44B" w14:textId="77777777" w:rsidR="0025692F" w:rsidRPr="0025692F" w:rsidRDefault="0025692F" w:rsidP="0025692F">
      <w:pPr>
        <w:pStyle w:val="Bibliography"/>
        <w:rPr>
          <w:rFonts w:cs="Arial"/>
        </w:rPr>
      </w:pPr>
      <w:r w:rsidRPr="0025692F">
        <w:rPr>
          <w:rFonts w:cs="Arial"/>
        </w:rPr>
        <w:t xml:space="preserve">337. MA DEP. (n.d.). </w:t>
      </w:r>
      <w:r w:rsidRPr="0025692F">
        <w:rPr>
          <w:rFonts w:cs="Arial"/>
          <w:i/>
          <w:iCs/>
        </w:rPr>
        <w:t>Massachusetts PFAS Drinking Water Standard (MCL)</w:t>
      </w:r>
      <w:r w:rsidRPr="0025692F">
        <w:rPr>
          <w:rFonts w:cs="Arial"/>
        </w:rPr>
        <w:t>. https://www.mass.gov/lists/massachusetts-pfas-drinking-water-standard-mcl</w:t>
      </w:r>
    </w:p>
    <w:p w14:paraId="1C9F89BF" w14:textId="77777777" w:rsidR="0025692F" w:rsidRPr="0025692F" w:rsidRDefault="0025692F" w:rsidP="0025692F">
      <w:pPr>
        <w:pStyle w:val="Bibliography"/>
        <w:rPr>
          <w:rFonts w:cs="Arial"/>
        </w:rPr>
      </w:pPr>
      <w:r w:rsidRPr="0025692F">
        <w:rPr>
          <w:rFonts w:cs="Arial"/>
        </w:rPr>
        <w:t xml:space="preserve">338. MDPH. (n.d.). </w:t>
      </w:r>
      <w:r w:rsidRPr="0025692F">
        <w:rPr>
          <w:rFonts w:cs="Arial"/>
          <w:i/>
          <w:iCs/>
        </w:rPr>
        <w:t>Water Quality Standards for Bottled Water in Massachusetts</w:t>
      </w:r>
      <w:r w:rsidRPr="0025692F">
        <w:rPr>
          <w:rFonts w:cs="Arial"/>
        </w:rPr>
        <w:t>. https://www.mass.gov/info-details/water-quality-standards-for-bottled-water-in-massachusetts</w:t>
      </w:r>
    </w:p>
    <w:p w14:paraId="2F742D38" w14:textId="77777777" w:rsidR="0025692F" w:rsidRPr="0025692F" w:rsidRDefault="0025692F" w:rsidP="0025692F">
      <w:pPr>
        <w:pStyle w:val="Bibliography"/>
        <w:rPr>
          <w:rFonts w:cs="Arial"/>
        </w:rPr>
      </w:pPr>
      <w:r w:rsidRPr="0025692F">
        <w:rPr>
          <w:rFonts w:cs="Arial"/>
        </w:rPr>
        <w:t xml:space="preserve">339. Ron, S. (2024, June 18). Addressing Extreme Heat and Air Quality in Schools. </w:t>
      </w:r>
      <w:r w:rsidRPr="0025692F">
        <w:rPr>
          <w:rFonts w:cs="Arial"/>
          <w:i/>
          <w:iCs/>
        </w:rPr>
        <w:t>MAPC</w:t>
      </w:r>
      <w:r w:rsidRPr="0025692F">
        <w:rPr>
          <w:rFonts w:cs="Arial"/>
        </w:rPr>
        <w:t>. https://www.mapc.org/planning101/extreme-heat-air-quality-in-schools/</w:t>
      </w:r>
    </w:p>
    <w:p w14:paraId="16F7861A" w14:textId="77777777" w:rsidR="0025692F" w:rsidRPr="0025692F" w:rsidRDefault="0025692F" w:rsidP="0025692F">
      <w:pPr>
        <w:pStyle w:val="Bibliography"/>
        <w:rPr>
          <w:rFonts w:cs="Arial"/>
        </w:rPr>
      </w:pPr>
      <w:r w:rsidRPr="0025692F">
        <w:rPr>
          <w:rFonts w:cs="Arial"/>
        </w:rPr>
        <w:t xml:space="preserve">340. MDPH. (n.d.). </w:t>
      </w:r>
      <w:r w:rsidRPr="0025692F">
        <w:rPr>
          <w:rFonts w:cs="Arial"/>
          <w:i/>
          <w:iCs/>
        </w:rPr>
        <w:t>Chapter II: Indoor Air Quality Results Interpretation</w:t>
      </w:r>
      <w:r w:rsidRPr="0025692F">
        <w:rPr>
          <w:rFonts w:cs="Arial"/>
        </w:rPr>
        <w:t>. Retrieved September 23, 2024, from https://www.mass.gov/doc/chapter-ii-indoor-air-quality-results-interpretation</w:t>
      </w:r>
    </w:p>
    <w:p w14:paraId="30E0553C" w14:textId="77777777" w:rsidR="0025692F" w:rsidRPr="0025692F" w:rsidRDefault="0025692F" w:rsidP="0025692F">
      <w:pPr>
        <w:pStyle w:val="Bibliography"/>
        <w:rPr>
          <w:rFonts w:cs="Arial"/>
        </w:rPr>
      </w:pPr>
      <w:r w:rsidRPr="0025692F">
        <w:rPr>
          <w:rFonts w:cs="Arial"/>
        </w:rPr>
        <w:lastRenderedPageBreak/>
        <w:t xml:space="preserve">341. </w:t>
      </w:r>
      <w:r w:rsidRPr="0025692F">
        <w:rPr>
          <w:rFonts w:cs="Arial"/>
          <w:i/>
          <w:iCs/>
        </w:rPr>
        <w:t>Reiteration of Existing OSHA Policy on Indoor Air Quality: Office Temperature/Humidity and Environmental Tobacco Smoke | Occupational Safety and Health Administration</w:t>
      </w:r>
      <w:r w:rsidRPr="0025692F">
        <w:rPr>
          <w:rFonts w:cs="Arial"/>
        </w:rPr>
        <w:t>. (n.d.). Retrieved September 23, 2024, from https://www.osha.gov/laws-regs/standardinterpretations/2003-02-24</w:t>
      </w:r>
    </w:p>
    <w:p w14:paraId="2932A4B5" w14:textId="77777777" w:rsidR="0025692F" w:rsidRPr="0025692F" w:rsidRDefault="0025692F" w:rsidP="0025692F">
      <w:pPr>
        <w:pStyle w:val="Bibliography"/>
        <w:rPr>
          <w:rFonts w:cs="Arial"/>
        </w:rPr>
      </w:pPr>
      <w:r w:rsidRPr="0025692F">
        <w:rPr>
          <w:rFonts w:cs="Arial"/>
        </w:rPr>
        <w:t xml:space="preserve">342. Massachusetts Court System, &amp; Trial Court Law Libraries. (2024, March 11). </w:t>
      </w:r>
      <w:r w:rsidRPr="0025692F">
        <w:rPr>
          <w:rFonts w:cs="Arial"/>
          <w:i/>
          <w:iCs/>
        </w:rPr>
        <w:t>Massachusetts law about winter heating</w:t>
      </w:r>
      <w:r w:rsidRPr="0025692F">
        <w:rPr>
          <w:rFonts w:cs="Arial"/>
        </w:rPr>
        <w:t>. Mass.Gov. https://www.mass.gov/info-details/massachusetts-law-about-winter-heating</w:t>
      </w:r>
    </w:p>
    <w:p w14:paraId="16E5794A" w14:textId="77777777" w:rsidR="0025692F" w:rsidRPr="0025692F" w:rsidRDefault="0025692F" w:rsidP="0025692F">
      <w:pPr>
        <w:pStyle w:val="Bibliography"/>
        <w:rPr>
          <w:rFonts w:cs="Arial"/>
        </w:rPr>
      </w:pPr>
      <w:r w:rsidRPr="0025692F">
        <w:rPr>
          <w:rFonts w:cs="Arial"/>
        </w:rPr>
        <w:t xml:space="preserve">343. </w:t>
      </w:r>
      <w:r w:rsidRPr="0025692F">
        <w:rPr>
          <w:rFonts w:cs="Arial"/>
          <w:i/>
          <w:iCs/>
        </w:rPr>
        <w:t>Minimum Workplace Heating Guidelines | Mass.gov</w:t>
      </w:r>
      <w:r w:rsidRPr="0025692F">
        <w:rPr>
          <w:rFonts w:cs="Arial"/>
        </w:rPr>
        <w:t>. (n.d.). Retrieved September 23, 2024, from https://www.mass.gov/doc/minimum-workplace-heating-guidelines</w:t>
      </w:r>
    </w:p>
    <w:p w14:paraId="7C6AD4EF" w14:textId="77777777" w:rsidR="0025692F" w:rsidRPr="0025692F" w:rsidRDefault="0025692F" w:rsidP="0025692F">
      <w:pPr>
        <w:pStyle w:val="Bibliography"/>
        <w:rPr>
          <w:rFonts w:cs="Arial"/>
        </w:rPr>
      </w:pPr>
      <w:r w:rsidRPr="0025692F">
        <w:rPr>
          <w:rFonts w:cs="Arial"/>
        </w:rPr>
        <w:t xml:space="preserve">344. </w:t>
      </w:r>
      <w:r w:rsidRPr="0025692F">
        <w:rPr>
          <w:rFonts w:cs="Arial"/>
          <w:i/>
          <w:iCs/>
        </w:rPr>
        <w:t>A Comprehensive Strategy to Address Extreme Heat in Schools</w:t>
      </w:r>
      <w:r w:rsidRPr="0025692F">
        <w:rPr>
          <w:rFonts w:cs="Arial"/>
        </w:rPr>
        <w:t>. (n.d.). Retrieved September 23, 2024, from https://fas.org/publication/extreme-heat-schools/</w:t>
      </w:r>
    </w:p>
    <w:p w14:paraId="2977D8D9" w14:textId="77777777" w:rsidR="0025692F" w:rsidRPr="0025692F" w:rsidRDefault="0025692F" w:rsidP="0025692F">
      <w:pPr>
        <w:pStyle w:val="Bibliography"/>
        <w:rPr>
          <w:rFonts w:cs="Arial"/>
        </w:rPr>
      </w:pPr>
      <w:r w:rsidRPr="0025692F">
        <w:rPr>
          <w:rFonts w:cs="Arial"/>
        </w:rPr>
        <w:t xml:space="preserve">345. OSHA. (2021, October 27). </w:t>
      </w:r>
      <w:r w:rsidRPr="0025692F">
        <w:rPr>
          <w:rFonts w:cs="Arial"/>
          <w:i/>
          <w:iCs/>
        </w:rPr>
        <w:t>Heat Injury and Illness Prevention in Outdoor and Indoor Work Settings: Advance notice of proposed rulemaking</w:t>
      </w:r>
      <w:r w:rsidRPr="0025692F">
        <w:rPr>
          <w:rFonts w:cs="Arial"/>
        </w:rPr>
        <w:t>. Federal Register. https://www.federalregister.gov/documents/2021/10/27/2021-23250/heat-injury-and-illness-prevention-in-outdoor-and-indoor-work-settings</w:t>
      </w:r>
    </w:p>
    <w:p w14:paraId="75C6D8C4" w14:textId="77777777" w:rsidR="0025692F" w:rsidRPr="0025692F" w:rsidRDefault="0025692F" w:rsidP="0025692F">
      <w:pPr>
        <w:pStyle w:val="Bibliography"/>
        <w:rPr>
          <w:rFonts w:cs="Arial"/>
        </w:rPr>
      </w:pPr>
      <w:r w:rsidRPr="0025692F">
        <w:rPr>
          <w:rFonts w:cs="Arial"/>
        </w:rPr>
        <w:t xml:space="preserve">346. U.S. Department of Energy. (2007). </w:t>
      </w:r>
      <w:r w:rsidRPr="0025692F">
        <w:rPr>
          <w:rFonts w:cs="Arial"/>
          <w:i/>
          <w:iCs/>
        </w:rPr>
        <w:t>National Best Practices Manual for Building High Performance Schools</w:t>
      </w:r>
      <w:r w:rsidRPr="0025692F">
        <w:rPr>
          <w:rFonts w:cs="Arial"/>
        </w:rPr>
        <w:t>. https://www.energy.gov/eere/articles/national-best-practices-manual-building-high-performance-schools</w:t>
      </w:r>
    </w:p>
    <w:p w14:paraId="6876D288" w14:textId="77777777" w:rsidR="0025692F" w:rsidRPr="0025692F" w:rsidRDefault="0025692F" w:rsidP="0025692F">
      <w:pPr>
        <w:pStyle w:val="Bibliography"/>
        <w:rPr>
          <w:rFonts w:cs="Arial"/>
        </w:rPr>
      </w:pPr>
      <w:r w:rsidRPr="0025692F">
        <w:rPr>
          <w:rFonts w:cs="Arial"/>
        </w:rPr>
        <w:t xml:space="preserve">347. Gorman, N. (2015, May 8). </w:t>
      </w:r>
      <w:r w:rsidRPr="0025692F">
        <w:rPr>
          <w:rFonts w:cs="Arial"/>
          <w:i/>
          <w:iCs/>
        </w:rPr>
        <w:t>Tips for Keeping Cool in the Classroom</w:t>
      </w:r>
      <w:r w:rsidRPr="0025692F">
        <w:rPr>
          <w:rFonts w:cs="Arial"/>
        </w:rPr>
        <w:t>. Education World. https://www.educationworld.com/tips-keeping-cool-classroom</w:t>
      </w:r>
    </w:p>
    <w:p w14:paraId="3177AB03" w14:textId="77777777" w:rsidR="0025692F" w:rsidRPr="0025692F" w:rsidRDefault="0025692F" w:rsidP="0025692F">
      <w:pPr>
        <w:pStyle w:val="Bibliography"/>
        <w:rPr>
          <w:rFonts w:cs="Arial"/>
        </w:rPr>
      </w:pPr>
      <w:r w:rsidRPr="0025692F">
        <w:rPr>
          <w:rFonts w:cs="Arial"/>
        </w:rPr>
        <w:t>348. 603 CMR 18.00: Program and Safety Standards for Approved Public or Private Day and Residential Special Education School Programs, 603 CMR 18.00 Code of Massachusetts Register (2016). https://www.mass.gov/regulations/603-CMR-1800-program-and-safety-standards-for-approved-public-or-private-day-and-residential-special-education-school-programs</w:t>
      </w:r>
    </w:p>
    <w:p w14:paraId="56E85261" w14:textId="77777777" w:rsidR="0025692F" w:rsidRPr="0025692F" w:rsidRDefault="0025692F" w:rsidP="0025692F">
      <w:pPr>
        <w:pStyle w:val="Bibliography"/>
        <w:rPr>
          <w:rFonts w:cs="Arial"/>
        </w:rPr>
      </w:pPr>
      <w:r w:rsidRPr="0025692F">
        <w:rPr>
          <w:rFonts w:cs="Arial"/>
        </w:rPr>
        <w:t xml:space="preserve">349. ASHRAE. (n.d.). </w:t>
      </w:r>
      <w:r w:rsidRPr="0025692F">
        <w:rPr>
          <w:rFonts w:cs="Arial"/>
          <w:i/>
          <w:iCs/>
        </w:rPr>
        <w:t>Standard 55 – Thermal Environmental Conditions for Human Occupancy</w:t>
      </w:r>
      <w:r w:rsidRPr="0025692F">
        <w:rPr>
          <w:rFonts w:cs="Arial"/>
        </w:rPr>
        <w:t>. Retrieved August 6, 2024, from https://www.ashrae.org/technical-resources/bookstore/standard-55-thermal-environmental-conditions-for-human-occupancy</w:t>
      </w:r>
    </w:p>
    <w:p w14:paraId="29AD273C" w14:textId="77777777" w:rsidR="0025692F" w:rsidRPr="0025692F" w:rsidRDefault="0025692F" w:rsidP="0025692F">
      <w:pPr>
        <w:pStyle w:val="Bibliography"/>
        <w:rPr>
          <w:rFonts w:cs="Arial"/>
        </w:rPr>
      </w:pPr>
      <w:r w:rsidRPr="0025692F">
        <w:rPr>
          <w:rFonts w:cs="Arial"/>
        </w:rPr>
        <w:t>350. Massachusetts Pesticide Control Act, M.G.L., c. 132B § 2—6I. https://malegislature.gov/Laws/GeneralLaws/PartI/TitleXIX/Chapter132b</w:t>
      </w:r>
    </w:p>
    <w:p w14:paraId="72C6F406" w14:textId="77777777" w:rsidR="0025692F" w:rsidRPr="0025692F" w:rsidRDefault="0025692F" w:rsidP="0025692F">
      <w:pPr>
        <w:pStyle w:val="Bibliography"/>
        <w:rPr>
          <w:rFonts w:cs="Arial"/>
        </w:rPr>
      </w:pPr>
      <w:r w:rsidRPr="0025692F">
        <w:rPr>
          <w:rFonts w:cs="Arial"/>
        </w:rPr>
        <w:t>351. Standards for Application, 333 CMR 13.00 (2017). https://www.mass.gov/regulations/333-CMR-1300-standards-for-application</w:t>
      </w:r>
    </w:p>
    <w:p w14:paraId="558C721B" w14:textId="77777777" w:rsidR="0025692F" w:rsidRPr="0025692F" w:rsidRDefault="0025692F" w:rsidP="0025692F">
      <w:pPr>
        <w:pStyle w:val="Bibliography"/>
        <w:rPr>
          <w:rFonts w:cs="Arial"/>
        </w:rPr>
      </w:pPr>
      <w:r w:rsidRPr="0025692F">
        <w:rPr>
          <w:rFonts w:cs="Arial"/>
        </w:rPr>
        <w:t xml:space="preserve">352. US EPA. (2008, November). </w:t>
      </w:r>
      <w:r w:rsidRPr="0025692F">
        <w:rPr>
          <w:rFonts w:cs="Arial"/>
          <w:i/>
          <w:iCs/>
        </w:rPr>
        <w:t>Building Successful Programs to Address Chemical Risks in Schools</w:t>
      </w:r>
      <w:r w:rsidRPr="0025692F">
        <w:rPr>
          <w:rFonts w:cs="Arial"/>
        </w:rPr>
        <w:t>.</w:t>
      </w:r>
    </w:p>
    <w:p w14:paraId="08024D41" w14:textId="77777777" w:rsidR="0025692F" w:rsidRPr="0025692F" w:rsidRDefault="0025692F" w:rsidP="0025692F">
      <w:pPr>
        <w:pStyle w:val="Bibliography"/>
        <w:rPr>
          <w:rFonts w:cs="Arial"/>
        </w:rPr>
      </w:pPr>
      <w:r w:rsidRPr="0025692F">
        <w:rPr>
          <w:rFonts w:cs="Arial"/>
        </w:rPr>
        <w:t xml:space="preserve">353. MDPH. (2016, May). </w:t>
      </w:r>
      <w:r w:rsidRPr="0025692F">
        <w:rPr>
          <w:rFonts w:cs="Arial"/>
          <w:i/>
          <w:iCs/>
        </w:rPr>
        <w:t>Guidance Concerning Proper Use and Storage of Chemicals in Schools to Protect Public Health</w:t>
      </w:r>
      <w:r w:rsidRPr="0025692F">
        <w:rPr>
          <w:rFonts w:cs="Arial"/>
        </w:rPr>
        <w:t>.</w:t>
      </w:r>
    </w:p>
    <w:p w14:paraId="5B5A691D" w14:textId="77777777" w:rsidR="0025692F" w:rsidRPr="0025692F" w:rsidRDefault="0025692F" w:rsidP="0025692F">
      <w:pPr>
        <w:pStyle w:val="Bibliography"/>
        <w:rPr>
          <w:rFonts w:cs="Arial"/>
        </w:rPr>
      </w:pPr>
      <w:r w:rsidRPr="0025692F">
        <w:rPr>
          <w:rFonts w:cs="Arial"/>
        </w:rPr>
        <w:t xml:space="preserve">354. The General Court of the Commonwealth of Massachusetts. (n.d.). </w:t>
      </w:r>
      <w:r w:rsidRPr="0025692F">
        <w:rPr>
          <w:rFonts w:cs="Arial"/>
          <w:i/>
          <w:iCs/>
        </w:rPr>
        <w:t>Chapter 21C: Massachusetts Hazardous Waste Management</w:t>
      </w:r>
      <w:r w:rsidRPr="0025692F">
        <w:rPr>
          <w:rFonts w:cs="Arial"/>
        </w:rPr>
        <w:t>. https://malegislature.gov/Laws/GeneralLaws/PartI/TitleII/Chapter21C</w:t>
      </w:r>
    </w:p>
    <w:p w14:paraId="367F67B6" w14:textId="77777777" w:rsidR="0025692F" w:rsidRPr="0025692F" w:rsidRDefault="0025692F" w:rsidP="0025692F">
      <w:pPr>
        <w:pStyle w:val="Bibliography"/>
        <w:rPr>
          <w:rFonts w:cs="Arial"/>
        </w:rPr>
      </w:pPr>
      <w:r w:rsidRPr="0025692F">
        <w:rPr>
          <w:rFonts w:cs="Arial"/>
        </w:rPr>
        <w:t xml:space="preserve">355. The General Court of the Commonwealth of Massachusetts. (n.d.). </w:t>
      </w:r>
      <w:r w:rsidRPr="0025692F">
        <w:rPr>
          <w:rFonts w:cs="Arial"/>
          <w:i/>
          <w:iCs/>
        </w:rPr>
        <w:t>Chapter 111F: Hazardous Substances disclosure by Employers</w:t>
      </w:r>
      <w:r w:rsidRPr="0025692F">
        <w:rPr>
          <w:rFonts w:cs="Arial"/>
        </w:rPr>
        <w:t>. https://malegislature.gov/Laws/GeneralLaws/PartI/TitleXVI/Chapter111F</w:t>
      </w:r>
    </w:p>
    <w:p w14:paraId="50BA735A" w14:textId="77777777" w:rsidR="0025692F" w:rsidRPr="0025692F" w:rsidRDefault="0025692F" w:rsidP="0025692F">
      <w:pPr>
        <w:pStyle w:val="Bibliography"/>
        <w:rPr>
          <w:rFonts w:cs="Arial"/>
        </w:rPr>
      </w:pPr>
      <w:r w:rsidRPr="0025692F">
        <w:rPr>
          <w:rFonts w:cs="Arial"/>
        </w:rPr>
        <w:t xml:space="preserve">356. The General Court of the Commonwealth of Massachusetts. (n.d.). </w:t>
      </w:r>
      <w:r w:rsidRPr="0025692F">
        <w:rPr>
          <w:rFonts w:cs="Arial"/>
          <w:i/>
          <w:iCs/>
        </w:rPr>
        <w:t>Chapter 21I: Massachusetts Toxics Use Reduction Act</w:t>
      </w:r>
      <w:r w:rsidRPr="0025692F">
        <w:rPr>
          <w:rFonts w:cs="Arial"/>
        </w:rPr>
        <w:t>. https://malegislature.gov/Laws/GeneralLaws/PartI/TitleII/Chapter21I</w:t>
      </w:r>
    </w:p>
    <w:p w14:paraId="1BE8336A" w14:textId="77777777" w:rsidR="0025692F" w:rsidRPr="0025692F" w:rsidRDefault="0025692F" w:rsidP="0025692F">
      <w:pPr>
        <w:pStyle w:val="Bibliography"/>
        <w:rPr>
          <w:rFonts w:cs="Arial"/>
        </w:rPr>
      </w:pPr>
      <w:r w:rsidRPr="0025692F">
        <w:rPr>
          <w:rFonts w:cs="Arial"/>
        </w:rPr>
        <w:t xml:space="preserve">357. US EPA. (n.d.). </w:t>
      </w:r>
      <w:r w:rsidRPr="0025692F">
        <w:rPr>
          <w:rFonts w:cs="Arial"/>
          <w:i/>
          <w:iCs/>
        </w:rPr>
        <w:t>Resource Conservation and Recovery Act (RCRA) Overview</w:t>
      </w:r>
      <w:r w:rsidRPr="0025692F">
        <w:rPr>
          <w:rFonts w:cs="Arial"/>
        </w:rPr>
        <w:t>. https://www.epa.gov/rcra/resource-conservation-and-recovery-act-rcra-overview</w:t>
      </w:r>
    </w:p>
    <w:p w14:paraId="36093CAE" w14:textId="77777777" w:rsidR="0025692F" w:rsidRPr="0025692F" w:rsidRDefault="0025692F" w:rsidP="0025692F">
      <w:pPr>
        <w:pStyle w:val="Bibliography"/>
        <w:rPr>
          <w:rFonts w:cs="Arial"/>
        </w:rPr>
      </w:pPr>
      <w:r w:rsidRPr="0025692F">
        <w:rPr>
          <w:rFonts w:cs="Arial"/>
        </w:rPr>
        <w:t xml:space="preserve">358. Massachusetts Department of Labor Standards. (2017, January 13). </w:t>
      </w:r>
      <w:r w:rsidRPr="0025692F">
        <w:rPr>
          <w:rFonts w:cs="Arial"/>
          <w:i/>
          <w:iCs/>
        </w:rPr>
        <w:t>454 CMR 22.00: Deleading and Lead-Safe Renovation Regulations</w:t>
      </w:r>
      <w:r w:rsidRPr="0025692F">
        <w:rPr>
          <w:rFonts w:cs="Arial"/>
        </w:rPr>
        <w:t>. https://www.mass.gov/doc/454-cmr-22-deleading-and-lead-safe-renovation-regulations/download</w:t>
      </w:r>
    </w:p>
    <w:p w14:paraId="1B69AA84" w14:textId="77777777" w:rsidR="0025692F" w:rsidRPr="0025692F" w:rsidRDefault="0025692F" w:rsidP="0025692F">
      <w:pPr>
        <w:pStyle w:val="Bibliography"/>
        <w:rPr>
          <w:rFonts w:cs="Arial"/>
        </w:rPr>
      </w:pPr>
      <w:r w:rsidRPr="0025692F">
        <w:rPr>
          <w:rFonts w:cs="Arial"/>
        </w:rPr>
        <w:lastRenderedPageBreak/>
        <w:t xml:space="preserve">359. US EPA. (2024, January 30). </w:t>
      </w:r>
      <w:r w:rsidRPr="0025692F">
        <w:rPr>
          <w:rFonts w:cs="Arial"/>
          <w:i/>
          <w:iCs/>
        </w:rPr>
        <w:t>Protect Your Family from Sources of Lead</w:t>
      </w:r>
      <w:r w:rsidRPr="0025692F">
        <w:rPr>
          <w:rFonts w:cs="Arial"/>
        </w:rPr>
        <w:t>. https://www.epa.gov/lead/protect-your-family-sources-lead</w:t>
      </w:r>
    </w:p>
    <w:p w14:paraId="3FBF527C" w14:textId="77777777" w:rsidR="0025692F" w:rsidRPr="0025692F" w:rsidRDefault="0025692F" w:rsidP="0025692F">
      <w:pPr>
        <w:pStyle w:val="Bibliography"/>
        <w:rPr>
          <w:rFonts w:cs="Arial"/>
        </w:rPr>
      </w:pPr>
      <w:r w:rsidRPr="0025692F">
        <w:rPr>
          <w:rFonts w:cs="Arial"/>
        </w:rPr>
        <w:t>360. Lead Poisoning Prevention and Control, 105 CMR 460.000 (2017). https://www.mass.gov/regulations/105-CMR-46000-lead-poisoning-prevention-and-control</w:t>
      </w:r>
    </w:p>
    <w:p w14:paraId="29CC324B" w14:textId="77777777" w:rsidR="0025692F" w:rsidRPr="0025692F" w:rsidRDefault="0025692F" w:rsidP="0025692F">
      <w:pPr>
        <w:pStyle w:val="Bibliography"/>
        <w:rPr>
          <w:rFonts w:cs="Arial"/>
        </w:rPr>
      </w:pPr>
      <w:r w:rsidRPr="0025692F">
        <w:rPr>
          <w:rFonts w:cs="Arial"/>
        </w:rPr>
        <w:t xml:space="preserve">361. US EPA. (2000, February 23). </w:t>
      </w:r>
      <w:r w:rsidRPr="0025692F">
        <w:rPr>
          <w:rFonts w:cs="Arial"/>
          <w:i/>
          <w:iCs/>
        </w:rPr>
        <w:t>TSCA Sections 402/404 Training, Certification, Accreditation, and Standards for Lead-Based Paint Activities</w:t>
      </w:r>
      <w:r w:rsidRPr="0025692F">
        <w:rPr>
          <w:rFonts w:cs="Arial"/>
        </w:rPr>
        <w:t>. https://www.federalregister.gov/documents/2000/02/23/00-4240/tsca-sections-402404-training-certification-accreditation-and-standards-for-lead-based-paint</w:t>
      </w:r>
    </w:p>
    <w:p w14:paraId="19B23985" w14:textId="77777777" w:rsidR="0025692F" w:rsidRPr="0025692F" w:rsidRDefault="0025692F" w:rsidP="0025692F">
      <w:pPr>
        <w:pStyle w:val="Bibliography"/>
        <w:rPr>
          <w:rFonts w:cs="Arial"/>
        </w:rPr>
      </w:pPr>
      <w:r w:rsidRPr="0025692F">
        <w:rPr>
          <w:rFonts w:cs="Arial"/>
        </w:rPr>
        <w:t xml:space="preserve">362. US EPA. (2008, December 8). </w:t>
      </w:r>
      <w:r w:rsidRPr="0025692F">
        <w:rPr>
          <w:rFonts w:cs="Arial"/>
          <w:i/>
          <w:iCs/>
        </w:rPr>
        <w:t>40 CFR Part 745 Subpart E: Residential Property Renovation: State, Territorial and Tribal Program Authorization Application Guidance</w:t>
      </w:r>
      <w:r w:rsidRPr="0025692F">
        <w:rPr>
          <w:rFonts w:cs="Arial"/>
        </w:rPr>
        <w:t>. https://19january2017snapshot.epa.gov/sites/production/files/documents/statetribalguidance.pdf</w:t>
      </w:r>
    </w:p>
    <w:p w14:paraId="655567B9" w14:textId="77777777" w:rsidR="0025692F" w:rsidRPr="0025692F" w:rsidRDefault="0025692F" w:rsidP="0025692F">
      <w:pPr>
        <w:pStyle w:val="Bibliography"/>
        <w:rPr>
          <w:rFonts w:cs="Arial"/>
        </w:rPr>
      </w:pPr>
      <w:r w:rsidRPr="0025692F">
        <w:rPr>
          <w:rFonts w:cs="Arial"/>
        </w:rPr>
        <w:t xml:space="preserve">363. MDPH. (n.d.). </w:t>
      </w:r>
      <w:r w:rsidRPr="0025692F">
        <w:rPr>
          <w:rFonts w:cs="Arial"/>
          <w:i/>
          <w:iCs/>
        </w:rPr>
        <w:t>When Mercury-Added Products break, what do you do?</w:t>
      </w:r>
    </w:p>
    <w:p w14:paraId="18791E31" w14:textId="77777777" w:rsidR="0025692F" w:rsidRPr="0025692F" w:rsidRDefault="0025692F" w:rsidP="0025692F">
      <w:pPr>
        <w:pStyle w:val="Bibliography"/>
        <w:rPr>
          <w:rFonts w:cs="Arial"/>
        </w:rPr>
      </w:pPr>
      <w:r w:rsidRPr="0025692F">
        <w:rPr>
          <w:rFonts w:cs="Arial"/>
        </w:rPr>
        <w:t xml:space="preserve">364. MDPH. (n.d.). </w:t>
      </w:r>
      <w:r w:rsidRPr="0025692F">
        <w:rPr>
          <w:rFonts w:cs="Arial"/>
          <w:i/>
          <w:iCs/>
        </w:rPr>
        <w:t>Mercury Spill Clean Up Procedure</w:t>
      </w:r>
      <w:r w:rsidRPr="0025692F">
        <w:rPr>
          <w:rFonts w:cs="Arial"/>
        </w:rPr>
        <w:t>. https://www.mass.gov/info-details/mercury-spill-clean-up-procedure</w:t>
      </w:r>
    </w:p>
    <w:p w14:paraId="79880C8C" w14:textId="77777777" w:rsidR="0025692F" w:rsidRPr="0025692F" w:rsidRDefault="0025692F" w:rsidP="0025692F">
      <w:pPr>
        <w:pStyle w:val="Bibliography"/>
        <w:rPr>
          <w:rFonts w:cs="Arial"/>
        </w:rPr>
      </w:pPr>
      <w:r w:rsidRPr="0025692F">
        <w:rPr>
          <w:rFonts w:cs="Arial"/>
        </w:rPr>
        <w:t xml:space="preserve">365. MassDEP. (n.d.). </w:t>
      </w:r>
      <w:r w:rsidRPr="0025692F">
        <w:rPr>
          <w:rFonts w:cs="Arial"/>
          <w:i/>
          <w:iCs/>
        </w:rPr>
        <w:t>Getting Mercury Out of Schools: Guidance for Private and Parochial Schools in Massachusetts</w:t>
      </w:r>
      <w:r w:rsidRPr="0025692F">
        <w:rPr>
          <w:rFonts w:cs="Arial"/>
        </w:rPr>
        <w:t>.</w:t>
      </w:r>
    </w:p>
    <w:p w14:paraId="73565363" w14:textId="77777777" w:rsidR="0025692F" w:rsidRPr="0025692F" w:rsidRDefault="0025692F" w:rsidP="0025692F">
      <w:pPr>
        <w:pStyle w:val="Bibliography"/>
        <w:rPr>
          <w:rFonts w:cs="Arial"/>
        </w:rPr>
      </w:pPr>
      <w:r w:rsidRPr="0025692F">
        <w:rPr>
          <w:rFonts w:cs="Arial"/>
        </w:rPr>
        <w:t xml:space="preserve">366. Northeast Waste Management Officials’ Association. (2007, October). </w:t>
      </w:r>
      <w:r w:rsidRPr="0025692F">
        <w:rPr>
          <w:rFonts w:cs="Arial"/>
          <w:i/>
          <w:iCs/>
        </w:rPr>
        <w:t>Mercury Use in School Classrooms: Summary and Assessment of Non-Mercury Alternatives</w:t>
      </w:r>
      <w:r w:rsidRPr="0025692F">
        <w:rPr>
          <w:rFonts w:cs="Arial"/>
        </w:rPr>
        <w:t>.</w:t>
      </w:r>
    </w:p>
    <w:p w14:paraId="51C9F8F8" w14:textId="77777777" w:rsidR="0025692F" w:rsidRPr="0025692F" w:rsidRDefault="0025692F" w:rsidP="0025692F">
      <w:pPr>
        <w:pStyle w:val="Bibliography"/>
        <w:rPr>
          <w:rFonts w:cs="Arial"/>
        </w:rPr>
      </w:pPr>
      <w:r w:rsidRPr="0025692F">
        <w:rPr>
          <w:rFonts w:cs="Arial"/>
        </w:rPr>
        <w:t xml:space="preserve">367. MassDEP. (n.d.). </w:t>
      </w:r>
      <w:r w:rsidRPr="0025692F">
        <w:rPr>
          <w:rFonts w:cs="Arial"/>
          <w:i/>
          <w:iCs/>
        </w:rPr>
        <w:t>Making Massachusetts Schools Mercury-Free</w:t>
      </w:r>
      <w:r w:rsidRPr="0025692F">
        <w:rPr>
          <w:rFonts w:cs="Arial"/>
        </w:rPr>
        <w:t>.</w:t>
      </w:r>
    </w:p>
    <w:p w14:paraId="4C61339C" w14:textId="77777777" w:rsidR="0025692F" w:rsidRPr="0025692F" w:rsidRDefault="0025692F" w:rsidP="0025692F">
      <w:pPr>
        <w:pStyle w:val="Bibliography"/>
        <w:rPr>
          <w:rFonts w:cs="Arial"/>
        </w:rPr>
      </w:pPr>
      <w:r w:rsidRPr="0025692F">
        <w:rPr>
          <w:rFonts w:cs="Arial"/>
        </w:rPr>
        <w:t xml:space="preserve">368. The General Court of the Commonwealth of Massachusetts. (n.d.). </w:t>
      </w:r>
      <w:r w:rsidRPr="0025692F">
        <w:rPr>
          <w:rFonts w:cs="Arial"/>
          <w:i/>
          <w:iCs/>
        </w:rPr>
        <w:t>Section 6G: Purchase of elemental mercury, mercury compounds and mercury-added equipment and materials by schools</w:t>
      </w:r>
      <w:r w:rsidRPr="0025692F">
        <w:rPr>
          <w:rFonts w:cs="Arial"/>
        </w:rPr>
        <w:t>. https://malegislature.gov/Laws/GeneralLaws/PartI/TitleII/Chapter21H/Section6G</w:t>
      </w:r>
    </w:p>
    <w:p w14:paraId="4805C8A1" w14:textId="77777777" w:rsidR="0025692F" w:rsidRPr="0025692F" w:rsidRDefault="0025692F" w:rsidP="0025692F">
      <w:pPr>
        <w:pStyle w:val="Bibliography"/>
        <w:rPr>
          <w:rFonts w:cs="Arial"/>
        </w:rPr>
      </w:pPr>
      <w:r w:rsidRPr="0025692F">
        <w:rPr>
          <w:rFonts w:cs="Arial"/>
        </w:rPr>
        <w:t xml:space="preserve">369. The General Court of the Commonwealth of Massachusetts. (n.d.). </w:t>
      </w:r>
      <w:r w:rsidRPr="0025692F">
        <w:rPr>
          <w:rFonts w:cs="Arial"/>
          <w:i/>
          <w:iCs/>
        </w:rPr>
        <w:t>Section 6I: Disposal of mercury-added products; education program; discharge of mercury into water; scrap recycling of multi-component products containing mercury</w:t>
      </w:r>
      <w:r w:rsidRPr="0025692F">
        <w:rPr>
          <w:rFonts w:cs="Arial"/>
        </w:rPr>
        <w:t>. https://malegislature.gov/Laws/GeneralLaws/PartI/TitleII/Chapter21H/Section6I</w:t>
      </w:r>
    </w:p>
    <w:p w14:paraId="20EEA3FA" w14:textId="77777777" w:rsidR="0025692F" w:rsidRPr="0025692F" w:rsidRDefault="0025692F" w:rsidP="0025692F">
      <w:pPr>
        <w:pStyle w:val="Bibliography"/>
        <w:rPr>
          <w:rFonts w:cs="Arial"/>
        </w:rPr>
      </w:pPr>
      <w:r w:rsidRPr="0025692F">
        <w:rPr>
          <w:rFonts w:cs="Arial"/>
        </w:rPr>
        <w:t xml:space="preserve">370. US EPA. (2024, April 22). </w:t>
      </w:r>
      <w:r w:rsidRPr="0025692F">
        <w:rPr>
          <w:rFonts w:cs="Arial"/>
          <w:i/>
          <w:iCs/>
        </w:rPr>
        <w:t>Environmental Laws that Apply to Mercury</w:t>
      </w:r>
      <w:r w:rsidRPr="0025692F">
        <w:rPr>
          <w:rFonts w:cs="Arial"/>
        </w:rPr>
        <w:t>. https://www.epa.gov/mercury/environmental-laws-apply-mercury#:~:text=The%20Resource%20Conservation%20and%20Recovery,EPA's%20treatment%20and%20recycling%20standards.</w:t>
      </w:r>
    </w:p>
    <w:p w14:paraId="7E157F57" w14:textId="77777777" w:rsidR="0025692F" w:rsidRPr="0025692F" w:rsidRDefault="0025692F" w:rsidP="0025692F">
      <w:pPr>
        <w:pStyle w:val="Bibliography"/>
        <w:rPr>
          <w:rFonts w:cs="Arial"/>
        </w:rPr>
      </w:pPr>
      <w:r w:rsidRPr="0025692F">
        <w:rPr>
          <w:rFonts w:cs="Arial"/>
        </w:rPr>
        <w:t xml:space="preserve">371. US EPA. (2003, January 29). </w:t>
      </w:r>
      <w:r w:rsidRPr="0025692F">
        <w:rPr>
          <w:rFonts w:cs="Arial"/>
          <w:i/>
          <w:iCs/>
        </w:rPr>
        <w:t>Land Disposal Restrictions: Treatment Standards for Mercury-Bearing Hazardous Waste; Notice of Data Availability</w:t>
      </w:r>
      <w:r w:rsidRPr="0025692F">
        <w:rPr>
          <w:rFonts w:cs="Arial"/>
        </w:rPr>
        <w:t>. https://www.federalregister.gov/documents/2003/01/29/03-2035/land-disposal-restrictions-treatment-standards-for-mercury-bearing-hazardous-waste-notice-of-data#:~:text=Current%20regulations%20require%20that%20these,all%20other%20low%20mercury%20wastes.</w:t>
      </w:r>
    </w:p>
    <w:p w14:paraId="19C31E6D" w14:textId="77777777" w:rsidR="0025692F" w:rsidRPr="0025692F" w:rsidRDefault="0025692F" w:rsidP="0025692F">
      <w:pPr>
        <w:pStyle w:val="Bibliography"/>
        <w:rPr>
          <w:rFonts w:cs="Arial"/>
        </w:rPr>
      </w:pPr>
      <w:r w:rsidRPr="0025692F">
        <w:rPr>
          <w:rFonts w:cs="Arial"/>
        </w:rPr>
        <w:t xml:space="preserve">372. Toxic Use Reduction Institute (TURI). (2020). </w:t>
      </w:r>
      <w:r w:rsidRPr="0025692F">
        <w:rPr>
          <w:rFonts w:cs="Arial"/>
          <w:i/>
          <w:iCs/>
        </w:rPr>
        <w:t>Athletic Playing Fields and Artificial Turf: Considerations for Municipalities and Institutions</w:t>
      </w:r>
      <w:r w:rsidRPr="0025692F">
        <w:rPr>
          <w:rFonts w:cs="Arial"/>
        </w:rPr>
        <w:t>. University of Massachusetts Lowell. https://www.turi.org/publications/artificial-turf/</w:t>
      </w:r>
    </w:p>
    <w:p w14:paraId="6D72EBC6" w14:textId="77777777" w:rsidR="0025692F" w:rsidRPr="0025692F" w:rsidRDefault="0025692F" w:rsidP="0025692F">
      <w:pPr>
        <w:pStyle w:val="Bibliography"/>
        <w:rPr>
          <w:rFonts w:cs="Arial"/>
        </w:rPr>
      </w:pPr>
      <w:r w:rsidRPr="0025692F">
        <w:rPr>
          <w:rFonts w:cs="Arial"/>
        </w:rPr>
        <w:t xml:space="preserve">373. Abel, D. (2019, October 19). Toxic chemicals are found in blades of artificial turf. </w:t>
      </w:r>
      <w:r w:rsidRPr="0025692F">
        <w:rPr>
          <w:rFonts w:cs="Arial"/>
          <w:i/>
          <w:iCs/>
        </w:rPr>
        <w:t>The Boston Globe</w:t>
      </w:r>
      <w:r w:rsidRPr="0025692F">
        <w:rPr>
          <w:rFonts w:cs="Arial"/>
        </w:rPr>
        <w:t>. https://www.bostonglobe.com/metro/2019/10/09/toxic-chemicals-found-blades-artificial-turf/1mlVxXjzCAqRahwgXtfy6K/story.html</w:t>
      </w:r>
    </w:p>
    <w:p w14:paraId="6CCC0343" w14:textId="77777777" w:rsidR="0025692F" w:rsidRPr="0025692F" w:rsidRDefault="0025692F" w:rsidP="0025692F">
      <w:pPr>
        <w:pStyle w:val="Bibliography"/>
        <w:rPr>
          <w:rFonts w:cs="Arial"/>
        </w:rPr>
      </w:pPr>
      <w:r w:rsidRPr="0025692F">
        <w:rPr>
          <w:rFonts w:cs="Arial"/>
        </w:rPr>
        <w:t xml:space="preserve">374. Raza, S. (2023, August 3). Artificial turf replacement sparks PFAS concerns in Newton. </w:t>
      </w:r>
      <w:r w:rsidRPr="0025692F">
        <w:rPr>
          <w:rFonts w:cs="Arial"/>
          <w:i/>
          <w:iCs/>
        </w:rPr>
        <w:t>The Boston Globe</w:t>
      </w:r>
      <w:r w:rsidRPr="0025692F">
        <w:rPr>
          <w:rFonts w:cs="Arial"/>
        </w:rPr>
        <w:t>. https://www.bostonglobe.com/2023/08/03/science/artificial-turf/</w:t>
      </w:r>
    </w:p>
    <w:p w14:paraId="69A616C0" w14:textId="77777777" w:rsidR="0025692F" w:rsidRPr="0025692F" w:rsidRDefault="0025692F" w:rsidP="0025692F">
      <w:pPr>
        <w:pStyle w:val="Bibliography"/>
        <w:rPr>
          <w:rFonts w:cs="Arial"/>
        </w:rPr>
      </w:pPr>
      <w:r w:rsidRPr="0025692F">
        <w:rPr>
          <w:rFonts w:cs="Arial"/>
        </w:rPr>
        <w:t xml:space="preserve">375. </w:t>
      </w:r>
      <w:r w:rsidRPr="0025692F">
        <w:rPr>
          <w:rFonts w:cs="Arial"/>
          <w:i/>
          <w:iCs/>
        </w:rPr>
        <w:t>Voluntary Guidelines for Managing Food Allergies In Schools and Early Care and Education Programs</w:t>
      </w:r>
      <w:r w:rsidRPr="0025692F">
        <w:rPr>
          <w:rFonts w:cs="Arial"/>
        </w:rPr>
        <w:t>. (n.d.).</w:t>
      </w:r>
    </w:p>
    <w:p w14:paraId="23C3B5DE" w14:textId="77777777" w:rsidR="0025692F" w:rsidRPr="0025692F" w:rsidRDefault="0025692F" w:rsidP="0025692F">
      <w:pPr>
        <w:pStyle w:val="Bibliography"/>
        <w:rPr>
          <w:rFonts w:cs="Arial"/>
        </w:rPr>
      </w:pPr>
      <w:r w:rsidRPr="0025692F">
        <w:rPr>
          <w:rFonts w:cs="Arial"/>
        </w:rPr>
        <w:lastRenderedPageBreak/>
        <w:t xml:space="preserve">376. </w:t>
      </w:r>
      <w:r w:rsidRPr="0025692F">
        <w:rPr>
          <w:rFonts w:cs="Arial"/>
          <w:i/>
          <w:iCs/>
        </w:rPr>
        <w:t>Section 504 and Written Management Plans—FoodAllergy.org</w:t>
      </w:r>
      <w:r w:rsidRPr="0025692F">
        <w:rPr>
          <w:rFonts w:cs="Arial"/>
        </w:rPr>
        <w:t>. (n.d.). Retrieved September 23, 2024, from https://www.foodallergy.org/resources/section-504-and-written-management-plans</w:t>
      </w:r>
    </w:p>
    <w:p w14:paraId="2624D1A1" w14:textId="77777777" w:rsidR="0025692F" w:rsidRPr="0025692F" w:rsidRDefault="0025692F" w:rsidP="0025692F">
      <w:pPr>
        <w:pStyle w:val="Bibliography"/>
        <w:rPr>
          <w:rFonts w:cs="Arial"/>
        </w:rPr>
      </w:pPr>
      <w:r w:rsidRPr="0025692F">
        <w:rPr>
          <w:rFonts w:cs="Arial"/>
        </w:rPr>
        <w:t>377. Section 8A: Operators of School Buses; Licensing; Training; Instructors, Part 1 Title XIV c90 MGL § 8A. Retrieved July 29, 2024, from https://malegislature.gov/Laws/GeneralLaws/PartI/TitleXIV/Chapter90/Section8A</w:t>
      </w:r>
    </w:p>
    <w:p w14:paraId="6D8AC801" w14:textId="77777777" w:rsidR="0025692F" w:rsidRPr="0025692F" w:rsidRDefault="0025692F" w:rsidP="0025692F">
      <w:pPr>
        <w:pStyle w:val="Bibliography"/>
        <w:rPr>
          <w:rFonts w:cs="Arial"/>
        </w:rPr>
      </w:pPr>
      <w:r w:rsidRPr="0025692F">
        <w:rPr>
          <w:rFonts w:cs="Arial"/>
        </w:rPr>
        <w:t xml:space="preserve">378. </w:t>
      </w:r>
      <w:r w:rsidRPr="0025692F">
        <w:rPr>
          <w:rFonts w:cs="Arial"/>
          <w:i/>
          <w:iCs/>
        </w:rPr>
        <w:t>Food Allergen Awareness training and regulation | Mass.gov</w:t>
      </w:r>
      <w:r w:rsidRPr="0025692F">
        <w:rPr>
          <w:rFonts w:cs="Arial"/>
        </w:rPr>
        <w:t>. (n.d.). Retrieved July 29, 2024, from https://www.mass.gov/lists/food-allergen-awareness-training-and-regulation</w:t>
      </w:r>
    </w:p>
    <w:p w14:paraId="0027C940" w14:textId="77777777" w:rsidR="0025692F" w:rsidRPr="0025692F" w:rsidRDefault="0025692F" w:rsidP="0025692F">
      <w:pPr>
        <w:pStyle w:val="Bibliography"/>
        <w:rPr>
          <w:rFonts w:cs="Arial"/>
        </w:rPr>
      </w:pPr>
      <w:r w:rsidRPr="0025692F">
        <w:rPr>
          <w:rFonts w:cs="Arial"/>
        </w:rPr>
        <w:t>379. Section 55A: Sick, Injured or Incapacitated Pupils; Procedure for Handling; Emergency First Aid or Transportation; Exemption from Civil Liability, Part 1 Title XII c71 MGL § 55A. Retrieved July 29, 2024, from https://malegislature.gov/Laws/GeneralLaws/PartI/TitleXII/Chapter71/Section55A</w:t>
      </w:r>
    </w:p>
    <w:p w14:paraId="11604B88" w14:textId="77777777" w:rsidR="0025692F" w:rsidRPr="0025692F" w:rsidRDefault="0025692F" w:rsidP="0025692F">
      <w:pPr>
        <w:pStyle w:val="Bibliography"/>
        <w:rPr>
          <w:rFonts w:cs="Arial"/>
        </w:rPr>
      </w:pPr>
      <w:r w:rsidRPr="0025692F">
        <w:rPr>
          <w:rFonts w:cs="Arial"/>
        </w:rPr>
        <w:t>380. Section 6B: Food Allergy Awareness, Part 1, Title XX, c 140 MGL § 6B. Retrieved July 29, 2024, from https://malegislature.gov/Laws/GeneralLaws/PartI/TitleXX/Chapter140/Section6B</w:t>
      </w:r>
    </w:p>
    <w:p w14:paraId="363E6B7D" w14:textId="77777777" w:rsidR="0025692F" w:rsidRPr="0025692F" w:rsidRDefault="0025692F" w:rsidP="0025692F">
      <w:pPr>
        <w:pStyle w:val="Bibliography"/>
        <w:rPr>
          <w:rFonts w:cs="Arial"/>
        </w:rPr>
      </w:pPr>
      <w:r w:rsidRPr="0025692F">
        <w:rPr>
          <w:rFonts w:cs="Arial"/>
        </w:rPr>
        <w:t>381. Federal Rehabilitation Act of 1973. Retrieved June 24, 2024, from https://www.govinfo.gov/content/pkg/USCODE-2010-title29/pdf/USCODE-2010-title29-chap16-subchapV-sec794.pdf</w:t>
      </w:r>
    </w:p>
    <w:p w14:paraId="13AE5C68" w14:textId="77777777" w:rsidR="0025692F" w:rsidRPr="0025692F" w:rsidRDefault="0025692F" w:rsidP="0025692F">
      <w:pPr>
        <w:pStyle w:val="Bibliography"/>
        <w:rPr>
          <w:rFonts w:cs="Arial"/>
        </w:rPr>
      </w:pPr>
      <w:r w:rsidRPr="0025692F">
        <w:rPr>
          <w:rFonts w:cs="Arial"/>
        </w:rPr>
        <w:t>382. THE ADMINISTRATION OF PRESCRIPTION MEDICATIONS IN PUBLIC AND PRIVATE SCHOOLS, 105 210.100 CMR. https://www.mass.gov/doc/105-cmr-210-the-administration-of-prescription-medications-in-public-and-private-schools/download</w:t>
      </w:r>
    </w:p>
    <w:p w14:paraId="231BBE1A" w14:textId="77777777" w:rsidR="0025692F" w:rsidRPr="0025692F" w:rsidRDefault="0025692F" w:rsidP="0025692F">
      <w:pPr>
        <w:pStyle w:val="Bibliography"/>
        <w:rPr>
          <w:rFonts w:cs="Arial"/>
        </w:rPr>
      </w:pPr>
      <w:r w:rsidRPr="0025692F">
        <w:rPr>
          <w:rFonts w:cs="Arial"/>
        </w:rPr>
        <w:t>383. State Sanitary Code - Minimum Sanitation Standards for Food Establishments, 105 CMR 590.011. https://www.mass.gov/doc/105-cmr-590-state-sanitary-code-chapter-x-minimum-sanitation-standards-for-food-establishments/download</w:t>
      </w:r>
    </w:p>
    <w:p w14:paraId="7A58A762" w14:textId="77777777" w:rsidR="0025692F" w:rsidRPr="0025692F" w:rsidRDefault="0025692F" w:rsidP="0025692F">
      <w:pPr>
        <w:pStyle w:val="Bibliography"/>
        <w:rPr>
          <w:rFonts w:cs="Arial"/>
        </w:rPr>
      </w:pPr>
      <w:r w:rsidRPr="0025692F">
        <w:rPr>
          <w:rFonts w:cs="Arial"/>
        </w:rPr>
        <w:t>384. National School Lunch Program, Subtitle B c. II sc. A 210 7 CFR. Retrieved July 29, 2024, from https://www.ecfr.gov/current/title-7/part-210</w:t>
      </w:r>
    </w:p>
    <w:p w14:paraId="361A66CB" w14:textId="77777777" w:rsidR="0025692F" w:rsidRPr="0025692F" w:rsidRDefault="0025692F" w:rsidP="0025692F">
      <w:pPr>
        <w:pStyle w:val="Bibliography"/>
        <w:rPr>
          <w:rFonts w:cs="Arial"/>
        </w:rPr>
      </w:pPr>
      <w:r w:rsidRPr="0025692F">
        <w:rPr>
          <w:rFonts w:cs="Arial"/>
        </w:rPr>
        <w:t xml:space="preserve">385. MA Chapter of the American Institute of Architects. (n.d.). </w:t>
      </w:r>
      <w:r w:rsidRPr="0025692F">
        <w:rPr>
          <w:rFonts w:cs="Arial"/>
          <w:i/>
          <w:iCs/>
        </w:rPr>
        <w:t>Measuring Energy &amp; Health in Existing Massachusetts Schools: Recommendations for Implementing Section 83 of Chapter 179 of the Acts of 2022</w:t>
      </w:r>
      <w:r w:rsidRPr="0025692F">
        <w:rPr>
          <w:rFonts w:cs="Arial"/>
        </w:rPr>
        <w:t>.</w:t>
      </w:r>
    </w:p>
    <w:p w14:paraId="2DE64DE4" w14:textId="77777777" w:rsidR="0025692F" w:rsidRPr="0025692F" w:rsidRDefault="0025692F" w:rsidP="0025692F">
      <w:pPr>
        <w:pStyle w:val="Bibliography"/>
        <w:rPr>
          <w:rFonts w:cs="Arial"/>
        </w:rPr>
      </w:pPr>
      <w:r w:rsidRPr="0025692F">
        <w:rPr>
          <w:rFonts w:cs="Arial"/>
        </w:rPr>
        <w:t xml:space="preserve">386. The Educational Facilities Committee of the Illuminating Engineering Society of North America. (2013). </w:t>
      </w:r>
      <w:r w:rsidRPr="0025692F">
        <w:rPr>
          <w:rFonts w:cs="Arial"/>
          <w:i/>
          <w:iCs/>
        </w:rPr>
        <w:t>American National Standard Practice on Lighting for Educational Facilities</w:t>
      </w:r>
      <w:r w:rsidRPr="0025692F">
        <w:rPr>
          <w:rFonts w:cs="Arial"/>
        </w:rPr>
        <w:t>.</w:t>
      </w:r>
    </w:p>
    <w:p w14:paraId="7746FCFD" w14:textId="77777777" w:rsidR="0025692F" w:rsidRPr="0025692F" w:rsidRDefault="0025692F" w:rsidP="0025692F">
      <w:pPr>
        <w:pStyle w:val="Bibliography"/>
        <w:rPr>
          <w:rFonts w:cs="Arial"/>
        </w:rPr>
      </w:pPr>
      <w:r w:rsidRPr="0025692F">
        <w:rPr>
          <w:rFonts w:cs="Arial"/>
        </w:rPr>
        <w:t xml:space="preserve">387. Armstrong World Industries. (n.d.). </w:t>
      </w:r>
      <w:r w:rsidRPr="0025692F">
        <w:rPr>
          <w:rFonts w:cs="Arial"/>
          <w:i/>
          <w:iCs/>
        </w:rPr>
        <w:t>Meeting ANSI Standard S12.60 Requirements</w:t>
      </w:r>
      <w:r w:rsidRPr="0025692F">
        <w:rPr>
          <w:rFonts w:cs="Arial"/>
        </w:rPr>
        <w:t>.</w:t>
      </w:r>
    </w:p>
    <w:p w14:paraId="79647BF4" w14:textId="77777777" w:rsidR="0025692F" w:rsidRPr="0025692F" w:rsidRDefault="0025692F" w:rsidP="0025692F">
      <w:pPr>
        <w:pStyle w:val="Bibliography"/>
        <w:rPr>
          <w:rFonts w:cs="Arial"/>
        </w:rPr>
      </w:pPr>
      <w:r w:rsidRPr="0025692F">
        <w:rPr>
          <w:rFonts w:cs="Arial"/>
        </w:rPr>
        <w:t xml:space="preserve">388. Institute of Acoustics, &amp; Acoustics &amp; Noise Consultants. (2015). </w:t>
      </w:r>
      <w:r w:rsidRPr="0025692F">
        <w:rPr>
          <w:rFonts w:cs="Arial"/>
          <w:i/>
          <w:iCs/>
        </w:rPr>
        <w:t>Acoustics of Schools: A design guide</w:t>
      </w:r>
      <w:r w:rsidRPr="0025692F">
        <w:rPr>
          <w:rFonts w:cs="Arial"/>
        </w:rPr>
        <w:t>.</w:t>
      </w:r>
    </w:p>
    <w:p w14:paraId="1EF43E32" w14:textId="77777777" w:rsidR="0025692F" w:rsidRPr="0025692F" w:rsidRDefault="0025692F" w:rsidP="0025692F">
      <w:pPr>
        <w:pStyle w:val="Bibliography"/>
        <w:rPr>
          <w:rFonts w:cs="Arial"/>
        </w:rPr>
      </w:pPr>
      <w:r w:rsidRPr="0025692F">
        <w:rPr>
          <w:rFonts w:cs="Arial"/>
        </w:rPr>
        <w:t xml:space="preserve">389. Ulrich, R. S., Bogren, L., Gardiner, S. K., &amp; Lundin, S. (2018). Psychiatric ward design can reduce aggressive behavior. </w:t>
      </w:r>
      <w:r w:rsidRPr="0025692F">
        <w:rPr>
          <w:rFonts w:cs="Arial"/>
          <w:i/>
          <w:iCs/>
        </w:rPr>
        <w:t>Journal of Environmental Psychology</w:t>
      </w:r>
      <w:r w:rsidRPr="0025692F">
        <w:rPr>
          <w:rFonts w:cs="Arial"/>
        </w:rPr>
        <w:t xml:space="preserve">, </w:t>
      </w:r>
      <w:r w:rsidRPr="0025692F">
        <w:rPr>
          <w:rFonts w:cs="Arial"/>
          <w:i/>
          <w:iCs/>
        </w:rPr>
        <w:t>57</w:t>
      </w:r>
      <w:r w:rsidRPr="0025692F">
        <w:rPr>
          <w:rFonts w:cs="Arial"/>
        </w:rPr>
        <w:t>, 53–66. https://doi.org/10.1016/j.jenvp.2018.05.002</w:t>
      </w:r>
    </w:p>
    <w:p w14:paraId="1B02D610" w14:textId="77777777" w:rsidR="0025692F" w:rsidRPr="0025692F" w:rsidRDefault="0025692F" w:rsidP="0025692F">
      <w:pPr>
        <w:pStyle w:val="Bibliography"/>
        <w:rPr>
          <w:rFonts w:cs="Arial"/>
        </w:rPr>
      </w:pPr>
      <w:r w:rsidRPr="0025692F">
        <w:rPr>
          <w:rFonts w:cs="Arial"/>
        </w:rPr>
        <w:t xml:space="preserve">390. Walden University. (2024). </w:t>
      </w:r>
      <w:r w:rsidRPr="0025692F">
        <w:rPr>
          <w:rFonts w:cs="Arial"/>
          <w:i/>
          <w:iCs/>
        </w:rPr>
        <w:t>How Overcrowded Classrooms Affect Education</w:t>
      </w:r>
      <w:r w:rsidRPr="0025692F">
        <w:rPr>
          <w:rFonts w:cs="Arial"/>
        </w:rPr>
        <w:t>. Walden University. https://www.waldenu.edu/online-masters-programs/ms-in-education/resource/five-ways-that-overcrowded-classrooms-affect-education</w:t>
      </w:r>
    </w:p>
    <w:p w14:paraId="56DAEBBE" w14:textId="77777777" w:rsidR="0025692F" w:rsidRPr="0025692F" w:rsidRDefault="0025692F" w:rsidP="0025692F">
      <w:pPr>
        <w:pStyle w:val="Bibliography"/>
        <w:rPr>
          <w:rFonts w:cs="Arial"/>
        </w:rPr>
      </w:pPr>
      <w:r w:rsidRPr="0025692F">
        <w:rPr>
          <w:rFonts w:cs="Arial"/>
        </w:rPr>
        <w:t xml:space="preserve">391. Office of Justice Programs. (1994). </w:t>
      </w:r>
      <w:r w:rsidRPr="0025692F">
        <w:rPr>
          <w:rFonts w:cs="Arial"/>
          <w:i/>
          <w:iCs/>
        </w:rPr>
        <w:t>Violence in America’s Public Schools: The Family Perspective</w:t>
      </w:r>
      <w:r w:rsidRPr="0025692F">
        <w:rPr>
          <w:rFonts w:cs="Arial"/>
        </w:rPr>
        <w:t>. https://www.ojp.gov/ncjrs/virtual-library/abstracts/violence-americas-public-schools-family-perspective</w:t>
      </w:r>
    </w:p>
    <w:p w14:paraId="2792C040" w14:textId="77777777" w:rsidR="0025692F" w:rsidRPr="0025692F" w:rsidRDefault="0025692F" w:rsidP="0025692F">
      <w:pPr>
        <w:pStyle w:val="Bibliography"/>
        <w:rPr>
          <w:rFonts w:cs="Arial"/>
        </w:rPr>
      </w:pPr>
      <w:r w:rsidRPr="0025692F">
        <w:rPr>
          <w:rFonts w:cs="Arial"/>
        </w:rPr>
        <w:t xml:space="preserve">392. Stanford, L., &amp; Baker, L. (2023, April 6). 5 Tips for Designing School Spaces That Support Students’ Mental Health. </w:t>
      </w:r>
      <w:r w:rsidRPr="0025692F">
        <w:rPr>
          <w:rFonts w:cs="Arial"/>
          <w:i/>
          <w:iCs/>
        </w:rPr>
        <w:t>Education Week</w:t>
      </w:r>
      <w:r w:rsidRPr="0025692F">
        <w:rPr>
          <w:rFonts w:cs="Arial"/>
        </w:rPr>
        <w:t>. https://www.edweek.org/leadership/5-tips-for-designing-school-spaces-that-support-students-mental-health/2023/04</w:t>
      </w:r>
    </w:p>
    <w:p w14:paraId="43E62420" w14:textId="77777777" w:rsidR="0025692F" w:rsidRPr="0025692F" w:rsidRDefault="0025692F" w:rsidP="0025692F">
      <w:pPr>
        <w:pStyle w:val="Bibliography"/>
        <w:rPr>
          <w:rFonts w:cs="Arial"/>
        </w:rPr>
      </w:pPr>
      <w:r w:rsidRPr="0025692F">
        <w:rPr>
          <w:rFonts w:cs="Arial"/>
        </w:rPr>
        <w:t xml:space="preserve">393. Latané, C. (2021). </w:t>
      </w:r>
      <w:r w:rsidRPr="0025692F">
        <w:rPr>
          <w:rFonts w:cs="Arial"/>
          <w:i/>
          <w:iCs/>
        </w:rPr>
        <w:t>Schools that heal: Design with mental health in mind</w:t>
      </w:r>
      <w:r w:rsidRPr="0025692F">
        <w:rPr>
          <w:rFonts w:cs="Arial"/>
        </w:rPr>
        <w:t xml:space="preserve"> (Vol. 6). Island Press. https://doi.org/10.1080/23748834.2022.2136611</w:t>
      </w:r>
    </w:p>
    <w:p w14:paraId="6F04C766" w14:textId="77777777" w:rsidR="0025692F" w:rsidRPr="0025692F" w:rsidRDefault="0025692F" w:rsidP="0025692F">
      <w:pPr>
        <w:pStyle w:val="Bibliography"/>
        <w:rPr>
          <w:rFonts w:cs="Arial"/>
        </w:rPr>
      </w:pPr>
      <w:r w:rsidRPr="0025692F">
        <w:rPr>
          <w:rFonts w:cs="Arial"/>
        </w:rPr>
        <w:t xml:space="preserve">394. Steemers, K. (2021, May 7). </w:t>
      </w:r>
      <w:r w:rsidRPr="0025692F">
        <w:rPr>
          <w:rFonts w:cs="Arial"/>
          <w:i/>
          <w:iCs/>
        </w:rPr>
        <w:t>Architecture for Well-Being and Health</w:t>
      </w:r>
      <w:r w:rsidRPr="0025692F">
        <w:rPr>
          <w:rFonts w:cs="Arial"/>
        </w:rPr>
        <w:t>. https://www.daylightandarchitecture.com/architecture-for-well-being-and-health/</w:t>
      </w:r>
    </w:p>
    <w:p w14:paraId="256283DA" w14:textId="77777777" w:rsidR="0025692F" w:rsidRPr="0025692F" w:rsidRDefault="0025692F" w:rsidP="0025692F">
      <w:pPr>
        <w:pStyle w:val="Bibliography"/>
        <w:rPr>
          <w:rFonts w:cs="Arial"/>
        </w:rPr>
      </w:pPr>
      <w:r w:rsidRPr="0025692F">
        <w:rPr>
          <w:rFonts w:cs="Arial"/>
        </w:rPr>
        <w:lastRenderedPageBreak/>
        <w:t xml:space="preserve">395. Karakas, T., &amp; Yildiz, D. (2020). Exploring the influence of the built environment on human experience through a neuroscience approach: A systematic review. </w:t>
      </w:r>
      <w:r w:rsidRPr="0025692F">
        <w:rPr>
          <w:rFonts w:cs="Arial"/>
          <w:i/>
          <w:iCs/>
        </w:rPr>
        <w:t>Frontiers of Architectural Research</w:t>
      </w:r>
      <w:r w:rsidRPr="0025692F">
        <w:rPr>
          <w:rFonts w:cs="Arial"/>
        </w:rPr>
        <w:t xml:space="preserve">, </w:t>
      </w:r>
      <w:r w:rsidRPr="0025692F">
        <w:rPr>
          <w:rFonts w:cs="Arial"/>
          <w:i/>
          <w:iCs/>
        </w:rPr>
        <w:t>9</w:t>
      </w:r>
      <w:r w:rsidRPr="0025692F">
        <w:rPr>
          <w:rFonts w:cs="Arial"/>
        </w:rPr>
        <w:t>(1), 236–247. https://doi.org/10.1016/j.foar.2019.10.005</w:t>
      </w:r>
    </w:p>
    <w:p w14:paraId="4F68F5F8" w14:textId="77777777" w:rsidR="0025692F" w:rsidRPr="0025692F" w:rsidRDefault="0025692F" w:rsidP="0025692F">
      <w:pPr>
        <w:pStyle w:val="Bibliography"/>
        <w:rPr>
          <w:rFonts w:cs="Arial"/>
        </w:rPr>
      </w:pPr>
      <w:r w:rsidRPr="0025692F">
        <w:rPr>
          <w:rFonts w:cs="Arial"/>
        </w:rPr>
        <w:t xml:space="preserve">396. MSBA. (n.d.). </w:t>
      </w:r>
      <w:r w:rsidRPr="0025692F">
        <w:rPr>
          <w:rFonts w:cs="Arial"/>
          <w:i/>
          <w:iCs/>
        </w:rPr>
        <w:t>Special education continuum of services and design considerations—Rules of thumb</w:t>
      </w:r>
      <w:r w:rsidRPr="0025692F">
        <w:rPr>
          <w:rFonts w:cs="Arial"/>
        </w:rPr>
        <w:t>. https://www.massschoolbuildings.org/sites/default/files/edit-contentfiles/About_Us/Roundtables/Designer/Handouts.pdf</w:t>
      </w:r>
    </w:p>
    <w:p w14:paraId="08B118A5" w14:textId="77777777" w:rsidR="0025692F" w:rsidRPr="0025692F" w:rsidRDefault="0025692F" w:rsidP="0025692F">
      <w:pPr>
        <w:pStyle w:val="Bibliography"/>
        <w:rPr>
          <w:rFonts w:cs="Arial"/>
        </w:rPr>
      </w:pPr>
      <w:r w:rsidRPr="0025692F">
        <w:rPr>
          <w:rFonts w:cs="Arial"/>
        </w:rPr>
        <w:t xml:space="preserve">397. MA DESE. (n.d.). </w:t>
      </w:r>
      <w:r w:rsidRPr="0025692F">
        <w:rPr>
          <w:rFonts w:cs="Arial"/>
          <w:i/>
          <w:iCs/>
        </w:rPr>
        <w:t>Inclusive Practice</w:t>
      </w:r>
      <w:r w:rsidRPr="0025692F">
        <w:rPr>
          <w:rFonts w:cs="Arial"/>
        </w:rPr>
        <w:t>.</w:t>
      </w:r>
    </w:p>
    <w:p w14:paraId="0D0B147D" w14:textId="77777777" w:rsidR="0025692F" w:rsidRPr="0025692F" w:rsidRDefault="0025692F" w:rsidP="0025692F">
      <w:pPr>
        <w:pStyle w:val="Bibliography"/>
        <w:rPr>
          <w:rFonts w:cs="Arial"/>
        </w:rPr>
      </w:pPr>
      <w:r w:rsidRPr="0025692F">
        <w:rPr>
          <w:rFonts w:cs="Arial"/>
        </w:rPr>
        <w:t xml:space="preserve">398. Molina Roldán, S., Marauri, J., Aubert, A., &amp; Flecha, R. (2021). How Inclusive Interactive Learning Environments Benefit Students Without Special Needs. </w:t>
      </w:r>
      <w:r w:rsidRPr="0025692F">
        <w:rPr>
          <w:rFonts w:cs="Arial"/>
          <w:i/>
          <w:iCs/>
        </w:rPr>
        <w:t>Frontiers in Psychology</w:t>
      </w:r>
      <w:r w:rsidRPr="0025692F">
        <w:rPr>
          <w:rFonts w:cs="Arial"/>
        </w:rPr>
        <w:t xml:space="preserve">, </w:t>
      </w:r>
      <w:r w:rsidRPr="0025692F">
        <w:rPr>
          <w:rFonts w:cs="Arial"/>
          <w:i/>
          <w:iCs/>
        </w:rPr>
        <w:t>12</w:t>
      </w:r>
      <w:r w:rsidRPr="0025692F">
        <w:rPr>
          <w:rFonts w:cs="Arial"/>
        </w:rPr>
        <w:t>, 661427. https://doi.org/10.3389/fpsyg.2021.661427</w:t>
      </w:r>
    </w:p>
    <w:p w14:paraId="7D1DA8C4" w14:textId="77777777" w:rsidR="0025692F" w:rsidRPr="0025692F" w:rsidRDefault="0025692F" w:rsidP="0025692F">
      <w:pPr>
        <w:pStyle w:val="Bibliography"/>
        <w:rPr>
          <w:rFonts w:cs="Arial"/>
        </w:rPr>
      </w:pPr>
      <w:r w:rsidRPr="0025692F">
        <w:rPr>
          <w:rFonts w:cs="Arial"/>
        </w:rPr>
        <w:t>399. 603 CMR 28. Retrieved June 21, 2024, from https://www.mass.gov/doc/603-cmr-28-special-education/download</w:t>
      </w:r>
    </w:p>
    <w:p w14:paraId="75E07198" w14:textId="77777777" w:rsidR="0025692F" w:rsidRPr="0025692F" w:rsidRDefault="0025692F" w:rsidP="0025692F">
      <w:pPr>
        <w:pStyle w:val="Bibliography"/>
        <w:rPr>
          <w:rFonts w:cs="Arial"/>
        </w:rPr>
      </w:pPr>
      <w:r w:rsidRPr="0025692F">
        <w:rPr>
          <w:rFonts w:cs="Arial"/>
        </w:rPr>
        <w:t xml:space="preserve">400. </w:t>
      </w:r>
      <w:r w:rsidRPr="0025692F">
        <w:rPr>
          <w:rFonts w:cs="Arial"/>
          <w:i/>
          <w:iCs/>
        </w:rPr>
        <w:t>Universal Design in Education: Principles and Applications | DO-IT</w:t>
      </w:r>
      <w:r w:rsidRPr="0025692F">
        <w:rPr>
          <w:rFonts w:cs="Arial"/>
        </w:rPr>
        <w:t>. (n.d.). Retrieved June 24, 2024, from https://www.washington.edu/doit/universal-design-education-principles-and-applications</w:t>
      </w:r>
    </w:p>
    <w:p w14:paraId="3E72C0F1" w14:textId="77777777" w:rsidR="0025692F" w:rsidRPr="0025692F" w:rsidRDefault="0025692F" w:rsidP="0025692F">
      <w:pPr>
        <w:pStyle w:val="Bibliography"/>
        <w:rPr>
          <w:rFonts w:cs="Arial"/>
        </w:rPr>
      </w:pPr>
      <w:r w:rsidRPr="0025692F">
        <w:rPr>
          <w:rFonts w:cs="Arial"/>
        </w:rPr>
        <w:t xml:space="preserve">401. </w:t>
      </w:r>
      <w:r w:rsidRPr="0025692F">
        <w:rPr>
          <w:rFonts w:cs="Arial"/>
          <w:i/>
          <w:iCs/>
        </w:rPr>
        <w:t>Universal Design for Learning | Center for Teaching Innovation</w:t>
      </w:r>
      <w:r w:rsidRPr="0025692F">
        <w:rPr>
          <w:rFonts w:cs="Arial"/>
        </w:rPr>
        <w:t>. (n.d.). Retrieved June 24, 2024, from https://teaching.cornell.edu/teaching-resources/designing-your-course/universal-design-learning</w:t>
      </w:r>
    </w:p>
    <w:p w14:paraId="5360A69B" w14:textId="77777777" w:rsidR="0025692F" w:rsidRPr="0025692F" w:rsidRDefault="0025692F" w:rsidP="0025692F">
      <w:pPr>
        <w:pStyle w:val="Bibliography"/>
        <w:rPr>
          <w:rFonts w:cs="Arial"/>
        </w:rPr>
      </w:pPr>
      <w:r w:rsidRPr="0025692F">
        <w:rPr>
          <w:rFonts w:cs="Arial"/>
        </w:rPr>
        <w:t xml:space="preserve">402. </w:t>
      </w:r>
      <w:r w:rsidRPr="0025692F">
        <w:rPr>
          <w:rFonts w:cs="Arial"/>
          <w:i/>
          <w:iCs/>
        </w:rPr>
        <w:t>About Universal Design for Learning</w:t>
      </w:r>
      <w:r w:rsidRPr="0025692F">
        <w:rPr>
          <w:rFonts w:cs="Arial"/>
        </w:rPr>
        <w:t>. (n.d.). CAST. Retrieved July 23, 2024, from https://www.cast.org/impact/universal-design-for-learning-udl</w:t>
      </w:r>
    </w:p>
    <w:p w14:paraId="3DE465F8" w14:textId="77777777" w:rsidR="0025692F" w:rsidRPr="0025692F" w:rsidRDefault="0025692F" w:rsidP="0025692F">
      <w:pPr>
        <w:pStyle w:val="Bibliography"/>
        <w:rPr>
          <w:rFonts w:cs="Arial"/>
        </w:rPr>
      </w:pPr>
      <w:r w:rsidRPr="0025692F">
        <w:rPr>
          <w:rFonts w:cs="Arial"/>
        </w:rPr>
        <w:t xml:space="preserve">403. Stone, J. (n.d.). When We Design for Autism, We Design for Everyone. </w:t>
      </w:r>
      <w:r w:rsidRPr="0025692F">
        <w:rPr>
          <w:rFonts w:cs="Arial"/>
          <w:i/>
          <w:iCs/>
        </w:rPr>
        <w:t>Metropolis</w:t>
      </w:r>
      <w:r w:rsidRPr="0025692F">
        <w:rPr>
          <w:rFonts w:cs="Arial"/>
        </w:rPr>
        <w:t>. Retrieved July 9, 2024, from https://metropolismag.com/viewpoints/when-we-design-for-autism-we-design-for-everyone/</w:t>
      </w:r>
    </w:p>
    <w:p w14:paraId="7E28B6E1" w14:textId="77777777" w:rsidR="0025692F" w:rsidRPr="0025692F" w:rsidRDefault="0025692F" w:rsidP="0025692F">
      <w:pPr>
        <w:pStyle w:val="Bibliography"/>
        <w:rPr>
          <w:rFonts w:cs="Arial"/>
        </w:rPr>
      </w:pPr>
      <w:r w:rsidRPr="0025692F">
        <w:rPr>
          <w:rFonts w:cs="Arial"/>
        </w:rPr>
        <w:t xml:space="preserve">404. Institute for Human Centered Design. (n.d.). </w:t>
      </w:r>
      <w:r w:rsidRPr="0025692F">
        <w:rPr>
          <w:rFonts w:cs="Arial"/>
          <w:i/>
          <w:iCs/>
        </w:rPr>
        <w:t>ADA Checklist for Existing Facilities</w:t>
      </w:r>
      <w:r w:rsidRPr="0025692F">
        <w:rPr>
          <w:rFonts w:cs="Arial"/>
        </w:rPr>
        <w:t>. Retrieved July 10, 2024, from https://www.adachecklist.org/doc/fullchecklist/ada-checklist.pdf</w:t>
      </w:r>
    </w:p>
    <w:p w14:paraId="7AFCC321" w14:textId="77777777" w:rsidR="0025692F" w:rsidRPr="0025692F" w:rsidRDefault="0025692F" w:rsidP="0025692F">
      <w:pPr>
        <w:pStyle w:val="Bibliography"/>
        <w:rPr>
          <w:rFonts w:cs="Arial"/>
        </w:rPr>
      </w:pPr>
      <w:r w:rsidRPr="0025692F">
        <w:rPr>
          <w:rFonts w:cs="Arial"/>
        </w:rPr>
        <w:t xml:space="preserve">405. </w:t>
      </w:r>
      <w:r w:rsidRPr="0025692F">
        <w:rPr>
          <w:rFonts w:cs="Arial"/>
          <w:i/>
          <w:iCs/>
        </w:rPr>
        <w:t>Equal Access: Universal Design of Physical Spaces | DO-IT</w:t>
      </w:r>
      <w:r w:rsidRPr="0025692F">
        <w:rPr>
          <w:rFonts w:cs="Arial"/>
        </w:rPr>
        <w:t>. (n.d.). Retrieved June 24, 2024, from https://www.washington.edu/doit/equal-access-universal-design-physical-spaces</w:t>
      </w:r>
    </w:p>
    <w:p w14:paraId="4DD6D0AF" w14:textId="77777777" w:rsidR="0025692F" w:rsidRPr="0025692F" w:rsidRDefault="0025692F" w:rsidP="0025692F">
      <w:pPr>
        <w:pStyle w:val="Bibliography"/>
        <w:rPr>
          <w:rFonts w:cs="Arial"/>
        </w:rPr>
      </w:pPr>
      <w:r w:rsidRPr="0025692F">
        <w:rPr>
          <w:rFonts w:cs="Arial"/>
        </w:rPr>
        <w:t xml:space="preserve">406. </w:t>
      </w:r>
      <w:r w:rsidRPr="0025692F">
        <w:rPr>
          <w:rFonts w:cs="Arial"/>
          <w:i/>
          <w:iCs/>
        </w:rPr>
        <w:t>Cambridge Playground Named Best Outdoor Play Space</w:t>
      </w:r>
      <w:r w:rsidRPr="0025692F">
        <w:rPr>
          <w:rFonts w:cs="Arial"/>
        </w:rPr>
        <w:t>. (2024, July 12). https://www.cambridgema.gov/en/news/2024/07/cambridgeplaygroundnamedbestoutdoorplayspace</w:t>
      </w:r>
    </w:p>
    <w:p w14:paraId="4510A19D" w14:textId="77777777" w:rsidR="0025692F" w:rsidRPr="0025692F" w:rsidRDefault="0025692F" w:rsidP="0025692F">
      <w:pPr>
        <w:pStyle w:val="Bibliography"/>
        <w:rPr>
          <w:rFonts w:cs="Arial"/>
        </w:rPr>
      </w:pPr>
      <w:r w:rsidRPr="0025692F">
        <w:rPr>
          <w:rFonts w:cs="Arial"/>
        </w:rPr>
        <w:t xml:space="preserve">407. </w:t>
      </w:r>
      <w:r w:rsidRPr="0025692F">
        <w:rPr>
          <w:rFonts w:cs="Arial"/>
          <w:i/>
          <w:iCs/>
        </w:rPr>
        <w:t>MOEC Collaboratives and Programs | MOEC Collaboratives and Programs</w:t>
      </w:r>
      <w:r w:rsidRPr="0025692F">
        <w:rPr>
          <w:rFonts w:cs="Arial"/>
        </w:rPr>
        <w:t>. (n.d.). Retrieved July 24, 2024, from https://moec-programs.org/</w:t>
      </w:r>
    </w:p>
    <w:p w14:paraId="2A14EE49" w14:textId="77777777" w:rsidR="0025692F" w:rsidRPr="0025692F" w:rsidRDefault="0025692F" w:rsidP="0025692F">
      <w:pPr>
        <w:pStyle w:val="Bibliography"/>
        <w:rPr>
          <w:rFonts w:cs="Arial"/>
        </w:rPr>
      </w:pPr>
      <w:r w:rsidRPr="0025692F">
        <w:rPr>
          <w:rFonts w:cs="Arial"/>
        </w:rPr>
        <w:t xml:space="preserve">408. </w:t>
      </w:r>
      <w:r w:rsidRPr="0025692F">
        <w:rPr>
          <w:rFonts w:cs="Arial"/>
          <w:i/>
          <w:iCs/>
        </w:rPr>
        <w:t>Section 504—Special Education</w:t>
      </w:r>
      <w:r w:rsidRPr="0025692F">
        <w:rPr>
          <w:rFonts w:cs="Arial"/>
        </w:rPr>
        <w:t>. (n.d.). Retrieved June 24, 2024, from https://www.doe.mass.edu/sped/links/sec504.html</w:t>
      </w:r>
    </w:p>
    <w:p w14:paraId="00062FBB" w14:textId="77777777" w:rsidR="0025692F" w:rsidRPr="0025692F" w:rsidRDefault="0025692F" w:rsidP="0025692F">
      <w:pPr>
        <w:pStyle w:val="Bibliography"/>
        <w:rPr>
          <w:rFonts w:cs="Arial"/>
        </w:rPr>
      </w:pPr>
      <w:r w:rsidRPr="0025692F">
        <w:rPr>
          <w:rFonts w:cs="Arial"/>
        </w:rPr>
        <w:t xml:space="preserve">409. </w:t>
      </w:r>
      <w:r w:rsidRPr="0025692F">
        <w:rPr>
          <w:rFonts w:cs="Arial"/>
          <w:i/>
          <w:iCs/>
        </w:rPr>
        <w:t>34 CFR § 300.114—LRE requirements.</w:t>
      </w:r>
      <w:r w:rsidRPr="0025692F">
        <w:rPr>
          <w:rFonts w:cs="Arial"/>
        </w:rPr>
        <w:t xml:space="preserve"> (n.d.). LII / Legal Information Institute. Retrieved June 24, 2024, from https://www.law.cornell.edu/cfr/text/34/300.114</w:t>
      </w:r>
    </w:p>
    <w:p w14:paraId="0861B7CF" w14:textId="77777777" w:rsidR="0025692F" w:rsidRPr="0025692F" w:rsidRDefault="0025692F" w:rsidP="0025692F">
      <w:pPr>
        <w:pStyle w:val="Bibliography"/>
        <w:rPr>
          <w:rFonts w:cs="Arial"/>
        </w:rPr>
      </w:pPr>
      <w:r w:rsidRPr="0025692F">
        <w:rPr>
          <w:rFonts w:cs="Arial"/>
        </w:rPr>
        <w:t xml:space="preserve">410. DESE. (2016). </w:t>
      </w:r>
      <w:r w:rsidRPr="0025692F">
        <w:rPr>
          <w:rFonts w:cs="Arial"/>
          <w:i/>
          <w:iCs/>
        </w:rPr>
        <w:t>Special Education: Legal Standards, Compliance Ratings, and Comments</w:t>
      </w:r>
      <w:r w:rsidRPr="0025692F">
        <w:rPr>
          <w:rFonts w:cs="Arial"/>
        </w:rPr>
        <w:t>. https://campussuite-storage.s3.amazonaws.com/prod/11162/b2004386-1ca3-11e6-b537-22000bd8490f/1670790/165c4d40-dff5-11e7-a0f0-0a83b46fca6a/file/2Shrewsbury_02710000_CPR2016.pdf</w:t>
      </w:r>
    </w:p>
    <w:p w14:paraId="27D52D62" w14:textId="77777777" w:rsidR="0025692F" w:rsidRPr="0025692F" w:rsidRDefault="0025692F" w:rsidP="0025692F">
      <w:pPr>
        <w:pStyle w:val="Bibliography"/>
        <w:rPr>
          <w:rFonts w:cs="Arial"/>
        </w:rPr>
      </w:pPr>
      <w:r w:rsidRPr="0025692F">
        <w:rPr>
          <w:rFonts w:cs="Arial"/>
        </w:rPr>
        <w:t xml:space="preserve">411. </w:t>
      </w:r>
      <w:r w:rsidRPr="0025692F">
        <w:rPr>
          <w:rFonts w:cs="Arial"/>
          <w:i/>
          <w:iCs/>
        </w:rPr>
        <w:t>Special Education Policy Memo SY2023-2024—3: 2023-2024 Determinations of Need for Special Education Technical Assistance or Intervention—Special Education</w:t>
      </w:r>
      <w:r w:rsidRPr="0025692F">
        <w:rPr>
          <w:rFonts w:cs="Arial"/>
        </w:rPr>
        <w:t>. (n.d.). Retrieved June 24, 2024, from https://www.doe.mass.edu/sped/advisories/memo2023-3.html</w:t>
      </w:r>
    </w:p>
    <w:p w14:paraId="383ADE0A" w14:textId="77777777" w:rsidR="0025692F" w:rsidRPr="0025692F" w:rsidRDefault="0025692F" w:rsidP="0025692F">
      <w:pPr>
        <w:pStyle w:val="Bibliography"/>
        <w:rPr>
          <w:rFonts w:cs="Arial"/>
        </w:rPr>
      </w:pPr>
      <w:r w:rsidRPr="0025692F">
        <w:rPr>
          <w:rFonts w:cs="Arial"/>
        </w:rPr>
        <w:t xml:space="preserve">412. </w:t>
      </w:r>
      <w:r w:rsidRPr="0025692F">
        <w:rPr>
          <w:rFonts w:cs="Arial"/>
          <w:i/>
          <w:iCs/>
        </w:rPr>
        <w:t>Americans with Disabilities Act Title II Regulations</w:t>
      </w:r>
      <w:r w:rsidRPr="0025692F">
        <w:rPr>
          <w:rFonts w:cs="Arial"/>
        </w:rPr>
        <w:t>. (2024, June 24). ADA.Gov. https://www.ada.gov/law-and-regs/regulations/title-ii-2010-regulations/</w:t>
      </w:r>
    </w:p>
    <w:p w14:paraId="4564FA4D" w14:textId="77777777" w:rsidR="0025692F" w:rsidRPr="0025692F" w:rsidRDefault="0025692F" w:rsidP="0025692F">
      <w:pPr>
        <w:pStyle w:val="Bibliography"/>
        <w:rPr>
          <w:rFonts w:cs="Arial"/>
        </w:rPr>
      </w:pPr>
      <w:r w:rsidRPr="0025692F">
        <w:rPr>
          <w:rFonts w:cs="Arial"/>
        </w:rPr>
        <w:t xml:space="preserve">413. Government Accountability Office. (2020). </w:t>
      </w:r>
      <w:r w:rsidRPr="0025692F">
        <w:rPr>
          <w:rFonts w:cs="Arial"/>
          <w:i/>
          <w:iCs/>
        </w:rPr>
        <w:t>K-12 Education: School Districts Need Better Information to Help Improve Access for People with Disabilities</w:t>
      </w:r>
      <w:r w:rsidRPr="0025692F">
        <w:rPr>
          <w:rFonts w:cs="Arial"/>
        </w:rPr>
        <w:t xml:space="preserve"> (No. GAO-20-448). https://www.gao.gov/assets/d20448.pdf</w:t>
      </w:r>
    </w:p>
    <w:p w14:paraId="4DE33F8D" w14:textId="77777777" w:rsidR="0025692F" w:rsidRPr="0025692F" w:rsidRDefault="0025692F" w:rsidP="0025692F">
      <w:pPr>
        <w:pStyle w:val="Bibliography"/>
        <w:rPr>
          <w:rFonts w:cs="Arial"/>
        </w:rPr>
      </w:pPr>
      <w:r w:rsidRPr="0025692F">
        <w:rPr>
          <w:rFonts w:cs="Arial"/>
        </w:rPr>
        <w:lastRenderedPageBreak/>
        <w:t xml:space="preserve">414. </w:t>
      </w:r>
      <w:r w:rsidRPr="0025692F">
        <w:rPr>
          <w:rFonts w:cs="Arial"/>
          <w:i/>
          <w:iCs/>
        </w:rPr>
        <w:t>U.S. Access Board - Chapter 7: Signs</w:t>
      </w:r>
      <w:r w:rsidRPr="0025692F">
        <w:rPr>
          <w:rFonts w:cs="Arial"/>
        </w:rPr>
        <w:t>. (n.d.). Retrieved July 24, 2024, from https://www.access-board.gov/ada/guides/chapter-7-signs/</w:t>
      </w:r>
    </w:p>
    <w:p w14:paraId="2209ED6D" w14:textId="77777777" w:rsidR="0025692F" w:rsidRPr="0025692F" w:rsidRDefault="0025692F" w:rsidP="0025692F">
      <w:pPr>
        <w:pStyle w:val="Bibliography"/>
        <w:rPr>
          <w:rFonts w:cs="Arial"/>
        </w:rPr>
      </w:pPr>
      <w:r w:rsidRPr="0025692F">
        <w:rPr>
          <w:rFonts w:cs="Arial"/>
        </w:rPr>
        <w:t xml:space="preserve">415. </w:t>
      </w:r>
      <w:r w:rsidRPr="0025692F">
        <w:rPr>
          <w:rFonts w:cs="Arial"/>
          <w:i/>
          <w:iCs/>
        </w:rPr>
        <w:t>U.S. Access Board - Chapter 4: Entrances, Doors, and Gates</w:t>
      </w:r>
      <w:r w:rsidRPr="0025692F">
        <w:rPr>
          <w:rFonts w:cs="Arial"/>
        </w:rPr>
        <w:t>. (n.d.). Retrieved July 24, 2024, from https://www.access-board.gov/ada/guides/chapter-4-entrances-doors-and-gates/</w:t>
      </w:r>
    </w:p>
    <w:p w14:paraId="71E622F8" w14:textId="77777777" w:rsidR="0025692F" w:rsidRPr="0025692F" w:rsidRDefault="0025692F" w:rsidP="0025692F">
      <w:pPr>
        <w:pStyle w:val="Bibliography"/>
        <w:rPr>
          <w:rFonts w:cs="Arial"/>
        </w:rPr>
      </w:pPr>
      <w:r w:rsidRPr="0025692F">
        <w:rPr>
          <w:rFonts w:cs="Arial"/>
        </w:rPr>
        <w:t xml:space="preserve">416. </w:t>
      </w:r>
      <w:r w:rsidRPr="0025692F">
        <w:rPr>
          <w:rFonts w:cs="Arial"/>
          <w:i/>
          <w:iCs/>
        </w:rPr>
        <w:t>U.S. Access Board - Chapter 4: Ramps and Curb Ramps</w:t>
      </w:r>
      <w:r w:rsidRPr="0025692F">
        <w:rPr>
          <w:rFonts w:cs="Arial"/>
        </w:rPr>
        <w:t>. (n.d.). Retrieved July 24, 2024, from https://www.access-board.gov/ada/guides/chapter-4-ramps-and-curb-ramps/</w:t>
      </w:r>
    </w:p>
    <w:p w14:paraId="24D88306" w14:textId="77777777" w:rsidR="0025692F" w:rsidRPr="0025692F" w:rsidRDefault="0025692F" w:rsidP="0025692F">
      <w:pPr>
        <w:pStyle w:val="Bibliography"/>
        <w:rPr>
          <w:rFonts w:cs="Arial"/>
        </w:rPr>
      </w:pPr>
      <w:r w:rsidRPr="0025692F">
        <w:rPr>
          <w:rFonts w:cs="Arial"/>
        </w:rPr>
        <w:t xml:space="preserve">417. </w:t>
      </w:r>
      <w:r w:rsidRPr="0025692F">
        <w:rPr>
          <w:rFonts w:cs="Arial"/>
          <w:i/>
          <w:iCs/>
        </w:rPr>
        <w:t>U.S. Access Board - Chapter 4: Elevators and Platform Lifts</w:t>
      </w:r>
      <w:r w:rsidRPr="0025692F">
        <w:rPr>
          <w:rFonts w:cs="Arial"/>
        </w:rPr>
        <w:t>. (n.d.). Retrieved July 24, 2024, from https://www.access-board.gov/ada/guides/chapter-4-elevators-and-platform-lifts/</w:t>
      </w:r>
    </w:p>
    <w:p w14:paraId="21274BA2" w14:textId="77777777" w:rsidR="0025692F" w:rsidRPr="0025692F" w:rsidRDefault="0025692F" w:rsidP="0025692F">
      <w:pPr>
        <w:pStyle w:val="Bibliography"/>
        <w:rPr>
          <w:rFonts w:cs="Arial"/>
        </w:rPr>
      </w:pPr>
      <w:r w:rsidRPr="0025692F">
        <w:rPr>
          <w:rFonts w:cs="Arial"/>
        </w:rPr>
        <w:t xml:space="preserve">418. </w:t>
      </w:r>
      <w:r w:rsidRPr="0025692F">
        <w:rPr>
          <w:rFonts w:cs="Arial"/>
          <w:i/>
          <w:iCs/>
        </w:rPr>
        <w:t>U.S. Access Board - Chapter 6: Toilet Rooms</w:t>
      </w:r>
      <w:r w:rsidRPr="0025692F">
        <w:rPr>
          <w:rFonts w:cs="Arial"/>
        </w:rPr>
        <w:t>. (n.d.). Retrieved July 24, 2024, from https://www.access-board.gov/ada/guides/chapter-6-toilet-rooms/</w:t>
      </w:r>
    </w:p>
    <w:p w14:paraId="7B8D4024" w14:textId="77777777" w:rsidR="0025692F" w:rsidRPr="0025692F" w:rsidRDefault="0025692F" w:rsidP="0025692F">
      <w:pPr>
        <w:pStyle w:val="Bibliography"/>
        <w:rPr>
          <w:rFonts w:cs="Arial"/>
        </w:rPr>
      </w:pPr>
      <w:r w:rsidRPr="0025692F">
        <w:rPr>
          <w:rFonts w:cs="Arial"/>
        </w:rPr>
        <w:t xml:space="preserve">419. </w:t>
      </w:r>
      <w:r w:rsidRPr="0025692F">
        <w:rPr>
          <w:rFonts w:cs="Arial"/>
          <w:i/>
          <w:iCs/>
        </w:rPr>
        <w:t>603 CMR 26.00: Access To Equal Educational Opportunity—Education Laws and Regulations</w:t>
      </w:r>
      <w:r w:rsidRPr="0025692F">
        <w:rPr>
          <w:rFonts w:cs="Arial"/>
        </w:rPr>
        <w:t>. (n.d.). Retrieved July 2, 2024, from https://www.doe.mass.edu/lawsregs/603cmr26.html</w:t>
      </w:r>
    </w:p>
    <w:p w14:paraId="74E2B16A" w14:textId="77777777" w:rsidR="0025692F" w:rsidRPr="0025692F" w:rsidRDefault="0025692F" w:rsidP="0025692F">
      <w:pPr>
        <w:pStyle w:val="Bibliography"/>
        <w:rPr>
          <w:rFonts w:cs="Arial"/>
        </w:rPr>
      </w:pPr>
      <w:r w:rsidRPr="0025692F">
        <w:rPr>
          <w:rFonts w:cs="Arial"/>
        </w:rPr>
        <w:t xml:space="preserve">420. Holser, A. (n.d.). </w:t>
      </w:r>
      <w:r w:rsidRPr="0025692F">
        <w:rPr>
          <w:rFonts w:cs="Arial"/>
          <w:i/>
          <w:iCs/>
        </w:rPr>
        <w:t>Design Strategies for Restroom &amp; Locker Room Facilities</w:t>
      </w:r>
      <w:r w:rsidRPr="0025692F">
        <w:rPr>
          <w:rFonts w:cs="Arial"/>
        </w:rPr>
        <w:t>. https://www.opsisarch.com/wp-content/uploads//2022/06/Opsis-Architecture-Gender-Inclusive-Facilities-Design-Strategies-Case-Study.pdf</w:t>
      </w:r>
    </w:p>
    <w:p w14:paraId="37BD37F4" w14:textId="77777777" w:rsidR="0025692F" w:rsidRPr="0025692F" w:rsidRDefault="0025692F" w:rsidP="0025692F">
      <w:pPr>
        <w:pStyle w:val="Bibliography"/>
        <w:rPr>
          <w:rFonts w:cs="Arial"/>
        </w:rPr>
      </w:pPr>
      <w:r w:rsidRPr="0025692F">
        <w:rPr>
          <w:rFonts w:cs="Arial"/>
        </w:rPr>
        <w:t xml:space="preserve">421. </w:t>
      </w:r>
      <w:r w:rsidRPr="0025692F">
        <w:rPr>
          <w:rFonts w:cs="Arial"/>
          <w:i/>
          <w:iCs/>
        </w:rPr>
        <w:t>Harmonizing the seen and unseen when designing for neurodiversity</w:t>
      </w:r>
      <w:r w:rsidRPr="0025692F">
        <w:rPr>
          <w:rFonts w:cs="Arial"/>
        </w:rPr>
        <w:t>. (n.d.). Retrieved July 5, 2024, from https://www.stantec.com/en/ideas/topic/buildings/harmonizing-the-seen-and-unseen-when-designing-for-neurodiversity</w:t>
      </w:r>
    </w:p>
    <w:p w14:paraId="71185CA3" w14:textId="77777777" w:rsidR="0025692F" w:rsidRPr="0025692F" w:rsidRDefault="0025692F" w:rsidP="0025692F">
      <w:pPr>
        <w:pStyle w:val="Bibliography"/>
        <w:rPr>
          <w:rFonts w:cs="Arial"/>
        </w:rPr>
      </w:pPr>
      <w:r w:rsidRPr="0025692F">
        <w:rPr>
          <w:rFonts w:cs="Arial"/>
        </w:rPr>
        <w:t xml:space="preserve">422. Maciver, D., Rutherford, M., Arakelyan, S., Kramer, J., Richmond, J., Todorova, L., Romero-Ayuso, D., Nakamura-Thomas, H., Veldenid, M., Finlaysonid, I., O’hare, A., &amp; Forsyth, K. (2019). Participation of children with disabilities in school: A realist systematic review of psychosocial and environmental factors. </w:t>
      </w:r>
      <w:r w:rsidRPr="0025692F">
        <w:rPr>
          <w:rFonts w:cs="Arial"/>
          <w:i/>
          <w:iCs/>
        </w:rPr>
        <w:t>PLOS ONE</w:t>
      </w:r>
      <w:r w:rsidRPr="0025692F">
        <w:rPr>
          <w:rFonts w:cs="Arial"/>
        </w:rPr>
        <w:t xml:space="preserve">, </w:t>
      </w:r>
      <w:r w:rsidRPr="0025692F">
        <w:rPr>
          <w:rFonts w:cs="Arial"/>
          <w:i/>
          <w:iCs/>
        </w:rPr>
        <w:t>14</w:t>
      </w:r>
      <w:r w:rsidRPr="0025692F">
        <w:rPr>
          <w:rFonts w:cs="Arial"/>
        </w:rPr>
        <w:t>. https://doi.org/10.1371/journal.pone.0210511</w:t>
      </w:r>
    </w:p>
    <w:p w14:paraId="4EA6C09E" w14:textId="77777777" w:rsidR="0025692F" w:rsidRPr="0025692F" w:rsidRDefault="0025692F" w:rsidP="0025692F">
      <w:pPr>
        <w:pStyle w:val="Bibliography"/>
        <w:rPr>
          <w:rFonts w:cs="Arial"/>
        </w:rPr>
      </w:pPr>
      <w:r w:rsidRPr="0025692F">
        <w:rPr>
          <w:rFonts w:cs="Arial"/>
        </w:rPr>
        <w:t xml:space="preserve">423. NCSE. (2021). </w:t>
      </w:r>
      <w:r w:rsidRPr="0025692F">
        <w:rPr>
          <w:rFonts w:cs="Arial"/>
          <w:i/>
          <w:iCs/>
        </w:rPr>
        <w:t>Sensory Spaces in Schools</w:t>
      </w:r>
      <w:r w:rsidRPr="0025692F">
        <w:rPr>
          <w:rFonts w:cs="Arial"/>
        </w:rPr>
        <w:t>. https://ncse.ie/wp-content/uploads/2021/10/NCSE-Sensory-Spaces-in-Schools-2021.pdf</w:t>
      </w:r>
    </w:p>
    <w:p w14:paraId="6E383A59" w14:textId="77777777" w:rsidR="0025692F" w:rsidRPr="0025692F" w:rsidRDefault="0025692F" w:rsidP="0025692F">
      <w:pPr>
        <w:pStyle w:val="Bibliography"/>
        <w:rPr>
          <w:rFonts w:cs="Arial"/>
        </w:rPr>
      </w:pPr>
      <w:r w:rsidRPr="0025692F">
        <w:rPr>
          <w:rFonts w:cs="Arial"/>
        </w:rPr>
        <w:t xml:space="preserve">424. Cooke, S.-E. (2021, July 14). </w:t>
      </w:r>
      <w:r w:rsidRPr="0025692F">
        <w:rPr>
          <w:rFonts w:cs="Arial"/>
          <w:i/>
          <w:iCs/>
        </w:rPr>
        <w:t>How to Create a Sensory-Friendly Classroom</w:t>
      </w:r>
      <w:r w:rsidRPr="0025692F">
        <w:rPr>
          <w:rFonts w:cs="Arial"/>
        </w:rPr>
        <w:t>. Sensory Friendly Solutions. https://www.sensoryfriendly.net/how-to-create-a-sensory-friendly-classroom/</w:t>
      </w:r>
    </w:p>
    <w:p w14:paraId="7E235713" w14:textId="77777777" w:rsidR="0025692F" w:rsidRPr="0025692F" w:rsidRDefault="0025692F" w:rsidP="0025692F">
      <w:pPr>
        <w:pStyle w:val="Bibliography"/>
        <w:rPr>
          <w:rFonts w:cs="Arial"/>
        </w:rPr>
      </w:pPr>
      <w:r w:rsidRPr="0025692F">
        <w:rPr>
          <w:rFonts w:cs="Arial"/>
        </w:rPr>
        <w:t xml:space="preserve">425. </w:t>
      </w:r>
      <w:r w:rsidRPr="0025692F">
        <w:rPr>
          <w:rFonts w:cs="Arial"/>
          <w:i/>
          <w:iCs/>
        </w:rPr>
        <w:t>Guidance for MA Public Schools Creating a Safe and Supportive School Environment—Student and Family Support</w:t>
      </w:r>
      <w:r w:rsidRPr="0025692F">
        <w:rPr>
          <w:rFonts w:cs="Arial"/>
        </w:rPr>
        <w:t>. (n.d.). Retrieved July 1, 2024, from https://www.doe.mass.edu/sfs/lgbtq/GenderIdentity.html</w:t>
      </w:r>
    </w:p>
    <w:p w14:paraId="2CD05FBA" w14:textId="77777777" w:rsidR="0025692F" w:rsidRPr="0025692F" w:rsidRDefault="0025692F" w:rsidP="0025692F">
      <w:pPr>
        <w:pStyle w:val="Bibliography"/>
        <w:rPr>
          <w:rFonts w:cs="Arial"/>
        </w:rPr>
      </w:pPr>
      <w:r w:rsidRPr="0025692F">
        <w:rPr>
          <w:rFonts w:cs="Arial"/>
        </w:rPr>
        <w:t xml:space="preserve">426. </w:t>
      </w:r>
      <w:r w:rsidRPr="0025692F">
        <w:rPr>
          <w:rFonts w:cs="Arial"/>
          <w:i/>
          <w:iCs/>
        </w:rPr>
        <w:t>521 CMR 12.00: Educational facilities | Mass.gov</w:t>
      </w:r>
      <w:r w:rsidRPr="0025692F">
        <w:rPr>
          <w:rFonts w:cs="Arial"/>
        </w:rPr>
        <w:t>. (n.d.). Retrieved July 2, 2024, from https://www.mass.gov/regulations/521-CMR-1200-educational-facilities</w:t>
      </w:r>
    </w:p>
    <w:p w14:paraId="50F524BB" w14:textId="77777777" w:rsidR="0025692F" w:rsidRPr="0025692F" w:rsidRDefault="0025692F" w:rsidP="0025692F">
      <w:pPr>
        <w:pStyle w:val="Bibliography"/>
        <w:rPr>
          <w:rFonts w:cs="Arial"/>
        </w:rPr>
      </w:pPr>
      <w:r w:rsidRPr="0025692F">
        <w:rPr>
          <w:rFonts w:cs="Arial"/>
        </w:rPr>
        <w:t xml:space="preserve">427. </w:t>
      </w:r>
      <w:r w:rsidRPr="0025692F">
        <w:rPr>
          <w:rFonts w:cs="Arial"/>
          <w:i/>
          <w:iCs/>
        </w:rPr>
        <w:t>Americans with Disabilities Act Title III Regulations</w:t>
      </w:r>
      <w:r w:rsidRPr="0025692F">
        <w:rPr>
          <w:rFonts w:cs="Arial"/>
        </w:rPr>
        <w:t>. (2012, March 8). ADA.Gov. https://www.ada.gov/law-and-regs/regulations/title-iii-regulations/</w:t>
      </w:r>
    </w:p>
    <w:p w14:paraId="678F02AE" w14:textId="77777777" w:rsidR="0025692F" w:rsidRPr="0025692F" w:rsidRDefault="0025692F" w:rsidP="0025692F">
      <w:pPr>
        <w:pStyle w:val="Bibliography"/>
        <w:rPr>
          <w:rFonts w:cs="Arial"/>
        </w:rPr>
      </w:pPr>
      <w:r w:rsidRPr="0025692F">
        <w:rPr>
          <w:rFonts w:cs="Arial"/>
        </w:rPr>
        <w:t xml:space="preserve">428. US EPA, O. (2015, February 28). </w:t>
      </w:r>
      <w:r w:rsidRPr="0025692F">
        <w:rPr>
          <w:rFonts w:cs="Arial"/>
          <w:i/>
          <w:iCs/>
        </w:rPr>
        <w:t>Title IX of the Education Amendments Act of 1972</w:t>
      </w:r>
      <w:r w:rsidRPr="0025692F">
        <w:rPr>
          <w:rFonts w:cs="Arial"/>
        </w:rPr>
        <w:t xml:space="preserve"> [Other Policies and Guidance]. https://www.epa.gov/external-civil-rights/title-ix-education-amendments-act-1972</w:t>
      </w:r>
    </w:p>
    <w:p w14:paraId="7466CADD" w14:textId="77777777" w:rsidR="0025692F" w:rsidRPr="0025692F" w:rsidRDefault="0025692F" w:rsidP="0025692F">
      <w:pPr>
        <w:pStyle w:val="Bibliography"/>
        <w:rPr>
          <w:rFonts w:cs="Arial"/>
        </w:rPr>
      </w:pPr>
      <w:r w:rsidRPr="0025692F">
        <w:rPr>
          <w:rFonts w:cs="Arial"/>
        </w:rPr>
        <w:t xml:space="preserve">429. </w:t>
      </w:r>
      <w:r w:rsidRPr="0025692F">
        <w:rPr>
          <w:rFonts w:cs="Arial"/>
          <w:i/>
          <w:iCs/>
        </w:rPr>
        <w:t>2010 ADA Standards for Accessible Design</w:t>
      </w:r>
      <w:r w:rsidRPr="0025692F">
        <w:rPr>
          <w:rFonts w:cs="Arial"/>
        </w:rPr>
        <w:t>. (2010, September 15). ADA.Gov. https://www.ada.gov/law-and-regs/design-standards/2010-stds/</w:t>
      </w:r>
    </w:p>
    <w:p w14:paraId="3EFB948A" w14:textId="622FE4BA" w:rsidR="0010549E" w:rsidRDefault="00A70F7A" w:rsidP="00806B65">
      <w:r>
        <w:fldChar w:fldCharType="end"/>
      </w:r>
    </w:p>
    <w:sectPr w:rsidR="0010549E" w:rsidSect="004F06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71A92" w14:textId="77777777" w:rsidR="00301E63" w:rsidRDefault="00301E63" w:rsidP="00FA5A87">
      <w:r>
        <w:separator/>
      </w:r>
    </w:p>
  </w:endnote>
  <w:endnote w:type="continuationSeparator" w:id="0">
    <w:p w14:paraId="14304613" w14:textId="77777777" w:rsidR="00301E63" w:rsidRDefault="00301E63" w:rsidP="00FA5A87">
      <w:r>
        <w:continuationSeparator/>
      </w:r>
    </w:p>
  </w:endnote>
  <w:endnote w:type="continuationNotice" w:id="1">
    <w:p w14:paraId="7A233E9C" w14:textId="77777777" w:rsidR="00301E63" w:rsidRDefault="00301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Bod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197869"/>
      <w:docPartObj>
        <w:docPartGallery w:val="Page Numbers (Bottom of Page)"/>
        <w:docPartUnique/>
      </w:docPartObj>
    </w:sdtPr>
    <w:sdtEndPr>
      <w:rPr>
        <w:noProof/>
      </w:rPr>
    </w:sdtEndPr>
    <w:sdtContent>
      <w:p w14:paraId="7D4CABFA" w14:textId="6196884B" w:rsidR="00E7317E" w:rsidRPr="00CB2097" w:rsidRDefault="00E7317E" w:rsidP="009E0859">
        <w:pPr>
          <w:pStyle w:val="Footer"/>
          <w:rPr>
            <w:noProof/>
          </w:rPr>
        </w:pPr>
        <w:r>
          <w:fldChar w:fldCharType="begin"/>
        </w:r>
        <w:r>
          <w:instrText xml:space="preserve"> PAGE   \* MERGEFORMAT </w:instrText>
        </w:r>
        <w:r>
          <w:fldChar w:fldCharType="separate"/>
        </w:r>
        <w:r>
          <w:rPr>
            <w:noProof/>
          </w:rPr>
          <w:t>2</w:t>
        </w:r>
        <w:r>
          <w:rPr>
            <w:noProof/>
          </w:rPr>
          <w:fldChar w:fldCharType="end"/>
        </w:r>
      </w:p>
    </w:sdtContent>
  </w:sdt>
  <w:p w14:paraId="016E9B0C" w14:textId="0B4B2DA9" w:rsidR="00E7317E" w:rsidRDefault="00A47344" w:rsidP="00477C42">
    <w:pPr>
      <w:pStyle w:val="Footer"/>
      <w:jc w:val="left"/>
    </w:pPr>
    <w:fldSimple w:instr="STYLEREF  &quot;Heading 1&quot;  \* MERGEFORMAT">
      <w:r w:rsidR="00500846">
        <w:rPr>
          <w:noProof/>
        </w:rPr>
        <w:t>I. Introduction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840011"/>
      <w:docPartObj>
        <w:docPartGallery w:val="Page Numbers (Bottom of Page)"/>
        <w:docPartUnique/>
      </w:docPartObj>
    </w:sdtPr>
    <w:sdtEndPr>
      <w:rPr>
        <w:noProof/>
      </w:rPr>
    </w:sdtEndPr>
    <w:sdtContent>
      <w:p w14:paraId="1833E991" w14:textId="5CBA6CDA" w:rsidR="002B48E4" w:rsidRPr="00CB2097" w:rsidRDefault="002B48E4" w:rsidP="009E0859">
        <w:pPr>
          <w:pStyle w:val="Foo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041480"/>
      <w:docPartObj>
        <w:docPartGallery w:val="Page Numbers (Bottom of Page)"/>
        <w:docPartUnique/>
      </w:docPartObj>
    </w:sdtPr>
    <w:sdtEndPr>
      <w:rPr>
        <w:noProof/>
      </w:rPr>
    </w:sdtEndPr>
    <w:sdtContent>
      <w:p w14:paraId="3533E200" w14:textId="7ADE8FFE" w:rsidR="006E24AF" w:rsidRDefault="004616D6" w:rsidP="009E0859">
        <w:pPr>
          <w:pStyle w:val="Footer"/>
          <w:jc w:val="left"/>
          <w:rPr>
            <w:noProof/>
          </w:rPr>
        </w:pPr>
        <w:r>
          <w:tab/>
        </w:r>
        <w:r w:rsidR="00BB7036">
          <w:fldChar w:fldCharType="begin"/>
        </w:r>
        <w:r w:rsidR="00BB7036">
          <w:instrText xml:space="preserve"> PAGE   \* MERGEFORMAT </w:instrText>
        </w:r>
        <w:r w:rsidR="00BB7036">
          <w:fldChar w:fldCharType="separate"/>
        </w:r>
        <w:r w:rsidR="00BB7036">
          <w:t>53</w:t>
        </w:r>
        <w:r w:rsidR="00BB7036">
          <w:rPr>
            <w:noProof/>
          </w:rPr>
          <w:fldChar w:fldCharType="end"/>
        </w:r>
      </w:p>
      <w:p w14:paraId="141537A0" w14:textId="3E3D01D3" w:rsidR="004D5ECA" w:rsidRDefault="006D565C" w:rsidP="009E0859">
        <w:pPr>
          <w:pStyle w:val="Footer"/>
          <w:jc w:val="left"/>
          <w:rPr>
            <w:noProof/>
          </w:rPr>
        </w:pPr>
        <w:r>
          <w:rPr>
            <w:noProof/>
          </w:rPr>
          <w:fldChar w:fldCharType="begin"/>
        </w:r>
        <w:r>
          <w:rPr>
            <w:noProof/>
          </w:rPr>
          <w:instrText xml:space="preserve"> STYLEREF  "Heading 1"  \* MERGEFORMAT </w:instrText>
        </w:r>
        <w:r>
          <w:rPr>
            <w:noProof/>
          </w:rPr>
          <w:fldChar w:fldCharType="separate"/>
        </w:r>
        <w:r w:rsidR="00500846">
          <w:rPr>
            <w:noProof/>
          </w:rPr>
          <w:t>V. Funding Strategies</w:t>
        </w:r>
        <w:r>
          <w:rPr>
            <w:noProof/>
          </w:rPr>
          <w:fldChar w:fldCharType="end"/>
        </w:r>
      </w:p>
    </w:sdtContent>
  </w:sdt>
  <w:p w14:paraId="3A61E259" w14:textId="23A1A979" w:rsidR="001B1FAF" w:rsidRDefault="001B1FAF" w:rsidP="002862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879815"/>
      <w:docPartObj>
        <w:docPartGallery w:val="Page Numbers (Bottom of Page)"/>
        <w:docPartUnique/>
      </w:docPartObj>
    </w:sdtPr>
    <w:sdtEndPr>
      <w:rPr>
        <w:noProof/>
      </w:rPr>
    </w:sdtEndPr>
    <w:sdtContent>
      <w:p w14:paraId="2663787C" w14:textId="1DF0DC4F" w:rsidR="00F2275C" w:rsidRDefault="00F2275C" w:rsidP="009E0859">
        <w:pPr>
          <w:pStyle w:val="Footer"/>
          <w:jc w:val="left"/>
          <w:rPr>
            <w:noProof/>
          </w:rPr>
        </w:pPr>
        <w:r>
          <w:tab/>
        </w:r>
        <w:r>
          <w:fldChar w:fldCharType="begin"/>
        </w:r>
        <w:r>
          <w:instrText xml:space="preserve"> PAGE   \* MERGEFORMAT </w:instrText>
        </w:r>
        <w:r>
          <w:fldChar w:fldCharType="separate"/>
        </w:r>
        <w:r>
          <w:t>53</w:t>
        </w:r>
        <w:r>
          <w:rPr>
            <w:noProof/>
          </w:rPr>
          <w:fldChar w:fldCharType="end"/>
        </w:r>
      </w:p>
    </w:sdtContent>
  </w:sdt>
  <w:p w14:paraId="5111EBE9" w14:textId="77777777" w:rsidR="00F2275C" w:rsidRDefault="00F2275C" w:rsidP="002862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72200"/>
      <w:docPartObj>
        <w:docPartGallery w:val="Page Numbers (Bottom of Page)"/>
        <w:docPartUnique/>
      </w:docPartObj>
    </w:sdtPr>
    <w:sdtEndPr>
      <w:rPr>
        <w:noProof/>
      </w:rPr>
    </w:sdtEndPr>
    <w:sdtContent>
      <w:p w14:paraId="6E3FB78C" w14:textId="5CD70516" w:rsidR="008C7545" w:rsidRDefault="008C7545" w:rsidP="0028629A">
        <w:pPr>
          <w:pStyle w:val="Footer"/>
        </w:pPr>
        <w:r>
          <w:fldChar w:fldCharType="begin"/>
        </w:r>
        <w:r>
          <w:instrText xml:space="preserve"> PAGE   \* MERGEFORMAT </w:instrText>
        </w:r>
        <w:r>
          <w:fldChar w:fldCharType="separate"/>
        </w:r>
        <w:r>
          <w:rPr>
            <w:noProof/>
          </w:rPr>
          <w:t>2</w:t>
        </w:r>
        <w:r>
          <w:rPr>
            <w:noProof/>
          </w:rPr>
          <w:fldChar w:fldCharType="end"/>
        </w:r>
      </w:p>
    </w:sdtContent>
  </w:sdt>
  <w:p w14:paraId="0D6F649C" w14:textId="191035C4" w:rsidR="00EA7056" w:rsidRDefault="00EA7056" w:rsidP="00EA7056">
    <w:pPr>
      <w:pStyle w:val="Footer"/>
      <w:jc w:val="left"/>
      <w:rPr>
        <w:noProof/>
      </w:rPr>
    </w:pPr>
    <w:r>
      <w:rPr>
        <w:noProof/>
      </w:rPr>
      <w:fldChar w:fldCharType="begin"/>
    </w:r>
    <w:r>
      <w:rPr>
        <w:noProof/>
      </w:rPr>
      <w:instrText xml:space="preserve"> STYLEREF  "Heading 1"  \* MERGEFORMAT </w:instrText>
    </w:r>
    <w:r>
      <w:rPr>
        <w:noProof/>
      </w:rPr>
      <w:fldChar w:fldCharType="separate"/>
    </w:r>
    <w:r w:rsidR="00500846">
      <w:rPr>
        <w:noProof/>
      </w:rPr>
      <w:t>Appendix A: References</w:t>
    </w:r>
    <w:r>
      <w:rPr>
        <w:noProof/>
      </w:rPr>
      <w:fldChar w:fldCharType="end"/>
    </w:r>
  </w:p>
  <w:p w14:paraId="1D716B6D" w14:textId="77777777" w:rsidR="008C7545" w:rsidRDefault="008C7545" w:rsidP="00286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63053" w14:textId="77777777" w:rsidR="00301E63" w:rsidRDefault="00301E63" w:rsidP="00FA5A87">
      <w:r>
        <w:separator/>
      </w:r>
    </w:p>
  </w:footnote>
  <w:footnote w:type="continuationSeparator" w:id="0">
    <w:p w14:paraId="1E747CC6" w14:textId="77777777" w:rsidR="00301E63" w:rsidRDefault="00301E63" w:rsidP="00FA5A87">
      <w:r>
        <w:continuationSeparator/>
      </w:r>
    </w:p>
  </w:footnote>
  <w:footnote w:type="continuationNotice" w:id="1">
    <w:p w14:paraId="300F6CCB" w14:textId="77777777" w:rsidR="00301E63" w:rsidRDefault="00301E63"/>
  </w:footnote>
  <w:footnote w:id="2">
    <w:p w14:paraId="422CD6F7" w14:textId="6FA42C6D" w:rsidR="00FA3966" w:rsidRDefault="00FA3966" w:rsidP="00DA614F">
      <w:pPr>
        <w:pStyle w:val="Footnote"/>
      </w:pPr>
      <w:r>
        <w:rPr>
          <w:rStyle w:val="FootnoteReference"/>
        </w:rPr>
        <w:footnoteRef/>
      </w:r>
      <w:r>
        <w:t xml:space="preserve"> </w:t>
      </w:r>
      <w:r w:rsidRPr="00000FE6">
        <w:t>Pediatric asthma prevalence used for the pilot project came from the 2014</w:t>
      </w:r>
      <w:r w:rsidR="00DA614F">
        <w:t>–</w:t>
      </w:r>
      <w:r w:rsidRPr="00000FE6">
        <w:t>2015 to 2017</w:t>
      </w:r>
      <w:r w:rsidR="00DA614F">
        <w:t>–</w:t>
      </w:r>
      <w:r w:rsidRPr="00000FE6">
        <w:t xml:space="preserve">2018 </w:t>
      </w:r>
      <w:hyperlink r:id="rId1" w:history="1">
        <w:r w:rsidRPr="00287DED">
          <w:rPr>
            <w:rStyle w:val="Hyperlink"/>
            <w:sz w:val="20"/>
          </w:rPr>
          <w:t>Pediatric Asthma and Diabetes Survey</w:t>
        </w:r>
      </w:hyperlink>
      <w:r w:rsidRPr="00000FE6">
        <w:t>, collected annually for children in grades K</w:t>
      </w:r>
      <w:r w:rsidR="00CA7FAB">
        <w:t>–</w:t>
      </w:r>
      <w:r w:rsidRPr="00000FE6">
        <w:t>8 from all public, charter, and private schools in Massachusetts. These were the most</w:t>
      </w:r>
      <w:r w:rsidR="00DA614F">
        <w:t xml:space="preserve"> recent years of data available</w:t>
      </w:r>
      <w:r w:rsidRPr="00000FE6">
        <w:t xml:space="preserve"> at the time of analysis.</w:t>
      </w:r>
    </w:p>
  </w:footnote>
  <w:footnote w:id="3">
    <w:p w14:paraId="41D1EC55" w14:textId="27D3A49C" w:rsidR="00EF77DB" w:rsidRPr="009C3E1C" w:rsidRDefault="00EF77DB" w:rsidP="00DA614F">
      <w:pPr>
        <w:pStyle w:val="Footnote"/>
      </w:pPr>
      <w:r w:rsidRPr="00627B5B">
        <w:rPr>
          <w:rStyle w:val="FootnoteReference"/>
        </w:rPr>
        <w:footnoteRef/>
      </w:r>
      <w:r>
        <w:t xml:space="preserve"> </w:t>
      </w:r>
      <w:r w:rsidR="008443FB">
        <w:t xml:space="preserve">The capital cost for installing onsite renewable energy systems will </w:t>
      </w:r>
      <w:r w:rsidR="00100F5D">
        <w:t>be highly dependent on the funding strategy(ies) used to implement the project.</w:t>
      </w:r>
      <w:r w:rsidR="00B21115">
        <w:t xml:space="preserve"> For example, i</w:t>
      </w:r>
      <w:r w:rsidR="00100F5D">
        <w:t xml:space="preserve">f a school utilizes the Energy Management Services </w:t>
      </w:r>
      <w:r w:rsidR="00F83BBE">
        <w:t>procurement method, the school could complete the project using no capital funding</w:t>
      </w:r>
      <w:r w:rsidR="00B21115">
        <w:t xml:space="preserve">. </w:t>
      </w:r>
      <w:r w:rsidR="00CB690C">
        <w:t xml:space="preserve">See the </w:t>
      </w:r>
      <w:hyperlink w:anchor="FundingStrategies" w:history="1">
        <w:r w:rsidR="00CB690C" w:rsidRPr="009C3E1C">
          <w:rPr>
            <w:rStyle w:val="Hyperlink"/>
            <w:color w:val="auto"/>
            <w:sz w:val="20"/>
            <w:u w:val="none"/>
          </w:rPr>
          <w:t>Funding Strategies</w:t>
        </w:r>
      </w:hyperlink>
      <w:r w:rsidR="00CB690C" w:rsidRPr="009C3E1C">
        <w:t xml:space="preserve"> section for </w:t>
      </w:r>
      <w:r w:rsidR="005372D3" w:rsidRPr="009C3E1C">
        <w:t>additional information about funding strategies for decarbonization project implementation.</w:t>
      </w:r>
    </w:p>
  </w:footnote>
  <w:footnote w:id="4">
    <w:p w14:paraId="1695977C" w14:textId="2649D7C8" w:rsidR="000E3CD7" w:rsidRDefault="000E3CD7" w:rsidP="00DA614F">
      <w:pPr>
        <w:pStyle w:val="Footnote"/>
      </w:pPr>
      <w:r>
        <w:rPr>
          <w:rStyle w:val="FootnoteReference"/>
        </w:rPr>
        <w:footnoteRef/>
      </w:r>
      <w:r>
        <w:t xml:space="preserve"> </w:t>
      </w:r>
      <w:r w:rsidRPr="000E3CD7">
        <w:t>The cost estimate scale in this section differs from other sections due to the higher capital intensity of projects.</w:t>
      </w:r>
    </w:p>
  </w:footnote>
  <w:footnote w:id="5">
    <w:p w14:paraId="3EBAB1DA" w14:textId="77777777" w:rsidR="00DA2FEB" w:rsidRDefault="00DA2FEB" w:rsidP="00DA614F">
      <w:pPr>
        <w:pStyle w:val="Footnote"/>
      </w:pPr>
      <w:r w:rsidRPr="00627B5B">
        <w:rPr>
          <w:rStyle w:val="FootnoteReference"/>
        </w:rPr>
        <w:footnoteRef/>
      </w:r>
      <w:r>
        <w:t xml:space="preserve"> At the time of writing this report</w:t>
      </w:r>
      <w:r w:rsidRPr="001A19A1">
        <w:t xml:space="preserve">, </w:t>
      </w:r>
      <w:hyperlink r:id="rId2" w:history="1">
        <w:r w:rsidRPr="0065282A">
          <w:rPr>
            <w:rStyle w:val="Hyperlink"/>
            <w:sz w:val="20"/>
          </w:rPr>
          <w:t>House Bill 3948</w:t>
        </w:r>
      </w:hyperlink>
      <w:r w:rsidRPr="001A19A1">
        <w:t>, “An Act Prohibiting State and Municipal Contracts for the Purchase and Installation of Artificial Turf Fields,” was ordered for a third reading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9C52" w14:textId="2A7295DF" w:rsidR="008A634A" w:rsidRDefault="00000000">
    <w:pPr>
      <w:pStyle w:val="Header"/>
    </w:pPr>
    <w:r>
      <w:rPr>
        <w:noProof/>
      </w:rPr>
      <w:pict w14:anchorId="64D3A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3" o:spid="_x0000_s1898" type="#_x0000_t136" alt="" style="position:absolute;margin-left:0;margin-top:0;width:468pt;height:187.2pt;z-index:-251660800;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6B25" w14:textId="07144681" w:rsidR="008A634A" w:rsidRDefault="00000000">
    <w:pPr>
      <w:pStyle w:val="Header"/>
    </w:pPr>
    <w:r>
      <w:rPr>
        <w:noProof/>
      </w:rPr>
      <w:pict w14:anchorId="0D529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72" o:spid="_x0000_s1889" type="#_x0000_t136" alt="" style="position:absolute;margin-left:0;margin-top:0;width:468pt;height:187.2pt;z-index:-25165363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2326" w14:textId="4C959490" w:rsidR="008A634A" w:rsidRDefault="008A63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7F7A" w14:textId="1B16686E" w:rsidR="008A634A" w:rsidRDefault="00000000">
    <w:pPr>
      <w:pStyle w:val="Header"/>
    </w:pPr>
    <w:r>
      <w:rPr>
        <w:noProof/>
      </w:rPr>
      <w:pict w14:anchorId="15D34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71" o:spid="_x0000_s1888" type="#_x0000_t136" alt="" style="position:absolute;margin-left:0;margin-top:0;width:468pt;height:187.2pt;z-index:-25165465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D8D3" w14:textId="77777777" w:rsidR="008C7545" w:rsidRDefault="00000000">
    <w:pPr>
      <w:pStyle w:val="Header"/>
    </w:pPr>
    <w:r>
      <w:rPr>
        <w:noProof/>
      </w:rPr>
      <w:pict w14:anchorId="5F4ED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75" o:spid="_x0000_s1886" type="#_x0000_t136" alt="" style="position:absolute;margin-left:0;margin-top:0;width:468pt;height:187.2pt;z-index:-251650560;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3645" w14:textId="77777777" w:rsidR="008C7545" w:rsidRDefault="008C754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32D4" w14:textId="77777777" w:rsidR="008C7545" w:rsidRDefault="00000000">
    <w:pPr>
      <w:pStyle w:val="Header"/>
    </w:pPr>
    <w:r>
      <w:rPr>
        <w:noProof/>
      </w:rPr>
      <w:pict w14:anchorId="18153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74" o:spid="_x0000_s1885" type="#_x0000_t136" alt="" style="position:absolute;margin-left:0;margin-top:0;width:468pt;height:187.2pt;z-index:-251651584;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A138" w14:textId="2646A87C" w:rsidR="00AF6122" w:rsidRPr="00960EA4" w:rsidRDefault="00AF6122" w:rsidP="00FE7637">
    <w:pPr>
      <w:pStyle w:val="Header"/>
      <w:pBdr>
        <w:bottom w:val="single" w:sz="4" w:space="1" w:color="auto"/>
      </w:pBdr>
      <w:rPr>
        <w:i/>
        <w:iCs/>
      </w:rPr>
    </w:pPr>
    <w:r w:rsidRPr="00E65692">
      <w:rPr>
        <w:i/>
        <w:iCs/>
      </w:rPr>
      <w:t>Methods, Best Practices, and Standards for Achieving Green</w:t>
    </w:r>
    <w:r>
      <w:rPr>
        <w:i/>
        <w:iCs/>
      </w:rPr>
      <w:fldChar w:fldCharType="begin"/>
    </w:r>
    <w:r>
      <w:rPr>
        <w:i/>
        <w:iCs/>
      </w:rPr>
      <w:instrText xml:space="preserve"> STYLEREF  "Heading 1"  \* MERGEFORMAT </w:instrText>
    </w:r>
    <w:r>
      <w:rPr>
        <w:i/>
        <w:iCs/>
      </w:rPr>
      <w:fldChar w:fldCharType="end"/>
    </w:r>
    <w:r w:rsidR="00960EA4" w:rsidRPr="00E65692">
      <w:rPr>
        <w:i/>
        <w:iCs/>
      </w:rPr>
      <w:t xml:space="preserve"> </w:t>
    </w:r>
    <w:r w:rsidRPr="00E65692">
      <w:rPr>
        <w:i/>
        <w:iCs/>
      </w:rPr>
      <w:t>and Healthy Schools in the Commonwealth of Massachusetts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CC53" w14:textId="21EF1B0F" w:rsidR="008A634A" w:rsidRDefault="00000000">
    <w:pPr>
      <w:pStyle w:val="Header"/>
    </w:pPr>
    <w:r>
      <w:rPr>
        <w:noProof/>
      </w:rPr>
      <w:pict w14:anchorId="5572C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2" o:spid="_x0000_s1896" type="#_x0000_t136" alt="" style="position:absolute;margin-left:0;margin-top:0;width:468pt;height:187.2pt;z-index:-251661824;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2C38" w14:textId="642810FF" w:rsidR="008A634A" w:rsidRDefault="00000000">
    <w:pPr>
      <w:pStyle w:val="Header"/>
    </w:pPr>
    <w:r>
      <w:rPr>
        <w:noProof/>
      </w:rPr>
      <w:pict w14:anchorId="065D4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6" o:spid="_x0000_s1895" type="#_x0000_t136" alt="" style="position:absolute;margin-left:0;margin-top:0;width:468pt;height:187.2pt;z-index:-25165772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28E8" w14:textId="2908C50D" w:rsidR="00D736B6" w:rsidRPr="00891B2D" w:rsidRDefault="00D736B6" w:rsidP="00EC0C80">
    <w:pPr>
      <w:pStyle w:val="Header"/>
      <w:pBdr>
        <w:bottom w:val="single" w:sz="4" w:space="1" w:color="auto"/>
      </w:pBdr>
      <w:rPr>
        <w:i/>
        <w:iCs/>
      </w:rPr>
    </w:pPr>
    <w:r w:rsidRPr="00E65692">
      <w:rPr>
        <w:i/>
        <w:iCs/>
      </w:rPr>
      <w:t>Methods, Best Practices, and Standards for Achieving Green</w:t>
    </w:r>
    <w:r w:rsidR="00891B2D">
      <w:rPr>
        <w:i/>
        <w:iCs/>
      </w:rPr>
      <w:t xml:space="preserve"> </w:t>
    </w:r>
    <w:r w:rsidRPr="00E65692">
      <w:rPr>
        <w:i/>
        <w:iCs/>
      </w:rPr>
      <w:t>and Healthy Schools in the Commonwealth of Massachusetts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2FAA" w14:textId="3CD592EA" w:rsidR="008A634A" w:rsidRDefault="00000000">
    <w:pPr>
      <w:pStyle w:val="Header"/>
    </w:pPr>
    <w:r>
      <w:rPr>
        <w:noProof/>
      </w:rPr>
      <w:pict w14:anchorId="131748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5" o:spid="_x0000_s1894" type="#_x0000_t136" alt="" style="position:absolute;margin-left:0;margin-top:0;width:468pt;height:187.2pt;z-index:-25165875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E60A" w14:textId="7AF9D7F8" w:rsidR="008A634A" w:rsidRDefault="00000000">
    <w:pPr>
      <w:pStyle w:val="Header"/>
    </w:pPr>
    <w:r>
      <w:rPr>
        <w:noProof/>
      </w:rPr>
      <w:pict w14:anchorId="01748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9" o:spid="_x0000_s1892" type="#_x0000_t136" alt="" style="position:absolute;margin-left:0;margin-top:0;width:468pt;height:187.2pt;z-index:-251655680;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7B29" w14:textId="2AD5586F" w:rsidR="000F2389" w:rsidRPr="006D565C" w:rsidRDefault="000F2389" w:rsidP="00F4283C">
    <w:pPr>
      <w:pStyle w:val="Header"/>
      <w:pBdr>
        <w:bottom w:val="single" w:sz="4" w:space="1" w:color="auto"/>
      </w:pBdr>
      <w:rPr>
        <w:i/>
        <w:iCs/>
      </w:rPr>
    </w:pPr>
    <w:r w:rsidRPr="00E65692">
      <w:rPr>
        <w:i/>
        <w:iCs/>
      </w:rPr>
      <w:t>Methods, Best Practices, and Standards for Achieving Green</w:t>
    </w:r>
    <w:r w:rsidR="006D565C">
      <w:rPr>
        <w:i/>
        <w:iCs/>
      </w:rPr>
      <w:t xml:space="preserve"> </w:t>
    </w:r>
    <w:r w:rsidRPr="00E65692">
      <w:rPr>
        <w:i/>
        <w:iCs/>
      </w:rPr>
      <w:t>and Healthy Schools in the Commonwealth of Massachusetts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27AE" w14:textId="3109DF19" w:rsidR="008A634A" w:rsidRDefault="00000000">
    <w:pPr>
      <w:pStyle w:val="Header"/>
    </w:pPr>
    <w:r>
      <w:rPr>
        <w:noProof/>
      </w:rPr>
      <w:pict w14:anchorId="6FAA40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6168" o:spid="_x0000_s1890" type="#_x0000_t136" alt="" style="position:absolute;margin-left:0;margin-top:0;width:468pt;height:187.2pt;z-index:-251656704;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6D60834"/>
    <w:lvl w:ilvl="0">
      <w:start w:val="1"/>
      <w:numFmt w:val="bullet"/>
      <w:pStyle w:val="ListBullet3"/>
      <w:lvlText w:val="−"/>
      <w:lvlJc w:val="left"/>
      <w:pPr>
        <w:ind w:left="1440" w:hanging="360"/>
      </w:pPr>
      <w:rPr>
        <w:rFonts w:ascii="Segoe UI Symbol" w:hAnsi="Segoe UI Symbol" w:hint="default"/>
      </w:rPr>
    </w:lvl>
  </w:abstractNum>
  <w:abstractNum w:abstractNumId="1" w15:restartNumberingAfterBreak="0">
    <w:nsid w:val="FFFFFF83"/>
    <w:multiLevelType w:val="singleLevel"/>
    <w:tmpl w:val="166A42F0"/>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8"/>
    <w:multiLevelType w:val="singleLevel"/>
    <w:tmpl w:val="1D966724"/>
    <w:lvl w:ilvl="0">
      <w:start w:val="1"/>
      <w:numFmt w:val="decimal"/>
      <w:pStyle w:val="ListNumber"/>
      <w:lvlText w:val="%1."/>
      <w:lvlJc w:val="left"/>
      <w:pPr>
        <w:tabs>
          <w:tab w:val="num" w:pos="360"/>
        </w:tabs>
        <w:ind w:left="360" w:hanging="360"/>
      </w:pPr>
    </w:lvl>
  </w:abstractNum>
  <w:abstractNum w:abstractNumId="3" w15:restartNumberingAfterBreak="0">
    <w:nsid w:val="04F84109"/>
    <w:multiLevelType w:val="hybridMultilevel"/>
    <w:tmpl w:val="687E4BBA"/>
    <w:lvl w:ilvl="0" w:tplc="E73A5F8E">
      <w:start w:val="1"/>
      <w:numFmt w:val="bullet"/>
      <w:pStyle w:val="Text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77738"/>
    <w:multiLevelType w:val="hybridMultilevel"/>
    <w:tmpl w:val="BF5828EC"/>
    <w:lvl w:ilvl="0" w:tplc="378C6EE4">
      <w:start w:val="1"/>
      <w:numFmt w:val="bullet"/>
      <w:pStyle w:val="TableBullet2"/>
      <w:lvlText w:val="−"/>
      <w:lvlJc w:val="left"/>
      <w:pPr>
        <w:ind w:left="734" w:hanging="360"/>
      </w:pPr>
      <w:rPr>
        <w:rFonts w:ascii="Segoe UI Symbol" w:hAnsi="Segoe UI 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11023054"/>
    <w:multiLevelType w:val="hybridMultilevel"/>
    <w:tmpl w:val="E86C3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6346A"/>
    <w:multiLevelType w:val="hybridMultilevel"/>
    <w:tmpl w:val="EB720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F1F8F"/>
    <w:multiLevelType w:val="hybridMultilevel"/>
    <w:tmpl w:val="78BAE3A2"/>
    <w:lvl w:ilvl="0" w:tplc="57E2E23A">
      <w:start w:val="1"/>
      <w:numFmt w:val="bullet"/>
      <w:pStyle w:val="ListBullet"/>
      <w:lvlText w:val=""/>
      <w:lvlJc w:val="left"/>
      <w:pPr>
        <w:ind w:left="405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305F5D"/>
    <w:multiLevelType w:val="multilevel"/>
    <w:tmpl w:val="FA10FBE8"/>
    <w:styleLink w:val="CurrentList1"/>
    <w:lvl w:ilvl="0">
      <w:start w:val="1"/>
      <w:numFmt w:val="bullet"/>
      <w:lvlText w:val=""/>
      <w:lvlJc w:val="left"/>
      <w:pPr>
        <w:ind w:left="81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071C82"/>
    <w:multiLevelType w:val="hybridMultilevel"/>
    <w:tmpl w:val="B85E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E3A40"/>
    <w:multiLevelType w:val="hybridMultilevel"/>
    <w:tmpl w:val="F32A3BDC"/>
    <w:lvl w:ilvl="0" w:tplc="C39E37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160A"/>
    <w:multiLevelType w:val="hybridMultilevel"/>
    <w:tmpl w:val="C8E22738"/>
    <w:lvl w:ilvl="0" w:tplc="0F3CEB7A">
      <w:start w:val="1"/>
      <w:numFmt w:val="decimal"/>
      <w:pStyle w:val="ListParagraph"/>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2" w15:restartNumberingAfterBreak="0">
    <w:nsid w:val="2EDC723E"/>
    <w:multiLevelType w:val="hybridMultilevel"/>
    <w:tmpl w:val="E966AFEA"/>
    <w:lvl w:ilvl="0" w:tplc="04090001">
      <w:start w:val="1"/>
      <w:numFmt w:val="bullet"/>
      <w:lvlText w:val=""/>
      <w:lvlJc w:val="left"/>
      <w:pPr>
        <w:ind w:left="720" w:hanging="360"/>
      </w:pPr>
      <w:rPr>
        <w:rFonts w:ascii="Symbol" w:hAnsi="Symbol" w:hint="default"/>
      </w:rPr>
    </w:lvl>
    <w:lvl w:ilvl="1" w:tplc="799CB53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E5240"/>
    <w:multiLevelType w:val="hybridMultilevel"/>
    <w:tmpl w:val="74E61614"/>
    <w:lvl w:ilvl="0" w:tplc="4E6ACD88">
      <w:start w:val="1"/>
      <w:numFmt w:val="bullet"/>
      <w:pStyle w:val="Table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21372"/>
    <w:multiLevelType w:val="hybridMultilevel"/>
    <w:tmpl w:val="FA10FBE8"/>
    <w:lvl w:ilvl="0" w:tplc="861C5496">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B0B6D"/>
    <w:multiLevelType w:val="hybridMultilevel"/>
    <w:tmpl w:val="F650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312D52"/>
    <w:multiLevelType w:val="hybridMultilevel"/>
    <w:tmpl w:val="318E5E48"/>
    <w:lvl w:ilvl="0" w:tplc="76FC113A">
      <w:start w:val="1"/>
      <w:numFmt w:val="lowerLetter"/>
      <w:pStyle w:val="List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42504"/>
    <w:multiLevelType w:val="hybridMultilevel"/>
    <w:tmpl w:val="9146D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775BD"/>
    <w:multiLevelType w:val="multilevel"/>
    <w:tmpl w:val="2326C526"/>
    <w:lvl w:ilvl="0">
      <w:start w:val="1"/>
      <w:numFmt w:val="none"/>
      <w:pStyle w:val="Heading1"/>
      <w:suff w:val="spac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pStyle w:val="Heading6"/>
      <w:suff w:val="space"/>
      <w:lvlText w:val="Appendix %6."/>
      <w:lvlJc w:val="left"/>
      <w:pPr>
        <w:ind w:left="360" w:hanging="360"/>
      </w:pPr>
      <w:rPr>
        <w:rFonts w:ascii="Calibri" w:hAnsi="Calibri" w:hint="default"/>
        <w:caps/>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089154A"/>
    <w:multiLevelType w:val="multilevel"/>
    <w:tmpl w:val="99A82F54"/>
    <w:lvl w:ilvl="0">
      <w:start w:val="1"/>
      <w:numFmt w:val="upperRoman"/>
      <w:suff w:val="space"/>
      <w:lvlText w:val="%1."/>
      <w:lvlJc w:val="left"/>
      <w:pPr>
        <w:ind w:left="360" w:hanging="360"/>
      </w:pPr>
      <w:rPr>
        <w:rFonts w:hint="default"/>
      </w:rPr>
    </w:lvl>
    <w:lvl w:ilvl="1">
      <w:start w:val="1"/>
      <w:numFmt w:val="upperLetter"/>
      <w:suff w:val="space"/>
      <w:lvlText w:val="%2."/>
      <w:lvlJc w:val="left"/>
      <w:pPr>
        <w:ind w:left="360" w:hanging="360"/>
      </w:pPr>
      <w:rPr>
        <w:rFonts w:hint="default"/>
      </w:rPr>
    </w:lvl>
    <w:lvl w:ilvl="2">
      <w:start w:val="1"/>
      <w:numFmt w:val="decimal"/>
      <w:suff w:val="space"/>
      <w:lvlText w:val="%3."/>
      <w:lvlJc w:val="left"/>
      <w:pPr>
        <w:ind w:left="720" w:hanging="360"/>
      </w:pPr>
      <w:rPr>
        <w:rFonts w:hint="default"/>
      </w:rPr>
    </w:lvl>
    <w:lvl w:ilvl="3">
      <w:start w:val="1"/>
      <w:numFmt w:val="decimal"/>
      <w:suff w:val="space"/>
      <w:lvlText w:val="%1.%2.%3.%4."/>
      <w:lvlJc w:val="left"/>
      <w:pPr>
        <w:ind w:left="1440" w:hanging="360"/>
      </w:pPr>
      <w:rPr>
        <w:rFonts w:hint="default"/>
      </w:rPr>
    </w:lvl>
    <w:lvl w:ilvl="4">
      <w:start w:val="18"/>
      <w:numFmt w:val="none"/>
      <w:lvlRestart w:val="0"/>
      <w:suff w:val="space"/>
      <w:lvlText w:val=""/>
      <w:lvlJc w:val="left"/>
      <w:pPr>
        <w:ind w:left="360" w:hanging="360"/>
      </w:pPr>
      <w:rPr>
        <w:rFonts w:hint="default"/>
      </w:rPr>
    </w:lvl>
    <w:lvl w:ilvl="5">
      <w:start w:val="1"/>
      <w:numFmt w:val="upperLetter"/>
      <w:lvlRestart w:val="0"/>
      <w:suff w:val="space"/>
      <w:lvlText w:val="Appendix %6"/>
      <w:lvlJc w:val="left"/>
      <w:pPr>
        <w:ind w:left="2430" w:hanging="360"/>
      </w:pPr>
      <w:rPr>
        <w:rFonts w:hint="default"/>
      </w:rPr>
    </w:lvl>
    <w:lvl w:ilvl="6">
      <w:start w:val="1"/>
      <w:numFmt w:val="decimal"/>
      <w:pStyle w:val="Heading7"/>
      <w:suff w:val="space"/>
      <w:lvlText w:val="%6.%7"/>
      <w:lvlJc w:val="left"/>
      <w:pPr>
        <w:ind w:left="720" w:hanging="360"/>
      </w:pPr>
      <w:rPr>
        <w:rFonts w:hint="default"/>
      </w:rPr>
    </w:lvl>
    <w:lvl w:ilvl="7">
      <w:start w:val="1"/>
      <w:numFmt w:val="none"/>
      <w:lvlRestart w:val="0"/>
      <w:pStyle w:val="Heading8"/>
      <w:suff w:val="space"/>
      <w:lvlText w:val="Executive Summary"/>
      <w:lvlJc w:val="left"/>
      <w:pPr>
        <w:ind w:left="360" w:hanging="360"/>
      </w:pPr>
      <w:rPr>
        <w:rFonts w:hint="default"/>
      </w:rPr>
    </w:lvl>
    <w:lvl w:ilvl="8">
      <w:start w:val="1"/>
      <w:numFmt w:val="decimal"/>
      <w:pStyle w:val="Heading9"/>
      <w:suff w:val="space"/>
      <w:lvlText w:val="E.%9"/>
      <w:lvlJc w:val="left"/>
      <w:pPr>
        <w:ind w:left="720" w:hanging="360"/>
      </w:pPr>
      <w:rPr>
        <w:rFonts w:hint="default"/>
      </w:rPr>
    </w:lvl>
  </w:abstractNum>
  <w:num w:numId="1" w16cid:durableId="1033459140">
    <w:abstractNumId w:val="1"/>
  </w:num>
  <w:num w:numId="2" w16cid:durableId="1870676756">
    <w:abstractNumId w:val="0"/>
  </w:num>
  <w:num w:numId="3" w16cid:durableId="158086892">
    <w:abstractNumId w:val="2"/>
  </w:num>
  <w:num w:numId="4" w16cid:durableId="303049136">
    <w:abstractNumId w:val="19"/>
  </w:num>
  <w:num w:numId="5" w16cid:durableId="1158766552">
    <w:abstractNumId w:val="7"/>
  </w:num>
  <w:num w:numId="6" w16cid:durableId="1200626881">
    <w:abstractNumId w:val="18"/>
  </w:num>
  <w:num w:numId="7" w16cid:durableId="703098309">
    <w:abstractNumId w:val="16"/>
  </w:num>
  <w:num w:numId="8" w16cid:durableId="1201749311">
    <w:abstractNumId w:val="16"/>
    <w:lvlOverride w:ilvl="0">
      <w:startOverride w:val="1"/>
    </w:lvlOverride>
  </w:num>
  <w:num w:numId="9" w16cid:durableId="984815582">
    <w:abstractNumId w:val="16"/>
    <w:lvlOverride w:ilvl="0">
      <w:startOverride w:val="1"/>
    </w:lvlOverride>
  </w:num>
  <w:num w:numId="10" w16cid:durableId="856892983">
    <w:abstractNumId w:val="14"/>
  </w:num>
  <w:num w:numId="11" w16cid:durableId="1088965847">
    <w:abstractNumId w:val="6"/>
  </w:num>
  <w:num w:numId="12" w16cid:durableId="1849253564">
    <w:abstractNumId w:val="5"/>
  </w:num>
  <w:num w:numId="13" w16cid:durableId="2024627777">
    <w:abstractNumId w:val="9"/>
  </w:num>
  <w:num w:numId="14" w16cid:durableId="470631288">
    <w:abstractNumId w:val="16"/>
    <w:lvlOverride w:ilvl="0">
      <w:startOverride w:val="1"/>
    </w:lvlOverride>
  </w:num>
  <w:num w:numId="15" w16cid:durableId="163513071">
    <w:abstractNumId w:val="10"/>
  </w:num>
  <w:num w:numId="16" w16cid:durableId="1337921681">
    <w:abstractNumId w:val="12"/>
  </w:num>
  <w:num w:numId="17" w16cid:durableId="117337784">
    <w:abstractNumId w:val="15"/>
  </w:num>
  <w:num w:numId="18" w16cid:durableId="159660800">
    <w:abstractNumId w:val="2"/>
    <w:lvlOverride w:ilvl="0">
      <w:startOverride w:val="1"/>
    </w:lvlOverride>
  </w:num>
  <w:num w:numId="19" w16cid:durableId="1054159984">
    <w:abstractNumId w:val="17"/>
  </w:num>
  <w:num w:numId="20" w16cid:durableId="1382048338">
    <w:abstractNumId w:val="13"/>
  </w:num>
  <w:num w:numId="21" w16cid:durableId="1229418677">
    <w:abstractNumId w:val="4"/>
  </w:num>
  <w:num w:numId="22" w16cid:durableId="261575372">
    <w:abstractNumId w:val="11"/>
  </w:num>
  <w:num w:numId="23" w16cid:durableId="1838153939">
    <w:abstractNumId w:val="11"/>
    <w:lvlOverride w:ilvl="0">
      <w:startOverride w:val="1"/>
    </w:lvlOverride>
  </w:num>
  <w:num w:numId="24" w16cid:durableId="1118378922">
    <w:abstractNumId w:val="2"/>
    <w:lvlOverride w:ilvl="0">
      <w:startOverride w:val="1"/>
    </w:lvlOverride>
  </w:num>
  <w:num w:numId="25" w16cid:durableId="1064840427">
    <w:abstractNumId w:val="16"/>
    <w:lvlOverride w:ilvl="0">
      <w:startOverride w:val="1"/>
    </w:lvlOverride>
  </w:num>
  <w:num w:numId="26" w16cid:durableId="747776018">
    <w:abstractNumId w:val="3"/>
  </w:num>
  <w:num w:numId="27" w16cid:durableId="387076476">
    <w:abstractNumId w:val="2"/>
    <w:lvlOverride w:ilvl="0">
      <w:startOverride w:val="1"/>
    </w:lvlOverride>
  </w:num>
  <w:num w:numId="28" w16cid:durableId="394163584">
    <w:abstractNumId w:val="16"/>
    <w:lvlOverride w:ilvl="0">
      <w:startOverride w:val="1"/>
    </w:lvlOverride>
  </w:num>
  <w:num w:numId="29" w16cid:durableId="2033261331">
    <w:abstractNumId w:val="16"/>
    <w:lvlOverride w:ilvl="0">
      <w:startOverride w:val="1"/>
    </w:lvlOverride>
  </w:num>
  <w:num w:numId="30" w16cid:durableId="306321726">
    <w:abstractNumId w:val="16"/>
    <w:lvlOverride w:ilvl="0">
      <w:startOverride w:val="1"/>
    </w:lvlOverride>
  </w:num>
  <w:num w:numId="31" w16cid:durableId="1024406466">
    <w:abstractNumId w:val="16"/>
    <w:lvlOverride w:ilvl="0">
      <w:startOverride w:val="1"/>
    </w:lvlOverride>
  </w:num>
  <w:num w:numId="32" w16cid:durableId="482165905">
    <w:abstractNumId w:val="16"/>
    <w:lvlOverride w:ilvl="0">
      <w:startOverride w:val="1"/>
    </w:lvlOverride>
  </w:num>
  <w:num w:numId="33" w16cid:durableId="1051345893">
    <w:abstractNumId w:val="2"/>
    <w:lvlOverride w:ilvl="0">
      <w:startOverride w:val="1"/>
    </w:lvlOverride>
  </w:num>
  <w:num w:numId="34" w16cid:durableId="1310591006">
    <w:abstractNumId w:val="2"/>
    <w:lvlOverride w:ilvl="0">
      <w:startOverride w:val="1"/>
    </w:lvlOverride>
  </w:num>
  <w:num w:numId="35" w16cid:durableId="89898042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A8"/>
    <w:rsid w:val="000001DB"/>
    <w:rsid w:val="0000020C"/>
    <w:rsid w:val="000004C2"/>
    <w:rsid w:val="00000562"/>
    <w:rsid w:val="0000063D"/>
    <w:rsid w:val="0000077F"/>
    <w:rsid w:val="00000A40"/>
    <w:rsid w:val="00000B30"/>
    <w:rsid w:val="00000B36"/>
    <w:rsid w:val="00000FD5"/>
    <w:rsid w:val="00000FE6"/>
    <w:rsid w:val="000011E9"/>
    <w:rsid w:val="000011FF"/>
    <w:rsid w:val="000012C7"/>
    <w:rsid w:val="000013AD"/>
    <w:rsid w:val="00001539"/>
    <w:rsid w:val="000016A2"/>
    <w:rsid w:val="00001723"/>
    <w:rsid w:val="00001788"/>
    <w:rsid w:val="00001840"/>
    <w:rsid w:val="00001875"/>
    <w:rsid w:val="000018C4"/>
    <w:rsid w:val="0000199F"/>
    <w:rsid w:val="00001B93"/>
    <w:rsid w:val="00001C15"/>
    <w:rsid w:val="000020A5"/>
    <w:rsid w:val="0000231E"/>
    <w:rsid w:val="00002545"/>
    <w:rsid w:val="000025BE"/>
    <w:rsid w:val="0000262C"/>
    <w:rsid w:val="000027DB"/>
    <w:rsid w:val="0000287B"/>
    <w:rsid w:val="00002ACA"/>
    <w:rsid w:val="0000306C"/>
    <w:rsid w:val="000030C0"/>
    <w:rsid w:val="000031A0"/>
    <w:rsid w:val="000034C9"/>
    <w:rsid w:val="0000367C"/>
    <w:rsid w:val="000036CC"/>
    <w:rsid w:val="000036E9"/>
    <w:rsid w:val="0000381E"/>
    <w:rsid w:val="00003BB1"/>
    <w:rsid w:val="00003C6B"/>
    <w:rsid w:val="00003DD5"/>
    <w:rsid w:val="000044DB"/>
    <w:rsid w:val="000047C2"/>
    <w:rsid w:val="000047E8"/>
    <w:rsid w:val="000047E9"/>
    <w:rsid w:val="00004898"/>
    <w:rsid w:val="000048C6"/>
    <w:rsid w:val="000049A7"/>
    <w:rsid w:val="00004B79"/>
    <w:rsid w:val="00004FDD"/>
    <w:rsid w:val="000053A9"/>
    <w:rsid w:val="00005492"/>
    <w:rsid w:val="00005511"/>
    <w:rsid w:val="00005544"/>
    <w:rsid w:val="00005667"/>
    <w:rsid w:val="000056CC"/>
    <w:rsid w:val="000057E0"/>
    <w:rsid w:val="00005867"/>
    <w:rsid w:val="00005B5B"/>
    <w:rsid w:val="00005C18"/>
    <w:rsid w:val="00005D94"/>
    <w:rsid w:val="00005F4F"/>
    <w:rsid w:val="00005FFE"/>
    <w:rsid w:val="000061A1"/>
    <w:rsid w:val="00006411"/>
    <w:rsid w:val="000066E0"/>
    <w:rsid w:val="00006749"/>
    <w:rsid w:val="00006765"/>
    <w:rsid w:val="000067FE"/>
    <w:rsid w:val="00006895"/>
    <w:rsid w:val="000069E8"/>
    <w:rsid w:val="00006A67"/>
    <w:rsid w:val="00006B7B"/>
    <w:rsid w:val="00006DDD"/>
    <w:rsid w:val="00006DE2"/>
    <w:rsid w:val="00006ED2"/>
    <w:rsid w:val="00006ED9"/>
    <w:rsid w:val="00006F58"/>
    <w:rsid w:val="00007087"/>
    <w:rsid w:val="000070D9"/>
    <w:rsid w:val="000071CE"/>
    <w:rsid w:val="00007776"/>
    <w:rsid w:val="000077EE"/>
    <w:rsid w:val="000078A4"/>
    <w:rsid w:val="00007BFC"/>
    <w:rsid w:val="00010164"/>
    <w:rsid w:val="0001024E"/>
    <w:rsid w:val="0001037F"/>
    <w:rsid w:val="00010454"/>
    <w:rsid w:val="000104B2"/>
    <w:rsid w:val="0001055D"/>
    <w:rsid w:val="0001079C"/>
    <w:rsid w:val="00010846"/>
    <w:rsid w:val="00010A1C"/>
    <w:rsid w:val="00010B2D"/>
    <w:rsid w:val="00010B33"/>
    <w:rsid w:val="00010E15"/>
    <w:rsid w:val="00010E2D"/>
    <w:rsid w:val="000110DA"/>
    <w:rsid w:val="000112F2"/>
    <w:rsid w:val="00011322"/>
    <w:rsid w:val="00011430"/>
    <w:rsid w:val="00011631"/>
    <w:rsid w:val="000116C7"/>
    <w:rsid w:val="0001176C"/>
    <w:rsid w:val="000119A3"/>
    <w:rsid w:val="00011DB5"/>
    <w:rsid w:val="000120F5"/>
    <w:rsid w:val="00012730"/>
    <w:rsid w:val="000127F9"/>
    <w:rsid w:val="0001294F"/>
    <w:rsid w:val="0001295D"/>
    <w:rsid w:val="00012AC6"/>
    <w:rsid w:val="00012C1C"/>
    <w:rsid w:val="00012C47"/>
    <w:rsid w:val="00012CA9"/>
    <w:rsid w:val="00012D72"/>
    <w:rsid w:val="00012D97"/>
    <w:rsid w:val="00012EC1"/>
    <w:rsid w:val="00012F1B"/>
    <w:rsid w:val="00013141"/>
    <w:rsid w:val="0001333B"/>
    <w:rsid w:val="00013608"/>
    <w:rsid w:val="00013629"/>
    <w:rsid w:val="0001391C"/>
    <w:rsid w:val="00013A88"/>
    <w:rsid w:val="00013C82"/>
    <w:rsid w:val="00013CF8"/>
    <w:rsid w:val="00013D61"/>
    <w:rsid w:val="00013DAB"/>
    <w:rsid w:val="00013DC4"/>
    <w:rsid w:val="00013DD8"/>
    <w:rsid w:val="000140E0"/>
    <w:rsid w:val="00014231"/>
    <w:rsid w:val="0001432D"/>
    <w:rsid w:val="00014413"/>
    <w:rsid w:val="00014453"/>
    <w:rsid w:val="0001446A"/>
    <w:rsid w:val="000144DD"/>
    <w:rsid w:val="00014571"/>
    <w:rsid w:val="000145B9"/>
    <w:rsid w:val="0001467B"/>
    <w:rsid w:val="00014953"/>
    <w:rsid w:val="00014BCE"/>
    <w:rsid w:val="00014C41"/>
    <w:rsid w:val="00014C4A"/>
    <w:rsid w:val="00014CAE"/>
    <w:rsid w:val="00014CE8"/>
    <w:rsid w:val="00014EFD"/>
    <w:rsid w:val="00014F40"/>
    <w:rsid w:val="00015015"/>
    <w:rsid w:val="000150C5"/>
    <w:rsid w:val="000152B4"/>
    <w:rsid w:val="000154E5"/>
    <w:rsid w:val="000155EC"/>
    <w:rsid w:val="00015919"/>
    <w:rsid w:val="00015B69"/>
    <w:rsid w:val="00015C13"/>
    <w:rsid w:val="00015D09"/>
    <w:rsid w:val="00015F5F"/>
    <w:rsid w:val="00016205"/>
    <w:rsid w:val="00016239"/>
    <w:rsid w:val="00016376"/>
    <w:rsid w:val="000163A3"/>
    <w:rsid w:val="000165C7"/>
    <w:rsid w:val="00016624"/>
    <w:rsid w:val="000167CE"/>
    <w:rsid w:val="00016890"/>
    <w:rsid w:val="000169D2"/>
    <w:rsid w:val="00016F01"/>
    <w:rsid w:val="00016FE1"/>
    <w:rsid w:val="00017107"/>
    <w:rsid w:val="0001710F"/>
    <w:rsid w:val="00017541"/>
    <w:rsid w:val="000176AF"/>
    <w:rsid w:val="0001774C"/>
    <w:rsid w:val="00017C1B"/>
    <w:rsid w:val="00017DD8"/>
    <w:rsid w:val="00017DF8"/>
    <w:rsid w:val="00017F03"/>
    <w:rsid w:val="00020190"/>
    <w:rsid w:val="00020304"/>
    <w:rsid w:val="00020500"/>
    <w:rsid w:val="00020823"/>
    <w:rsid w:val="00020B30"/>
    <w:rsid w:val="00020B9B"/>
    <w:rsid w:val="00020C07"/>
    <w:rsid w:val="00020CAF"/>
    <w:rsid w:val="00020EB9"/>
    <w:rsid w:val="00020F44"/>
    <w:rsid w:val="00020F9D"/>
    <w:rsid w:val="00020FEE"/>
    <w:rsid w:val="0002114E"/>
    <w:rsid w:val="00021446"/>
    <w:rsid w:val="0002144A"/>
    <w:rsid w:val="000218FF"/>
    <w:rsid w:val="000219BE"/>
    <w:rsid w:val="00021A82"/>
    <w:rsid w:val="00021C66"/>
    <w:rsid w:val="00022426"/>
    <w:rsid w:val="000225F8"/>
    <w:rsid w:val="00022664"/>
    <w:rsid w:val="000227E4"/>
    <w:rsid w:val="0002298E"/>
    <w:rsid w:val="00022C4C"/>
    <w:rsid w:val="00022F32"/>
    <w:rsid w:val="00022FDE"/>
    <w:rsid w:val="0002307E"/>
    <w:rsid w:val="00023092"/>
    <w:rsid w:val="00023350"/>
    <w:rsid w:val="0002336E"/>
    <w:rsid w:val="00023397"/>
    <w:rsid w:val="00023497"/>
    <w:rsid w:val="0002385D"/>
    <w:rsid w:val="00023C78"/>
    <w:rsid w:val="00023CF9"/>
    <w:rsid w:val="00023F19"/>
    <w:rsid w:val="00023F5B"/>
    <w:rsid w:val="00023F6B"/>
    <w:rsid w:val="00024187"/>
    <w:rsid w:val="00024369"/>
    <w:rsid w:val="000244BA"/>
    <w:rsid w:val="00024559"/>
    <w:rsid w:val="0002459F"/>
    <w:rsid w:val="00024A4B"/>
    <w:rsid w:val="00024B2A"/>
    <w:rsid w:val="00024F63"/>
    <w:rsid w:val="00025067"/>
    <w:rsid w:val="0002541F"/>
    <w:rsid w:val="00025894"/>
    <w:rsid w:val="00025AC1"/>
    <w:rsid w:val="00025F4F"/>
    <w:rsid w:val="00026201"/>
    <w:rsid w:val="000262A2"/>
    <w:rsid w:val="0002636B"/>
    <w:rsid w:val="00026788"/>
    <w:rsid w:val="0002683C"/>
    <w:rsid w:val="00026920"/>
    <w:rsid w:val="00026950"/>
    <w:rsid w:val="00026A86"/>
    <w:rsid w:val="00026A89"/>
    <w:rsid w:val="00026B5F"/>
    <w:rsid w:val="00026BBB"/>
    <w:rsid w:val="00026DA7"/>
    <w:rsid w:val="00026E45"/>
    <w:rsid w:val="00026F13"/>
    <w:rsid w:val="00027049"/>
    <w:rsid w:val="00027343"/>
    <w:rsid w:val="00027799"/>
    <w:rsid w:val="00027956"/>
    <w:rsid w:val="00027B59"/>
    <w:rsid w:val="00027BAB"/>
    <w:rsid w:val="00027BC1"/>
    <w:rsid w:val="00027C71"/>
    <w:rsid w:val="00027F32"/>
    <w:rsid w:val="00027F41"/>
    <w:rsid w:val="00027FC3"/>
    <w:rsid w:val="000302A7"/>
    <w:rsid w:val="000303BB"/>
    <w:rsid w:val="0003049E"/>
    <w:rsid w:val="00030673"/>
    <w:rsid w:val="000307EA"/>
    <w:rsid w:val="00030833"/>
    <w:rsid w:val="00030841"/>
    <w:rsid w:val="000309A9"/>
    <w:rsid w:val="00030C5D"/>
    <w:rsid w:val="00030D94"/>
    <w:rsid w:val="00030D98"/>
    <w:rsid w:val="00030DC4"/>
    <w:rsid w:val="00030F3E"/>
    <w:rsid w:val="00030F92"/>
    <w:rsid w:val="00030FB5"/>
    <w:rsid w:val="0003120A"/>
    <w:rsid w:val="00031307"/>
    <w:rsid w:val="00031501"/>
    <w:rsid w:val="0003178F"/>
    <w:rsid w:val="000317DD"/>
    <w:rsid w:val="0003189C"/>
    <w:rsid w:val="00031CF8"/>
    <w:rsid w:val="00031D96"/>
    <w:rsid w:val="00031E07"/>
    <w:rsid w:val="0003234F"/>
    <w:rsid w:val="0003237C"/>
    <w:rsid w:val="00032425"/>
    <w:rsid w:val="0003250C"/>
    <w:rsid w:val="00032975"/>
    <w:rsid w:val="00032A9A"/>
    <w:rsid w:val="00032AA1"/>
    <w:rsid w:val="00032AB4"/>
    <w:rsid w:val="00032EBB"/>
    <w:rsid w:val="00032F87"/>
    <w:rsid w:val="000332F4"/>
    <w:rsid w:val="000337C5"/>
    <w:rsid w:val="00033BF6"/>
    <w:rsid w:val="00033DB6"/>
    <w:rsid w:val="00033E06"/>
    <w:rsid w:val="00034024"/>
    <w:rsid w:val="000344E3"/>
    <w:rsid w:val="000344F1"/>
    <w:rsid w:val="0003463B"/>
    <w:rsid w:val="0003467E"/>
    <w:rsid w:val="000346F9"/>
    <w:rsid w:val="00034765"/>
    <w:rsid w:val="00034872"/>
    <w:rsid w:val="0003487C"/>
    <w:rsid w:val="000349D8"/>
    <w:rsid w:val="00034D33"/>
    <w:rsid w:val="00034D85"/>
    <w:rsid w:val="00034F8E"/>
    <w:rsid w:val="00035036"/>
    <w:rsid w:val="000350AD"/>
    <w:rsid w:val="000352F9"/>
    <w:rsid w:val="00035372"/>
    <w:rsid w:val="000355E7"/>
    <w:rsid w:val="000356CB"/>
    <w:rsid w:val="000357FC"/>
    <w:rsid w:val="00035B20"/>
    <w:rsid w:val="00035B80"/>
    <w:rsid w:val="00035D99"/>
    <w:rsid w:val="00036043"/>
    <w:rsid w:val="00036044"/>
    <w:rsid w:val="0003666B"/>
    <w:rsid w:val="00036877"/>
    <w:rsid w:val="00036A6A"/>
    <w:rsid w:val="00036EF1"/>
    <w:rsid w:val="00037033"/>
    <w:rsid w:val="000371EA"/>
    <w:rsid w:val="0003724C"/>
    <w:rsid w:val="00037440"/>
    <w:rsid w:val="000374FE"/>
    <w:rsid w:val="0003767C"/>
    <w:rsid w:val="0003770C"/>
    <w:rsid w:val="00037849"/>
    <w:rsid w:val="00037A14"/>
    <w:rsid w:val="00037BFE"/>
    <w:rsid w:val="00037C25"/>
    <w:rsid w:val="00037E14"/>
    <w:rsid w:val="00040013"/>
    <w:rsid w:val="00040075"/>
    <w:rsid w:val="000401A3"/>
    <w:rsid w:val="0004028E"/>
    <w:rsid w:val="000404E5"/>
    <w:rsid w:val="00040582"/>
    <w:rsid w:val="0004063C"/>
    <w:rsid w:val="000406F8"/>
    <w:rsid w:val="00040877"/>
    <w:rsid w:val="000408D9"/>
    <w:rsid w:val="00040AC0"/>
    <w:rsid w:val="00040B7F"/>
    <w:rsid w:val="00040C0B"/>
    <w:rsid w:val="00040CB1"/>
    <w:rsid w:val="000410FE"/>
    <w:rsid w:val="00041139"/>
    <w:rsid w:val="000411E9"/>
    <w:rsid w:val="000413A9"/>
    <w:rsid w:val="000413F7"/>
    <w:rsid w:val="00041732"/>
    <w:rsid w:val="00041759"/>
    <w:rsid w:val="000417C9"/>
    <w:rsid w:val="00041B66"/>
    <w:rsid w:val="00041C93"/>
    <w:rsid w:val="00041D2A"/>
    <w:rsid w:val="00042056"/>
    <w:rsid w:val="00042219"/>
    <w:rsid w:val="00042277"/>
    <w:rsid w:val="0004283D"/>
    <w:rsid w:val="00042892"/>
    <w:rsid w:val="00042926"/>
    <w:rsid w:val="00042D0C"/>
    <w:rsid w:val="00042D99"/>
    <w:rsid w:val="00042E07"/>
    <w:rsid w:val="00042ECB"/>
    <w:rsid w:val="00042F5D"/>
    <w:rsid w:val="00042F7C"/>
    <w:rsid w:val="0004308B"/>
    <w:rsid w:val="0004332D"/>
    <w:rsid w:val="00043857"/>
    <w:rsid w:val="00043909"/>
    <w:rsid w:val="000439AA"/>
    <w:rsid w:val="00043B05"/>
    <w:rsid w:val="00043B74"/>
    <w:rsid w:val="00043C2D"/>
    <w:rsid w:val="00043CC2"/>
    <w:rsid w:val="00043E4E"/>
    <w:rsid w:val="00043F4C"/>
    <w:rsid w:val="00043F5A"/>
    <w:rsid w:val="00044093"/>
    <w:rsid w:val="00044188"/>
    <w:rsid w:val="0004420B"/>
    <w:rsid w:val="000445E9"/>
    <w:rsid w:val="0004485F"/>
    <w:rsid w:val="000449C3"/>
    <w:rsid w:val="000449F2"/>
    <w:rsid w:val="00044BE0"/>
    <w:rsid w:val="00044D36"/>
    <w:rsid w:val="00044D69"/>
    <w:rsid w:val="00044E19"/>
    <w:rsid w:val="00044E67"/>
    <w:rsid w:val="00044FE6"/>
    <w:rsid w:val="000451CD"/>
    <w:rsid w:val="00045554"/>
    <w:rsid w:val="0004559D"/>
    <w:rsid w:val="000455AE"/>
    <w:rsid w:val="0004561A"/>
    <w:rsid w:val="0004585D"/>
    <w:rsid w:val="00045910"/>
    <w:rsid w:val="0004596E"/>
    <w:rsid w:val="000459AF"/>
    <w:rsid w:val="00045AA4"/>
    <w:rsid w:val="00045B26"/>
    <w:rsid w:val="00045D4A"/>
    <w:rsid w:val="00045DEC"/>
    <w:rsid w:val="00045E2C"/>
    <w:rsid w:val="000460A3"/>
    <w:rsid w:val="000460E4"/>
    <w:rsid w:val="0004627A"/>
    <w:rsid w:val="00046326"/>
    <w:rsid w:val="00046BB1"/>
    <w:rsid w:val="00046CE0"/>
    <w:rsid w:val="00046F5B"/>
    <w:rsid w:val="000470ED"/>
    <w:rsid w:val="00047458"/>
    <w:rsid w:val="000474E4"/>
    <w:rsid w:val="00047561"/>
    <w:rsid w:val="00047705"/>
    <w:rsid w:val="000478B8"/>
    <w:rsid w:val="00047A6E"/>
    <w:rsid w:val="00047AA0"/>
    <w:rsid w:val="00047BDD"/>
    <w:rsid w:val="00047DE3"/>
    <w:rsid w:val="00047E0D"/>
    <w:rsid w:val="00047EB3"/>
    <w:rsid w:val="00047ED4"/>
    <w:rsid w:val="00047EF4"/>
    <w:rsid w:val="0005032F"/>
    <w:rsid w:val="000504C4"/>
    <w:rsid w:val="0005060E"/>
    <w:rsid w:val="00050782"/>
    <w:rsid w:val="00050A68"/>
    <w:rsid w:val="00050AF2"/>
    <w:rsid w:val="00050D9F"/>
    <w:rsid w:val="00050E27"/>
    <w:rsid w:val="00050ECB"/>
    <w:rsid w:val="00050F63"/>
    <w:rsid w:val="00050FC7"/>
    <w:rsid w:val="00051182"/>
    <w:rsid w:val="00051257"/>
    <w:rsid w:val="000515B1"/>
    <w:rsid w:val="00051621"/>
    <w:rsid w:val="00051852"/>
    <w:rsid w:val="000518C7"/>
    <w:rsid w:val="000519D9"/>
    <w:rsid w:val="00051A02"/>
    <w:rsid w:val="00051E47"/>
    <w:rsid w:val="000521C1"/>
    <w:rsid w:val="000522A6"/>
    <w:rsid w:val="0005231D"/>
    <w:rsid w:val="0005245D"/>
    <w:rsid w:val="00052687"/>
    <w:rsid w:val="00052833"/>
    <w:rsid w:val="00052907"/>
    <w:rsid w:val="00052A3B"/>
    <w:rsid w:val="00052BE8"/>
    <w:rsid w:val="00052D16"/>
    <w:rsid w:val="00052DB2"/>
    <w:rsid w:val="00052F70"/>
    <w:rsid w:val="00053144"/>
    <w:rsid w:val="000533E9"/>
    <w:rsid w:val="000536E1"/>
    <w:rsid w:val="0005371D"/>
    <w:rsid w:val="00053748"/>
    <w:rsid w:val="000537B3"/>
    <w:rsid w:val="000537B4"/>
    <w:rsid w:val="000538D5"/>
    <w:rsid w:val="00053A8E"/>
    <w:rsid w:val="00053C4A"/>
    <w:rsid w:val="00053EF8"/>
    <w:rsid w:val="00053F8C"/>
    <w:rsid w:val="00053F9E"/>
    <w:rsid w:val="0005402F"/>
    <w:rsid w:val="000543E9"/>
    <w:rsid w:val="000543EE"/>
    <w:rsid w:val="0005459F"/>
    <w:rsid w:val="000547CF"/>
    <w:rsid w:val="0005493C"/>
    <w:rsid w:val="00054AC4"/>
    <w:rsid w:val="00054AD3"/>
    <w:rsid w:val="00054BBF"/>
    <w:rsid w:val="00054C5D"/>
    <w:rsid w:val="00054D28"/>
    <w:rsid w:val="00054E38"/>
    <w:rsid w:val="00054F29"/>
    <w:rsid w:val="0005505D"/>
    <w:rsid w:val="00055200"/>
    <w:rsid w:val="00055536"/>
    <w:rsid w:val="000556B5"/>
    <w:rsid w:val="0005570E"/>
    <w:rsid w:val="00055761"/>
    <w:rsid w:val="0005591F"/>
    <w:rsid w:val="00055BC4"/>
    <w:rsid w:val="00055CA4"/>
    <w:rsid w:val="00055CC8"/>
    <w:rsid w:val="00055D1E"/>
    <w:rsid w:val="00055DE0"/>
    <w:rsid w:val="00055F86"/>
    <w:rsid w:val="00055F9E"/>
    <w:rsid w:val="00055FD5"/>
    <w:rsid w:val="00056095"/>
    <w:rsid w:val="000562BA"/>
    <w:rsid w:val="000562E2"/>
    <w:rsid w:val="00056365"/>
    <w:rsid w:val="00056449"/>
    <w:rsid w:val="000566D2"/>
    <w:rsid w:val="000566F2"/>
    <w:rsid w:val="00056734"/>
    <w:rsid w:val="00056BFD"/>
    <w:rsid w:val="00056EAC"/>
    <w:rsid w:val="00057781"/>
    <w:rsid w:val="00057803"/>
    <w:rsid w:val="00057A75"/>
    <w:rsid w:val="00057B28"/>
    <w:rsid w:val="00057D73"/>
    <w:rsid w:val="00057D8E"/>
    <w:rsid w:val="00057DD5"/>
    <w:rsid w:val="00057DE8"/>
    <w:rsid w:val="00057E42"/>
    <w:rsid w:val="00060012"/>
    <w:rsid w:val="000600E0"/>
    <w:rsid w:val="0006017F"/>
    <w:rsid w:val="0006041A"/>
    <w:rsid w:val="00060513"/>
    <w:rsid w:val="000606D9"/>
    <w:rsid w:val="000607BB"/>
    <w:rsid w:val="000608D3"/>
    <w:rsid w:val="000609CD"/>
    <w:rsid w:val="00060D42"/>
    <w:rsid w:val="00060EF7"/>
    <w:rsid w:val="00060F65"/>
    <w:rsid w:val="00060F68"/>
    <w:rsid w:val="00061011"/>
    <w:rsid w:val="0006109B"/>
    <w:rsid w:val="00061354"/>
    <w:rsid w:val="000613DD"/>
    <w:rsid w:val="000615A8"/>
    <w:rsid w:val="00061725"/>
    <w:rsid w:val="000617CB"/>
    <w:rsid w:val="00061AAA"/>
    <w:rsid w:val="00061AD3"/>
    <w:rsid w:val="00061C26"/>
    <w:rsid w:val="00061D59"/>
    <w:rsid w:val="000621E0"/>
    <w:rsid w:val="0006237B"/>
    <w:rsid w:val="000624DA"/>
    <w:rsid w:val="00062775"/>
    <w:rsid w:val="000627FD"/>
    <w:rsid w:val="0006296A"/>
    <w:rsid w:val="00062A7A"/>
    <w:rsid w:val="00062A8C"/>
    <w:rsid w:val="00062AD9"/>
    <w:rsid w:val="00062B69"/>
    <w:rsid w:val="00062D7C"/>
    <w:rsid w:val="00062EC9"/>
    <w:rsid w:val="000630ED"/>
    <w:rsid w:val="00063117"/>
    <w:rsid w:val="000632D1"/>
    <w:rsid w:val="000633E8"/>
    <w:rsid w:val="000634AF"/>
    <w:rsid w:val="00063630"/>
    <w:rsid w:val="000636D2"/>
    <w:rsid w:val="00063722"/>
    <w:rsid w:val="00063740"/>
    <w:rsid w:val="00063776"/>
    <w:rsid w:val="00063BAF"/>
    <w:rsid w:val="00063D76"/>
    <w:rsid w:val="00063E48"/>
    <w:rsid w:val="00063E4B"/>
    <w:rsid w:val="0006400C"/>
    <w:rsid w:val="00064237"/>
    <w:rsid w:val="00064365"/>
    <w:rsid w:val="000644F1"/>
    <w:rsid w:val="000645D8"/>
    <w:rsid w:val="000645EA"/>
    <w:rsid w:val="000646E1"/>
    <w:rsid w:val="0006477D"/>
    <w:rsid w:val="000648FC"/>
    <w:rsid w:val="00064902"/>
    <w:rsid w:val="00064CA3"/>
    <w:rsid w:val="000650C0"/>
    <w:rsid w:val="00065218"/>
    <w:rsid w:val="000652D8"/>
    <w:rsid w:val="00065342"/>
    <w:rsid w:val="000653F0"/>
    <w:rsid w:val="00065438"/>
    <w:rsid w:val="00065464"/>
    <w:rsid w:val="000654AF"/>
    <w:rsid w:val="000654E2"/>
    <w:rsid w:val="00065B16"/>
    <w:rsid w:val="00065BFA"/>
    <w:rsid w:val="0006605E"/>
    <w:rsid w:val="000660BA"/>
    <w:rsid w:val="0006647F"/>
    <w:rsid w:val="00066542"/>
    <w:rsid w:val="00066852"/>
    <w:rsid w:val="00066883"/>
    <w:rsid w:val="00066CD2"/>
    <w:rsid w:val="00066D8A"/>
    <w:rsid w:val="00066E0D"/>
    <w:rsid w:val="00066E62"/>
    <w:rsid w:val="00067080"/>
    <w:rsid w:val="000672D4"/>
    <w:rsid w:val="000672EF"/>
    <w:rsid w:val="000673BB"/>
    <w:rsid w:val="0006742D"/>
    <w:rsid w:val="00067495"/>
    <w:rsid w:val="000674F9"/>
    <w:rsid w:val="0006750E"/>
    <w:rsid w:val="000676FA"/>
    <w:rsid w:val="000678C0"/>
    <w:rsid w:val="00067C95"/>
    <w:rsid w:val="00067D6A"/>
    <w:rsid w:val="00070314"/>
    <w:rsid w:val="00070419"/>
    <w:rsid w:val="00070634"/>
    <w:rsid w:val="00070674"/>
    <w:rsid w:val="000706F1"/>
    <w:rsid w:val="000707ED"/>
    <w:rsid w:val="00070C08"/>
    <w:rsid w:val="00071201"/>
    <w:rsid w:val="0007127C"/>
    <w:rsid w:val="0007155C"/>
    <w:rsid w:val="00071727"/>
    <w:rsid w:val="0007174F"/>
    <w:rsid w:val="0007188B"/>
    <w:rsid w:val="00071A8C"/>
    <w:rsid w:val="00071AE6"/>
    <w:rsid w:val="00071D3E"/>
    <w:rsid w:val="00071D72"/>
    <w:rsid w:val="000724D5"/>
    <w:rsid w:val="000725B7"/>
    <w:rsid w:val="000725E6"/>
    <w:rsid w:val="00072712"/>
    <w:rsid w:val="0007279B"/>
    <w:rsid w:val="000728BD"/>
    <w:rsid w:val="00072A36"/>
    <w:rsid w:val="00072A4E"/>
    <w:rsid w:val="00072B06"/>
    <w:rsid w:val="00072DF0"/>
    <w:rsid w:val="00072EE1"/>
    <w:rsid w:val="00073007"/>
    <w:rsid w:val="00073179"/>
    <w:rsid w:val="00073202"/>
    <w:rsid w:val="000733F4"/>
    <w:rsid w:val="00073416"/>
    <w:rsid w:val="0007384D"/>
    <w:rsid w:val="0007385B"/>
    <w:rsid w:val="00073946"/>
    <w:rsid w:val="00073ABD"/>
    <w:rsid w:val="00073BD2"/>
    <w:rsid w:val="00073C90"/>
    <w:rsid w:val="00073ED0"/>
    <w:rsid w:val="00073F75"/>
    <w:rsid w:val="0007407E"/>
    <w:rsid w:val="00074426"/>
    <w:rsid w:val="000748E0"/>
    <w:rsid w:val="00074A1B"/>
    <w:rsid w:val="00074A48"/>
    <w:rsid w:val="00074AD9"/>
    <w:rsid w:val="00074B9B"/>
    <w:rsid w:val="00074C85"/>
    <w:rsid w:val="0007524A"/>
    <w:rsid w:val="00075441"/>
    <w:rsid w:val="00075773"/>
    <w:rsid w:val="00075871"/>
    <w:rsid w:val="000758E4"/>
    <w:rsid w:val="0007595A"/>
    <w:rsid w:val="00075C01"/>
    <w:rsid w:val="00076348"/>
    <w:rsid w:val="0007645E"/>
    <w:rsid w:val="00076480"/>
    <w:rsid w:val="000766E6"/>
    <w:rsid w:val="00076977"/>
    <w:rsid w:val="00076F26"/>
    <w:rsid w:val="00076FD2"/>
    <w:rsid w:val="00076FD9"/>
    <w:rsid w:val="0007703A"/>
    <w:rsid w:val="000770F0"/>
    <w:rsid w:val="0007721D"/>
    <w:rsid w:val="00077274"/>
    <w:rsid w:val="00077650"/>
    <w:rsid w:val="00077825"/>
    <w:rsid w:val="0007786D"/>
    <w:rsid w:val="00077957"/>
    <w:rsid w:val="00077FEE"/>
    <w:rsid w:val="00080023"/>
    <w:rsid w:val="0008002F"/>
    <w:rsid w:val="00080144"/>
    <w:rsid w:val="00080154"/>
    <w:rsid w:val="0008045E"/>
    <w:rsid w:val="000805D0"/>
    <w:rsid w:val="0008069F"/>
    <w:rsid w:val="00080781"/>
    <w:rsid w:val="00080792"/>
    <w:rsid w:val="000809E4"/>
    <w:rsid w:val="00080F5D"/>
    <w:rsid w:val="00081092"/>
    <w:rsid w:val="00081282"/>
    <w:rsid w:val="00081658"/>
    <w:rsid w:val="00081821"/>
    <w:rsid w:val="00081C25"/>
    <w:rsid w:val="00081C79"/>
    <w:rsid w:val="00081C80"/>
    <w:rsid w:val="00081F29"/>
    <w:rsid w:val="00081F94"/>
    <w:rsid w:val="00082171"/>
    <w:rsid w:val="00082200"/>
    <w:rsid w:val="0008236F"/>
    <w:rsid w:val="00082470"/>
    <w:rsid w:val="000824B7"/>
    <w:rsid w:val="00082520"/>
    <w:rsid w:val="0008290C"/>
    <w:rsid w:val="00082A28"/>
    <w:rsid w:val="00082C27"/>
    <w:rsid w:val="00082CA5"/>
    <w:rsid w:val="00082D88"/>
    <w:rsid w:val="00083261"/>
    <w:rsid w:val="000833CF"/>
    <w:rsid w:val="00083A41"/>
    <w:rsid w:val="00083AD1"/>
    <w:rsid w:val="00083C5A"/>
    <w:rsid w:val="00083E17"/>
    <w:rsid w:val="00083E6A"/>
    <w:rsid w:val="00083EDE"/>
    <w:rsid w:val="00083F0D"/>
    <w:rsid w:val="00083F4D"/>
    <w:rsid w:val="00083F79"/>
    <w:rsid w:val="0008404F"/>
    <w:rsid w:val="000840A8"/>
    <w:rsid w:val="0008426F"/>
    <w:rsid w:val="0008429C"/>
    <w:rsid w:val="00084374"/>
    <w:rsid w:val="000843FE"/>
    <w:rsid w:val="00084889"/>
    <w:rsid w:val="0008496A"/>
    <w:rsid w:val="00084AF3"/>
    <w:rsid w:val="000851A7"/>
    <w:rsid w:val="000851D1"/>
    <w:rsid w:val="00085622"/>
    <w:rsid w:val="000859BD"/>
    <w:rsid w:val="00085A52"/>
    <w:rsid w:val="00085A80"/>
    <w:rsid w:val="00085C07"/>
    <w:rsid w:val="00085D0A"/>
    <w:rsid w:val="00085DB1"/>
    <w:rsid w:val="00085EA6"/>
    <w:rsid w:val="00085F3D"/>
    <w:rsid w:val="000864E3"/>
    <w:rsid w:val="000865AC"/>
    <w:rsid w:val="0008672E"/>
    <w:rsid w:val="000867A6"/>
    <w:rsid w:val="00086A66"/>
    <w:rsid w:val="00087192"/>
    <w:rsid w:val="000871E9"/>
    <w:rsid w:val="00087299"/>
    <w:rsid w:val="0008733B"/>
    <w:rsid w:val="000873DB"/>
    <w:rsid w:val="00087810"/>
    <w:rsid w:val="0008789E"/>
    <w:rsid w:val="000878F4"/>
    <w:rsid w:val="00087A35"/>
    <w:rsid w:val="00087B26"/>
    <w:rsid w:val="00087B8E"/>
    <w:rsid w:val="00087D15"/>
    <w:rsid w:val="00087E24"/>
    <w:rsid w:val="00087E57"/>
    <w:rsid w:val="00087EE2"/>
    <w:rsid w:val="000900B9"/>
    <w:rsid w:val="000904DD"/>
    <w:rsid w:val="00090820"/>
    <w:rsid w:val="000908C1"/>
    <w:rsid w:val="0009090C"/>
    <w:rsid w:val="00090929"/>
    <w:rsid w:val="00090A5D"/>
    <w:rsid w:val="00090A8D"/>
    <w:rsid w:val="00090B16"/>
    <w:rsid w:val="00090C7E"/>
    <w:rsid w:val="00090D82"/>
    <w:rsid w:val="000910FC"/>
    <w:rsid w:val="000918D8"/>
    <w:rsid w:val="00091904"/>
    <w:rsid w:val="000919C7"/>
    <w:rsid w:val="00091AB0"/>
    <w:rsid w:val="00091CB4"/>
    <w:rsid w:val="00091CD8"/>
    <w:rsid w:val="00091E82"/>
    <w:rsid w:val="00092A44"/>
    <w:rsid w:val="00092B15"/>
    <w:rsid w:val="00092B82"/>
    <w:rsid w:val="00092BB2"/>
    <w:rsid w:val="00092D4D"/>
    <w:rsid w:val="00092D80"/>
    <w:rsid w:val="0009346A"/>
    <w:rsid w:val="000935B2"/>
    <w:rsid w:val="00093902"/>
    <w:rsid w:val="00093943"/>
    <w:rsid w:val="000939E3"/>
    <w:rsid w:val="00093A85"/>
    <w:rsid w:val="00093AD6"/>
    <w:rsid w:val="00093B53"/>
    <w:rsid w:val="00093BAE"/>
    <w:rsid w:val="00093D28"/>
    <w:rsid w:val="000943AF"/>
    <w:rsid w:val="000943CA"/>
    <w:rsid w:val="00094578"/>
    <w:rsid w:val="00094653"/>
    <w:rsid w:val="000947BE"/>
    <w:rsid w:val="0009487B"/>
    <w:rsid w:val="00094DFA"/>
    <w:rsid w:val="00094E3D"/>
    <w:rsid w:val="00094F34"/>
    <w:rsid w:val="00094FCA"/>
    <w:rsid w:val="00095169"/>
    <w:rsid w:val="00095269"/>
    <w:rsid w:val="000954A3"/>
    <w:rsid w:val="000954AB"/>
    <w:rsid w:val="00095510"/>
    <w:rsid w:val="00095788"/>
    <w:rsid w:val="00095891"/>
    <w:rsid w:val="0009593C"/>
    <w:rsid w:val="00095BF8"/>
    <w:rsid w:val="00095DB4"/>
    <w:rsid w:val="00095DC3"/>
    <w:rsid w:val="00095DCF"/>
    <w:rsid w:val="00095E2A"/>
    <w:rsid w:val="00095FA6"/>
    <w:rsid w:val="00095FE4"/>
    <w:rsid w:val="00096052"/>
    <w:rsid w:val="00096260"/>
    <w:rsid w:val="00096860"/>
    <w:rsid w:val="00096938"/>
    <w:rsid w:val="0009695B"/>
    <w:rsid w:val="00096979"/>
    <w:rsid w:val="00096999"/>
    <w:rsid w:val="00096A5C"/>
    <w:rsid w:val="00096B7A"/>
    <w:rsid w:val="00096BFF"/>
    <w:rsid w:val="00096E8C"/>
    <w:rsid w:val="00097133"/>
    <w:rsid w:val="00097191"/>
    <w:rsid w:val="00097240"/>
    <w:rsid w:val="000972D4"/>
    <w:rsid w:val="000972E7"/>
    <w:rsid w:val="000975CB"/>
    <w:rsid w:val="000978D4"/>
    <w:rsid w:val="0009794A"/>
    <w:rsid w:val="00097C53"/>
    <w:rsid w:val="000A0255"/>
    <w:rsid w:val="000A04A9"/>
    <w:rsid w:val="000A04BE"/>
    <w:rsid w:val="000A051C"/>
    <w:rsid w:val="000A068D"/>
    <w:rsid w:val="000A0950"/>
    <w:rsid w:val="000A0AA5"/>
    <w:rsid w:val="000A0B86"/>
    <w:rsid w:val="000A0E3F"/>
    <w:rsid w:val="000A0FE3"/>
    <w:rsid w:val="000A15B9"/>
    <w:rsid w:val="000A1964"/>
    <w:rsid w:val="000A1AAA"/>
    <w:rsid w:val="000A1BD9"/>
    <w:rsid w:val="000A1C53"/>
    <w:rsid w:val="000A1D0F"/>
    <w:rsid w:val="000A1D2E"/>
    <w:rsid w:val="000A1DED"/>
    <w:rsid w:val="000A223E"/>
    <w:rsid w:val="000A22C7"/>
    <w:rsid w:val="000A2835"/>
    <w:rsid w:val="000A2999"/>
    <w:rsid w:val="000A29D4"/>
    <w:rsid w:val="000A2A91"/>
    <w:rsid w:val="000A2F7D"/>
    <w:rsid w:val="000A3050"/>
    <w:rsid w:val="000A3174"/>
    <w:rsid w:val="000A31C7"/>
    <w:rsid w:val="000A36FA"/>
    <w:rsid w:val="000A3746"/>
    <w:rsid w:val="000A39CF"/>
    <w:rsid w:val="000A3BC6"/>
    <w:rsid w:val="000A419A"/>
    <w:rsid w:val="000A4255"/>
    <w:rsid w:val="000A4513"/>
    <w:rsid w:val="000A4B53"/>
    <w:rsid w:val="000A4C58"/>
    <w:rsid w:val="000A4D7C"/>
    <w:rsid w:val="000A4EB5"/>
    <w:rsid w:val="000A5084"/>
    <w:rsid w:val="000A51DC"/>
    <w:rsid w:val="000A5252"/>
    <w:rsid w:val="000A53CE"/>
    <w:rsid w:val="000A53D1"/>
    <w:rsid w:val="000A5572"/>
    <w:rsid w:val="000A55CB"/>
    <w:rsid w:val="000A5755"/>
    <w:rsid w:val="000A5A36"/>
    <w:rsid w:val="000A60DE"/>
    <w:rsid w:val="000A6193"/>
    <w:rsid w:val="000A622A"/>
    <w:rsid w:val="000A652E"/>
    <w:rsid w:val="000A6556"/>
    <w:rsid w:val="000A65E8"/>
    <w:rsid w:val="000A6A7E"/>
    <w:rsid w:val="000A6BCD"/>
    <w:rsid w:val="000A6C18"/>
    <w:rsid w:val="000A6ED0"/>
    <w:rsid w:val="000A6F2D"/>
    <w:rsid w:val="000A7209"/>
    <w:rsid w:val="000A746F"/>
    <w:rsid w:val="000A747A"/>
    <w:rsid w:val="000A7B5E"/>
    <w:rsid w:val="000A7ECF"/>
    <w:rsid w:val="000A7F36"/>
    <w:rsid w:val="000B00BF"/>
    <w:rsid w:val="000B01CC"/>
    <w:rsid w:val="000B056B"/>
    <w:rsid w:val="000B06B3"/>
    <w:rsid w:val="000B07AE"/>
    <w:rsid w:val="000B0825"/>
    <w:rsid w:val="000B09D1"/>
    <w:rsid w:val="000B09E9"/>
    <w:rsid w:val="000B0AEB"/>
    <w:rsid w:val="000B0B42"/>
    <w:rsid w:val="000B0C42"/>
    <w:rsid w:val="000B0CC7"/>
    <w:rsid w:val="000B0F36"/>
    <w:rsid w:val="000B10B4"/>
    <w:rsid w:val="000B1363"/>
    <w:rsid w:val="000B1539"/>
    <w:rsid w:val="000B158B"/>
    <w:rsid w:val="000B1599"/>
    <w:rsid w:val="000B161A"/>
    <w:rsid w:val="000B189F"/>
    <w:rsid w:val="000B1A41"/>
    <w:rsid w:val="000B1EFD"/>
    <w:rsid w:val="000B2200"/>
    <w:rsid w:val="000B23F3"/>
    <w:rsid w:val="000B2512"/>
    <w:rsid w:val="000B26F3"/>
    <w:rsid w:val="000B27E6"/>
    <w:rsid w:val="000B28AB"/>
    <w:rsid w:val="000B28D8"/>
    <w:rsid w:val="000B28E7"/>
    <w:rsid w:val="000B29FA"/>
    <w:rsid w:val="000B2BFA"/>
    <w:rsid w:val="000B2E48"/>
    <w:rsid w:val="000B2F8F"/>
    <w:rsid w:val="000B3009"/>
    <w:rsid w:val="000B336E"/>
    <w:rsid w:val="000B33C1"/>
    <w:rsid w:val="000B3402"/>
    <w:rsid w:val="000B37C3"/>
    <w:rsid w:val="000B3931"/>
    <w:rsid w:val="000B3955"/>
    <w:rsid w:val="000B3BA4"/>
    <w:rsid w:val="000B3DEF"/>
    <w:rsid w:val="000B3E44"/>
    <w:rsid w:val="000B3F0D"/>
    <w:rsid w:val="000B3FAC"/>
    <w:rsid w:val="000B3FAD"/>
    <w:rsid w:val="000B41D5"/>
    <w:rsid w:val="000B41FB"/>
    <w:rsid w:val="000B424E"/>
    <w:rsid w:val="000B440F"/>
    <w:rsid w:val="000B446C"/>
    <w:rsid w:val="000B489F"/>
    <w:rsid w:val="000B48CB"/>
    <w:rsid w:val="000B4AFC"/>
    <w:rsid w:val="000B4B87"/>
    <w:rsid w:val="000B4CE3"/>
    <w:rsid w:val="000B4F5F"/>
    <w:rsid w:val="000B50AB"/>
    <w:rsid w:val="000B52C6"/>
    <w:rsid w:val="000B53E4"/>
    <w:rsid w:val="000B53E6"/>
    <w:rsid w:val="000B5458"/>
    <w:rsid w:val="000B5491"/>
    <w:rsid w:val="000B5709"/>
    <w:rsid w:val="000B58D7"/>
    <w:rsid w:val="000B59F6"/>
    <w:rsid w:val="000B5A0E"/>
    <w:rsid w:val="000B5B2B"/>
    <w:rsid w:val="000B5C59"/>
    <w:rsid w:val="000B5F77"/>
    <w:rsid w:val="000B6093"/>
    <w:rsid w:val="000B61CF"/>
    <w:rsid w:val="000B6459"/>
    <w:rsid w:val="000B6501"/>
    <w:rsid w:val="000B6601"/>
    <w:rsid w:val="000B6780"/>
    <w:rsid w:val="000B67BA"/>
    <w:rsid w:val="000B6911"/>
    <w:rsid w:val="000B6915"/>
    <w:rsid w:val="000B69A3"/>
    <w:rsid w:val="000B6C8A"/>
    <w:rsid w:val="000B6CAF"/>
    <w:rsid w:val="000B6D4D"/>
    <w:rsid w:val="000B6F36"/>
    <w:rsid w:val="000B7007"/>
    <w:rsid w:val="000B7236"/>
    <w:rsid w:val="000B746F"/>
    <w:rsid w:val="000B768E"/>
    <w:rsid w:val="000B77A7"/>
    <w:rsid w:val="000B78B0"/>
    <w:rsid w:val="000B7B22"/>
    <w:rsid w:val="000B7BE5"/>
    <w:rsid w:val="000B7D74"/>
    <w:rsid w:val="000C0344"/>
    <w:rsid w:val="000C0462"/>
    <w:rsid w:val="000C0505"/>
    <w:rsid w:val="000C0553"/>
    <w:rsid w:val="000C0554"/>
    <w:rsid w:val="000C0B90"/>
    <w:rsid w:val="000C0BF6"/>
    <w:rsid w:val="000C0C15"/>
    <w:rsid w:val="000C0C3E"/>
    <w:rsid w:val="000C0DFB"/>
    <w:rsid w:val="000C0FBA"/>
    <w:rsid w:val="000C1020"/>
    <w:rsid w:val="000C1092"/>
    <w:rsid w:val="000C1287"/>
    <w:rsid w:val="000C1352"/>
    <w:rsid w:val="000C14A4"/>
    <w:rsid w:val="000C17BB"/>
    <w:rsid w:val="000C1807"/>
    <w:rsid w:val="000C1835"/>
    <w:rsid w:val="000C19F8"/>
    <w:rsid w:val="000C1AC3"/>
    <w:rsid w:val="000C1B34"/>
    <w:rsid w:val="000C1D16"/>
    <w:rsid w:val="000C1D75"/>
    <w:rsid w:val="000C1E89"/>
    <w:rsid w:val="000C1EC3"/>
    <w:rsid w:val="000C2003"/>
    <w:rsid w:val="000C2078"/>
    <w:rsid w:val="000C2121"/>
    <w:rsid w:val="000C236B"/>
    <w:rsid w:val="000C2386"/>
    <w:rsid w:val="000C25B7"/>
    <w:rsid w:val="000C2887"/>
    <w:rsid w:val="000C28F1"/>
    <w:rsid w:val="000C2A86"/>
    <w:rsid w:val="000C2A9B"/>
    <w:rsid w:val="000C2AE1"/>
    <w:rsid w:val="000C2B1F"/>
    <w:rsid w:val="000C2C42"/>
    <w:rsid w:val="000C2E2C"/>
    <w:rsid w:val="000C3192"/>
    <w:rsid w:val="000C339B"/>
    <w:rsid w:val="000C3549"/>
    <w:rsid w:val="000C366A"/>
    <w:rsid w:val="000C3812"/>
    <w:rsid w:val="000C3E56"/>
    <w:rsid w:val="000C3E73"/>
    <w:rsid w:val="000C414D"/>
    <w:rsid w:val="000C4261"/>
    <w:rsid w:val="000C4370"/>
    <w:rsid w:val="000C43CA"/>
    <w:rsid w:val="000C4473"/>
    <w:rsid w:val="000C449D"/>
    <w:rsid w:val="000C4567"/>
    <w:rsid w:val="000C46D2"/>
    <w:rsid w:val="000C471C"/>
    <w:rsid w:val="000C47E5"/>
    <w:rsid w:val="000C492B"/>
    <w:rsid w:val="000C4B87"/>
    <w:rsid w:val="000C4B9F"/>
    <w:rsid w:val="000C4BBD"/>
    <w:rsid w:val="000C4EE3"/>
    <w:rsid w:val="000C509B"/>
    <w:rsid w:val="000C5117"/>
    <w:rsid w:val="000C51CD"/>
    <w:rsid w:val="000C573D"/>
    <w:rsid w:val="000C584A"/>
    <w:rsid w:val="000C58CE"/>
    <w:rsid w:val="000C59C2"/>
    <w:rsid w:val="000C5CFF"/>
    <w:rsid w:val="000C5D9F"/>
    <w:rsid w:val="000C5E8F"/>
    <w:rsid w:val="000C5F8E"/>
    <w:rsid w:val="000C618F"/>
    <w:rsid w:val="000C6386"/>
    <w:rsid w:val="000C63A4"/>
    <w:rsid w:val="000C64D0"/>
    <w:rsid w:val="000C6508"/>
    <w:rsid w:val="000C65B9"/>
    <w:rsid w:val="000C675C"/>
    <w:rsid w:val="000C6890"/>
    <w:rsid w:val="000C6963"/>
    <w:rsid w:val="000C6B11"/>
    <w:rsid w:val="000C6F19"/>
    <w:rsid w:val="000C7031"/>
    <w:rsid w:val="000C7142"/>
    <w:rsid w:val="000C71AF"/>
    <w:rsid w:val="000C734E"/>
    <w:rsid w:val="000C745F"/>
    <w:rsid w:val="000C77B3"/>
    <w:rsid w:val="000C7ADC"/>
    <w:rsid w:val="000C7C21"/>
    <w:rsid w:val="000C7CF1"/>
    <w:rsid w:val="000D022B"/>
    <w:rsid w:val="000D02BC"/>
    <w:rsid w:val="000D0339"/>
    <w:rsid w:val="000D0550"/>
    <w:rsid w:val="000D063B"/>
    <w:rsid w:val="000D0768"/>
    <w:rsid w:val="000D080F"/>
    <w:rsid w:val="000D0853"/>
    <w:rsid w:val="000D0877"/>
    <w:rsid w:val="000D0B26"/>
    <w:rsid w:val="000D0C73"/>
    <w:rsid w:val="000D0D64"/>
    <w:rsid w:val="000D0E81"/>
    <w:rsid w:val="000D117B"/>
    <w:rsid w:val="000D1270"/>
    <w:rsid w:val="000D1428"/>
    <w:rsid w:val="000D1451"/>
    <w:rsid w:val="000D1483"/>
    <w:rsid w:val="000D1518"/>
    <w:rsid w:val="000D1592"/>
    <w:rsid w:val="000D15C5"/>
    <w:rsid w:val="000D1623"/>
    <w:rsid w:val="000D1934"/>
    <w:rsid w:val="000D1AAB"/>
    <w:rsid w:val="000D1AFC"/>
    <w:rsid w:val="000D1B9E"/>
    <w:rsid w:val="000D1CFD"/>
    <w:rsid w:val="000D1D28"/>
    <w:rsid w:val="000D1E7B"/>
    <w:rsid w:val="000D1F3E"/>
    <w:rsid w:val="000D233B"/>
    <w:rsid w:val="000D234A"/>
    <w:rsid w:val="000D2454"/>
    <w:rsid w:val="000D25C6"/>
    <w:rsid w:val="000D2641"/>
    <w:rsid w:val="000D279A"/>
    <w:rsid w:val="000D287D"/>
    <w:rsid w:val="000D291D"/>
    <w:rsid w:val="000D2B96"/>
    <w:rsid w:val="000D2C00"/>
    <w:rsid w:val="000D2C29"/>
    <w:rsid w:val="000D2C4E"/>
    <w:rsid w:val="000D2FFC"/>
    <w:rsid w:val="000D3232"/>
    <w:rsid w:val="000D33FD"/>
    <w:rsid w:val="000D3569"/>
    <w:rsid w:val="000D35D6"/>
    <w:rsid w:val="000D35EE"/>
    <w:rsid w:val="000D3A00"/>
    <w:rsid w:val="000D3BDC"/>
    <w:rsid w:val="000D3C3E"/>
    <w:rsid w:val="000D3E8B"/>
    <w:rsid w:val="000D3F1F"/>
    <w:rsid w:val="000D3F86"/>
    <w:rsid w:val="000D42CE"/>
    <w:rsid w:val="000D4361"/>
    <w:rsid w:val="000D4740"/>
    <w:rsid w:val="000D4767"/>
    <w:rsid w:val="000D487A"/>
    <w:rsid w:val="000D48BE"/>
    <w:rsid w:val="000D511D"/>
    <w:rsid w:val="000D52FA"/>
    <w:rsid w:val="000D5330"/>
    <w:rsid w:val="000D5659"/>
    <w:rsid w:val="000D5686"/>
    <w:rsid w:val="000D58EF"/>
    <w:rsid w:val="000D5993"/>
    <w:rsid w:val="000D5B81"/>
    <w:rsid w:val="000D5BC2"/>
    <w:rsid w:val="000D5FAF"/>
    <w:rsid w:val="000D613F"/>
    <w:rsid w:val="000D61A8"/>
    <w:rsid w:val="000D6615"/>
    <w:rsid w:val="000D66E3"/>
    <w:rsid w:val="000D684A"/>
    <w:rsid w:val="000D6A37"/>
    <w:rsid w:val="000D6D47"/>
    <w:rsid w:val="000D6DAC"/>
    <w:rsid w:val="000D6E34"/>
    <w:rsid w:val="000D708D"/>
    <w:rsid w:val="000D71E7"/>
    <w:rsid w:val="000D7265"/>
    <w:rsid w:val="000D72DC"/>
    <w:rsid w:val="000D7459"/>
    <w:rsid w:val="000D7468"/>
    <w:rsid w:val="000D74F9"/>
    <w:rsid w:val="000D76CD"/>
    <w:rsid w:val="000D78EF"/>
    <w:rsid w:val="000D7901"/>
    <w:rsid w:val="000D7E22"/>
    <w:rsid w:val="000D7F92"/>
    <w:rsid w:val="000E0109"/>
    <w:rsid w:val="000E05AA"/>
    <w:rsid w:val="000E074E"/>
    <w:rsid w:val="000E08DC"/>
    <w:rsid w:val="000E0BC4"/>
    <w:rsid w:val="000E0BE5"/>
    <w:rsid w:val="000E0E7C"/>
    <w:rsid w:val="000E102E"/>
    <w:rsid w:val="000E108D"/>
    <w:rsid w:val="000E112D"/>
    <w:rsid w:val="000E16D5"/>
    <w:rsid w:val="000E1837"/>
    <w:rsid w:val="000E1882"/>
    <w:rsid w:val="000E189F"/>
    <w:rsid w:val="000E1B34"/>
    <w:rsid w:val="000E1B8C"/>
    <w:rsid w:val="000E1C21"/>
    <w:rsid w:val="000E1CB8"/>
    <w:rsid w:val="000E1DF6"/>
    <w:rsid w:val="000E1F62"/>
    <w:rsid w:val="000E2002"/>
    <w:rsid w:val="000E20B0"/>
    <w:rsid w:val="000E20F2"/>
    <w:rsid w:val="000E2139"/>
    <w:rsid w:val="000E2157"/>
    <w:rsid w:val="000E2174"/>
    <w:rsid w:val="000E2271"/>
    <w:rsid w:val="000E2551"/>
    <w:rsid w:val="000E2685"/>
    <w:rsid w:val="000E27C0"/>
    <w:rsid w:val="000E2866"/>
    <w:rsid w:val="000E2983"/>
    <w:rsid w:val="000E29A3"/>
    <w:rsid w:val="000E2B6B"/>
    <w:rsid w:val="000E2C0E"/>
    <w:rsid w:val="000E32B2"/>
    <w:rsid w:val="000E333A"/>
    <w:rsid w:val="000E3604"/>
    <w:rsid w:val="000E37B7"/>
    <w:rsid w:val="000E380F"/>
    <w:rsid w:val="000E3B3B"/>
    <w:rsid w:val="000E3B70"/>
    <w:rsid w:val="000E3BF1"/>
    <w:rsid w:val="000E3C24"/>
    <w:rsid w:val="000E3C42"/>
    <w:rsid w:val="000E3CD7"/>
    <w:rsid w:val="000E3EBC"/>
    <w:rsid w:val="000E3ED6"/>
    <w:rsid w:val="000E4006"/>
    <w:rsid w:val="000E404C"/>
    <w:rsid w:val="000E4052"/>
    <w:rsid w:val="000E40BE"/>
    <w:rsid w:val="000E40D2"/>
    <w:rsid w:val="000E4137"/>
    <w:rsid w:val="000E4154"/>
    <w:rsid w:val="000E4195"/>
    <w:rsid w:val="000E41EA"/>
    <w:rsid w:val="000E41EE"/>
    <w:rsid w:val="000E4729"/>
    <w:rsid w:val="000E48EA"/>
    <w:rsid w:val="000E4A4D"/>
    <w:rsid w:val="000E4A80"/>
    <w:rsid w:val="000E4B44"/>
    <w:rsid w:val="000E4BBD"/>
    <w:rsid w:val="000E4CC3"/>
    <w:rsid w:val="000E4D0D"/>
    <w:rsid w:val="000E4EBB"/>
    <w:rsid w:val="000E5279"/>
    <w:rsid w:val="000E5381"/>
    <w:rsid w:val="000E53A1"/>
    <w:rsid w:val="000E5446"/>
    <w:rsid w:val="000E5452"/>
    <w:rsid w:val="000E5523"/>
    <w:rsid w:val="000E56AC"/>
    <w:rsid w:val="000E5917"/>
    <w:rsid w:val="000E5B0A"/>
    <w:rsid w:val="000E5B10"/>
    <w:rsid w:val="000E5BC8"/>
    <w:rsid w:val="000E5E76"/>
    <w:rsid w:val="000E629D"/>
    <w:rsid w:val="000E62A3"/>
    <w:rsid w:val="000E633F"/>
    <w:rsid w:val="000E63C6"/>
    <w:rsid w:val="000E63ED"/>
    <w:rsid w:val="000E6783"/>
    <w:rsid w:val="000E6A1B"/>
    <w:rsid w:val="000E6B0E"/>
    <w:rsid w:val="000E6B7C"/>
    <w:rsid w:val="000E6D10"/>
    <w:rsid w:val="000E6E0C"/>
    <w:rsid w:val="000E6EC4"/>
    <w:rsid w:val="000E7252"/>
    <w:rsid w:val="000E72A8"/>
    <w:rsid w:val="000E7541"/>
    <w:rsid w:val="000E764C"/>
    <w:rsid w:val="000E7725"/>
    <w:rsid w:val="000E7894"/>
    <w:rsid w:val="000E7C13"/>
    <w:rsid w:val="000E7E7A"/>
    <w:rsid w:val="000E7ED7"/>
    <w:rsid w:val="000F0B22"/>
    <w:rsid w:val="000F0C6B"/>
    <w:rsid w:val="000F0EB3"/>
    <w:rsid w:val="000F1191"/>
    <w:rsid w:val="000F1252"/>
    <w:rsid w:val="000F1290"/>
    <w:rsid w:val="000F13A7"/>
    <w:rsid w:val="000F15E4"/>
    <w:rsid w:val="000F164C"/>
    <w:rsid w:val="000F17E2"/>
    <w:rsid w:val="000F19E2"/>
    <w:rsid w:val="000F1A74"/>
    <w:rsid w:val="000F1AF8"/>
    <w:rsid w:val="000F1B29"/>
    <w:rsid w:val="000F1F97"/>
    <w:rsid w:val="000F20A8"/>
    <w:rsid w:val="000F21C8"/>
    <w:rsid w:val="000F2335"/>
    <w:rsid w:val="000F237C"/>
    <w:rsid w:val="000F2389"/>
    <w:rsid w:val="000F23DE"/>
    <w:rsid w:val="000F25A5"/>
    <w:rsid w:val="000F276A"/>
    <w:rsid w:val="000F2819"/>
    <w:rsid w:val="000F2AA5"/>
    <w:rsid w:val="000F2C64"/>
    <w:rsid w:val="000F2D01"/>
    <w:rsid w:val="000F2D88"/>
    <w:rsid w:val="000F2D8B"/>
    <w:rsid w:val="000F2E27"/>
    <w:rsid w:val="000F2E60"/>
    <w:rsid w:val="000F2EFA"/>
    <w:rsid w:val="000F3123"/>
    <w:rsid w:val="000F3474"/>
    <w:rsid w:val="000F3475"/>
    <w:rsid w:val="000F3689"/>
    <w:rsid w:val="000F36CC"/>
    <w:rsid w:val="000F38D9"/>
    <w:rsid w:val="000F3966"/>
    <w:rsid w:val="000F3A95"/>
    <w:rsid w:val="000F3B20"/>
    <w:rsid w:val="000F3B98"/>
    <w:rsid w:val="000F3EC2"/>
    <w:rsid w:val="000F3FB4"/>
    <w:rsid w:val="000F4111"/>
    <w:rsid w:val="000F4387"/>
    <w:rsid w:val="000F43C2"/>
    <w:rsid w:val="000F450F"/>
    <w:rsid w:val="000F4651"/>
    <w:rsid w:val="000F471D"/>
    <w:rsid w:val="000F47BA"/>
    <w:rsid w:val="000F47E2"/>
    <w:rsid w:val="000F4D91"/>
    <w:rsid w:val="000F4DDF"/>
    <w:rsid w:val="000F4E7F"/>
    <w:rsid w:val="000F4FCB"/>
    <w:rsid w:val="000F5071"/>
    <w:rsid w:val="000F533D"/>
    <w:rsid w:val="000F53EF"/>
    <w:rsid w:val="000F560E"/>
    <w:rsid w:val="000F561F"/>
    <w:rsid w:val="000F56B7"/>
    <w:rsid w:val="000F56DB"/>
    <w:rsid w:val="000F56DD"/>
    <w:rsid w:val="000F5747"/>
    <w:rsid w:val="000F583C"/>
    <w:rsid w:val="000F584A"/>
    <w:rsid w:val="000F58F2"/>
    <w:rsid w:val="000F594A"/>
    <w:rsid w:val="000F5BB0"/>
    <w:rsid w:val="000F5C27"/>
    <w:rsid w:val="000F5DEE"/>
    <w:rsid w:val="000F5DF7"/>
    <w:rsid w:val="000F5EB8"/>
    <w:rsid w:val="000F5F13"/>
    <w:rsid w:val="000F5F46"/>
    <w:rsid w:val="000F5FAD"/>
    <w:rsid w:val="000F606B"/>
    <w:rsid w:val="000F61C6"/>
    <w:rsid w:val="000F6390"/>
    <w:rsid w:val="000F640C"/>
    <w:rsid w:val="000F64CB"/>
    <w:rsid w:val="000F6598"/>
    <w:rsid w:val="000F666F"/>
    <w:rsid w:val="000F6871"/>
    <w:rsid w:val="000F6BCB"/>
    <w:rsid w:val="000F7063"/>
    <w:rsid w:val="000F70B0"/>
    <w:rsid w:val="000F71B6"/>
    <w:rsid w:val="000F7236"/>
    <w:rsid w:val="000F7274"/>
    <w:rsid w:val="000F738D"/>
    <w:rsid w:val="000F73D3"/>
    <w:rsid w:val="000F7494"/>
    <w:rsid w:val="000F75A6"/>
    <w:rsid w:val="000F7759"/>
    <w:rsid w:val="000F789A"/>
    <w:rsid w:val="000F7AF5"/>
    <w:rsid w:val="000F7C6A"/>
    <w:rsid w:val="000F7C8C"/>
    <w:rsid w:val="0010015E"/>
    <w:rsid w:val="001002C5"/>
    <w:rsid w:val="0010048B"/>
    <w:rsid w:val="0010086F"/>
    <w:rsid w:val="001008BC"/>
    <w:rsid w:val="00100DEB"/>
    <w:rsid w:val="00100F5D"/>
    <w:rsid w:val="00100F80"/>
    <w:rsid w:val="00100FE2"/>
    <w:rsid w:val="00101062"/>
    <w:rsid w:val="0010129E"/>
    <w:rsid w:val="001012BE"/>
    <w:rsid w:val="0010159A"/>
    <w:rsid w:val="001015FF"/>
    <w:rsid w:val="001016EE"/>
    <w:rsid w:val="00101708"/>
    <w:rsid w:val="00101725"/>
    <w:rsid w:val="00101855"/>
    <w:rsid w:val="00101932"/>
    <w:rsid w:val="0010194C"/>
    <w:rsid w:val="001019EF"/>
    <w:rsid w:val="00101AAB"/>
    <w:rsid w:val="00101B4B"/>
    <w:rsid w:val="00101C88"/>
    <w:rsid w:val="00101D01"/>
    <w:rsid w:val="00101D47"/>
    <w:rsid w:val="00101E3D"/>
    <w:rsid w:val="00101E40"/>
    <w:rsid w:val="00101F03"/>
    <w:rsid w:val="00101F1C"/>
    <w:rsid w:val="001022B6"/>
    <w:rsid w:val="001023F5"/>
    <w:rsid w:val="001025B8"/>
    <w:rsid w:val="0010295C"/>
    <w:rsid w:val="00102A1F"/>
    <w:rsid w:val="00102AEA"/>
    <w:rsid w:val="00102D6C"/>
    <w:rsid w:val="00102E45"/>
    <w:rsid w:val="00102E8B"/>
    <w:rsid w:val="0010306B"/>
    <w:rsid w:val="001030BD"/>
    <w:rsid w:val="001031AB"/>
    <w:rsid w:val="00103250"/>
    <w:rsid w:val="0010346A"/>
    <w:rsid w:val="0010350C"/>
    <w:rsid w:val="00103588"/>
    <w:rsid w:val="001035B2"/>
    <w:rsid w:val="0010383F"/>
    <w:rsid w:val="00103A65"/>
    <w:rsid w:val="00103C2D"/>
    <w:rsid w:val="00103D32"/>
    <w:rsid w:val="00103D8B"/>
    <w:rsid w:val="00103D8D"/>
    <w:rsid w:val="00104021"/>
    <w:rsid w:val="0010408A"/>
    <w:rsid w:val="001044CC"/>
    <w:rsid w:val="00104564"/>
    <w:rsid w:val="001045D8"/>
    <w:rsid w:val="00104859"/>
    <w:rsid w:val="001049AB"/>
    <w:rsid w:val="00104D35"/>
    <w:rsid w:val="00104D90"/>
    <w:rsid w:val="00104E59"/>
    <w:rsid w:val="00105106"/>
    <w:rsid w:val="001051DD"/>
    <w:rsid w:val="00105209"/>
    <w:rsid w:val="00105251"/>
    <w:rsid w:val="00105497"/>
    <w:rsid w:val="0010549E"/>
    <w:rsid w:val="00105509"/>
    <w:rsid w:val="0010551E"/>
    <w:rsid w:val="00105569"/>
    <w:rsid w:val="00105713"/>
    <w:rsid w:val="001059A0"/>
    <w:rsid w:val="00105F72"/>
    <w:rsid w:val="00106066"/>
    <w:rsid w:val="001060D3"/>
    <w:rsid w:val="00106176"/>
    <w:rsid w:val="00106594"/>
    <w:rsid w:val="0010677C"/>
    <w:rsid w:val="001068AB"/>
    <w:rsid w:val="00106A17"/>
    <w:rsid w:val="00106A22"/>
    <w:rsid w:val="00106A60"/>
    <w:rsid w:val="00106B43"/>
    <w:rsid w:val="00106DD5"/>
    <w:rsid w:val="00106FB6"/>
    <w:rsid w:val="0010712A"/>
    <w:rsid w:val="0010724E"/>
    <w:rsid w:val="0010729B"/>
    <w:rsid w:val="001072CD"/>
    <w:rsid w:val="001072FC"/>
    <w:rsid w:val="00107490"/>
    <w:rsid w:val="00107563"/>
    <w:rsid w:val="001078A2"/>
    <w:rsid w:val="00107A53"/>
    <w:rsid w:val="00107A6A"/>
    <w:rsid w:val="00107B1C"/>
    <w:rsid w:val="001101B9"/>
    <w:rsid w:val="001105FE"/>
    <w:rsid w:val="001106B0"/>
    <w:rsid w:val="00110842"/>
    <w:rsid w:val="00110897"/>
    <w:rsid w:val="001109A8"/>
    <w:rsid w:val="00110C68"/>
    <w:rsid w:val="00110DC5"/>
    <w:rsid w:val="00110FB3"/>
    <w:rsid w:val="00110FE7"/>
    <w:rsid w:val="00111152"/>
    <w:rsid w:val="0011115D"/>
    <w:rsid w:val="00111545"/>
    <w:rsid w:val="0011176C"/>
    <w:rsid w:val="00111861"/>
    <w:rsid w:val="0011188A"/>
    <w:rsid w:val="00111A85"/>
    <w:rsid w:val="00111EB9"/>
    <w:rsid w:val="0011211A"/>
    <w:rsid w:val="0011230B"/>
    <w:rsid w:val="001123DD"/>
    <w:rsid w:val="001129BF"/>
    <w:rsid w:val="00112ADF"/>
    <w:rsid w:val="00112C22"/>
    <w:rsid w:val="001131CC"/>
    <w:rsid w:val="00113543"/>
    <w:rsid w:val="00113823"/>
    <w:rsid w:val="00113897"/>
    <w:rsid w:val="00113AEE"/>
    <w:rsid w:val="00113B0E"/>
    <w:rsid w:val="00113CF4"/>
    <w:rsid w:val="00113E39"/>
    <w:rsid w:val="0011415F"/>
    <w:rsid w:val="00114316"/>
    <w:rsid w:val="0011444E"/>
    <w:rsid w:val="0011447B"/>
    <w:rsid w:val="00114669"/>
    <w:rsid w:val="001146F7"/>
    <w:rsid w:val="0011473B"/>
    <w:rsid w:val="0011477A"/>
    <w:rsid w:val="001148A3"/>
    <w:rsid w:val="00114B6C"/>
    <w:rsid w:val="00114E03"/>
    <w:rsid w:val="00114E2C"/>
    <w:rsid w:val="00114FC8"/>
    <w:rsid w:val="0011522D"/>
    <w:rsid w:val="001153B5"/>
    <w:rsid w:val="0011574C"/>
    <w:rsid w:val="001159E4"/>
    <w:rsid w:val="00115AA9"/>
    <w:rsid w:val="00115C00"/>
    <w:rsid w:val="00115CAD"/>
    <w:rsid w:val="001162FF"/>
    <w:rsid w:val="001164EC"/>
    <w:rsid w:val="0011661D"/>
    <w:rsid w:val="001166C8"/>
    <w:rsid w:val="00116812"/>
    <w:rsid w:val="00116B6D"/>
    <w:rsid w:val="00116CBB"/>
    <w:rsid w:val="00116F8E"/>
    <w:rsid w:val="001174E6"/>
    <w:rsid w:val="00117613"/>
    <w:rsid w:val="0011777F"/>
    <w:rsid w:val="001177D7"/>
    <w:rsid w:val="001178FD"/>
    <w:rsid w:val="00117B77"/>
    <w:rsid w:val="00117C72"/>
    <w:rsid w:val="00117D08"/>
    <w:rsid w:val="00117F37"/>
    <w:rsid w:val="00117F5B"/>
    <w:rsid w:val="00120055"/>
    <w:rsid w:val="00120109"/>
    <w:rsid w:val="0012011E"/>
    <w:rsid w:val="00120223"/>
    <w:rsid w:val="00120557"/>
    <w:rsid w:val="00120772"/>
    <w:rsid w:val="0012082D"/>
    <w:rsid w:val="001209F8"/>
    <w:rsid w:val="00120A86"/>
    <w:rsid w:val="00120AB4"/>
    <w:rsid w:val="00120CAC"/>
    <w:rsid w:val="00120FA0"/>
    <w:rsid w:val="0012106F"/>
    <w:rsid w:val="0012114A"/>
    <w:rsid w:val="001211D9"/>
    <w:rsid w:val="001214A1"/>
    <w:rsid w:val="001215C0"/>
    <w:rsid w:val="0012165F"/>
    <w:rsid w:val="0012184F"/>
    <w:rsid w:val="001218E3"/>
    <w:rsid w:val="00121DB7"/>
    <w:rsid w:val="00121E31"/>
    <w:rsid w:val="00121E3F"/>
    <w:rsid w:val="00121E7F"/>
    <w:rsid w:val="00121F83"/>
    <w:rsid w:val="001221EB"/>
    <w:rsid w:val="00122210"/>
    <w:rsid w:val="0012246B"/>
    <w:rsid w:val="001227FD"/>
    <w:rsid w:val="0012287F"/>
    <w:rsid w:val="00122A20"/>
    <w:rsid w:val="00122C17"/>
    <w:rsid w:val="00122CC6"/>
    <w:rsid w:val="00122D9F"/>
    <w:rsid w:val="00122F37"/>
    <w:rsid w:val="00122FE9"/>
    <w:rsid w:val="00123096"/>
    <w:rsid w:val="001232B2"/>
    <w:rsid w:val="001232F4"/>
    <w:rsid w:val="001234D6"/>
    <w:rsid w:val="00123860"/>
    <w:rsid w:val="0012390C"/>
    <w:rsid w:val="00123BA8"/>
    <w:rsid w:val="00123D5C"/>
    <w:rsid w:val="00123E79"/>
    <w:rsid w:val="0012418D"/>
    <w:rsid w:val="001242A1"/>
    <w:rsid w:val="0012438D"/>
    <w:rsid w:val="001244AF"/>
    <w:rsid w:val="00124851"/>
    <w:rsid w:val="00124896"/>
    <w:rsid w:val="00124A2B"/>
    <w:rsid w:val="00124AD2"/>
    <w:rsid w:val="00124DBD"/>
    <w:rsid w:val="001251FC"/>
    <w:rsid w:val="001252FC"/>
    <w:rsid w:val="00125437"/>
    <w:rsid w:val="0012554B"/>
    <w:rsid w:val="00125560"/>
    <w:rsid w:val="001255CD"/>
    <w:rsid w:val="0012562E"/>
    <w:rsid w:val="00125659"/>
    <w:rsid w:val="001256D1"/>
    <w:rsid w:val="00125A86"/>
    <w:rsid w:val="00125C16"/>
    <w:rsid w:val="00125C49"/>
    <w:rsid w:val="00125D54"/>
    <w:rsid w:val="00125D56"/>
    <w:rsid w:val="0012611B"/>
    <w:rsid w:val="00126126"/>
    <w:rsid w:val="001261D5"/>
    <w:rsid w:val="0012643D"/>
    <w:rsid w:val="00126661"/>
    <w:rsid w:val="0012669E"/>
    <w:rsid w:val="001266CA"/>
    <w:rsid w:val="001266E6"/>
    <w:rsid w:val="00126797"/>
    <w:rsid w:val="001268D9"/>
    <w:rsid w:val="00126A21"/>
    <w:rsid w:val="00126FA3"/>
    <w:rsid w:val="001272C1"/>
    <w:rsid w:val="00127306"/>
    <w:rsid w:val="001273D2"/>
    <w:rsid w:val="001273E5"/>
    <w:rsid w:val="001277F1"/>
    <w:rsid w:val="00127EC5"/>
    <w:rsid w:val="00127F8E"/>
    <w:rsid w:val="00130260"/>
    <w:rsid w:val="0013030B"/>
    <w:rsid w:val="00130395"/>
    <w:rsid w:val="001304DB"/>
    <w:rsid w:val="0013059A"/>
    <w:rsid w:val="00130777"/>
    <w:rsid w:val="0013138F"/>
    <w:rsid w:val="0013173D"/>
    <w:rsid w:val="001317B0"/>
    <w:rsid w:val="00131842"/>
    <w:rsid w:val="00131BCA"/>
    <w:rsid w:val="00131D21"/>
    <w:rsid w:val="00131D96"/>
    <w:rsid w:val="00131EF1"/>
    <w:rsid w:val="00132050"/>
    <w:rsid w:val="0013214A"/>
    <w:rsid w:val="0013231E"/>
    <w:rsid w:val="001325CA"/>
    <w:rsid w:val="0013260F"/>
    <w:rsid w:val="00132701"/>
    <w:rsid w:val="00132795"/>
    <w:rsid w:val="0013289E"/>
    <w:rsid w:val="00132AE7"/>
    <w:rsid w:val="00132B03"/>
    <w:rsid w:val="00132B1E"/>
    <w:rsid w:val="00132BA6"/>
    <w:rsid w:val="00132BE1"/>
    <w:rsid w:val="00132C7C"/>
    <w:rsid w:val="00132FF8"/>
    <w:rsid w:val="001330B4"/>
    <w:rsid w:val="001330E7"/>
    <w:rsid w:val="001331B1"/>
    <w:rsid w:val="00133268"/>
    <w:rsid w:val="0013329E"/>
    <w:rsid w:val="001332EC"/>
    <w:rsid w:val="00133359"/>
    <w:rsid w:val="001336C4"/>
    <w:rsid w:val="001336D3"/>
    <w:rsid w:val="0013387B"/>
    <w:rsid w:val="00133914"/>
    <w:rsid w:val="00133925"/>
    <w:rsid w:val="00133951"/>
    <w:rsid w:val="00133A94"/>
    <w:rsid w:val="00133CA0"/>
    <w:rsid w:val="00133DF8"/>
    <w:rsid w:val="00133EA3"/>
    <w:rsid w:val="001340ED"/>
    <w:rsid w:val="001342F9"/>
    <w:rsid w:val="001343DC"/>
    <w:rsid w:val="001344B5"/>
    <w:rsid w:val="00134586"/>
    <w:rsid w:val="00134A0F"/>
    <w:rsid w:val="00134A8E"/>
    <w:rsid w:val="00134F67"/>
    <w:rsid w:val="00135171"/>
    <w:rsid w:val="00135230"/>
    <w:rsid w:val="00135250"/>
    <w:rsid w:val="001355D9"/>
    <w:rsid w:val="00135D54"/>
    <w:rsid w:val="00135DB3"/>
    <w:rsid w:val="00135DEB"/>
    <w:rsid w:val="00135E46"/>
    <w:rsid w:val="00135E7D"/>
    <w:rsid w:val="00135F25"/>
    <w:rsid w:val="0013609B"/>
    <w:rsid w:val="00136119"/>
    <w:rsid w:val="00136195"/>
    <w:rsid w:val="0013624D"/>
    <w:rsid w:val="0013624E"/>
    <w:rsid w:val="001363E8"/>
    <w:rsid w:val="00136652"/>
    <w:rsid w:val="001366A3"/>
    <w:rsid w:val="00136796"/>
    <w:rsid w:val="001367E8"/>
    <w:rsid w:val="00136923"/>
    <w:rsid w:val="00136A6A"/>
    <w:rsid w:val="00136A93"/>
    <w:rsid w:val="00136AFA"/>
    <w:rsid w:val="00136B86"/>
    <w:rsid w:val="00136D9C"/>
    <w:rsid w:val="00136EDF"/>
    <w:rsid w:val="00136EEB"/>
    <w:rsid w:val="00136FE5"/>
    <w:rsid w:val="00137010"/>
    <w:rsid w:val="00137024"/>
    <w:rsid w:val="00137130"/>
    <w:rsid w:val="001372CA"/>
    <w:rsid w:val="00137439"/>
    <w:rsid w:val="001375B3"/>
    <w:rsid w:val="00137860"/>
    <w:rsid w:val="001379BC"/>
    <w:rsid w:val="001379E2"/>
    <w:rsid w:val="00137B21"/>
    <w:rsid w:val="00137B70"/>
    <w:rsid w:val="00137C87"/>
    <w:rsid w:val="00137CF8"/>
    <w:rsid w:val="00137DAD"/>
    <w:rsid w:val="00137E1B"/>
    <w:rsid w:val="00137EA7"/>
    <w:rsid w:val="00137EBF"/>
    <w:rsid w:val="001400DE"/>
    <w:rsid w:val="001405E7"/>
    <w:rsid w:val="00140C20"/>
    <w:rsid w:val="00140D3F"/>
    <w:rsid w:val="00140F7D"/>
    <w:rsid w:val="00141174"/>
    <w:rsid w:val="00141184"/>
    <w:rsid w:val="0014144B"/>
    <w:rsid w:val="00141541"/>
    <w:rsid w:val="00141615"/>
    <w:rsid w:val="00141658"/>
    <w:rsid w:val="00141731"/>
    <w:rsid w:val="0014177A"/>
    <w:rsid w:val="00141790"/>
    <w:rsid w:val="001417BF"/>
    <w:rsid w:val="00141AF3"/>
    <w:rsid w:val="00141CAC"/>
    <w:rsid w:val="00141ED5"/>
    <w:rsid w:val="00141F81"/>
    <w:rsid w:val="0014227C"/>
    <w:rsid w:val="00142344"/>
    <w:rsid w:val="001423F5"/>
    <w:rsid w:val="00142587"/>
    <w:rsid w:val="001427E2"/>
    <w:rsid w:val="00142BBC"/>
    <w:rsid w:val="00142BF1"/>
    <w:rsid w:val="00142C87"/>
    <w:rsid w:val="00142FE0"/>
    <w:rsid w:val="001431D1"/>
    <w:rsid w:val="00143266"/>
    <w:rsid w:val="001434BE"/>
    <w:rsid w:val="00143572"/>
    <w:rsid w:val="00143593"/>
    <w:rsid w:val="00143BF4"/>
    <w:rsid w:val="00143C40"/>
    <w:rsid w:val="00143E56"/>
    <w:rsid w:val="00143EE4"/>
    <w:rsid w:val="00143FFC"/>
    <w:rsid w:val="001440BA"/>
    <w:rsid w:val="00144148"/>
    <w:rsid w:val="001441FC"/>
    <w:rsid w:val="00144277"/>
    <w:rsid w:val="001442D8"/>
    <w:rsid w:val="00144736"/>
    <w:rsid w:val="00144881"/>
    <w:rsid w:val="001449EE"/>
    <w:rsid w:val="00144A98"/>
    <w:rsid w:val="00144C31"/>
    <w:rsid w:val="00144D08"/>
    <w:rsid w:val="00144D1E"/>
    <w:rsid w:val="00144EDA"/>
    <w:rsid w:val="00144F07"/>
    <w:rsid w:val="00144F0C"/>
    <w:rsid w:val="00144F5C"/>
    <w:rsid w:val="00145052"/>
    <w:rsid w:val="00145071"/>
    <w:rsid w:val="00145434"/>
    <w:rsid w:val="00145451"/>
    <w:rsid w:val="00145743"/>
    <w:rsid w:val="0014581E"/>
    <w:rsid w:val="00145915"/>
    <w:rsid w:val="00145C98"/>
    <w:rsid w:val="00145CF9"/>
    <w:rsid w:val="00145D01"/>
    <w:rsid w:val="00145D97"/>
    <w:rsid w:val="00145E7A"/>
    <w:rsid w:val="00145F47"/>
    <w:rsid w:val="00145F66"/>
    <w:rsid w:val="00145FC7"/>
    <w:rsid w:val="001462A5"/>
    <w:rsid w:val="0014648F"/>
    <w:rsid w:val="001466E6"/>
    <w:rsid w:val="00146791"/>
    <w:rsid w:val="00146835"/>
    <w:rsid w:val="00146951"/>
    <w:rsid w:val="001469A1"/>
    <w:rsid w:val="00146C57"/>
    <w:rsid w:val="00146C60"/>
    <w:rsid w:val="00146CA6"/>
    <w:rsid w:val="00146E8D"/>
    <w:rsid w:val="00146EC2"/>
    <w:rsid w:val="00146F1C"/>
    <w:rsid w:val="0014709D"/>
    <w:rsid w:val="0014709F"/>
    <w:rsid w:val="001471CE"/>
    <w:rsid w:val="001472E7"/>
    <w:rsid w:val="00147423"/>
    <w:rsid w:val="0014775C"/>
    <w:rsid w:val="00147944"/>
    <w:rsid w:val="001479B4"/>
    <w:rsid w:val="00147B6D"/>
    <w:rsid w:val="00147D18"/>
    <w:rsid w:val="00147D58"/>
    <w:rsid w:val="00147E4F"/>
    <w:rsid w:val="0015004A"/>
    <w:rsid w:val="00150C34"/>
    <w:rsid w:val="00150C37"/>
    <w:rsid w:val="00151009"/>
    <w:rsid w:val="00151107"/>
    <w:rsid w:val="00151148"/>
    <w:rsid w:val="00151212"/>
    <w:rsid w:val="001512C6"/>
    <w:rsid w:val="001512F4"/>
    <w:rsid w:val="001516A2"/>
    <w:rsid w:val="00151701"/>
    <w:rsid w:val="001517CF"/>
    <w:rsid w:val="001517D9"/>
    <w:rsid w:val="001518F4"/>
    <w:rsid w:val="00151A07"/>
    <w:rsid w:val="00151C0D"/>
    <w:rsid w:val="00151DF7"/>
    <w:rsid w:val="0015214D"/>
    <w:rsid w:val="00152233"/>
    <w:rsid w:val="00152290"/>
    <w:rsid w:val="001524B0"/>
    <w:rsid w:val="001526E2"/>
    <w:rsid w:val="0015278D"/>
    <w:rsid w:val="00152791"/>
    <w:rsid w:val="001527AD"/>
    <w:rsid w:val="001527B6"/>
    <w:rsid w:val="00152800"/>
    <w:rsid w:val="00152B18"/>
    <w:rsid w:val="00152C8F"/>
    <w:rsid w:val="00152C98"/>
    <w:rsid w:val="00152E2B"/>
    <w:rsid w:val="00152EB4"/>
    <w:rsid w:val="001530F2"/>
    <w:rsid w:val="001532AF"/>
    <w:rsid w:val="00153356"/>
    <w:rsid w:val="001533BA"/>
    <w:rsid w:val="0015353A"/>
    <w:rsid w:val="00153804"/>
    <w:rsid w:val="00153ADE"/>
    <w:rsid w:val="00153AF7"/>
    <w:rsid w:val="00153D32"/>
    <w:rsid w:val="00153D35"/>
    <w:rsid w:val="00153D52"/>
    <w:rsid w:val="00154164"/>
    <w:rsid w:val="001544C5"/>
    <w:rsid w:val="001545BC"/>
    <w:rsid w:val="0015466A"/>
    <w:rsid w:val="00154BE5"/>
    <w:rsid w:val="00154D5D"/>
    <w:rsid w:val="00154E34"/>
    <w:rsid w:val="00154EAA"/>
    <w:rsid w:val="00154F72"/>
    <w:rsid w:val="00154FAA"/>
    <w:rsid w:val="001552B6"/>
    <w:rsid w:val="001553F1"/>
    <w:rsid w:val="00155514"/>
    <w:rsid w:val="001555B4"/>
    <w:rsid w:val="0015579B"/>
    <w:rsid w:val="001559B4"/>
    <w:rsid w:val="00155C0A"/>
    <w:rsid w:val="00155C18"/>
    <w:rsid w:val="00155CC9"/>
    <w:rsid w:val="00155CDC"/>
    <w:rsid w:val="00155CE7"/>
    <w:rsid w:val="00155FC7"/>
    <w:rsid w:val="00156071"/>
    <w:rsid w:val="001560B2"/>
    <w:rsid w:val="00156166"/>
    <w:rsid w:val="00156548"/>
    <w:rsid w:val="00156579"/>
    <w:rsid w:val="00156664"/>
    <w:rsid w:val="001567B8"/>
    <w:rsid w:val="001567BC"/>
    <w:rsid w:val="00156939"/>
    <w:rsid w:val="00156CE3"/>
    <w:rsid w:val="00156DC1"/>
    <w:rsid w:val="00156E3E"/>
    <w:rsid w:val="00156FB2"/>
    <w:rsid w:val="00157034"/>
    <w:rsid w:val="00157207"/>
    <w:rsid w:val="00157262"/>
    <w:rsid w:val="00157752"/>
    <w:rsid w:val="00157BD6"/>
    <w:rsid w:val="00157D2F"/>
    <w:rsid w:val="00157DAC"/>
    <w:rsid w:val="00157E93"/>
    <w:rsid w:val="001601EC"/>
    <w:rsid w:val="00160242"/>
    <w:rsid w:val="00160441"/>
    <w:rsid w:val="00160A50"/>
    <w:rsid w:val="00160BD8"/>
    <w:rsid w:val="00160C3C"/>
    <w:rsid w:val="00160D88"/>
    <w:rsid w:val="00160E08"/>
    <w:rsid w:val="00160E2F"/>
    <w:rsid w:val="00160F00"/>
    <w:rsid w:val="00160F75"/>
    <w:rsid w:val="0016109E"/>
    <w:rsid w:val="001611D2"/>
    <w:rsid w:val="001612B1"/>
    <w:rsid w:val="00161716"/>
    <w:rsid w:val="00161734"/>
    <w:rsid w:val="00161879"/>
    <w:rsid w:val="00161B34"/>
    <w:rsid w:val="00161FBE"/>
    <w:rsid w:val="001620D4"/>
    <w:rsid w:val="001621C4"/>
    <w:rsid w:val="0016232D"/>
    <w:rsid w:val="001627BE"/>
    <w:rsid w:val="0016282B"/>
    <w:rsid w:val="0016283D"/>
    <w:rsid w:val="00162A7C"/>
    <w:rsid w:val="00162B36"/>
    <w:rsid w:val="00162CDE"/>
    <w:rsid w:val="00162E67"/>
    <w:rsid w:val="00162F08"/>
    <w:rsid w:val="00163338"/>
    <w:rsid w:val="0016353F"/>
    <w:rsid w:val="00163810"/>
    <w:rsid w:val="00163AA8"/>
    <w:rsid w:val="00163D82"/>
    <w:rsid w:val="0016404F"/>
    <w:rsid w:val="0016421D"/>
    <w:rsid w:val="001643A1"/>
    <w:rsid w:val="00164423"/>
    <w:rsid w:val="00164482"/>
    <w:rsid w:val="001645CB"/>
    <w:rsid w:val="00164683"/>
    <w:rsid w:val="0016487F"/>
    <w:rsid w:val="00164B70"/>
    <w:rsid w:val="00164BF7"/>
    <w:rsid w:val="00164CCB"/>
    <w:rsid w:val="00164E73"/>
    <w:rsid w:val="0016514E"/>
    <w:rsid w:val="0016522B"/>
    <w:rsid w:val="00165293"/>
    <w:rsid w:val="001652B7"/>
    <w:rsid w:val="00165470"/>
    <w:rsid w:val="001654F7"/>
    <w:rsid w:val="001654FD"/>
    <w:rsid w:val="00165501"/>
    <w:rsid w:val="00165673"/>
    <w:rsid w:val="001658B9"/>
    <w:rsid w:val="00165A15"/>
    <w:rsid w:val="00165AC8"/>
    <w:rsid w:val="00165CD7"/>
    <w:rsid w:val="00165CF7"/>
    <w:rsid w:val="00165D9C"/>
    <w:rsid w:val="0016623C"/>
    <w:rsid w:val="0016648F"/>
    <w:rsid w:val="00166525"/>
    <w:rsid w:val="00166603"/>
    <w:rsid w:val="001666F8"/>
    <w:rsid w:val="0016674F"/>
    <w:rsid w:val="00166757"/>
    <w:rsid w:val="001667CA"/>
    <w:rsid w:val="00166906"/>
    <w:rsid w:val="00166AF6"/>
    <w:rsid w:val="00166BFE"/>
    <w:rsid w:val="00166C24"/>
    <w:rsid w:val="00166DFC"/>
    <w:rsid w:val="00167068"/>
    <w:rsid w:val="001670A4"/>
    <w:rsid w:val="0016761C"/>
    <w:rsid w:val="00167A92"/>
    <w:rsid w:val="00167AE5"/>
    <w:rsid w:val="00167B55"/>
    <w:rsid w:val="00167C6A"/>
    <w:rsid w:val="00167E15"/>
    <w:rsid w:val="00167FC7"/>
    <w:rsid w:val="0017030F"/>
    <w:rsid w:val="00170411"/>
    <w:rsid w:val="001704D1"/>
    <w:rsid w:val="00170739"/>
    <w:rsid w:val="001707B7"/>
    <w:rsid w:val="0017083F"/>
    <w:rsid w:val="0017084A"/>
    <w:rsid w:val="0017099F"/>
    <w:rsid w:val="00170AF7"/>
    <w:rsid w:val="00170B60"/>
    <w:rsid w:val="00170C0F"/>
    <w:rsid w:val="00170CE7"/>
    <w:rsid w:val="00170E3D"/>
    <w:rsid w:val="00170E8B"/>
    <w:rsid w:val="00170F7D"/>
    <w:rsid w:val="00171049"/>
    <w:rsid w:val="0017110A"/>
    <w:rsid w:val="0017136B"/>
    <w:rsid w:val="00171661"/>
    <w:rsid w:val="0017175C"/>
    <w:rsid w:val="00171ADC"/>
    <w:rsid w:val="00171B82"/>
    <w:rsid w:val="00171C93"/>
    <w:rsid w:val="00171E4B"/>
    <w:rsid w:val="00172061"/>
    <w:rsid w:val="0017206B"/>
    <w:rsid w:val="00172105"/>
    <w:rsid w:val="00172154"/>
    <w:rsid w:val="00172155"/>
    <w:rsid w:val="00172260"/>
    <w:rsid w:val="001722BA"/>
    <w:rsid w:val="001722FA"/>
    <w:rsid w:val="0017233F"/>
    <w:rsid w:val="00172670"/>
    <w:rsid w:val="00172A4D"/>
    <w:rsid w:val="00172B7B"/>
    <w:rsid w:val="00172C35"/>
    <w:rsid w:val="00172D8A"/>
    <w:rsid w:val="00172DB1"/>
    <w:rsid w:val="00172E17"/>
    <w:rsid w:val="00173018"/>
    <w:rsid w:val="001730FC"/>
    <w:rsid w:val="00173354"/>
    <w:rsid w:val="001733AC"/>
    <w:rsid w:val="001737B6"/>
    <w:rsid w:val="00173E3A"/>
    <w:rsid w:val="0017405A"/>
    <w:rsid w:val="0017413E"/>
    <w:rsid w:val="00174454"/>
    <w:rsid w:val="00174469"/>
    <w:rsid w:val="001744C9"/>
    <w:rsid w:val="00174753"/>
    <w:rsid w:val="00174757"/>
    <w:rsid w:val="001749D9"/>
    <w:rsid w:val="00174B17"/>
    <w:rsid w:val="00174B92"/>
    <w:rsid w:val="00174E28"/>
    <w:rsid w:val="00174EE6"/>
    <w:rsid w:val="00174F6A"/>
    <w:rsid w:val="00174FDF"/>
    <w:rsid w:val="001751C9"/>
    <w:rsid w:val="0017549E"/>
    <w:rsid w:val="00175585"/>
    <w:rsid w:val="001755FF"/>
    <w:rsid w:val="00175605"/>
    <w:rsid w:val="00175761"/>
    <w:rsid w:val="00175A26"/>
    <w:rsid w:val="00175B8A"/>
    <w:rsid w:val="00175BD8"/>
    <w:rsid w:val="00175BDA"/>
    <w:rsid w:val="00175C37"/>
    <w:rsid w:val="00175D62"/>
    <w:rsid w:val="00176098"/>
    <w:rsid w:val="00176631"/>
    <w:rsid w:val="0017683A"/>
    <w:rsid w:val="00176984"/>
    <w:rsid w:val="00176B61"/>
    <w:rsid w:val="00176BB1"/>
    <w:rsid w:val="00176BE8"/>
    <w:rsid w:val="00176D2A"/>
    <w:rsid w:val="00177052"/>
    <w:rsid w:val="00177278"/>
    <w:rsid w:val="001774AB"/>
    <w:rsid w:val="00177552"/>
    <w:rsid w:val="00177764"/>
    <w:rsid w:val="0017782D"/>
    <w:rsid w:val="001778A9"/>
    <w:rsid w:val="00177AB4"/>
    <w:rsid w:val="00177AF6"/>
    <w:rsid w:val="00177D11"/>
    <w:rsid w:val="00177EA3"/>
    <w:rsid w:val="00180269"/>
    <w:rsid w:val="001802E8"/>
    <w:rsid w:val="00180466"/>
    <w:rsid w:val="00180556"/>
    <w:rsid w:val="00180B2C"/>
    <w:rsid w:val="00180C3D"/>
    <w:rsid w:val="00180CD7"/>
    <w:rsid w:val="00180F42"/>
    <w:rsid w:val="0018142A"/>
    <w:rsid w:val="001815B3"/>
    <w:rsid w:val="00181B9D"/>
    <w:rsid w:val="00181DD4"/>
    <w:rsid w:val="00182284"/>
    <w:rsid w:val="00182413"/>
    <w:rsid w:val="00182443"/>
    <w:rsid w:val="00182465"/>
    <w:rsid w:val="00182847"/>
    <w:rsid w:val="00182A36"/>
    <w:rsid w:val="00182A76"/>
    <w:rsid w:val="00182AA6"/>
    <w:rsid w:val="00182C75"/>
    <w:rsid w:val="00182C90"/>
    <w:rsid w:val="00182E11"/>
    <w:rsid w:val="0018303B"/>
    <w:rsid w:val="00183168"/>
    <w:rsid w:val="001831CE"/>
    <w:rsid w:val="001832D9"/>
    <w:rsid w:val="00183570"/>
    <w:rsid w:val="001839ED"/>
    <w:rsid w:val="00183AAF"/>
    <w:rsid w:val="00183BC3"/>
    <w:rsid w:val="00183C5F"/>
    <w:rsid w:val="00183CC0"/>
    <w:rsid w:val="00183DDF"/>
    <w:rsid w:val="00184232"/>
    <w:rsid w:val="001843C4"/>
    <w:rsid w:val="001845CE"/>
    <w:rsid w:val="00184754"/>
    <w:rsid w:val="001848BF"/>
    <w:rsid w:val="001848C3"/>
    <w:rsid w:val="00184945"/>
    <w:rsid w:val="001849FD"/>
    <w:rsid w:val="00184B0E"/>
    <w:rsid w:val="00184BBA"/>
    <w:rsid w:val="00184C24"/>
    <w:rsid w:val="00184D1A"/>
    <w:rsid w:val="00184F80"/>
    <w:rsid w:val="0018512C"/>
    <w:rsid w:val="001852EB"/>
    <w:rsid w:val="00185326"/>
    <w:rsid w:val="0018557F"/>
    <w:rsid w:val="0018558D"/>
    <w:rsid w:val="00185658"/>
    <w:rsid w:val="00185694"/>
    <w:rsid w:val="00185736"/>
    <w:rsid w:val="0018587E"/>
    <w:rsid w:val="00185A7B"/>
    <w:rsid w:val="00185BA1"/>
    <w:rsid w:val="00185C1A"/>
    <w:rsid w:val="00185C8B"/>
    <w:rsid w:val="00185DAE"/>
    <w:rsid w:val="00185E1C"/>
    <w:rsid w:val="00185EBC"/>
    <w:rsid w:val="00185F33"/>
    <w:rsid w:val="00185FC2"/>
    <w:rsid w:val="00186021"/>
    <w:rsid w:val="001862B3"/>
    <w:rsid w:val="0018647F"/>
    <w:rsid w:val="0018686B"/>
    <w:rsid w:val="00186D65"/>
    <w:rsid w:val="00186E29"/>
    <w:rsid w:val="00186E35"/>
    <w:rsid w:val="00186FF1"/>
    <w:rsid w:val="001870FE"/>
    <w:rsid w:val="0018719C"/>
    <w:rsid w:val="001873EC"/>
    <w:rsid w:val="00187436"/>
    <w:rsid w:val="001874AB"/>
    <w:rsid w:val="00187597"/>
    <w:rsid w:val="00187850"/>
    <w:rsid w:val="0018794B"/>
    <w:rsid w:val="00187966"/>
    <w:rsid w:val="00187A20"/>
    <w:rsid w:val="00187AF8"/>
    <w:rsid w:val="00187FBB"/>
    <w:rsid w:val="001901C0"/>
    <w:rsid w:val="0019032B"/>
    <w:rsid w:val="00190457"/>
    <w:rsid w:val="001904D3"/>
    <w:rsid w:val="0019096E"/>
    <w:rsid w:val="00190AC8"/>
    <w:rsid w:val="00190CDF"/>
    <w:rsid w:val="00190DAF"/>
    <w:rsid w:val="00191010"/>
    <w:rsid w:val="00191144"/>
    <w:rsid w:val="0019119B"/>
    <w:rsid w:val="001912D2"/>
    <w:rsid w:val="001915EC"/>
    <w:rsid w:val="0019178E"/>
    <w:rsid w:val="001919C9"/>
    <w:rsid w:val="00191A7B"/>
    <w:rsid w:val="00191BC6"/>
    <w:rsid w:val="00192275"/>
    <w:rsid w:val="00192A9A"/>
    <w:rsid w:val="00192B2C"/>
    <w:rsid w:val="00192BB0"/>
    <w:rsid w:val="00192E90"/>
    <w:rsid w:val="00192FCB"/>
    <w:rsid w:val="00193170"/>
    <w:rsid w:val="0019352F"/>
    <w:rsid w:val="001936BA"/>
    <w:rsid w:val="001938CD"/>
    <w:rsid w:val="001939EF"/>
    <w:rsid w:val="00193B60"/>
    <w:rsid w:val="00193C88"/>
    <w:rsid w:val="00193ECB"/>
    <w:rsid w:val="00193FD5"/>
    <w:rsid w:val="00193FDA"/>
    <w:rsid w:val="00193FFA"/>
    <w:rsid w:val="00194746"/>
    <w:rsid w:val="00194751"/>
    <w:rsid w:val="001948B2"/>
    <w:rsid w:val="00194AC4"/>
    <w:rsid w:val="00194B22"/>
    <w:rsid w:val="00194B24"/>
    <w:rsid w:val="00194C7F"/>
    <w:rsid w:val="00194FD2"/>
    <w:rsid w:val="00195227"/>
    <w:rsid w:val="00195473"/>
    <w:rsid w:val="0019555D"/>
    <w:rsid w:val="00195993"/>
    <w:rsid w:val="00195A80"/>
    <w:rsid w:val="00195D7D"/>
    <w:rsid w:val="00195E0E"/>
    <w:rsid w:val="00195F5B"/>
    <w:rsid w:val="00196532"/>
    <w:rsid w:val="00196660"/>
    <w:rsid w:val="00196664"/>
    <w:rsid w:val="00196685"/>
    <w:rsid w:val="001968FE"/>
    <w:rsid w:val="00196904"/>
    <w:rsid w:val="00196E6D"/>
    <w:rsid w:val="00196FB7"/>
    <w:rsid w:val="0019705A"/>
    <w:rsid w:val="001970AE"/>
    <w:rsid w:val="001970EC"/>
    <w:rsid w:val="001971FB"/>
    <w:rsid w:val="00197441"/>
    <w:rsid w:val="00197558"/>
    <w:rsid w:val="001975C7"/>
    <w:rsid w:val="00197608"/>
    <w:rsid w:val="00197A13"/>
    <w:rsid w:val="00197A44"/>
    <w:rsid w:val="00197A8B"/>
    <w:rsid w:val="00197BA6"/>
    <w:rsid w:val="00197E1F"/>
    <w:rsid w:val="00197E7A"/>
    <w:rsid w:val="00197EA7"/>
    <w:rsid w:val="00197FE9"/>
    <w:rsid w:val="001A00FC"/>
    <w:rsid w:val="001A0135"/>
    <w:rsid w:val="001A02D3"/>
    <w:rsid w:val="001A02DD"/>
    <w:rsid w:val="001A031C"/>
    <w:rsid w:val="001A037D"/>
    <w:rsid w:val="001A04CC"/>
    <w:rsid w:val="001A096B"/>
    <w:rsid w:val="001A0C6E"/>
    <w:rsid w:val="001A0EB1"/>
    <w:rsid w:val="001A1196"/>
    <w:rsid w:val="001A11DD"/>
    <w:rsid w:val="001A13FE"/>
    <w:rsid w:val="001A142A"/>
    <w:rsid w:val="001A15EF"/>
    <w:rsid w:val="001A1925"/>
    <w:rsid w:val="001A1C4B"/>
    <w:rsid w:val="001A1C9C"/>
    <w:rsid w:val="001A1DA0"/>
    <w:rsid w:val="001A1EE9"/>
    <w:rsid w:val="001A1F06"/>
    <w:rsid w:val="001A217A"/>
    <w:rsid w:val="001A240F"/>
    <w:rsid w:val="001A2689"/>
    <w:rsid w:val="001A26B1"/>
    <w:rsid w:val="001A29C5"/>
    <w:rsid w:val="001A2A6D"/>
    <w:rsid w:val="001A2FE0"/>
    <w:rsid w:val="001A3005"/>
    <w:rsid w:val="001A31AA"/>
    <w:rsid w:val="001A3363"/>
    <w:rsid w:val="001A352A"/>
    <w:rsid w:val="001A3685"/>
    <w:rsid w:val="001A3B28"/>
    <w:rsid w:val="001A3C96"/>
    <w:rsid w:val="001A3D31"/>
    <w:rsid w:val="001A3E51"/>
    <w:rsid w:val="001A3E5E"/>
    <w:rsid w:val="001A3FCA"/>
    <w:rsid w:val="001A41BB"/>
    <w:rsid w:val="001A4257"/>
    <w:rsid w:val="001A4390"/>
    <w:rsid w:val="001A4457"/>
    <w:rsid w:val="001A4626"/>
    <w:rsid w:val="001A478C"/>
    <w:rsid w:val="001A486C"/>
    <w:rsid w:val="001A4B4D"/>
    <w:rsid w:val="001A4EC7"/>
    <w:rsid w:val="001A4F92"/>
    <w:rsid w:val="001A4FAA"/>
    <w:rsid w:val="001A5059"/>
    <w:rsid w:val="001A54F8"/>
    <w:rsid w:val="001A59CF"/>
    <w:rsid w:val="001A59FA"/>
    <w:rsid w:val="001A5B86"/>
    <w:rsid w:val="001A614D"/>
    <w:rsid w:val="001A61F6"/>
    <w:rsid w:val="001A62BA"/>
    <w:rsid w:val="001A634E"/>
    <w:rsid w:val="001A63EF"/>
    <w:rsid w:val="001A64C1"/>
    <w:rsid w:val="001A64C7"/>
    <w:rsid w:val="001A6788"/>
    <w:rsid w:val="001A6AE1"/>
    <w:rsid w:val="001A6B5F"/>
    <w:rsid w:val="001A6C6F"/>
    <w:rsid w:val="001A6E0C"/>
    <w:rsid w:val="001A6F21"/>
    <w:rsid w:val="001A6FBB"/>
    <w:rsid w:val="001A7148"/>
    <w:rsid w:val="001A72CC"/>
    <w:rsid w:val="001A7556"/>
    <w:rsid w:val="001A76ED"/>
    <w:rsid w:val="001A787E"/>
    <w:rsid w:val="001A7978"/>
    <w:rsid w:val="001A799B"/>
    <w:rsid w:val="001A7DA9"/>
    <w:rsid w:val="001A7ED7"/>
    <w:rsid w:val="001B02AD"/>
    <w:rsid w:val="001B0571"/>
    <w:rsid w:val="001B0658"/>
    <w:rsid w:val="001B07E1"/>
    <w:rsid w:val="001B0932"/>
    <w:rsid w:val="001B0A23"/>
    <w:rsid w:val="001B11E7"/>
    <w:rsid w:val="001B129D"/>
    <w:rsid w:val="001B18AA"/>
    <w:rsid w:val="001B193F"/>
    <w:rsid w:val="001B1953"/>
    <w:rsid w:val="001B1E37"/>
    <w:rsid w:val="001B1FAF"/>
    <w:rsid w:val="001B20E5"/>
    <w:rsid w:val="001B2251"/>
    <w:rsid w:val="001B2367"/>
    <w:rsid w:val="001B245E"/>
    <w:rsid w:val="001B2572"/>
    <w:rsid w:val="001B26A5"/>
    <w:rsid w:val="001B27B2"/>
    <w:rsid w:val="001B28B3"/>
    <w:rsid w:val="001B295D"/>
    <w:rsid w:val="001B297F"/>
    <w:rsid w:val="001B29B6"/>
    <w:rsid w:val="001B2D40"/>
    <w:rsid w:val="001B2FDB"/>
    <w:rsid w:val="001B30A5"/>
    <w:rsid w:val="001B312A"/>
    <w:rsid w:val="001B3226"/>
    <w:rsid w:val="001B34C4"/>
    <w:rsid w:val="001B3533"/>
    <w:rsid w:val="001B35ED"/>
    <w:rsid w:val="001B3C91"/>
    <w:rsid w:val="001B3E33"/>
    <w:rsid w:val="001B3E5B"/>
    <w:rsid w:val="001B3E9D"/>
    <w:rsid w:val="001B3FF0"/>
    <w:rsid w:val="001B4073"/>
    <w:rsid w:val="001B412B"/>
    <w:rsid w:val="001B43AC"/>
    <w:rsid w:val="001B43C7"/>
    <w:rsid w:val="001B46DC"/>
    <w:rsid w:val="001B475D"/>
    <w:rsid w:val="001B4790"/>
    <w:rsid w:val="001B48BC"/>
    <w:rsid w:val="001B4DC8"/>
    <w:rsid w:val="001B4F1E"/>
    <w:rsid w:val="001B502F"/>
    <w:rsid w:val="001B5056"/>
    <w:rsid w:val="001B51E6"/>
    <w:rsid w:val="001B5266"/>
    <w:rsid w:val="001B529F"/>
    <w:rsid w:val="001B52C5"/>
    <w:rsid w:val="001B52E6"/>
    <w:rsid w:val="001B54EA"/>
    <w:rsid w:val="001B5521"/>
    <w:rsid w:val="001B55AC"/>
    <w:rsid w:val="001B5605"/>
    <w:rsid w:val="001B5657"/>
    <w:rsid w:val="001B582F"/>
    <w:rsid w:val="001B588A"/>
    <w:rsid w:val="001B58F8"/>
    <w:rsid w:val="001B5960"/>
    <w:rsid w:val="001B5A5F"/>
    <w:rsid w:val="001B5D55"/>
    <w:rsid w:val="001B5E3D"/>
    <w:rsid w:val="001B62F5"/>
    <w:rsid w:val="001B630E"/>
    <w:rsid w:val="001B653D"/>
    <w:rsid w:val="001B6711"/>
    <w:rsid w:val="001B679A"/>
    <w:rsid w:val="001B6810"/>
    <w:rsid w:val="001B6A6F"/>
    <w:rsid w:val="001B6CEC"/>
    <w:rsid w:val="001B6D1C"/>
    <w:rsid w:val="001B6F7C"/>
    <w:rsid w:val="001B6FF2"/>
    <w:rsid w:val="001B708B"/>
    <w:rsid w:val="001B72E2"/>
    <w:rsid w:val="001B754E"/>
    <w:rsid w:val="001B7576"/>
    <w:rsid w:val="001B774C"/>
    <w:rsid w:val="001B7A45"/>
    <w:rsid w:val="001B7B5F"/>
    <w:rsid w:val="001B7C49"/>
    <w:rsid w:val="001B7DC2"/>
    <w:rsid w:val="001C0019"/>
    <w:rsid w:val="001C0335"/>
    <w:rsid w:val="001C07B6"/>
    <w:rsid w:val="001C0864"/>
    <w:rsid w:val="001C0AC8"/>
    <w:rsid w:val="001C0D32"/>
    <w:rsid w:val="001C1125"/>
    <w:rsid w:val="001C1184"/>
    <w:rsid w:val="001C149F"/>
    <w:rsid w:val="001C14B7"/>
    <w:rsid w:val="001C1625"/>
    <w:rsid w:val="001C17F6"/>
    <w:rsid w:val="001C19A6"/>
    <w:rsid w:val="001C1A08"/>
    <w:rsid w:val="001C1D98"/>
    <w:rsid w:val="001C22FB"/>
    <w:rsid w:val="001C24BC"/>
    <w:rsid w:val="001C24CF"/>
    <w:rsid w:val="001C281D"/>
    <w:rsid w:val="001C2A91"/>
    <w:rsid w:val="001C2B7C"/>
    <w:rsid w:val="001C2FAF"/>
    <w:rsid w:val="001C3065"/>
    <w:rsid w:val="001C309A"/>
    <w:rsid w:val="001C31CB"/>
    <w:rsid w:val="001C32F3"/>
    <w:rsid w:val="001C33F0"/>
    <w:rsid w:val="001C34C7"/>
    <w:rsid w:val="001C34E8"/>
    <w:rsid w:val="001C3666"/>
    <w:rsid w:val="001C36B4"/>
    <w:rsid w:val="001C3833"/>
    <w:rsid w:val="001C398B"/>
    <w:rsid w:val="001C39A5"/>
    <w:rsid w:val="001C3B15"/>
    <w:rsid w:val="001C3E28"/>
    <w:rsid w:val="001C4085"/>
    <w:rsid w:val="001C40D8"/>
    <w:rsid w:val="001C4144"/>
    <w:rsid w:val="001C4195"/>
    <w:rsid w:val="001C4299"/>
    <w:rsid w:val="001C450A"/>
    <w:rsid w:val="001C4550"/>
    <w:rsid w:val="001C456D"/>
    <w:rsid w:val="001C45D5"/>
    <w:rsid w:val="001C4725"/>
    <w:rsid w:val="001C48F3"/>
    <w:rsid w:val="001C4BFC"/>
    <w:rsid w:val="001C4C0A"/>
    <w:rsid w:val="001C4E0B"/>
    <w:rsid w:val="001C4EFA"/>
    <w:rsid w:val="001C52E1"/>
    <w:rsid w:val="001C5425"/>
    <w:rsid w:val="001C545E"/>
    <w:rsid w:val="001C549F"/>
    <w:rsid w:val="001C58B9"/>
    <w:rsid w:val="001C5A66"/>
    <w:rsid w:val="001C5A81"/>
    <w:rsid w:val="001C5BC6"/>
    <w:rsid w:val="001C5FDB"/>
    <w:rsid w:val="001C6054"/>
    <w:rsid w:val="001C6319"/>
    <w:rsid w:val="001C6554"/>
    <w:rsid w:val="001C65BE"/>
    <w:rsid w:val="001C65C6"/>
    <w:rsid w:val="001C66DE"/>
    <w:rsid w:val="001C67CC"/>
    <w:rsid w:val="001C69F5"/>
    <w:rsid w:val="001C6A49"/>
    <w:rsid w:val="001C6C08"/>
    <w:rsid w:val="001C6C6E"/>
    <w:rsid w:val="001C6C8F"/>
    <w:rsid w:val="001C6E7D"/>
    <w:rsid w:val="001C6EEA"/>
    <w:rsid w:val="001C70E4"/>
    <w:rsid w:val="001C7163"/>
    <w:rsid w:val="001C7182"/>
    <w:rsid w:val="001C765E"/>
    <w:rsid w:val="001C76CA"/>
    <w:rsid w:val="001C7779"/>
    <w:rsid w:val="001C779D"/>
    <w:rsid w:val="001C7888"/>
    <w:rsid w:val="001C7F7C"/>
    <w:rsid w:val="001D0080"/>
    <w:rsid w:val="001D022D"/>
    <w:rsid w:val="001D0466"/>
    <w:rsid w:val="001D0500"/>
    <w:rsid w:val="001D058A"/>
    <w:rsid w:val="001D059E"/>
    <w:rsid w:val="001D05DE"/>
    <w:rsid w:val="001D07B3"/>
    <w:rsid w:val="001D0D06"/>
    <w:rsid w:val="001D0ECF"/>
    <w:rsid w:val="001D0FB4"/>
    <w:rsid w:val="001D12A5"/>
    <w:rsid w:val="001D1452"/>
    <w:rsid w:val="001D155B"/>
    <w:rsid w:val="001D17BC"/>
    <w:rsid w:val="001D18D1"/>
    <w:rsid w:val="001D18DF"/>
    <w:rsid w:val="001D1997"/>
    <w:rsid w:val="001D1B0E"/>
    <w:rsid w:val="001D1E45"/>
    <w:rsid w:val="001D1F7E"/>
    <w:rsid w:val="001D20B2"/>
    <w:rsid w:val="001D250D"/>
    <w:rsid w:val="001D2590"/>
    <w:rsid w:val="001D25D6"/>
    <w:rsid w:val="001D26D9"/>
    <w:rsid w:val="001D273B"/>
    <w:rsid w:val="001D27B1"/>
    <w:rsid w:val="001D2B15"/>
    <w:rsid w:val="001D2CF0"/>
    <w:rsid w:val="001D2DEF"/>
    <w:rsid w:val="001D2EC4"/>
    <w:rsid w:val="001D3088"/>
    <w:rsid w:val="001D30AE"/>
    <w:rsid w:val="001D3162"/>
    <w:rsid w:val="001D3361"/>
    <w:rsid w:val="001D3574"/>
    <w:rsid w:val="001D39CB"/>
    <w:rsid w:val="001D4044"/>
    <w:rsid w:val="001D4086"/>
    <w:rsid w:val="001D4372"/>
    <w:rsid w:val="001D45D7"/>
    <w:rsid w:val="001D479C"/>
    <w:rsid w:val="001D47EA"/>
    <w:rsid w:val="001D4E14"/>
    <w:rsid w:val="001D4E59"/>
    <w:rsid w:val="001D4ED8"/>
    <w:rsid w:val="001D5164"/>
    <w:rsid w:val="001D5338"/>
    <w:rsid w:val="001D53F9"/>
    <w:rsid w:val="001D5510"/>
    <w:rsid w:val="001D554B"/>
    <w:rsid w:val="001D559A"/>
    <w:rsid w:val="001D5610"/>
    <w:rsid w:val="001D5871"/>
    <w:rsid w:val="001D5942"/>
    <w:rsid w:val="001D5B74"/>
    <w:rsid w:val="001D5F15"/>
    <w:rsid w:val="001D61B4"/>
    <w:rsid w:val="001D631E"/>
    <w:rsid w:val="001D64D3"/>
    <w:rsid w:val="001D652C"/>
    <w:rsid w:val="001D6605"/>
    <w:rsid w:val="001D66C9"/>
    <w:rsid w:val="001D66CA"/>
    <w:rsid w:val="001D66CF"/>
    <w:rsid w:val="001D697A"/>
    <w:rsid w:val="001D6A45"/>
    <w:rsid w:val="001D6BA9"/>
    <w:rsid w:val="001D6BE9"/>
    <w:rsid w:val="001D6C3F"/>
    <w:rsid w:val="001D6DAE"/>
    <w:rsid w:val="001D6E6D"/>
    <w:rsid w:val="001D6EAD"/>
    <w:rsid w:val="001D6F5C"/>
    <w:rsid w:val="001D6FDA"/>
    <w:rsid w:val="001D6FFA"/>
    <w:rsid w:val="001D70CF"/>
    <w:rsid w:val="001D72D4"/>
    <w:rsid w:val="001D74C1"/>
    <w:rsid w:val="001D76A1"/>
    <w:rsid w:val="001D7708"/>
    <w:rsid w:val="001D7773"/>
    <w:rsid w:val="001D7AF5"/>
    <w:rsid w:val="001D7BEF"/>
    <w:rsid w:val="001D7E7D"/>
    <w:rsid w:val="001D7E80"/>
    <w:rsid w:val="001D7EB5"/>
    <w:rsid w:val="001D7F9D"/>
    <w:rsid w:val="001E0464"/>
    <w:rsid w:val="001E064E"/>
    <w:rsid w:val="001E0729"/>
    <w:rsid w:val="001E098F"/>
    <w:rsid w:val="001E0ACA"/>
    <w:rsid w:val="001E0B91"/>
    <w:rsid w:val="001E0C98"/>
    <w:rsid w:val="001E0CD8"/>
    <w:rsid w:val="001E0DF8"/>
    <w:rsid w:val="001E0ED8"/>
    <w:rsid w:val="001E0FCB"/>
    <w:rsid w:val="001E1112"/>
    <w:rsid w:val="001E1194"/>
    <w:rsid w:val="001E11DE"/>
    <w:rsid w:val="001E1225"/>
    <w:rsid w:val="001E1413"/>
    <w:rsid w:val="001E142D"/>
    <w:rsid w:val="001E145E"/>
    <w:rsid w:val="001E14AD"/>
    <w:rsid w:val="001E1540"/>
    <w:rsid w:val="001E1817"/>
    <w:rsid w:val="001E1A93"/>
    <w:rsid w:val="001E2205"/>
    <w:rsid w:val="001E2439"/>
    <w:rsid w:val="001E24B6"/>
    <w:rsid w:val="001E2512"/>
    <w:rsid w:val="001E2593"/>
    <w:rsid w:val="001E2B30"/>
    <w:rsid w:val="001E2BA7"/>
    <w:rsid w:val="001E2EB6"/>
    <w:rsid w:val="001E2F82"/>
    <w:rsid w:val="001E2FA8"/>
    <w:rsid w:val="001E30C7"/>
    <w:rsid w:val="001E37A6"/>
    <w:rsid w:val="001E399C"/>
    <w:rsid w:val="001E3D0D"/>
    <w:rsid w:val="001E3EA6"/>
    <w:rsid w:val="001E3F81"/>
    <w:rsid w:val="001E3F8B"/>
    <w:rsid w:val="001E41C4"/>
    <w:rsid w:val="001E41D0"/>
    <w:rsid w:val="001E4243"/>
    <w:rsid w:val="001E42BA"/>
    <w:rsid w:val="001E4357"/>
    <w:rsid w:val="001E44A4"/>
    <w:rsid w:val="001E47C5"/>
    <w:rsid w:val="001E47E7"/>
    <w:rsid w:val="001E4C38"/>
    <w:rsid w:val="001E4DC4"/>
    <w:rsid w:val="001E4E95"/>
    <w:rsid w:val="001E5037"/>
    <w:rsid w:val="001E5199"/>
    <w:rsid w:val="001E51F7"/>
    <w:rsid w:val="001E53D1"/>
    <w:rsid w:val="001E54D8"/>
    <w:rsid w:val="001E54FC"/>
    <w:rsid w:val="001E551C"/>
    <w:rsid w:val="001E5638"/>
    <w:rsid w:val="001E563A"/>
    <w:rsid w:val="001E576A"/>
    <w:rsid w:val="001E58BC"/>
    <w:rsid w:val="001E5952"/>
    <w:rsid w:val="001E5A07"/>
    <w:rsid w:val="001E5B17"/>
    <w:rsid w:val="001E5C5D"/>
    <w:rsid w:val="001E5C63"/>
    <w:rsid w:val="001E5D4E"/>
    <w:rsid w:val="001E5E08"/>
    <w:rsid w:val="001E607A"/>
    <w:rsid w:val="001E6286"/>
    <w:rsid w:val="001E62BA"/>
    <w:rsid w:val="001E630A"/>
    <w:rsid w:val="001E6385"/>
    <w:rsid w:val="001E65FF"/>
    <w:rsid w:val="001E671D"/>
    <w:rsid w:val="001E6961"/>
    <w:rsid w:val="001E6B2F"/>
    <w:rsid w:val="001E6BA8"/>
    <w:rsid w:val="001E6E49"/>
    <w:rsid w:val="001E7060"/>
    <w:rsid w:val="001E7102"/>
    <w:rsid w:val="001E7177"/>
    <w:rsid w:val="001E72D9"/>
    <w:rsid w:val="001E7646"/>
    <w:rsid w:val="001E76CC"/>
    <w:rsid w:val="001E7785"/>
    <w:rsid w:val="001E7885"/>
    <w:rsid w:val="001E7890"/>
    <w:rsid w:val="001E796C"/>
    <w:rsid w:val="001E79C0"/>
    <w:rsid w:val="001E7B8E"/>
    <w:rsid w:val="001E7B9D"/>
    <w:rsid w:val="001E7C67"/>
    <w:rsid w:val="001E7D0C"/>
    <w:rsid w:val="001F00F5"/>
    <w:rsid w:val="001F01BA"/>
    <w:rsid w:val="001F01C9"/>
    <w:rsid w:val="001F01DC"/>
    <w:rsid w:val="001F0243"/>
    <w:rsid w:val="001F0322"/>
    <w:rsid w:val="001F0436"/>
    <w:rsid w:val="001F0474"/>
    <w:rsid w:val="001F04AD"/>
    <w:rsid w:val="001F04EE"/>
    <w:rsid w:val="001F0577"/>
    <w:rsid w:val="001F057A"/>
    <w:rsid w:val="001F064D"/>
    <w:rsid w:val="001F07A9"/>
    <w:rsid w:val="001F09AF"/>
    <w:rsid w:val="001F0AE5"/>
    <w:rsid w:val="001F0F87"/>
    <w:rsid w:val="001F1060"/>
    <w:rsid w:val="001F10B8"/>
    <w:rsid w:val="001F10E5"/>
    <w:rsid w:val="001F16B4"/>
    <w:rsid w:val="001F175E"/>
    <w:rsid w:val="001F1775"/>
    <w:rsid w:val="001F177F"/>
    <w:rsid w:val="001F1934"/>
    <w:rsid w:val="001F195A"/>
    <w:rsid w:val="001F19E9"/>
    <w:rsid w:val="001F1AE6"/>
    <w:rsid w:val="001F1FF8"/>
    <w:rsid w:val="001F20B8"/>
    <w:rsid w:val="001F20F8"/>
    <w:rsid w:val="001F219B"/>
    <w:rsid w:val="001F27BF"/>
    <w:rsid w:val="001F2B73"/>
    <w:rsid w:val="001F2CC1"/>
    <w:rsid w:val="001F2CE5"/>
    <w:rsid w:val="001F2F06"/>
    <w:rsid w:val="001F30A0"/>
    <w:rsid w:val="001F30CF"/>
    <w:rsid w:val="001F3205"/>
    <w:rsid w:val="001F36F8"/>
    <w:rsid w:val="001F38A1"/>
    <w:rsid w:val="001F39D8"/>
    <w:rsid w:val="001F3A23"/>
    <w:rsid w:val="001F3C24"/>
    <w:rsid w:val="001F3D2B"/>
    <w:rsid w:val="001F3FDD"/>
    <w:rsid w:val="001F405A"/>
    <w:rsid w:val="001F42EC"/>
    <w:rsid w:val="001F4460"/>
    <w:rsid w:val="001F473F"/>
    <w:rsid w:val="001F47F7"/>
    <w:rsid w:val="001F486A"/>
    <w:rsid w:val="001F4B42"/>
    <w:rsid w:val="001F4DFF"/>
    <w:rsid w:val="001F4F10"/>
    <w:rsid w:val="001F4F21"/>
    <w:rsid w:val="001F50D3"/>
    <w:rsid w:val="001F51DC"/>
    <w:rsid w:val="001F53BB"/>
    <w:rsid w:val="001F590A"/>
    <w:rsid w:val="001F5A5A"/>
    <w:rsid w:val="001F5CFA"/>
    <w:rsid w:val="001F5CFB"/>
    <w:rsid w:val="001F5E84"/>
    <w:rsid w:val="001F5F27"/>
    <w:rsid w:val="001F5FD1"/>
    <w:rsid w:val="001F6157"/>
    <w:rsid w:val="001F62C8"/>
    <w:rsid w:val="001F665A"/>
    <w:rsid w:val="001F6757"/>
    <w:rsid w:val="001F6B46"/>
    <w:rsid w:val="001F6D5B"/>
    <w:rsid w:val="001F6DA3"/>
    <w:rsid w:val="001F6F97"/>
    <w:rsid w:val="001F6FA4"/>
    <w:rsid w:val="001F6FDD"/>
    <w:rsid w:val="001F6FE2"/>
    <w:rsid w:val="001F71EC"/>
    <w:rsid w:val="001F7264"/>
    <w:rsid w:val="001F72A3"/>
    <w:rsid w:val="001F74C3"/>
    <w:rsid w:val="001F74EA"/>
    <w:rsid w:val="001F757C"/>
    <w:rsid w:val="001F76B0"/>
    <w:rsid w:val="001F78D0"/>
    <w:rsid w:val="001F79CA"/>
    <w:rsid w:val="001F7AD5"/>
    <w:rsid w:val="001F7BDA"/>
    <w:rsid w:val="001F7C76"/>
    <w:rsid w:val="001F7DC5"/>
    <w:rsid w:val="001F7EBC"/>
    <w:rsid w:val="001F7F27"/>
    <w:rsid w:val="002000EC"/>
    <w:rsid w:val="0020014A"/>
    <w:rsid w:val="002001F0"/>
    <w:rsid w:val="0020032D"/>
    <w:rsid w:val="002003B6"/>
    <w:rsid w:val="0020053A"/>
    <w:rsid w:val="002006E1"/>
    <w:rsid w:val="00200974"/>
    <w:rsid w:val="002009BB"/>
    <w:rsid w:val="00200B5D"/>
    <w:rsid w:val="00200D9B"/>
    <w:rsid w:val="00200DC5"/>
    <w:rsid w:val="00201000"/>
    <w:rsid w:val="00201191"/>
    <w:rsid w:val="002011CD"/>
    <w:rsid w:val="0020136C"/>
    <w:rsid w:val="0020157B"/>
    <w:rsid w:val="00201666"/>
    <w:rsid w:val="00201949"/>
    <w:rsid w:val="00201EF3"/>
    <w:rsid w:val="00201F02"/>
    <w:rsid w:val="00201F07"/>
    <w:rsid w:val="00201FA4"/>
    <w:rsid w:val="00201FE1"/>
    <w:rsid w:val="00202002"/>
    <w:rsid w:val="00202045"/>
    <w:rsid w:val="00202081"/>
    <w:rsid w:val="002021A8"/>
    <w:rsid w:val="002021D3"/>
    <w:rsid w:val="0020220F"/>
    <w:rsid w:val="00202617"/>
    <w:rsid w:val="002027CC"/>
    <w:rsid w:val="00202CBF"/>
    <w:rsid w:val="00202D6B"/>
    <w:rsid w:val="00202FD6"/>
    <w:rsid w:val="0020303A"/>
    <w:rsid w:val="002033A3"/>
    <w:rsid w:val="00203420"/>
    <w:rsid w:val="00203424"/>
    <w:rsid w:val="002035A9"/>
    <w:rsid w:val="002035F7"/>
    <w:rsid w:val="00203B47"/>
    <w:rsid w:val="00203E62"/>
    <w:rsid w:val="00203FFB"/>
    <w:rsid w:val="00204129"/>
    <w:rsid w:val="00204206"/>
    <w:rsid w:val="0020420C"/>
    <w:rsid w:val="002043BC"/>
    <w:rsid w:val="002046B6"/>
    <w:rsid w:val="002046E9"/>
    <w:rsid w:val="00204B3C"/>
    <w:rsid w:val="00204C55"/>
    <w:rsid w:val="00204EF2"/>
    <w:rsid w:val="00204F44"/>
    <w:rsid w:val="00205188"/>
    <w:rsid w:val="002052B5"/>
    <w:rsid w:val="002052C7"/>
    <w:rsid w:val="00205315"/>
    <w:rsid w:val="00205489"/>
    <w:rsid w:val="002056F2"/>
    <w:rsid w:val="00205718"/>
    <w:rsid w:val="002058CF"/>
    <w:rsid w:val="00205990"/>
    <w:rsid w:val="0020599C"/>
    <w:rsid w:val="00205A88"/>
    <w:rsid w:val="00205B19"/>
    <w:rsid w:val="00205B82"/>
    <w:rsid w:val="00205BA6"/>
    <w:rsid w:val="00205CFB"/>
    <w:rsid w:val="00205D60"/>
    <w:rsid w:val="00205F63"/>
    <w:rsid w:val="00205FD9"/>
    <w:rsid w:val="00206016"/>
    <w:rsid w:val="00206067"/>
    <w:rsid w:val="002060A1"/>
    <w:rsid w:val="00206103"/>
    <w:rsid w:val="00206224"/>
    <w:rsid w:val="002062CE"/>
    <w:rsid w:val="00206588"/>
    <w:rsid w:val="002067DE"/>
    <w:rsid w:val="0020686E"/>
    <w:rsid w:val="00206879"/>
    <w:rsid w:val="002068EA"/>
    <w:rsid w:val="00206DB9"/>
    <w:rsid w:val="00207150"/>
    <w:rsid w:val="00207339"/>
    <w:rsid w:val="002077F1"/>
    <w:rsid w:val="0020793D"/>
    <w:rsid w:val="00207952"/>
    <w:rsid w:val="002079B8"/>
    <w:rsid w:val="002079E5"/>
    <w:rsid w:val="00207D07"/>
    <w:rsid w:val="00207D91"/>
    <w:rsid w:val="00207E19"/>
    <w:rsid w:val="00207FFB"/>
    <w:rsid w:val="00210152"/>
    <w:rsid w:val="00210263"/>
    <w:rsid w:val="00210675"/>
    <w:rsid w:val="00210967"/>
    <w:rsid w:val="00210A7B"/>
    <w:rsid w:val="00210DBB"/>
    <w:rsid w:val="00210F2A"/>
    <w:rsid w:val="00210F42"/>
    <w:rsid w:val="0021115B"/>
    <w:rsid w:val="002111A5"/>
    <w:rsid w:val="0021147F"/>
    <w:rsid w:val="00211503"/>
    <w:rsid w:val="002115B5"/>
    <w:rsid w:val="002115B8"/>
    <w:rsid w:val="002116DF"/>
    <w:rsid w:val="002117C5"/>
    <w:rsid w:val="002118DC"/>
    <w:rsid w:val="00211C00"/>
    <w:rsid w:val="00211D1E"/>
    <w:rsid w:val="00211E4E"/>
    <w:rsid w:val="00211E5D"/>
    <w:rsid w:val="00212098"/>
    <w:rsid w:val="00212275"/>
    <w:rsid w:val="00212490"/>
    <w:rsid w:val="00212593"/>
    <w:rsid w:val="0021261A"/>
    <w:rsid w:val="002126CC"/>
    <w:rsid w:val="002129FD"/>
    <w:rsid w:val="00212A9F"/>
    <w:rsid w:val="00212BA9"/>
    <w:rsid w:val="00212C76"/>
    <w:rsid w:val="00212DA7"/>
    <w:rsid w:val="00212EBF"/>
    <w:rsid w:val="002131B7"/>
    <w:rsid w:val="00213409"/>
    <w:rsid w:val="0021358F"/>
    <w:rsid w:val="002136A6"/>
    <w:rsid w:val="002138E9"/>
    <w:rsid w:val="00213B65"/>
    <w:rsid w:val="00213BA7"/>
    <w:rsid w:val="00213E70"/>
    <w:rsid w:val="00213EDB"/>
    <w:rsid w:val="00214071"/>
    <w:rsid w:val="00214089"/>
    <w:rsid w:val="002140CC"/>
    <w:rsid w:val="00214177"/>
    <w:rsid w:val="002141E7"/>
    <w:rsid w:val="00214404"/>
    <w:rsid w:val="0021462E"/>
    <w:rsid w:val="0021481E"/>
    <w:rsid w:val="0021499C"/>
    <w:rsid w:val="00214A2A"/>
    <w:rsid w:val="00214E07"/>
    <w:rsid w:val="00214F89"/>
    <w:rsid w:val="002150C6"/>
    <w:rsid w:val="002151A0"/>
    <w:rsid w:val="0021549A"/>
    <w:rsid w:val="00215552"/>
    <w:rsid w:val="00215562"/>
    <w:rsid w:val="002156F2"/>
    <w:rsid w:val="002159A3"/>
    <w:rsid w:val="00215BFA"/>
    <w:rsid w:val="00215F39"/>
    <w:rsid w:val="00216143"/>
    <w:rsid w:val="0021631A"/>
    <w:rsid w:val="0021655A"/>
    <w:rsid w:val="002166A9"/>
    <w:rsid w:val="002167A7"/>
    <w:rsid w:val="0021696D"/>
    <w:rsid w:val="002169A7"/>
    <w:rsid w:val="00216A0F"/>
    <w:rsid w:val="00216B51"/>
    <w:rsid w:val="00216D7E"/>
    <w:rsid w:val="00216E8C"/>
    <w:rsid w:val="00216EEE"/>
    <w:rsid w:val="002170C2"/>
    <w:rsid w:val="0021711E"/>
    <w:rsid w:val="002173D0"/>
    <w:rsid w:val="00217494"/>
    <w:rsid w:val="002176D5"/>
    <w:rsid w:val="0021784E"/>
    <w:rsid w:val="00217908"/>
    <w:rsid w:val="00217A1A"/>
    <w:rsid w:val="00217CBB"/>
    <w:rsid w:val="00217D6B"/>
    <w:rsid w:val="00217DDC"/>
    <w:rsid w:val="00217F1C"/>
    <w:rsid w:val="002200DB"/>
    <w:rsid w:val="00220288"/>
    <w:rsid w:val="00220601"/>
    <w:rsid w:val="0022075A"/>
    <w:rsid w:val="0022082D"/>
    <w:rsid w:val="002208AF"/>
    <w:rsid w:val="00220A6E"/>
    <w:rsid w:val="00220AE9"/>
    <w:rsid w:val="00220F28"/>
    <w:rsid w:val="00221042"/>
    <w:rsid w:val="002212E1"/>
    <w:rsid w:val="00221377"/>
    <w:rsid w:val="00221516"/>
    <w:rsid w:val="00221581"/>
    <w:rsid w:val="002216A6"/>
    <w:rsid w:val="0022183F"/>
    <w:rsid w:val="00221B51"/>
    <w:rsid w:val="00221FE8"/>
    <w:rsid w:val="00222030"/>
    <w:rsid w:val="0022215E"/>
    <w:rsid w:val="00222215"/>
    <w:rsid w:val="0022238B"/>
    <w:rsid w:val="00222448"/>
    <w:rsid w:val="002224A8"/>
    <w:rsid w:val="0022281C"/>
    <w:rsid w:val="002228B2"/>
    <w:rsid w:val="002228CA"/>
    <w:rsid w:val="00222A76"/>
    <w:rsid w:val="00222A7E"/>
    <w:rsid w:val="00222ABD"/>
    <w:rsid w:val="00222AC5"/>
    <w:rsid w:val="00222B16"/>
    <w:rsid w:val="00222DDD"/>
    <w:rsid w:val="00222F09"/>
    <w:rsid w:val="00222F38"/>
    <w:rsid w:val="00223023"/>
    <w:rsid w:val="00223030"/>
    <w:rsid w:val="002230B6"/>
    <w:rsid w:val="00223110"/>
    <w:rsid w:val="0022354F"/>
    <w:rsid w:val="002235BB"/>
    <w:rsid w:val="002235E3"/>
    <w:rsid w:val="002236AD"/>
    <w:rsid w:val="00223D79"/>
    <w:rsid w:val="00223D94"/>
    <w:rsid w:val="00223F57"/>
    <w:rsid w:val="002240E2"/>
    <w:rsid w:val="002240EF"/>
    <w:rsid w:val="002241B7"/>
    <w:rsid w:val="00224309"/>
    <w:rsid w:val="0022442D"/>
    <w:rsid w:val="002245B0"/>
    <w:rsid w:val="002245E3"/>
    <w:rsid w:val="00224680"/>
    <w:rsid w:val="0022477F"/>
    <w:rsid w:val="00224922"/>
    <w:rsid w:val="002249F1"/>
    <w:rsid w:val="00224A03"/>
    <w:rsid w:val="00224A41"/>
    <w:rsid w:val="00224BCC"/>
    <w:rsid w:val="00224EF6"/>
    <w:rsid w:val="00225074"/>
    <w:rsid w:val="00225319"/>
    <w:rsid w:val="00225358"/>
    <w:rsid w:val="002254C3"/>
    <w:rsid w:val="0022561E"/>
    <w:rsid w:val="0022567D"/>
    <w:rsid w:val="002256CB"/>
    <w:rsid w:val="00225909"/>
    <w:rsid w:val="00225BAF"/>
    <w:rsid w:val="00226058"/>
    <w:rsid w:val="002262B0"/>
    <w:rsid w:val="00226460"/>
    <w:rsid w:val="0022667A"/>
    <w:rsid w:val="00226766"/>
    <w:rsid w:val="002269F9"/>
    <w:rsid w:val="00226EE7"/>
    <w:rsid w:val="00227205"/>
    <w:rsid w:val="00227368"/>
    <w:rsid w:val="00227930"/>
    <w:rsid w:val="00227A08"/>
    <w:rsid w:val="00227A33"/>
    <w:rsid w:val="00227B2F"/>
    <w:rsid w:val="00227CF1"/>
    <w:rsid w:val="00227CFA"/>
    <w:rsid w:val="00227D29"/>
    <w:rsid w:val="00227D74"/>
    <w:rsid w:val="00227DA7"/>
    <w:rsid w:val="00227F0F"/>
    <w:rsid w:val="0023018C"/>
    <w:rsid w:val="00230875"/>
    <w:rsid w:val="0023095E"/>
    <w:rsid w:val="00230A5E"/>
    <w:rsid w:val="00230C8E"/>
    <w:rsid w:val="00230DA0"/>
    <w:rsid w:val="00230E9E"/>
    <w:rsid w:val="00230F00"/>
    <w:rsid w:val="00231093"/>
    <w:rsid w:val="00231378"/>
    <w:rsid w:val="002313DC"/>
    <w:rsid w:val="00231552"/>
    <w:rsid w:val="002315D9"/>
    <w:rsid w:val="002317BA"/>
    <w:rsid w:val="00231AC5"/>
    <w:rsid w:val="00231B9C"/>
    <w:rsid w:val="00231EA8"/>
    <w:rsid w:val="00231F06"/>
    <w:rsid w:val="002323C2"/>
    <w:rsid w:val="002324C2"/>
    <w:rsid w:val="00232505"/>
    <w:rsid w:val="002325F3"/>
    <w:rsid w:val="00232758"/>
    <w:rsid w:val="002327B0"/>
    <w:rsid w:val="002328E0"/>
    <w:rsid w:val="00232A2A"/>
    <w:rsid w:val="00232FDB"/>
    <w:rsid w:val="00233053"/>
    <w:rsid w:val="00233094"/>
    <w:rsid w:val="0023330D"/>
    <w:rsid w:val="00233577"/>
    <w:rsid w:val="0023363E"/>
    <w:rsid w:val="002337A6"/>
    <w:rsid w:val="002338A9"/>
    <w:rsid w:val="00233A98"/>
    <w:rsid w:val="00233C24"/>
    <w:rsid w:val="00233D10"/>
    <w:rsid w:val="00233DB4"/>
    <w:rsid w:val="0023408D"/>
    <w:rsid w:val="0023411D"/>
    <w:rsid w:val="0023414F"/>
    <w:rsid w:val="00234667"/>
    <w:rsid w:val="002348DA"/>
    <w:rsid w:val="002349BE"/>
    <w:rsid w:val="00234A5F"/>
    <w:rsid w:val="00234A61"/>
    <w:rsid w:val="00235062"/>
    <w:rsid w:val="00235263"/>
    <w:rsid w:val="00235536"/>
    <w:rsid w:val="00235619"/>
    <w:rsid w:val="00235623"/>
    <w:rsid w:val="00235736"/>
    <w:rsid w:val="00235A77"/>
    <w:rsid w:val="00235A9F"/>
    <w:rsid w:val="00235B16"/>
    <w:rsid w:val="00235B23"/>
    <w:rsid w:val="00235DC0"/>
    <w:rsid w:val="00236010"/>
    <w:rsid w:val="00236043"/>
    <w:rsid w:val="0023639D"/>
    <w:rsid w:val="00236890"/>
    <w:rsid w:val="00236991"/>
    <w:rsid w:val="00236CB2"/>
    <w:rsid w:val="00236CD5"/>
    <w:rsid w:val="00236D7D"/>
    <w:rsid w:val="00236F93"/>
    <w:rsid w:val="00236FD3"/>
    <w:rsid w:val="0023718F"/>
    <w:rsid w:val="0023731D"/>
    <w:rsid w:val="0023757B"/>
    <w:rsid w:val="00237608"/>
    <w:rsid w:val="00237847"/>
    <w:rsid w:val="0023798A"/>
    <w:rsid w:val="00237B49"/>
    <w:rsid w:val="00237BED"/>
    <w:rsid w:val="00237E68"/>
    <w:rsid w:val="00237F0C"/>
    <w:rsid w:val="00237F63"/>
    <w:rsid w:val="0024015D"/>
    <w:rsid w:val="002404AE"/>
    <w:rsid w:val="00240A6D"/>
    <w:rsid w:val="00240B16"/>
    <w:rsid w:val="00240B5C"/>
    <w:rsid w:val="00240B7B"/>
    <w:rsid w:val="00240BF8"/>
    <w:rsid w:val="00240E29"/>
    <w:rsid w:val="00240F02"/>
    <w:rsid w:val="00240F3A"/>
    <w:rsid w:val="00240F6A"/>
    <w:rsid w:val="00241091"/>
    <w:rsid w:val="00241160"/>
    <w:rsid w:val="00241213"/>
    <w:rsid w:val="00241644"/>
    <w:rsid w:val="00241763"/>
    <w:rsid w:val="0024187C"/>
    <w:rsid w:val="002419F5"/>
    <w:rsid w:val="00241A66"/>
    <w:rsid w:val="002420AD"/>
    <w:rsid w:val="002420E7"/>
    <w:rsid w:val="002421C1"/>
    <w:rsid w:val="002422CF"/>
    <w:rsid w:val="00242636"/>
    <w:rsid w:val="002426EF"/>
    <w:rsid w:val="00242A6E"/>
    <w:rsid w:val="00242D9B"/>
    <w:rsid w:val="00242F1F"/>
    <w:rsid w:val="002430B3"/>
    <w:rsid w:val="0024319D"/>
    <w:rsid w:val="0024361B"/>
    <w:rsid w:val="00243818"/>
    <w:rsid w:val="0024397D"/>
    <w:rsid w:val="00243995"/>
    <w:rsid w:val="00243A9D"/>
    <w:rsid w:val="00243F5E"/>
    <w:rsid w:val="00244706"/>
    <w:rsid w:val="00244709"/>
    <w:rsid w:val="002447F9"/>
    <w:rsid w:val="00244955"/>
    <w:rsid w:val="002449F4"/>
    <w:rsid w:val="00244C2F"/>
    <w:rsid w:val="00244D05"/>
    <w:rsid w:val="002452B7"/>
    <w:rsid w:val="00245333"/>
    <w:rsid w:val="0024535F"/>
    <w:rsid w:val="0024536F"/>
    <w:rsid w:val="0024548D"/>
    <w:rsid w:val="00245776"/>
    <w:rsid w:val="0024577D"/>
    <w:rsid w:val="002457FE"/>
    <w:rsid w:val="00245868"/>
    <w:rsid w:val="0024594A"/>
    <w:rsid w:val="00245E1D"/>
    <w:rsid w:val="00245EA4"/>
    <w:rsid w:val="00245EC8"/>
    <w:rsid w:val="00245F02"/>
    <w:rsid w:val="00245FE1"/>
    <w:rsid w:val="0024617A"/>
    <w:rsid w:val="002464D2"/>
    <w:rsid w:val="002465C0"/>
    <w:rsid w:val="0024665D"/>
    <w:rsid w:val="00246BA2"/>
    <w:rsid w:val="00246D5A"/>
    <w:rsid w:val="00246DA4"/>
    <w:rsid w:val="00246EA5"/>
    <w:rsid w:val="00246F0E"/>
    <w:rsid w:val="00246F2A"/>
    <w:rsid w:val="00247156"/>
    <w:rsid w:val="00247160"/>
    <w:rsid w:val="0024716B"/>
    <w:rsid w:val="0024729C"/>
    <w:rsid w:val="002472D9"/>
    <w:rsid w:val="0024773E"/>
    <w:rsid w:val="002477D5"/>
    <w:rsid w:val="0024789A"/>
    <w:rsid w:val="002479B8"/>
    <w:rsid w:val="002479F7"/>
    <w:rsid w:val="00247B04"/>
    <w:rsid w:val="00247D36"/>
    <w:rsid w:val="00247E60"/>
    <w:rsid w:val="00247E6F"/>
    <w:rsid w:val="00247FAB"/>
    <w:rsid w:val="00250091"/>
    <w:rsid w:val="00250153"/>
    <w:rsid w:val="0025015B"/>
    <w:rsid w:val="002501B1"/>
    <w:rsid w:val="00250524"/>
    <w:rsid w:val="00250555"/>
    <w:rsid w:val="00250607"/>
    <w:rsid w:val="0025073E"/>
    <w:rsid w:val="00250B7B"/>
    <w:rsid w:val="00250CF4"/>
    <w:rsid w:val="00250D9C"/>
    <w:rsid w:val="00250DF8"/>
    <w:rsid w:val="00250F34"/>
    <w:rsid w:val="002514BA"/>
    <w:rsid w:val="0025161D"/>
    <w:rsid w:val="00251634"/>
    <w:rsid w:val="00251792"/>
    <w:rsid w:val="00251D03"/>
    <w:rsid w:val="00251EAE"/>
    <w:rsid w:val="002520A6"/>
    <w:rsid w:val="00252264"/>
    <w:rsid w:val="002527BA"/>
    <w:rsid w:val="002527E4"/>
    <w:rsid w:val="00252B2F"/>
    <w:rsid w:val="00252E67"/>
    <w:rsid w:val="0025330D"/>
    <w:rsid w:val="002533EF"/>
    <w:rsid w:val="00253679"/>
    <w:rsid w:val="002536FE"/>
    <w:rsid w:val="00253907"/>
    <w:rsid w:val="00253A2D"/>
    <w:rsid w:val="00253A89"/>
    <w:rsid w:val="00253D8C"/>
    <w:rsid w:val="00254275"/>
    <w:rsid w:val="00254497"/>
    <w:rsid w:val="0025466C"/>
    <w:rsid w:val="002546E3"/>
    <w:rsid w:val="00254B8D"/>
    <w:rsid w:val="00254C70"/>
    <w:rsid w:val="00254D95"/>
    <w:rsid w:val="00254E84"/>
    <w:rsid w:val="002551F8"/>
    <w:rsid w:val="002551FB"/>
    <w:rsid w:val="00255215"/>
    <w:rsid w:val="00255223"/>
    <w:rsid w:val="002555D2"/>
    <w:rsid w:val="002556B1"/>
    <w:rsid w:val="00255971"/>
    <w:rsid w:val="00255C2C"/>
    <w:rsid w:val="00255D78"/>
    <w:rsid w:val="0025604F"/>
    <w:rsid w:val="00256058"/>
    <w:rsid w:val="002560C9"/>
    <w:rsid w:val="002560DE"/>
    <w:rsid w:val="002562D0"/>
    <w:rsid w:val="002563B3"/>
    <w:rsid w:val="002563C1"/>
    <w:rsid w:val="0025643A"/>
    <w:rsid w:val="0025676C"/>
    <w:rsid w:val="002567CB"/>
    <w:rsid w:val="0025692F"/>
    <w:rsid w:val="00256997"/>
    <w:rsid w:val="00256A18"/>
    <w:rsid w:val="00256B4E"/>
    <w:rsid w:val="00256B8A"/>
    <w:rsid w:val="00256C68"/>
    <w:rsid w:val="00256E9C"/>
    <w:rsid w:val="0025718F"/>
    <w:rsid w:val="00257298"/>
    <w:rsid w:val="00257319"/>
    <w:rsid w:val="00257458"/>
    <w:rsid w:val="0025763A"/>
    <w:rsid w:val="002576AC"/>
    <w:rsid w:val="002576F8"/>
    <w:rsid w:val="002578ED"/>
    <w:rsid w:val="00257DE5"/>
    <w:rsid w:val="00257F06"/>
    <w:rsid w:val="00260194"/>
    <w:rsid w:val="00260490"/>
    <w:rsid w:val="002609B5"/>
    <w:rsid w:val="00260B53"/>
    <w:rsid w:val="00261270"/>
    <w:rsid w:val="00261962"/>
    <w:rsid w:val="00261AA3"/>
    <w:rsid w:val="00261CE0"/>
    <w:rsid w:val="00261E3C"/>
    <w:rsid w:val="00261FA2"/>
    <w:rsid w:val="0026206C"/>
    <w:rsid w:val="002620FD"/>
    <w:rsid w:val="00262137"/>
    <w:rsid w:val="002621BD"/>
    <w:rsid w:val="0026223C"/>
    <w:rsid w:val="00262579"/>
    <w:rsid w:val="00262736"/>
    <w:rsid w:val="00262787"/>
    <w:rsid w:val="00262909"/>
    <w:rsid w:val="00262A38"/>
    <w:rsid w:val="00262A97"/>
    <w:rsid w:val="00262B13"/>
    <w:rsid w:val="00262B37"/>
    <w:rsid w:val="00262BB8"/>
    <w:rsid w:val="00262E16"/>
    <w:rsid w:val="002630D2"/>
    <w:rsid w:val="002632E0"/>
    <w:rsid w:val="0026335C"/>
    <w:rsid w:val="0026338B"/>
    <w:rsid w:val="00263398"/>
    <w:rsid w:val="0026343A"/>
    <w:rsid w:val="002634B4"/>
    <w:rsid w:val="00263A6B"/>
    <w:rsid w:val="00263C0F"/>
    <w:rsid w:val="00263D06"/>
    <w:rsid w:val="00263DD7"/>
    <w:rsid w:val="00263DE6"/>
    <w:rsid w:val="00263FCB"/>
    <w:rsid w:val="0026423D"/>
    <w:rsid w:val="002642A8"/>
    <w:rsid w:val="002643B9"/>
    <w:rsid w:val="00264676"/>
    <w:rsid w:val="002648D4"/>
    <w:rsid w:val="00264918"/>
    <w:rsid w:val="00264958"/>
    <w:rsid w:val="002649D4"/>
    <w:rsid w:val="00264BB3"/>
    <w:rsid w:val="00264F6C"/>
    <w:rsid w:val="0026507E"/>
    <w:rsid w:val="00265176"/>
    <w:rsid w:val="00265238"/>
    <w:rsid w:val="00265253"/>
    <w:rsid w:val="002652D9"/>
    <w:rsid w:val="00265393"/>
    <w:rsid w:val="00265457"/>
    <w:rsid w:val="00265553"/>
    <w:rsid w:val="002655B9"/>
    <w:rsid w:val="00265634"/>
    <w:rsid w:val="00265759"/>
    <w:rsid w:val="002659E8"/>
    <w:rsid w:val="00265B72"/>
    <w:rsid w:val="00265E1E"/>
    <w:rsid w:val="00265F56"/>
    <w:rsid w:val="002663E0"/>
    <w:rsid w:val="00266669"/>
    <w:rsid w:val="00266732"/>
    <w:rsid w:val="002668D9"/>
    <w:rsid w:val="0026690A"/>
    <w:rsid w:val="0026696D"/>
    <w:rsid w:val="0026698B"/>
    <w:rsid w:val="00266B2E"/>
    <w:rsid w:val="00266DB7"/>
    <w:rsid w:val="00266F66"/>
    <w:rsid w:val="00267157"/>
    <w:rsid w:val="002676F9"/>
    <w:rsid w:val="0026774E"/>
    <w:rsid w:val="002677D5"/>
    <w:rsid w:val="0026789B"/>
    <w:rsid w:val="00267995"/>
    <w:rsid w:val="002679AF"/>
    <w:rsid w:val="00267B4D"/>
    <w:rsid w:val="00270008"/>
    <w:rsid w:val="00270068"/>
    <w:rsid w:val="00270309"/>
    <w:rsid w:val="002707EE"/>
    <w:rsid w:val="00270A5F"/>
    <w:rsid w:val="00270D0C"/>
    <w:rsid w:val="00270D18"/>
    <w:rsid w:val="00270E32"/>
    <w:rsid w:val="00270F6C"/>
    <w:rsid w:val="0027113F"/>
    <w:rsid w:val="00271153"/>
    <w:rsid w:val="002712CD"/>
    <w:rsid w:val="0027148E"/>
    <w:rsid w:val="00271578"/>
    <w:rsid w:val="002715D0"/>
    <w:rsid w:val="00271763"/>
    <w:rsid w:val="0027194D"/>
    <w:rsid w:val="00271B81"/>
    <w:rsid w:val="00271C49"/>
    <w:rsid w:val="00271D0C"/>
    <w:rsid w:val="00272289"/>
    <w:rsid w:val="002724FB"/>
    <w:rsid w:val="00272607"/>
    <w:rsid w:val="002726C1"/>
    <w:rsid w:val="0027296E"/>
    <w:rsid w:val="00272BA3"/>
    <w:rsid w:val="0027301E"/>
    <w:rsid w:val="002731C7"/>
    <w:rsid w:val="002738E3"/>
    <w:rsid w:val="00273A01"/>
    <w:rsid w:val="00273B92"/>
    <w:rsid w:val="00273BA4"/>
    <w:rsid w:val="00273DF2"/>
    <w:rsid w:val="00273F7E"/>
    <w:rsid w:val="00273FDC"/>
    <w:rsid w:val="00274139"/>
    <w:rsid w:val="002744AC"/>
    <w:rsid w:val="0027455E"/>
    <w:rsid w:val="00274665"/>
    <w:rsid w:val="0027482E"/>
    <w:rsid w:val="00274A06"/>
    <w:rsid w:val="00274BE2"/>
    <w:rsid w:val="00274C89"/>
    <w:rsid w:val="00274D24"/>
    <w:rsid w:val="00274EB0"/>
    <w:rsid w:val="00274ECE"/>
    <w:rsid w:val="0027509C"/>
    <w:rsid w:val="00275879"/>
    <w:rsid w:val="00275892"/>
    <w:rsid w:val="0027599E"/>
    <w:rsid w:val="00275A8A"/>
    <w:rsid w:val="00275B62"/>
    <w:rsid w:val="00275D00"/>
    <w:rsid w:val="00275D16"/>
    <w:rsid w:val="00275DD7"/>
    <w:rsid w:val="00275E21"/>
    <w:rsid w:val="00275F1C"/>
    <w:rsid w:val="0027613D"/>
    <w:rsid w:val="00276140"/>
    <w:rsid w:val="002761DA"/>
    <w:rsid w:val="0027642A"/>
    <w:rsid w:val="0027655D"/>
    <w:rsid w:val="0027658B"/>
    <w:rsid w:val="00276932"/>
    <w:rsid w:val="002769FF"/>
    <w:rsid w:val="00276A14"/>
    <w:rsid w:val="00276AA6"/>
    <w:rsid w:val="00276AD4"/>
    <w:rsid w:val="00276E93"/>
    <w:rsid w:val="00276FFA"/>
    <w:rsid w:val="00277190"/>
    <w:rsid w:val="0027731E"/>
    <w:rsid w:val="0027737D"/>
    <w:rsid w:val="002774F2"/>
    <w:rsid w:val="0027750D"/>
    <w:rsid w:val="002775F3"/>
    <w:rsid w:val="0027784D"/>
    <w:rsid w:val="00277A22"/>
    <w:rsid w:val="00277B1E"/>
    <w:rsid w:val="00277FBE"/>
    <w:rsid w:val="002801DC"/>
    <w:rsid w:val="00280420"/>
    <w:rsid w:val="002804F6"/>
    <w:rsid w:val="002804F8"/>
    <w:rsid w:val="0028053C"/>
    <w:rsid w:val="002805DE"/>
    <w:rsid w:val="002808ED"/>
    <w:rsid w:val="00280A3D"/>
    <w:rsid w:val="00280EB0"/>
    <w:rsid w:val="00280F4B"/>
    <w:rsid w:val="00280F51"/>
    <w:rsid w:val="00280FBF"/>
    <w:rsid w:val="00280FCD"/>
    <w:rsid w:val="00281044"/>
    <w:rsid w:val="002814AB"/>
    <w:rsid w:val="00281DB6"/>
    <w:rsid w:val="00281DD1"/>
    <w:rsid w:val="00281E49"/>
    <w:rsid w:val="00281EEB"/>
    <w:rsid w:val="00281F46"/>
    <w:rsid w:val="00281FA1"/>
    <w:rsid w:val="002820D5"/>
    <w:rsid w:val="00282119"/>
    <w:rsid w:val="002821FD"/>
    <w:rsid w:val="0028242A"/>
    <w:rsid w:val="00282439"/>
    <w:rsid w:val="00282619"/>
    <w:rsid w:val="00282718"/>
    <w:rsid w:val="002827AF"/>
    <w:rsid w:val="002827E9"/>
    <w:rsid w:val="002828A7"/>
    <w:rsid w:val="002829CD"/>
    <w:rsid w:val="00282B32"/>
    <w:rsid w:val="00282CD6"/>
    <w:rsid w:val="002830E2"/>
    <w:rsid w:val="002833BB"/>
    <w:rsid w:val="00283519"/>
    <w:rsid w:val="002836A8"/>
    <w:rsid w:val="00283713"/>
    <w:rsid w:val="00283715"/>
    <w:rsid w:val="0028391D"/>
    <w:rsid w:val="002839F3"/>
    <w:rsid w:val="00283C55"/>
    <w:rsid w:val="00283DD2"/>
    <w:rsid w:val="00283F05"/>
    <w:rsid w:val="0028410D"/>
    <w:rsid w:val="002845EE"/>
    <w:rsid w:val="00284664"/>
    <w:rsid w:val="002846A8"/>
    <w:rsid w:val="002846B0"/>
    <w:rsid w:val="00284875"/>
    <w:rsid w:val="00284938"/>
    <w:rsid w:val="002849AE"/>
    <w:rsid w:val="00284CC5"/>
    <w:rsid w:val="00284CF0"/>
    <w:rsid w:val="00284FD2"/>
    <w:rsid w:val="0028542B"/>
    <w:rsid w:val="0028544F"/>
    <w:rsid w:val="0028592E"/>
    <w:rsid w:val="002859FE"/>
    <w:rsid w:val="00285A65"/>
    <w:rsid w:val="00285BBF"/>
    <w:rsid w:val="00285C05"/>
    <w:rsid w:val="00285C6A"/>
    <w:rsid w:val="00285CA2"/>
    <w:rsid w:val="00285D85"/>
    <w:rsid w:val="00285DC1"/>
    <w:rsid w:val="00285E48"/>
    <w:rsid w:val="00285ED5"/>
    <w:rsid w:val="002860E3"/>
    <w:rsid w:val="0028623C"/>
    <w:rsid w:val="00286280"/>
    <w:rsid w:val="0028629A"/>
    <w:rsid w:val="002862D0"/>
    <w:rsid w:val="00286428"/>
    <w:rsid w:val="002865B6"/>
    <w:rsid w:val="00286618"/>
    <w:rsid w:val="002866C0"/>
    <w:rsid w:val="00286753"/>
    <w:rsid w:val="00286A8C"/>
    <w:rsid w:val="00286B66"/>
    <w:rsid w:val="00286E71"/>
    <w:rsid w:val="00286F27"/>
    <w:rsid w:val="002871EC"/>
    <w:rsid w:val="00287687"/>
    <w:rsid w:val="00287857"/>
    <w:rsid w:val="002879AF"/>
    <w:rsid w:val="00287A2F"/>
    <w:rsid w:val="00287BE7"/>
    <w:rsid w:val="00287C5E"/>
    <w:rsid w:val="00287DED"/>
    <w:rsid w:val="00287E89"/>
    <w:rsid w:val="00287EE0"/>
    <w:rsid w:val="00290001"/>
    <w:rsid w:val="0029036C"/>
    <w:rsid w:val="0029050B"/>
    <w:rsid w:val="002906D4"/>
    <w:rsid w:val="00290707"/>
    <w:rsid w:val="00290774"/>
    <w:rsid w:val="00290840"/>
    <w:rsid w:val="00290AD7"/>
    <w:rsid w:val="00290FA6"/>
    <w:rsid w:val="002911F5"/>
    <w:rsid w:val="00291356"/>
    <w:rsid w:val="0029147B"/>
    <w:rsid w:val="0029159B"/>
    <w:rsid w:val="00291865"/>
    <w:rsid w:val="00291AC4"/>
    <w:rsid w:val="00291C19"/>
    <w:rsid w:val="00291D72"/>
    <w:rsid w:val="00291E04"/>
    <w:rsid w:val="0029215F"/>
    <w:rsid w:val="0029218B"/>
    <w:rsid w:val="0029230D"/>
    <w:rsid w:val="00292521"/>
    <w:rsid w:val="002925C7"/>
    <w:rsid w:val="00292674"/>
    <w:rsid w:val="00292735"/>
    <w:rsid w:val="00292B26"/>
    <w:rsid w:val="00292C6F"/>
    <w:rsid w:val="00292FC3"/>
    <w:rsid w:val="0029316E"/>
    <w:rsid w:val="002931F1"/>
    <w:rsid w:val="002932BD"/>
    <w:rsid w:val="0029335A"/>
    <w:rsid w:val="00293708"/>
    <w:rsid w:val="002939B8"/>
    <w:rsid w:val="00293A2E"/>
    <w:rsid w:val="00293B41"/>
    <w:rsid w:val="00293B60"/>
    <w:rsid w:val="0029407F"/>
    <w:rsid w:val="002942EC"/>
    <w:rsid w:val="00294308"/>
    <w:rsid w:val="0029432D"/>
    <w:rsid w:val="00294337"/>
    <w:rsid w:val="00294425"/>
    <w:rsid w:val="00294550"/>
    <w:rsid w:val="00294591"/>
    <w:rsid w:val="00294871"/>
    <w:rsid w:val="00294891"/>
    <w:rsid w:val="00294AF2"/>
    <w:rsid w:val="00294C3A"/>
    <w:rsid w:val="00294F83"/>
    <w:rsid w:val="00295025"/>
    <w:rsid w:val="002954A5"/>
    <w:rsid w:val="002954AA"/>
    <w:rsid w:val="0029565B"/>
    <w:rsid w:val="00295841"/>
    <w:rsid w:val="00295BAC"/>
    <w:rsid w:val="00295BF5"/>
    <w:rsid w:val="00295F5B"/>
    <w:rsid w:val="00296003"/>
    <w:rsid w:val="00296297"/>
    <w:rsid w:val="00296328"/>
    <w:rsid w:val="0029649A"/>
    <w:rsid w:val="0029669A"/>
    <w:rsid w:val="002967B6"/>
    <w:rsid w:val="00296969"/>
    <w:rsid w:val="002969AB"/>
    <w:rsid w:val="002969F8"/>
    <w:rsid w:val="00296BD3"/>
    <w:rsid w:val="00296C20"/>
    <w:rsid w:val="00296C2A"/>
    <w:rsid w:val="00296D02"/>
    <w:rsid w:val="00296DE4"/>
    <w:rsid w:val="002970E4"/>
    <w:rsid w:val="002971DF"/>
    <w:rsid w:val="00297412"/>
    <w:rsid w:val="00297535"/>
    <w:rsid w:val="0029753D"/>
    <w:rsid w:val="00297887"/>
    <w:rsid w:val="00297899"/>
    <w:rsid w:val="00297BDE"/>
    <w:rsid w:val="00297D8D"/>
    <w:rsid w:val="00297F21"/>
    <w:rsid w:val="00297F2E"/>
    <w:rsid w:val="002A0046"/>
    <w:rsid w:val="002A028A"/>
    <w:rsid w:val="002A04C9"/>
    <w:rsid w:val="002A05C4"/>
    <w:rsid w:val="002A0A45"/>
    <w:rsid w:val="002A0E7D"/>
    <w:rsid w:val="002A112A"/>
    <w:rsid w:val="002A127B"/>
    <w:rsid w:val="002A1436"/>
    <w:rsid w:val="002A1876"/>
    <w:rsid w:val="002A1A1F"/>
    <w:rsid w:val="002A1A55"/>
    <w:rsid w:val="002A1AFB"/>
    <w:rsid w:val="002A200E"/>
    <w:rsid w:val="002A216E"/>
    <w:rsid w:val="002A237A"/>
    <w:rsid w:val="002A23B6"/>
    <w:rsid w:val="002A24C5"/>
    <w:rsid w:val="002A25A4"/>
    <w:rsid w:val="002A28FA"/>
    <w:rsid w:val="002A2D49"/>
    <w:rsid w:val="002A2EEE"/>
    <w:rsid w:val="002A3046"/>
    <w:rsid w:val="002A3321"/>
    <w:rsid w:val="002A3382"/>
    <w:rsid w:val="002A3520"/>
    <w:rsid w:val="002A3538"/>
    <w:rsid w:val="002A359E"/>
    <w:rsid w:val="002A3611"/>
    <w:rsid w:val="002A3662"/>
    <w:rsid w:val="002A36CF"/>
    <w:rsid w:val="002A3839"/>
    <w:rsid w:val="002A3BA5"/>
    <w:rsid w:val="002A3D03"/>
    <w:rsid w:val="002A3D0F"/>
    <w:rsid w:val="002A3E85"/>
    <w:rsid w:val="002A3EC9"/>
    <w:rsid w:val="002A3F2E"/>
    <w:rsid w:val="002A42E6"/>
    <w:rsid w:val="002A43F7"/>
    <w:rsid w:val="002A444C"/>
    <w:rsid w:val="002A4649"/>
    <w:rsid w:val="002A46A3"/>
    <w:rsid w:val="002A4835"/>
    <w:rsid w:val="002A48A9"/>
    <w:rsid w:val="002A4B73"/>
    <w:rsid w:val="002A4E38"/>
    <w:rsid w:val="002A5018"/>
    <w:rsid w:val="002A50D9"/>
    <w:rsid w:val="002A52D3"/>
    <w:rsid w:val="002A5962"/>
    <w:rsid w:val="002A598E"/>
    <w:rsid w:val="002A59C7"/>
    <w:rsid w:val="002A5BE6"/>
    <w:rsid w:val="002A6145"/>
    <w:rsid w:val="002A6207"/>
    <w:rsid w:val="002A6304"/>
    <w:rsid w:val="002A6364"/>
    <w:rsid w:val="002A63BD"/>
    <w:rsid w:val="002A63C9"/>
    <w:rsid w:val="002A6430"/>
    <w:rsid w:val="002A64DE"/>
    <w:rsid w:val="002A651D"/>
    <w:rsid w:val="002A668F"/>
    <w:rsid w:val="002A6863"/>
    <w:rsid w:val="002A6A73"/>
    <w:rsid w:val="002A6B8B"/>
    <w:rsid w:val="002A6FB7"/>
    <w:rsid w:val="002A6FC5"/>
    <w:rsid w:val="002A703B"/>
    <w:rsid w:val="002A70BD"/>
    <w:rsid w:val="002A71A7"/>
    <w:rsid w:val="002A7262"/>
    <w:rsid w:val="002A738A"/>
    <w:rsid w:val="002A7502"/>
    <w:rsid w:val="002A76AD"/>
    <w:rsid w:val="002A7AF4"/>
    <w:rsid w:val="002B00D5"/>
    <w:rsid w:val="002B012E"/>
    <w:rsid w:val="002B026F"/>
    <w:rsid w:val="002B0285"/>
    <w:rsid w:val="002B03A8"/>
    <w:rsid w:val="002B0601"/>
    <w:rsid w:val="002B0646"/>
    <w:rsid w:val="002B0755"/>
    <w:rsid w:val="002B077E"/>
    <w:rsid w:val="002B081E"/>
    <w:rsid w:val="002B08CE"/>
    <w:rsid w:val="002B092F"/>
    <w:rsid w:val="002B097C"/>
    <w:rsid w:val="002B100B"/>
    <w:rsid w:val="002B1150"/>
    <w:rsid w:val="002B149C"/>
    <w:rsid w:val="002B19F0"/>
    <w:rsid w:val="002B1AD4"/>
    <w:rsid w:val="002B1AE8"/>
    <w:rsid w:val="002B1AF8"/>
    <w:rsid w:val="002B1B50"/>
    <w:rsid w:val="002B1C05"/>
    <w:rsid w:val="002B1D99"/>
    <w:rsid w:val="002B210E"/>
    <w:rsid w:val="002B2402"/>
    <w:rsid w:val="002B26D8"/>
    <w:rsid w:val="002B28B1"/>
    <w:rsid w:val="002B2C67"/>
    <w:rsid w:val="002B2E85"/>
    <w:rsid w:val="002B2EF5"/>
    <w:rsid w:val="002B302F"/>
    <w:rsid w:val="002B30A3"/>
    <w:rsid w:val="002B351B"/>
    <w:rsid w:val="002B3882"/>
    <w:rsid w:val="002B398C"/>
    <w:rsid w:val="002B3BDE"/>
    <w:rsid w:val="002B3DAF"/>
    <w:rsid w:val="002B3E99"/>
    <w:rsid w:val="002B3F5C"/>
    <w:rsid w:val="002B40A3"/>
    <w:rsid w:val="002B41B5"/>
    <w:rsid w:val="002B4267"/>
    <w:rsid w:val="002B4296"/>
    <w:rsid w:val="002B432F"/>
    <w:rsid w:val="002B456F"/>
    <w:rsid w:val="002B45E8"/>
    <w:rsid w:val="002B46CA"/>
    <w:rsid w:val="002B4894"/>
    <w:rsid w:val="002B48A6"/>
    <w:rsid w:val="002B48E4"/>
    <w:rsid w:val="002B4973"/>
    <w:rsid w:val="002B4B5C"/>
    <w:rsid w:val="002B5518"/>
    <w:rsid w:val="002B5779"/>
    <w:rsid w:val="002B586B"/>
    <w:rsid w:val="002B5B3B"/>
    <w:rsid w:val="002B5B82"/>
    <w:rsid w:val="002B5C7A"/>
    <w:rsid w:val="002B5CB8"/>
    <w:rsid w:val="002B5CC2"/>
    <w:rsid w:val="002B5D47"/>
    <w:rsid w:val="002B5D57"/>
    <w:rsid w:val="002B5EB9"/>
    <w:rsid w:val="002B5EBC"/>
    <w:rsid w:val="002B5F43"/>
    <w:rsid w:val="002B5F71"/>
    <w:rsid w:val="002B622E"/>
    <w:rsid w:val="002B6241"/>
    <w:rsid w:val="002B63CB"/>
    <w:rsid w:val="002B64D7"/>
    <w:rsid w:val="002B6655"/>
    <w:rsid w:val="002B68A9"/>
    <w:rsid w:val="002B6A9B"/>
    <w:rsid w:val="002B6C39"/>
    <w:rsid w:val="002B6C3C"/>
    <w:rsid w:val="002B6C5F"/>
    <w:rsid w:val="002B6CA1"/>
    <w:rsid w:val="002B6E04"/>
    <w:rsid w:val="002B7004"/>
    <w:rsid w:val="002B707F"/>
    <w:rsid w:val="002B722A"/>
    <w:rsid w:val="002B7313"/>
    <w:rsid w:val="002B7461"/>
    <w:rsid w:val="002B78F7"/>
    <w:rsid w:val="002B79B6"/>
    <w:rsid w:val="002B7CB9"/>
    <w:rsid w:val="002B7E11"/>
    <w:rsid w:val="002B7E29"/>
    <w:rsid w:val="002B7FFD"/>
    <w:rsid w:val="002C00E2"/>
    <w:rsid w:val="002C01F8"/>
    <w:rsid w:val="002C0398"/>
    <w:rsid w:val="002C0469"/>
    <w:rsid w:val="002C0486"/>
    <w:rsid w:val="002C04B8"/>
    <w:rsid w:val="002C04E9"/>
    <w:rsid w:val="002C0744"/>
    <w:rsid w:val="002C086A"/>
    <w:rsid w:val="002C0A92"/>
    <w:rsid w:val="002C0CE1"/>
    <w:rsid w:val="002C0D10"/>
    <w:rsid w:val="002C1062"/>
    <w:rsid w:val="002C1192"/>
    <w:rsid w:val="002C12A3"/>
    <w:rsid w:val="002C133C"/>
    <w:rsid w:val="002C1391"/>
    <w:rsid w:val="002C147D"/>
    <w:rsid w:val="002C159D"/>
    <w:rsid w:val="002C1798"/>
    <w:rsid w:val="002C17C1"/>
    <w:rsid w:val="002C19B9"/>
    <w:rsid w:val="002C1A66"/>
    <w:rsid w:val="002C1A89"/>
    <w:rsid w:val="002C1B31"/>
    <w:rsid w:val="002C1C78"/>
    <w:rsid w:val="002C20B0"/>
    <w:rsid w:val="002C211B"/>
    <w:rsid w:val="002C244E"/>
    <w:rsid w:val="002C2489"/>
    <w:rsid w:val="002C2517"/>
    <w:rsid w:val="002C254B"/>
    <w:rsid w:val="002C2798"/>
    <w:rsid w:val="002C2927"/>
    <w:rsid w:val="002C2C04"/>
    <w:rsid w:val="002C2C16"/>
    <w:rsid w:val="002C2C52"/>
    <w:rsid w:val="002C2CDB"/>
    <w:rsid w:val="002C3013"/>
    <w:rsid w:val="002C3174"/>
    <w:rsid w:val="002C3292"/>
    <w:rsid w:val="002C32F2"/>
    <w:rsid w:val="002C34CA"/>
    <w:rsid w:val="002C35EE"/>
    <w:rsid w:val="002C3726"/>
    <w:rsid w:val="002C375C"/>
    <w:rsid w:val="002C37E9"/>
    <w:rsid w:val="002C388A"/>
    <w:rsid w:val="002C38C5"/>
    <w:rsid w:val="002C3A64"/>
    <w:rsid w:val="002C3A82"/>
    <w:rsid w:val="002C3B0C"/>
    <w:rsid w:val="002C411A"/>
    <w:rsid w:val="002C41E2"/>
    <w:rsid w:val="002C42D0"/>
    <w:rsid w:val="002C42E5"/>
    <w:rsid w:val="002C4648"/>
    <w:rsid w:val="002C47CA"/>
    <w:rsid w:val="002C4926"/>
    <w:rsid w:val="002C4AC4"/>
    <w:rsid w:val="002C4AEE"/>
    <w:rsid w:val="002C4BCB"/>
    <w:rsid w:val="002C53FD"/>
    <w:rsid w:val="002C572D"/>
    <w:rsid w:val="002C57B3"/>
    <w:rsid w:val="002C5905"/>
    <w:rsid w:val="002C5A18"/>
    <w:rsid w:val="002C5A65"/>
    <w:rsid w:val="002C5BC4"/>
    <w:rsid w:val="002C5DBD"/>
    <w:rsid w:val="002C5F7B"/>
    <w:rsid w:val="002C60C4"/>
    <w:rsid w:val="002C6116"/>
    <w:rsid w:val="002C65E8"/>
    <w:rsid w:val="002C6704"/>
    <w:rsid w:val="002C6757"/>
    <w:rsid w:val="002C67DF"/>
    <w:rsid w:val="002C681D"/>
    <w:rsid w:val="002C682C"/>
    <w:rsid w:val="002C6965"/>
    <w:rsid w:val="002C6B7E"/>
    <w:rsid w:val="002C6BB6"/>
    <w:rsid w:val="002C6C78"/>
    <w:rsid w:val="002C6E09"/>
    <w:rsid w:val="002C6E90"/>
    <w:rsid w:val="002C6EB4"/>
    <w:rsid w:val="002C6FE8"/>
    <w:rsid w:val="002C71A2"/>
    <w:rsid w:val="002C72F7"/>
    <w:rsid w:val="002C73DD"/>
    <w:rsid w:val="002C7437"/>
    <w:rsid w:val="002C7477"/>
    <w:rsid w:val="002C75FB"/>
    <w:rsid w:val="002C7C49"/>
    <w:rsid w:val="002C7E93"/>
    <w:rsid w:val="002D0034"/>
    <w:rsid w:val="002D009F"/>
    <w:rsid w:val="002D00A4"/>
    <w:rsid w:val="002D04F4"/>
    <w:rsid w:val="002D0527"/>
    <w:rsid w:val="002D0972"/>
    <w:rsid w:val="002D0A29"/>
    <w:rsid w:val="002D0DED"/>
    <w:rsid w:val="002D100A"/>
    <w:rsid w:val="002D11F8"/>
    <w:rsid w:val="002D12E9"/>
    <w:rsid w:val="002D1358"/>
    <w:rsid w:val="002D136C"/>
    <w:rsid w:val="002D1427"/>
    <w:rsid w:val="002D146E"/>
    <w:rsid w:val="002D1633"/>
    <w:rsid w:val="002D18C1"/>
    <w:rsid w:val="002D1E29"/>
    <w:rsid w:val="002D1EEE"/>
    <w:rsid w:val="002D20CE"/>
    <w:rsid w:val="002D22C1"/>
    <w:rsid w:val="002D231C"/>
    <w:rsid w:val="002D232B"/>
    <w:rsid w:val="002D26F1"/>
    <w:rsid w:val="002D2868"/>
    <w:rsid w:val="002D2907"/>
    <w:rsid w:val="002D295B"/>
    <w:rsid w:val="002D2AC5"/>
    <w:rsid w:val="002D2B9D"/>
    <w:rsid w:val="002D2BC2"/>
    <w:rsid w:val="002D2F0C"/>
    <w:rsid w:val="002D31EF"/>
    <w:rsid w:val="002D3256"/>
    <w:rsid w:val="002D340D"/>
    <w:rsid w:val="002D341B"/>
    <w:rsid w:val="002D35FB"/>
    <w:rsid w:val="002D3721"/>
    <w:rsid w:val="002D394E"/>
    <w:rsid w:val="002D39E9"/>
    <w:rsid w:val="002D39F0"/>
    <w:rsid w:val="002D3B55"/>
    <w:rsid w:val="002D3CBF"/>
    <w:rsid w:val="002D3DD3"/>
    <w:rsid w:val="002D40AC"/>
    <w:rsid w:val="002D413B"/>
    <w:rsid w:val="002D4159"/>
    <w:rsid w:val="002D41D6"/>
    <w:rsid w:val="002D41FF"/>
    <w:rsid w:val="002D4374"/>
    <w:rsid w:val="002D447A"/>
    <w:rsid w:val="002D44D2"/>
    <w:rsid w:val="002D455F"/>
    <w:rsid w:val="002D49FC"/>
    <w:rsid w:val="002D4A77"/>
    <w:rsid w:val="002D5022"/>
    <w:rsid w:val="002D51EE"/>
    <w:rsid w:val="002D55AE"/>
    <w:rsid w:val="002D57F2"/>
    <w:rsid w:val="002D5937"/>
    <w:rsid w:val="002D5BE0"/>
    <w:rsid w:val="002D5D91"/>
    <w:rsid w:val="002D5F7A"/>
    <w:rsid w:val="002D5FD9"/>
    <w:rsid w:val="002D60DC"/>
    <w:rsid w:val="002D61A5"/>
    <w:rsid w:val="002D6562"/>
    <w:rsid w:val="002D6711"/>
    <w:rsid w:val="002D6AC0"/>
    <w:rsid w:val="002D6D74"/>
    <w:rsid w:val="002D70C5"/>
    <w:rsid w:val="002D7103"/>
    <w:rsid w:val="002D7254"/>
    <w:rsid w:val="002D7257"/>
    <w:rsid w:val="002D7270"/>
    <w:rsid w:val="002D74B8"/>
    <w:rsid w:val="002D759F"/>
    <w:rsid w:val="002D75C4"/>
    <w:rsid w:val="002D7788"/>
    <w:rsid w:val="002D78A7"/>
    <w:rsid w:val="002D790B"/>
    <w:rsid w:val="002D792B"/>
    <w:rsid w:val="002D796B"/>
    <w:rsid w:val="002D7B4C"/>
    <w:rsid w:val="002D7BF6"/>
    <w:rsid w:val="002E039F"/>
    <w:rsid w:val="002E05C9"/>
    <w:rsid w:val="002E088A"/>
    <w:rsid w:val="002E09CB"/>
    <w:rsid w:val="002E0CDC"/>
    <w:rsid w:val="002E0EB2"/>
    <w:rsid w:val="002E0ECB"/>
    <w:rsid w:val="002E0F89"/>
    <w:rsid w:val="002E1105"/>
    <w:rsid w:val="002E1127"/>
    <w:rsid w:val="002E1133"/>
    <w:rsid w:val="002E124B"/>
    <w:rsid w:val="002E12EB"/>
    <w:rsid w:val="002E13F5"/>
    <w:rsid w:val="002E14B9"/>
    <w:rsid w:val="002E15AA"/>
    <w:rsid w:val="002E1A0B"/>
    <w:rsid w:val="002E1BDD"/>
    <w:rsid w:val="002E1C65"/>
    <w:rsid w:val="002E1CBC"/>
    <w:rsid w:val="002E1E14"/>
    <w:rsid w:val="002E1EAC"/>
    <w:rsid w:val="002E1F85"/>
    <w:rsid w:val="002E20C9"/>
    <w:rsid w:val="002E20F1"/>
    <w:rsid w:val="002E24F0"/>
    <w:rsid w:val="002E252B"/>
    <w:rsid w:val="002E2808"/>
    <w:rsid w:val="002E299B"/>
    <w:rsid w:val="002E2D4F"/>
    <w:rsid w:val="002E2DA3"/>
    <w:rsid w:val="002E2DD6"/>
    <w:rsid w:val="002E2E1C"/>
    <w:rsid w:val="002E2E84"/>
    <w:rsid w:val="002E2F45"/>
    <w:rsid w:val="002E3196"/>
    <w:rsid w:val="002E3401"/>
    <w:rsid w:val="002E3691"/>
    <w:rsid w:val="002E39B8"/>
    <w:rsid w:val="002E3C05"/>
    <w:rsid w:val="002E3D36"/>
    <w:rsid w:val="002E3D50"/>
    <w:rsid w:val="002E3F91"/>
    <w:rsid w:val="002E3FA2"/>
    <w:rsid w:val="002E3FAE"/>
    <w:rsid w:val="002E4300"/>
    <w:rsid w:val="002E45C0"/>
    <w:rsid w:val="002E473A"/>
    <w:rsid w:val="002E48B0"/>
    <w:rsid w:val="002E48CB"/>
    <w:rsid w:val="002E48FD"/>
    <w:rsid w:val="002E4988"/>
    <w:rsid w:val="002E4A7A"/>
    <w:rsid w:val="002E4B72"/>
    <w:rsid w:val="002E4BA7"/>
    <w:rsid w:val="002E4EE1"/>
    <w:rsid w:val="002E4F3C"/>
    <w:rsid w:val="002E5044"/>
    <w:rsid w:val="002E506A"/>
    <w:rsid w:val="002E517D"/>
    <w:rsid w:val="002E519B"/>
    <w:rsid w:val="002E53BE"/>
    <w:rsid w:val="002E55CD"/>
    <w:rsid w:val="002E5744"/>
    <w:rsid w:val="002E5A53"/>
    <w:rsid w:val="002E5C7E"/>
    <w:rsid w:val="002E5E8F"/>
    <w:rsid w:val="002E606A"/>
    <w:rsid w:val="002E60BF"/>
    <w:rsid w:val="002E63B3"/>
    <w:rsid w:val="002E6508"/>
    <w:rsid w:val="002E65DD"/>
    <w:rsid w:val="002E6A00"/>
    <w:rsid w:val="002E6BA3"/>
    <w:rsid w:val="002E6C6F"/>
    <w:rsid w:val="002E6CD4"/>
    <w:rsid w:val="002E6D61"/>
    <w:rsid w:val="002E6D6F"/>
    <w:rsid w:val="002E6DD5"/>
    <w:rsid w:val="002E6E56"/>
    <w:rsid w:val="002E6FBC"/>
    <w:rsid w:val="002E7065"/>
    <w:rsid w:val="002E7233"/>
    <w:rsid w:val="002E736A"/>
    <w:rsid w:val="002E7682"/>
    <w:rsid w:val="002E773D"/>
    <w:rsid w:val="002E77BC"/>
    <w:rsid w:val="002E7CBF"/>
    <w:rsid w:val="002F0055"/>
    <w:rsid w:val="002F00ED"/>
    <w:rsid w:val="002F0185"/>
    <w:rsid w:val="002F0279"/>
    <w:rsid w:val="002F02CC"/>
    <w:rsid w:val="002F0308"/>
    <w:rsid w:val="002F0456"/>
    <w:rsid w:val="002F0528"/>
    <w:rsid w:val="002F0688"/>
    <w:rsid w:val="002F07B9"/>
    <w:rsid w:val="002F09B6"/>
    <w:rsid w:val="002F0ABD"/>
    <w:rsid w:val="002F0C51"/>
    <w:rsid w:val="002F0D33"/>
    <w:rsid w:val="002F0D58"/>
    <w:rsid w:val="002F0D59"/>
    <w:rsid w:val="002F14CA"/>
    <w:rsid w:val="002F1577"/>
    <w:rsid w:val="002F1663"/>
    <w:rsid w:val="002F1763"/>
    <w:rsid w:val="002F19EB"/>
    <w:rsid w:val="002F1B8C"/>
    <w:rsid w:val="002F1CEF"/>
    <w:rsid w:val="002F1FB2"/>
    <w:rsid w:val="002F207F"/>
    <w:rsid w:val="002F20C9"/>
    <w:rsid w:val="002F23F1"/>
    <w:rsid w:val="002F27E3"/>
    <w:rsid w:val="002F2AF0"/>
    <w:rsid w:val="002F2CD6"/>
    <w:rsid w:val="002F350F"/>
    <w:rsid w:val="002F354A"/>
    <w:rsid w:val="002F3603"/>
    <w:rsid w:val="002F368D"/>
    <w:rsid w:val="002F3718"/>
    <w:rsid w:val="002F3963"/>
    <w:rsid w:val="002F3A44"/>
    <w:rsid w:val="002F3AD6"/>
    <w:rsid w:val="002F3C9E"/>
    <w:rsid w:val="002F3CBE"/>
    <w:rsid w:val="002F42FE"/>
    <w:rsid w:val="002F462A"/>
    <w:rsid w:val="002F4708"/>
    <w:rsid w:val="002F49BE"/>
    <w:rsid w:val="002F49FE"/>
    <w:rsid w:val="002F4AEB"/>
    <w:rsid w:val="002F4B73"/>
    <w:rsid w:val="002F4E30"/>
    <w:rsid w:val="002F4FFB"/>
    <w:rsid w:val="002F50A5"/>
    <w:rsid w:val="002F50C2"/>
    <w:rsid w:val="002F52CE"/>
    <w:rsid w:val="002F54EA"/>
    <w:rsid w:val="002F55E4"/>
    <w:rsid w:val="002F5873"/>
    <w:rsid w:val="002F5B4B"/>
    <w:rsid w:val="002F5D1D"/>
    <w:rsid w:val="002F5D94"/>
    <w:rsid w:val="002F5E9C"/>
    <w:rsid w:val="002F5EAC"/>
    <w:rsid w:val="002F611E"/>
    <w:rsid w:val="002F6203"/>
    <w:rsid w:val="002F6295"/>
    <w:rsid w:val="002F6536"/>
    <w:rsid w:val="002F6665"/>
    <w:rsid w:val="002F669D"/>
    <w:rsid w:val="002F69E9"/>
    <w:rsid w:val="002F6C84"/>
    <w:rsid w:val="002F6E61"/>
    <w:rsid w:val="002F710C"/>
    <w:rsid w:val="002F71F1"/>
    <w:rsid w:val="002F72DC"/>
    <w:rsid w:val="002F72FD"/>
    <w:rsid w:val="002F7332"/>
    <w:rsid w:val="002F75B9"/>
    <w:rsid w:val="002F77C6"/>
    <w:rsid w:val="002F7849"/>
    <w:rsid w:val="002F7B8D"/>
    <w:rsid w:val="002F7B95"/>
    <w:rsid w:val="002F7BAC"/>
    <w:rsid w:val="002F7C5A"/>
    <w:rsid w:val="002F7C98"/>
    <w:rsid w:val="002F7EE8"/>
    <w:rsid w:val="00300439"/>
    <w:rsid w:val="003005BB"/>
    <w:rsid w:val="003007EC"/>
    <w:rsid w:val="00300920"/>
    <w:rsid w:val="00300B8D"/>
    <w:rsid w:val="00300DE0"/>
    <w:rsid w:val="003010EE"/>
    <w:rsid w:val="00301223"/>
    <w:rsid w:val="00301240"/>
    <w:rsid w:val="00301337"/>
    <w:rsid w:val="00301342"/>
    <w:rsid w:val="0030135E"/>
    <w:rsid w:val="003014A8"/>
    <w:rsid w:val="00301967"/>
    <w:rsid w:val="00301D34"/>
    <w:rsid w:val="00301D8D"/>
    <w:rsid w:val="00301E63"/>
    <w:rsid w:val="00301EFC"/>
    <w:rsid w:val="0030211E"/>
    <w:rsid w:val="00302195"/>
    <w:rsid w:val="003021EC"/>
    <w:rsid w:val="003021FE"/>
    <w:rsid w:val="0030231B"/>
    <w:rsid w:val="0030240B"/>
    <w:rsid w:val="0030249B"/>
    <w:rsid w:val="003025B0"/>
    <w:rsid w:val="003025CE"/>
    <w:rsid w:val="003028A1"/>
    <w:rsid w:val="003028C9"/>
    <w:rsid w:val="00302930"/>
    <w:rsid w:val="0030297D"/>
    <w:rsid w:val="00302ABC"/>
    <w:rsid w:val="00302B11"/>
    <w:rsid w:val="00302BFB"/>
    <w:rsid w:val="00302C61"/>
    <w:rsid w:val="00302D3C"/>
    <w:rsid w:val="00302D78"/>
    <w:rsid w:val="00303108"/>
    <w:rsid w:val="003035D4"/>
    <w:rsid w:val="003036A4"/>
    <w:rsid w:val="00303799"/>
    <w:rsid w:val="0030395F"/>
    <w:rsid w:val="00303CD1"/>
    <w:rsid w:val="00303DA4"/>
    <w:rsid w:val="00303EA3"/>
    <w:rsid w:val="00304096"/>
    <w:rsid w:val="00304262"/>
    <w:rsid w:val="0030430C"/>
    <w:rsid w:val="003044C7"/>
    <w:rsid w:val="003044F3"/>
    <w:rsid w:val="00304682"/>
    <w:rsid w:val="0030485B"/>
    <w:rsid w:val="00304884"/>
    <w:rsid w:val="00304A22"/>
    <w:rsid w:val="00304AF2"/>
    <w:rsid w:val="00304D18"/>
    <w:rsid w:val="00304F05"/>
    <w:rsid w:val="003050AC"/>
    <w:rsid w:val="003050CA"/>
    <w:rsid w:val="003050E7"/>
    <w:rsid w:val="00305119"/>
    <w:rsid w:val="00305156"/>
    <w:rsid w:val="00305288"/>
    <w:rsid w:val="003052EE"/>
    <w:rsid w:val="00305321"/>
    <w:rsid w:val="00305333"/>
    <w:rsid w:val="00305450"/>
    <w:rsid w:val="00305853"/>
    <w:rsid w:val="00305A02"/>
    <w:rsid w:val="00305A44"/>
    <w:rsid w:val="00305AD1"/>
    <w:rsid w:val="00305C5C"/>
    <w:rsid w:val="00305CFA"/>
    <w:rsid w:val="00305EBD"/>
    <w:rsid w:val="003060DC"/>
    <w:rsid w:val="00306132"/>
    <w:rsid w:val="00306265"/>
    <w:rsid w:val="0030634A"/>
    <w:rsid w:val="003063D6"/>
    <w:rsid w:val="003065FF"/>
    <w:rsid w:val="0030660D"/>
    <w:rsid w:val="00306712"/>
    <w:rsid w:val="0030676E"/>
    <w:rsid w:val="003067AA"/>
    <w:rsid w:val="00306821"/>
    <w:rsid w:val="00306997"/>
    <w:rsid w:val="00306A65"/>
    <w:rsid w:val="003072C5"/>
    <w:rsid w:val="003072DB"/>
    <w:rsid w:val="00307312"/>
    <w:rsid w:val="003074D6"/>
    <w:rsid w:val="00307553"/>
    <w:rsid w:val="00307850"/>
    <w:rsid w:val="00307886"/>
    <w:rsid w:val="00307933"/>
    <w:rsid w:val="0030797B"/>
    <w:rsid w:val="00307B84"/>
    <w:rsid w:val="00307EB0"/>
    <w:rsid w:val="003100AB"/>
    <w:rsid w:val="0031020A"/>
    <w:rsid w:val="003102D7"/>
    <w:rsid w:val="0031038B"/>
    <w:rsid w:val="00310662"/>
    <w:rsid w:val="0031074F"/>
    <w:rsid w:val="00310828"/>
    <w:rsid w:val="003109F6"/>
    <w:rsid w:val="00310A49"/>
    <w:rsid w:val="00310B08"/>
    <w:rsid w:val="00310BDE"/>
    <w:rsid w:val="00310D1E"/>
    <w:rsid w:val="00310E84"/>
    <w:rsid w:val="0031119A"/>
    <w:rsid w:val="003111BC"/>
    <w:rsid w:val="0031120D"/>
    <w:rsid w:val="00311575"/>
    <w:rsid w:val="0031161A"/>
    <w:rsid w:val="0031171C"/>
    <w:rsid w:val="0031195E"/>
    <w:rsid w:val="00311A5F"/>
    <w:rsid w:val="00311C5A"/>
    <w:rsid w:val="00311C61"/>
    <w:rsid w:val="0031222D"/>
    <w:rsid w:val="0031226F"/>
    <w:rsid w:val="00312417"/>
    <w:rsid w:val="00312646"/>
    <w:rsid w:val="00312A02"/>
    <w:rsid w:val="00312D8F"/>
    <w:rsid w:val="00313011"/>
    <w:rsid w:val="00313388"/>
    <w:rsid w:val="003134CC"/>
    <w:rsid w:val="00313A48"/>
    <w:rsid w:val="00313B7C"/>
    <w:rsid w:val="00313D34"/>
    <w:rsid w:val="00313ED8"/>
    <w:rsid w:val="00313F99"/>
    <w:rsid w:val="00313FFD"/>
    <w:rsid w:val="0031401F"/>
    <w:rsid w:val="003141C8"/>
    <w:rsid w:val="003143CC"/>
    <w:rsid w:val="00314655"/>
    <w:rsid w:val="00314665"/>
    <w:rsid w:val="00314717"/>
    <w:rsid w:val="00314760"/>
    <w:rsid w:val="00314ADF"/>
    <w:rsid w:val="00314C0E"/>
    <w:rsid w:val="00314CB3"/>
    <w:rsid w:val="00314D58"/>
    <w:rsid w:val="00314D73"/>
    <w:rsid w:val="00314E45"/>
    <w:rsid w:val="0031524D"/>
    <w:rsid w:val="003154AA"/>
    <w:rsid w:val="003155F1"/>
    <w:rsid w:val="0031585D"/>
    <w:rsid w:val="00315AA7"/>
    <w:rsid w:val="00315D80"/>
    <w:rsid w:val="00315D90"/>
    <w:rsid w:val="00315F6B"/>
    <w:rsid w:val="0031621B"/>
    <w:rsid w:val="003162BB"/>
    <w:rsid w:val="003163C9"/>
    <w:rsid w:val="0031679F"/>
    <w:rsid w:val="003168A0"/>
    <w:rsid w:val="00316904"/>
    <w:rsid w:val="00316C39"/>
    <w:rsid w:val="0031738E"/>
    <w:rsid w:val="00317639"/>
    <w:rsid w:val="003178EA"/>
    <w:rsid w:val="00317B53"/>
    <w:rsid w:val="00317D53"/>
    <w:rsid w:val="003200AA"/>
    <w:rsid w:val="00320150"/>
    <w:rsid w:val="003203CF"/>
    <w:rsid w:val="0032069F"/>
    <w:rsid w:val="0032092D"/>
    <w:rsid w:val="00320C2D"/>
    <w:rsid w:val="00320D58"/>
    <w:rsid w:val="00320DAA"/>
    <w:rsid w:val="00320E2D"/>
    <w:rsid w:val="003210E0"/>
    <w:rsid w:val="0032111D"/>
    <w:rsid w:val="0032118F"/>
    <w:rsid w:val="00321287"/>
    <w:rsid w:val="00321362"/>
    <w:rsid w:val="00321450"/>
    <w:rsid w:val="00321607"/>
    <w:rsid w:val="00321646"/>
    <w:rsid w:val="0032170E"/>
    <w:rsid w:val="00321795"/>
    <w:rsid w:val="00321843"/>
    <w:rsid w:val="00321865"/>
    <w:rsid w:val="00321877"/>
    <w:rsid w:val="00321A25"/>
    <w:rsid w:val="00321C50"/>
    <w:rsid w:val="00321FE9"/>
    <w:rsid w:val="0032206D"/>
    <w:rsid w:val="003220B5"/>
    <w:rsid w:val="0032220A"/>
    <w:rsid w:val="00322278"/>
    <w:rsid w:val="003223BC"/>
    <w:rsid w:val="00322616"/>
    <w:rsid w:val="003226A3"/>
    <w:rsid w:val="003228AB"/>
    <w:rsid w:val="003229B0"/>
    <w:rsid w:val="00322A51"/>
    <w:rsid w:val="00322BE5"/>
    <w:rsid w:val="00322EE8"/>
    <w:rsid w:val="003230FD"/>
    <w:rsid w:val="0032344B"/>
    <w:rsid w:val="003235F2"/>
    <w:rsid w:val="0032387C"/>
    <w:rsid w:val="00323A97"/>
    <w:rsid w:val="00323BBF"/>
    <w:rsid w:val="00323D36"/>
    <w:rsid w:val="00323DAA"/>
    <w:rsid w:val="00323DFC"/>
    <w:rsid w:val="00324129"/>
    <w:rsid w:val="00324189"/>
    <w:rsid w:val="0032419C"/>
    <w:rsid w:val="003242A6"/>
    <w:rsid w:val="00324527"/>
    <w:rsid w:val="003246C9"/>
    <w:rsid w:val="0032472E"/>
    <w:rsid w:val="0032491A"/>
    <w:rsid w:val="00324971"/>
    <w:rsid w:val="00324994"/>
    <w:rsid w:val="003249FE"/>
    <w:rsid w:val="00324E3F"/>
    <w:rsid w:val="00325110"/>
    <w:rsid w:val="0032518A"/>
    <w:rsid w:val="00325436"/>
    <w:rsid w:val="00325539"/>
    <w:rsid w:val="0032560F"/>
    <w:rsid w:val="0032575E"/>
    <w:rsid w:val="00325AC5"/>
    <w:rsid w:val="00325B9D"/>
    <w:rsid w:val="00325BAE"/>
    <w:rsid w:val="00325D2B"/>
    <w:rsid w:val="00325E4A"/>
    <w:rsid w:val="00326149"/>
    <w:rsid w:val="0032620A"/>
    <w:rsid w:val="00326357"/>
    <w:rsid w:val="003263C2"/>
    <w:rsid w:val="00326698"/>
    <w:rsid w:val="00326733"/>
    <w:rsid w:val="003267C3"/>
    <w:rsid w:val="00326835"/>
    <w:rsid w:val="00326874"/>
    <w:rsid w:val="0032696E"/>
    <w:rsid w:val="003269A3"/>
    <w:rsid w:val="00326AD2"/>
    <w:rsid w:val="00326B48"/>
    <w:rsid w:val="00326C0D"/>
    <w:rsid w:val="00326D5E"/>
    <w:rsid w:val="00326F3A"/>
    <w:rsid w:val="00326F3B"/>
    <w:rsid w:val="00327080"/>
    <w:rsid w:val="0032710C"/>
    <w:rsid w:val="00327230"/>
    <w:rsid w:val="00327523"/>
    <w:rsid w:val="00327578"/>
    <w:rsid w:val="0032759E"/>
    <w:rsid w:val="00327860"/>
    <w:rsid w:val="00327941"/>
    <w:rsid w:val="00327A03"/>
    <w:rsid w:val="00327C66"/>
    <w:rsid w:val="00327F7E"/>
    <w:rsid w:val="00327F94"/>
    <w:rsid w:val="003300DD"/>
    <w:rsid w:val="0033026E"/>
    <w:rsid w:val="0033027C"/>
    <w:rsid w:val="003304E8"/>
    <w:rsid w:val="0033054C"/>
    <w:rsid w:val="0033083A"/>
    <w:rsid w:val="003309CA"/>
    <w:rsid w:val="00330B65"/>
    <w:rsid w:val="00330FD6"/>
    <w:rsid w:val="003314D7"/>
    <w:rsid w:val="00331695"/>
    <w:rsid w:val="003317A4"/>
    <w:rsid w:val="003317AC"/>
    <w:rsid w:val="003317F7"/>
    <w:rsid w:val="00331C70"/>
    <w:rsid w:val="00331D0B"/>
    <w:rsid w:val="00331F18"/>
    <w:rsid w:val="003320AB"/>
    <w:rsid w:val="003320DA"/>
    <w:rsid w:val="003322D2"/>
    <w:rsid w:val="003323A9"/>
    <w:rsid w:val="003327BB"/>
    <w:rsid w:val="0033289D"/>
    <w:rsid w:val="00332F94"/>
    <w:rsid w:val="00333003"/>
    <w:rsid w:val="00333040"/>
    <w:rsid w:val="00333329"/>
    <w:rsid w:val="00333929"/>
    <w:rsid w:val="00333B84"/>
    <w:rsid w:val="00333C2C"/>
    <w:rsid w:val="00333D2D"/>
    <w:rsid w:val="00333D88"/>
    <w:rsid w:val="00333ED5"/>
    <w:rsid w:val="0033411C"/>
    <w:rsid w:val="00334484"/>
    <w:rsid w:val="0033449E"/>
    <w:rsid w:val="003346C9"/>
    <w:rsid w:val="003346EC"/>
    <w:rsid w:val="0033497B"/>
    <w:rsid w:val="00334CD8"/>
    <w:rsid w:val="00334E0E"/>
    <w:rsid w:val="00334E51"/>
    <w:rsid w:val="00335114"/>
    <w:rsid w:val="00335474"/>
    <w:rsid w:val="003358FE"/>
    <w:rsid w:val="00335980"/>
    <w:rsid w:val="00335A94"/>
    <w:rsid w:val="00335CCF"/>
    <w:rsid w:val="00335F5B"/>
    <w:rsid w:val="00335FD6"/>
    <w:rsid w:val="0033604B"/>
    <w:rsid w:val="003361B5"/>
    <w:rsid w:val="003362CF"/>
    <w:rsid w:val="003363A6"/>
    <w:rsid w:val="00336448"/>
    <w:rsid w:val="003368D2"/>
    <w:rsid w:val="00336AE0"/>
    <w:rsid w:val="00336BA3"/>
    <w:rsid w:val="00336C15"/>
    <w:rsid w:val="00336C5A"/>
    <w:rsid w:val="00336D0E"/>
    <w:rsid w:val="00336E6A"/>
    <w:rsid w:val="0033717C"/>
    <w:rsid w:val="003372CF"/>
    <w:rsid w:val="003372EC"/>
    <w:rsid w:val="00337348"/>
    <w:rsid w:val="00337352"/>
    <w:rsid w:val="003376C1"/>
    <w:rsid w:val="00337A16"/>
    <w:rsid w:val="00337C30"/>
    <w:rsid w:val="0034004B"/>
    <w:rsid w:val="00340283"/>
    <w:rsid w:val="00340559"/>
    <w:rsid w:val="00340879"/>
    <w:rsid w:val="0034090E"/>
    <w:rsid w:val="00340AEA"/>
    <w:rsid w:val="00340D8E"/>
    <w:rsid w:val="00340EFC"/>
    <w:rsid w:val="003411EE"/>
    <w:rsid w:val="00341356"/>
    <w:rsid w:val="0034136B"/>
    <w:rsid w:val="0034141F"/>
    <w:rsid w:val="003414FF"/>
    <w:rsid w:val="0034172D"/>
    <w:rsid w:val="003418C3"/>
    <w:rsid w:val="00341A59"/>
    <w:rsid w:val="00341ACA"/>
    <w:rsid w:val="00341D4C"/>
    <w:rsid w:val="00342223"/>
    <w:rsid w:val="003424BD"/>
    <w:rsid w:val="003428A6"/>
    <w:rsid w:val="003428D7"/>
    <w:rsid w:val="00342911"/>
    <w:rsid w:val="00342953"/>
    <w:rsid w:val="003429FE"/>
    <w:rsid w:val="00342AD8"/>
    <w:rsid w:val="00342BE4"/>
    <w:rsid w:val="00342CE4"/>
    <w:rsid w:val="00342EE9"/>
    <w:rsid w:val="0034308C"/>
    <w:rsid w:val="003430FB"/>
    <w:rsid w:val="00343397"/>
    <w:rsid w:val="00343409"/>
    <w:rsid w:val="0034354B"/>
    <w:rsid w:val="003435BE"/>
    <w:rsid w:val="003437A7"/>
    <w:rsid w:val="0034383E"/>
    <w:rsid w:val="003439AD"/>
    <w:rsid w:val="003439D7"/>
    <w:rsid w:val="00343AD6"/>
    <w:rsid w:val="00343C8B"/>
    <w:rsid w:val="00343D08"/>
    <w:rsid w:val="00343F6D"/>
    <w:rsid w:val="003440E7"/>
    <w:rsid w:val="0034415D"/>
    <w:rsid w:val="00344275"/>
    <w:rsid w:val="003443F0"/>
    <w:rsid w:val="0034450C"/>
    <w:rsid w:val="003445D0"/>
    <w:rsid w:val="003446F2"/>
    <w:rsid w:val="00344883"/>
    <w:rsid w:val="003449E2"/>
    <w:rsid w:val="00344B9A"/>
    <w:rsid w:val="00344DC3"/>
    <w:rsid w:val="00344E3F"/>
    <w:rsid w:val="00344EC7"/>
    <w:rsid w:val="00345062"/>
    <w:rsid w:val="00345063"/>
    <w:rsid w:val="00345499"/>
    <w:rsid w:val="00345568"/>
    <w:rsid w:val="003455F6"/>
    <w:rsid w:val="0034560F"/>
    <w:rsid w:val="003456A6"/>
    <w:rsid w:val="003457F8"/>
    <w:rsid w:val="00345B89"/>
    <w:rsid w:val="00345BEF"/>
    <w:rsid w:val="00345D91"/>
    <w:rsid w:val="00345D95"/>
    <w:rsid w:val="00345E16"/>
    <w:rsid w:val="00345E97"/>
    <w:rsid w:val="00345EC6"/>
    <w:rsid w:val="0034600B"/>
    <w:rsid w:val="003463AB"/>
    <w:rsid w:val="003463DA"/>
    <w:rsid w:val="00346584"/>
    <w:rsid w:val="00346889"/>
    <w:rsid w:val="003468B9"/>
    <w:rsid w:val="00346A7B"/>
    <w:rsid w:val="00346D06"/>
    <w:rsid w:val="00346EA1"/>
    <w:rsid w:val="00346F63"/>
    <w:rsid w:val="003473A8"/>
    <w:rsid w:val="003474A6"/>
    <w:rsid w:val="00347543"/>
    <w:rsid w:val="003476BB"/>
    <w:rsid w:val="00347705"/>
    <w:rsid w:val="0034770D"/>
    <w:rsid w:val="00347B29"/>
    <w:rsid w:val="00347E0F"/>
    <w:rsid w:val="0035019F"/>
    <w:rsid w:val="003502E4"/>
    <w:rsid w:val="003503CC"/>
    <w:rsid w:val="00350865"/>
    <w:rsid w:val="003509B0"/>
    <w:rsid w:val="00350DF3"/>
    <w:rsid w:val="00350E6B"/>
    <w:rsid w:val="00350FCB"/>
    <w:rsid w:val="003510CF"/>
    <w:rsid w:val="00351403"/>
    <w:rsid w:val="00351405"/>
    <w:rsid w:val="003516F7"/>
    <w:rsid w:val="0035198E"/>
    <w:rsid w:val="00351C9A"/>
    <w:rsid w:val="00351CBA"/>
    <w:rsid w:val="003523F2"/>
    <w:rsid w:val="00352406"/>
    <w:rsid w:val="00352420"/>
    <w:rsid w:val="003524C6"/>
    <w:rsid w:val="00352546"/>
    <w:rsid w:val="003525C3"/>
    <w:rsid w:val="003527DB"/>
    <w:rsid w:val="003527EA"/>
    <w:rsid w:val="00352837"/>
    <w:rsid w:val="003528CC"/>
    <w:rsid w:val="00352E2E"/>
    <w:rsid w:val="00352F15"/>
    <w:rsid w:val="00353076"/>
    <w:rsid w:val="003531AE"/>
    <w:rsid w:val="00353302"/>
    <w:rsid w:val="0035350E"/>
    <w:rsid w:val="00353727"/>
    <w:rsid w:val="0035384E"/>
    <w:rsid w:val="00353AFC"/>
    <w:rsid w:val="00353C90"/>
    <w:rsid w:val="00353D0E"/>
    <w:rsid w:val="00353F30"/>
    <w:rsid w:val="0035409D"/>
    <w:rsid w:val="003540E1"/>
    <w:rsid w:val="003541FA"/>
    <w:rsid w:val="003542F5"/>
    <w:rsid w:val="00354590"/>
    <w:rsid w:val="00354680"/>
    <w:rsid w:val="003546B3"/>
    <w:rsid w:val="003546DA"/>
    <w:rsid w:val="003548EA"/>
    <w:rsid w:val="0035492A"/>
    <w:rsid w:val="00354986"/>
    <w:rsid w:val="00354B3E"/>
    <w:rsid w:val="00354B3F"/>
    <w:rsid w:val="00354BB5"/>
    <w:rsid w:val="00354BC3"/>
    <w:rsid w:val="0035515B"/>
    <w:rsid w:val="0035523C"/>
    <w:rsid w:val="00355311"/>
    <w:rsid w:val="003553C8"/>
    <w:rsid w:val="00355568"/>
    <w:rsid w:val="003557F3"/>
    <w:rsid w:val="00355B4F"/>
    <w:rsid w:val="00355EF4"/>
    <w:rsid w:val="003560E2"/>
    <w:rsid w:val="003561D8"/>
    <w:rsid w:val="003563E1"/>
    <w:rsid w:val="003564AF"/>
    <w:rsid w:val="003564E8"/>
    <w:rsid w:val="0035697C"/>
    <w:rsid w:val="00356A77"/>
    <w:rsid w:val="00356AD7"/>
    <w:rsid w:val="00356BAE"/>
    <w:rsid w:val="00356BFF"/>
    <w:rsid w:val="00356C8B"/>
    <w:rsid w:val="00356C99"/>
    <w:rsid w:val="00356DCB"/>
    <w:rsid w:val="00356EE7"/>
    <w:rsid w:val="00357021"/>
    <w:rsid w:val="003571C7"/>
    <w:rsid w:val="003571DA"/>
    <w:rsid w:val="00357364"/>
    <w:rsid w:val="003573B0"/>
    <w:rsid w:val="0035742E"/>
    <w:rsid w:val="003574F0"/>
    <w:rsid w:val="00357519"/>
    <w:rsid w:val="0035766C"/>
    <w:rsid w:val="00357693"/>
    <w:rsid w:val="00357725"/>
    <w:rsid w:val="00357768"/>
    <w:rsid w:val="00357C0A"/>
    <w:rsid w:val="00360028"/>
    <w:rsid w:val="0036004E"/>
    <w:rsid w:val="0036011E"/>
    <w:rsid w:val="0036016B"/>
    <w:rsid w:val="00360322"/>
    <w:rsid w:val="00360336"/>
    <w:rsid w:val="0036037C"/>
    <w:rsid w:val="00360575"/>
    <w:rsid w:val="003605E9"/>
    <w:rsid w:val="00360643"/>
    <w:rsid w:val="0036072B"/>
    <w:rsid w:val="0036081B"/>
    <w:rsid w:val="00360929"/>
    <w:rsid w:val="00360B04"/>
    <w:rsid w:val="00360B10"/>
    <w:rsid w:val="00360B39"/>
    <w:rsid w:val="00360B63"/>
    <w:rsid w:val="00360CB3"/>
    <w:rsid w:val="003610C2"/>
    <w:rsid w:val="00361400"/>
    <w:rsid w:val="0036146F"/>
    <w:rsid w:val="00361817"/>
    <w:rsid w:val="0036189D"/>
    <w:rsid w:val="003618D6"/>
    <w:rsid w:val="00361DDC"/>
    <w:rsid w:val="003622A6"/>
    <w:rsid w:val="003622D2"/>
    <w:rsid w:val="0036232B"/>
    <w:rsid w:val="00362559"/>
    <w:rsid w:val="003626D1"/>
    <w:rsid w:val="00362774"/>
    <w:rsid w:val="00362790"/>
    <w:rsid w:val="003627C7"/>
    <w:rsid w:val="00362927"/>
    <w:rsid w:val="00362AAD"/>
    <w:rsid w:val="00362BE0"/>
    <w:rsid w:val="00362BE6"/>
    <w:rsid w:val="00362BF5"/>
    <w:rsid w:val="00362E68"/>
    <w:rsid w:val="00363248"/>
    <w:rsid w:val="003632AF"/>
    <w:rsid w:val="00363318"/>
    <w:rsid w:val="0036339C"/>
    <w:rsid w:val="00363673"/>
    <w:rsid w:val="0036371B"/>
    <w:rsid w:val="003637FE"/>
    <w:rsid w:val="00363830"/>
    <w:rsid w:val="00363854"/>
    <w:rsid w:val="00363866"/>
    <w:rsid w:val="00363986"/>
    <w:rsid w:val="0036399E"/>
    <w:rsid w:val="00363B6C"/>
    <w:rsid w:val="00363C8E"/>
    <w:rsid w:val="00363D8E"/>
    <w:rsid w:val="00363EB6"/>
    <w:rsid w:val="00363F6A"/>
    <w:rsid w:val="003642D8"/>
    <w:rsid w:val="0036437B"/>
    <w:rsid w:val="003643C6"/>
    <w:rsid w:val="0036459E"/>
    <w:rsid w:val="00364714"/>
    <w:rsid w:val="0036488F"/>
    <w:rsid w:val="003649AC"/>
    <w:rsid w:val="003649DA"/>
    <w:rsid w:val="00364ADD"/>
    <w:rsid w:val="00364B5F"/>
    <w:rsid w:val="00364D66"/>
    <w:rsid w:val="00364DC0"/>
    <w:rsid w:val="00365316"/>
    <w:rsid w:val="003653D6"/>
    <w:rsid w:val="003654C4"/>
    <w:rsid w:val="00365525"/>
    <w:rsid w:val="0036596C"/>
    <w:rsid w:val="003659FE"/>
    <w:rsid w:val="00365B58"/>
    <w:rsid w:val="00365B80"/>
    <w:rsid w:val="00365B9C"/>
    <w:rsid w:val="0036605D"/>
    <w:rsid w:val="00366296"/>
    <w:rsid w:val="003665D2"/>
    <w:rsid w:val="00366631"/>
    <w:rsid w:val="003667FD"/>
    <w:rsid w:val="00366895"/>
    <w:rsid w:val="003669A9"/>
    <w:rsid w:val="00366AF8"/>
    <w:rsid w:val="00366B52"/>
    <w:rsid w:val="00366BD8"/>
    <w:rsid w:val="00366CBD"/>
    <w:rsid w:val="00366F41"/>
    <w:rsid w:val="00366FC1"/>
    <w:rsid w:val="00367079"/>
    <w:rsid w:val="003672BF"/>
    <w:rsid w:val="003672FC"/>
    <w:rsid w:val="0036731D"/>
    <w:rsid w:val="0036743B"/>
    <w:rsid w:val="003675D0"/>
    <w:rsid w:val="003675D9"/>
    <w:rsid w:val="0036766F"/>
    <w:rsid w:val="003676BD"/>
    <w:rsid w:val="0036776C"/>
    <w:rsid w:val="003702D9"/>
    <w:rsid w:val="00370309"/>
    <w:rsid w:val="0037060F"/>
    <w:rsid w:val="00370806"/>
    <w:rsid w:val="003709D6"/>
    <w:rsid w:val="00370AF4"/>
    <w:rsid w:val="00370C48"/>
    <w:rsid w:val="00370E03"/>
    <w:rsid w:val="003710F1"/>
    <w:rsid w:val="0037110B"/>
    <w:rsid w:val="00371460"/>
    <w:rsid w:val="00371461"/>
    <w:rsid w:val="003715C8"/>
    <w:rsid w:val="003715FF"/>
    <w:rsid w:val="003716BB"/>
    <w:rsid w:val="00371784"/>
    <w:rsid w:val="00371960"/>
    <w:rsid w:val="003719AC"/>
    <w:rsid w:val="00371A54"/>
    <w:rsid w:val="00371C1B"/>
    <w:rsid w:val="00371C3B"/>
    <w:rsid w:val="00371C71"/>
    <w:rsid w:val="00371D64"/>
    <w:rsid w:val="00371F9A"/>
    <w:rsid w:val="003725E0"/>
    <w:rsid w:val="003728A7"/>
    <w:rsid w:val="00372AAE"/>
    <w:rsid w:val="00372DFC"/>
    <w:rsid w:val="00372E00"/>
    <w:rsid w:val="00373314"/>
    <w:rsid w:val="00373375"/>
    <w:rsid w:val="003735CC"/>
    <w:rsid w:val="00373694"/>
    <w:rsid w:val="003737EC"/>
    <w:rsid w:val="00373820"/>
    <w:rsid w:val="00373B21"/>
    <w:rsid w:val="00373DB2"/>
    <w:rsid w:val="0037408B"/>
    <w:rsid w:val="003741CE"/>
    <w:rsid w:val="003744FE"/>
    <w:rsid w:val="003748D5"/>
    <w:rsid w:val="00374A89"/>
    <w:rsid w:val="00374AD4"/>
    <w:rsid w:val="00374E4B"/>
    <w:rsid w:val="00374FF8"/>
    <w:rsid w:val="00375050"/>
    <w:rsid w:val="00375159"/>
    <w:rsid w:val="0037528A"/>
    <w:rsid w:val="00375346"/>
    <w:rsid w:val="003753A7"/>
    <w:rsid w:val="003755F5"/>
    <w:rsid w:val="003755FE"/>
    <w:rsid w:val="00375637"/>
    <w:rsid w:val="00375692"/>
    <w:rsid w:val="00375783"/>
    <w:rsid w:val="00375A49"/>
    <w:rsid w:val="00375BDE"/>
    <w:rsid w:val="00375C9D"/>
    <w:rsid w:val="00375E77"/>
    <w:rsid w:val="00375F1F"/>
    <w:rsid w:val="0037600B"/>
    <w:rsid w:val="003761D9"/>
    <w:rsid w:val="00376348"/>
    <w:rsid w:val="003763E1"/>
    <w:rsid w:val="0037699D"/>
    <w:rsid w:val="00376A2E"/>
    <w:rsid w:val="00376A48"/>
    <w:rsid w:val="00376CA8"/>
    <w:rsid w:val="00377128"/>
    <w:rsid w:val="0037728B"/>
    <w:rsid w:val="0037732E"/>
    <w:rsid w:val="00377546"/>
    <w:rsid w:val="00377707"/>
    <w:rsid w:val="00377718"/>
    <w:rsid w:val="00377793"/>
    <w:rsid w:val="003779B7"/>
    <w:rsid w:val="00377D31"/>
    <w:rsid w:val="00377E36"/>
    <w:rsid w:val="00377E78"/>
    <w:rsid w:val="00377EE3"/>
    <w:rsid w:val="00377FA6"/>
    <w:rsid w:val="003800CF"/>
    <w:rsid w:val="00380194"/>
    <w:rsid w:val="003801D8"/>
    <w:rsid w:val="0038053E"/>
    <w:rsid w:val="00380559"/>
    <w:rsid w:val="003805D3"/>
    <w:rsid w:val="003807D5"/>
    <w:rsid w:val="00380B5E"/>
    <w:rsid w:val="00380E6A"/>
    <w:rsid w:val="00380E7C"/>
    <w:rsid w:val="00381142"/>
    <w:rsid w:val="003813E0"/>
    <w:rsid w:val="00381763"/>
    <w:rsid w:val="003817C8"/>
    <w:rsid w:val="00381B5E"/>
    <w:rsid w:val="00381CE6"/>
    <w:rsid w:val="00381E54"/>
    <w:rsid w:val="00381EAB"/>
    <w:rsid w:val="00381EED"/>
    <w:rsid w:val="0038214B"/>
    <w:rsid w:val="0038222D"/>
    <w:rsid w:val="00382313"/>
    <w:rsid w:val="00382532"/>
    <w:rsid w:val="0038268F"/>
    <w:rsid w:val="003826CD"/>
    <w:rsid w:val="003827D8"/>
    <w:rsid w:val="00382A26"/>
    <w:rsid w:val="00382A4D"/>
    <w:rsid w:val="00382A60"/>
    <w:rsid w:val="00382B44"/>
    <w:rsid w:val="00382C46"/>
    <w:rsid w:val="00382D72"/>
    <w:rsid w:val="00382EF6"/>
    <w:rsid w:val="00383211"/>
    <w:rsid w:val="00383367"/>
    <w:rsid w:val="003833B9"/>
    <w:rsid w:val="00383504"/>
    <w:rsid w:val="00383514"/>
    <w:rsid w:val="00383574"/>
    <w:rsid w:val="003836C9"/>
    <w:rsid w:val="00383738"/>
    <w:rsid w:val="00383748"/>
    <w:rsid w:val="0038388A"/>
    <w:rsid w:val="00383B84"/>
    <w:rsid w:val="00383C8C"/>
    <w:rsid w:val="00383E44"/>
    <w:rsid w:val="00383FBB"/>
    <w:rsid w:val="00383FDF"/>
    <w:rsid w:val="0038409A"/>
    <w:rsid w:val="003842F3"/>
    <w:rsid w:val="00384386"/>
    <w:rsid w:val="0038439C"/>
    <w:rsid w:val="003845FD"/>
    <w:rsid w:val="00384662"/>
    <w:rsid w:val="0038470D"/>
    <w:rsid w:val="00384A28"/>
    <w:rsid w:val="00384B4B"/>
    <w:rsid w:val="00384C6D"/>
    <w:rsid w:val="00384D21"/>
    <w:rsid w:val="00385130"/>
    <w:rsid w:val="003851BD"/>
    <w:rsid w:val="00385585"/>
    <w:rsid w:val="00385589"/>
    <w:rsid w:val="003857C9"/>
    <w:rsid w:val="00385851"/>
    <w:rsid w:val="003859A6"/>
    <w:rsid w:val="00385A1B"/>
    <w:rsid w:val="00385A7A"/>
    <w:rsid w:val="00385C11"/>
    <w:rsid w:val="00385C97"/>
    <w:rsid w:val="00385F8A"/>
    <w:rsid w:val="0038627F"/>
    <w:rsid w:val="00386547"/>
    <w:rsid w:val="00386666"/>
    <w:rsid w:val="0038679E"/>
    <w:rsid w:val="00386A70"/>
    <w:rsid w:val="00386BB6"/>
    <w:rsid w:val="00386C93"/>
    <w:rsid w:val="00386DC0"/>
    <w:rsid w:val="00386E4E"/>
    <w:rsid w:val="00386EBB"/>
    <w:rsid w:val="00386F32"/>
    <w:rsid w:val="00386FFB"/>
    <w:rsid w:val="00387032"/>
    <w:rsid w:val="0038718B"/>
    <w:rsid w:val="003871FE"/>
    <w:rsid w:val="003873F8"/>
    <w:rsid w:val="00387426"/>
    <w:rsid w:val="0038746B"/>
    <w:rsid w:val="003875B9"/>
    <w:rsid w:val="00387700"/>
    <w:rsid w:val="003877B0"/>
    <w:rsid w:val="00390063"/>
    <w:rsid w:val="003900B7"/>
    <w:rsid w:val="003907A1"/>
    <w:rsid w:val="0039085D"/>
    <w:rsid w:val="003909B3"/>
    <w:rsid w:val="00390A4D"/>
    <w:rsid w:val="00390AF5"/>
    <w:rsid w:val="00390C1B"/>
    <w:rsid w:val="00390C2E"/>
    <w:rsid w:val="00390F27"/>
    <w:rsid w:val="00391066"/>
    <w:rsid w:val="003911F6"/>
    <w:rsid w:val="00391363"/>
    <w:rsid w:val="00391591"/>
    <w:rsid w:val="00391622"/>
    <w:rsid w:val="003917DD"/>
    <w:rsid w:val="00391885"/>
    <w:rsid w:val="00391B21"/>
    <w:rsid w:val="00391B48"/>
    <w:rsid w:val="00391B7B"/>
    <w:rsid w:val="00391F22"/>
    <w:rsid w:val="00392023"/>
    <w:rsid w:val="003922CF"/>
    <w:rsid w:val="00392713"/>
    <w:rsid w:val="0039283A"/>
    <w:rsid w:val="0039288E"/>
    <w:rsid w:val="00392AB1"/>
    <w:rsid w:val="00392B47"/>
    <w:rsid w:val="00392BE6"/>
    <w:rsid w:val="00392C06"/>
    <w:rsid w:val="00392E1F"/>
    <w:rsid w:val="00392F4B"/>
    <w:rsid w:val="00393255"/>
    <w:rsid w:val="003932DB"/>
    <w:rsid w:val="00393375"/>
    <w:rsid w:val="00393651"/>
    <w:rsid w:val="00393967"/>
    <w:rsid w:val="00393CC5"/>
    <w:rsid w:val="00393DB3"/>
    <w:rsid w:val="00393E91"/>
    <w:rsid w:val="00393EB8"/>
    <w:rsid w:val="0039441E"/>
    <w:rsid w:val="0039448F"/>
    <w:rsid w:val="003944CC"/>
    <w:rsid w:val="003948A3"/>
    <w:rsid w:val="00394974"/>
    <w:rsid w:val="00394A54"/>
    <w:rsid w:val="00395094"/>
    <w:rsid w:val="0039517D"/>
    <w:rsid w:val="003951DD"/>
    <w:rsid w:val="00395457"/>
    <w:rsid w:val="00395464"/>
    <w:rsid w:val="0039548C"/>
    <w:rsid w:val="003955B9"/>
    <w:rsid w:val="00395872"/>
    <w:rsid w:val="00395A0F"/>
    <w:rsid w:val="00395B3F"/>
    <w:rsid w:val="00395B53"/>
    <w:rsid w:val="00395C33"/>
    <w:rsid w:val="00395DB3"/>
    <w:rsid w:val="00395F06"/>
    <w:rsid w:val="00395F3A"/>
    <w:rsid w:val="00396185"/>
    <w:rsid w:val="003961E0"/>
    <w:rsid w:val="003961E5"/>
    <w:rsid w:val="00396250"/>
    <w:rsid w:val="003965DF"/>
    <w:rsid w:val="003966A8"/>
    <w:rsid w:val="00396937"/>
    <w:rsid w:val="00396AD0"/>
    <w:rsid w:val="00396BA2"/>
    <w:rsid w:val="00396C1E"/>
    <w:rsid w:val="00396DFA"/>
    <w:rsid w:val="00396E18"/>
    <w:rsid w:val="00396F51"/>
    <w:rsid w:val="00396FDA"/>
    <w:rsid w:val="00396FE5"/>
    <w:rsid w:val="003972FC"/>
    <w:rsid w:val="0039748E"/>
    <w:rsid w:val="0039778A"/>
    <w:rsid w:val="00397887"/>
    <w:rsid w:val="003978DD"/>
    <w:rsid w:val="00397A51"/>
    <w:rsid w:val="00397DBA"/>
    <w:rsid w:val="00397E8A"/>
    <w:rsid w:val="00397ED3"/>
    <w:rsid w:val="00397EDE"/>
    <w:rsid w:val="003A0044"/>
    <w:rsid w:val="003A0092"/>
    <w:rsid w:val="003A0361"/>
    <w:rsid w:val="003A04B5"/>
    <w:rsid w:val="003A0577"/>
    <w:rsid w:val="003A05B1"/>
    <w:rsid w:val="003A05E1"/>
    <w:rsid w:val="003A0602"/>
    <w:rsid w:val="003A064B"/>
    <w:rsid w:val="003A0824"/>
    <w:rsid w:val="003A0A73"/>
    <w:rsid w:val="003A0D58"/>
    <w:rsid w:val="003A0EA1"/>
    <w:rsid w:val="003A0ECB"/>
    <w:rsid w:val="003A0F0D"/>
    <w:rsid w:val="003A1067"/>
    <w:rsid w:val="003A1299"/>
    <w:rsid w:val="003A1355"/>
    <w:rsid w:val="003A1360"/>
    <w:rsid w:val="003A13CD"/>
    <w:rsid w:val="003A1720"/>
    <w:rsid w:val="003A1722"/>
    <w:rsid w:val="003A195E"/>
    <w:rsid w:val="003A1974"/>
    <w:rsid w:val="003A1BF3"/>
    <w:rsid w:val="003A1E3B"/>
    <w:rsid w:val="003A1EE9"/>
    <w:rsid w:val="003A1FD9"/>
    <w:rsid w:val="003A200F"/>
    <w:rsid w:val="003A2019"/>
    <w:rsid w:val="003A210C"/>
    <w:rsid w:val="003A2345"/>
    <w:rsid w:val="003A239E"/>
    <w:rsid w:val="003A24C4"/>
    <w:rsid w:val="003A253B"/>
    <w:rsid w:val="003A2556"/>
    <w:rsid w:val="003A2C73"/>
    <w:rsid w:val="003A2D1D"/>
    <w:rsid w:val="003A2E73"/>
    <w:rsid w:val="003A2FFB"/>
    <w:rsid w:val="003A30A7"/>
    <w:rsid w:val="003A30CE"/>
    <w:rsid w:val="003A3168"/>
    <w:rsid w:val="003A33B1"/>
    <w:rsid w:val="003A33B4"/>
    <w:rsid w:val="003A343E"/>
    <w:rsid w:val="003A350D"/>
    <w:rsid w:val="003A3CA8"/>
    <w:rsid w:val="003A3E73"/>
    <w:rsid w:val="003A3F59"/>
    <w:rsid w:val="003A4004"/>
    <w:rsid w:val="003A4061"/>
    <w:rsid w:val="003A41B7"/>
    <w:rsid w:val="003A42A6"/>
    <w:rsid w:val="003A42C1"/>
    <w:rsid w:val="003A43C0"/>
    <w:rsid w:val="003A43E1"/>
    <w:rsid w:val="003A4431"/>
    <w:rsid w:val="003A45F9"/>
    <w:rsid w:val="003A471F"/>
    <w:rsid w:val="003A473F"/>
    <w:rsid w:val="003A47EC"/>
    <w:rsid w:val="003A486E"/>
    <w:rsid w:val="003A499B"/>
    <w:rsid w:val="003A4B85"/>
    <w:rsid w:val="003A4DB4"/>
    <w:rsid w:val="003A511D"/>
    <w:rsid w:val="003A5338"/>
    <w:rsid w:val="003A54A9"/>
    <w:rsid w:val="003A5522"/>
    <w:rsid w:val="003A56BE"/>
    <w:rsid w:val="003A570A"/>
    <w:rsid w:val="003A584E"/>
    <w:rsid w:val="003A594B"/>
    <w:rsid w:val="003A59E0"/>
    <w:rsid w:val="003A5A14"/>
    <w:rsid w:val="003A5AC0"/>
    <w:rsid w:val="003A5B84"/>
    <w:rsid w:val="003A5C4F"/>
    <w:rsid w:val="003A5CCD"/>
    <w:rsid w:val="003A5EB3"/>
    <w:rsid w:val="003A5EF2"/>
    <w:rsid w:val="003A5F32"/>
    <w:rsid w:val="003A60B1"/>
    <w:rsid w:val="003A646B"/>
    <w:rsid w:val="003A657F"/>
    <w:rsid w:val="003A6581"/>
    <w:rsid w:val="003A6A66"/>
    <w:rsid w:val="003A6A7E"/>
    <w:rsid w:val="003A6FF0"/>
    <w:rsid w:val="003A72D3"/>
    <w:rsid w:val="003A72E6"/>
    <w:rsid w:val="003A7468"/>
    <w:rsid w:val="003A77A1"/>
    <w:rsid w:val="003A791F"/>
    <w:rsid w:val="003A7A7C"/>
    <w:rsid w:val="003A7B14"/>
    <w:rsid w:val="003A7D71"/>
    <w:rsid w:val="003A7D8F"/>
    <w:rsid w:val="003B007A"/>
    <w:rsid w:val="003B0169"/>
    <w:rsid w:val="003B019A"/>
    <w:rsid w:val="003B040E"/>
    <w:rsid w:val="003B0518"/>
    <w:rsid w:val="003B0549"/>
    <w:rsid w:val="003B05AC"/>
    <w:rsid w:val="003B09F9"/>
    <w:rsid w:val="003B0ABC"/>
    <w:rsid w:val="003B0C9D"/>
    <w:rsid w:val="003B0DEA"/>
    <w:rsid w:val="003B0EE1"/>
    <w:rsid w:val="003B1372"/>
    <w:rsid w:val="003B140C"/>
    <w:rsid w:val="003B141F"/>
    <w:rsid w:val="003B1514"/>
    <w:rsid w:val="003B17D7"/>
    <w:rsid w:val="003B1802"/>
    <w:rsid w:val="003B1883"/>
    <w:rsid w:val="003B1A35"/>
    <w:rsid w:val="003B1B16"/>
    <w:rsid w:val="003B1C06"/>
    <w:rsid w:val="003B1C7C"/>
    <w:rsid w:val="003B1E08"/>
    <w:rsid w:val="003B22D8"/>
    <w:rsid w:val="003B2310"/>
    <w:rsid w:val="003B2452"/>
    <w:rsid w:val="003B249B"/>
    <w:rsid w:val="003B25C3"/>
    <w:rsid w:val="003B2654"/>
    <w:rsid w:val="003B27C5"/>
    <w:rsid w:val="003B28C9"/>
    <w:rsid w:val="003B29C6"/>
    <w:rsid w:val="003B2A28"/>
    <w:rsid w:val="003B2AAE"/>
    <w:rsid w:val="003B2C5A"/>
    <w:rsid w:val="003B2CC6"/>
    <w:rsid w:val="003B3050"/>
    <w:rsid w:val="003B356D"/>
    <w:rsid w:val="003B362A"/>
    <w:rsid w:val="003B37FA"/>
    <w:rsid w:val="003B3944"/>
    <w:rsid w:val="003B3961"/>
    <w:rsid w:val="003B39DB"/>
    <w:rsid w:val="003B3B2A"/>
    <w:rsid w:val="003B3C85"/>
    <w:rsid w:val="003B3F3C"/>
    <w:rsid w:val="003B4118"/>
    <w:rsid w:val="003B41E1"/>
    <w:rsid w:val="003B42CB"/>
    <w:rsid w:val="003B4349"/>
    <w:rsid w:val="003B4421"/>
    <w:rsid w:val="003B44B3"/>
    <w:rsid w:val="003B44C5"/>
    <w:rsid w:val="003B4533"/>
    <w:rsid w:val="003B46F2"/>
    <w:rsid w:val="003B47C2"/>
    <w:rsid w:val="003B48D0"/>
    <w:rsid w:val="003B4BED"/>
    <w:rsid w:val="003B4C0D"/>
    <w:rsid w:val="003B4D35"/>
    <w:rsid w:val="003B4F21"/>
    <w:rsid w:val="003B4FBE"/>
    <w:rsid w:val="003B5457"/>
    <w:rsid w:val="003B54D5"/>
    <w:rsid w:val="003B552B"/>
    <w:rsid w:val="003B5561"/>
    <w:rsid w:val="003B56C7"/>
    <w:rsid w:val="003B5869"/>
    <w:rsid w:val="003B5967"/>
    <w:rsid w:val="003B598D"/>
    <w:rsid w:val="003B5AB9"/>
    <w:rsid w:val="003B5B5E"/>
    <w:rsid w:val="003B5C1B"/>
    <w:rsid w:val="003B5D22"/>
    <w:rsid w:val="003B6109"/>
    <w:rsid w:val="003B6177"/>
    <w:rsid w:val="003B61BC"/>
    <w:rsid w:val="003B625C"/>
    <w:rsid w:val="003B6289"/>
    <w:rsid w:val="003B6529"/>
    <w:rsid w:val="003B653C"/>
    <w:rsid w:val="003B67D7"/>
    <w:rsid w:val="003B683D"/>
    <w:rsid w:val="003B699B"/>
    <w:rsid w:val="003B6F17"/>
    <w:rsid w:val="003B6FDE"/>
    <w:rsid w:val="003B704F"/>
    <w:rsid w:val="003B70C3"/>
    <w:rsid w:val="003B717B"/>
    <w:rsid w:val="003B722B"/>
    <w:rsid w:val="003B745E"/>
    <w:rsid w:val="003B774D"/>
    <w:rsid w:val="003B7946"/>
    <w:rsid w:val="003B7A57"/>
    <w:rsid w:val="003B7C9B"/>
    <w:rsid w:val="003B7D85"/>
    <w:rsid w:val="003B7EE3"/>
    <w:rsid w:val="003C0021"/>
    <w:rsid w:val="003C025C"/>
    <w:rsid w:val="003C04A1"/>
    <w:rsid w:val="003C0580"/>
    <w:rsid w:val="003C05C4"/>
    <w:rsid w:val="003C064E"/>
    <w:rsid w:val="003C07CC"/>
    <w:rsid w:val="003C08D7"/>
    <w:rsid w:val="003C0B37"/>
    <w:rsid w:val="003C0C27"/>
    <w:rsid w:val="003C0FEA"/>
    <w:rsid w:val="003C0FEE"/>
    <w:rsid w:val="003C14E9"/>
    <w:rsid w:val="003C15BF"/>
    <w:rsid w:val="003C160F"/>
    <w:rsid w:val="003C1741"/>
    <w:rsid w:val="003C1864"/>
    <w:rsid w:val="003C18D9"/>
    <w:rsid w:val="003C1A45"/>
    <w:rsid w:val="003C1A4C"/>
    <w:rsid w:val="003C1A71"/>
    <w:rsid w:val="003C1C06"/>
    <w:rsid w:val="003C1C24"/>
    <w:rsid w:val="003C1F68"/>
    <w:rsid w:val="003C2148"/>
    <w:rsid w:val="003C216A"/>
    <w:rsid w:val="003C22BD"/>
    <w:rsid w:val="003C2533"/>
    <w:rsid w:val="003C2778"/>
    <w:rsid w:val="003C2830"/>
    <w:rsid w:val="003C28ED"/>
    <w:rsid w:val="003C2915"/>
    <w:rsid w:val="003C292A"/>
    <w:rsid w:val="003C2A50"/>
    <w:rsid w:val="003C2A69"/>
    <w:rsid w:val="003C2A9E"/>
    <w:rsid w:val="003C2B22"/>
    <w:rsid w:val="003C2BC1"/>
    <w:rsid w:val="003C2C5A"/>
    <w:rsid w:val="003C2CC8"/>
    <w:rsid w:val="003C2E47"/>
    <w:rsid w:val="003C2EAB"/>
    <w:rsid w:val="003C30EA"/>
    <w:rsid w:val="003C3157"/>
    <w:rsid w:val="003C31A4"/>
    <w:rsid w:val="003C3221"/>
    <w:rsid w:val="003C3308"/>
    <w:rsid w:val="003C33AC"/>
    <w:rsid w:val="003C3400"/>
    <w:rsid w:val="003C3445"/>
    <w:rsid w:val="003C3627"/>
    <w:rsid w:val="003C3775"/>
    <w:rsid w:val="003C3943"/>
    <w:rsid w:val="003C3A73"/>
    <w:rsid w:val="003C3ABF"/>
    <w:rsid w:val="003C3BB8"/>
    <w:rsid w:val="003C3BC9"/>
    <w:rsid w:val="003C3D0E"/>
    <w:rsid w:val="003C42B6"/>
    <w:rsid w:val="003C4484"/>
    <w:rsid w:val="003C44B5"/>
    <w:rsid w:val="003C45DE"/>
    <w:rsid w:val="003C46E8"/>
    <w:rsid w:val="003C4AB9"/>
    <w:rsid w:val="003C4BCD"/>
    <w:rsid w:val="003C4CC7"/>
    <w:rsid w:val="003C4D23"/>
    <w:rsid w:val="003C4DDB"/>
    <w:rsid w:val="003C4F06"/>
    <w:rsid w:val="003C5007"/>
    <w:rsid w:val="003C50EB"/>
    <w:rsid w:val="003C52D3"/>
    <w:rsid w:val="003C5516"/>
    <w:rsid w:val="003C5B2D"/>
    <w:rsid w:val="003C5E0B"/>
    <w:rsid w:val="003C5EDE"/>
    <w:rsid w:val="003C5FDE"/>
    <w:rsid w:val="003C5FF0"/>
    <w:rsid w:val="003C5FF4"/>
    <w:rsid w:val="003C63CD"/>
    <w:rsid w:val="003C6879"/>
    <w:rsid w:val="003C6956"/>
    <w:rsid w:val="003C69C8"/>
    <w:rsid w:val="003C69F4"/>
    <w:rsid w:val="003C6A5F"/>
    <w:rsid w:val="003C6B27"/>
    <w:rsid w:val="003C6E91"/>
    <w:rsid w:val="003C6F6E"/>
    <w:rsid w:val="003C6FE1"/>
    <w:rsid w:val="003C74C1"/>
    <w:rsid w:val="003C761C"/>
    <w:rsid w:val="003C7A31"/>
    <w:rsid w:val="003C7B79"/>
    <w:rsid w:val="003C7BF9"/>
    <w:rsid w:val="003C7D2D"/>
    <w:rsid w:val="003C7F15"/>
    <w:rsid w:val="003C7F65"/>
    <w:rsid w:val="003C7F96"/>
    <w:rsid w:val="003D0272"/>
    <w:rsid w:val="003D0519"/>
    <w:rsid w:val="003D0AD6"/>
    <w:rsid w:val="003D0BA4"/>
    <w:rsid w:val="003D0C19"/>
    <w:rsid w:val="003D0D75"/>
    <w:rsid w:val="003D0DC5"/>
    <w:rsid w:val="003D0FBE"/>
    <w:rsid w:val="003D11C9"/>
    <w:rsid w:val="003D11ED"/>
    <w:rsid w:val="003D171D"/>
    <w:rsid w:val="003D18E0"/>
    <w:rsid w:val="003D19A9"/>
    <w:rsid w:val="003D1BB3"/>
    <w:rsid w:val="003D1C85"/>
    <w:rsid w:val="003D1E33"/>
    <w:rsid w:val="003D2494"/>
    <w:rsid w:val="003D25CB"/>
    <w:rsid w:val="003D271F"/>
    <w:rsid w:val="003D2862"/>
    <w:rsid w:val="003D29EC"/>
    <w:rsid w:val="003D2B70"/>
    <w:rsid w:val="003D2ED3"/>
    <w:rsid w:val="003D2F2D"/>
    <w:rsid w:val="003D317A"/>
    <w:rsid w:val="003D318D"/>
    <w:rsid w:val="003D322E"/>
    <w:rsid w:val="003D3252"/>
    <w:rsid w:val="003D34C9"/>
    <w:rsid w:val="003D353E"/>
    <w:rsid w:val="003D36EA"/>
    <w:rsid w:val="003D36F4"/>
    <w:rsid w:val="003D37F2"/>
    <w:rsid w:val="003D3836"/>
    <w:rsid w:val="003D3B9C"/>
    <w:rsid w:val="003D3D01"/>
    <w:rsid w:val="003D4028"/>
    <w:rsid w:val="003D4268"/>
    <w:rsid w:val="003D43FB"/>
    <w:rsid w:val="003D4456"/>
    <w:rsid w:val="003D4513"/>
    <w:rsid w:val="003D4630"/>
    <w:rsid w:val="003D4665"/>
    <w:rsid w:val="003D4682"/>
    <w:rsid w:val="003D471D"/>
    <w:rsid w:val="003D477A"/>
    <w:rsid w:val="003D4AA6"/>
    <w:rsid w:val="003D5166"/>
    <w:rsid w:val="003D5217"/>
    <w:rsid w:val="003D53D4"/>
    <w:rsid w:val="003D5668"/>
    <w:rsid w:val="003D56A6"/>
    <w:rsid w:val="003D5903"/>
    <w:rsid w:val="003D5966"/>
    <w:rsid w:val="003D59FE"/>
    <w:rsid w:val="003D5BB4"/>
    <w:rsid w:val="003D5C24"/>
    <w:rsid w:val="003D5C41"/>
    <w:rsid w:val="003D5DA3"/>
    <w:rsid w:val="003D5F03"/>
    <w:rsid w:val="003D5F5C"/>
    <w:rsid w:val="003D5F6E"/>
    <w:rsid w:val="003D6118"/>
    <w:rsid w:val="003D62BB"/>
    <w:rsid w:val="003D66BA"/>
    <w:rsid w:val="003D6774"/>
    <w:rsid w:val="003D687D"/>
    <w:rsid w:val="003D6C89"/>
    <w:rsid w:val="003D6D4E"/>
    <w:rsid w:val="003D6D7E"/>
    <w:rsid w:val="003D6DF8"/>
    <w:rsid w:val="003D6F3E"/>
    <w:rsid w:val="003D715E"/>
    <w:rsid w:val="003D716D"/>
    <w:rsid w:val="003D7442"/>
    <w:rsid w:val="003D75B8"/>
    <w:rsid w:val="003D7977"/>
    <w:rsid w:val="003D7AC0"/>
    <w:rsid w:val="003D7BD7"/>
    <w:rsid w:val="003D7C98"/>
    <w:rsid w:val="003D7D2A"/>
    <w:rsid w:val="003D7E3A"/>
    <w:rsid w:val="003D7F0A"/>
    <w:rsid w:val="003D7F3C"/>
    <w:rsid w:val="003E0014"/>
    <w:rsid w:val="003E056B"/>
    <w:rsid w:val="003E0788"/>
    <w:rsid w:val="003E0851"/>
    <w:rsid w:val="003E09FD"/>
    <w:rsid w:val="003E0B75"/>
    <w:rsid w:val="003E0DC9"/>
    <w:rsid w:val="003E0E48"/>
    <w:rsid w:val="003E103D"/>
    <w:rsid w:val="003E1184"/>
    <w:rsid w:val="003E12AC"/>
    <w:rsid w:val="003E12E9"/>
    <w:rsid w:val="003E134E"/>
    <w:rsid w:val="003E1604"/>
    <w:rsid w:val="003E1674"/>
    <w:rsid w:val="003E1964"/>
    <w:rsid w:val="003E1AD4"/>
    <w:rsid w:val="003E1B5F"/>
    <w:rsid w:val="003E1D26"/>
    <w:rsid w:val="003E264F"/>
    <w:rsid w:val="003E27CB"/>
    <w:rsid w:val="003E2A16"/>
    <w:rsid w:val="003E2A3B"/>
    <w:rsid w:val="003E2F65"/>
    <w:rsid w:val="003E2F90"/>
    <w:rsid w:val="003E3054"/>
    <w:rsid w:val="003E320B"/>
    <w:rsid w:val="003E3233"/>
    <w:rsid w:val="003E3442"/>
    <w:rsid w:val="003E352B"/>
    <w:rsid w:val="003E352D"/>
    <w:rsid w:val="003E354C"/>
    <w:rsid w:val="003E3573"/>
    <w:rsid w:val="003E3662"/>
    <w:rsid w:val="003E370F"/>
    <w:rsid w:val="003E37CB"/>
    <w:rsid w:val="003E3934"/>
    <w:rsid w:val="003E3BF2"/>
    <w:rsid w:val="003E3C88"/>
    <w:rsid w:val="003E3EA9"/>
    <w:rsid w:val="003E3FB9"/>
    <w:rsid w:val="003E4446"/>
    <w:rsid w:val="003E4463"/>
    <w:rsid w:val="003E4529"/>
    <w:rsid w:val="003E4573"/>
    <w:rsid w:val="003E4899"/>
    <w:rsid w:val="003E49A8"/>
    <w:rsid w:val="003E49F5"/>
    <w:rsid w:val="003E4C8E"/>
    <w:rsid w:val="003E4F79"/>
    <w:rsid w:val="003E5061"/>
    <w:rsid w:val="003E517A"/>
    <w:rsid w:val="003E525D"/>
    <w:rsid w:val="003E54C5"/>
    <w:rsid w:val="003E573E"/>
    <w:rsid w:val="003E578B"/>
    <w:rsid w:val="003E5805"/>
    <w:rsid w:val="003E5AF0"/>
    <w:rsid w:val="003E5C4D"/>
    <w:rsid w:val="003E5ECE"/>
    <w:rsid w:val="003E5F12"/>
    <w:rsid w:val="003E612A"/>
    <w:rsid w:val="003E6233"/>
    <w:rsid w:val="003E62EA"/>
    <w:rsid w:val="003E63F2"/>
    <w:rsid w:val="003E681F"/>
    <w:rsid w:val="003E6A7E"/>
    <w:rsid w:val="003E6B16"/>
    <w:rsid w:val="003E6D4D"/>
    <w:rsid w:val="003E73AD"/>
    <w:rsid w:val="003E7410"/>
    <w:rsid w:val="003E7511"/>
    <w:rsid w:val="003E7571"/>
    <w:rsid w:val="003E76C5"/>
    <w:rsid w:val="003E76E9"/>
    <w:rsid w:val="003E7859"/>
    <w:rsid w:val="003E7A04"/>
    <w:rsid w:val="003E7AE6"/>
    <w:rsid w:val="003E7D64"/>
    <w:rsid w:val="003E7E11"/>
    <w:rsid w:val="003E7F7E"/>
    <w:rsid w:val="003E7F91"/>
    <w:rsid w:val="003F0000"/>
    <w:rsid w:val="003F02DF"/>
    <w:rsid w:val="003F07AE"/>
    <w:rsid w:val="003F0899"/>
    <w:rsid w:val="003F08B8"/>
    <w:rsid w:val="003F0987"/>
    <w:rsid w:val="003F09C0"/>
    <w:rsid w:val="003F0CB1"/>
    <w:rsid w:val="003F0CDF"/>
    <w:rsid w:val="003F0E37"/>
    <w:rsid w:val="003F0E76"/>
    <w:rsid w:val="003F0EFF"/>
    <w:rsid w:val="003F0F46"/>
    <w:rsid w:val="003F10AC"/>
    <w:rsid w:val="003F111A"/>
    <w:rsid w:val="003F1159"/>
    <w:rsid w:val="003F11F0"/>
    <w:rsid w:val="003F1292"/>
    <w:rsid w:val="003F1341"/>
    <w:rsid w:val="003F1560"/>
    <w:rsid w:val="003F160F"/>
    <w:rsid w:val="003F1694"/>
    <w:rsid w:val="003F17A7"/>
    <w:rsid w:val="003F1AAE"/>
    <w:rsid w:val="003F1CC4"/>
    <w:rsid w:val="003F1EE1"/>
    <w:rsid w:val="003F2063"/>
    <w:rsid w:val="003F206D"/>
    <w:rsid w:val="003F2077"/>
    <w:rsid w:val="003F20C3"/>
    <w:rsid w:val="003F20EF"/>
    <w:rsid w:val="003F215B"/>
    <w:rsid w:val="003F21AE"/>
    <w:rsid w:val="003F22B2"/>
    <w:rsid w:val="003F236F"/>
    <w:rsid w:val="003F2449"/>
    <w:rsid w:val="003F2493"/>
    <w:rsid w:val="003F2758"/>
    <w:rsid w:val="003F275D"/>
    <w:rsid w:val="003F2783"/>
    <w:rsid w:val="003F27E2"/>
    <w:rsid w:val="003F2988"/>
    <w:rsid w:val="003F2A20"/>
    <w:rsid w:val="003F2E2B"/>
    <w:rsid w:val="003F3303"/>
    <w:rsid w:val="003F35AC"/>
    <w:rsid w:val="003F3683"/>
    <w:rsid w:val="003F39F2"/>
    <w:rsid w:val="003F3BAC"/>
    <w:rsid w:val="003F3BD9"/>
    <w:rsid w:val="003F3E1A"/>
    <w:rsid w:val="003F40F8"/>
    <w:rsid w:val="003F428A"/>
    <w:rsid w:val="003F44B6"/>
    <w:rsid w:val="003F4625"/>
    <w:rsid w:val="003F46AA"/>
    <w:rsid w:val="003F4788"/>
    <w:rsid w:val="003F47C5"/>
    <w:rsid w:val="003F480E"/>
    <w:rsid w:val="003F4895"/>
    <w:rsid w:val="003F4912"/>
    <w:rsid w:val="003F4AA2"/>
    <w:rsid w:val="003F4B59"/>
    <w:rsid w:val="003F505E"/>
    <w:rsid w:val="003F5237"/>
    <w:rsid w:val="003F5507"/>
    <w:rsid w:val="003F5826"/>
    <w:rsid w:val="003F5864"/>
    <w:rsid w:val="003F5879"/>
    <w:rsid w:val="003F5902"/>
    <w:rsid w:val="003F5999"/>
    <w:rsid w:val="003F5A96"/>
    <w:rsid w:val="003F5BFA"/>
    <w:rsid w:val="003F5DAC"/>
    <w:rsid w:val="003F5E1B"/>
    <w:rsid w:val="003F5EFC"/>
    <w:rsid w:val="003F6219"/>
    <w:rsid w:val="003F62BD"/>
    <w:rsid w:val="003F6425"/>
    <w:rsid w:val="003F660E"/>
    <w:rsid w:val="003F6863"/>
    <w:rsid w:val="003F6A63"/>
    <w:rsid w:val="003F6B10"/>
    <w:rsid w:val="003F6D3C"/>
    <w:rsid w:val="003F6F0A"/>
    <w:rsid w:val="003F6FC1"/>
    <w:rsid w:val="003F72D6"/>
    <w:rsid w:val="003F73C6"/>
    <w:rsid w:val="003F75FE"/>
    <w:rsid w:val="003F7732"/>
    <w:rsid w:val="003F7814"/>
    <w:rsid w:val="003F787F"/>
    <w:rsid w:val="003F7B9D"/>
    <w:rsid w:val="003F7E26"/>
    <w:rsid w:val="0040018C"/>
    <w:rsid w:val="004001BF"/>
    <w:rsid w:val="00400236"/>
    <w:rsid w:val="004002A9"/>
    <w:rsid w:val="0040050E"/>
    <w:rsid w:val="0040055E"/>
    <w:rsid w:val="00400584"/>
    <w:rsid w:val="0040058D"/>
    <w:rsid w:val="004007A9"/>
    <w:rsid w:val="004007F8"/>
    <w:rsid w:val="004008F2"/>
    <w:rsid w:val="00400CC0"/>
    <w:rsid w:val="00400CDE"/>
    <w:rsid w:val="00400D74"/>
    <w:rsid w:val="00400DD1"/>
    <w:rsid w:val="00400FA4"/>
    <w:rsid w:val="004012B9"/>
    <w:rsid w:val="0040135F"/>
    <w:rsid w:val="004013C7"/>
    <w:rsid w:val="0040147F"/>
    <w:rsid w:val="004014FC"/>
    <w:rsid w:val="00401AA8"/>
    <w:rsid w:val="00401AF6"/>
    <w:rsid w:val="00401AF8"/>
    <w:rsid w:val="00401C1C"/>
    <w:rsid w:val="00401E4D"/>
    <w:rsid w:val="004020A5"/>
    <w:rsid w:val="0040218E"/>
    <w:rsid w:val="00402381"/>
    <w:rsid w:val="00402784"/>
    <w:rsid w:val="004028DE"/>
    <w:rsid w:val="00402A92"/>
    <w:rsid w:val="00402A9F"/>
    <w:rsid w:val="00402BBC"/>
    <w:rsid w:val="00402C3B"/>
    <w:rsid w:val="00402E60"/>
    <w:rsid w:val="00402FAD"/>
    <w:rsid w:val="00403123"/>
    <w:rsid w:val="00403150"/>
    <w:rsid w:val="00403206"/>
    <w:rsid w:val="004032FB"/>
    <w:rsid w:val="00403311"/>
    <w:rsid w:val="004033F4"/>
    <w:rsid w:val="00403453"/>
    <w:rsid w:val="004034B4"/>
    <w:rsid w:val="00403706"/>
    <w:rsid w:val="00403827"/>
    <w:rsid w:val="00403AD0"/>
    <w:rsid w:val="00403C59"/>
    <w:rsid w:val="00403E81"/>
    <w:rsid w:val="004040D5"/>
    <w:rsid w:val="004048B6"/>
    <w:rsid w:val="004048B8"/>
    <w:rsid w:val="004049D7"/>
    <w:rsid w:val="00404A9C"/>
    <w:rsid w:val="00404B6E"/>
    <w:rsid w:val="00404C64"/>
    <w:rsid w:val="00404D82"/>
    <w:rsid w:val="00404E3B"/>
    <w:rsid w:val="00404FDB"/>
    <w:rsid w:val="004050D1"/>
    <w:rsid w:val="004050D5"/>
    <w:rsid w:val="0040511C"/>
    <w:rsid w:val="00405123"/>
    <w:rsid w:val="00405227"/>
    <w:rsid w:val="004052F8"/>
    <w:rsid w:val="004053E0"/>
    <w:rsid w:val="004055AD"/>
    <w:rsid w:val="0040570E"/>
    <w:rsid w:val="00405745"/>
    <w:rsid w:val="004059CA"/>
    <w:rsid w:val="00405A45"/>
    <w:rsid w:val="00405B10"/>
    <w:rsid w:val="00405C72"/>
    <w:rsid w:val="00405CC9"/>
    <w:rsid w:val="00405D24"/>
    <w:rsid w:val="00405D74"/>
    <w:rsid w:val="00405DD3"/>
    <w:rsid w:val="00405E1E"/>
    <w:rsid w:val="00405EB6"/>
    <w:rsid w:val="004060AB"/>
    <w:rsid w:val="0040615C"/>
    <w:rsid w:val="004061F4"/>
    <w:rsid w:val="004062A5"/>
    <w:rsid w:val="00406311"/>
    <w:rsid w:val="004063B6"/>
    <w:rsid w:val="00406789"/>
    <w:rsid w:val="00406999"/>
    <w:rsid w:val="00406A09"/>
    <w:rsid w:val="00406CD9"/>
    <w:rsid w:val="00406E99"/>
    <w:rsid w:val="00406EC5"/>
    <w:rsid w:val="00407120"/>
    <w:rsid w:val="00407174"/>
    <w:rsid w:val="004073D4"/>
    <w:rsid w:val="00407430"/>
    <w:rsid w:val="004076D8"/>
    <w:rsid w:val="0040784C"/>
    <w:rsid w:val="00407959"/>
    <w:rsid w:val="00407AE3"/>
    <w:rsid w:val="00407BB1"/>
    <w:rsid w:val="00407CA5"/>
    <w:rsid w:val="00407D16"/>
    <w:rsid w:val="00407E54"/>
    <w:rsid w:val="00407F39"/>
    <w:rsid w:val="00407FC3"/>
    <w:rsid w:val="004101F3"/>
    <w:rsid w:val="004104A9"/>
    <w:rsid w:val="00410749"/>
    <w:rsid w:val="0041074D"/>
    <w:rsid w:val="004107AC"/>
    <w:rsid w:val="00410A05"/>
    <w:rsid w:val="00410A26"/>
    <w:rsid w:val="00410AA1"/>
    <w:rsid w:val="00410B44"/>
    <w:rsid w:val="00410BC6"/>
    <w:rsid w:val="00410C9D"/>
    <w:rsid w:val="00410D7F"/>
    <w:rsid w:val="00410DB2"/>
    <w:rsid w:val="00410E58"/>
    <w:rsid w:val="00410E8E"/>
    <w:rsid w:val="00410E9A"/>
    <w:rsid w:val="00410F75"/>
    <w:rsid w:val="0041111E"/>
    <w:rsid w:val="00411217"/>
    <w:rsid w:val="004113F4"/>
    <w:rsid w:val="00411480"/>
    <w:rsid w:val="004114C3"/>
    <w:rsid w:val="00411534"/>
    <w:rsid w:val="004119AE"/>
    <w:rsid w:val="00411D77"/>
    <w:rsid w:val="00411E00"/>
    <w:rsid w:val="004122F5"/>
    <w:rsid w:val="004124DB"/>
    <w:rsid w:val="00412582"/>
    <w:rsid w:val="00412784"/>
    <w:rsid w:val="00412C4B"/>
    <w:rsid w:val="00412F16"/>
    <w:rsid w:val="00412FF2"/>
    <w:rsid w:val="0041303C"/>
    <w:rsid w:val="004130C6"/>
    <w:rsid w:val="00413182"/>
    <w:rsid w:val="00413412"/>
    <w:rsid w:val="004134A2"/>
    <w:rsid w:val="004134E8"/>
    <w:rsid w:val="004135F3"/>
    <w:rsid w:val="004136D9"/>
    <w:rsid w:val="00413751"/>
    <w:rsid w:val="0041385F"/>
    <w:rsid w:val="00413A4F"/>
    <w:rsid w:val="00413C9B"/>
    <w:rsid w:val="0041410D"/>
    <w:rsid w:val="004142E9"/>
    <w:rsid w:val="0041451F"/>
    <w:rsid w:val="004145A5"/>
    <w:rsid w:val="00414765"/>
    <w:rsid w:val="0041476C"/>
    <w:rsid w:val="004148E4"/>
    <w:rsid w:val="0041492C"/>
    <w:rsid w:val="00414AB0"/>
    <w:rsid w:val="00415034"/>
    <w:rsid w:val="0041509E"/>
    <w:rsid w:val="0041510C"/>
    <w:rsid w:val="004151CC"/>
    <w:rsid w:val="004153B6"/>
    <w:rsid w:val="00415417"/>
    <w:rsid w:val="00415572"/>
    <w:rsid w:val="004155D2"/>
    <w:rsid w:val="004156A3"/>
    <w:rsid w:val="004156CB"/>
    <w:rsid w:val="004156DF"/>
    <w:rsid w:val="004156EA"/>
    <w:rsid w:val="0041577F"/>
    <w:rsid w:val="004157EB"/>
    <w:rsid w:val="00415801"/>
    <w:rsid w:val="004158F4"/>
    <w:rsid w:val="004158FF"/>
    <w:rsid w:val="00415B62"/>
    <w:rsid w:val="00415C26"/>
    <w:rsid w:val="00415DF1"/>
    <w:rsid w:val="00415F32"/>
    <w:rsid w:val="00415F8B"/>
    <w:rsid w:val="0041601E"/>
    <w:rsid w:val="0041606A"/>
    <w:rsid w:val="0041655D"/>
    <w:rsid w:val="00416993"/>
    <w:rsid w:val="00416AA7"/>
    <w:rsid w:val="00416AB2"/>
    <w:rsid w:val="00416AF6"/>
    <w:rsid w:val="00416BA5"/>
    <w:rsid w:val="00416C01"/>
    <w:rsid w:val="00416D47"/>
    <w:rsid w:val="00416DEC"/>
    <w:rsid w:val="00416DF7"/>
    <w:rsid w:val="00416EBB"/>
    <w:rsid w:val="0041707F"/>
    <w:rsid w:val="00417082"/>
    <w:rsid w:val="0041725E"/>
    <w:rsid w:val="00417272"/>
    <w:rsid w:val="0041738C"/>
    <w:rsid w:val="00417480"/>
    <w:rsid w:val="00417544"/>
    <w:rsid w:val="0041755B"/>
    <w:rsid w:val="004175D4"/>
    <w:rsid w:val="0041777E"/>
    <w:rsid w:val="00417793"/>
    <w:rsid w:val="00417846"/>
    <w:rsid w:val="00417B51"/>
    <w:rsid w:val="00417DCE"/>
    <w:rsid w:val="00417E24"/>
    <w:rsid w:val="00417EAD"/>
    <w:rsid w:val="00417F6B"/>
    <w:rsid w:val="004201F2"/>
    <w:rsid w:val="00420262"/>
    <w:rsid w:val="0042055E"/>
    <w:rsid w:val="00420773"/>
    <w:rsid w:val="0042088A"/>
    <w:rsid w:val="00420AEC"/>
    <w:rsid w:val="00420B88"/>
    <w:rsid w:val="00420C5D"/>
    <w:rsid w:val="00420CE0"/>
    <w:rsid w:val="00420E60"/>
    <w:rsid w:val="00420EDC"/>
    <w:rsid w:val="00420F66"/>
    <w:rsid w:val="00420FE9"/>
    <w:rsid w:val="00421053"/>
    <w:rsid w:val="004210DB"/>
    <w:rsid w:val="004210ED"/>
    <w:rsid w:val="00421605"/>
    <w:rsid w:val="004216C4"/>
    <w:rsid w:val="00421703"/>
    <w:rsid w:val="004217B7"/>
    <w:rsid w:val="00421843"/>
    <w:rsid w:val="00421865"/>
    <w:rsid w:val="004218D0"/>
    <w:rsid w:val="004219E7"/>
    <w:rsid w:val="00421B8E"/>
    <w:rsid w:val="00421C1B"/>
    <w:rsid w:val="00421C4F"/>
    <w:rsid w:val="00421CB8"/>
    <w:rsid w:val="00421CC2"/>
    <w:rsid w:val="00422028"/>
    <w:rsid w:val="0042217A"/>
    <w:rsid w:val="00422215"/>
    <w:rsid w:val="00422250"/>
    <w:rsid w:val="0042238E"/>
    <w:rsid w:val="0042253E"/>
    <w:rsid w:val="00422624"/>
    <w:rsid w:val="004228E4"/>
    <w:rsid w:val="00422A13"/>
    <w:rsid w:val="00422DA4"/>
    <w:rsid w:val="00422EA1"/>
    <w:rsid w:val="00422FF9"/>
    <w:rsid w:val="0042306B"/>
    <w:rsid w:val="004233BE"/>
    <w:rsid w:val="0042341E"/>
    <w:rsid w:val="004234B8"/>
    <w:rsid w:val="004234E5"/>
    <w:rsid w:val="00423714"/>
    <w:rsid w:val="00423735"/>
    <w:rsid w:val="00423B1B"/>
    <w:rsid w:val="00423B4E"/>
    <w:rsid w:val="00423B9C"/>
    <w:rsid w:val="00423C50"/>
    <w:rsid w:val="00423D2C"/>
    <w:rsid w:val="00423DD2"/>
    <w:rsid w:val="00423EC8"/>
    <w:rsid w:val="0042427C"/>
    <w:rsid w:val="00424393"/>
    <w:rsid w:val="004243E6"/>
    <w:rsid w:val="004245DB"/>
    <w:rsid w:val="00424731"/>
    <w:rsid w:val="004248DF"/>
    <w:rsid w:val="0042495A"/>
    <w:rsid w:val="0042497B"/>
    <w:rsid w:val="00424BFD"/>
    <w:rsid w:val="00424C12"/>
    <w:rsid w:val="00424DFE"/>
    <w:rsid w:val="00424FEB"/>
    <w:rsid w:val="004250A6"/>
    <w:rsid w:val="004251E6"/>
    <w:rsid w:val="00425366"/>
    <w:rsid w:val="00425435"/>
    <w:rsid w:val="0042547A"/>
    <w:rsid w:val="004254C3"/>
    <w:rsid w:val="004254E3"/>
    <w:rsid w:val="004255F2"/>
    <w:rsid w:val="00425647"/>
    <w:rsid w:val="00425766"/>
    <w:rsid w:val="004257F2"/>
    <w:rsid w:val="00425AB5"/>
    <w:rsid w:val="00425C1A"/>
    <w:rsid w:val="00425CF9"/>
    <w:rsid w:val="00425DB8"/>
    <w:rsid w:val="00425F62"/>
    <w:rsid w:val="0042601A"/>
    <w:rsid w:val="00426064"/>
    <w:rsid w:val="004261C0"/>
    <w:rsid w:val="00426260"/>
    <w:rsid w:val="00426300"/>
    <w:rsid w:val="0042675B"/>
    <w:rsid w:val="004267EC"/>
    <w:rsid w:val="00426834"/>
    <w:rsid w:val="00426896"/>
    <w:rsid w:val="00426A0E"/>
    <w:rsid w:val="00426BA2"/>
    <w:rsid w:val="00426C71"/>
    <w:rsid w:val="00426D82"/>
    <w:rsid w:val="004270EF"/>
    <w:rsid w:val="004272C4"/>
    <w:rsid w:val="004272F1"/>
    <w:rsid w:val="00427380"/>
    <w:rsid w:val="00427385"/>
    <w:rsid w:val="004279F8"/>
    <w:rsid w:val="00427A54"/>
    <w:rsid w:val="00427AC2"/>
    <w:rsid w:val="00427BE8"/>
    <w:rsid w:val="00427D49"/>
    <w:rsid w:val="00427D4C"/>
    <w:rsid w:val="00427D7B"/>
    <w:rsid w:val="00427E5E"/>
    <w:rsid w:val="004307DA"/>
    <w:rsid w:val="0043097E"/>
    <w:rsid w:val="004309EE"/>
    <w:rsid w:val="00430A48"/>
    <w:rsid w:val="00430AA0"/>
    <w:rsid w:val="00430E3A"/>
    <w:rsid w:val="004311A7"/>
    <w:rsid w:val="004311D8"/>
    <w:rsid w:val="00431488"/>
    <w:rsid w:val="004315C5"/>
    <w:rsid w:val="00431693"/>
    <w:rsid w:val="004317AC"/>
    <w:rsid w:val="00431A9A"/>
    <w:rsid w:val="00431B55"/>
    <w:rsid w:val="00431D00"/>
    <w:rsid w:val="00431ED9"/>
    <w:rsid w:val="00431F54"/>
    <w:rsid w:val="0043208A"/>
    <w:rsid w:val="0043239F"/>
    <w:rsid w:val="00432629"/>
    <w:rsid w:val="00432670"/>
    <w:rsid w:val="004327FC"/>
    <w:rsid w:val="00432B39"/>
    <w:rsid w:val="00432DF2"/>
    <w:rsid w:val="00432E39"/>
    <w:rsid w:val="00433009"/>
    <w:rsid w:val="00433051"/>
    <w:rsid w:val="0043305C"/>
    <w:rsid w:val="004330DF"/>
    <w:rsid w:val="0043311A"/>
    <w:rsid w:val="0043347F"/>
    <w:rsid w:val="0043374F"/>
    <w:rsid w:val="00433988"/>
    <w:rsid w:val="00433A15"/>
    <w:rsid w:val="00433CB4"/>
    <w:rsid w:val="00434086"/>
    <w:rsid w:val="004344F1"/>
    <w:rsid w:val="00434682"/>
    <w:rsid w:val="004347BB"/>
    <w:rsid w:val="00434A3B"/>
    <w:rsid w:val="00434ADA"/>
    <w:rsid w:val="00434C4B"/>
    <w:rsid w:val="00434DD7"/>
    <w:rsid w:val="00434DDB"/>
    <w:rsid w:val="0043507C"/>
    <w:rsid w:val="00435097"/>
    <w:rsid w:val="004350FA"/>
    <w:rsid w:val="0043529E"/>
    <w:rsid w:val="0043539B"/>
    <w:rsid w:val="004354BC"/>
    <w:rsid w:val="00435716"/>
    <w:rsid w:val="004359AF"/>
    <w:rsid w:val="00435A45"/>
    <w:rsid w:val="00435BE1"/>
    <w:rsid w:val="00435CB8"/>
    <w:rsid w:val="00435DEF"/>
    <w:rsid w:val="00436243"/>
    <w:rsid w:val="004364D9"/>
    <w:rsid w:val="004366C6"/>
    <w:rsid w:val="00436825"/>
    <w:rsid w:val="004369C5"/>
    <w:rsid w:val="00436CB7"/>
    <w:rsid w:val="00436F8C"/>
    <w:rsid w:val="00436FE0"/>
    <w:rsid w:val="00437020"/>
    <w:rsid w:val="004376B8"/>
    <w:rsid w:val="004376BB"/>
    <w:rsid w:val="0043783D"/>
    <w:rsid w:val="0043789C"/>
    <w:rsid w:val="00437942"/>
    <w:rsid w:val="004379C0"/>
    <w:rsid w:val="00437C32"/>
    <w:rsid w:val="00437CBD"/>
    <w:rsid w:val="00437E45"/>
    <w:rsid w:val="00440249"/>
    <w:rsid w:val="00440361"/>
    <w:rsid w:val="00440382"/>
    <w:rsid w:val="00440526"/>
    <w:rsid w:val="004405B3"/>
    <w:rsid w:val="004408AB"/>
    <w:rsid w:val="004409D6"/>
    <w:rsid w:val="00440A3A"/>
    <w:rsid w:val="00440CB4"/>
    <w:rsid w:val="00440D44"/>
    <w:rsid w:val="00440E0A"/>
    <w:rsid w:val="0044118E"/>
    <w:rsid w:val="00441331"/>
    <w:rsid w:val="0044133C"/>
    <w:rsid w:val="004416C8"/>
    <w:rsid w:val="004417E8"/>
    <w:rsid w:val="00441902"/>
    <w:rsid w:val="00441ACB"/>
    <w:rsid w:val="00441EAC"/>
    <w:rsid w:val="00441ED9"/>
    <w:rsid w:val="00441F66"/>
    <w:rsid w:val="00441FA5"/>
    <w:rsid w:val="00442089"/>
    <w:rsid w:val="004420E7"/>
    <w:rsid w:val="004425B6"/>
    <w:rsid w:val="00442BE9"/>
    <w:rsid w:val="00442C44"/>
    <w:rsid w:val="00442C4E"/>
    <w:rsid w:val="00442ED0"/>
    <w:rsid w:val="004430A3"/>
    <w:rsid w:val="00443277"/>
    <w:rsid w:val="004435DA"/>
    <w:rsid w:val="004438EA"/>
    <w:rsid w:val="0044392D"/>
    <w:rsid w:val="00443948"/>
    <w:rsid w:val="0044394A"/>
    <w:rsid w:val="004439E0"/>
    <w:rsid w:val="00443BD9"/>
    <w:rsid w:val="00443FEA"/>
    <w:rsid w:val="004440A0"/>
    <w:rsid w:val="004440FF"/>
    <w:rsid w:val="0044439C"/>
    <w:rsid w:val="004443C0"/>
    <w:rsid w:val="004444E0"/>
    <w:rsid w:val="004444F9"/>
    <w:rsid w:val="0044457A"/>
    <w:rsid w:val="0044489B"/>
    <w:rsid w:val="004448B2"/>
    <w:rsid w:val="00444B80"/>
    <w:rsid w:val="00444C70"/>
    <w:rsid w:val="00444D2D"/>
    <w:rsid w:val="00444E3B"/>
    <w:rsid w:val="00444F03"/>
    <w:rsid w:val="00444F7A"/>
    <w:rsid w:val="00444FEE"/>
    <w:rsid w:val="00444FFD"/>
    <w:rsid w:val="00445032"/>
    <w:rsid w:val="004450B7"/>
    <w:rsid w:val="00445118"/>
    <w:rsid w:val="004451BF"/>
    <w:rsid w:val="00445242"/>
    <w:rsid w:val="00445243"/>
    <w:rsid w:val="004453C8"/>
    <w:rsid w:val="00445747"/>
    <w:rsid w:val="0044583A"/>
    <w:rsid w:val="00445C61"/>
    <w:rsid w:val="00445CF1"/>
    <w:rsid w:val="00445DBF"/>
    <w:rsid w:val="00445E83"/>
    <w:rsid w:val="00446132"/>
    <w:rsid w:val="00446181"/>
    <w:rsid w:val="0044624B"/>
    <w:rsid w:val="004462E7"/>
    <w:rsid w:val="00446603"/>
    <w:rsid w:val="00446729"/>
    <w:rsid w:val="0044678C"/>
    <w:rsid w:val="00446794"/>
    <w:rsid w:val="00446AF4"/>
    <w:rsid w:val="00446B84"/>
    <w:rsid w:val="00446B93"/>
    <w:rsid w:val="00446DEC"/>
    <w:rsid w:val="00446E4A"/>
    <w:rsid w:val="00446E91"/>
    <w:rsid w:val="00447010"/>
    <w:rsid w:val="00447041"/>
    <w:rsid w:val="00447066"/>
    <w:rsid w:val="004471D3"/>
    <w:rsid w:val="00447607"/>
    <w:rsid w:val="0044765B"/>
    <w:rsid w:val="00447A53"/>
    <w:rsid w:val="00447CA3"/>
    <w:rsid w:val="00447CF6"/>
    <w:rsid w:val="00447D9B"/>
    <w:rsid w:val="00447EF2"/>
    <w:rsid w:val="00450080"/>
    <w:rsid w:val="004500D2"/>
    <w:rsid w:val="0045014E"/>
    <w:rsid w:val="004502FF"/>
    <w:rsid w:val="0045033E"/>
    <w:rsid w:val="004505BC"/>
    <w:rsid w:val="00450A4B"/>
    <w:rsid w:val="00450BE0"/>
    <w:rsid w:val="00450D87"/>
    <w:rsid w:val="00450D94"/>
    <w:rsid w:val="0045128D"/>
    <w:rsid w:val="00451290"/>
    <w:rsid w:val="00451476"/>
    <w:rsid w:val="004516F4"/>
    <w:rsid w:val="004518AB"/>
    <w:rsid w:val="00451A2E"/>
    <w:rsid w:val="00451A6C"/>
    <w:rsid w:val="00451A96"/>
    <w:rsid w:val="00451BAA"/>
    <w:rsid w:val="00451BD0"/>
    <w:rsid w:val="00451D1E"/>
    <w:rsid w:val="00452089"/>
    <w:rsid w:val="00452501"/>
    <w:rsid w:val="004527B6"/>
    <w:rsid w:val="004528F0"/>
    <w:rsid w:val="0045294A"/>
    <w:rsid w:val="00452A2F"/>
    <w:rsid w:val="00452A60"/>
    <w:rsid w:val="00452B84"/>
    <w:rsid w:val="004530B5"/>
    <w:rsid w:val="004531C4"/>
    <w:rsid w:val="0045326E"/>
    <w:rsid w:val="004533B1"/>
    <w:rsid w:val="00453592"/>
    <w:rsid w:val="004535B0"/>
    <w:rsid w:val="004536C5"/>
    <w:rsid w:val="0045371F"/>
    <w:rsid w:val="0045389D"/>
    <w:rsid w:val="00453C00"/>
    <w:rsid w:val="00453E98"/>
    <w:rsid w:val="00453FAF"/>
    <w:rsid w:val="004540B1"/>
    <w:rsid w:val="004540FB"/>
    <w:rsid w:val="00454291"/>
    <w:rsid w:val="004545F8"/>
    <w:rsid w:val="004547E5"/>
    <w:rsid w:val="00454890"/>
    <w:rsid w:val="00454BFD"/>
    <w:rsid w:val="00454DFB"/>
    <w:rsid w:val="00454FC1"/>
    <w:rsid w:val="004559E6"/>
    <w:rsid w:val="00455A13"/>
    <w:rsid w:val="00455AA1"/>
    <w:rsid w:val="00455C30"/>
    <w:rsid w:val="00455C59"/>
    <w:rsid w:val="00455D82"/>
    <w:rsid w:val="00455DEB"/>
    <w:rsid w:val="00455EC0"/>
    <w:rsid w:val="00456140"/>
    <w:rsid w:val="004561EA"/>
    <w:rsid w:val="0045625C"/>
    <w:rsid w:val="00456416"/>
    <w:rsid w:val="004564F1"/>
    <w:rsid w:val="004567F4"/>
    <w:rsid w:val="00456853"/>
    <w:rsid w:val="00456A23"/>
    <w:rsid w:val="00456BDC"/>
    <w:rsid w:val="00456E0B"/>
    <w:rsid w:val="00456ED2"/>
    <w:rsid w:val="00456EE9"/>
    <w:rsid w:val="00456F3B"/>
    <w:rsid w:val="00457000"/>
    <w:rsid w:val="0045701D"/>
    <w:rsid w:val="004571DE"/>
    <w:rsid w:val="00457378"/>
    <w:rsid w:val="00457404"/>
    <w:rsid w:val="004574DD"/>
    <w:rsid w:val="00457578"/>
    <w:rsid w:val="00457714"/>
    <w:rsid w:val="00457795"/>
    <w:rsid w:val="004578F4"/>
    <w:rsid w:val="004579DF"/>
    <w:rsid w:val="00457A6A"/>
    <w:rsid w:val="00457AD4"/>
    <w:rsid w:val="00457BDD"/>
    <w:rsid w:val="004601F4"/>
    <w:rsid w:val="00460247"/>
    <w:rsid w:val="004603B1"/>
    <w:rsid w:val="004603E8"/>
    <w:rsid w:val="0046043B"/>
    <w:rsid w:val="00460586"/>
    <w:rsid w:val="004605EA"/>
    <w:rsid w:val="00460BA9"/>
    <w:rsid w:val="00460BD7"/>
    <w:rsid w:val="00460BDC"/>
    <w:rsid w:val="00460E90"/>
    <w:rsid w:val="004611E5"/>
    <w:rsid w:val="004613B2"/>
    <w:rsid w:val="004616D6"/>
    <w:rsid w:val="00461B74"/>
    <w:rsid w:val="00461DBE"/>
    <w:rsid w:val="00461DC6"/>
    <w:rsid w:val="00461DE3"/>
    <w:rsid w:val="00462341"/>
    <w:rsid w:val="0046245D"/>
    <w:rsid w:val="00462532"/>
    <w:rsid w:val="004625EB"/>
    <w:rsid w:val="00462785"/>
    <w:rsid w:val="00462BE9"/>
    <w:rsid w:val="00462DE7"/>
    <w:rsid w:val="00462E75"/>
    <w:rsid w:val="00462E9A"/>
    <w:rsid w:val="00462F3C"/>
    <w:rsid w:val="00463066"/>
    <w:rsid w:val="00463084"/>
    <w:rsid w:val="0046348B"/>
    <w:rsid w:val="004634A3"/>
    <w:rsid w:val="004634AC"/>
    <w:rsid w:val="0046363A"/>
    <w:rsid w:val="004636AE"/>
    <w:rsid w:val="004636FA"/>
    <w:rsid w:val="00463767"/>
    <w:rsid w:val="00463BF2"/>
    <w:rsid w:val="00463CF7"/>
    <w:rsid w:val="00463D8D"/>
    <w:rsid w:val="00463E80"/>
    <w:rsid w:val="00463E9D"/>
    <w:rsid w:val="00463F34"/>
    <w:rsid w:val="00463F76"/>
    <w:rsid w:val="00464012"/>
    <w:rsid w:val="00464019"/>
    <w:rsid w:val="0046425D"/>
    <w:rsid w:val="0046440E"/>
    <w:rsid w:val="00464448"/>
    <w:rsid w:val="00464750"/>
    <w:rsid w:val="004647E5"/>
    <w:rsid w:val="004648FE"/>
    <w:rsid w:val="004649B0"/>
    <w:rsid w:val="00464B2E"/>
    <w:rsid w:val="00464BCB"/>
    <w:rsid w:val="00464BF4"/>
    <w:rsid w:val="00464CAF"/>
    <w:rsid w:val="00464E4C"/>
    <w:rsid w:val="00464F72"/>
    <w:rsid w:val="00464FDD"/>
    <w:rsid w:val="004651AD"/>
    <w:rsid w:val="004652ED"/>
    <w:rsid w:val="0046563E"/>
    <w:rsid w:val="004657A0"/>
    <w:rsid w:val="004659B5"/>
    <w:rsid w:val="00465D2D"/>
    <w:rsid w:val="00465DEF"/>
    <w:rsid w:val="00465F26"/>
    <w:rsid w:val="00465F58"/>
    <w:rsid w:val="00465F81"/>
    <w:rsid w:val="0046603B"/>
    <w:rsid w:val="004661CE"/>
    <w:rsid w:val="00466227"/>
    <w:rsid w:val="004662B2"/>
    <w:rsid w:val="00466615"/>
    <w:rsid w:val="00466A88"/>
    <w:rsid w:val="00466B4B"/>
    <w:rsid w:val="00466CB5"/>
    <w:rsid w:val="00466D74"/>
    <w:rsid w:val="00466E23"/>
    <w:rsid w:val="00466FB3"/>
    <w:rsid w:val="0046709E"/>
    <w:rsid w:val="00467173"/>
    <w:rsid w:val="004671D7"/>
    <w:rsid w:val="00467204"/>
    <w:rsid w:val="00467228"/>
    <w:rsid w:val="00467597"/>
    <w:rsid w:val="004675E4"/>
    <w:rsid w:val="00467680"/>
    <w:rsid w:val="00467B95"/>
    <w:rsid w:val="00467DE7"/>
    <w:rsid w:val="00467E35"/>
    <w:rsid w:val="00467E84"/>
    <w:rsid w:val="0046EB49"/>
    <w:rsid w:val="004704B8"/>
    <w:rsid w:val="00470801"/>
    <w:rsid w:val="00470A06"/>
    <w:rsid w:val="00470B28"/>
    <w:rsid w:val="00470D8A"/>
    <w:rsid w:val="00470FF8"/>
    <w:rsid w:val="0047130E"/>
    <w:rsid w:val="00471381"/>
    <w:rsid w:val="0047141C"/>
    <w:rsid w:val="0047147D"/>
    <w:rsid w:val="00471505"/>
    <w:rsid w:val="004715E5"/>
    <w:rsid w:val="00471777"/>
    <w:rsid w:val="004717DE"/>
    <w:rsid w:val="004719BC"/>
    <w:rsid w:val="00471A47"/>
    <w:rsid w:val="00471A6A"/>
    <w:rsid w:val="00471B47"/>
    <w:rsid w:val="00471B52"/>
    <w:rsid w:val="00471C8E"/>
    <w:rsid w:val="00471C92"/>
    <w:rsid w:val="00471CBA"/>
    <w:rsid w:val="00471EA5"/>
    <w:rsid w:val="00471ED8"/>
    <w:rsid w:val="004721FA"/>
    <w:rsid w:val="00472255"/>
    <w:rsid w:val="004722CA"/>
    <w:rsid w:val="00472381"/>
    <w:rsid w:val="0047250B"/>
    <w:rsid w:val="00472661"/>
    <w:rsid w:val="004727C1"/>
    <w:rsid w:val="0047288C"/>
    <w:rsid w:val="004728FC"/>
    <w:rsid w:val="00472965"/>
    <w:rsid w:val="00472A36"/>
    <w:rsid w:val="00472A97"/>
    <w:rsid w:val="00472D66"/>
    <w:rsid w:val="00472DB4"/>
    <w:rsid w:val="00472E35"/>
    <w:rsid w:val="004730DF"/>
    <w:rsid w:val="00473369"/>
    <w:rsid w:val="004733AE"/>
    <w:rsid w:val="004737B2"/>
    <w:rsid w:val="004737BE"/>
    <w:rsid w:val="0047384E"/>
    <w:rsid w:val="0047395F"/>
    <w:rsid w:val="00473C4E"/>
    <w:rsid w:val="00473EEC"/>
    <w:rsid w:val="004742DB"/>
    <w:rsid w:val="00474623"/>
    <w:rsid w:val="00474C71"/>
    <w:rsid w:val="00474C76"/>
    <w:rsid w:val="00474CB5"/>
    <w:rsid w:val="00474E15"/>
    <w:rsid w:val="00474E1B"/>
    <w:rsid w:val="00474F3E"/>
    <w:rsid w:val="004750E6"/>
    <w:rsid w:val="00475338"/>
    <w:rsid w:val="004754AC"/>
    <w:rsid w:val="0047554B"/>
    <w:rsid w:val="004757ED"/>
    <w:rsid w:val="00475A7D"/>
    <w:rsid w:val="00475AAB"/>
    <w:rsid w:val="00475B34"/>
    <w:rsid w:val="00475DA8"/>
    <w:rsid w:val="00475E4F"/>
    <w:rsid w:val="00475F5D"/>
    <w:rsid w:val="00476088"/>
    <w:rsid w:val="004761B9"/>
    <w:rsid w:val="0047643D"/>
    <w:rsid w:val="0047651C"/>
    <w:rsid w:val="00476654"/>
    <w:rsid w:val="00476818"/>
    <w:rsid w:val="00476A4F"/>
    <w:rsid w:val="00476D0E"/>
    <w:rsid w:val="00477002"/>
    <w:rsid w:val="004770A5"/>
    <w:rsid w:val="00477252"/>
    <w:rsid w:val="0047725E"/>
    <w:rsid w:val="004772F1"/>
    <w:rsid w:val="00477339"/>
    <w:rsid w:val="0047768F"/>
    <w:rsid w:val="004776A3"/>
    <w:rsid w:val="0047774C"/>
    <w:rsid w:val="004777E0"/>
    <w:rsid w:val="00477C42"/>
    <w:rsid w:val="00477CA5"/>
    <w:rsid w:val="0048007E"/>
    <w:rsid w:val="0048017F"/>
    <w:rsid w:val="004802AA"/>
    <w:rsid w:val="0048045B"/>
    <w:rsid w:val="004805AC"/>
    <w:rsid w:val="004809A1"/>
    <w:rsid w:val="00480AD3"/>
    <w:rsid w:val="00480FCF"/>
    <w:rsid w:val="00480FFE"/>
    <w:rsid w:val="00481044"/>
    <w:rsid w:val="004814DD"/>
    <w:rsid w:val="0048158F"/>
    <w:rsid w:val="004816D2"/>
    <w:rsid w:val="004816F1"/>
    <w:rsid w:val="0048173B"/>
    <w:rsid w:val="00481941"/>
    <w:rsid w:val="004819A5"/>
    <w:rsid w:val="00481F23"/>
    <w:rsid w:val="00482048"/>
    <w:rsid w:val="00482127"/>
    <w:rsid w:val="0048224A"/>
    <w:rsid w:val="0048254B"/>
    <w:rsid w:val="004829AF"/>
    <w:rsid w:val="00482A04"/>
    <w:rsid w:val="00482CC7"/>
    <w:rsid w:val="00482E1E"/>
    <w:rsid w:val="00482EF9"/>
    <w:rsid w:val="0048326B"/>
    <w:rsid w:val="004836D8"/>
    <w:rsid w:val="004838E6"/>
    <w:rsid w:val="004839F1"/>
    <w:rsid w:val="00483A42"/>
    <w:rsid w:val="00483B60"/>
    <w:rsid w:val="00483C52"/>
    <w:rsid w:val="00483C8E"/>
    <w:rsid w:val="00483F0C"/>
    <w:rsid w:val="00483F4E"/>
    <w:rsid w:val="00484387"/>
    <w:rsid w:val="00484428"/>
    <w:rsid w:val="00484777"/>
    <w:rsid w:val="004849CF"/>
    <w:rsid w:val="00484C02"/>
    <w:rsid w:val="00484F74"/>
    <w:rsid w:val="00484F8E"/>
    <w:rsid w:val="004850D9"/>
    <w:rsid w:val="0048512C"/>
    <w:rsid w:val="00485282"/>
    <w:rsid w:val="0048534B"/>
    <w:rsid w:val="004853B7"/>
    <w:rsid w:val="004853D3"/>
    <w:rsid w:val="00485510"/>
    <w:rsid w:val="00485514"/>
    <w:rsid w:val="00485767"/>
    <w:rsid w:val="00485778"/>
    <w:rsid w:val="0048577C"/>
    <w:rsid w:val="004858E3"/>
    <w:rsid w:val="004859A6"/>
    <w:rsid w:val="00485A30"/>
    <w:rsid w:val="00485AD9"/>
    <w:rsid w:val="00485D55"/>
    <w:rsid w:val="00486180"/>
    <w:rsid w:val="0048626C"/>
    <w:rsid w:val="004864BC"/>
    <w:rsid w:val="00486657"/>
    <w:rsid w:val="004866FE"/>
    <w:rsid w:val="0048672F"/>
    <w:rsid w:val="00486834"/>
    <w:rsid w:val="0048699B"/>
    <w:rsid w:val="00486A3F"/>
    <w:rsid w:val="00486A7F"/>
    <w:rsid w:val="00486D7F"/>
    <w:rsid w:val="00486E40"/>
    <w:rsid w:val="00486FBE"/>
    <w:rsid w:val="00486FDB"/>
    <w:rsid w:val="004870B5"/>
    <w:rsid w:val="0048722B"/>
    <w:rsid w:val="00487321"/>
    <w:rsid w:val="00487733"/>
    <w:rsid w:val="00487AC0"/>
    <w:rsid w:val="00487B36"/>
    <w:rsid w:val="00487B46"/>
    <w:rsid w:val="00487B8A"/>
    <w:rsid w:val="00487DD1"/>
    <w:rsid w:val="00487FF6"/>
    <w:rsid w:val="00490014"/>
    <w:rsid w:val="004902E2"/>
    <w:rsid w:val="0049039D"/>
    <w:rsid w:val="00490460"/>
    <w:rsid w:val="004904BF"/>
    <w:rsid w:val="004907A2"/>
    <w:rsid w:val="00490803"/>
    <w:rsid w:val="00490981"/>
    <w:rsid w:val="004909BF"/>
    <w:rsid w:val="00490A7E"/>
    <w:rsid w:val="00490B42"/>
    <w:rsid w:val="00490E3D"/>
    <w:rsid w:val="00490EA5"/>
    <w:rsid w:val="00490F2F"/>
    <w:rsid w:val="004910E0"/>
    <w:rsid w:val="00491145"/>
    <w:rsid w:val="0049116E"/>
    <w:rsid w:val="004911AB"/>
    <w:rsid w:val="0049140B"/>
    <w:rsid w:val="00491718"/>
    <w:rsid w:val="004917DF"/>
    <w:rsid w:val="004917F1"/>
    <w:rsid w:val="00491902"/>
    <w:rsid w:val="00491A06"/>
    <w:rsid w:val="00491C1E"/>
    <w:rsid w:val="00491C45"/>
    <w:rsid w:val="00491C8D"/>
    <w:rsid w:val="00492250"/>
    <w:rsid w:val="004922EC"/>
    <w:rsid w:val="004922FA"/>
    <w:rsid w:val="0049290B"/>
    <w:rsid w:val="00492A50"/>
    <w:rsid w:val="00492A7E"/>
    <w:rsid w:val="00492B35"/>
    <w:rsid w:val="00492C00"/>
    <w:rsid w:val="00492D48"/>
    <w:rsid w:val="00492DF9"/>
    <w:rsid w:val="00492FA8"/>
    <w:rsid w:val="004931C6"/>
    <w:rsid w:val="0049330E"/>
    <w:rsid w:val="004933CC"/>
    <w:rsid w:val="004936C7"/>
    <w:rsid w:val="004936EA"/>
    <w:rsid w:val="0049386E"/>
    <w:rsid w:val="00493957"/>
    <w:rsid w:val="00493C2D"/>
    <w:rsid w:val="00493D7F"/>
    <w:rsid w:val="00493EBB"/>
    <w:rsid w:val="00494058"/>
    <w:rsid w:val="00494065"/>
    <w:rsid w:val="004944CE"/>
    <w:rsid w:val="0049468C"/>
    <w:rsid w:val="004948E0"/>
    <w:rsid w:val="004949E0"/>
    <w:rsid w:val="00494AEA"/>
    <w:rsid w:val="00494BDA"/>
    <w:rsid w:val="00494CD3"/>
    <w:rsid w:val="00494D6A"/>
    <w:rsid w:val="00494DE1"/>
    <w:rsid w:val="00494F5E"/>
    <w:rsid w:val="00494FC0"/>
    <w:rsid w:val="004951A0"/>
    <w:rsid w:val="00495265"/>
    <w:rsid w:val="00495394"/>
    <w:rsid w:val="004953DF"/>
    <w:rsid w:val="004954A4"/>
    <w:rsid w:val="004954BE"/>
    <w:rsid w:val="00495544"/>
    <w:rsid w:val="0049556C"/>
    <w:rsid w:val="004956F8"/>
    <w:rsid w:val="004957FF"/>
    <w:rsid w:val="004958DF"/>
    <w:rsid w:val="00495AC2"/>
    <w:rsid w:val="00495C4D"/>
    <w:rsid w:val="00495CAE"/>
    <w:rsid w:val="00495E71"/>
    <w:rsid w:val="00495EFD"/>
    <w:rsid w:val="00496200"/>
    <w:rsid w:val="0049625D"/>
    <w:rsid w:val="00496299"/>
    <w:rsid w:val="004962E4"/>
    <w:rsid w:val="004963EE"/>
    <w:rsid w:val="0049689E"/>
    <w:rsid w:val="00496AFA"/>
    <w:rsid w:val="00496D55"/>
    <w:rsid w:val="004973DF"/>
    <w:rsid w:val="00497483"/>
    <w:rsid w:val="004977B2"/>
    <w:rsid w:val="00497830"/>
    <w:rsid w:val="00497878"/>
    <w:rsid w:val="00497998"/>
    <w:rsid w:val="00497BDD"/>
    <w:rsid w:val="00497BE2"/>
    <w:rsid w:val="00497CED"/>
    <w:rsid w:val="00497FFA"/>
    <w:rsid w:val="004A03F2"/>
    <w:rsid w:val="004A0463"/>
    <w:rsid w:val="004A051C"/>
    <w:rsid w:val="004A071A"/>
    <w:rsid w:val="004A075E"/>
    <w:rsid w:val="004A07AA"/>
    <w:rsid w:val="004A0864"/>
    <w:rsid w:val="004A0A86"/>
    <w:rsid w:val="004A0AF5"/>
    <w:rsid w:val="004A0B0E"/>
    <w:rsid w:val="004A0BFF"/>
    <w:rsid w:val="004A11CE"/>
    <w:rsid w:val="004A1339"/>
    <w:rsid w:val="004A1703"/>
    <w:rsid w:val="004A1A65"/>
    <w:rsid w:val="004A1A6B"/>
    <w:rsid w:val="004A1BF4"/>
    <w:rsid w:val="004A1C36"/>
    <w:rsid w:val="004A1D66"/>
    <w:rsid w:val="004A1EF0"/>
    <w:rsid w:val="004A2049"/>
    <w:rsid w:val="004A237C"/>
    <w:rsid w:val="004A23ED"/>
    <w:rsid w:val="004A2576"/>
    <w:rsid w:val="004A2700"/>
    <w:rsid w:val="004A278E"/>
    <w:rsid w:val="004A27E2"/>
    <w:rsid w:val="004A2A90"/>
    <w:rsid w:val="004A2B64"/>
    <w:rsid w:val="004A2B92"/>
    <w:rsid w:val="004A2BD3"/>
    <w:rsid w:val="004A2D10"/>
    <w:rsid w:val="004A2DD2"/>
    <w:rsid w:val="004A2EBB"/>
    <w:rsid w:val="004A2F6C"/>
    <w:rsid w:val="004A3164"/>
    <w:rsid w:val="004A348B"/>
    <w:rsid w:val="004A34DB"/>
    <w:rsid w:val="004A34ED"/>
    <w:rsid w:val="004A39A8"/>
    <w:rsid w:val="004A402A"/>
    <w:rsid w:val="004A41AB"/>
    <w:rsid w:val="004A4414"/>
    <w:rsid w:val="004A449D"/>
    <w:rsid w:val="004A46CF"/>
    <w:rsid w:val="004A4771"/>
    <w:rsid w:val="004A478F"/>
    <w:rsid w:val="004A489A"/>
    <w:rsid w:val="004A48DF"/>
    <w:rsid w:val="004A4B81"/>
    <w:rsid w:val="004A4D01"/>
    <w:rsid w:val="004A4E8E"/>
    <w:rsid w:val="004A4EC2"/>
    <w:rsid w:val="004A4F61"/>
    <w:rsid w:val="004A4FD3"/>
    <w:rsid w:val="004A5016"/>
    <w:rsid w:val="004A5096"/>
    <w:rsid w:val="004A50C7"/>
    <w:rsid w:val="004A52CB"/>
    <w:rsid w:val="004A56C7"/>
    <w:rsid w:val="004A589C"/>
    <w:rsid w:val="004A5919"/>
    <w:rsid w:val="004A5B71"/>
    <w:rsid w:val="004A5D09"/>
    <w:rsid w:val="004A5E93"/>
    <w:rsid w:val="004A5EBF"/>
    <w:rsid w:val="004A60CA"/>
    <w:rsid w:val="004A6296"/>
    <w:rsid w:val="004A62E8"/>
    <w:rsid w:val="004A644E"/>
    <w:rsid w:val="004A6482"/>
    <w:rsid w:val="004A6546"/>
    <w:rsid w:val="004A67D4"/>
    <w:rsid w:val="004A6CCD"/>
    <w:rsid w:val="004A6CF3"/>
    <w:rsid w:val="004A6CF8"/>
    <w:rsid w:val="004A6D6F"/>
    <w:rsid w:val="004A6F9B"/>
    <w:rsid w:val="004A70B0"/>
    <w:rsid w:val="004A7525"/>
    <w:rsid w:val="004A7671"/>
    <w:rsid w:val="004A77F1"/>
    <w:rsid w:val="004A78B9"/>
    <w:rsid w:val="004A78D5"/>
    <w:rsid w:val="004A7A75"/>
    <w:rsid w:val="004A7B8F"/>
    <w:rsid w:val="004A7C1F"/>
    <w:rsid w:val="004A7E7F"/>
    <w:rsid w:val="004A7EC0"/>
    <w:rsid w:val="004A7EF6"/>
    <w:rsid w:val="004A7F0C"/>
    <w:rsid w:val="004A7FF8"/>
    <w:rsid w:val="004B03B4"/>
    <w:rsid w:val="004B05A1"/>
    <w:rsid w:val="004B079F"/>
    <w:rsid w:val="004B0865"/>
    <w:rsid w:val="004B08E2"/>
    <w:rsid w:val="004B0994"/>
    <w:rsid w:val="004B0AC7"/>
    <w:rsid w:val="004B0C96"/>
    <w:rsid w:val="004B0EA4"/>
    <w:rsid w:val="004B0ED5"/>
    <w:rsid w:val="004B1289"/>
    <w:rsid w:val="004B1502"/>
    <w:rsid w:val="004B1685"/>
    <w:rsid w:val="004B1C7F"/>
    <w:rsid w:val="004B1CF7"/>
    <w:rsid w:val="004B1D62"/>
    <w:rsid w:val="004B1EB1"/>
    <w:rsid w:val="004B1F20"/>
    <w:rsid w:val="004B2086"/>
    <w:rsid w:val="004B216A"/>
    <w:rsid w:val="004B2380"/>
    <w:rsid w:val="004B23A5"/>
    <w:rsid w:val="004B2430"/>
    <w:rsid w:val="004B2530"/>
    <w:rsid w:val="004B25CE"/>
    <w:rsid w:val="004B2674"/>
    <w:rsid w:val="004B26A4"/>
    <w:rsid w:val="004B2722"/>
    <w:rsid w:val="004B278D"/>
    <w:rsid w:val="004B27D0"/>
    <w:rsid w:val="004B27F8"/>
    <w:rsid w:val="004B28D4"/>
    <w:rsid w:val="004B2B87"/>
    <w:rsid w:val="004B2D03"/>
    <w:rsid w:val="004B2DA6"/>
    <w:rsid w:val="004B2E1D"/>
    <w:rsid w:val="004B2E6E"/>
    <w:rsid w:val="004B2EF4"/>
    <w:rsid w:val="004B2F88"/>
    <w:rsid w:val="004B3323"/>
    <w:rsid w:val="004B35C9"/>
    <w:rsid w:val="004B393C"/>
    <w:rsid w:val="004B398F"/>
    <w:rsid w:val="004B3FA7"/>
    <w:rsid w:val="004B401C"/>
    <w:rsid w:val="004B426F"/>
    <w:rsid w:val="004B42CF"/>
    <w:rsid w:val="004B4320"/>
    <w:rsid w:val="004B4332"/>
    <w:rsid w:val="004B4778"/>
    <w:rsid w:val="004B47CC"/>
    <w:rsid w:val="004B484D"/>
    <w:rsid w:val="004B49D3"/>
    <w:rsid w:val="004B4B64"/>
    <w:rsid w:val="004B4C08"/>
    <w:rsid w:val="004B4C19"/>
    <w:rsid w:val="004B4C94"/>
    <w:rsid w:val="004B520B"/>
    <w:rsid w:val="004B52CA"/>
    <w:rsid w:val="004B5338"/>
    <w:rsid w:val="004B567A"/>
    <w:rsid w:val="004B56FC"/>
    <w:rsid w:val="004B5789"/>
    <w:rsid w:val="004B57D9"/>
    <w:rsid w:val="004B583D"/>
    <w:rsid w:val="004B5857"/>
    <w:rsid w:val="004B5A55"/>
    <w:rsid w:val="004B5C47"/>
    <w:rsid w:val="004B5D97"/>
    <w:rsid w:val="004B5FF6"/>
    <w:rsid w:val="004B609D"/>
    <w:rsid w:val="004B60DD"/>
    <w:rsid w:val="004B61D8"/>
    <w:rsid w:val="004B65D5"/>
    <w:rsid w:val="004B6610"/>
    <w:rsid w:val="004B673A"/>
    <w:rsid w:val="004B691B"/>
    <w:rsid w:val="004B6A87"/>
    <w:rsid w:val="004B6C86"/>
    <w:rsid w:val="004B6DA5"/>
    <w:rsid w:val="004B708D"/>
    <w:rsid w:val="004B70AA"/>
    <w:rsid w:val="004B72DE"/>
    <w:rsid w:val="004B74C4"/>
    <w:rsid w:val="004B74E3"/>
    <w:rsid w:val="004B77CC"/>
    <w:rsid w:val="004B7994"/>
    <w:rsid w:val="004B7C7B"/>
    <w:rsid w:val="004B7D06"/>
    <w:rsid w:val="004B7D1D"/>
    <w:rsid w:val="004B7D67"/>
    <w:rsid w:val="004B7EEE"/>
    <w:rsid w:val="004C068E"/>
    <w:rsid w:val="004C071C"/>
    <w:rsid w:val="004C0840"/>
    <w:rsid w:val="004C084B"/>
    <w:rsid w:val="004C0A72"/>
    <w:rsid w:val="004C0AD3"/>
    <w:rsid w:val="004C0AF5"/>
    <w:rsid w:val="004C0BDA"/>
    <w:rsid w:val="004C0C28"/>
    <w:rsid w:val="004C0E64"/>
    <w:rsid w:val="004C0F89"/>
    <w:rsid w:val="004C1074"/>
    <w:rsid w:val="004C14A6"/>
    <w:rsid w:val="004C174F"/>
    <w:rsid w:val="004C19B6"/>
    <w:rsid w:val="004C19C5"/>
    <w:rsid w:val="004C1AD2"/>
    <w:rsid w:val="004C1EFF"/>
    <w:rsid w:val="004C236E"/>
    <w:rsid w:val="004C2458"/>
    <w:rsid w:val="004C253B"/>
    <w:rsid w:val="004C263A"/>
    <w:rsid w:val="004C269C"/>
    <w:rsid w:val="004C2737"/>
    <w:rsid w:val="004C2EC0"/>
    <w:rsid w:val="004C2F91"/>
    <w:rsid w:val="004C2FC2"/>
    <w:rsid w:val="004C34F2"/>
    <w:rsid w:val="004C3569"/>
    <w:rsid w:val="004C366B"/>
    <w:rsid w:val="004C3755"/>
    <w:rsid w:val="004C3AF8"/>
    <w:rsid w:val="004C3D55"/>
    <w:rsid w:val="004C3E38"/>
    <w:rsid w:val="004C3EAF"/>
    <w:rsid w:val="004C4158"/>
    <w:rsid w:val="004C4322"/>
    <w:rsid w:val="004C4414"/>
    <w:rsid w:val="004C44F2"/>
    <w:rsid w:val="004C477A"/>
    <w:rsid w:val="004C4849"/>
    <w:rsid w:val="004C4945"/>
    <w:rsid w:val="004C4BE8"/>
    <w:rsid w:val="004C4D90"/>
    <w:rsid w:val="004C5284"/>
    <w:rsid w:val="004C5682"/>
    <w:rsid w:val="004C5CCE"/>
    <w:rsid w:val="004C5D34"/>
    <w:rsid w:val="004C5DDF"/>
    <w:rsid w:val="004C604F"/>
    <w:rsid w:val="004C61A3"/>
    <w:rsid w:val="004C61E9"/>
    <w:rsid w:val="004C627F"/>
    <w:rsid w:val="004C6473"/>
    <w:rsid w:val="004C66BC"/>
    <w:rsid w:val="004C6BCC"/>
    <w:rsid w:val="004C6D16"/>
    <w:rsid w:val="004C6D9C"/>
    <w:rsid w:val="004C6DF5"/>
    <w:rsid w:val="004C6E00"/>
    <w:rsid w:val="004C6E6B"/>
    <w:rsid w:val="004C703C"/>
    <w:rsid w:val="004C7088"/>
    <w:rsid w:val="004C720B"/>
    <w:rsid w:val="004C722F"/>
    <w:rsid w:val="004C7233"/>
    <w:rsid w:val="004C72D5"/>
    <w:rsid w:val="004C75A3"/>
    <w:rsid w:val="004C768F"/>
    <w:rsid w:val="004C77E4"/>
    <w:rsid w:val="004C780C"/>
    <w:rsid w:val="004C7871"/>
    <w:rsid w:val="004C799A"/>
    <w:rsid w:val="004C7B30"/>
    <w:rsid w:val="004C7C29"/>
    <w:rsid w:val="004C7F4D"/>
    <w:rsid w:val="004C7F9C"/>
    <w:rsid w:val="004C7FE9"/>
    <w:rsid w:val="004D00A6"/>
    <w:rsid w:val="004D0126"/>
    <w:rsid w:val="004D02DC"/>
    <w:rsid w:val="004D02FA"/>
    <w:rsid w:val="004D0479"/>
    <w:rsid w:val="004D0888"/>
    <w:rsid w:val="004D0AB4"/>
    <w:rsid w:val="004D0B24"/>
    <w:rsid w:val="004D0B2D"/>
    <w:rsid w:val="004D0B31"/>
    <w:rsid w:val="004D0C8D"/>
    <w:rsid w:val="004D0CCD"/>
    <w:rsid w:val="004D0D82"/>
    <w:rsid w:val="004D0DA0"/>
    <w:rsid w:val="004D101E"/>
    <w:rsid w:val="004D13F7"/>
    <w:rsid w:val="004D14DD"/>
    <w:rsid w:val="004D156B"/>
    <w:rsid w:val="004D158F"/>
    <w:rsid w:val="004D15BE"/>
    <w:rsid w:val="004D1621"/>
    <w:rsid w:val="004D1818"/>
    <w:rsid w:val="004D1854"/>
    <w:rsid w:val="004D1B91"/>
    <w:rsid w:val="004D1C79"/>
    <w:rsid w:val="004D1EA9"/>
    <w:rsid w:val="004D221D"/>
    <w:rsid w:val="004D2248"/>
    <w:rsid w:val="004D233C"/>
    <w:rsid w:val="004D244F"/>
    <w:rsid w:val="004D25A0"/>
    <w:rsid w:val="004D27F9"/>
    <w:rsid w:val="004D28D4"/>
    <w:rsid w:val="004D291A"/>
    <w:rsid w:val="004D2998"/>
    <w:rsid w:val="004D2BC9"/>
    <w:rsid w:val="004D2C2E"/>
    <w:rsid w:val="004D30D0"/>
    <w:rsid w:val="004D32A8"/>
    <w:rsid w:val="004D32AB"/>
    <w:rsid w:val="004D346D"/>
    <w:rsid w:val="004D34CE"/>
    <w:rsid w:val="004D354C"/>
    <w:rsid w:val="004D366C"/>
    <w:rsid w:val="004D3ABD"/>
    <w:rsid w:val="004D3ABF"/>
    <w:rsid w:val="004D3ADA"/>
    <w:rsid w:val="004D3B22"/>
    <w:rsid w:val="004D3B75"/>
    <w:rsid w:val="004D3D76"/>
    <w:rsid w:val="004D41D2"/>
    <w:rsid w:val="004D4354"/>
    <w:rsid w:val="004D4547"/>
    <w:rsid w:val="004D459A"/>
    <w:rsid w:val="004D4654"/>
    <w:rsid w:val="004D4809"/>
    <w:rsid w:val="004D4937"/>
    <w:rsid w:val="004D4A5C"/>
    <w:rsid w:val="004D4B65"/>
    <w:rsid w:val="004D4CC0"/>
    <w:rsid w:val="004D4D50"/>
    <w:rsid w:val="004D4E03"/>
    <w:rsid w:val="004D504A"/>
    <w:rsid w:val="004D533A"/>
    <w:rsid w:val="004D53AA"/>
    <w:rsid w:val="004D5594"/>
    <w:rsid w:val="004D5923"/>
    <w:rsid w:val="004D597C"/>
    <w:rsid w:val="004D5B82"/>
    <w:rsid w:val="004D5D74"/>
    <w:rsid w:val="004D5ECA"/>
    <w:rsid w:val="004D5F89"/>
    <w:rsid w:val="004D5FAB"/>
    <w:rsid w:val="004D5FB7"/>
    <w:rsid w:val="004D661F"/>
    <w:rsid w:val="004D66C1"/>
    <w:rsid w:val="004D679D"/>
    <w:rsid w:val="004D67E1"/>
    <w:rsid w:val="004D6B07"/>
    <w:rsid w:val="004D6B64"/>
    <w:rsid w:val="004D6E75"/>
    <w:rsid w:val="004D6F06"/>
    <w:rsid w:val="004D70C2"/>
    <w:rsid w:val="004D71A5"/>
    <w:rsid w:val="004D76DF"/>
    <w:rsid w:val="004D7789"/>
    <w:rsid w:val="004D7795"/>
    <w:rsid w:val="004D7810"/>
    <w:rsid w:val="004D7A07"/>
    <w:rsid w:val="004D7AA0"/>
    <w:rsid w:val="004D7AEF"/>
    <w:rsid w:val="004D7D14"/>
    <w:rsid w:val="004D7E42"/>
    <w:rsid w:val="004E00B3"/>
    <w:rsid w:val="004E02A0"/>
    <w:rsid w:val="004E03F9"/>
    <w:rsid w:val="004E055A"/>
    <w:rsid w:val="004E073A"/>
    <w:rsid w:val="004E075C"/>
    <w:rsid w:val="004E09C3"/>
    <w:rsid w:val="004E0A38"/>
    <w:rsid w:val="004E0D54"/>
    <w:rsid w:val="004E0D56"/>
    <w:rsid w:val="004E0D62"/>
    <w:rsid w:val="004E0DB6"/>
    <w:rsid w:val="004E0DD4"/>
    <w:rsid w:val="004E0FDB"/>
    <w:rsid w:val="004E10E7"/>
    <w:rsid w:val="004E14AB"/>
    <w:rsid w:val="004E1501"/>
    <w:rsid w:val="004E156A"/>
    <w:rsid w:val="004E15DA"/>
    <w:rsid w:val="004E1723"/>
    <w:rsid w:val="004E19D4"/>
    <w:rsid w:val="004E1B87"/>
    <w:rsid w:val="004E1C8E"/>
    <w:rsid w:val="004E1EF6"/>
    <w:rsid w:val="004E2137"/>
    <w:rsid w:val="004E21B7"/>
    <w:rsid w:val="004E21D6"/>
    <w:rsid w:val="004E2255"/>
    <w:rsid w:val="004E2293"/>
    <w:rsid w:val="004E242F"/>
    <w:rsid w:val="004E2474"/>
    <w:rsid w:val="004E2545"/>
    <w:rsid w:val="004E2715"/>
    <w:rsid w:val="004E2718"/>
    <w:rsid w:val="004E271A"/>
    <w:rsid w:val="004E2817"/>
    <w:rsid w:val="004E2906"/>
    <w:rsid w:val="004E2B36"/>
    <w:rsid w:val="004E2D08"/>
    <w:rsid w:val="004E2EC6"/>
    <w:rsid w:val="004E3241"/>
    <w:rsid w:val="004E3310"/>
    <w:rsid w:val="004E331E"/>
    <w:rsid w:val="004E3341"/>
    <w:rsid w:val="004E357D"/>
    <w:rsid w:val="004E3664"/>
    <w:rsid w:val="004E3677"/>
    <w:rsid w:val="004E373B"/>
    <w:rsid w:val="004E3999"/>
    <w:rsid w:val="004E3A69"/>
    <w:rsid w:val="004E3EE1"/>
    <w:rsid w:val="004E418D"/>
    <w:rsid w:val="004E4397"/>
    <w:rsid w:val="004E4532"/>
    <w:rsid w:val="004E496F"/>
    <w:rsid w:val="004E49A4"/>
    <w:rsid w:val="004E49EA"/>
    <w:rsid w:val="004E4FDA"/>
    <w:rsid w:val="004E508A"/>
    <w:rsid w:val="004E50F7"/>
    <w:rsid w:val="004E5213"/>
    <w:rsid w:val="004E55F1"/>
    <w:rsid w:val="004E563F"/>
    <w:rsid w:val="004E5761"/>
    <w:rsid w:val="004E58B1"/>
    <w:rsid w:val="004E58F5"/>
    <w:rsid w:val="004E5CA2"/>
    <w:rsid w:val="004E5CE3"/>
    <w:rsid w:val="004E5D28"/>
    <w:rsid w:val="004E5EB9"/>
    <w:rsid w:val="004E5F50"/>
    <w:rsid w:val="004E6159"/>
    <w:rsid w:val="004E622A"/>
    <w:rsid w:val="004E62C5"/>
    <w:rsid w:val="004E65B1"/>
    <w:rsid w:val="004E664F"/>
    <w:rsid w:val="004E677A"/>
    <w:rsid w:val="004E688C"/>
    <w:rsid w:val="004E6AD2"/>
    <w:rsid w:val="004E6ADE"/>
    <w:rsid w:val="004E7206"/>
    <w:rsid w:val="004E7386"/>
    <w:rsid w:val="004E7439"/>
    <w:rsid w:val="004E777C"/>
    <w:rsid w:val="004E784A"/>
    <w:rsid w:val="004E7968"/>
    <w:rsid w:val="004E7AE3"/>
    <w:rsid w:val="004E7B55"/>
    <w:rsid w:val="004E7BEE"/>
    <w:rsid w:val="004E7D89"/>
    <w:rsid w:val="004E7D9E"/>
    <w:rsid w:val="004E7DB0"/>
    <w:rsid w:val="004E7FC0"/>
    <w:rsid w:val="004F00B5"/>
    <w:rsid w:val="004F0165"/>
    <w:rsid w:val="004F016B"/>
    <w:rsid w:val="004F04F8"/>
    <w:rsid w:val="004F0652"/>
    <w:rsid w:val="004F0668"/>
    <w:rsid w:val="004F0675"/>
    <w:rsid w:val="004F0CD0"/>
    <w:rsid w:val="004F0DC2"/>
    <w:rsid w:val="004F1067"/>
    <w:rsid w:val="004F10C6"/>
    <w:rsid w:val="004F1153"/>
    <w:rsid w:val="004F1209"/>
    <w:rsid w:val="004F1459"/>
    <w:rsid w:val="004F15FD"/>
    <w:rsid w:val="004F17A6"/>
    <w:rsid w:val="004F181C"/>
    <w:rsid w:val="004F19C8"/>
    <w:rsid w:val="004F1A9B"/>
    <w:rsid w:val="004F1C58"/>
    <w:rsid w:val="004F1CA4"/>
    <w:rsid w:val="004F1D36"/>
    <w:rsid w:val="004F1FCE"/>
    <w:rsid w:val="004F207D"/>
    <w:rsid w:val="004F21A0"/>
    <w:rsid w:val="004F232B"/>
    <w:rsid w:val="004F23E0"/>
    <w:rsid w:val="004F2470"/>
    <w:rsid w:val="004F276A"/>
    <w:rsid w:val="004F27E8"/>
    <w:rsid w:val="004F299C"/>
    <w:rsid w:val="004F29CB"/>
    <w:rsid w:val="004F2ABC"/>
    <w:rsid w:val="004F2BCC"/>
    <w:rsid w:val="004F2D21"/>
    <w:rsid w:val="004F2D68"/>
    <w:rsid w:val="004F2EDB"/>
    <w:rsid w:val="004F2F24"/>
    <w:rsid w:val="004F3010"/>
    <w:rsid w:val="004F306B"/>
    <w:rsid w:val="004F31E0"/>
    <w:rsid w:val="004F3221"/>
    <w:rsid w:val="004F3445"/>
    <w:rsid w:val="004F38A3"/>
    <w:rsid w:val="004F38E9"/>
    <w:rsid w:val="004F395C"/>
    <w:rsid w:val="004F3A86"/>
    <w:rsid w:val="004F3B57"/>
    <w:rsid w:val="004F3E10"/>
    <w:rsid w:val="004F4039"/>
    <w:rsid w:val="004F41CA"/>
    <w:rsid w:val="004F4351"/>
    <w:rsid w:val="004F4406"/>
    <w:rsid w:val="004F4746"/>
    <w:rsid w:val="004F4780"/>
    <w:rsid w:val="004F48FF"/>
    <w:rsid w:val="004F4DFA"/>
    <w:rsid w:val="004F4E6D"/>
    <w:rsid w:val="004F4F07"/>
    <w:rsid w:val="004F509F"/>
    <w:rsid w:val="004F51E5"/>
    <w:rsid w:val="004F527A"/>
    <w:rsid w:val="004F54EF"/>
    <w:rsid w:val="004F5589"/>
    <w:rsid w:val="004F5642"/>
    <w:rsid w:val="004F5866"/>
    <w:rsid w:val="004F587C"/>
    <w:rsid w:val="004F591F"/>
    <w:rsid w:val="004F59D1"/>
    <w:rsid w:val="004F5A02"/>
    <w:rsid w:val="004F5B85"/>
    <w:rsid w:val="004F5D6B"/>
    <w:rsid w:val="004F5E05"/>
    <w:rsid w:val="004F5F3B"/>
    <w:rsid w:val="004F60A4"/>
    <w:rsid w:val="004F617B"/>
    <w:rsid w:val="004F6249"/>
    <w:rsid w:val="004F628F"/>
    <w:rsid w:val="004F630C"/>
    <w:rsid w:val="004F6662"/>
    <w:rsid w:val="004F66C1"/>
    <w:rsid w:val="004F6799"/>
    <w:rsid w:val="004F6997"/>
    <w:rsid w:val="004F6C01"/>
    <w:rsid w:val="004F6CCA"/>
    <w:rsid w:val="004F746A"/>
    <w:rsid w:val="004F7489"/>
    <w:rsid w:val="004F74AC"/>
    <w:rsid w:val="004F7626"/>
    <w:rsid w:val="004F7B61"/>
    <w:rsid w:val="004F7C5D"/>
    <w:rsid w:val="004F7C62"/>
    <w:rsid w:val="004F7DFC"/>
    <w:rsid w:val="004F7E57"/>
    <w:rsid w:val="0050017E"/>
    <w:rsid w:val="00500260"/>
    <w:rsid w:val="00500321"/>
    <w:rsid w:val="00500583"/>
    <w:rsid w:val="00500846"/>
    <w:rsid w:val="00500993"/>
    <w:rsid w:val="00500A4A"/>
    <w:rsid w:val="00500E23"/>
    <w:rsid w:val="00500EC4"/>
    <w:rsid w:val="00501126"/>
    <w:rsid w:val="00501203"/>
    <w:rsid w:val="00501285"/>
    <w:rsid w:val="005014FE"/>
    <w:rsid w:val="0050160B"/>
    <w:rsid w:val="00501A2F"/>
    <w:rsid w:val="00501AA7"/>
    <w:rsid w:val="00501B46"/>
    <w:rsid w:val="00501CB8"/>
    <w:rsid w:val="00501CEF"/>
    <w:rsid w:val="0050230F"/>
    <w:rsid w:val="005023F2"/>
    <w:rsid w:val="005025F2"/>
    <w:rsid w:val="00502753"/>
    <w:rsid w:val="005028AC"/>
    <w:rsid w:val="00502933"/>
    <w:rsid w:val="00502F95"/>
    <w:rsid w:val="0050307D"/>
    <w:rsid w:val="00503127"/>
    <w:rsid w:val="0050312B"/>
    <w:rsid w:val="005032CE"/>
    <w:rsid w:val="005035E5"/>
    <w:rsid w:val="005036B7"/>
    <w:rsid w:val="00503732"/>
    <w:rsid w:val="0050388C"/>
    <w:rsid w:val="00503A0B"/>
    <w:rsid w:val="00503A41"/>
    <w:rsid w:val="00503A51"/>
    <w:rsid w:val="00503A86"/>
    <w:rsid w:val="00503B96"/>
    <w:rsid w:val="00503C40"/>
    <w:rsid w:val="00503CD3"/>
    <w:rsid w:val="00503E03"/>
    <w:rsid w:val="005041C6"/>
    <w:rsid w:val="0050426A"/>
    <w:rsid w:val="0050428B"/>
    <w:rsid w:val="00504449"/>
    <w:rsid w:val="00504678"/>
    <w:rsid w:val="00504733"/>
    <w:rsid w:val="0050478F"/>
    <w:rsid w:val="005048E0"/>
    <w:rsid w:val="00504926"/>
    <w:rsid w:val="00504BE3"/>
    <w:rsid w:val="00504CC8"/>
    <w:rsid w:val="00504CCD"/>
    <w:rsid w:val="00504E80"/>
    <w:rsid w:val="00505049"/>
    <w:rsid w:val="0050507B"/>
    <w:rsid w:val="005051DD"/>
    <w:rsid w:val="00505454"/>
    <w:rsid w:val="00505474"/>
    <w:rsid w:val="00505478"/>
    <w:rsid w:val="00505586"/>
    <w:rsid w:val="005056A8"/>
    <w:rsid w:val="0050576A"/>
    <w:rsid w:val="00505816"/>
    <w:rsid w:val="00505872"/>
    <w:rsid w:val="00505E38"/>
    <w:rsid w:val="00505EDF"/>
    <w:rsid w:val="005060EF"/>
    <w:rsid w:val="00506495"/>
    <w:rsid w:val="00506498"/>
    <w:rsid w:val="005065AC"/>
    <w:rsid w:val="005065B1"/>
    <w:rsid w:val="005068AE"/>
    <w:rsid w:val="00506902"/>
    <w:rsid w:val="00506A39"/>
    <w:rsid w:val="00506EBD"/>
    <w:rsid w:val="00506FF3"/>
    <w:rsid w:val="0050707C"/>
    <w:rsid w:val="00507191"/>
    <w:rsid w:val="005071DD"/>
    <w:rsid w:val="00507534"/>
    <w:rsid w:val="005077CD"/>
    <w:rsid w:val="0050794D"/>
    <w:rsid w:val="00507A14"/>
    <w:rsid w:val="00507B13"/>
    <w:rsid w:val="00507B2B"/>
    <w:rsid w:val="00507B4C"/>
    <w:rsid w:val="00507CF1"/>
    <w:rsid w:val="00507D9F"/>
    <w:rsid w:val="00507DEB"/>
    <w:rsid w:val="00507FA0"/>
    <w:rsid w:val="005100C1"/>
    <w:rsid w:val="005103B2"/>
    <w:rsid w:val="00510449"/>
    <w:rsid w:val="0051068D"/>
    <w:rsid w:val="0051085F"/>
    <w:rsid w:val="00510A64"/>
    <w:rsid w:val="00510B36"/>
    <w:rsid w:val="00510BCF"/>
    <w:rsid w:val="00510D0E"/>
    <w:rsid w:val="00510D40"/>
    <w:rsid w:val="00510EE6"/>
    <w:rsid w:val="00510FD9"/>
    <w:rsid w:val="005110AF"/>
    <w:rsid w:val="0051117A"/>
    <w:rsid w:val="00511324"/>
    <w:rsid w:val="005113A5"/>
    <w:rsid w:val="005113C4"/>
    <w:rsid w:val="00511653"/>
    <w:rsid w:val="00511749"/>
    <w:rsid w:val="0051175D"/>
    <w:rsid w:val="00511AF3"/>
    <w:rsid w:val="0051201D"/>
    <w:rsid w:val="0051208E"/>
    <w:rsid w:val="0051224C"/>
    <w:rsid w:val="0051248C"/>
    <w:rsid w:val="00512560"/>
    <w:rsid w:val="005125D9"/>
    <w:rsid w:val="0051269F"/>
    <w:rsid w:val="00512734"/>
    <w:rsid w:val="005127BD"/>
    <w:rsid w:val="00512884"/>
    <w:rsid w:val="00512896"/>
    <w:rsid w:val="005129CE"/>
    <w:rsid w:val="00512A3E"/>
    <w:rsid w:val="00512AF8"/>
    <w:rsid w:val="00512DBF"/>
    <w:rsid w:val="00512E1E"/>
    <w:rsid w:val="00512E61"/>
    <w:rsid w:val="00512E71"/>
    <w:rsid w:val="00512FE4"/>
    <w:rsid w:val="005130DC"/>
    <w:rsid w:val="005131A8"/>
    <w:rsid w:val="00513298"/>
    <w:rsid w:val="005133FD"/>
    <w:rsid w:val="005134C1"/>
    <w:rsid w:val="00513534"/>
    <w:rsid w:val="005135F4"/>
    <w:rsid w:val="005135FF"/>
    <w:rsid w:val="00513757"/>
    <w:rsid w:val="00513823"/>
    <w:rsid w:val="00513C43"/>
    <w:rsid w:val="00513CA0"/>
    <w:rsid w:val="00513CA7"/>
    <w:rsid w:val="00513DBF"/>
    <w:rsid w:val="00513F69"/>
    <w:rsid w:val="0051407E"/>
    <w:rsid w:val="00514267"/>
    <w:rsid w:val="00514298"/>
    <w:rsid w:val="005142EC"/>
    <w:rsid w:val="005144E8"/>
    <w:rsid w:val="005145C3"/>
    <w:rsid w:val="0051460B"/>
    <w:rsid w:val="00514698"/>
    <w:rsid w:val="00514775"/>
    <w:rsid w:val="00514AC9"/>
    <w:rsid w:val="00514AD1"/>
    <w:rsid w:val="00514C35"/>
    <w:rsid w:val="00514CD8"/>
    <w:rsid w:val="00514E63"/>
    <w:rsid w:val="00514F40"/>
    <w:rsid w:val="005151B3"/>
    <w:rsid w:val="005152BB"/>
    <w:rsid w:val="00515331"/>
    <w:rsid w:val="005153EE"/>
    <w:rsid w:val="00515406"/>
    <w:rsid w:val="005154F4"/>
    <w:rsid w:val="005156AA"/>
    <w:rsid w:val="00515757"/>
    <w:rsid w:val="005157CA"/>
    <w:rsid w:val="005159BF"/>
    <w:rsid w:val="00515BDD"/>
    <w:rsid w:val="00515D91"/>
    <w:rsid w:val="00515E5A"/>
    <w:rsid w:val="00516070"/>
    <w:rsid w:val="00516096"/>
    <w:rsid w:val="005160A1"/>
    <w:rsid w:val="0051614C"/>
    <w:rsid w:val="005166F1"/>
    <w:rsid w:val="00516826"/>
    <w:rsid w:val="00516862"/>
    <w:rsid w:val="00516912"/>
    <w:rsid w:val="00516A96"/>
    <w:rsid w:val="00516B76"/>
    <w:rsid w:val="00516C79"/>
    <w:rsid w:val="00516D09"/>
    <w:rsid w:val="00516D0E"/>
    <w:rsid w:val="00516D24"/>
    <w:rsid w:val="00516DD1"/>
    <w:rsid w:val="00517101"/>
    <w:rsid w:val="00517306"/>
    <w:rsid w:val="0051738B"/>
    <w:rsid w:val="005173D6"/>
    <w:rsid w:val="0051745E"/>
    <w:rsid w:val="00517940"/>
    <w:rsid w:val="00517C00"/>
    <w:rsid w:val="00517CF2"/>
    <w:rsid w:val="0052006B"/>
    <w:rsid w:val="00520345"/>
    <w:rsid w:val="005208F9"/>
    <w:rsid w:val="005209DC"/>
    <w:rsid w:val="00520A04"/>
    <w:rsid w:val="00520F14"/>
    <w:rsid w:val="0052103C"/>
    <w:rsid w:val="005210D6"/>
    <w:rsid w:val="00521152"/>
    <w:rsid w:val="00521265"/>
    <w:rsid w:val="00521309"/>
    <w:rsid w:val="0052169C"/>
    <w:rsid w:val="005217ED"/>
    <w:rsid w:val="00521955"/>
    <w:rsid w:val="005219F4"/>
    <w:rsid w:val="00521B03"/>
    <w:rsid w:val="00521B8C"/>
    <w:rsid w:val="00521C73"/>
    <w:rsid w:val="00521E56"/>
    <w:rsid w:val="00521FA4"/>
    <w:rsid w:val="005220C8"/>
    <w:rsid w:val="0052213B"/>
    <w:rsid w:val="00522142"/>
    <w:rsid w:val="00522179"/>
    <w:rsid w:val="00522243"/>
    <w:rsid w:val="00522255"/>
    <w:rsid w:val="005224D5"/>
    <w:rsid w:val="00522562"/>
    <w:rsid w:val="0052271F"/>
    <w:rsid w:val="00522782"/>
    <w:rsid w:val="0052281F"/>
    <w:rsid w:val="005228EB"/>
    <w:rsid w:val="00522A86"/>
    <w:rsid w:val="00522AA4"/>
    <w:rsid w:val="00522B25"/>
    <w:rsid w:val="00522B96"/>
    <w:rsid w:val="00522F20"/>
    <w:rsid w:val="0052311B"/>
    <w:rsid w:val="0052316A"/>
    <w:rsid w:val="005231B5"/>
    <w:rsid w:val="005233B5"/>
    <w:rsid w:val="005234BD"/>
    <w:rsid w:val="0052359A"/>
    <w:rsid w:val="0052376C"/>
    <w:rsid w:val="005237D4"/>
    <w:rsid w:val="00523911"/>
    <w:rsid w:val="00523AF9"/>
    <w:rsid w:val="00523C1C"/>
    <w:rsid w:val="00523D70"/>
    <w:rsid w:val="00523D9B"/>
    <w:rsid w:val="00523E0F"/>
    <w:rsid w:val="00523FC0"/>
    <w:rsid w:val="0052421F"/>
    <w:rsid w:val="0052474E"/>
    <w:rsid w:val="00524753"/>
    <w:rsid w:val="0052486E"/>
    <w:rsid w:val="005249AE"/>
    <w:rsid w:val="005249D9"/>
    <w:rsid w:val="00524A04"/>
    <w:rsid w:val="00524B30"/>
    <w:rsid w:val="00524FA3"/>
    <w:rsid w:val="0052526E"/>
    <w:rsid w:val="0052529E"/>
    <w:rsid w:val="005252E8"/>
    <w:rsid w:val="00525773"/>
    <w:rsid w:val="005258A7"/>
    <w:rsid w:val="005258DF"/>
    <w:rsid w:val="005259A9"/>
    <w:rsid w:val="00525D1C"/>
    <w:rsid w:val="00525D9F"/>
    <w:rsid w:val="00525DB3"/>
    <w:rsid w:val="00526003"/>
    <w:rsid w:val="00526064"/>
    <w:rsid w:val="0052620E"/>
    <w:rsid w:val="005263D5"/>
    <w:rsid w:val="005263F6"/>
    <w:rsid w:val="005267D9"/>
    <w:rsid w:val="00526A23"/>
    <w:rsid w:val="00526F4F"/>
    <w:rsid w:val="00526FE3"/>
    <w:rsid w:val="00527048"/>
    <w:rsid w:val="0052737A"/>
    <w:rsid w:val="005273AA"/>
    <w:rsid w:val="005273F1"/>
    <w:rsid w:val="00527406"/>
    <w:rsid w:val="00527506"/>
    <w:rsid w:val="0052762A"/>
    <w:rsid w:val="005276C1"/>
    <w:rsid w:val="0052791E"/>
    <w:rsid w:val="00527A69"/>
    <w:rsid w:val="00527D5C"/>
    <w:rsid w:val="00527DF7"/>
    <w:rsid w:val="00527E18"/>
    <w:rsid w:val="00527F39"/>
    <w:rsid w:val="0053008E"/>
    <w:rsid w:val="00530126"/>
    <w:rsid w:val="005301BD"/>
    <w:rsid w:val="00530676"/>
    <w:rsid w:val="00530760"/>
    <w:rsid w:val="00530803"/>
    <w:rsid w:val="00530804"/>
    <w:rsid w:val="005309E0"/>
    <w:rsid w:val="00530AE8"/>
    <w:rsid w:val="00530B15"/>
    <w:rsid w:val="00530BEE"/>
    <w:rsid w:val="00530C93"/>
    <w:rsid w:val="00530D01"/>
    <w:rsid w:val="00530D5C"/>
    <w:rsid w:val="00530E95"/>
    <w:rsid w:val="00530EB8"/>
    <w:rsid w:val="00531308"/>
    <w:rsid w:val="0053132C"/>
    <w:rsid w:val="0053143E"/>
    <w:rsid w:val="005315F0"/>
    <w:rsid w:val="005316DC"/>
    <w:rsid w:val="005317A2"/>
    <w:rsid w:val="005317B2"/>
    <w:rsid w:val="00531AB6"/>
    <w:rsid w:val="00531D51"/>
    <w:rsid w:val="00531DA2"/>
    <w:rsid w:val="00531E31"/>
    <w:rsid w:val="00531F3F"/>
    <w:rsid w:val="0053203D"/>
    <w:rsid w:val="00532058"/>
    <w:rsid w:val="005322E5"/>
    <w:rsid w:val="005323BF"/>
    <w:rsid w:val="00532599"/>
    <w:rsid w:val="005325DA"/>
    <w:rsid w:val="00532846"/>
    <w:rsid w:val="005328D9"/>
    <w:rsid w:val="005329D2"/>
    <w:rsid w:val="00532A55"/>
    <w:rsid w:val="00532D49"/>
    <w:rsid w:val="00533133"/>
    <w:rsid w:val="0053393F"/>
    <w:rsid w:val="00533944"/>
    <w:rsid w:val="005339C9"/>
    <w:rsid w:val="00533A02"/>
    <w:rsid w:val="00533B0A"/>
    <w:rsid w:val="00533CAA"/>
    <w:rsid w:val="00533DAC"/>
    <w:rsid w:val="00533E6F"/>
    <w:rsid w:val="00533FED"/>
    <w:rsid w:val="005340C7"/>
    <w:rsid w:val="005341C2"/>
    <w:rsid w:val="0053430C"/>
    <w:rsid w:val="00534373"/>
    <w:rsid w:val="00534382"/>
    <w:rsid w:val="005343A1"/>
    <w:rsid w:val="0053494D"/>
    <w:rsid w:val="00534A78"/>
    <w:rsid w:val="00534AD5"/>
    <w:rsid w:val="00534B61"/>
    <w:rsid w:val="00534C3D"/>
    <w:rsid w:val="00534EB4"/>
    <w:rsid w:val="00534F98"/>
    <w:rsid w:val="00534FBE"/>
    <w:rsid w:val="00535086"/>
    <w:rsid w:val="0053512B"/>
    <w:rsid w:val="00535929"/>
    <w:rsid w:val="00535A28"/>
    <w:rsid w:val="00535D77"/>
    <w:rsid w:val="00535E6D"/>
    <w:rsid w:val="00535EFC"/>
    <w:rsid w:val="00535F4E"/>
    <w:rsid w:val="00535FBA"/>
    <w:rsid w:val="00536058"/>
    <w:rsid w:val="00536113"/>
    <w:rsid w:val="0053615E"/>
    <w:rsid w:val="0053619E"/>
    <w:rsid w:val="005361A1"/>
    <w:rsid w:val="00536212"/>
    <w:rsid w:val="005364F6"/>
    <w:rsid w:val="00536709"/>
    <w:rsid w:val="00536BCC"/>
    <w:rsid w:val="00536DE2"/>
    <w:rsid w:val="00536E77"/>
    <w:rsid w:val="00536FBD"/>
    <w:rsid w:val="00537012"/>
    <w:rsid w:val="00537161"/>
    <w:rsid w:val="005372D3"/>
    <w:rsid w:val="00537456"/>
    <w:rsid w:val="00537598"/>
    <w:rsid w:val="005375BF"/>
    <w:rsid w:val="0053761C"/>
    <w:rsid w:val="00537C39"/>
    <w:rsid w:val="00537C95"/>
    <w:rsid w:val="00537D2A"/>
    <w:rsid w:val="00540044"/>
    <w:rsid w:val="0054006F"/>
    <w:rsid w:val="00540116"/>
    <w:rsid w:val="00540246"/>
    <w:rsid w:val="0054039C"/>
    <w:rsid w:val="00540502"/>
    <w:rsid w:val="0054069D"/>
    <w:rsid w:val="00540797"/>
    <w:rsid w:val="00540833"/>
    <w:rsid w:val="005408CC"/>
    <w:rsid w:val="005408FF"/>
    <w:rsid w:val="00540C02"/>
    <w:rsid w:val="00541099"/>
    <w:rsid w:val="0054126D"/>
    <w:rsid w:val="005412CC"/>
    <w:rsid w:val="005412E5"/>
    <w:rsid w:val="00541662"/>
    <w:rsid w:val="00541732"/>
    <w:rsid w:val="00541914"/>
    <w:rsid w:val="00541B18"/>
    <w:rsid w:val="00541BF4"/>
    <w:rsid w:val="00541DC1"/>
    <w:rsid w:val="00541FA2"/>
    <w:rsid w:val="0054213B"/>
    <w:rsid w:val="00542290"/>
    <w:rsid w:val="005423AB"/>
    <w:rsid w:val="0054243C"/>
    <w:rsid w:val="0054266B"/>
    <w:rsid w:val="00542750"/>
    <w:rsid w:val="00542824"/>
    <w:rsid w:val="00542930"/>
    <w:rsid w:val="00542B60"/>
    <w:rsid w:val="00542B9D"/>
    <w:rsid w:val="00542CBC"/>
    <w:rsid w:val="005433AF"/>
    <w:rsid w:val="005433F9"/>
    <w:rsid w:val="0054381E"/>
    <w:rsid w:val="00543892"/>
    <w:rsid w:val="00543977"/>
    <w:rsid w:val="00543A1C"/>
    <w:rsid w:val="00543A4F"/>
    <w:rsid w:val="00543A56"/>
    <w:rsid w:val="00543ADD"/>
    <w:rsid w:val="00543B43"/>
    <w:rsid w:val="00544146"/>
    <w:rsid w:val="005443BE"/>
    <w:rsid w:val="0054447B"/>
    <w:rsid w:val="00544767"/>
    <w:rsid w:val="005447CE"/>
    <w:rsid w:val="005448AE"/>
    <w:rsid w:val="00544929"/>
    <w:rsid w:val="00544AAD"/>
    <w:rsid w:val="00544CAD"/>
    <w:rsid w:val="00545159"/>
    <w:rsid w:val="0054524D"/>
    <w:rsid w:val="005453EE"/>
    <w:rsid w:val="00545567"/>
    <w:rsid w:val="00545860"/>
    <w:rsid w:val="00545B2D"/>
    <w:rsid w:val="00545B4F"/>
    <w:rsid w:val="00545C48"/>
    <w:rsid w:val="00545E0D"/>
    <w:rsid w:val="00545FA5"/>
    <w:rsid w:val="00546011"/>
    <w:rsid w:val="0054624A"/>
    <w:rsid w:val="005462C1"/>
    <w:rsid w:val="0054647D"/>
    <w:rsid w:val="0054672E"/>
    <w:rsid w:val="005467D3"/>
    <w:rsid w:val="0054687E"/>
    <w:rsid w:val="00546939"/>
    <w:rsid w:val="005469BB"/>
    <w:rsid w:val="00546A23"/>
    <w:rsid w:val="00546B30"/>
    <w:rsid w:val="00546DB9"/>
    <w:rsid w:val="00546E3B"/>
    <w:rsid w:val="0054717C"/>
    <w:rsid w:val="00547372"/>
    <w:rsid w:val="005474E0"/>
    <w:rsid w:val="00547593"/>
    <w:rsid w:val="0054762B"/>
    <w:rsid w:val="0054774A"/>
    <w:rsid w:val="005477C1"/>
    <w:rsid w:val="005478ED"/>
    <w:rsid w:val="00547A3D"/>
    <w:rsid w:val="00547B26"/>
    <w:rsid w:val="00547BC7"/>
    <w:rsid w:val="00547C32"/>
    <w:rsid w:val="00547E22"/>
    <w:rsid w:val="00550137"/>
    <w:rsid w:val="00550271"/>
    <w:rsid w:val="00550537"/>
    <w:rsid w:val="005505FF"/>
    <w:rsid w:val="0055065C"/>
    <w:rsid w:val="00550738"/>
    <w:rsid w:val="005507AF"/>
    <w:rsid w:val="00550A10"/>
    <w:rsid w:val="00550B8F"/>
    <w:rsid w:val="00550B98"/>
    <w:rsid w:val="00550BBC"/>
    <w:rsid w:val="00550BC1"/>
    <w:rsid w:val="00550CF0"/>
    <w:rsid w:val="00550FB2"/>
    <w:rsid w:val="005510BC"/>
    <w:rsid w:val="005510ED"/>
    <w:rsid w:val="0055110F"/>
    <w:rsid w:val="00551464"/>
    <w:rsid w:val="00551676"/>
    <w:rsid w:val="00551A52"/>
    <w:rsid w:val="00551B11"/>
    <w:rsid w:val="00551BF1"/>
    <w:rsid w:val="00551C35"/>
    <w:rsid w:val="00551C6B"/>
    <w:rsid w:val="00551CEC"/>
    <w:rsid w:val="0055208B"/>
    <w:rsid w:val="005520AE"/>
    <w:rsid w:val="00552327"/>
    <w:rsid w:val="0055245C"/>
    <w:rsid w:val="005524E5"/>
    <w:rsid w:val="0055252F"/>
    <w:rsid w:val="00552763"/>
    <w:rsid w:val="005527C8"/>
    <w:rsid w:val="005528C1"/>
    <w:rsid w:val="00552CBC"/>
    <w:rsid w:val="00552D80"/>
    <w:rsid w:val="00552DEA"/>
    <w:rsid w:val="00552E5C"/>
    <w:rsid w:val="00552FAC"/>
    <w:rsid w:val="00553110"/>
    <w:rsid w:val="00553251"/>
    <w:rsid w:val="005534E4"/>
    <w:rsid w:val="00553665"/>
    <w:rsid w:val="00553761"/>
    <w:rsid w:val="00553762"/>
    <w:rsid w:val="00553821"/>
    <w:rsid w:val="00553A06"/>
    <w:rsid w:val="00553AAA"/>
    <w:rsid w:val="00553D26"/>
    <w:rsid w:val="00553E8A"/>
    <w:rsid w:val="0055401E"/>
    <w:rsid w:val="00554048"/>
    <w:rsid w:val="005541CA"/>
    <w:rsid w:val="005542C7"/>
    <w:rsid w:val="00554348"/>
    <w:rsid w:val="00554374"/>
    <w:rsid w:val="005543D9"/>
    <w:rsid w:val="005544AD"/>
    <w:rsid w:val="00554541"/>
    <w:rsid w:val="00554610"/>
    <w:rsid w:val="00554792"/>
    <w:rsid w:val="00554AD1"/>
    <w:rsid w:val="00554D35"/>
    <w:rsid w:val="00554FD0"/>
    <w:rsid w:val="005550D7"/>
    <w:rsid w:val="0055525F"/>
    <w:rsid w:val="005553B7"/>
    <w:rsid w:val="00555457"/>
    <w:rsid w:val="00555705"/>
    <w:rsid w:val="00555A5F"/>
    <w:rsid w:val="00555A91"/>
    <w:rsid w:val="00555C5E"/>
    <w:rsid w:val="00555E00"/>
    <w:rsid w:val="00555EDF"/>
    <w:rsid w:val="0055610B"/>
    <w:rsid w:val="005562F9"/>
    <w:rsid w:val="00556635"/>
    <w:rsid w:val="005567CA"/>
    <w:rsid w:val="00556980"/>
    <w:rsid w:val="00556A63"/>
    <w:rsid w:val="00556BDE"/>
    <w:rsid w:val="00556D38"/>
    <w:rsid w:val="00556D55"/>
    <w:rsid w:val="00556E61"/>
    <w:rsid w:val="005573A6"/>
    <w:rsid w:val="005574C9"/>
    <w:rsid w:val="0055763E"/>
    <w:rsid w:val="005578B8"/>
    <w:rsid w:val="00557957"/>
    <w:rsid w:val="00557990"/>
    <w:rsid w:val="00557A93"/>
    <w:rsid w:val="00557EDA"/>
    <w:rsid w:val="00557F1F"/>
    <w:rsid w:val="00557F8F"/>
    <w:rsid w:val="005600A0"/>
    <w:rsid w:val="005601BE"/>
    <w:rsid w:val="005601E4"/>
    <w:rsid w:val="005603F0"/>
    <w:rsid w:val="005604A4"/>
    <w:rsid w:val="005605C1"/>
    <w:rsid w:val="005606DE"/>
    <w:rsid w:val="00560875"/>
    <w:rsid w:val="0056089B"/>
    <w:rsid w:val="005608DE"/>
    <w:rsid w:val="00560925"/>
    <w:rsid w:val="0056093C"/>
    <w:rsid w:val="00560C48"/>
    <w:rsid w:val="00560E6E"/>
    <w:rsid w:val="00560F9D"/>
    <w:rsid w:val="00561143"/>
    <w:rsid w:val="00561A25"/>
    <w:rsid w:val="00561ABE"/>
    <w:rsid w:val="00561AE9"/>
    <w:rsid w:val="00561DAE"/>
    <w:rsid w:val="005621B0"/>
    <w:rsid w:val="0056242F"/>
    <w:rsid w:val="00562478"/>
    <w:rsid w:val="0056260C"/>
    <w:rsid w:val="00562796"/>
    <w:rsid w:val="005627D0"/>
    <w:rsid w:val="00562A5A"/>
    <w:rsid w:val="00562AD0"/>
    <w:rsid w:val="00562BE8"/>
    <w:rsid w:val="00562EDF"/>
    <w:rsid w:val="00563036"/>
    <w:rsid w:val="00563041"/>
    <w:rsid w:val="0056304B"/>
    <w:rsid w:val="0056338C"/>
    <w:rsid w:val="0056364D"/>
    <w:rsid w:val="00563717"/>
    <w:rsid w:val="005637E4"/>
    <w:rsid w:val="00563871"/>
    <w:rsid w:val="00563961"/>
    <w:rsid w:val="00563962"/>
    <w:rsid w:val="00563ADC"/>
    <w:rsid w:val="00563E49"/>
    <w:rsid w:val="00563F27"/>
    <w:rsid w:val="005640DD"/>
    <w:rsid w:val="00564258"/>
    <w:rsid w:val="00564334"/>
    <w:rsid w:val="00564344"/>
    <w:rsid w:val="005643C4"/>
    <w:rsid w:val="00564624"/>
    <w:rsid w:val="005648F7"/>
    <w:rsid w:val="005649E5"/>
    <w:rsid w:val="00564ACF"/>
    <w:rsid w:val="00564B0F"/>
    <w:rsid w:val="00564B10"/>
    <w:rsid w:val="00564D29"/>
    <w:rsid w:val="00564D93"/>
    <w:rsid w:val="00565089"/>
    <w:rsid w:val="005650C0"/>
    <w:rsid w:val="0056525F"/>
    <w:rsid w:val="0056528F"/>
    <w:rsid w:val="00565333"/>
    <w:rsid w:val="005656DF"/>
    <w:rsid w:val="0056577B"/>
    <w:rsid w:val="0056578B"/>
    <w:rsid w:val="005657E9"/>
    <w:rsid w:val="00565808"/>
    <w:rsid w:val="005659BC"/>
    <w:rsid w:val="005659E2"/>
    <w:rsid w:val="005659F1"/>
    <w:rsid w:val="00565A61"/>
    <w:rsid w:val="00565AE0"/>
    <w:rsid w:val="00565DCD"/>
    <w:rsid w:val="00565E3D"/>
    <w:rsid w:val="00565F30"/>
    <w:rsid w:val="00565FEF"/>
    <w:rsid w:val="005664F0"/>
    <w:rsid w:val="00566869"/>
    <w:rsid w:val="00566A45"/>
    <w:rsid w:val="00566AC3"/>
    <w:rsid w:val="00566C65"/>
    <w:rsid w:val="00566DF0"/>
    <w:rsid w:val="00566F1D"/>
    <w:rsid w:val="0056730A"/>
    <w:rsid w:val="005673BD"/>
    <w:rsid w:val="005675A5"/>
    <w:rsid w:val="00567619"/>
    <w:rsid w:val="0056764E"/>
    <w:rsid w:val="0056799A"/>
    <w:rsid w:val="00567AD7"/>
    <w:rsid w:val="00567C7A"/>
    <w:rsid w:val="00567EFD"/>
    <w:rsid w:val="0057000A"/>
    <w:rsid w:val="00570040"/>
    <w:rsid w:val="005701B0"/>
    <w:rsid w:val="00570311"/>
    <w:rsid w:val="005703A0"/>
    <w:rsid w:val="005703AC"/>
    <w:rsid w:val="0057075F"/>
    <w:rsid w:val="005708BF"/>
    <w:rsid w:val="005708C4"/>
    <w:rsid w:val="00570B49"/>
    <w:rsid w:val="00570BF4"/>
    <w:rsid w:val="00570C78"/>
    <w:rsid w:val="005710BB"/>
    <w:rsid w:val="005712AF"/>
    <w:rsid w:val="005715B6"/>
    <w:rsid w:val="005715CC"/>
    <w:rsid w:val="005717D1"/>
    <w:rsid w:val="005719A7"/>
    <w:rsid w:val="005719B3"/>
    <w:rsid w:val="00571A23"/>
    <w:rsid w:val="00571B46"/>
    <w:rsid w:val="00571C2B"/>
    <w:rsid w:val="00571FDC"/>
    <w:rsid w:val="00571FFF"/>
    <w:rsid w:val="00572184"/>
    <w:rsid w:val="00572303"/>
    <w:rsid w:val="00572563"/>
    <w:rsid w:val="00572581"/>
    <w:rsid w:val="005726F5"/>
    <w:rsid w:val="005728C2"/>
    <w:rsid w:val="00572B7C"/>
    <w:rsid w:val="00572B89"/>
    <w:rsid w:val="00572BB3"/>
    <w:rsid w:val="00572F94"/>
    <w:rsid w:val="00573651"/>
    <w:rsid w:val="005737CE"/>
    <w:rsid w:val="00573853"/>
    <w:rsid w:val="0057386B"/>
    <w:rsid w:val="005738EF"/>
    <w:rsid w:val="00573AE2"/>
    <w:rsid w:val="00573C90"/>
    <w:rsid w:val="00573C91"/>
    <w:rsid w:val="00573D0A"/>
    <w:rsid w:val="00573F9F"/>
    <w:rsid w:val="00574257"/>
    <w:rsid w:val="0057438F"/>
    <w:rsid w:val="00574A37"/>
    <w:rsid w:val="00574BD7"/>
    <w:rsid w:val="00574D81"/>
    <w:rsid w:val="00574DAF"/>
    <w:rsid w:val="00574E29"/>
    <w:rsid w:val="005750B1"/>
    <w:rsid w:val="00575239"/>
    <w:rsid w:val="00575378"/>
    <w:rsid w:val="00575580"/>
    <w:rsid w:val="0057563E"/>
    <w:rsid w:val="00575786"/>
    <w:rsid w:val="00575E2D"/>
    <w:rsid w:val="00576150"/>
    <w:rsid w:val="00576325"/>
    <w:rsid w:val="0057637B"/>
    <w:rsid w:val="00576545"/>
    <w:rsid w:val="005766E1"/>
    <w:rsid w:val="00576766"/>
    <w:rsid w:val="00576B33"/>
    <w:rsid w:val="00576C4D"/>
    <w:rsid w:val="00576CBE"/>
    <w:rsid w:val="00576CE0"/>
    <w:rsid w:val="00576FFE"/>
    <w:rsid w:val="005770DA"/>
    <w:rsid w:val="005771FC"/>
    <w:rsid w:val="00577453"/>
    <w:rsid w:val="005775CA"/>
    <w:rsid w:val="00577625"/>
    <w:rsid w:val="00577730"/>
    <w:rsid w:val="00577A17"/>
    <w:rsid w:val="00577A46"/>
    <w:rsid w:val="00577EAE"/>
    <w:rsid w:val="005804AA"/>
    <w:rsid w:val="00580717"/>
    <w:rsid w:val="0058085D"/>
    <w:rsid w:val="00580935"/>
    <w:rsid w:val="00580973"/>
    <w:rsid w:val="00580AAB"/>
    <w:rsid w:val="00580C44"/>
    <w:rsid w:val="00580D42"/>
    <w:rsid w:val="00580DFA"/>
    <w:rsid w:val="00580F98"/>
    <w:rsid w:val="00581380"/>
    <w:rsid w:val="005818BA"/>
    <w:rsid w:val="00581FC2"/>
    <w:rsid w:val="0058200D"/>
    <w:rsid w:val="00582055"/>
    <w:rsid w:val="005820A9"/>
    <w:rsid w:val="0058213D"/>
    <w:rsid w:val="005823FE"/>
    <w:rsid w:val="00582473"/>
    <w:rsid w:val="005824CA"/>
    <w:rsid w:val="005825EB"/>
    <w:rsid w:val="0058272F"/>
    <w:rsid w:val="00582A2B"/>
    <w:rsid w:val="00582AAE"/>
    <w:rsid w:val="00582BAD"/>
    <w:rsid w:val="00582E3F"/>
    <w:rsid w:val="00582FAE"/>
    <w:rsid w:val="005831A2"/>
    <w:rsid w:val="005831FF"/>
    <w:rsid w:val="00583502"/>
    <w:rsid w:val="005835DE"/>
    <w:rsid w:val="00583668"/>
    <w:rsid w:val="005839D4"/>
    <w:rsid w:val="00583B23"/>
    <w:rsid w:val="00583D2C"/>
    <w:rsid w:val="00583E6D"/>
    <w:rsid w:val="00583EA1"/>
    <w:rsid w:val="0058408A"/>
    <w:rsid w:val="005840A5"/>
    <w:rsid w:val="005840E1"/>
    <w:rsid w:val="00584111"/>
    <w:rsid w:val="0058415C"/>
    <w:rsid w:val="00584417"/>
    <w:rsid w:val="00584420"/>
    <w:rsid w:val="00584435"/>
    <w:rsid w:val="00584502"/>
    <w:rsid w:val="005845F8"/>
    <w:rsid w:val="00584610"/>
    <w:rsid w:val="00584719"/>
    <w:rsid w:val="005848F1"/>
    <w:rsid w:val="00584919"/>
    <w:rsid w:val="00584928"/>
    <w:rsid w:val="00584953"/>
    <w:rsid w:val="005849D6"/>
    <w:rsid w:val="00584A7D"/>
    <w:rsid w:val="00584C95"/>
    <w:rsid w:val="00584CC9"/>
    <w:rsid w:val="00584D77"/>
    <w:rsid w:val="00584EA9"/>
    <w:rsid w:val="00585144"/>
    <w:rsid w:val="005851BA"/>
    <w:rsid w:val="0058527B"/>
    <w:rsid w:val="0058533B"/>
    <w:rsid w:val="005855BF"/>
    <w:rsid w:val="0058597F"/>
    <w:rsid w:val="00585A32"/>
    <w:rsid w:val="00585BF5"/>
    <w:rsid w:val="00585C86"/>
    <w:rsid w:val="00585CEF"/>
    <w:rsid w:val="00585F6B"/>
    <w:rsid w:val="005860FB"/>
    <w:rsid w:val="00586210"/>
    <w:rsid w:val="00586226"/>
    <w:rsid w:val="00586249"/>
    <w:rsid w:val="005862B3"/>
    <w:rsid w:val="00586631"/>
    <w:rsid w:val="005866E4"/>
    <w:rsid w:val="005866E9"/>
    <w:rsid w:val="00586725"/>
    <w:rsid w:val="005867A1"/>
    <w:rsid w:val="005868DC"/>
    <w:rsid w:val="005869AB"/>
    <w:rsid w:val="00586B1C"/>
    <w:rsid w:val="00586BA0"/>
    <w:rsid w:val="00586EF5"/>
    <w:rsid w:val="0058714D"/>
    <w:rsid w:val="005872D3"/>
    <w:rsid w:val="00587423"/>
    <w:rsid w:val="0058764D"/>
    <w:rsid w:val="0058765B"/>
    <w:rsid w:val="00587791"/>
    <w:rsid w:val="00587796"/>
    <w:rsid w:val="005877C3"/>
    <w:rsid w:val="00587DCE"/>
    <w:rsid w:val="00590092"/>
    <w:rsid w:val="00590312"/>
    <w:rsid w:val="00590494"/>
    <w:rsid w:val="005904C9"/>
    <w:rsid w:val="005905E4"/>
    <w:rsid w:val="00590693"/>
    <w:rsid w:val="0059071A"/>
    <w:rsid w:val="005908D9"/>
    <w:rsid w:val="00590A1A"/>
    <w:rsid w:val="00590A45"/>
    <w:rsid w:val="00590A57"/>
    <w:rsid w:val="00590B4D"/>
    <w:rsid w:val="00590B67"/>
    <w:rsid w:val="00590B74"/>
    <w:rsid w:val="00590E51"/>
    <w:rsid w:val="00590E72"/>
    <w:rsid w:val="00590EEF"/>
    <w:rsid w:val="00591152"/>
    <w:rsid w:val="005911D8"/>
    <w:rsid w:val="00591650"/>
    <w:rsid w:val="00591686"/>
    <w:rsid w:val="005916BC"/>
    <w:rsid w:val="00591750"/>
    <w:rsid w:val="005917D0"/>
    <w:rsid w:val="00591C1B"/>
    <w:rsid w:val="00591DE6"/>
    <w:rsid w:val="00591E5B"/>
    <w:rsid w:val="00591EF1"/>
    <w:rsid w:val="00591F31"/>
    <w:rsid w:val="0059213D"/>
    <w:rsid w:val="0059228D"/>
    <w:rsid w:val="005922E9"/>
    <w:rsid w:val="00592411"/>
    <w:rsid w:val="00592454"/>
    <w:rsid w:val="00592936"/>
    <w:rsid w:val="0059294C"/>
    <w:rsid w:val="00592A98"/>
    <w:rsid w:val="00592AB4"/>
    <w:rsid w:val="00592B6C"/>
    <w:rsid w:val="00592BF6"/>
    <w:rsid w:val="00592C22"/>
    <w:rsid w:val="00592DF1"/>
    <w:rsid w:val="00592F8A"/>
    <w:rsid w:val="00593057"/>
    <w:rsid w:val="0059341F"/>
    <w:rsid w:val="005935C9"/>
    <w:rsid w:val="005936E6"/>
    <w:rsid w:val="00593822"/>
    <w:rsid w:val="00593BBE"/>
    <w:rsid w:val="00593C57"/>
    <w:rsid w:val="00593F95"/>
    <w:rsid w:val="0059419B"/>
    <w:rsid w:val="005941A3"/>
    <w:rsid w:val="005944F1"/>
    <w:rsid w:val="00594840"/>
    <w:rsid w:val="0059494D"/>
    <w:rsid w:val="00594C43"/>
    <w:rsid w:val="00594DCE"/>
    <w:rsid w:val="00594E17"/>
    <w:rsid w:val="00594FD6"/>
    <w:rsid w:val="00595060"/>
    <w:rsid w:val="00595082"/>
    <w:rsid w:val="005950D0"/>
    <w:rsid w:val="00595139"/>
    <w:rsid w:val="00595257"/>
    <w:rsid w:val="005953BC"/>
    <w:rsid w:val="00595617"/>
    <w:rsid w:val="005959F6"/>
    <w:rsid w:val="00595D73"/>
    <w:rsid w:val="00595DF2"/>
    <w:rsid w:val="00595F17"/>
    <w:rsid w:val="00595F2E"/>
    <w:rsid w:val="00596257"/>
    <w:rsid w:val="005963E0"/>
    <w:rsid w:val="00596575"/>
    <w:rsid w:val="005967D0"/>
    <w:rsid w:val="005968D6"/>
    <w:rsid w:val="00596906"/>
    <w:rsid w:val="0059694D"/>
    <w:rsid w:val="00596E50"/>
    <w:rsid w:val="00596E58"/>
    <w:rsid w:val="00596F28"/>
    <w:rsid w:val="00597006"/>
    <w:rsid w:val="005970DF"/>
    <w:rsid w:val="00597111"/>
    <w:rsid w:val="00597249"/>
    <w:rsid w:val="0059736E"/>
    <w:rsid w:val="00597630"/>
    <w:rsid w:val="005976C7"/>
    <w:rsid w:val="00597711"/>
    <w:rsid w:val="0059786B"/>
    <w:rsid w:val="0059793F"/>
    <w:rsid w:val="00597CD9"/>
    <w:rsid w:val="00597D24"/>
    <w:rsid w:val="00597D62"/>
    <w:rsid w:val="00597FBF"/>
    <w:rsid w:val="005A0112"/>
    <w:rsid w:val="005A022B"/>
    <w:rsid w:val="005A08CA"/>
    <w:rsid w:val="005A09C3"/>
    <w:rsid w:val="005A0A21"/>
    <w:rsid w:val="005A0A4D"/>
    <w:rsid w:val="005A0C86"/>
    <w:rsid w:val="005A1028"/>
    <w:rsid w:val="005A1073"/>
    <w:rsid w:val="005A1124"/>
    <w:rsid w:val="005A1152"/>
    <w:rsid w:val="005A1161"/>
    <w:rsid w:val="005A1544"/>
    <w:rsid w:val="005A1699"/>
    <w:rsid w:val="005A16B5"/>
    <w:rsid w:val="005A171C"/>
    <w:rsid w:val="005A17EB"/>
    <w:rsid w:val="005A1A19"/>
    <w:rsid w:val="005A1D6E"/>
    <w:rsid w:val="005A1DD4"/>
    <w:rsid w:val="005A2038"/>
    <w:rsid w:val="005A203F"/>
    <w:rsid w:val="005A2270"/>
    <w:rsid w:val="005A2520"/>
    <w:rsid w:val="005A2870"/>
    <w:rsid w:val="005A290F"/>
    <w:rsid w:val="005A298E"/>
    <w:rsid w:val="005A29BF"/>
    <w:rsid w:val="005A2A67"/>
    <w:rsid w:val="005A2A6C"/>
    <w:rsid w:val="005A2AA4"/>
    <w:rsid w:val="005A2AC0"/>
    <w:rsid w:val="005A2FE1"/>
    <w:rsid w:val="005A3099"/>
    <w:rsid w:val="005A3156"/>
    <w:rsid w:val="005A321B"/>
    <w:rsid w:val="005A32AE"/>
    <w:rsid w:val="005A35A4"/>
    <w:rsid w:val="005A3702"/>
    <w:rsid w:val="005A3935"/>
    <w:rsid w:val="005A3948"/>
    <w:rsid w:val="005A3A5E"/>
    <w:rsid w:val="005A3B90"/>
    <w:rsid w:val="005A4279"/>
    <w:rsid w:val="005A42C1"/>
    <w:rsid w:val="005A437C"/>
    <w:rsid w:val="005A46AC"/>
    <w:rsid w:val="005A4784"/>
    <w:rsid w:val="005A47B8"/>
    <w:rsid w:val="005A47E3"/>
    <w:rsid w:val="005A486F"/>
    <w:rsid w:val="005A496D"/>
    <w:rsid w:val="005A4FA1"/>
    <w:rsid w:val="005A53C2"/>
    <w:rsid w:val="005A54F0"/>
    <w:rsid w:val="005A55A8"/>
    <w:rsid w:val="005A55BA"/>
    <w:rsid w:val="005A5719"/>
    <w:rsid w:val="005A5818"/>
    <w:rsid w:val="005A5E32"/>
    <w:rsid w:val="005A5FC9"/>
    <w:rsid w:val="005A62D9"/>
    <w:rsid w:val="005A62F8"/>
    <w:rsid w:val="005A63DF"/>
    <w:rsid w:val="005A6417"/>
    <w:rsid w:val="005A646F"/>
    <w:rsid w:val="005A6511"/>
    <w:rsid w:val="005A66A3"/>
    <w:rsid w:val="005A66CD"/>
    <w:rsid w:val="005A6815"/>
    <w:rsid w:val="005A6990"/>
    <w:rsid w:val="005A6AEE"/>
    <w:rsid w:val="005A6BBD"/>
    <w:rsid w:val="005A6C24"/>
    <w:rsid w:val="005A6CF7"/>
    <w:rsid w:val="005A6D48"/>
    <w:rsid w:val="005A6FD6"/>
    <w:rsid w:val="005A7110"/>
    <w:rsid w:val="005A721E"/>
    <w:rsid w:val="005A72C5"/>
    <w:rsid w:val="005A77C8"/>
    <w:rsid w:val="005A7865"/>
    <w:rsid w:val="005A7937"/>
    <w:rsid w:val="005A7AC2"/>
    <w:rsid w:val="005A7AE6"/>
    <w:rsid w:val="005A7B78"/>
    <w:rsid w:val="005A7D8D"/>
    <w:rsid w:val="005A7E1C"/>
    <w:rsid w:val="005A7E5C"/>
    <w:rsid w:val="005B01AC"/>
    <w:rsid w:val="005B0494"/>
    <w:rsid w:val="005B058F"/>
    <w:rsid w:val="005B08D7"/>
    <w:rsid w:val="005B094D"/>
    <w:rsid w:val="005B0B1A"/>
    <w:rsid w:val="005B0B2A"/>
    <w:rsid w:val="005B0D45"/>
    <w:rsid w:val="005B0FEB"/>
    <w:rsid w:val="005B1077"/>
    <w:rsid w:val="005B119C"/>
    <w:rsid w:val="005B13E9"/>
    <w:rsid w:val="005B159A"/>
    <w:rsid w:val="005B15D6"/>
    <w:rsid w:val="005B1673"/>
    <w:rsid w:val="005B169C"/>
    <w:rsid w:val="005B175C"/>
    <w:rsid w:val="005B18F9"/>
    <w:rsid w:val="005B1AC1"/>
    <w:rsid w:val="005B1B19"/>
    <w:rsid w:val="005B1D8F"/>
    <w:rsid w:val="005B1FAA"/>
    <w:rsid w:val="005B2130"/>
    <w:rsid w:val="005B23FE"/>
    <w:rsid w:val="005B244F"/>
    <w:rsid w:val="005B24CF"/>
    <w:rsid w:val="005B26C0"/>
    <w:rsid w:val="005B27FF"/>
    <w:rsid w:val="005B2A19"/>
    <w:rsid w:val="005B2B9A"/>
    <w:rsid w:val="005B2C00"/>
    <w:rsid w:val="005B2C95"/>
    <w:rsid w:val="005B3119"/>
    <w:rsid w:val="005B3223"/>
    <w:rsid w:val="005B3347"/>
    <w:rsid w:val="005B3366"/>
    <w:rsid w:val="005B340B"/>
    <w:rsid w:val="005B388C"/>
    <w:rsid w:val="005B3CE4"/>
    <w:rsid w:val="005B3E98"/>
    <w:rsid w:val="005B3FAF"/>
    <w:rsid w:val="005B4025"/>
    <w:rsid w:val="005B40B2"/>
    <w:rsid w:val="005B4133"/>
    <w:rsid w:val="005B424D"/>
    <w:rsid w:val="005B43A8"/>
    <w:rsid w:val="005B43E9"/>
    <w:rsid w:val="005B458E"/>
    <w:rsid w:val="005B47BA"/>
    <w:rsid w:val="005B47FB"/>
    <w:rsid w:val="005B4B82"/>
    <w:rsid w:val="005B4E06"/>
    <w:rsid w:val="005B4E55"/>
    <w:rsid w:val="005B505D"/>
    <w:rsid w:val="005B50D9"/>
    <w:rsid w:val="005B5706"/>
    <w:rsid w:val="005B592F"/>
    <w:rsid w:val="005B598C"/>
    <w:rsid w:val="005B5994"/>
    <w:rsid w:val="005B5AEF"/>
    <w:rsid w:val="005B5CEE"/>
    <w:rsid w:val="005B5D8F"/>
    <w:rsid w:val="005B5F47"/>
    <w:rsid w:val="005B625B"/>
    <w:rsid w:val="005B6272"/>
    <w:rsid w:val="005B6431"/>
    <w:rsid w:val="005B64B9"/>
    <w:rsid w:val="005B661E"/>
    <w:rsid w:val="005B66D5"/>
    <w:rsid w:val="005B66F8"/>
    <w:rsid w:val="005B67A4"/>
    <w:rsid w:val="005B67AC"/>
    <w:rsid w:val="005B685A"/>
    <w:rsid w:val="005B6944"/>
    <w:rsid w:val="005B6B08"/>
    <w:rsid w:val="005B6FFF"/>
    <w:rsid w:val="005B7105"/>
    <w:rsid w:val="005B7124"/>
    <w:rsid w:val="005B71C2"/>
    <w:rsid w:val="005B71EC"/>
    <w:rsid w:val="005B72D4"/>
    <w:rsid w:val="005B73CE"/>
    <w:rsid w:val="005B76C8"/>
    <w:rsid w:val="005B77BC"/>
    <w:rsid w:val="005B7953"/>
    <w:rsid w:val="005B7A06"/>
    <w:rsid w:val="005B7B66"/>
    <w:rsid w:val="005B7BBC"/>
    <w:rsid w:val="005B7BC1"/>
    <w:rsid w:val="005B7CE7"/>
    <w:rsid w:val="005B7DF6"/>
    <w:rsid w:val="005B7E02"/>
    <w:rsid w:val="005B7FC9"/>
    <w:rsid w:val="005C01B4"/>
    <w:rsid w:val="005C024B"/>
    <w:rsid w:val="005C02B9"/>
    <w:rsid w:val="005C0385"/>
    <w:rsid w:val="005C08BA"/>
    <w:rsid w:val="005C0B2F"/>
    <w:rsid w:val="005C0C90"/>
    <w:rsid w:val="005C0DFF"/>
    <w:rsid w:val="005C1037"/>
    <w:rsid w:val="005C10B9"/>
    <w:rsid w:val="005C10D9"/>
    <w:rsid w:val="005C1101"/>
    <w:rsid w:val="005C1225"/>
    <w:rsid w:val="005C1381"/>
    <w:rsid w:val="005C14BB"/>
    <w:rsid w:val="005C14E3"/>
    <w:rsid w:val="005C168E"/>
    <w:rsid w:val="005C175C"/>
    <w:rsid w:val="005C185A"/>
    <w:rsid w:val="005C1A90"/>
    <w:rsid w:val="005C1CBB"/>
    <w:rsid w:val="005C2090"/>
    <w:rsid w:val="005C21A6"/>
    <w:rsid w:val="005C22F5"/>
    <w:rsid w:val="005C237D"/>
    <w:rsid w:val="005C252C"/>
    <w:rsid w:val="005C2670"/>
    <w:rsid w:val="005C26A9"/>
    <w:rsid w:val="005C2758"/>
    <w:rsid w:val="005C297F"/>
    <w:rsid w:val="005C2AA3"/>
    <w:rsid w:val="005C2D86"/>
    <w:rsid w:val="005C2DB6"/>
    <w:rsid w:val="005C2F77"/>
    <w:rsid w:val="005C316B"/>
    <w:rsid w:val="005C31D5"/>
    <w:rsid w:val="005C3496"/>
    <w:rsid w:val="005C3572"/>
    <w:rsid w:val="005C373B"/>
    <w:rsid w:val="005C37A3"/>
    <w:rsid w:val="005C38D0"/>
    <w:rsid w:val="005C3923"/>
    <w:rsid w:val="005C3B25"/>
    <w:rsid w:val="005C3C00"/>
    <w:rsid w:val="005C3CA4"/>
    <w:rsid w:val="005C3CD8"/>
    <w:rsid w:val="005C3DA9"/>
    <w:rsid w:val="005C3E54"/>
    <w:rsid w:val="005C3E71"/>
    <w:rsid w:val="005C3EF8"/>
    <w:rsid w:val="005C4077"/>
    <w:rsid w:val="005C4435"/>
    <w:rsid w:val="005C475A"/>
    <w:rsid w:val="005C4876"/>
    <w:rsid w:val="005C4967"/>
    <w:rsid w:val="005C4A97"/>
    <w:rsid w:val="005C4AB9"/>
    <w:rsid w:val="005C4E35"/>
    <w:rsid w:val="005C4F4C"/>
    <w:rsid w:val="005C5007"/>
    <w:rsid w:val="005C5050"/>
    <w:rsid w:val="005C5143"/>
    <w:rsid w:val="005C5211"/>
    <w:rsid w:val="005C54CA"/>
    <w:rsid w:val="005C5531"/>
    <w:rsid w:val="005C557E"/>
    <w:rsid w:val="005C5659"/>
    <w:rsid w:val="005C568A"/>
    <w:rsid w:val="005C5A88"/>
    <w:rsid w:val="005C5ABE"/>
    <w:rsid w:val="005C5C8A"/>
    <w:rsid w:val="005C5DCD"/>
    <w:rsid w:val="005C5F20"/>
    <w:rsid w:val="005C5FC3"/>
    <w:rsid w:val="005C641C"/>
    <w:rsid w:val="005C6432"/>
    <w:rsid w:val="005C65D7"/>
    <w:rsid w:val="005C6729"/>
    <w:rsid w:val="005C67CC"/>
    <w:rsid w:val="005C6D01"/>
    <w:rsid w:val="005C70D3"/>
    <w:rsid w:val="005C7169"/>
    <w:rsid w:val="005C718C"/>
    <w:rsid w:val="005C752A"/>
    <w:rsid w:val="005C752F"/>
    <w:rsid w:val="005C7562"/>
    <w:rsid w:val="005C7810"/>
    <w:rsid w:val="005C7930"/>
    <w:rsid w:val="005C7978"/>
    <w:rsid w:val="005C7B20"/>
    <w:rsid w:val="005C7B6B"/>
    <w:rsid w:val="005C7C0D"/>
    <w:rsid w:val="005C7C2F"/>
    <w:rsid w:val="005C7DA0"/>
    <w:rsid w:val="005D02B2"/>
    <w:rsid w:val="005D0309"/>
    <w:rsid w:val="005D0485"/>
    <w:rsid w:val="005D04F2"/>
    <w:rsid w:val="005D055D"/>
    <w:rsid w:val="005D0715"/>
    <w:rsid w:val="005D085B"/>
    <w:rsid w:val="005D0861"/>
    <w:rsid w:val="005D0B86"/>
    <w:rsid w:val="005D0E59"/>
    <w:rsid w:val="005D0E5F"/>
    <w:rsid w:val="005D0FCB"/>
    <w:rsid w:val="005D104C"/>
    <w:rsid w:val="005D12CA"/>
    <w:rsid w:val="005D13D2"/>
    <w:rsid w:val="005D198E"/>
    <w:rsid w:val="005D1C11"/>
    <w:rsid w:val="005D1E10"/>
    <w:rsid w:val="005D2431"/>
    <w:rsid w:val="005D25CC"/>
    <w:rsid w:val="005D26DF"/>
    <w:rsid w:val="005D275E"/>
    <w:rsid w:val="005D298F"/>
    <w:rsid w:val="005D2A71"/>
    <w:rsid w:val="005D33ED"/>
    <w:rsid w:val="005D3559"/>
    <w:rsid w:val="005D3601"/>
    <w:rsid w:val="005D36D3"/>
    <w:rsid w:val="005D387C"/>
    <w:rsid w:val="005D38ED"/>
    <w:rsid w:val="005D3ACE"/>
    <w:rsid w:val="005D3BD8"/>
    <w:rsid w:val="005D3BE7"/>
    <w:rsid w:val="005D3C65"/>
    <w:rsid w:val="005D3CCC"/>
    <w:rsid w:val="005D3E22"/>
    <w:rsid w:val="005D3E4B"/>
    <w:rsid w:val="005D3F02"/>
    <w:rsid w:val="005D3FE3"/>
    <w:rsid w:val="005D401C"/>
    <w:rsid w:val="005D4054"/>
    <w:rsid w:val="005D4071"/>
    <w:rsid w:val="005D41AF"/>
    <w:rsid w:val="005D4352"/>
    <w:rsid w:val="005D44D3"/>
    <w:rsid w:val="005D49C7"/>
    <w:rsid w:val="005D4BAB"/>
    <w:rsid w:val="005D4F16"/>
    <w:rsid w:val="005D5226"/>
    <w:rsid w:val="005D5274"/>
    <w:rsid w:val="005D530B"/>
    <w:rsid w:val="005D57F3"/>
    <w:rsid w:val="005D5CFA"/>
    <w:rsid w:val="005D5E7A"/>
    <w:rsid w:val="005D5E7B"/>
    <w:rsid w:val="005D644E"/>
    <w:rsid w:val="005D667E"/>
    <w:rsid w:val="005D6737"/>
    <w:rsid w:val="005D69CE"/>
    <w:rsid w:val="005D6AA6"/>
    <w:rsid w:val="005D6B1C"/>
    <w:rsid w:val="005D6D32"/>
    <w:rsid w:val="005D6F0F"/>
    <w:rsid w:val="005D6F4C"/>
    <w:rsid w:val="005D6F7D"/>
    <w:rsid w:val="005D7D83"/>
    <w:rsid w:val="005D7F73"/>
    <w:rsid w:val="005D7F95"/>
    <w:rsid w:val="005E0155"/>
    <w:rsid w:val="005E01B6"/>
    <w:rsid w:val="005E01C7"/>
    <w:rsid w:val="005E0227"/>
    <w:rsid w:val="005E02C6"/>
    <w:rsid w:val="005E042F"/>
    <w:rsid w:val="005E0491"/>
    <w:rsid w:val="005E04B8"/>
    <w:rsid w:val="005E04EF"/>
    <w:rsid w:val="005E05B2"/>
    <w:rsid w:val="005E05E0"/>
    <w:rsid w:val="005E0665"/>
    <w:rsid w:val="005E0671"/>
    <w:rsid w:val="005E07A3"/>
    <w:rsid w:val="005E086D"/>
    <w:rsid w:val="005E0931"/>
    <w:rsid w:val="005E09B1"/>
    <w:rsid w:val="005E0A14"/>
    <w:rsid w:val="005E0AAC"/>
    <w:rsid w:val="005E0D1D"/>
    <w:rsid w:val="005E0E45"/>
    <w:rsid w:val="005E0F90"/>
    <w:rsid w:val="005E1153"/>
    <w:rsid w:val="005E11E9"/>
    <w:rsid w:val="005E16A5"/>
    <w:rsid w:val="005E1706"/>
    <w:rsid w:val="005E170D"/>
    <w:rsid w:val="005E1C01"/>
    <w:rsid w:val="005E1C73"/>
    <w:rsid w:val="005E21DB"/>
    <w:rsid w:val="005E2314"/>
    <w:rsid w:val="005E23C2"/>
    <w:rsid w:val="005E24CA"/>
    <w:rsid w:val="005E27D6"/>
    <w:rsid w:val="005E2A3E"/>
    <w:rsid w:val="005E2A98"/>
    <w:rsid w:val="005E2CD4"/>
    <w:rsid w:val="005E2E1E"/>
    <w:rsid w:val="005E2E29"/>
    <w:rsid w:val="005E2F57"/>
    <w:rsid w:val="005E2FD5"/>
    <w:rsid w:val="005E2FEB"/>
    <w:rsid w:val="005E3217"/>
    <w:rsid w:val="005E33F7"/>
    <w:rsid w:val="005E3584"/>
    <w:rsid w:val="005E3659"/>
    <w:rsid w:val="005E36DF"/>
    <w:rsid w:val="005E3805"/>
    <w:rsid w:val="005E3933"/>
    <w:rsid w:val="005E39F6"/>
    <w:rsid w:val="005E3C38"/>
    <w:rsid w:val="005E3C4D"/>
    <w:rsid w:val="005E3D61"/>
    <w:rsid w:val="005E3E9C"/>
    <w:rsid w:val="005E3E9D"/>
    <w:rsid w:val="005E3F2C"/>
    <w:rsid w:val="005E41FF"/>
    <w:rsid w:val="005E4219"/>
    <w:rsid w:val="005E440A"/>
    <w:rsid w:val="005E4547"/>
    <w:rsid w:val="005E4693"/>
    <w:rsid w:val="005E47C7"/>
    <w:rsid w:val="005E4A31"/>
    <w:rsid w:val="005E4E6F"/>
    <w:rsid w:val="005E4FC2"/>
    <w:rsid w:val="005E5295"/>
    <w:rsid w:val="005E5620"/>
    <w:rsid w:val="005E5780"/>
    <w:rsid w:val="005E58A6"/>
    <w:rsid w:val="005E5BED"/>
    <w:rsid w:val="005E5DE8"/>
    <w:rsid w:val="005E60B2"/>
    <w:rsid w:val="005E628C"/>
    <w:rsid w:val="005E6C5F"/>
    <w:rsid w:val="005E6DD7"/>
    <w:rsid w:val="005E70BC"/>
    <w:rsid w:val="005E70E8"/>
    <w:rsid w:val="005E7161"/>
    <w:rsid w:val="005E7213"/>
    <w:rsid w:val="005E76B6"/>
    <w:rsid w:val="005E7880"/>
    <w:rsid w:val="005E78BD"/>
    <w:rsid w:val="005E7901"/>
    <w:rsid w:val="005E7B26"/>
    <w:rsid w:val="005E7D22"/>
    <w:rsid w:val="005F011B"/>
    <w:rsid w:val="005F0260"/>
    <w:rsid w:val="005F05B2"/>
    <w:rsid w:val="005F06B6"/>
    <w:rsid w:val="005F06D9"/>
    <w:rsid w:val="005F08EC"/>
    <w:rsid w:val="005F0905"/>
    <w:rsid w:val="005F097C"/>
    <w:rsid w:val="005F0AE3"/>
    <w:rsid w:val="005F0DB8"/>
    <w:rsid w:val="005F0E56"/>
    <w:rsid w:val="005F0EA0"/>
    <w:rsid w:val="005F0F36"/>
    <w:rsid w:val="005F10EB"/>
    <w:rsid w:val="005F1329"/>
    <w:rsid w:val="005F152D"/>
    <w:rsid w:val="005F1555"/>
    <w:rsid w:val="005F177F"/>
    <w:rsid w:val="005F187A"/>
    <w:rsid w:val="005F1A3E"/>
    <w:rsid w:val="005F2482"/>
    <w:rsid w:val="005F26EC"/>
    <w:rsid w:val="005F2750"/>
    <w:rsid w:val="005F2873"/>
    <w:rsid w:val="005F2AB1"/>
    <w:rsid w:val="005F2E8F"/>
    <w:rsid w:val="005F2F75"/>
    <w:rsid w:val="005F30AA"/>
    <w:rsid w:val="005F3200"/>
    <w:rsid w:val="005F327A"/>
    <w:rsid w:val="005F32B6"/>
    <w:rsid w:val="005F351D"/>
    <w:rsid w:val="005F3705"/>
    <w:rsid w:val="005F37D3"/>
    <w:rsid w:val="005F3833"/>
    <w:rsid w:val="005F38C6"/>
    <w:rsid w:val="005F38F2"/>
    <w:rsid w:val="005F39CC"/>
    <w:rsid w:val="005F3BB6"/>
    <w:rsid w:val="005F3D00"/>
    <w:rsid w:val="005F3D3B"/>
    <w:rsid w:val="005F4CB9"/>
    <w:rsid w:val="005F4CF8"/>
    <w:rsid w:val="005F4D39"/>
    <w:rsid w:val="005F4FE6"/>
    <w:rsid w:val="005F5075"/>
    <w:rsid w:val="005F53A2"/>
    <w:rsid w:val="005F54F9"/>
    <w:rsid w:val="005F5509"/>
    <w:rsid w:val="005F55BA"/>
    <w:rsid w:val="005F5909"/>
    <w:rsid w:val="005F5931"/>
    <w:rsid w:val="005F59CB"/>
    <w:rsid w:val="005F5A1B"/>
    <w:rsid w:val="005F5BE7"/>
    <w:rsid w:val="005F5CD3"/>
    <w:rsid w:val="005F6072"/>
    <w:rsid w:val="005F61A7"/>
    <w:rsid w:val="005F62C0"/>
    <w:rsid w:val="005F62D8"/>
    <w:rsid w:val="005F634F"/>
    <w:rsid w:val="005F65AF"/>
    <w:rsid w:val="005F67DA"/>
    <w:rsid w:val="005F6916"/>
    <w:rsid w:val="005F6A5E"/>
    <w:rsid w:val="005F6EEB"/>
    <w:rsid w:val="005F7040"/>
    <w:rsid w:val="005F7209"/>
    <w:rsid w:val="005F721E"/>
    <w:rsid w:val="005F7637"/>
    <w:rsid w:val="005F79C2"/>
    <w:rsid w:val="005F7BB8"/>
    <w:rsid w:val="005F7C9D"/>
    <w:rsid w:val="005F7D66"/>
    <w:rsid w:val="005F7D69"/>
    <w:rsid w:val="005F7ED6"/>
    <w:rsid w:val="0060008F"/>
    <w:rsid w:val="0060015F"/>
    <w:rsid w:val="00600451"/>
    <w:rsid w:val="0060056C"/>
    <w:rsid w:val="0060088C"/>
    <w:rsid w:val="006009DE"/>
    <w:rsid w:val="00600B50"/>
    <w:rsid w:val="00600BF9"/>
    <w:rsid w:val="00600CE6"/>
    <w:rsid w:val="00600F4D"/>
    <w:rsid w:val="0060101E"/>
    <w:rsid w:val="00601173"/>
    <w:rsid w:val="006017B8"/>
    <w:rsid w:val="00601812"/>
    <w:rsid w:val="00601938"/>
    <w:rsid w:val="006019E0"/>
    <w:rsid w:val="00601A94"/>
    <w:rsid w:val="00601C71"/>
    <w:rsid w:val="00601E3D"/>
    <w:rsid w:val="00602234"/>
    <w:rsid w:val="006023BA"/>
    <w:rsid w:val="00602548"/>
    <w:rsid w:val="006027C8"/>
    <w:rsid w:val="006027FC"/>
    <w:rsid w:val="00602957"/>
    <w:rsid w:val="00602A15"/>
    <w:rsid w:val="00602BE5"/>
    <w:rsid w:val="00602E07"/>
    <w:rsid w:val="00602E0E"/>
    <w:rsid w:val="00602E10"/>
    <w:rsid w:val="00602E50"/>
    <w:rsid w:val="00602E66"/>
    <w:rsid w:val="00602E91"/>
    <w:rsid w:val="00602F55"/>
    <w:rsid w:val="00603153"/>
    <w:rsid w:val="00603167"/>
    <w:rsid w:val="00603295"/>
    <w:rsid w:val="006035DA"/>
    <w:rsid w:val="00603775"/>
    <w:rsid w:val="006037E3"/>
    <w:rsid w:val="00603B7A"/>
    <w:rsid w:val="00603DBB"/>
    <w:rsid w:val="00603DCA"/>
    <w:rsid w:val="00603E6B"/>
    <w:rsid w:val="0060403B"/>
    <w:rsid w:val="0060424A"/>
    <w:rsid w:val="006042AC"/>
    <w:rsid w:val="006042C6"/>
    <w:rsid w:val="00604447"/>
    <w:rsid w:val="00604499"/>
    <w:rsid w:val="00604521"/>
    <w:rsid w:val="0060453D"/>
    <w:rsid w:val="0060461B"/>
    <w:rsid w:val="0060493D"/>
    <w:rsid w:val="0060497F"/>
    <w:rsid w:val="00604C84"/>
    <w:rsid w:val="00604CBE"/>
    <w:rsid w:val="00604D88"/>
    <w:rsid w:val="0060521E"/>
    <w:rsid w:val="0060525B"/>
    <w:rsid w:val="00605289"/>
    <w:rsid w:val="006052C4"/>
    <w:rsid w:val="006053CD"/>
    <w:rsid w:val="006055B1"/>
    <w:rsid w:val="00605816"/>
    <w:rsid w:val="00605836"/>
    <w:rsid w:val="00605A01"/>
    <w:rsid w:val="00605B4B"/>
    <w:rsid w:val="00605BDE"/>
    <w:rsid w:val="00605BEA"/>
    <w:rsid w:val="00605C0F"/>
    <w:rsid w:val="00605C73"/>
    <w:rsid w:val="00605D31"/>
    <w:rsid w:val="00605DC3"/>
    <w:rsid w:val="006060F2"/>
    <w:rsid w:val="006061AE"/>
    <w:rsid w:val="006061BD"/>
    <w:rsid w:val="00606351"/>
    <w:rsid w:val="00606586"/>
    <w:rsid w:val="006066FB"/>
    <w:rsid w:val="00606728"/>
    <w:rsid w:val="0060675E"/>
    <w:rsid w:val="006067C6"/>
    <w:rsid w:val="006068DE"/>
    <w:rsid w:val="00606972"/>
    <w:rsid w:val="006070AE"/>
    <w:rsid w:val="006071D1"/>
    <w:rsid w:val="00607202"/>
    <w:rsid w:val="006072B8"/>
    <w:rsid w:val="006072EB"/>
    <w:rsid w:val="00607331"/>
    <w:rsid w:val="00607462"/>
    <w:rsid w:val="00607681"/>
    <w:rsid w:val="006076A7"/>
    <w:rsid w:val="006077B7"/>
    <w:rsid w:val="006078D8"/>
    <w:rsid w:val="00607986"/>
    <w:rsid w:val="00607CD4"/>
    <w:rsid w:val="00607F46"/>
    <w:rsid w:val="0061039D"/>
    <w:rsid w:val="00610403"/>
    <w:rsid w:val="00610449"/>
    <w:rsid w:val="006104B6"/>
    <w:rsid w:val="006104F0"/>
    <w:rsid w:val="006109E0"/>
    <w:rsid w:val="00610A3F"/>
    <w:rsid w:val="00610B02"/>
    <w:rsid w:val="006111A6"/>
    <w:rsid w:val="0061122F"/>
    <w:rsid w:val="00611531"/>
    <w:rsid w:val="0061191D"/>
    <w:rsid w:val="00611921"/>
    <w:rsid w:val="00611D05"/>
    <w:rsid w:val="006124B4"/>
    <w:rsid w:val="006128F5"/>
    <w:rsid w:val="00612EB9"/>
    <w:rsid w:val="00612F93"/>
    <w:rsid w:val="00613009"/>
    <w:rsid w:val="0061322A"/>
    <w:rsid w:val="00613385"/>
    <w:rsid w:val="006133F9"/>
    <w:rsid w:val="0061351C"/>
    <w:rsid w:val="0061357D"/>
    <w:rsid w:val="00613683"/>
    <w:rsid w:val="00613CBC"/>
    <w:rsid w:val="00613D01"/>
    <w:rsid w:val="00613F8E"/>
    <w:rsid w:val="00613F92"/>
    <w:rsid w:val="00614402"/>
    <w:rsid w:val="00614460"/>
    <w:rsid w:val="006144DA"/>
    <w:rsid w:val="006144E8"/>
    <w:rsid w:val="00614531"/>
    <w:rsid w:val="006147BE"/>
    <w:rsid w:val="006147F6"/>
    <w:rsid w:val="00614CA7"/>
    <w:rsid w:val="00614D98"/>
    <w:rsid w:val="006152EE"/>
    <w:rsid w:val="00615586"/>
    <w:rsid w:val="00615620"/>
    <w:rsid w:val="00615729"/>
    <w:rsid w:val="006158C0"/>
    <w:rsid w:val="00615DF3"/>
    <w:rsid w:val="00615E8E"/>
    <w:rsid w:val="00615F9E"/>
    <w:rsid w:val="00615FF2"/>
    <w:rsid w:val="00616276"/>
    <w:rsid w:val="0061632C"/>
    <w:rsid w:val="006165C1"/>
    <w:rsid w:val="006166D1"/>
    <w:rsid w:val="006167B3"/>
    <w:rsid w:val="006167FA"/>
    <w:rsid w:val="0061681F"/>
    <w:rsid w:val="006168B7"/>
    <w:rsid w:val="00616AF9"/>
    <w:rsid w:val="00616C98"/>
    <w:rsid w:val="00616D1A"/>
    <w:rsid w:val="00616E8D"/>
    <w:rsid w:val="00616F51"/>
    <w:rsid w:val="006173A1"/>
    <w:rsid w:val="00617B45"/>
    <w:rsid w:val="00617B6E"/>
    <w:rsid w:val="00617BAE"/>
    <w:rsid w:val="00617CF5"/>
    <w:rsid w:val="0062035A"/>
    <w:rsid w:val="00620527"/>
    <w:rsid w:val="00620609"/>
    <w:rsid w:val="00620619"/>
    <w:rsid w:val="0062061F"/>
    <w:rsid w:val="00620661"/>
    <w:rsid w:val="006209FE"/>
    <w:rsid w:val="00620AA6"/>
    <w:rsid w:val="00620AC3"/>
    <w:rsid w:val="00620CC3"/>
    <w:rsid w:val="00620FE8"/>
    <w:rsid w:val="0062102B"/>
    <w:rsid w:val="00621093"/>
    <w:rsid w:val="006210DC"/>
    <w:rsid w:val="00621221"/>
    <w:rsid w:val="0062141A"/>
    <w:rsid w:val="00621439"/>
    <w:rsid w:val="0062148D"/>
    <w:rsid w:val="00621776"/>
    <w:rsid w:val="006217A6"/>
    <w:rsid w:val="0062180D"/>
    <w:rsid w:val="00621976"/>
    <w:rsid w:val="00621A17"/>
    <w:rsid w:val="00621C01"/>
    <w:rsid w:val="00621DB7"/>
    <w:rsid w:val="00622010"/>
    <w:rsid w:val="0062201E"/>
    <w:rsid w:val="006220E3"/>
    <w:rsid w:val="0062211E"/>
    <w:rsid w:val="00622363"/>
    <w:rsid w:val="00622860"/>
    <w:rsid w:val="006229D6"/>
    <w:rsid w:val="00622A75"/>
    <w:rsid w:val="00622A88"/>
    <w:rsid w:val="00622B23"/>
    <w:rsid w:val="00622E34"/>
    <w:rsid w:val="00622F97"/>
    <w:rsid w:val="006230E0"/>
    <w:rsid w:val="0062342F"/>
    <w:rsid w:val="00623485"/>
    <w:rsid w:val="006234C7"/>
    <w:rsid w:val="006236A5"/>
    <w:rsid w:val="0062374F"/>
    <w:rsid w:val="00623BE1"/>
    <w:rsid w:val="00623ED1"/>
    <w:rsid w:val="00623F4F"/>
    <w:rsid w:val="00623F6B"/>
    <w:rsid w:val="00624257"/>
    <w:rsid w:val="0062428D"/>
    <w:rsid w:val="0062430E"/>
    <w:rsid w:val="006243FE"/>
    <w:rsid w:val="0062472E"/>
    <w:rsid w:val="00624856"/>
    <w:rsid w:val="00624D92"/>
    <w:rsid w:val="00624EC5"/>
    <w:rsid w:val="006250CE"/>
    <w:rsid w:val="00625141"/>
    <w:rsid w:val="006251C7"/>
    <w:rsid w:val="00625658"/>
    <w:rsid w:val="00625669"/>
    <w:rsid w:val="00625691"/>
    <w:rsid w:val="00625785"/>
    <w:rsid w:val="006258C3"/>
    <w:rsid w:val="0062597D"/>
    <w:rsid w:val="0062599E"/>
    <w:rsid w:val="006259B8"/>
    <w:rsid w:val="00625D36"/>
    <w:rsid w:val="00626250"/>
    <w:rsid w:val="00626259"/>
    <w:rsid w:val="0062637C"/>
    <w:rsid w:val="006264A8"/>
    <w:rsid w:val="00626661"/>
    <w:rsid w:val="0062690B"/>
    <w:rsid w:val="00626934"/>
    <w:rsid w:val="006269A7"/>
    <w:rsid w:val="00626C51"/>
    <w:rsid w:val="00626E54"/>
    <w:rsid w:val="006270C9"/>
    <w:rsid w:val="006272DD"/>
    <w:rsid w:val="006276F5"/>
    <w:rsid w:val="00627B5B"/>
    <w:rsid w:val="00627C40"/>
    <w:rsid w:val="00630154"/>
    <w:rsid w:val="006301F3"/>
    <w:rsid w:val="006302AE"/>
    <w:rsid w:val="006302B4"/>
    <w:rsid w:val="00630391"/>
    <w:rsid w:val="006306E1"/>
    <w:rsid w:val="006306F8"/>
    <w:rsid w:val="00630798"/>
    <w:rsid w:val="00630830"/>
    <w:rsid w:val="00630887"/>
    <w:rsid w:val="00630894"/>
    <w:rsid w:val="00630A10"/>
    <w:rsid w:val="00630B23"/>
    <w:rsid w:val="00631090"/>
    <w:rsid w:val="006310C8"/>
    <w:rsid w:val="006310CB"/>
    <w:rsid w:val="006311CE"/>
    <w:rsid w:val="006311E2"/>
    <w:rsid w:val="0063126C"/>
    <w:rsid w:val="006312A5"/>
    <w:rsid w:val="006312DE"/>
    <w:rsid w:val="00631415"/>
    <w:rsid w:val="00631818"/>
    <w:rsid w:val="00631B2E"/>
    <w:rsid w:val="00631CB5"/>
    <w:rsid w:val="00631DE2"/>
    <w:rsid w:val="006321A4"/>
    <w:rsid w:val="0063242C"/>
    <w:rsid w:val="0063245A"/>
    <w:rsid w:val="0063253C"/>
    <w:rsid w:val="0063258D"/>
    <w:rsid w:val="00632766"/>
    <w:rsid w:val="0063289E"/>
    <w:rsid w:val="006328D2"/>
    <w:rsid w:val="006328F4"/>
    <w:rsid w:val="00632E7D"/>
    <w:rsid w:val="00633313"/>
    <w:rsid w:val="006333DF"/>
    <w:rsid w:val="006334CD"/>
    <w:rsid w:val="00633919"/>
    <w:rsid w:val="00633D84"/>
    <w:rsid w:val="00633EB9"/>
    <w:rsid w:val="0063409E"/>
    <w:rsid w:val="00634114"/>
    <w:rsid w:val="006344BB"/>
    <w:rsid w:val="0063463C"/>
    <w:rsid w:val="00634727"/>
    <w:rsid w:val="0063472D"/>
    <w:rsid w:val="0063481A"/>
    <w:rsid w:val="00634827"/>
    <w:rsid w:val="00634C3C"/>
    <w:rsid w:val="00634C7D"/>
    <w:rsid w:val="00634D68"/>
    <w:rsid w:val="00634E1F"/>
    <w:rsid w:val="00634F03"/>
    <w:rsid w:val="00634F8B"/>
    <w:rsid w:val="00635099"/>
    <w:rsid w:val="00635165"/>
    <w:rsid w:val="0063519D"/>
    <w:rsid w:val="006353CC"/>
    <w:rsid w:val="00635442"/>
    <w:rsid w:val="0063545C"/>
    <w:rsid w:val="00635482"/>
    <w:rsid w:val="006355E8"/>
    <w:rsid w:val="006358DE"/>
    <w:rsid w:val="0063595B"/>
    <w:rsid w:val="00635AE7"/>
    <w:rsid w:val="00635B29"/>
    <w:rsid w:val="00635B30"/>
    <w:rsid w:val="00635BFF"/>
    <w:rsid w:val="00636254"/>
    <w:rsid w:val="006362CA"/>
    <w:rsid w:val="00636318"/>
    <w:rsid w:val="00636630"/>
    <w:rsid w:val="006366B3"/>
    <w:rsid w:val="00636D8C"/>
    <w:rsid w:val="00636E95"/>
    <w:rsid w:val="00636FD0"/>
    <w:rsid w:val="00637023"/>
    <w:rsid w:val="0063726D"/>
    <w:rsid w:val="006372FA"/>
    <w:rsid w:val="006374CB"/>
    <w:rsid w:val="006375B3"/>
    <w:rsid w:val="006376C5"/>
    <w:rsid w:val="006378BE"/>
    <w:rsid w:val="00637C93"/>
    <w:rsid w:val="00637CA7"/>
    <w:rsid w:val="00637FEC"/>
    <w:rsid w:val="006400CD"/>
    <w:rsid w:val="00640113"/>
    <w:rsid w:val="0064053A"/>
    <w:rsid w:val="00640706"/>
    <w:rsid w:val="0064080F"/>
    <w:rsid w:val="00640BA7"/>
    <w:rsid w:val="00640DBD"/>
    <w:rsid w:val="00641052"/>
    <w:rsid w:val="006413AE"/>
    <w:rsid w:val="0064156B"/>
    <w:rsid w:val="006415A8"/>
    <w:rsid w:val="006416D8"/>
    <w:rsid w:val="00641A1D"/>
    <w:rsid w:val="00641DB4"/>
    <w:rsid w:val="0064217A"/>
    <w:rsid w:val="006426D3"/>
    <w:rsid w:val="0064286D"/>
    <w:rsid w:val="00642981"/>
    <w:rsid w:val="006429CA"/>
    <w:rsid w:val="00642BDB"/>
    <w:rsid w:val="00642C1F"/>
    <w:rsid w:val="00642D5D"/>
    <w:rsid w:val="00642DB8"/>
    <w:rsid w:val="00642F1D"/>
    <w:rsid w:val="006431AA"/>
    <w:rsid w:val="0064333E"/>
    <w:rsid w:val="0064335C"/>
    <w:rsid w:val="00643394"/>
    <w:rsid w:val="00643712"/>
    <w:rsid w:val="00643A58"/>
    <w:rsid w:val="00643B12"/>
    <w:rsid w:val="00643B6C"/>
    <w:rsid w:val="00643C32"/>
    <w:rsid w:val="00643CC9"/>
    <w:rsid w:val="00643D6C"/>
    <w:rsid w:val="00643E0F"/>
    <w:rsid w:val="00643EE7"/>
    <w:rsid w:val="006440DE"/>
    <w:rsid w:val="00644183"/>
    <w:rsid w:val="00644188"/>
    <w:rsid w:val="00644298"/>
    <w:rsid w:val="00644325"/>
    <w:rsid w:val="00644404"/>
    <w:rsid w:val="0064486B"/>
    <w:rsid w:val="00644936"/>
    <w:rsid w:val="00644DA2"/>
    <w:rsid w:val="00644DB9"/>
    <w:rsid w:val="00644DD1"/>
    <w:rsid w:val="00644E6A"/>
    <w:rsid w:val="00644FCC"/>
    <w:rsid w:val="0064508A"/>
    <w:rsid w:val="00645111"/>
    <w:rsid w:val="00645285"/>
    <w:rsid w:val="00645334"/>
    <w:rsid w:val="00645347"/>
    <w:rsid w:val="0064545C"/>
    <w:rsid w:val="006454E1"/>
    <w:rsid w:val="00645580"/>
    <w:rsid w:val="006455D3"/>
    <w:rsid w:val="006456F8"/>
    <w:rsid w:val="00645784"/>
    <w:rsid w:val="00645A4D"/>
    <w:rsid w:val="00645C1A"/>
    <w:rsid w:val="00645F0D"/>
    <w:rsid w:val="006461C8"/>
    <w:rsid w:val="006462EA"/>
    <w:rsid w:val="00646518"/>
    <w:rsid w:val="00646587"/>
    <w:rsid w:val="0064689C"/>
    <w:rsid w:val="00646A0F"/>
    <w:rsid w:val="00646A13"/>
    <w:rsid w:val="00646AA8"/>
    <w:rsid w:val="00646AFF"/>
    <w:rsid w:val="00646DAA"/>
    <w:rsid w:val="00646EBB"/>
    <w:rsid w:val="00646FE4"/>
    <w:rsid w:val="0064762D"/>
    <w:rsid w:val="00647768"/>
    <w:rsid w:val="006477F4"/>
    <w:rsid w:val="0064787C"/>
    <w:rsid w:val="00647A10"/>
    <w:rsid w:val="00647C44"/>
    <w:rsid w:val="00647F17"/>
    <w:rsid w:val="00647FEA"/>
    <w:rsid w:val="0065016C"/>
    <w:rsid w:val="00650485"/>
    <w:rsid w:val="0065059E"/>
    <w:rsid w:val="00650861"/>
    <w:rsid w:val="00650995"/>
    <w:rsid w:val="00650D27"/>
    <w:rsid w:val="0065102A"/>
    <w:rsid w:val="006511C8"/>
    <w:rsid w:val="0065154C"/>
    <w:rsid w:val="006515AC"/>
    <w:rsid w:val="0065163A"/>
    <w:rsid w:val="006518EC"/>
    <w:rsid w:val="0065199B"/>
    <w:rsid w:val="00651BEB"/>
    <w:rsid w:val="00651C36"/>
    <w:rsid w:val="00651DAD"/>
    <w:rsid w:val="00651E4E"/>
    <w:rsid w:val="00651F7E"/>
    <w:rsid w:val="00652052"/>
    <w:rsid w:val="00652066"/>
    <w:rsid w:val="00652207"/>
    <w:rsid w:val="0065239E"/>
    <w:rsid w:val="006526C4"/>
    <w:rsid w:val="006529C7"/>
    <w:rsid w:val="00652A2F"/>
    <w:rsid w:val="00652A82"/>
    <w:rsid w:val="00652CEB"/>
    <w:rsid w:val="00652EA0"/>
    <w:rsid w:val="00652EC9"/>
    <w:rsid w:val="00653367"/>
    <w:rsid w:val="006536BB"/>
    <w:rsid w:val="0065377D"/>
    <w:rsid w:val="00653A88"/>
    <w:rsid w:val="00653B1B"/>
    <w:rsid w:val="00653B1C"/>
    <w:rsid w:val="00653C02"/>
    <w:rsid w:val="00653D0C"/>
    <w:rsid w:val="00654028"/>
    <w:rsid w:val="0065423A"/>
    <w:rsid w:val="0065449B"/>
    <w:rsid w:val="006545C0"/>
    <w:rsid w:val="00654A69"/>
    <w:rsid w:val="00654DB6"/>
    <w:rsid w:val="00654DF1"/>
    <w:rsid w:val="00655124"/>
    <w:rsid w:val="0065513B"/>
    <w:rsid w:val="0065537E"/>
    <w:rsid w:val="006553ED"/>
    <w:rsid w:val="00655420"/>
    <w:rsid w:val="0065562E"/>
    <w:rsid w:val="006556FD"/>
    <w:rsid w:val="00655952"/>
    <w:rsid w:val="00655A94"/>
    <w:rsid w:val="00655B5C"/>
    <w:rsid w:val="00655ECF"/>
    <w:rsid w:val="00655FBC"/>
    <w:rsid w:val="006560DB"/>
    <w:rsid w:val="0065615B"/>
    <w:rsid w:val="0065628A"/>
    <w:rsid w:val="0065655E"/>
    <w:rsid w:val="00656765"/>
    <w:rsid w:val="006568C3"/>
    <w:rsid w:val="0065695E"/>
    <w:rsid w:val="00656980"/>
    <w:rsid w:val="006569F9"/>
    <w:rsid w:val="00656A9B"/>
    <w:rsid w:val="00656BDE"/>
    <w:rsid w:val="00656BFB"/>
    <w:rsid w:val="00656C94"/>
    <w:rsid w:val="00656DCF"/>
    <w:rsid w:val="00656FC0"/>
    <w:rsid w:val="00657021"/>
    <w:rsid w:val="00657032"/>
    <w:rsid w:val="006570BE"/>
    <w:rsid w:val="006570F8"/>
    <w:rsid w:val="00657269"/>
    <w:rsid w:val="00657608"/>
    <w:rsid w:val="00657620"/>
    <w:rsid w:val="0065777A"/>
    <w:rsid w:val="006578C9"/>
    <w:rsid w:val="00657959"/>
    <w:rsid w:val="00657A7E"/>
    <w:rsid w:val="00657CF3"/>
    <w:rsid w:val="00657F6F"/>
    <w:rsid w:val="00657F8C"/>
    <w:rsid w:val="0065DEBD"/>
    <w:rsid w:val="006600CA"/>
    <w:rsid w:val="006604A3"/>
    <w:rsid w:val="0066050B"/>
    <w:rsid w:val="00660609"/>
    <w:rsid w:val="006606E5"/>
    <w:rsid w:val="006606FA"/>
    <w:rsid w:val="00660C71"/>
    <w:rsid w:val="00660CF9"/>
    <w:rsid w:val="00660E08"/>
    <w:rsid w:val="00660F0F"/>
    <w:rsid w:val="00660F86"/>
    <w:rsid w:val="006613F8"/>
    <w:rsid w:val="00661407"/>
    <w:rsid w:val="006614C7"/>
    <w:rsid w:val="0066153F"/>
    <w:rsid w:val="0066172E"/>
    <w:rsid w:val="006621F3"/>
    <w:rsid w:val="006624FE"/>
    <w:rsid w:val="006626F0"/>
    <w:rsid w:val="006627A0"/>
    <w:rsid w:val="006627FF"/>
    <w:rsid w:val="00662816"/>
    <w:rsid w:val="0066297B"/>
    <w:rsid w:val="006629DE"/>
    <w:rsid w:val="00662DC8"/>
    <w:rsid w:val="00662E47"/>
    <w:rsid w:val="00662EEE"/>
    <w:rsid w:val="00662F41"/>
    <w:rsid w:val="00662F61"/>
    <w:rsid w:val="00662FBF"/>
    <w:rsid w:val="00663011"/>
    <w:rsid w:val="00663058"/>
    <w:rsid w:val="0066315E"/>
    <w:rsid w:val="0066348A"/>
    <w:rsid w:val="0066349F"/>
    <w:rsid w:val="006634F8"/>
    <w:rsid w:val="00663518"/>
    <w:rsid w:val="00663559"/>
    <w:rsid w:val="006636AF"/>
    <w:rsid w:val="006636B7"/>
    <w:rsid w:val="00663AC3"/>
    <w:rsid w:val="00663C8C"/>
    <w:rsid w:val="00663CB1"/>
    <w:rsid w:val="00663D03"/>
    <w:rsid w:val="00664009"/>
    <w:rsid w:val="00664143"/>
    <w:rsid w:val="006641C4"/>
    <w:rsid w:val="006644BF"/>
    <w:rsid w:val="0066462E"/>
    <w:rsid w:val="0066481E"/>
    <w:rsid w:val="006649E5"/>
    <w:rsid w:val="00664B2E"/>
    <w:rsid w:val="0066503A"/>
    <w:rsid w:val="00665178"/>
    <w:rsid w:val="006651E8"/>
    <w:rsid w:val="00665548"/>
    <w:rsid w:val="006656EB"/>
    <w:rsid w:val="00665805"/>
    <w:rsid w:val="0066587B"/>
    <w:rsid w:val="006658CE"/>
    <w:rsid w:val="006658EE"/>
    <w:rsid w:val="00665922"/>
    <w:rsid w:val="00665A3C"/>
    <w:rsid w:val="00665A9A"/>
    <w:rsid w:val="00665AE4"/>
    <w:rsid w:val="00665EB8"/>
    <w:rsid w:val="00666018"/>
    <w:rsid w:val="00666243"/>
    <w:rsid w:val="00666250"/>
    <w:rsid w:val="006664A8"/>
    <w:rsid w:val="006664F2"/>
    <w:rsid w:val="00666518"/>
    <w:rsid w:val="00666590"/>
    <w:rsid w:val="00666A66"/>
    <w:rsid w:val="00666B85"/>
    <w:rsid w:val="00666B9A"/>
    <w:rsid w:val="00666BA5"/>
    <w:rsid w:val="00666CF6"/>
    <w:rsid w:val="00666DC6"/>
    <w:rsid w:val="00666E0A"/>
    <w:rsid w:val="00666E1C"/>
    <w:rsid w:val="00666FBD"/>
    <w:rsid w:val="00666FFF"/>
    <w:rsid w:val="00667289"/>
    <w:rsid w:val="00667450"/>
    <w:rsid w:val="006678EE"/>
    <w:rsid w:val="00667A65"/>
    <w:rsid w:val="00667AE0"/>
    <w:rsid w:val="00667AE8"/>
    <w:rsid w:val="00667B1A"/>
    <w:rsid w:val="00667B27"/>
    <w:rsid w:val="00667D15"/>
    <w:rsid w:val="006700BB"/>
    <w:rsid w:val="00670708"/>
    <w:rsid w:val="0067081A"/>
    <w:rsid w:val="00670A90"/>
    <w:rsid w:val="00671176"/>
    <w:rsid w:val="0067125E"/>
    <w:rsid w:val="006712E5"/>
    <w:rsid w:val="00671300"/>
    <w:rsid w:val="00671AF2"/>
    <w:rsid w:val="00671BA7"/>
    <w:rsid w:val="00671BE0"/>
    <w:rsid w:val="00671E4B"/>
    <w:rsid w:val="0067226D"/>
    <w:rsid w:val="006722D2"/>
    <w:rsid w:val="006722FF"/>
    <w:rsid w:val="00672558"/>
    <w:rsid w:val="006725E1"/>
    <w:rsid w:val="00672671"/>
    <w:rsid w:val="0067285A"/>
    <w:rsid w:val="006728E2"/>
    <w:rsid w:val="00672967"/>
    <w:rsid w:val="006729DB"/>
    <w:rsid w:val="00672A2E"/>
    <w:rsid w:val="00672E49"/>
    <w:rsid w:val="00672FEE"/>
    <w:rsid w:val="00673111"/>
    <w:rsid w:val="0067329B"/>
    <w:rsid w:val="006732A3"/>
    <w:rsid w:val="00673569"/>
    <w:rsid w:val="006735E4"/>
    <w:rsid w:val="00673865"/>
    <w:rsid w:val="00673993"/>
    <w:rsid w:val="00673BEF"/>
    <w:rsid w:val="006742FB"/>
    <w:rsid w:val="0067448A"/>
    <w:rsid w:val="0067472C"/>
    <w:rsid w:val="006747A8"/>
    <w:rsid w:val="0067483A"/>
    <w:rsid w:val="006748D9"/>
    <w:rsid w:val="00674A11"/>
    <w:rsid w:val="00674BDD"/>
    <w:rsid w:val="00674CD1"/>
    <w:rsid w:val="00674CDB"/>
    <w:rsid w:val="00674D1A"/>
    <w:rsid w:val="00674D55"/>
    <w:rsid w:val="00674E51"/>
    <w:rsid w:val="006754BE"/>
    <w:rsid w:val="006754C2"/>
    <w:rsid w:val="0067550C"/>
    <w:rsid w:val="00675674"/>
    <w:rsid w:val="006757FE"/>
    <w:rsid w:val="006758BC"/>
    <w:rsid w:val="0067594F"/>
    <w:rsid w:val="006759E3"/>
    <w:rsid w:val="00675C52"/>
    <w:rsid w:val="00675FFC"/>
    <w:rsid w:val="00676007"/>
    <w:rsid w:val="00676014"/>
    <w:rsid w:val="00676042"/>
    <w:rsid w:val="00676302"/>
    <w:rsid w:val="00676496"/>
    <w:rsid w:val="006764ED"/>
    <w:rsid w:val="00676A35"/>
    <w:rsid w:val="00676CD6"/>
    <w:rsid w:val="0067710B"/>
    <w:rsid w:val="006771D3"/>
    <w:rsid w:val="0067726F"/>
    <w:rsid w:val="006772C1"/>
    <w:rsid w:val="0067741D"/>
    <w:rsid w:val="00677467"/>
    <w:rsid w:val="006774B9"/>
    <w:rsid w:val="006775B3"/>
    <w:rsid w:val="006778BB"/>
    <w:rsid w:val="0067790D"/>
    <w:rsid w:val="00677A75"/>
    <w:rsid w:val="00677E0E"/>
    <w:rsid w:val="00677EE9"/>
    <w:rsid w:val="00680125"/>
    <w:rsid w:val="0068012E"/>
    <w:rsid w:val="006801DB"/>
    <w:rsid w:val="0068034C"/>
    <w:rsid w:val="006803D9"/>
    <w:rsid w:val="00680512"/>
    <w:rsid w:val="00680A0C"/>
    <w:rsid w:val="00680A1F"/>
    <w:rsid w:val="00680A7C"/>
    <w:rsid w:val="00680AE2"/>
    <w:rsid w:val="00680C6A"/>
    <w:rsid w:val="00680EFC"/>
    <w:rsid w:val="0068119A"/>
    <w:rsid w:val="00681209"/>
    <w:rsid w:val="006812EA"/>
    <w:rsid w:val="00681542"/>
    <w:rsid w:val="00681757"/>
    <w:rsid w:val="00681867"/>
    <w:rsid w:val="00681A06"/>
    <w:rsid w:val="00681CAC"/>
    <w:rsid w:val="00681D76"/>
    <w:rsid w:val="0068201D"/>
    <w:rsid w:val="006822EE"/>
    <w:rsid w:val="006823EC"/>
    <w:rsid w:val="00682406"/>
    <w:rsid w:val="006826F4"/>
    <w:rsid w:val="006827DF"/>
    <w:rsid w:val="006828D7"/>
    <w:rsid w:val="006829B2"/>
    <w:rsid w:val="00682AA6"/>
    <w:rsid w:val="00682C39"/>
    <w:rsid w:val="00682CCB"/>
    <w:rsid w:val="00682D84"/>
    <w:rsid w:val="00682FA4"/>
    <w:rsid w:val="00683320"/>
    <w:rsid w:val="00683695"/>
    <w:rsid w:val="00683A46"/>
    <w:rsid w:val="00683BA8"/>
    <w:rsid w:val="00683C07"/>
    <w:rsid w:val="00683C63"/>
    <w:rsid w:val="00683D1E"/>
    <w:rsid w:val="00683DD6"/>
    <w:rsid w:val="00683E62"/>
    <w:rsid w:val="00684175"/>
    <w:rsid w:val="006841D9"/>
    <w:rsid w:val="00684520"/>
    <w:rsid w:val="00684730"/>
    <w:rsid w:val="00684910"/>
    <w:rsid w:val="00684979"/>
    <w:rsid w:val="00684E1C"/>
    <w:rsid w:val="00685094"/>
    <w:rsid w:val="006850AA"/>
    <w:rsid w:val="00685188"/>
    <w:rsid w:val="00685273"/>
    <w:rsid w:val="006853B0"/>
    <w:rsid w:val="0068583D"/>
    <w:rsid w:val="0068592A"/>
    <w:rsid w:val="00685DA7"/>
    <w:rsid w:val="00685F93"/>
    <w:rsid w:val="006862A3"/>
    <w:rsid w:val="00686318"/>
    <w:rsid w:val="00686703"/>
    <w:rsid w:val="00686791"/>
    <w:rsid w:val="006867DF"/>
    <w:rsid w:val="006868B1"/>
    <w:rsid w:val="00686967"/>
    <w:rsid w:val="006869E4"/>
    <w:rsid w:val="00686B7A"/>
    <w:rsid w:val="00686EE7"/>
    <w:rsid w:val="006872A7"/>
    <w:rsid w:val="006872DD"/>
    <w:rsid w:val="0068748B"/>
    <w:rsid w:val="006874C6"/>
    <w:rsid w:val="006874E8"/>
    <w:rsid w:val="0068751D"/>
    <w:rsid w:val="006875E9"/>
    <w:rsid w:val="00687798"/>
    <w:rsid w:val="006878A1"/>
    <w:rsid w:val="00687A3D"/>
    <w:rsid w:val="00687AF5"/>
    <w:rsid w:val="00690024"/>
    <w:rsid w:val="00690162"/>
    <w:rsid w:val="006901D7"/>
    <w:rsid w:val="00690275"/>
    <w:rsid w:val="0069077A"/>
    <w:rsid w:val="00690900"/>
    <w:rsid w:val="00690B7B"/>
    <w:rsid w:val="00690BE0"/>
    <w:rsid w:val="00690C26"/>
    <w:rsid w:val="00690C79"/>
    <w:rsid w:val="00691038"/>
    <w:rsid w:val="006912CB"/>
    <w:rsid w:val="0069147A"/>
    <w:rsid w:val="00691661"/>
    <w:rsid w:val="006916ED"/>
    <w:rsid w:val="0069173E"/>
    <w:rsid w:val="006919A2"/>
    <w:rsid w:val="00691A77"/>
    <w:rsid w:val="00691B2B"/>
    <w:rsid w:val="00691BA4"/>
    <w:rsid w:val="00691C97"/>
    <w:rsid w:val="00691D5F"/>
    <w:rsid w:val="00691DB4"/>
    <w:rsid w:val="00691E94"/>
    <w:rsid w:val="00691F1A"/>
    <w:rsid w:val="00691FBD"/>
    <w:rsid w:val="00692048"/>
    <w:rsid w:val="006922B9"/>
    <w:rsid w:val="006922E4"/>
    <w:rsid w:val="0069235C"/>
    <w:rsid w:val="006923EC"/>
    <w:rsid w:val="00692577"/>
    <w:rsid w:val="0069279D"/>
    <w:rsid w:val="0069293A"/>
    <w:rsid w:val="00692AE0"/>
    <w:rsid w:val="00692B00"/>
    <w:rsid w:val="00692D64"/>
    <w:rsid w:val="00692FA2"/>
    <w:rsid w:val="00692FC9"/>
    <w:rsid w:val="00693095"/>
    <w:rsid w:val="006930C5"/>
    <w:rsid w:val="006932CA"/>
    <w:rsid w:val="00693562"/>
    <w:rsid w:val="0069371D"/>
    <w:rsid w:val="00693846"/>
    <w:rsid w:val="0069388F"/>
    <w:rsid w:val="006939DE"/>
    <w:rsid w:val="00693B40"/>
    <w:rsid w:val="00693DAD"/>
    <w:rsid w:val="00694424"/>
    <w:rsid w:val="00694558"/>
    <w:rsid w:val="00694589"/>
    <w:rsid w:val="006946CB"/>
    <w:rsid w:val="00694810"/>
    <w:rsid w:val="00694833"/>
    <w:rsid w:val="006948DF"/>
    <w:rsid w:val="00694A15"/>
    <w:rsid w:val="00694EF5"/>
    <w:rsid w:val="00695079"/>
    <w:rsid w:val="0069510E"/>
    <w:rsid w:val="00695421"/>
    <w:rsid w:val="00695596"/>
    <w:rsid w:val="0069597F"/>
    <w:rsid w:val="006961A0"/>
    <w:rsid w:val="006961BA"/>
    <w:rsid w:val="0069629D"/>
    <w:rsid w:val="00696521"/>
    <w:rsid w:val="00696600"/>
    <w:rsid w:val="00696868"/>
    <w:rsid w:val="006969E9"/>
    <w:rsid w:val="00696BD5"/>
    <w:rsid w:val="00696F40"/>
    <w:rsid w:val="0069712F"/>
    <w:rsid w:val="0069720A"/>
    <w:rsid w:val="006973E1"/>
    <w:rsid w:val="00697534"/>
    <w:rsid w:val="0069761E"/>
    <w:rsid w:val="0069796A"/>
    <w:rsid w:val="006979D0"/>
    <w:rsid w:val="00697D76"/>
    <w:rsid w:val="00697E7D"/>
    <w:rsid w:val="00697F5F"/>
    <w:rsid w:val="006A0261"/>
    <w:rsid w:val="006A0717"/>
    <w:rsid w:val="006A0721"/>
    <w:rsid w:val="006A08E1"/>
    <w:rsid w:val="006A0919"/>
    <w:rsid w:val="006A0A0F"/>
    <w:rsid w:val="006A0AB7"/>
    <w:rsid w:val="006A0B0F"/>
    <w:rsid w:val="006A0BF3"/>
    <w:rsid w:val="006A0D32"/>
    <w:rsid w:val="006A0DD0"/>
    <w:rsid w:val="006A10F9"/>
    <w:rsid w:val="006A13D6"/>
    <w:rsid w:val="006A141B"/>
    <w:rsid w:val="006A145D"/>
    <w:rsid w:val="006A150B"/>
    <w:rsid w:val="006A18F4"/>
    <w:rsid w:val="006A196A"/>
    <w:rsid w:val="006A197D"/>
    <w:rsid w:val="006A1C36"/>
    <w:rsid w:val="006A1D3D"/>
    <w:rsid w:val="006A2178"/>
    <w:rsid w:val="006A2355"/>
    <w:rsid w:val="006A23D4"/>
    <w:rsid w:val="006A2892"/>
    <w:rsid w:val="006A28D9"/>
    <w:rsid w:val="006A2960"/>
    <w:rsid w:val="006A2971"/>
    <w:rsid w:val="006A2B79"/>
    <w:rsid w:val="006A2CCF"/>
    <w:rsid w:val="006A2CF2"/>
    <w:rsid w:val="006A3034"/>
    <w:rsid w:val="006A305D"/>
    <w:rsid w:val="006A350C"/>
    <w:rsid w:val="006A36D8"/>
    <w:rsid w:val="006A3761"/>
    <w:rsid w:val="006A3BF3"/>
    <w:rsid w:val="006A3CB9"/>
    <w:rsid w:val="006A3E07"/>
    <w:rsid w:val="006A413B"/>
    <w:rsid w:val="006A446A"/>
    <w:rsid w:val="006A45BE"/>
    <w:rsid w:val="006A45EC"/>
    <w:rsid w:val="006A4924"/>
    <w:rsid w:val="006A4C79"/>
    <w:rsid w:val="006A4D5F"/>
    <w:rsid w:val="006A513A"/>
    <w:rsid w:val="006A514E"/>
    <w:rsid w:val="006A530A"/>
    <w:rsid w:val="006A5322"/>
    <w:rsid w:val="006A53CB"/>
    <w:rsid w:val="006A5562"/>
    <w:rsid w:val="006A5924"/>
    <w:rsid w:val="006A5943"/>
    <w:rsid w:val="006A59BA"/>
    <w:rsid w:val="006A5BFB"/>
    <w:rsid w:val="006A5D94"/>
    <w:rsid w:val="006A5D97"/>
    <w:rsid w:val="006A5E4B"/>
    <w:rsid w:val="006A5E6A"/>
    <w:rsid w:val="006A5EB6"/>
    <w:rsid w:val="006A6305"/>
    <w:rsid w:val="006A6349"/>
    <w:rsid w:val="006A63AE"/>
    <w:rsid w:val="006A6404"/>
    <w:rsid w:val="006A663B"/>
    <w:rsid w:val="006A6682"/>
    <w:rsid w:val="006A675B"/>
    <w:rsid w:val="006A67EA"/>
    <w:rsid w:val="006A685B"/>
    <w:rsid w:val="006A68AB"/>
    <w:rsid w:val="006A6967"/>
    <w:rsid w:val="006A6A41"/>
    <w:rsid w:val="006A6E5D"/>
    <w:rsid w:val="006A722B"/>
    <w:rsid w:val="006A7306"/>
    <w:rsid w:val="006A743B"/>
    <w:rsid w:val="006A7530"/>
    <w:rsid w:val="006A75C5"/>
    <w:rsid w:val="006A76E4"/>
    <w:rsid w:val="006A7780"/>
    <w:rsid w:val="006A798D"/>
    <w:rsid w:val="006A7992"/>
    <w:rsid w:val="006A7A40"/>
    <w:rsid w:val="006A7C59"/>
    <w:rsid w:val="006A7DC7"/>
    <w:rsid w:val="006A7E84"/>
    <w:rsid w:val="006AFA14"/>
    <w:rsid w:val="006B0514"/>
    <w:rsid w:val="006B074B"/>
    <w:rsid w:val="006B0A7F"/>
    <w:rsid w:val="006B0A8F"/>
    <w:rsid w:val="006B0DCF"/>
    <w:rsid w:val="006B0E7C"/>
    <w:rsid w:val="006B100B"/>
    <w:rsid w:val="006B10CA"/>
    <w:rsid w:val="006B10DD"/>
    <w:rsid w:val="006B12CF"/>
    <w:rsid w:val="006B1449"/>
    <w:rsid w:val="006B17BD"/>
    <w:rsid w:val="006B1845"/>
    <w:rsid w:val="006B1B65"/>
    <w:rsid w:val="006B1BBF"/>
    <w:rsid w:val="006B1BE7"/>
    <w:rsid w:val="006B1C78"/>
    <w:rsid w:val="006B1CDE"/>
    <w:rsid w:val="006B1DB5"/>
    <w:rsid w:val="006B1E6A"/>
    <w:rsid w:val="006B20F9"/>
    <w:rsid w:val="006B24E1"/>
    <w:rsid w:val="006B27EA"/>
    <w:rsid w:val="006B2845"/>
    <w:rsid w:val="006B29D8"/>
    <w:rsid w:val="006B29FA"/>
    <w:rsid w:val="006B2AC0"/>
    <w:rsid w:val="006B2AF2"/>
    <w:rsid w:val="006B2B95"/>
    <w:rsid w:val="006B2BB8"/>
    <w:rsid w:val="006B2C79"/>
    <w:rsid w:val="006B2F93"/>
    <w:rsid w:val="006B30F5"/>
    <w:rsid w:val="006B3109"/>
    <w:rsid w:val="006B322E"/>
    <w:rsid w:val="006B341F"/>
    <w:rsid w:val="006B3555"/>
    <w:rsid w:val="006B361B"/>
    <w:rsid w:val="006B366D"/>
    <w:rsid w:val="006B3A94"/>
    <w:rsid w:val="006B3B50"/>
    <w:rsid w:val="006B3B87"/>
    <w:rsid w:val="006B3BBD"/>
    <w:rsid w:val="006B3C23"/>
    <w:rsid w:val="006B3C29"/>
    <w:rsid w:val="006B3E4D"/>
    <w:rsid w:val="006B3E86"/>
    <w:rsid w:val="006B3EB7"/>
    <w:rsid w:val="006B4022"/>
    <w:rsid w:val="006B41F5"/>
    <w:rsid w:val="006B42E3"/>
    <w:rsid w:val="006B4481"/>
    <w:rsid w:val="006B461E"/>
    <w:rsid w:val="006B461F"/>
    <w:rsid w:val="006B467A"/>
    <w:rsid w:val="006B4C46"/>
    <w:rsid w:val="006B4C68"/>
    <w:rsid w:val="006B4D2E"/>
    <w:rsid w:val="006B518A"/>
    <w:rsid w:val="006B5235"/>
    <w:rsid w:val="006B5521"/>
    <w:rsid w:val="006B5523"/>
    <w:rsid w:val="006B5572"/>
    <w:rsid w:val="006B5638"/>
    <w:rsid w:val="006B5B84"/>
    <w:rsid w:val="006B5B9F"/>
    <w:rsid w:val="006B5C2D"/>
    <w:rsid w:val="006B5CA9"/>
    <w:rsid w:val="006B5CEE"/>
    <w:rsid w:val="006B5F7E"/>
    <w:rsid w:val="006B616A"/>
    <w:rsid w:val="006B63A6"/>
    <w:rsid w:val="006B65ED"/>
    <w:rsid w:val="006B66A9"/>
    <w:rsid w:val="006B6748"/>
    <w:rsid w:val="006B6861"/>
    <w:rsid w:val="006B68C9"/>
    <w:rsid w:val="006B691B"/>
    <w:rsid w:val="006B692F"/>
    <w:rsid w:val="006B697D"/>
    <w:rsid w:val="006B6AB2"/>
    <w:rsid w:val="006B6B51"/>
    <w:rsid w:val="006B6D3C"/>
    <w:rsid w:val="006B7045"/>
    <w:rsid w:val="006B7195"/>
    <w:rsid w:val="006B72A0"/>
    <w:rsid w:val="006B73D8"/>
    <w:rsid w:val="006B74B6"/>
    <w:rsid w:val="006B74E9"/>
    <w:rsid w:val="006B74EC"/>
    <w:rsid w:val="006B7576"/>
    <w:rsid w:val="006B757B"/>
    <w:rsid w:val="006B75F3"/>
    <w:rsid w:val="006B7692"/>
    <w:rsid w:val="006B76A6"/>
    <w:rsid w:val="006B78B2"/>
    <w:rsid w:val="006B795B"/>
    <w:rsid w:val="006B7B50"/>
    <w:rsid w:val="006B7BB9"/>
    <w:rsid w:val="006B7ECF"/>
    <w:rsid w:val="006C0100"/>
    <w:rsid w:val="006C0283"/>
    <w:rsid w:val="006C0533"/>
    <w:rsid w:val="006C0659"/>
    <w:rsid w:val="006C0B89"/>
    <w:rsid w:val="006C0C64"/>
    <w:rsid w:val="006C0CD4"/>
    <w:rsid w:val="006C0FEA"/>
    <w:rsid w:val="006C1282"/>
    <w:rsid w:val="006C1333"/>
    <w:rsid w:val="006C1397"/>
    <w:rsid w:val="006C13F1"/>
    <w:rsid w:val="006C1497"/>
    <w:rsid w:val="006C19BA"/>
    <w:rsid w:val="006C1D74"/>
    <w:rsid w:val="006C1FF4"/>
    <w:rsid w:val="006C203F"/>
    <w:rsid w:val="006C23DC"/>
    <w:rsid w:val="006C23F3"/>
    <w:rsid w:val="006C277D"/>
    <w:rsid w:val="006C2791"/>
    <w:rsid w:val="006C2A7B"/>
    <w:rsid w:val="006C2FFD"/>
    <w:rsid w:val="006C3267"/>
    <w:rsid w:val="006C330B"/>
    <w:rsid w:val="006C3384"/>
    <w:rsid w:val="006C33DF"/>
    <w:rsid w:val="006C3720"/>
    <w:rsid w:val="006C3AC3"/>
    <w:rsid w:val="006C3B47"/>
    <w:rsid w:val="006C3B86"/>
    <w:rsid w:val="006C3BA5"/>
    <w:rsid w:val="006C3DCD"/>
    <w:rsid w:val="006C3E4C"/>
    <w:rsid w:val="006C3FAC"/>
    <w:rsid w:val="006C40CC"/>
    <w:rsid w:val="006C4329"/>
    <w:rsid w:val="006C4481"/>
    <w:rsid w:val="006C4507"/>
    <w:rsid w:val="006C4526"/>
    <w:rsid w:val="006C460F"/>
    <w:rsid w:val="006C46F1"/>
    <w:rsid w:val="006C4A51"/>
    <w:rsid w:val="006C4A93"/>
    <w:rsid w:val="006C4C24"/>
    <w:rsid w:val="006C4E5D"/>
    <w:rsid w:val="006C4F49"/>
    <w:rsid w:val="006C50FE"/>
    <w:rsid w:val="006C5390"/>
    <w:rsid w:val="006C5520"/>
    <w:rsid w:val="006C56EF"/>
    <w:rsid w:val="006C57DF"/>
    <w:rsid w:val="006C5D6A"/>
    <w:rsid w:val="006C5F34"/>
    <w:rsid w:val="006C5FEE"/>
    <w:rsid w:val="006C6064"/>
    <w:rsid w:val="006C6223"/>
    <w:rsid w:val="006C6463"/>
    <w:rsid w:val="006C64B3"/>
    <w:rsid w:val="006C6502"/>
    <w:rsid w:val="006C6688"/>
    <w:rsid w:val="006C66F8"/>
    <w:rsid w:val="006C692B"/>
    <w:rsid w:val="006C6B7C"/>
    <w:rsid w:val="006C6BA9"/>
    <w:rsid w:val="006C6DD9"/>
    <w:rsid w:val="006C6E37"/>
    <w:rsid w:val="006C70C4"/>
    <w:rsid w:val="006C7326"/>
    <w:rsid w:val="006C75A8"/>
    <w:rsid w:val="006C7614"/>
    <w:rsid w:val="006C76DF"/>
    <w:rsid w:val="006C76EA"/>
    <w:rsid w:val="006C7799"/>
    <w:rsid w:val="006C77F1"/>
    <w:rsid w:val="006C7807"/>
    <w:rsid w:val="006C79CB"/>
    <w:rsid w:val="006C7A09"/>
    <w:rsid w:val="006C7ABC"/>
    <w:rsid w:val="006C7DAB"/>
    <w:rsid w:val="006C7EE4"/>
    <w:rsid w:val="006C7FE8"/>
    <w:rsid w:val="006D0120"/>
    <w:rsid w:val="006D0486"/>
    <w:rsid w:val="006D0561"/>
    <w:rsid w:val="006D065F"/>
    <w:rsid w:val="006D06E9"/>
    <w:rsid w:val="006D0844"/>
    <w:rsid w:val="006D0979"/>
    <w:rsid w:val="006D0B91"/>
    <w:rsid w:val="006D0C4D"/>
    <w:rsid w:val="006D0F1C"/>
    <w:rsid w:val="006D10C5"/>
    <w:rsid w:val="006D1276"/>
    <w:rsid w:val="006D12C1"/>
    <w:rsid w:val="006D14AD"/>
    <w:rsid w:val="006D1785"/>
    <w:rsid w:val="006D17C5"/>
    <w:rsid w:val="006D1A64"/>
    <w:rsid w:val="006D1B4E"/>
    <w:rsid w:val="006D1E7C"/>
    <w:rsid w:val="006D1EF0"/>
    <w:rsid w:val="006D1F19"/>
    <w:rsid w:val="006D1F35"/>
    <w:rsid w:val="006D2039"/>
    <w:rsid w:val="006D2088"/>
    <w:rsid w:val="006D20D9"/>
    <w:rsid w:val="006D21C7"/>
    <w:rsid w:val="006D248C"/>
    <w:rsid w:val="006D258D"/>
    <w:rsid w:val="006D28A1"/>
    <w:rsid w:val="006D299C"/>
    <w:rsid w:val="006D29A7"/>
    <w:rsid w:val="006D2AF7"/>
    <w:rsid w:val="006D2E7D"/>
    <w:rsid w:val="006D3368"/>
    <w:rsid w:val="006D3828"/>
    <w:rsid w:val="006D39DC"/>
    <w:rsid w:val="006D3AB7"/>
    <w:rsid w:val="006D3AD5"/>
    <w:rsid w:val="006D3BB0"/>
    <w:rsid w:val="006D3CDD"/>
    <w:rsid w:val="006D3D5C"/>
    <w:rsid w:val="006D3EF0"/>
    <w:rsid w:val="006D3F3A"/>
    <w:rsid w:val="006D404F"/>
    <w:rsid w:val="006D43FF"/>
    <w:rsid w:val="006D44FE"/>
    <w:rsid w:val="006D4610"/>
    <w:rsid w:val="006D4692"/>
    <w:rsid w:val="006D49B4"/>
    <w:rsid w:val="006D4C7F"/>
    <w:rsid w:val="006D4D7D"/>
    <w:rsid w:val="006D4DD3"/>
    <w:rsid w:val="006D4DD9"/>
    <w:rsid w:val="006D4FF0"/>
    <w:rsid w:val="006D5289"/>
    <w:rsid w:val="006D53AE"/>
    <w:rsid w:val="006D565C"/>
    <w:rsid w:val="006D5774"/>
    <w:rsid w:val="006D5911"/>
    <w:rsid w:val="006D5AED"/>
    <w:rsid w:val="006D5B0A"/>
    <w:rsid w:val="006D5B2E"/>
    <w:rsid w:val="006D5B5B"/>
    <w:rsid w:val="006D5BF6"/>
    <w:rsid w:val="006D5EB5"/>
    <w:rsid w:val="006D5F5A"/>
    <w:rsid w:val="006D62AD"/>
    <w:rsid w:val="006D6364"/>
    <w:rsid w:val="006D63A0"/>
    <w:rsid w:val="006D63B2"/>
    <w:rsid w:val="006D64E8"/>
    <w:rsid w:val="006D673E"/>
    <w:rsid w:val="006D6B18"/>
    <w:rsid w:val="006D6B35"/>
    <w:rsid w:val="006D6B70"/>
    <w:rsid w:val="006D6BC6"/>
    <w:rsid w:val="006D6DEB"/>
    <w:rsid w:val="006D7307"/>
    <w:rsid w:val="006D73FF"/>
    <w:rsid w:val="006D7485"/>
    <w:rsid w:val="006D7488"/>
    <w:rsid w:val="006D7565"/>
    <w:rsid w:val="006D7733"/>
    <w:rsid w:val="006D7907"/>
    <w:rsid w:val="006D7957"/>
    <w:rsid w:val="006D79CE"/>
    <w:rsid w:val="006D7A14"/>
    <w:rsid w:val="006D7C9A"/>
    <w:rsid w:val="006D7D44"/>
    <w:rsid w:val="006D7DE6"/>
    <w:rsid w:val="006D7DF5"/>
    <w:rsid w:val="006D7E66"/>
    <w:rsid w:val="006D7EBF"/>
    <w:rsid w:val="006E00A9"/>
    <w:rsid w:val="006E0193"/>
    <w:rsid w:val="006E07E5"/>
    <w:rsid w:val="006E0A96"/>
    <w:rsid w:val="006E0DF1"/>
    <w:rsid w:val="006E0E2E"/>
    <w:rsid w:val="006E0EEA"/>
    <w:rsid w:val="006E1126"/>
    <w:rsid w:val="006E1178"/>
    <w:rsid w:val="006E12B3"/>
    <w:rsid w:val="006E13EE"/>
    <w:rsid w:val="006E14E7"/>
    <w:rsid w:val="006E1543"/>
    <w:rsid w:val="006E155E"/>
    <w:rsid w:val="006E18B9"/>
    <w:rsid w:val="006E1994"/>
    <w:rsid w:val="006E19BF"/>
    <w:rsid w:val="006E1A09"/>
    <w:rsid w:val="006E1B62"/>
    <w:rsid w:val="006E204F"/>
    <w:rsid w:val="006E20B7"/>
    <w:rsid w:val="006E226E"/>
    <w:rsid w:val="006E2431"/>
    <w:rsid w:val="006E2455"/>
    <w:rsid w:val="006E248B"/>
    <w:rsid w:val="006E24AF"/>
    <w:rsid w:val="006E25B4"/>
    <w:rsid w:val="006E271E"/>
    <w:rsid w:val="006E27BF"/>
    <w:rsid w:val="006E28F3"/>
    <w:rsid w:val="006E29BA"/>
    <w:rsid w:val="006E2A4E"/>
    <w:rsid w:val="006E2AF9"/>
    <w:rsid w:val="006E2B05"/>
    <w:rsid w:val="006E2B59"/>
    <w:rsid w:val="006E2C0B"/>
    <w:rsid w:val="006E2DA6"/>
    <w:rsid w:val="006E2DE1"/>
    <w:rsid w:val="006E301E"/>
    <w:rsid w:val="006E328A"/>
    <w:rsid w:val="006E38D5"/>
    <w:rsid w:val="006E3A46"/>
    <w:rsid w:val="006E3AAB"/>
    <w:rsid w:val="006E3BBF"/>
    <w:rsid w:val="006E3C53"/>
    <w:rsid w:val="006E3F9E"/>
    <w:rsid w:val="006E4143"/>
    <w:rsid w:val="006E4208"/>
    <w:rsid w:val="006E432F"/>
    <w:rsid w:val="006E47E8"/>
    <w:rsid w:val="006E49D7"/>
    <w:rsid w:val="006E4A10"/>
    <w:rsid w:val="006E4B9B"/>
    <w:rsid w:val="006E4D55"/>
    <w:rsid w:val="006E50C8"/>
    <w:rsid w:val="006E530E"/>
    <w:rsid w:val="006E536A"/>
    <w:rsid w:val="006E5505"/>
    <w:rsid w:val="006E5654"/>
    <w:rsid w:val="006E576F"/>
    <w:rsid w:val="006E58A9"/>
    <w:rsid w:val="006E5BC4"/>
    <w:rsid w:val="006E5F69"/>
    <w:rsid w:val="006E60A0"/>
    <w:rsid w:val="006E6122"/>
    <w:rsid w:val="006E61AB"/>
    <w:rsid w:val="006E62B8"/>
    <w:rsid w:val="006E6420"/>
    <w:rsid w:val="006E643F"/>
    <w:rsid w:val="006E648C"/>
    <w:rsid w:val="006E6645"/>
    <w:rsid w:val="006E6780"/>
    <w:rsid w:val="006E68E8"/>
    <w:rsid w:val="006E6B12"/>
    <w:rsid w:val="006E6B56"/>
    <w:rsid w:val="006E6D61"/>
    <w:rsid w:val="006E6FDD"/>
    <w:rsid w:val="006E6FF9"/>
    <w:rsid w:val="006E7176"/>
    <w:rsid w:val="006E727F"/>
    <w:rsid w:val="006E7288"/>
    <w:rsid w:val="006E72EC"/>
    <w:rsid w:val="006E7367"/>
    <w:rsid w:val="006E75CA"/>
    <w:rsid w:val="006E7AB0"/>
    <w:rsid w:val="006E7B02"/>
    <w:rsid w:val="006E7B18"/>
    <w:rsid w:val="006E7B34"/>
    <w:rsid w:val="006E7D80"/>
    <w:rsid w:val="006E7DE7"/>
    <w:rsid w:val="006E7DEA"/>
    <w:rsid w:val="006E7E32"/>
    <w:rsid w:val="006F00BB"/>
    <w:rsid w:val="006F0163"/>
    <w:rsid w:val="006F01B1"/>
    <w:rsid w:val="006F0331"/>
    <w:rsid w:val="006F04F0"/>
    <w:rsid w:val="006F0587"/>
    <w:rsid w:val="006F05C2"/>
    <w:rsid w:val="006F0602"/>
    <w:rsid w:val="006F066E"/>
    <w:rsid w:val="006F07AF"/>
    <w:rsid w:val="006F088C"/>
    <w:rsid w:val="006F0C91"/>
    <w:rsid w:val="006F112A"/>
    <w:rsid w:val="006F1159"/>
    <w:rsid w:val="006F17F5"/>
    <w:rsid w:val="006F18B2"/>
    <w:rsid w:val="006F1C2B"/>
    <w:rsid w:val="006F1D82"/>
    <w:rsid w:val="006F2052"/>
    <w:rsid w:val="006F2260"/>
    <w:rsid w:val="006F233B"/>
    <w:rsid w:val="006F245A"/>
    <w:rsid w:val="006F2578"/>
    <w:rsid w:val="006F2894"/>
    <w:rsid w:val="006F28B3"/>
    <w:rsid w:val="006F28DB"/>
    <w:rsid w:val="006F2971"/>
    <w:rsid w:val="006F2985"/>
    <w:rsid w:val="006F2A3D"/>
    <w:rsid w:val="006F2BA1"/>
    <w:rsid w:val="006F2BE9"/>
    <w:rsid w:val="006F2CB5"/>
    <w:rsid w:val="006F322D"/>
    <w:rsid w:val="006F36CA"/>
    <w:rsid w:val="006F36DC"/>
    <w:rsid w:val="006F3871"/>
    <w:rsid w:val="006F3946"/>
    <w:rsid w:val="006F3B4E"/>
    <w:rsid w:val="006F3EB6"/>
    <w:rsid w:val="006F3F43"/>
    <w:rsid w:val="006F40D3"/>
    <w:rsid w:val="006F420E"/>
    <w:rsid w:val="006F42B9"/>
    <w:rsid w:val="006F436D"/>
    <w:rsid w:val="006F43D1"/>
    <w:rsid w:val="006F495B"/>
    <w:rsid w:val="006F4B79"/>
    <w:rsid w:val="006F4F4B"/>
    <w:rsid w:val="006F4FB5"/>
    <w:rsid w:val="006F51AA"/>
    <w:rsid w:val="006F5230"/>
    <w:rsid w:val="006F530D"/>
    <w:rsid w:val="006F53C5"/>
    <w:rsid w:val="006F5AAC"/>
    <w:rsid w:val="006F5B67"/>
    <w:rsid w:val="006F5C71"/>
    <w:rsid w:val="006F5F77"/>
    <w:rsid w:val="006F6275"/>
    <w:rsid w:val="006F6364"/>
    <w:rsid w:val="006F64AF"/>
    <w:rsid w:val="006F654B"/>
    <w:rsid w:val="006F6642"/>
    <w:rsid w:val="006F66E0"/>
    <w:rsid w:val="006F68D7"/>
    <w:rsid w:val="006F6A1F"/>
    <w:rsid w:val="006F6C04"/>
    <w:rsid w:val="006F6FEB"/>
    <w:rsid w:val="006F7514"/>
    <w:rsid w:val="006F7623"/>
    <w:rsid w:val="006F7762"/>
    <w:rsid w:val="006F7863"/>
    <w:rsid w:val="006F7893"/>
    <w:rsid w:val="006F7BE7"/>
    <w:rsid w:val="006F7C3B"/>
    <w:rsid w:val="006F7F0E"/>
    <w:rsid w:val="007000E3"/>
    <w:rsid w:val="00700347"/>
    <w:rsid w:val="007004B9"/>
    <w:rsid w:val="007004E4"/>
    <w:rsid w:val="00700910"/>
    <w:rsid w:val="00700A3F"/>
    <w:rsid w:val="00700AAB"/>
    <w:rsid w:val="00700AE6"/>
    <w:rsid w:val="00700C52"/>
    <w:rsid w:val="00700D95"/>
    <w:rsid w:val="00700F12"/>
    <w:rsid w:val="007012AB"/>
    <w:rsid w:val="00701311"/>
    <w:rsid w:val="00701333"/>
    <w:rsid w:val="00701CED"/>
    <w:rsid w:val="00701DBC"/>
    <w:rsid w:val="00701DF2"/>
    <w:rsid w:val="00701E88"/>
    <w:rsid w:val="00701E8D"/>
    <w:rsid w:val="00701ED9"/>
    <w:rsid w:val="00702104"/>
    <w:rsid w:val="00702216"/>
    <w:rsid w:val="007023EC"/>
    <w:rsid w:val="00702533"/>
    <w:rsid w:val="00702681"/>
    <w:rsid w:val="007026B9"/>
    <w:rsid w:val="00702A26"/>
    <w:rsid w:val="00702C6B"/>
    <w:rsid w:val="00702DA8"/>
    <w:rsid w:val="00703164"/>
    <w:rsid w:val="007031A0"/>
    <w:rsid w:val="007033BA"/>
    <w:rsid w:val="0070340A"/>
    <w:rsid w:val="0070345A"/>
    <w:rsid w:val="007036D5"/>
    <w:rsid w:val="007038AA"/>
    <w:rsid w:val="007038AC"/>
    <w:rsid w:val="00703C5C"/>
    <w:rsid w:val="00703DCE"/>
    <w:rsid w:val="00703EA2"/>
    <w:rsid w:val="00703F78"/>
    <w:rsid w:val="007042FC"/>
    <w:rsid w:val="00704461"/>
    <w:rsid w:val="00704756"/>
    <w:rsid w:val="007047D8"/>
    <w:rsid w:val="007048C5"/>
    <w:rsid w:val="00704A39"/>
    <w:rsid w:val="00704BA0"/>
    <w:rsid w:val="00704BC9"/>
    <w:rsid w:val="00704CFA"/>
    <w:rsid w:val="00704E1C"/>
    <w:rsid w:val="007052C7"/>
    <w:rsid w:val="00705328"/>
    <w:rsid w:val="00705434"/>
    <w:rsid w:val="007058C2"/>
    <w:rsid w:val="007059A3"/>
    <w:rsid w:val="00705BB8"/>
    <w:rsid w:val="00705FE0"/>
    <w:rsid w:val="00706009"/>
    <w:rsid w:val="00706042"/>
    <w:rsid w:val="007060C5"/>
    <w:rsid w:val="00706316"/>
    <w:rsid w:val="0070645A"/>
    <w:rsid w:val="0070652F"/>
    <w:rsid w:val="00706576"/>
    <w:rsid w:val="007065E8"/>
    <w:rsid w:val="007065FA"/>
    <w:rsid w:val="0070676E"/>
    <w:rsid w:val="00706BAD"/>
    <w:rsid w:val="0070706E"/>
    <w:rsid w:val="007070E7"/>
    <w:rsid w:val="007070F2"/>
    <w:rsid w:val="0070774D"/>
    <w:rsid w:val="007077EA"/>
    <w:rsid w:val="0070786D"/>
    <w:rsid w:val="00707880"/>
    <w:rsid w:val="00707A06"/>
    <w:rsid w:val="00707F9D"/>
    <w:rsid w:val="00710116"/>
    <w:rsid w:val="0071037D"/>
    <w:rsid w:val="0071040B"/>
    <w:rsid w:val="00710527"/>
    <w:rsid w:val="00710773"/>
    <w:rsid w:val="007108B2"/>
    <w:rsid w:val="00710928"/>
    <w:rsid w:val="007109CE"/>
    <w:rsid w:val="00710BFF"/>
    <w:rsid w:val="00710DA0"/>
    <w:rsid w:val="00710FB6"/>
    <w:rsid w:val="00711399"/>
    <w:rsid w:val="007113EE"/>
    <w:rsid w:val="00711425"/>
    <w:rsid w:val="007114C8"/>
    <w:rsid w:val="007117DE"/>
    <w:rsid w:val="00711930"/>
    <w:rsid w:val="00711BE8"/>
    <w:rsid w:val="00711FFE"/>
    <w:rsid w:val="00712127"/>
    <w:rsid w:val="00712225"/>
    <w:rsid w:val="00712267"/>
    <w:rsid w:val="007123A3"/>
    <w:rsid w:val="00712425"/>
    <w:rsid w:val="00712478"/>
    <w:rsid w:val="007124B5"/>
    <w:rsid w:val="007124C4"/>
    <w:rsid w:val="00712593"/>
    <w:rsid w:val="0071270F"/>
    <w:rsid w:val="00712963"/>
    <w:rsid w:val="007129C1"/>
    <w:rsid w:val="00712DB2"/>
    <w:rsid w:val="00712E36"/>
    <w:rsid w:val="00712E6A"/>
    <w:rsid w:val="00712FCA"/>
    <w:rsid w:val="007132D6"/>
    <w:rsid w:val="007133D7"/>
    <w:rsid w:val="007134A4"/>
    <w:rsid w:val="00713810"/>
    <w:rsid w:val="00713A93"/>
    <w:rsid w:val="00713D50"/>
    <w:rsid w:val="00713F48"/>
    <w:rsid w:val="007143BD"/>
    <w:rsid w:val="00714433"/>
    <w:rsid w:val="0071463A"/>
    <w:rsid w:val="0071496A"/>
    <w:rsid w:val="00714AE5"/>
    <w:rsid w:val="00714E1E"/>
    <w:rsid w:val="0071539F"/>
    <w:rsid w:val="007153E9"/>
    <w:rsid w:val="007154B6"/>
    <w:rsid w:val="007154EA"/>
    <w:rsid w:val="0071559D"/>
    <w:rsid w:val="00715850"/>
    <w:rsid w:val="007158E4"/>
    <w:rsid w:val="00715AA0"/>
    <w:rsid w:val="00715BFE"/>
    <w:rsid w:val="00715C68"/>
    <w:rsid w:val="00715CC8"/>
    <w:rsid w:val="00715DDD"/>
    <w:rsid w:val="00715F4E"/>
    <w:rsid w:val="007161C2"/>
    <w:rsid w:val="0071621B"/>
    <w:rsid w:val="007163B9"/>
    <w:rsid w:val="0071640F"/>
    <w:rsid w:val="007169BE"/>
    <w:rsid w:val="00716A55"/>
    <w:rsid w:val="00716B1C"/>
    <w:rsid w:val="00716C28"/>
    <w:rsid w:val="00716C6D"/>
    <w:rsid w:val="00716CA8"/>
    <w:rsid w:val="00716DAA"/>
    <w:rsid w:val="00716FA0"/>
    <w:rsid w:val="00717169"/>
    <w:rsid w:val="00717198"/>
    <w:rsid w:val="00717244"/>
    <w:rsid w:val="007173DD"/>
    <w:rsid w:val="00717456"/>
    <w:rsid w:val="00717564"/>
    <w:rsid w:val="00717670"/>
    <w:rsid w:val="00717899"/>
    <w:rsid w:val="007179A5"/>
    <w:rsid w:val="00717B46"/>
    <w:rsid w:val="00717D8B"/>
    <w:rsid w:val="00720047"/>
    <w:rsid w:val="00720160"/>
    <w:rsid w:val="00720393"/>
    <w:rsid w:val="0072052B"/>
    <w:rsid w:val="007205AA"/>
    <w:rsid w:val="007206F9"/>
    <w:rsid w:val="0072077A"/>
    <w:rsid w:val="007208FB"/>
    <w:rsid w:val="00720BD7"/>
    <w:rsid w:val="00720C83"/>
    <w:rsid w:val="0072106A"/>
    <w:rsid w:val="007210E6"/>
    <w:rsid w:val="007214DF"/>
    <w:rsid w:val="00721746"/>
    <w:rsid w:val="007218E9"/>
    <w:rsid w:val="0072193C"/>
    <w:rsid w:val="0072194C"/>
    <w:rsid w:val="00721ABE"/>
    <w:rsid w:val="0072208E"/>
    <w:rsid w:val="00722136"/>
    <w:rsid w:val="00722311"/>
    <w:rsid w:val="007224F1"/>
    <w:rsid w:val="0072264A"/>
    <w:rsid w:val="0072269D"/>
    <w:rsid w:val="0072276F"/>
    <w:rsid w:val="0072277B"/>
    <w:rsid w:val="007227D4"/>
    <w:rsid w:val="007227F5"/>
    <w:rsid w:val="00722B9E"/>
    <w:rsid w:val="00722F53"/>
    <w:rsid w:val="007230ED"/>
    <w:rsid w:val="00723183"/>
    <w:rsid w:val="007231BB"/>
    <w:rsid w:val="00723316"/>
    <w:rsid w:val="0072337A"/>
    <w:rsid w:val="007233E3"/>
    <w:rsid w:val="007234DE"/>
    <w:rsid w:val="0072353C"/>
    <w:rsid w:val="00723615"/>
    <w:rsid w:val="00723820"/>
    <w:rsid w:val="0072388B"/>
    <w:rsid w:val="007239C7"/>
    <w:rsid w:val="00723A72"/>
    <w:rsid w:val="00723C0F"/>
    <w:rsid w:val="00723C20"/>
    <w:rsid w:val="00723F14"/>
    <w:rsid w:val="00723F1A"/>
    <w:rsid w:val="00724498"/>
    <w:rsid w:val="007244C3"/>
    <w:rsid w:val="00724588"/>
    <w:rsid w:val="00724912"/>
    <w:rsid w:val="007249A9"/>
    <w:rsid w:val="00724AF0"/>
    <w:rsid w:val="00724B75"/>
    <w:rsid w:val="00724D41"/>
    <w:rsid w:val="00725178"/>
    <w:rsid w:val="0072533B"/>
    <w:rsid w:val="00725620"/>
    <w:rsid w:val="007256F0"/>
    <w:rsid w:val="00725764"/>
    <w:rsid w:val="007259A8"/>
    <w:rsid w:val="00725A56"/>
    <w:rsid w:val="00725D83"/>
    <w:rsid w:val="0072616C"/>
    <w:rsid w:val="00726254"/>
    <w:rsid w:val="00726C5C"/>
    <w:rsid w:val="00726C7C"/>
    <w:rsid w:val="007270A8"/>
    <w:rsid w:val="00727102"/>
    <w:rsid w:val="007275F5"/>
    <w:rsid w:val="007279E2"/>
    <w:rsid w:val="00727C62"/>
    <w:rsid w:val="00727EE2"/>
    <w:rsid w:val="00730000"/>
    <w:rsid w:val="007303D5"/>
    <w:rsid w:val="00730449"/>
    <w:rsid w:val="0073063D"/>
    <w:rsid w:val="007307C0"/>
    <w:rsid w:val="007307C4"/>
    <w:rsid w:val="007307CA"/>
    <w:rsid w:val="007307F5"/>
    <w:rsid w:val="007309B9"/>
    <w:rsid w:val="00730B08"/>
    <w:rsid w:val="00730B60"/>
    <w:rsid w:val="00730CAF"/>
    <w:rsid w:val="00730EDA"/>
    <w:rsid w:val="007316E1"/>
    <w:rsid w:val="00731816"/>
    <w:rsid w:val="007319B8"/>
    <w:rsid w:val="00731B8D"/>
    <w:rsid w:val="00732325"/>
    <w:rsid w:val="007325B7"/>
    <w:rsid w:val="007325DA"/>
    <w:rsid w:val="0073295A"/>
    <w:rsid w:val="00732C21"/>
    <w:rsid w:val="00732D1D"/>
    <w:rsid w:val="00732E58"/>
    <w:rsid w:val="00732E79"/>
    <w:rsid w:val="00732FAA"/>
    <w:rsid w:val="00732FE9"/>
    <w:rsid w:val="0073307C"/>
    <w:rsid w:val="00733090"/>
    <w:rsid w:val="00733214"/>
    <w:rsid w:val="007333E1"/>
    <w:rsid w:val="0073376F"/>
    <w:rsid w:val="00733A85"/>
    <w:rsid w:val="0073419B"/>
    <w:rsid w:val="007341D0"/>
    <w:rsid w:val="0073435B"/>
    <w:rsid w:val="0073439F"/>
    <w:rsid w:val="007349AA"/>
    <w:rsid w:val="00734A81"/>
    <w:rsid w:val="00734B69"/>
    <w:rsid w:val="00734D8F"/>
    <w:rsid w:val="00734E0A"/>
    <w:rsid w:val="00734EE9"/>
    <w:rsid w:val="00734F16"/>
    <w:rsid w:val="00734FA7"/>
    <w:rsid w:val="00735027"/>
    <w:rsid w:val="007350D0"/>
    <w:rsid w:val="00735239"/>
    <w:rsid w:val="00735284"/>
    <w:rsid w:val="00735477"/>
    <w:rsid w:val="00735662"/>
    <w:rsid w:val="0073566B"/>
    <w:rsid w:val="00735688"/>
    <w:rsid w:val="007358EA"/>
    <w:rsid w:val="007358FD"/>
    <w:rsid w:val="00735ADE"/>
    <w:rsid w:val="00735BC4"/>
    <w:rsid w:val="00735BCD"/>
    <w:rsid w:val="00735C90"/>
    <w:rsid w:val="00735CA7"/>
    <w:rsid w:val="00735E23"/>
    <w:rsid w:val="0073644D"/>
    <w:rsid w:val="00736457"/>
    <w:rsid w:val="007364D3"/>
    <w:rsid w:val="007365BF"/>
    <w:rsid w:val="007365D0"/>
    <w:rsid w:val="007365F3"/>
    <w:rsid w:val="0073680D"/>
    <w:rsid w:val="00736BE2"/>
    <w:rsid w:val="00736C6B"/>
    <w:rsid w:val="00736E37"/>
    <w:rsid w:val="00736E68"/>
    <w:rsid w:val="00737097"/>
    <w:rsid w:val="007370D7"/>
    <w:rsid w:val="00737212"/>
    <w:rsid w:val="007373B4"/>
    <w:rsid w:val="0073759F"/>
    <w:rsid w:val="007375A2"/>
    <w:rsid w:val="00737843"/>
    <w:rsid w:val="00737870"/>
    <w:rsid w:val="00737BFD"/>
    <w:rsid w:val="00737F0A"/>
    <w:rsid w:val="00737F47"/>
    <w:rsid w:val="00740051"/>
    <w:rsid w:val="007401C0"/>
    <w:rsid w:val="007401E2"/>
    <w:rsid w:val="00740331"/>
    <w:rsid w:val="007408C6"/>
    <w:rsid w:val="00740AB5"/>
    <w:rsid w:val="00740B2F"/>
    <w:rsid w:val="00740D00"/>
    <w:rsid w:val="007410DE"/>
    <w:rsid w:val="00741222"/>
    <w:rsid w:val="007412AC"/>
    <w:rsid w:val="00741317"/>
    <w:rsid w:val="00741386"/>
    <w:rsid w:val="007413D2"/>
    <w:rsid w:val="0074145D"/>
    <w:rsid w:val="00741494"/>
    <w:rsid w:val="00741543"/>
    <w:rsid w:val="0074155A"/>
    <w:rsid w:val="007415B0"/>
    <w:rsid w:val="007415F9"/>
    <w:rsid w:val="007418AD"/>
    <w:rsid w:val="00741993"/>
    <w:rsid w:val="00741AAB"/>
    <w:rsid w:val="00741F74"/>
    <w:rsid w:val="007420F0"/>
    <w:rsid w:val="00742347"/>
    <w:rsid w:val="00742464"/>
    <w:rsid w:val="007426C3"/>
    <w:rsid w:val="00742D86"/>
    <w:rsid w:val="00742D91"/>
    <w:rsid w:val="00742E6E"/>
    <w:rsid w:val="00742E82"/>
    <w:rsid w:val="00742EE0"/>
    <w:rsid w:val="00742EF2"/>
    <w:rsid w:val="00742FEF"/>
    <w:rsid w:val="0074312F"/>
    <w:rsid w:val="00743144"/>
    <w:rsid w:val="00743502"/>
    <w:rsid w:val="00743726"/>
    <w:rsid w:val="00743A28"/>
    <w:rsid w:val="00743B37"/>
    <w:rsid w:val="00743F0D"/>
    <w:rsid w:val="00743FC1"/>
    <w:rsid w:val="00744089"/>
    <w:rsid w:val="007440D0"/>
    <w:rsid w:val="00744239"/>
    <w:rsid w:val="00744534"/>
    <w:rsid w:val="007445E7"/>
    <w:rsid w:val="007446B5"/>
    <w:rsid w:val="0074477B"/>
    <w:rsid w:val="00744CE0"/>
    <w:rsid w:val="00744DF5"/>
    <w:rsid w:val="00744EAE"/>
    <w:rsid w:val="00745099"/>
    <w:rsid w:val="007451F3"/>
    <w:rsid w:val="007453B5"/>
    <w:rsid w:val="00745430"/>
    <w:rsid w:val="007454EE"/>
    <w:rsid w:val="00745517"/>
    <w:rsid w:val="0074555E"/>
    <w:rsid w:val="0074556E"/>
    <w:rsid w:val="007455B8"/>
    <w:rsid w:val="00745671"/>
    <w:rsid w:val="00745855"/>
    <w:rsid w:val="00745F13"/>
    <w:rsid w:val="00746215"/>
    <w:rsid w:val="007462B1"/>
    <w:rsid w:val="00746459"/>
    <w:rsid w:val="0074662F"/>
    <w:rsid w:val="007467B4"/>
    <w:rsid w:val="00746BFC"/>
    <w:rsid w:val="00746C50"/>
    <w:rsid w:val="00746EDD"/>
    <w:rsid w:val="00747115"/>
    <w:rsid w:val="007471A5"/>
    <w:rsid w:val="00747306"/>
    <w:rsid w:val="0074763F"/>
    <w:rsid w:val="0074795D"/>
    <w:rsid w:val="007479B0"/>
    <w:rsid w:val="00747A07"/>
    <w:rsid w:val="00747E7A"/>
    <w:rsid w:val="0075003E"/>
    <w:rsid w:val="0075020E"/>
    <w:rsid w:val="007502A5"/>
    <w:rsid w:val="007503C7"/>
    <w:rsid w:val="0075069F"/>
    <w:rsid w:val="007506FD"/>
    <w:rsid w:val="0075075E"/>
    <w:rsid w:val="00750764"/>
    <w:rsid w:val="007507C8"/>
    <w:rsid w:val="00750A4C"/>
    <w:rsid w:val="00750DFA"/>
    <w:rsid w:val="0075131D"/>
    <w:rsid w:val="00751532"/>
    <w:rsid w:val="00751692"/>
    <w:rsid w:val="0075177F"/>
    <w:rsid w:val="0075198D"/>
    <w:rsid w:val="007519AD"/>
    <w:rsid w:val="00751AC6"/>
    <w:rsid w:val="00751B4D"/>
    <w:rsid w:val="00751BE9"/>
    <w:rsid w:val="00751D87"/>
    <w:rsid w:val="0075206B"/>
    <w:rsid w:val="007520BA"/>
    <w:rsid w:val="00752139"/>
    <w:rsid w:val="007522AC"/>
    <w:rsid w:val="00752764"/>
    <w:rsid w:val="0075277D"/>
    <w:rsid w:val="00752A89"/>
    <w:rsid w:val="00752CB4"/>
    <w:rsid w:val="00752CFA"/>
    <w:rsid w:val="00752D45"/>
    <w:rsid w:val="00752F9D"/>
    <w:rsid w:val="00752FD4"/>
    <w:rsid w:val="00753184"/>
    <w:rsid w:val="00753296"/>
    <w:rsid w:val="0075340B"/>
    <w:rsid w:val="0075343A"/>
    <w:rsid w:val="0075392B"/>
    <w:rsid w:val="0075394D"/>
    <w:rsid w:val="00753A7D"/>
    <w:rsid w:val="00753EB7"/>
    <w:rsid w:val="00753F1B"/>
    <w:rsid w:val="00753F6B"/>
    <w:rsid w:val="0075406F"/>
    <w:rsid w:val="00754164"/>
    <w:rsid w:val="007541CD"/>
    <w:rsid w:val="00754687"/>
    <w:rsid w:val="007546C0"/>
    <w:rsid w:val="007546D4"/>
    <w:rsid w:val="00754777"/>
    <w:rsid w:val="0075479F"/>
    <w:rsid w:val="00754878"/>
    <w:rsid w:val="007549BD"/>
    <w:rsid w:val="00754A0E"/>
    <w:rsid w:val="00754EBA"/>
    <w:rsid w:val="00755095"/>
    <w:rsid w:val="0075520E"/>
    <w:rsid w:val="00755670"/>
    <w:rsid w:val="007557A3"/>
    <w:rsid w:val="007557F0"/>
    <w:rsid w:val="007558B6"/>
    <w:rsid w:val="0075595F"/>
    <w:rsid w:val="00755E33"/>
    <w:rsid w:val="007563EE"/>
    <w:rsid w:val="00756410"/>
    <w:rsid w:val="007564E0"/>
    <w:rsid w:val="0075658B"/>
    <w:rsid w:val="00756939"/>
    <w:rsid w:val="00756AD4"/>
    <w:rsid w:val="00756BFB"/>
    <w:rsid w:val="00756D42"/>
    <w:rsid w:val="00756E27"/>
    <w:rsid w:val="00756E72"/>
    <w:rsid w:val="007570B2"/>
    <w:rsid w:val="0075710D"/>
    <w:rsid w:val="007574D9"/>
    <w:rsid w:val="0075783C"/>
    <w:rsid w:val="00757917"/>
    <w:rsid w:val="007579C8"/>
    <w:rsid w:val="00757B29"/>
    <w:rsid w:val="00757B36"/>
    <w:rsid w:val="00757B94"/>
    <w:rsid w:val="00757C04"/>
    <w:rsid w:val="00757C95"/>
    <w:rsid w:val="00757CDE"/>
    <w:rsid w:val="00757E1E"/>
    <w:rsid w:val="00757F66"/>
    <w:rsid w:val="00757F67"/>
    <w:rsid w:val="007604C5"/>
    <w:rsid w:val="0076087C"/>
    <w:rsid w:val="007609C7"/>
    <w:rsid w:val="00760B26"/>
    <w:rsid w:val="00760CE5"/>
    <w:rsid w:val="00761087"/>
    <w:rsid w:val="00761367"/>
    <w:rsid w:val="00761556"/>
    <w:rsid w:val="007617DE"/>
    <w:rsid w:val="0076199D"/>
    <w:rsid w:val="00761BB2"/>
    <w:rsid w:val="00761BBC"/>
    <w:rsid w:val="00761D44"/>
    <w:rsid w:val="00761DC3"/>
    <w:rsid w:val="00761E6B"/>
    <w:rsid w:val="00761E9E"/>
    <w:rsid w:val="00762309"/>
    <w:rsid w:val="007623E3"/>
    <w:rsid w:val="007624A3"/>
    <w:rsid w:val="007627EA"/>
    <w:rsid w:val="00762B77"/>
    <w:rsid w:val="00762C70"/>
    <w:rsid w:val="00762C8A"/>
    <w:rsid w:val="0076309D"/>
    <w:rsid w:val="00763124"/>
    <w:rsid w:val="007632B4"/>
    <w:rsid w:val="007632F1"/>
    <w:rsid w:val="00763434"/>
    <w:rsid w:val="007635CF"/>
    <w:rsid w:val="0076400C"/>
    <w:rsid w:val="007642E8"/>
    <w:rsid w:val="007644A2"/>
    <w:rsid w:val="007645F4"/>
    <w:rsid w:val="007646EA"/>
    <w:rsid w:val="007648E2"/>
    <w:rsid w:val="0076496A"/>
    <w:rsid w:val="007649F1"/>
    <w:rsid w:val="00764A66"/>
    <w:rsid w:val="00764A7F"/>
    <w:rsid w:val="00764B6C"/>
    <w:rsid w:val="00764E78"/>
    <w:rsid w:val="00764EB9"/>
    <w:rsid w:val="00764F0B"/>
    <w:rsid w:val="00764F67"/>
    <w:rsid w:val="00764FBD"/>
    <w:rsid w:val="00764FFB"/>
    <w:rsid w:val="00765102"/>
    <w:rsid w:val="00765203"/>
    <w:rsid w:val="007654E9"/>
    <w:rsid w:val="007656BF"/>
    <w:rsid w:val="00765715"/>
    <w:rsid w:val="0076572D"/>
    <w:rsid w:val="0076575A"/>
    <w:rsid w:val="00765878"/>
    <w:rsid w:val="0076588C"/>
    <w:rsid w:val="0076591B"/>
    <w:rsid w:val="00765CAB"/>
    <w:rsid w:val="00765DA0"/>
    <w:rsid w:val="00765DDE"/>
    <w:rsid w:val="00765F99"/>
    <w:rsid w:val="00766045"/>
    <w:rsid w:val="00766724"/>
    <w:rsid w:val="007667D1"/>
    <w:rsid w:val="00766AEC"/>
    <w:rsid w:val="00766FE3"/>
    <w:rsid w:val="00767121"/>
    <w:rsid w:val="00767294"/>
    <w:rsid w:val="007672E5"/>
    <w:rsid w:val="0076772B"/>
    <w:rsid w:val="00767851"/>
    <w:rsid w:val="00767979"/>
    <w:rsid w:val="00767ABD"/>
    <w:rsid w:val="00767AC8"/>
    <w:rsid w:val="00767BB1"/>
    <w:rsid w:val="00767C22"/>
    <w:rsid w:val="00767C76"/>
    <w:rsid w:val="00767DB5"/>
    <w:rsid w:val="00767F10"/>
    <w:rsid w:val="00767F1B"/>
    <w:rsid w:val="007700CA"/>
    <w:rsid w:val="0077018B"/>
    <w:rsid w:val="007702C7"/>
    <w:rsid w:val="007703B5"/>
    <w:rsid w:val="007704FB"/>
    <w:rsid w:val="00770BBC"/>
    <w:rsid w:val="00770BF2"/>
    <w:rsid w:val="00770E67"/>
    <w:rsid w:val="0077127F"/>
    <w:rsid w:val="00771391"/>
    <w:rsid w:val="007714F4"/>
    <w:rsid w:val="0077151D"/>
    <w:rsid w:val="00771560"/>
    <w:rsid w:val="007716BE"/>
    <w:rsid w:val="00771906"/>
    <w:rsid w:val="00771A31"/>
    <w:rsid w:val="00771BDC"/>
    <w:rsid w:val="00771D50"/>
    <w:rsid w:val="00771D9E"/>
    <w:rsid w:val="00771E57"/>
    <w:rsid w:val="00771F6E"/>
    <w:rsid w:val="007720F3"/>
    <w:rsid w:val="00772690"/>
    <w:rsid w:val="007727DD"/>
    <w:rsid w:val="00772904"/>
    <w:rsid w:val="0077299C"/>
    <w:rsid w:val="00772B3E"/>
    <w:rsid w:val="00772BD0"/>
    <w:rsid w:val="00772D96"/>
    <w:rsid w:val="00772DEF"/>
    <w:rsid w:val="0077309E"/>
    <w:rsid w:val="007730A8"/>
    <w:rsid w:val="007734EB"/>
    <w:rsid w:val="00773521"/>
    <w:rsid w:val="0077376E"/>
    <w:rsid w:val="00773789"/>
    <w:rsid w:val="0077383B"/>
    <w:rsid w:val="007738BE"/>
    <w:rsid w:val="00773FA2"/>
    <w:rsid w:val="00774060"/>
    <w:rsid w:val="007740BF"/>
    <w:rsid w:val="00774119"/>
    <w:rsid w:val="00774390"/>
    <w:rsid w:val="0077455C"/>
    <w:rsid w:val="007746C6"/>
    <w:rsid w:val="0077474D"/>
    <w:rsid w:val="00774F0D"/>
    <w:rsid w:val="00774F4F"/>
    <w:rsid w:val="00774F5C"/>
    <w:rsid w:val="00774FD2"/>
    <w:rsid w:val="007750ED"/>
    <w:rsid w:val="00775118"/>
    <w:rsid w:val="00775237"/>
    <w:rsid w:val="00775264"/>
    <w:rsid w:val="007752BA"/>
    <w:rsid w:val="007755D4"/>
    <w:rsid w:val="00775635"/>
    <w:rsid w:val="00775BD4"/>
    <w:rsid w:val="00775BEB"/>
    <w:rsid w:val="00775E62"/>
    <w:rsid w:val="0077609C"/>
    <w:rsid w:val="007763BB"/>
    <w:rsid w:val="00776CFE"/>
    <w:rsid w:val="00776D51"/>
    <w:rsid w:val="0077714D"/>
    <w:rsid w:val="007771F8"/>
    <w:rsid w:val="00777215"/>
    <w:rsid w:val="007772DC"/>
    <w:rsid w:val="0077744A"/>
    <w:rsid w:val="00777701"/>
    <w:rsid w:val="00777A83"/>
    <w:rsid w:val="00777AF3"/>
    <w:rsid w:val="00777BB4"/>
    <w:rsid w:val="00777BD0"/>
    <w:rsid w:val="00777C02"/>
    <w:rsid w:val="00777C20"/>
    <w:rsid w:val="00777EC1"/>
    <w:rsid w:val="00777F4F"/>
    <w:rsid w:val="007800DD"/>
    <w:rsid w:val="0078015C"/>
    <w:rsid w:val="00780481"/>
    <w:rsid w:val="007805CD"/>
    <w:rsid w:val="00780765"/>
    <w:rsid w:val="0078099A"/>
    <w:rsid w:val="00780D2E"/>
    <w:rsid w:val="00780E65"/>
    <w:rsid w:val="00780FA0"/>
    <w:rsid w:val="00781089"/>
    <w:rsid w:val="00781166"/>
    <w:rsid w:val="0078130E"/>
    <w:rsid w:val="00781360"/>
    <w:rsid w:val="00781498"/>
    <w:rsid w:val="007814A7"/>
    <w:rsid w:val="0078162D"/>
    <w:rsid w:val="00781781"/>
    <w:rsid w:val="0078190B"/>
    <w:rsid w:val="007819C2"/>
    <w:rsid w:val="00781C39"/>
    <w:rsid w:val="00781C9B"/>
    <w:rsid w:val="00781F6A"/>
    <w:rsid w:val="00782102"/>
    <w:rsid w:val="00782157"/>
    <w:rsid w:val="007821BE"/>
    <w:rsid w:val="00782212"/>
    <w:rsid w:val="00782243"/>
    <w:rsid w:val="0078229A"/>
    <w:rsid w:val="00782380"/>
    <w:rsid w:val="00782416"/>
    <w:rsid w:val="00782CD2"/>
    <w:rsid w:val="007830F1"/>
    <w:rsid w:val="00783404"/>
    <w:rsid w:val="00783495"/>
    <w:rsid w:val="00783783"/>
    <w:rsid w:val="00783B10"/>
    <w:rsid w:val="00783B86"/>
    <w:rsid w:val="00783E5F"/>
    <w:rsid w:val="00784A00"/>
    <w:rsid w:val="00784D76"/>
    <w:rsid w:val="00784D9A"/>
    <w:rsid w:val="00784EE6"/>
    <w:rsid w:val="007852C0"/>
    <w:rsid w:val="007853CA"/>
    <w:rsid w:val="007853D2"/>
    <w:rsid w:val="007853E2"/>
    <w:rsid w:val="00785635"/>
    <w:rsid w:val="00785794"/>
    <w:rsid w:val="00785855"/>
    <w:rsid w:val="007858A7"/>
    <w:rsid w:val="007858B2"/>
    <w:rsid w:val="00785AF9"/>
    <w:rsid w:val="00785E1D"/>
    <w:rsid w:val="00785EEC"/>
    <w:rsid w:val="007861BD"/>
    <w:rsid w:val="00786222"/>
    <w:rsid w:val="007862A4"/>
    <w:rsid w:val="007867DB"/>
    <w:rsid w:val="00786816"/>
    <w:rsid w:val="00786AB8"/>
    <w:rsid w:val="00786E13"/>
    <w:rsid w:val="00786F76"/>
    <w:rsid w:val="0078716A"/>
    <w:rsid w:val="0078719F"/>
    <w:rsid w:val="00787435"/>
    <w:rsid w:val="00787470"/>
    <w:rsid w:val="00787560"/>
    <w:rsid w:val="007875FC"/>
    <w:rsid w:val="0078766B"/>
    <w:rsid w:val="007876F0"/>
    <w:rsid w:val="00787737"/>
    <w:rsid w:val="00787A80"/>
    <w:rsid w:val="00787D2D"/>
    <w:rsid w:val="00787E6E"/>
    <w:rsid w:val="00787F5C"/>
    <w:rsid w:val="00790031"/>
    <w:rsid w:val="00790138"/>
    <w:rsid w:val="0079018C"/>
    <w:rsid w:val="00790313"/>
    <w:rsid w:val="00790357"/>
    <w:rsid w:val="00790425"/>
    <w:rsid w:val="0079042F"/>
    <w:rsid w:val="007907C8"/>
    <w:rsid w:val="00790912"/>
    <w:rsid w:val="00790962"/>
    <w:rsid w:val="00790CC8"/>
    <w:rsid w:val="00790D38"/>
    <w:rsid w:val="00790D72"/>
    <w:rsid w:val="007911F8"/>
    <w:rsid w:val="00791377"/>
    <w:rsid w:val="007914CD"/>
    <w:rsid w:val="007915C0"/>
    <w:rsid w:val="00791727"/>
    <w:rsid w:val="007917F3"/>
    <w:rsid w:val="0079196D"/>
    <w:rsid w:val="00791AB9"/>
    <w:rsid w:val="00791B53"/>
    <w:rsid w:val="00791BA1"/>
    <w:rsid w:val="00791C6A"/>
    <w:rsid w:val="00791DB9"/>
    <w:rsid w:val="00791ECB"/>
    <w:rsid w:val="00791F60"/>
    <w:rsid w:val="00792247"/>
    <w:rsid w:val="007922B1"/>
    <w:rsid w:val="007922D8"/>
    <w:rsid w:val="0079275C"/>
    <w:rsid w:val="00792ACB"/>
    <w:rsid w:val="00792C65"/>
    <w:rsid w:val="00792FF6"/>
    <w:rsid w:val="007930BE"/>
    <w:rsid w:val="007933D0"/>
    <w:rsid w:val="007935AE"/>
    <w:rsid w:val="0079372A"/>
    <w:rsid w:val="007937B9"/>
    <w:rsid w:val="0079390B"/>
    <w:rsid w:val="00793CB0"/>
    <w:rsid w:val="00793CD9"/>
    <w:rsid w:val="00793FC4"/>
    <w:rsid w:val="007942F5"/>
    <w:rsid w:val="00794303"/>
    <w:rsid w:val="00794328"/>
    <w:rsid w:val="0079449B"/>
    <w:rsid w:val="0079464D"/>
    <w:rsid w:val="00794651"/>
    <w:rsid w:val="007946FC"/>
    <w:rsid w:val="0079481E"/>
    <w:rsid w:val="00794992"/>
    <w:rsid w:val="00794A68"/>
    <w:rsid w:val="00794DB3"/>
    <w:rsid w:val="00794DBA"/>
    <w:rsid w:val="00794EAD"/>
    <w:rsid w:val="00794FC2"/>
    <w:rsid w:val="0079508C"/>
    <w:rsid w:val="007951E0"/>
    <w:rsid w:val="00795387"/>
    <w:rsid w:val="007953EC"/>
    <w:rsid w:val="00795412"/>
    <w:rsid w:val="007954D9"/>
    <w:rsid w:val="007954E8"/>
    <w:rsid w:val="007956F5"/>
    <w:rsid w:val="0079571C"/>
    <w:rsid w:val="00795A17"/>
    <w:rsid w:val="00795CAF"/>
    <w:rsid w:val="00795CD3"/>
    <w:rsid w:val="00795CE0"/>
    <w:rsid w:val="00795FBC"/>
    <w:rsid w:val="007960F7"/>
    <w:rsid w:val="0079616F"/>
    <w:rsid w:val="0079620F"/>
    <w:rsid w:val="007963CD"/>
    <w:rsid w:val="0079672C"/>
    <w:rsid w:val="0079684D"/>
    <w:rsid w:val="00796954"/>
    <w:rsid w:val="00797005"/>
    <w:rsid w:val="00797133"/>
    <w:rsid w:val="00797292"/>
    <w:rsid w:val="007974C1"/>
    <w:rsid w:val="0079789D"/>
    <w:rsid w:val="007979A1"/>
    <w:rsid w:val="00797BCB"/>
    <w:rsid w:val="00797D17"/>
    <w:rsid w:val="00797D3E"/>
    <w:rsid w:val="00797DA2"/>
    <w:rsid w:val="00797DD0"/>
    <w:rsid w:val="00797FBE"/>
    <w:rsid w:val="007A02E7"/>
    <w:rsid w:val="007A03A6"/>
    <w:rsid w:val="007A065A"/>
    <w:rsid w:val="007A07F2"/>
    <w:rsid w:val="007A0DBC"/>
    <w:rsid w:val="007A0E05"/>
    <w:rsid w:val="007A11D4"/>
    <w:rsid w:val="007A11F3"/>
    <w:rsid w:val="007A1B6C"/>
    <w:rsid w:val="007A1F82"/>
    <w:rsid w:val="007A2288"/>
    <w:rsid w:val="007A2464"/>
    <w:rsid w:val="007A24E1"/>
    <w:rsid w:val="007A2D01"/>
    <w:rsid w:val="007A2DD8"/>
    <w:rsid w:val="007A2F5B"/>
    <w:rsid w:val="007A3398"/>
    <w:rsid w:val="007A339D"/>
    <w:rsid w:val="007A35EE"/>
    <w:rsid w:val="007A36CF"/>
    <w:rsid w:val="007A3AEB"/>
    <w:rsid w:val="007A3D39"/>
    <w:rsid w:val="007A3D9A"/>
    <w:rsid w:val="007A3D9D"/>
    <w:rsid w:val="007A3E01"/>
    <w:rsid w:val="007A3E5A"/>
    <w:rsid w:val="007A3EEC"/>
    <w:rsid w:val="007A3F16"/>
    <w:rsid w:val="007A4037"/>
    <w:rsid w:val="007A418D"/>
    <w:rsid w:val="007A43FF"/>
    <w:rsid w:val="007A4448"/>
    <w:rsid w:val="007A47C6"/>
    <w:rsid w:val="007A4AF1"/>
    <w:rsid w:val="007A505B"/>
    <w:rsid w:val="007A52A2"/>
    <w:rsid w:val="007A5628"/>
    <w:rsid w:val="007A562D"/>
    <w:rsid w:val="007A5635"/>
    <w:rsid w:val="007A56E5"/>
    <w:rsid w:val="007A5896"/>
    <w:rsid w:val="007A5A9B"/>
    <w:rsid w:val="007A5B6A"/>
    <w:rsid w:val="007A5C76"/>
    <w:rsid w:val="007A5F99"/>
    <w:rsid w:val="007A6068"/>
    <w:rsid w:val="007A61C3"/>
    <w:rsid w:val="007A620C"/>
    <w:rsid w:val="007A6252"/>
    <w:rsid w:val="007A62DE"/>
    <w:rsid w:val="007A6370"/>
    <w:rsid w:val="007A6397"/>
    <w:rsid w:val="007A63A7"/>
    <w:rsid w:val="007A6517"/>
    <w:rsid w:val="007A663D"/>
    <w:rsid w:val="007A67DA"/>
    <w:rsid w:val="007A6900"/>
    <w:rsid w:val="007A69EA"/>
    <w:rsid w:val="007A6AAB"/>
    <w:rsid w:val="007A6AED"/>
    <w:rsid w:val="007A6BA3"/>
    <w:rsid w:val="007A6FC2"/>
    <w:rsid w:val="007A7049"/>
    <w:rsid w:val="007A70CE"/>
    <w:rsid w:val="007A7250"/>
    <w:rsid w:val="007A745E"/>
    <w:rsid w:val="007A7480"/>
    <w:rsid w:val="007A74F2"/>
    <w:rsid w:val="007A7506"/>
    <w:rsid w:val="007A7514"/>
    <w:rsid w:val="007A7540"/>
    <w:rsid w:val="007A7569"/>
    <w:rsid w:val="007A7908"/>
    <w:rsid w:val="007A790B"/>
    <w:rsid w:val="007A7AAF"/>
    <w:rsid w:val="007A7AB1"/>
    <w:rsid w:val="007A7B6D"/>
    <w:rsid w:val="007A7BB9"/>
    <w:rsid w:val="007A7C1D"/>
    <w:rsid w:val="007A7E92"/>
    <w:rsid w:val="007A7ED1"/>
    <w:rsid w:val="007B01C8"/>
    <w:rsid w:val="007B0247"/>
    <w:rsid w:val="007B04CB"/>
    <w:rsid w:val="007B0530"/>
    <w:rsid w:val="007B0552"/>
    <w:rsid w:val="007B0685"/>
    <w:rsid w:val="007B06B9"/>
    <w:rsid w:val="007B07F1"/>
    <w:rsid w:val="007B0881"/>
    <w:rsid w:val="007B08C4"/>
    <w:rsid w:val="007B0A4E"/>
    <w:rsid w:val="007B0AC2"/>
    <w:rsid w:val="007B0ADD"/>
    <w:rsid w:val="007B0BB7"/>
    <w:rsid w:val="007B0BF3"/>
    <w:rsid w:val="007B0CC4"/>
    <w:rsid w:val="007B0F62"/>
    <w:rsid w:val="007B1184"/>
    <w:rsid w:val="007B1249"/>
    <w:rsid w:val="007B1431"/>
    <w:rsid w:val="007B1AC3"/>
    <w:rsid w:val="007B1DCD"/>
    <w:rsid w:val="007B219A"/>
    <w:rsid w:val="007B2203"/>
    <w:rsid w:val="007B238C"/>
    <w:rsid w:val="007B23D8"/>
    <w:rsid w:val="007B2A5C"/>
    <w:rsid w:val="007B2AEB"/>
    <w:rsid w:val="007B2B2C"/>
    <w:rsid w:val="007B2BB7"/>
    <w:rsid w:val="007B2C4F"/>
    <w:rsid w:val="007B2E45"/>
    <w:rsid w:val="007B317C"/>
    <w:rsid w:val="007B3249"/>
    <w:rsid w:val="007B3386"/>
    <w:rsid w:val="007B3396"/>
    <w:rsid w:val="007B3A1D"/>
    <w:rsid w:val="007B3BF0"/>
    <w:rsid w:val="007B3C35"/>
    <w:rsid w:val="007B3E6B"/>
    <w:rsid w:val="007B3E9E"/>
    <w:rsid w:val="007B3EA9"/>
    <w:rsid w:val="007B4208"/>
    <w:rsid w:val="007B44A7"/>
    <w:rsid w:val="007B4648"/>
    <w:rsid w:val="007B46C4"/>
    <w:rsid w:val="007B4934"/>
    <w:rsid w:val="007B4DF3"/>
    <w:rsid w:val="007B514F"/>
    <w:rsid w:val="007B515A"/>
    <w:rsid w:val="007B51BE"/>
    <w:rsid w:val="007B523A"/>
    <w:rsid w:val="007B524E"/>
    <w:rsid w:val="007B5311"/>
    <w:rsid w:val="007B53CE"/>
    <w:rsid w:val="007B5AA3"/>
    <w:rsid w:val="007B5C23"/>
    <w:rsid w:val="007B604B"/>
    <w:rsid w:val="007B604E"/>
    <w:rsid w:val="007B667D"/>
    <w:rsid w:val="007B672A"/>
    <w:rsid w:val="007B67F5"/>
    <w:rsid w:val="007B68E2"/>
    <w:rsid w:val="007B6AF5"/>
    <w:rsid w:val="007B6DBF"/>
    <w:rsid w:val="007B6FC7"/>
    <w:rsid w:val="007B7016"/>
    <w:rsid w:val="007B70AD"/>
    <w:rsid w:val="007B712A"/>
    <w:rsid w:val="007B7265"/>
    <w:rsid w:val="007B73B2"/>
    <w:rsid w:val="007B73E1"/>
    <w:rsid w:val="007B751E"/>
    <w:rsid w:val="007B75BA"/>
    <w:rsid w:val="007B75D6"/>
    <w:rsid w:val="007B75E1"/>
    <w:rsid w:val="007B7629"/>
    <w:rsid w:val="007B76B3"/>
    <w:rsid w:val="007B76C8"/>
    <w:rsid w:val="007B7A48"/>
    <w:rsid w:val="007B7C01"/>
    <w:rsid w:val="007B7C65"/>
    <w:rsid w:val="007C00CC"/>
    <w:rsid w:val="007C01A7"/>
    <w:rsid w:val="007C0221"/>
    <w:rsid w:val="007C027D"/>
    <w:rsid w:val="007C02EA"/>
    <w:rsid w:val="007C05B8"/>
    <w:rsid w:val="007C07CC"/>
    <w:rsid w:val="007C08A0"/>
    <w:rsid w:val="007C0A33"/>
    <w:rsid w:val="007C0B9A"/>
    <w:rsid w:val="007C105A"/>
    <w:rsid w:val="007C10E6"/>
    <w:rsid w:val="007C1152"/>
    <w:rsid w:val="007C14D5"/>
    <w:rsid w:val="007C156B"/>
    <w:rsid w:val="007C1A26"/>
    <w:rsid w:val="007C1CE4"/>
    <w:rsid w:val="007C1F0E"/>
    <w:rsid w:val="007C203C"/>
    <w:rsid w:val="007C2381"/>
    <w:rsid w:val="007C23E8"/>
    <w:rsid w:val="007C268B"/>
    <w:rsid w:val="007C28F6"/>
    <w:rsid w:val="007C2AD5"/>
    <w:rsid w:val="007C2D02"/>
    <w:rsid w:val="007C2D4B"/>
    <w:rsid w:val="007C307C"/>
    <w:rsid w:val="007C30D0"/>
    <w:rsid w:val="007C32EF"/>
    <w:rsid w:val="007C3425"/>
    <w:rsid w:val="007C3A5E"/>
    <w:rsid w:val="007C3AD1"/>
    <w:rsid w:val="007C40A0"/>
    <w:rsid w:val="007C411A"/>
    <w:rsid w:val="007C41AD"/>
    <w:rsid w:val="007C43DC"/>
    <w:rsid w:val="007C44AA"/>
    <w:rsid w:val="007C492E"/>
    <w:rsid w:val="007C4977"/>
    <w:rsid w:val="007C4985"/>
    <w:rsid w:val="007C4BA0"/>
    <w:rsid w:val="007C4D74"/>
    <w:rsid w:val="007C4F7D"/>
    <w:rsid w:val="007C5017"/>
    <w:rsid w:val="007C567F"/>
    <w:rsid w:val="007C593B"/>
    <w:rsid w:val="007C5A1A"/>
    <w:rsid w:val="007C5AF4"/>
    <w:rsid w:val="007C5B5A"/>
    <w:rsid w:val="007C5BC8"/>
    <w:rsid w:val="007C5CC6"/>
    <w:rsid w:val="007C5E8A"/>
    <w:rsid w:val="007C6225"/>
    <w:rsid w:val="007C6312"/>
    <w:rsid w:val="007C65A9"/>
    <w:rsid w:val="007C6652"/>
    <w:rsid w:val="007C68EB"/>
    <w:rsid w:val="007C6B52"/>
    <w:rsid w:val="007C6C57"/>
    <w:rsid w:val="007C6CB0"/>
    <w:rsid w:val="007C6DBA"/>
    <w:rsid w:val="007C6E7B"/>
    <w:rsid w:val="007C6F23"/>
    <w:rsid w:val="007C75A2"/>
    <w:rsid w:val="007C76D7"/>
    <w:rsid w:val="007C7DC1"/>
    <w:rsid w:val="007C7E2B"/>
    <w:rsid w:val="007C7E5D"/>
    <w:rsid w:val="007D03AD"/>
    <w:rsid w:val="007D0417"/>
    <w:rsid w:val="007D0BAF"/>
    <w:rsid w:val="007D0C3F"/>
    <w:rsid w:val="007D0D9E"/>
    <w:rsid w:val="007D0FBA"/>
    <w:rsid w:val="007D1010"/>
    <w:rsid w:val="007D1085"/>
    <w:rsid w:val="007D1198"/>
    <w:rsid w:val="007D1238"/>
    <w:rsid w:val="007D12C0"/>
    <w:rsid w:val="007D14F7"/>
    <w:rsid w:val="007D1743"/>
    <w:rsid w:val="007D19E8"/>
    <w:rsid w:val="007D1D13"/>
    <w:rsid w:val="007D1F43"/>
    <w:rsid w:val="007D22A4"/>
    <w:rsid w:val="007D2319"/>
    <w:rsid w:val="007D256B"/>
    <w:rsid w:val="007D266E"/>
    <w:rsid w:val="007D2C54"/>
    <w:rsid w:val="007D2DA8"/>
    <w:rsid w:val="007D2F01"/>
    <w:rsid w:val="007D31CB"/>
    <w:rsid w:val="007D3259"/>
    <w:rsid w:val="007D330C"/>
    <w:rsid w:val="007D351B"/>
    <w:rsid w:val="007D35AA"/>
    <w:rsid w:val="007D35E1"/>
    <w:rsid w:val="007D3633"/>
    <w:rsid w:val="007D3667"/>
    <w:rsid w:val="007D39B1"/>
    <w:rsid w:val="007D3A46"/>
    <w:rsid w:val="007D3A55"/>
    <w:rsid w:val="007D3F2B"/>
    <w:rsid w:val="007D3F8D"/>
    <w:rsid w:val="007D40F3"/>
    <w:rsid w:val="007D418A"/>
    <w:rsid w:val="007D41A3"/>
    <w:rsid w:val="007D481B"/>
    <w:rsid w:val="007D482A"/>
    <w:rsid w:val="007D4844"/>
    <w:rsid w:val="007D4869"/>
    <w:rsid w:val="007D4BB0"/>
    <w:rsid w:val="007D4F66"/>
    <w:rsid w:val="007D5164"/>
    <w:rsid w:val="007D51A1"/>
    <w:rsid w:val="007D5399"/>
    <w:rsid w:val="007D552E"/>
    <w:rsid w:val="007D5576"/>
    <w:rsid w:val="007D55E3"/>
    <w:rsid w:val="007D56C0"/>
    <w:rsid w:val="007D56D8"/>
    <w:rsid w:val="007D57A2"/>
    <w:rsid w:val="007D5A25"/>
    <w:rsid w:val="007D5B8C"/>
    <w:rsid w:val="007D5BE5"/>
    <w:rsid w:val="007D5DD4"/>
    <w:rsid w:val="007D6146"/>
    <w:rsid w:val="007D61AE"/>
    <w:rsid w:val="007D61EE"/>
    <w:rsid w:val="007D635C"/>
    <w:rsid w:val="007D641A"/>
    <w:rsid w:val="007D654A"/>
    <w:rsid w:val="007D65EE"/>
    <w:rsid w:val="007D6648"/>
    <w:rsid w:val="007D669B"/>
    <w:rsid w:val="007D686F"/>
    <w:rsid w:val="007D692B"/>
    <w:rsid w:val="007D69BA"/>
    <w:rsid w:val="007D7134"/>
    <w:rsid w:val="007D7419"/>
    <w:rsid w:val="007D77C7"/>
    <w:rsid w:val="007D79C5"/>
    <w:rsid w:val="007D7C52"/>
    <w:rsid w:val="007D7D97"/>
    <w:rsid w:val="007D7E31"/>
    <w:rsid w:val="007E0030"/>
    <w:rsid w:val="007E0140"/>
    <w:rsid w:val="007E0249"/>
    <w:rsid w:val="007E0308"/>
    <w:rsid w:val="007E04ED"/>
    <w:rsid w:val="007E04FD"/>
    <w:rsid w:val="007E0641"/>
    <w:rsid w:val="007E06EA"/>
    <w:rsid w:val="007E091E"/>
    <w:rsid w:val="007E09B2"/>
    <w:rsid w:val="007E0AC7"/>
    <w:rsid w:val="007E0C61"/>
    <w:rsid w:val="007E0DEF"/>
    <w:rsid w:val="007E0E0A"/>
    <w:rsid w:val="007E0FE6"/>
    <w:rsid w:val="007E10A1"/>
    <w:rsid w:val="007E12EB"/>
    <w:rsid w:val="007E1EA6"/>
    <w:rsid w:val="007E1EF4"/>
    <w:rsid w:val="007E1F7A"/>
    <w:rsid w:val="007E24EC"/>
    <w:rsid w:val="007E24F8"/>
    <w:rsid w:val="007E25CA"/>
    <w:rsid w:val="007E2898"/>
    <w:rsid w:val="007E28D0"/>
    <w:rsid w:val="007E28FD"/>
    <w:rsid w:val="007E29DC"/>
    <w:rsid w:val="007E2A46"/>
    <w:rsid w:val="007E3072"/>
    <w:rsid w:val="007E310F"/>
    <w:rsid w:val="007E32B1"/>
    <w:rsid w:val="007E32C3"/>
    <w:rsid w:val="007E32C6"/>
    <w:rsid w:val="007E3430"/>
    <w:rsid w:val="007E3535"/>
    <w:rsid w:val="007E3634"/>
    <w:rsid w:val="007E3C72"/>
    <w:rsid w:val="007E3C8E"/>
    <w:rsid w:val="007E3C99"/>
    <w:rsid w:val="007E3DA2"/>
    <w:rsid w:val="007E41FE"/>
    <w:rsid w:val="007E429A"/>
    <w:rsid w:val="007E42ED"/>
    <w:rsid w:val="007E43B6"/>
    <w:rsid w:val="007E4738"/>
    <w:rsid w:val="007E4860"/>
    <w:rsid w:val="007E487F"/>
    <w:rsid w:val="007E4AB2"/>
    <w:rsid w:val="007E4B6F"/>
    <w:rsid w:val="007E4DBA"/>
    <w:rsid w:val="007E4EC5"/>
    <w:rsid w:val="007E4EF2"/>
    <w:rsid w:val="007E5022"/>
    <w:rsid w:val="007E5270"/>
    <w:rsid w:val="007E52D1"/>
    <w:rsid w:val="007E53CE"/>
    <w:rsid w:val="007E5408"/>
    <w:rsid w:val="007E563A"/>
    <w:rsid w:val="007E56D8"/>
    <w:rsid w:val="007E57AE"/>
    <w:rsid w:val="007E589C"/>
    <w:rsid w:val="007E5983"/>
    <w:rsid w:val="007E59A2"/>
    <w:rsid w:val="007E5B05"/>
    <w:rsid w:val="007E5CAD"/>
    <w:rsid w:val="007E5CF6"/>
    <w:rsid w:val="007E6072"/>
    <w:rsid w:val="007E6724"/>
    <w:rsid w:val="007E6C13"/>
    <w:rsid w:val="007E6D4F"/>
    <w:rsid w:val="007E6D9B"/>
    <w:rsid w:val="007E7273"/>
    <w:rsid w:val="007E728F"/>
    <w:rsid w:val="007E732D"/>
    <w:rsid w:val="007E75EF"/>
    <w:rsid w:val="007E7636"/>
    <w:rsid w:val="007E7C13"/>
    <w:rsid w:val="007E7D17"/>
    <w:rsid w:val="007F001A"/>
    <w:rsid w:val="007F031F"/>
    <w:rsid w:val="007F0399"/>
    <w:rsid w:val="007F043F"/>
    <w:rsid w:val="007F04F1"/>
    <w:rsid w:val="007F0531"/>
    <w:rsid w:val="007F08F4"/>
    <w:rsid w:val="007F0A88"/>
    <w:rsid w:val="007F0C8C"/>
    <w:rsid w:val="007F11D5"/>
    <w:rsid w:val="007F13E9"/>
    <w:rsid w:val="007F15CB"/>
    <w:rsid w:val="007F1840"/>
    <w:rsid w:val="007F1966"/>
    <w:rsid w:val="007F1E33"/>
    <w:rsid w:val="007F1F29"/>
    <w:rsid w:val="007F2059"/>
    <w:rsid w:val="007F218E"/>
    <w:rsid w:val="007F225F"/>
    <w:rsid w:val="007F2299"/>
    <w:rsid w:val="007F23CA"/>
    <w:rsid w:val="007F26DD"/>
    <w:rsid w:val="007F2978"/>
    <w:rsid w:val="007F2FE5"/>
    <w:rsid w:val="007F307B"/>
    <w:rsid w:val="007F31DC"/>
    <w:rsid w:val="007F33A4"/>
    <w:rsid w:val="007F34A8"/>
    <w:rsid w:val="007F3561"/>
    <w:rsid w:val="007F3654"/>
    <w:rsid w:val="007F373C"/>
    <w:rsid w:val="007F3750"/>
    <w:rsid w:val="007F386A"/>
    <w:rsid w:val="007F392E"/>
    <w:rsid w:val="007F3A95"/>
    <w:rsid w:val="007F3C8B"/>
    <w:rsid w:val="007F3CEA"/>
    <w:rsid w:val="007F3D0C"/>
    <w:rsid w:val="007F3D96"/>
    <w:rsid w:val="007F3E20"/>
    <w:rsid w:val="007F3F7D"/>
    <w:rsid w:val="007F403E"/>
    <w:rsid w:val="007F405C"/>
    <w:rsid w:val="007F4344"/>
    <w:rsid w:val="007F4440"/>
    <w:rsid w:val="007F4592"/>
    <w:rsid w:val="007F45DF"/>
    <w:rsid w:val="007F46C6"/>
    <w:rsid w:val="007F4755"/>
    <w:rsid w:val="007F47C0"/>
    <w:rsid w:val="007F48E9"/>
    <w:rsid w:val="007F49EB"/>
    <w:rsid w:val="007F4C1A"/>
    <w:rsid w:val="007F4C6D"/>
    <w:rsid w:val="007F4F47"/>
    <w:rsid w:val="007F4FBF"/>
    <w:rsid w:val="007F5075"/>
    <w:rsid w:val="007F5130"/>
    <w:rsid w:val="007F51E3"/>
    <w:rsid w:val="007F5258"/>
    <w:rsid w:val="007F5306"/>
    <w:rsid w:val="007F5345"/>
    <w:rsid w:val="007F5428"/>
    <w:rsid w:val="007F54CE"/>
    <w:rsid w:val="007F5532"/>
    <w:rsid w:val="007F58E2"/>
    <w:rsid w:val="007F5936"/>
    <w:rsid w:val="007F5B64"/>
    <w:rsid w:val="007F5CA7"/>
    <w:rsid w:val="007F5D9F"/>
    <w:rsid w:val="007F5EDF"/>
    <w:rsid w:val="007F61EA"/>
    <w:rsid w:val="007F62C2"/>
    <w:rsid w:val="007F631E"/>
    <w:rsid w:val="007F6619"/>
    <w:rsid w:val="007F66DF"/>
    <w:rsid w:val="007F6736"/>
    <w:rsid w:val="007F6782"/>
    <w:rsid w:val="007F69F5"/>
    <w:rsid w:val="007F6AE5"/>
    <w:rsid w:val="007F6B9D"/>
    <w:rsid w:val="007F6D72"/>
    <w:rsid w:val="007F6F28"/>
    <w:rsid w:val="007F6F8B"/>
    <w:rsid w:val="007F718B"/>
    <w:rsid w:val="007F7200"/>
    <w:rsid w:val="007F7372"/>
    <w:rsid w:val="007F75A1"/>
    <w:rsid w:val="007F7797"/>
    <w:rsid w:val="007F77D4"/>
    <w:rsid w:val="007F77DC"/>
    <w:rsid w:val="007F78FD"/>
    <w:rsid w:val="007F7E2D"/>
    <w:rsid w:val="007F7E7A"/>
    <w:rsid w:val="007F7F89"/>
    <w:rsid w:val="00800040"/>
    <w:rsid w:val="008000A5"/>
    <w:rsid w:val="0080035D"/>
    <w:rsid w:val="008003CF"/>
    <w:rsid w:val="0080056B"/>
    <w:rsid w:val="00800755"/>
    <w:rsid w:val="008007DA"/>
    <w:rsid w:val="0080087B"/>
    <w:rsid w:val="008008BB"/>
    <w:rsid w:val="008009EC"/>
    <w:rsid w:val="00801063"/>
    <w:rsid w:val="0080111F"/>
    <w:rsid w:val="0080129E"/>
    <w:rsid w:val="008012D4"/>
    <w:rsid w:val="0080138A"/>
    <w:rsid w:val="00801447"/>
    <w:rsid w:val="008014C7"/>
    <w:rsid w:val="00801563"/>
    <w:rsid w:val="00801AAE"/>
    <w:rsid w:val="00801AF2"/>
    <w:rsid w:val="00801B6A"/>
    <w:rsid w:val="00801B9D"/>
    <w:rsid w:val="00801FB9"/>
    <w:rsid w:val="00802098"/>
    <w:rsid w:val="00802231"/>
    <w:rsid w:val="00802294"/>
    <w:rsid w:val="00802387"/>
    <w:rsid w:val="008024AD"/>
    <w:rsid w:val="008024BD"/>
    <w:rsid w:val="0080289B"/>
    <w:rsid w:val="00802FCD"/>
    <w:rsid w:val="008030D2"/>
    <w:rsid w:val="0080323B"/>
    <w:rsid w:val="00803256"/>
    <w:rsid w:val="0080326C"/>
    <w:rsid w:val="00803277"/>
    <w:rsid w:val="008033F5"/>
    <w:rsid w:val="00803584"/>
    <w:rsid w:val="008035D4"/>
    <w:rsid w:val="008037CE"/>
    <w:rsid w:val="00803825"/>
    <w:rsid w:val="00803DD8"/>
    <w:rsid w:val="00803DE8"/>
    <w:rsid w:val="00803E00"/>
    <w:rsid w:val="00804043"/>
    <w:rsid w:val="0080407A"/>
    <w:rsid w:val="008043C5"/>
    <w:rsid w:val="008044BE"/>
    <w:rsid w:val="0080464F"/>
    <w:rsid w:val="008046EF"/>
    <w:rsid w:val="008047C5"/>
    <w:rsid w:val="00804981"/>
    <w:rsid w:val="00804B53"/>
    <w:rsid w:val="00804D9C"/>
    <w:rsid w:val="00804FEB"/>
    <w:rsid w:val="00805102"/>
    <w:rsid w:val="0080521C"/>
    <w:rsid w:val="008053F8"/>
    <w:rsid w:val="008055CF"/>
    <w:rsid w:val="008056FC"/>
    <w:rsid w:val="0080580A"/>
    <w:rsid w:val="0080591D"/>
    <w:rsid w:val="00805A9B"/>
    <w:rsid w:val="00805B83"/>
    <w:rsid w:val="00805D82"/>
    <w:rsid w:val="00805DC9"/>
    <w:rsid w:val="00805EB2"/>
    <w:rsid w:val="00805F50"/>
    <w:rsid w:val="00805FF3"/>
    <w:rsid w:val="00806032"/>
    <w:rsid w:val="00806117"/>
    <w:rsid w:val="00806378"/>
    <w:rsid w:val="00806385"/>
    <w:rsid w:val="00806441"/>
    <w:rsid w:val="008068EB"/>
    <w:rsid w:val="00806942"/>
    <w:rsid w:val="00806AA0"/>
    <w:rsid w:val="00806B65"/>
    <w:rsid w:val="00806E1D"/>
    <w:rsid w:val="00807094"/>
    <w:rsid w:val="00807134"/>
    <w:rsid w:val="00807138"/>
    <w:rsid w:val="00807326"/>
    <w:rsid w:val="008073F5"/>
    <w:rsid w:val="008077D1"/>
    <w:rsid w:val="008078A7"/>
    <w:rsid w:val="008079BC"/>
    <w:rsid w:val="008079DE"/>
    <w:rsid w:val="00807B87"/>
    <w:rsid w:val="00807C4A"/>
    <w:rsid w:val="00807D39"/>
    <w:rsid w:val="00807FC4"/>
    <w:rsid w:val="008100D2"/>
    <w:rsid w:val="008101EA"/>
    <w:rsid w:val="0081026C"/>
    <w:rsid w:val="00810416"/>
    <w:rsid w:val="008105B9"/>
    <w:rsid w:val="008105F9"/>
    <w:rsid w:val="00810A30"/>
    <w:rsid w:val="00810CFF"/>
    <w:rsid w:val="00810F47"/>
    <w:rsid w:val="00810F49"/>
    <w:rsid w:val="00811009"/>
    <w:rsid w:val="00811057"/>
    <w:rsid w:val="00811092"/>
    <w:rsid w:val="008111C9"/>
    <w:rsid w:val="008112CF"/>
    <w:rsid w:val="0081131E"/>
    <w:rsid w:val="00811457"/>
    <w:rsid w:val="00811545"/>
    <w:rsid w:val="00811634"/>
    <w:rsid w:val="008116F0"/>
    <w:rsid w:val="0081192A"/>
    <w:rsid w:val="00811C48"/>
    <w:rsid w:val="00811E41"/>
    <w:rsid w:val="008124CD"/>
    <w:rsid w:val="00812530"/>
    <w:rsid w:val="00812533"/>
    <w:rsid w:val="0081259F"/>
    <w:rsid w:val="00812B46"/>
    <w:rsid w:val="00812DEB"/>
    <w:rsid w:val="00812E31"/>
    <w:rsid w:val="0081311D"/>
    <w:rsid w:val="008131EB"/>
    <w:rsid w:val="00813677"/>
    <w:rsid w:val="0081382D"/>
    <w:rsid w:val="00813DD4"/>
    <w:rsid w:val="00813DDD"/>
    <w:rsid w:val="0081400C"/>
    <w:rsid w:val="00814222"/>
    <w:rsid w:val="00814443"/>
    <w:rsid w:val="0081457C"/>
    <w:rsid w:val="00814752"/>
    <w:rsid w:val="0081475F"/>
    <w:rsid w:val="00814810"/>
    <w:rsid w:val="00814C15"/>
    <w:rsid w:val="00814D02"/>
    <w:rsid w:val="00814EC4"/>
    <w:rsid w:val="00814F93"/>
    <w:rsid w:val="00814FD6"/>
    <w:rsid w:val="0081512F"/>
    <w:rsid w:val="00815165"/>
    <w:rsid w:val="008152B3"/>
    <w:rsid w:val="00815338"/>
    <w:rsid w:val="008154E6"/>
    <w:rsid w:val="00815540"/>
    <w:rsid w:val="00815542"/>
    <w:rsid w:val="008156B6"/>
    <w:rsid w:val="0081575A"/>
    <w:rsid w:val="008159D7"/>
    <w:rsid w:val="00815C3E"/>
    <w:rsid w:val="00815C6B"/>
    <w:rsid w:val="00815C8D"/>
    <w:rsid w:val="00815E1D"/>
    <w:rsid w:val="00815EA8"/>
    <w:rsid w:val="00816074"/>
    <w:rsid w:val="00816194"/>
    <w:rsid w:val="0081631F"/>
    <w:rsid w:val="0081636E"/>
    <w:rsid w:val="0081643D"/>
    <w:rsid w:val="00816503"/>
    <w:rsid w:val="0081665C"/>
    <w:rsid w:val="00816AA2"/>
    <w:rsid w:val="00816B18"/>
    <w:rsid w:val="00816E75"/>
    <w:rsid w:val="00816F62"/>
    <w:rsid w:val="008170BD"/>
    <w:rsid w:val="008171A9"/>
    <w:rsid w:val="00817353"/>
    <w:rsid w:val="008178A9"/>
    <w:rsid w:val="008178B8"/>
    <w:rsid w:val="008179F7"/>
    <w:rsid w:val="00817BA4"/>
    <w:rsid w:val="00817C3C"/>
    <w:rsid w:val="00817C58"/>
    <w:rsid w:val="00817CF7"/>
    <w:rsid w:val="00817DEA"/>
    <w:rsid w:val="00817E5B"/>
    <w:rsid w:val="008204A3"/>
    <w:rsid w:val="008204C3"/>
    <w:rsid w:val="0082055C"/>
    <w:rsid w:val="008205BC"/>
    <w:rsid w:val="00820A60"/>
    <w:rsid w:val="00820AFF"/>
    <w:rsid w:val="00820CFD"/>
    <w:rsid w:val="00820D28"/>
    <w:rsid w:val="00820E18"/>
    <w:rsid w:val="00820FC0"/>
    <w:rsid w:val="00821380"/>
    <w:rsid w:val="008215FC"/>
    <w:rsid w:val="008217BF"/>
    <w:rsid w:val="0082185B"/>
    <w:rsid w:val="008219A0"/>
    <w:rsid w:val="00821D0C"/>
    <w:rsid w:val="00821D1E"/>
    <w:rsid w:val="00821FBF"/>
    <w:rsid w:val="008220D4"/>
    <w:rsid w:val="00822234"/>
    <w:rsid w:val="00822296"/>
    <w:rsid w:val="0082245A"/>
    <w:rsid w:val="008228B3"/>
    <w:rsid w:val="00822A72"/>
    <w:rsid w:val="00822AB6"/>
    <w:rsid w:val="00822B6E"/>
    <w:rsid w:val="00822C4C"/>
    <w:rsid w:val="00822C84"/>
    <w:rsid w:val="00822D4D"/>
    <w:rsid w:val="00823191"/>
    <w:rsid w:val="008232B4"/>
    <w:rsid w:val="00823348"/>
    <w:rsid w:val="0082342C"/>
    <w:rsid w:val="00823513"/>
    <w:rsid w:val="00823664"/>
    <w:rsid w:val="008237A2"/>
    <w:rsid w:val="008237EC"/>
    <w:rsid w:val="00823892"/>
    <w:rsid w:val="00823917"/>
    <w:rsid w:val="00823A2E"/>
    <w:rsid w:val="00823A47"/>
    <w:rsid w:val="00823A89"/>
    <w:rsid w:val="00823CD5"/>
    <w:rsid w:val="00823E2C"/>
    <w:rsid w:val="00823E99"/>
    <w:rsid w:val="00823F64"/>
    <w:rsid w:val="00824036"/>
    <w:rsid w:val="008241F4"/>
    <w:rsid w:val="008242EE"/>
    <w:rsid w:val="0082440A"/>
    <w:rsid w:val="00824AD2"/>
    <w:rsid w:val="00824CDA"/>
    <w:rsid w:val="00824E11"/>
    <w:rsid w:val="00825094"/>
    <w:rsid w:val="008251C8"/>
    <w:rsid w:val="0082554A"/>
    <w:rsid w:val="00825757"/>
    <w:rsid w:val="00825BA3"/>
    <w:rsid w:val="00825C9C"/>
    <w:rsid w:val="00825D42"/>
    <w:rsid w:val="00825DCE"/>
    <w:rsid w:val="0082620B"/>
    <w:rsid w:val="00826286"/>
    <w:rsid w:val="008262C7"/>
    <w:rsid w:val="0082683D"/>
    <w:rsid w:val="00826B8E"/>
    <w:rsid w:val="00826C09"/>
    <w:rsid w:val="00826D5C"/>
    <w:rsid w:val="00826DA3"/>
    <w:rsid w:val="00826E53"/>
    <w:rsid w:val="00826F43"/>
    <w:rsid w:val="00827028"/>
    <w:rsid w:val="00827036"/>
    <w:rsid w:val="00827121"/>
    <w:rsid w:val="008271D0"/>
    <w:rsid w:val="00827275"/>
    <w:rsid w:val="00827691"/>
    <w:rsid w:val="00827736"/>
    <w:rsid w:val="008278CF"/>
    <w:rsid w:val="008279CE"/>
    <w:rsid w:val="00827BFA"/>
    <w:rsid w:val="00827C96"/>
    <w:rsid w:val="00827CDA"/>
    <w:rsid w:val="00827E57"/>
    <w:rsid w:val="008300F7"/>
    <w:rsid w:val="00830173"/>
    <w:rsid w:val="00830495"/>
    <w:rsid w:val="008304EB"/>
    <w:rsid w:val="00830534"/>
    <w:rsid w:val="008305A1"/>
    <w:rsid w:val="008307AD"/>
    <w:rsid w:val="008308D1"/>
    <w:rsid w:val="008309F1"/>
    <w:rsid w:val="00830C11"/>
    <w:rsid w:val="00830DDF"/>
    <w:rsid w:val="00830F8A"/>
    <w:rsid w:val="0083108D"/>
    <w:rsid w:val="00831538"/>
    <w:rsid w:val="00831575"/>
    <w:rsid w:val="0083173F"/>
    <w:rsid w:val="00831816"/>
    <w:rsid w:val="0083188B"/>
    <w:rsid w:val="00831E5D"/>
    <w:rsid w:val="00832013"/>
    <w:rsid w:val="008320FD"/>
    <w:rsid w:val="00832527"/>
    <w:rsid w:val="00832BE4"/>
    <w:rsid w:val="00832C66"/>
    <w:rsid w:val="00832FBA"/>
    <w:rsid w:val="00833146"/>
    <w:rsid w:val="00833197"/>
    <w:rsid w:val="008331BA"/>
    <w:rsid w:val="008332CC"/>
    <w:rsid w:val="00833498"/>
    <w:rsid w:val="0083369E"/>
    <w:rsid w:val="00833963"/>
    <w:rsid w:val="00833A14"/>
    <w:rsid w:val="00833ADA"/>
    <w:rsid w:val="00833BEF"/>
    <w:rsid w:val="00833C6C"/>
    <w:rsid w:val="00833DB3"/>
    <w:rsid w:val="00833F30"/>
    <w:rsid w:val="00833FC5"/>
    <w:rsid w:val="008340A9"/>
    <w:rsid w:val="008340CA"/>
    <w:rsid w:val="008341E1"/>
    <w:rsid w:val="008342C2"/>
    <w:rsid w:val="008343E3"/>
    <w:rsid w:val="00834771"/>
    <w:rsid w:val="00834792"/>
    <w:rsid w:val="00834AA0"/>
    <w:rsid w:val="00834C87"/>
    <w:rsid w:val="00834CB6"/>
    <w:rsid w:val="00834DE4"/>
    <w:rsid w:val="00834E36"/>
    <w:rsid w:val="00835357"/>
    <w:rsid w:val="0083543A"/>
    <w:rsid w:val="00835441"/>
    <w:rsid w:val="00835464"/>
    <w:rsid w:val="00835479"/>
    <w:rsid w:val="0083566A"/>
    <w:rsid w:val="0083575D"/>
    <w:rsid w:val="008359B1"/>
    <w:rsid w:val="008359F6"/>
    <w:rsid w:val="00835A57"/>
    <w:rsid w:val="00835B51"/>
    <w:rsid w:val="00835B88"/>
    <w:rsid w:val="00835CE9"/>
    <w:rsid w:val="00835D47"/>
    <w:rsid w:val="00835F2A"/>
    <w:rsid w:val="00835F5F"/>
    <w:rsid w:val="008363D7"/>
    <w:rsid w:val="008365AB"/>
    <w:rsid w:val="00836713"/>
    <w:rsid w:val="008367BD"/>
    <w:rsid w:val="008367EB"/>
    <w:rsid w:val="008368AB"/>
    <w:rsid w:val="0083690F"/>
    <w:rsid w:val="00836995"/>
    <w:rsid w:val="008369AB"/>
    <w:rsid w:val="00836C63"/>
    <w:rsid w:val="00836E2D"/>
    <w:rsid w:val="00837055"/>
    <w:rsid w:val="008370F8"/>
    <w:rsid w:val="00837267"/>
    <w:rsid w:val="008372C5"/>
    <w:rsid w:val="00837322"/>
    <w:rsid w:val="00837ABC"/>
    <w:rsid w:val="00837DD8"/>
    <w:rsid w:val="008402B9"/>
    <w:rsid w:val="00840432"/>
    <w:rsid w:val="00840515"/>
    <w:rsid w:val="00840645"/>
    <w:rsid w:val="0084065B"/>
    <w:rsid w:val="0084098D"/>
    <w:rsid w:val="00840AE8"/>
    <w:rsid w:val="00841346"/>
    <w:rsid w:val="0084154C"/>
    <w:rsid w:val="00841649"/>
    <w:rsid w:val="00841791"/>
    <w:rsid w:val="008418DE"/>
    <w:rsid w:val="00841BD0"/>
    <w:rsid w:val="00842196"/>
    <w:rsid w:val="008421AC"/>
    <w:rsid w:val="0084243D"/>
    <w:rsid w:val="008426CF"/>
    <w:rsid w:val="00842703"/>
    <w:rsid w:val="00842707"/>
    <w:rsid w:val="008428B7"/>
    <w:rsid w:val="0084294B"/>
    <w:rsid w:val="00842A67"/>
    <w:rsid w:val="00842BE2"/>
    <w:rsid w:val="00842BF1"/>
    <w:rsid w:val="00842CEC"/>
    <w:rsid w:val="00842DB2"/>
    <w:rsid w:val="008434E4"/>
    <w:rsid w:val="00843830"/>
    <w:rsid w:val="00843837"/>
    <w:rsid w:val="00843888"/>
    <w:rsid w:val="008438CE"/>
    <w:rsid w:val="00844003"/>
    <w:rsid w:val="00844056"/>
    <w:rsid w:val="00844167"/>
    <w:rsid w:val="008441C6"/>
    <w:rsid w:val="00844261"/>
    <w:rsid w:val="008443FB"/>
    <w:rsid w:val="00844599"/>
    <w:rsid w:val="00844702"/>
    <w:rsid w:val="0084478D"/>
    <w:rsid w:val="00844915"/>
    <w:rsid w:val="00844946"/>
    <w:rsid w:val="00844C17"/>
    <w:rsid w:val="00844E8C"/>
    <w:rsid w:val="00844F21"/>
    <w:rsid w:val="0084517D"/>
    <w:rsid w:val="008451AE"/>
    <w:rsid w:val="00845268"/>
    <w:rsid w:val="0084540C"/>
    <w:rsid w:val="00845417"/>
    <w:rsid w:val="0084549B"/>
    <w:rsid w:val="008455EB"/>
    <w:rsid w:val="008456B3"/>
    <w:rsid w:val="008456C2"/>
    <w:rsid w:val="008456C4"/>
    <w:rsid w:val="008456E0"/>
    <w:rsid w:val="008456EA"/>
    <w:rsid w:val="00845A03"/>
    <w:rsid w:val="00845C93"/>
    <w:rsid w:val="00845DDE"/>
    <w:rsid w:val="00845F4D"/>
    <w:rsid w:val="00845F6A"/>
    <w:rsid w:val="008460A4"/>
    <w:rsid w:val="00846290"/>
    <w:rsid w:val="00846448"/>
    <w:rsid w:val="008465A9"/>
    <w:rsid w:val="00846629"/>
    <w:rsid w:val="0084667D"/>
    <w:rsid w:val="0084679F"/>
    <w:rsid w:val="008468EA"/>
    <w:rsid w:val="008469AE"/>
    <w:rsid w:val="00846CE2"/>
    <w:rsid w:val="00846CF0"/>
    <w:rsid w:val="0084736F"/>
    <w:rsid w:val="00847372"/>
    <w:rsid w:val="0084739F"/>
    <w:rsid w:val="00847446"/>
    <w:rsid w:val="0084747F"/>
    <w:rsid w:val="008474A3"/>
    <w:rsid w:val="00847875"/>
    <w:rsid w:val="0084787F"/>
    <w:rsid w:val="00847A2B"/>
    <w:rsid w:val="00847C15"/>
    <w:rsid w:val="00847FA6"/>
    <w:rsid w:val="008501F6"/>
    <w:rsid w:val="00850686"/>
    <w:rsid w:val="00850749"/>
    <w:rsid w:val="00850765"/>
    <w:rsid w:val="0085084B"/>
    <w:rsid w:val="00850D39"/>
    <w:rsid w:val="00850E42"/>
    <w:rsid w:val="00850E9C"/>
    <w:rsid w:val="00850FCD"/>
    <w:rsid w:val="0085110C"/>
    <w:rsid w:val="008513E5"/>
    <w:rsid w:val="0085153F"/>
    <w:rsid w:val="00851899"/>
    <w:rsid w:val="00851D19"/>
    <w:rsid w:val="00851D1A"/>
    <w:rsid w:val="00852369"/>
    <w:rsid w:val="0085248B"/>
    <w:rsid w:val="008528A5"/>
    <w:rsid w:val="0085295A"/>
    <w:rsid w:val="00852AE9"/>
    <w:rsid w:val="00852BAD"/>
    <w:rsid w:val="008530A7"/>
    <w:rsid w:val="008530FE"/>
    <w:rsid w:val="008531A2"/>
    <w:rsid w:val="008534FD"/>
    <w:rsid w:val="00853688"/>
    <w:rsid w:val="0085374E"/>
    <w:rsid w:val="008537E0"/>
    <w:rsid w:val="00853914"/>
    <w:rsid w:val="0085394B"/>
    <w:rsid w:val="00853D63"/>
    <w:rsid w:val="00854344"/>
    <w:rsid w:val="008544B7"/>
    <w:rsid w:val="0085452A"/>
    <w:rsid w:val="00854530"/>
    <w:rsid w:val="00854534"/>
    <w:rsid w:val="0085457D"/>
    <w:rsid w:val="008545E5"/>
    <w:rsid w:val="00854754"/>
    <w:rsid w:val="00854812"/>
    <w:rsid w:val="00854861"/>
    <w:rsid w:val="008549C4"/>
    <w:rsid w:val="008549D8"/>
    <w:rsid w:val="00854DDF"/>
    <w:rsid w:val="00854E29"/>
    <w:rsid w:val="00854EE0"/>
    <w:rsid w:val="00854F07"/>
    <w:rsid w:val="00854F3B"/>
    <w:rsid w:val="00854F75"/>
    <w:rsid w:val="00854FF4"/>
    <w:rsid w:val="0085506F"/>
    <w:rsid w:val="00855341"/>
    <w:rsid w:val="008553E1"/>
    <w:rsid w:val="00855423"/>
    <w:rsid w:val="00855647"/>
    <w:rsid w:val="00855694"/>
    <w:rsid w:val="00855774"/>
    <w:rsid w:val="00855A8A"/>
    <w:rsid w:val="00855BC7"/>
    <w:rsid w:val="00855C02"/>
    <w:rsid w:val="008562D0"/>
    <w:rsid w:val="0085670D"/>
    <w:rsid w:val="00856970"/>
    <w:rsid w:val="00856A0A"/>
    <w:rsid w:val="00856B4C"/>
    <w:rsid w:val="00856C27"/>
    <w:rsid w:val="00856DB3"/>
    <w:rsid w:val="00856E33"/>
    <w:rsid w:val="00856F5A"/>
    <w:rsid w:val="00856FC4"/>
    <w:rsid w:val="00857022"/>
    <w:rsid w:val="0085749E"/>
    <w:rsid w:val="008575E2"/>
    <w:rsid w:val="00857819"/>
    <w:rsid w:val="00857896"/>
    <w:rsid w:val="00857906"/>
    <w:rsid w:val="00857C2E"/>
    <w:rsid w:val="00857D92"/>
    <w:rsid w:val="00857DC1"/>
    <w:rsid w:val="00860064"/>
    <w:rsid w:val="008600FF"/>
    <w:rsid w:val="008602EF"/>
    <w:rsid w:val="00860505"/>
    <w:rsid w:val="0086061D"/>
    <w:rsid w:val="008606C2"/>
    <w:rsid w:val="00860817"/>
    <w:rsid w:val="00860C5E"/>
    <w:rsid w:val="00860D90"/>
    <w:rsid w:val="008610FB"/>
    <w:rsid w:val="00861118"/>
    <w:rsid w:val="00861341"/>
    <w:rsid w:val="00861350"/>
    <w:rsid w:val="0086146C"/>
    <w:rsid w:val="00861623"/>
    <w:rsid w:val="00861772"/>
    <w:rsid w:val="008619E7"/>
    <w:rsid w:val="008619FC"/>
    <w:rsid w:val="00861C8A"/>
    <w:rsid w:val="00861C9E"/>
    <w:rsid w:val="00861F31"/>
    <w:rsid w:val="00862311"/>
    <w:rsid w:val="00862343"/>
    <w:rsid w:val="0086252F"/>
    <w:rsid w:val="00862551"/>
    <w:rsid w:val="0086260D"/>
    <w:rsid w:val="00862789"/>
    <w:rsid w:val="00862808"/>
    <w:rsid w:val="00862A4F"/>
    <w:rsid w:val="00862A8D"/>
    <w:rsid w:val="00862B7B"/>
    <w:rsid w:val="00862F47"/>
    <w:rsid w:val="00862FB3"/>
    <w:rsid w:val="00862FFC"/>
    <w:rsid w:val="00863257"/>
    <w:rsid w:val="00863294"/>
    <w:rsid w:val="00863401"/>
    <w:rsid w:val="00863449"/>
    <w:rsid w:val="008634BD"/>
    <w:rsid w:val="00863566"/>
    <w:rsid w:val="008635F5"/>
    <w:rsid w:val="008638F3"/>
    <w:rsid w:val="00863B1B"/>
    <w:rsid w:val="00863B96"/>
    <w:rsid w:val="00863E17"/>
    <w:rsid w:val="00863F2C"/>
    <w:rsid w:val="00863F85"/>
    <w:rsid w:val="00863FE0"/>
    <w:rsid w:val="00864099"/>
    <w:rsid w:val="00864365"/>
    <w:rsid w:val="0086444C"/>
    <w:rsid w:val="008644BA"/>
    <w:rsid w:val="0086457D"/>
    <w:rsid w:val="00864581"/>
    <w:rsid w:val="0086493E"/>
    <w:rsid w:val="00864FBB"/>
    <w:rsid w:val="008650B2"/>
    <w:rsid w:val="008650F7"/>
    <w:rsid w:val="00865117"/>
    <w:rsid w:val="0086547F"/>
    <w:rsid w:val="00865797"/>
    <w:rsid w:val="00865865"/>
    <w:rsid w:val="008658A3"/>
    <w:rsid w:val="008658B9"/>
    <w:rsid w:val="00865A3D"/>
    <w:rsid w:val="00865C0B"/>
    <w:rsid w:val="00865F0B"/>
    <w:rsid w:val="00865FF8"/>
    <w:rsid w:val="0086663E"/>
    <w:rsid w:val="0086713E"/>
    <w:rsid w:val="008671E0"/>
    <w:rsid w:val="008672A2"/>
    <w:rsid w:val="00867355"/>
    <w:rsid w:val="00867478"/>
    <w:rsid w:val="00867625"/>
    <w:rsid w:val="008677F3"/>
    <w:rsid w:val="008679E5"/>
    <w:rsid w:val="00867C3A"/>
    <w:rsid w:val="00867CBB"/>
    <w:rsid w:val="00867CC0"/>
    <w:rsid w:val="00867D1D"/>
    <w:rsid w:val="00867D39"/>
    <w:rsid w:val="00867F2A"/>
    <w:rsid w:val="00870040"/>
    <w:rsid w:val="008700F1"/>
    <w:rsid w:val="0087011E"/>
    <w:rsid w:val="00870196"/>
    <w:rsid w:val="008701C3"/>
    <w:rsid w:val="008704C6"/>
    <w:rsid w:val="00870CD7"/>
    <w:rsid w:val="00870DDA"/>
    <w:rsid w:val="00870E2D"/>
    <w:rsid w:val="0087131B"/>
    <w:rsid w:val="0087184E"/>
    <w:rsid w:val="00871882"/>
    <w:rsid w:val="008718F8"/>
    <w:rsid w:val="0087191C"/>
    <w:rsid w:val="00871928"/>
    <w:rsid w:val="0087194C"/>
    <w:rsid w:val="0087194F"/>
    <w:rsid w:val="00871B04"/>
    <w:rsid w:val="00871BED"/>
    <w:rsid w:val="00871C3E"/>
    <w:rsid w:val="00871E29"/>
    <w:rsid w:val="0087204F"/>
    <w:rsid w:val="008722E2"/>
    <w:rsid w:val="00872373"/>
    <w:rsid w:val="008724EE"/>
    <w:rsid w:val="008726AC"/>
    <w:rsid w:val="00872869"/>
    <w:rsid w:val="0087287D"/>
    <w:rsid w:val="008728A7"/>
    <w:rsid w:val="008728CE"/>
    <w:rsid w:val="0087291C"/>
    <w:rsid w:val="00872ACA"/>
    <w:rsid w:val="00872EA1"/>
    <w:rsid w:val="00872EFB"/>
    <w:rsid w:val="00873430"/>
    <w:rsid w:val="008735C0"/>
    <w:rsid w:val="00873806"/>
    <w:rsid w:val="00873818"/>
    <w:rsid w:val="00873BD1"/>
    <w:rsid w:val="00873CB6"/>
    <w:rsid w:val="00873E20"/>
    <w:rsid w:val="00873F08"/>
    <w:rsid w:val="00873F99"/>
    <w:rsid w:val="00874111"/>
    <w:rsid w:val="00874255"/>
    <w:rsid w:val="00874334"/>
    <w:rsid w:val="008744A5"/>
    <w:rsid w:val="00874710"/>
    <w:rsid w:val="008747A5"/>
    <w:rsid w:val="008747CB"/>
    <w:rsid w:val="008748FA"/>
    <w:rsid w:val="008748FE"/>
    <w:rsid w:val="008749E3"/>
    <w:rsid w:val="00874A1F"/>
    <w:rsid w:val="00874A2F"/>
    <w:rsid w:val="00874DC8"/>
    <w:rsid w:val="00874DEE"/>
    <w:rsid w:val="00874E1C"/>
    <w:rsid w:val="00875188"/>
    <w:rsid w:val="0087518A"/>
    <w:rsid w:val="0087526B"/>
    <w:rsid w:val="0087541D"/>
    <w:rsid w:val="00875595"/>
    <w:rsid w:val="008756F6"/>
    <w:rsid w:val="00875A03"/>
    <w:rsid w:val="00875AA0"/>
    <w:rsid w:val="00875BA6"/>
    <w:rsid w:val="00875EB2"/>
    <w:rsid w:val="00875F63"/>
    <w:rsid w:val="00875FDD"/>
    <w:rsid w:val="00876917"/>
    <w:rsid w:val="008769DC"/>
    <w:rsid w:val="00876A6B"/>
    <w:rsid w:val="00876D42"/>
    <w:rsid w:val="008770F5"/>
    <w:rsid w:val="0087726C"/>
    <w:rsid w:val="00877520"/>
    <w:rsid w:val="0087758D"/>
    <w:rsid w:val="00877BDA"/>
    <w:rsid w:val="00877C82"/>
    <w:rsid w:val="00877E1C"/>
    <w:rsid w:val="00877EA4"/>
    <w:rsid w:val="008805E1"/>
    <w:rsid w:val="008808C7"/>
    <w:rsid w:val="0088092A"/>
    <w:rsid w:val="00880C8C"/>
    <w:rsid w:val="00880D04"/>
    <w:rsid w:val="00880E3C"/>
    <w:rsid w:val="00880F34"/>
    <w:rsid w:val="00880F88"/>
    <w:rsid w:val="00881024"/>
    <w:rsid w:val="0088104E"/>
    <w:rsid w:val="00881199"/>
    <w:rsid w:val="00881854"/>
    <w:rsid w:val="0088187C"/>
    <w:rsid w:val="008819DB"/>
    <w:rsid w:val="00881A25"/>
    <w:rsid w:val="00881AE5"/>
    <w:rsid w:val="00881E3E"/>
    <w:rsid w:val="00881E9C"/>
    <w:rsid w:val="00881F14"/>
    <w:rsid w:val="00881F2D"/>
    <w:rsid w:val="0088227C"/>
    <w:rsid w:val="0088249E"/>
    <w:rsid w:val="0088252F"/>
    <w:rsid w:val="00882531"/>
    <w:rsid w:val="0088263B"/>
    <w:rsid w:val="00882835"/>
    <w:rsid w:val="008828CC"/>
    <w:rsid w:val="00882B2F"/>
    <w:rsid w:val="00882DBF"/>
    <w:rsid w:val="008831A5"/>
    <w:rsid w:val="00883232"/>
    <w:rsid w:val="00883364"/>
    <w:rsid w:val="00883402"/>
    <w:rsid w:val="0088363F"/>
    <w:rsid w:val="008836AC"/>
    <w:rsid w:val="00883956"/>
    <w:rsid w:val="0088399A"/>
    <w:rsid w:val="00883A2E"/>
    <w:rsid w:val="00883A8E"/>
    <w:rsid w:val="00883DF9"/>
    <w:rsid w:val="00884069"/>
    <w:rsid w:val="008840E0"/>
    <w:rsid w:val="00884153"/>
    <w:rsid w:val="00884248"/>
    <w:rsid w:val="008843F6"/>
    <w:rsid w:val="008844FC"/>
    <w:rsid w:val="00884867"/>
    <w:rsid w:val="008849BA"/>
    <w:rsid w:val="00884A05"/>
    <w:rsid w:val="00884C08"/>
    <w:rsid w:val="00884F31"/>
    <w:rsid w:val="00884FE6"/>
    <w:rsid w:val="0088506A"/>
    <w:rsid w:val="00885237"/>
    <w:rsid w:val="00885536"/>
    <w:rsid w:val="008855AE"/>
    <w:rsid w:val="008857C0"/>
    <w:rsid w:val="0088581A"/>
    <w:rsid w:val="008858DE"/>
    <w:rsid w:val="00885BBB"/>
    <w:rsid w:val="00885C26"/>
    <w:rsid w:val="00885D33"/>
    <w:rsid w:val="00885D75"/>
    <w:rsid w:val="00885FD6"/>
    <w:rsid w:val="0088623F"/>
    <w:rsid w:val="00886275"/>
    <w:rsid w:val="008862BC"/>
    <w:rsid w:val="00886322"/>
    <w:rsid w:val="008863B1"/>
    <w:rsid w:val="00886552"/>
    <w:rsid w:val="008866BB"/>
    <w:rsid w:val="008867AE"/>
    <w:rsid w:val="00886DFD"/>
    <w:rsid w:val="008870D4"/>
    <w:rsid w:val="00887139"/>
    <w:rsid w:val="00887156"/>
    <w:rsid w:val="0088716D"/>
    <w:rsid w:val="0088721B"/>
    <w:rsid w:val="00887771"/>
    <w:rsid w:val="00887BD0"/>
    <w:rsid w:val="00887E07"/>
    <w:rsid w:val="00887E15"/>
    <w:rsid w:val="00887E24"/>
    <w:rsid w:val="00887E4F"/>
    <w:rsid w:val="00887EB1"/>
    <w:rsid w:val="00887F59"/>
    <w:rsid w:val="00887F68"/>
    <w:rsid w:val="00887F8B"/>
    <w:rsid w:val="0089004D"/>
    <w:rsid w:val="00890126"/>
    <w:rsid w:val="00890238"/>
    <w:rsid w:val="00890367"/>
    <w:rsid w:val="00890520"/>
    <w:rsid w:val="00890785"/>
    <w:rsid w:val="00890989"/>
    <w:rsid w:val="00890B05"/>
    <w:rsid w:val="00890CD2"/>
    <w:rsid w:val="00891347"/>
    <w:rsid w:val="008913AB"/>
    <w:rsid w:val="008914B7"/>
    <w:rsid w:val="008914FB"/>
    <w:rsid w:val="008915C6"/>
    <w:rsid w:val="00891674"/>
    <w:rsid w:val="0089186C"/>
    <w:rsid w:val="0089191D"/>
    <w:rsid w:val="00891955"/>
    <w:rsid w:val="00891B2D"/>
    <w:rsid w:val="00891B2F"/>
    <w:rsid w:val="00891C7D"/>
    <w:rsid w:val="008920D2"/>
    <w:rsid w:val="00892263"/>
    <w:rsid w:val="008927C2"/>
    <w:rsid w:val="008927DB"/>
    <w:rsid w:val="008927F2"/>
    <w:rsid w:val="00892993"/>
    <w:rsid w:val="00892F1F"/>
    <w:rsid w:val="0089308D"/>
    <w:rsid w:val="008930C0"/>
    <w:rsid w:val="008930DD"/>
    <w:rsid w:val="00893392"/>
    <w:rsid w:val="00893448"/>
    <w:rsid w:val="008935DA"/>
    <w:rsid w:val="00893637"/>
    <w:rsid w:val="0089379E"/>
    <w:rsid w:val="008937C1"/>
    <w:rsid w:val="008938DD"/>
    <w:rsid w:val="008939C3"/>
    <w:rsid w:val="00893CC2"/>
    <w:rsid w:val="00893E96"/>
    <w:rsid w:val="00893F28"/>
    <w:rsid w:val="0089441A"/>
    <w:rsid w:val="008944E7"/>
    <w:rsid w:val="00894635"/>
    <w:rsid w:val="00894853"/>
    <w:rsid w:val="00894989"/>
    <w:rsid w:val="008949A9"/>
    <w:rsid w:val="00894B3A"/>
    <w:rsid w:val="00894C72"/>
    <w:rsid w:val="00894CA5"/>
    <w:rsid w:val="00894CDA"/>
    <w:rsid w:val="00894CDE"/>
    <w:rsid w:val="00894F19"/>
    <w:rsid w:val="00895014"/>
    <w:rsid w:val="0089510A"/>
    <w:rsid w:val="0089513C"/>
    <w:rsid w:val="008951B1"/>
    <w:rsid w:val="00895324"/>
    <w:rsid w:val="00895465"/>
    <w:rsid w:val="008954C9"/>
    <w:rsid w:val="008954CA"/>
    <w:rsid w:val="00895595"/>
    <w:rsid w:val="00895764"/>
    <w:rsid w:val="00895986"/>
    <w:rsid w:val="008959B4"/>
    <w:rsid w:val="00895B9E"/>
    <w:rsid w:val="00895C71"/>
    <w:rsid w:val="008960E8"/>
    <w:rsid w:val="00896626"/>
    <w:rsid w:val="008966A0"/>
    <w:rsid w:val="008966C6"/>
    <w:rsid w:val="00896A5F"/>
    <w:rsid w:val="00896B45"/>
    <w:rsid w:val="00896B61"/>
    <w:rsid w:val="00897107"/>
    <w:rsid w:val="008972B2"/>
    <w:rsid w:val="00897321"/>
    <w:rsid w:val="008973A9"/>
    <w:rsid w:val="00897539"/>
    <w:rsid w:val="0089759E"/>
    <w:rsid w:val="00897853"/>
    <w:rsid w:val="00897897"/>
    <w:rsid w:val="008978FB"/>
    <w:rsid w:val="00897D50"/>
    <w:rsid w:val="00897FE1"/>
    <w:rsid w:val="008A0014"/>
    <w:rsid w:val="008A0083"/>
    <w:rsid w:val="008A038B"/>
    <w:rsid w:val="008A0A2D"/>
    <w:rsid w:val="008A0DA1"/>
    <w:rsid w:val="008A0ED5"/>
    <w:rsid w:val="008A1030"/>
    <w:rsid w:val="008A1308"/>
    <w:rsid w:val="008A14BA"/>
    <w:rsid w:val="008A178F"/>
    <w:rsid w:val="008A1FD0"/>
    <w:rsid w:val="008A204E"/>
    <w:rsid w:val="008A2498"/>
    <w:rsid w:val="008A2579"/>
    <w:rsid w:val="008A26C9"/>
    <w:rsid w:val="008A2720"/>
    <w:rsid w:val="008A27D8"/>
    <w:rsid w:val="008A2A74"/>
    <w:rsid w:val="008A2B70"/>
    <w:rsid w:val="008A2DE5"/>
    <w:rsid w:val="008A3288"/>
    <w:rsid w:val="008A32AF"/>
    <w:rsid w:val="008A3516"/>
    <w:rsid w:val="008A389F"/>
    <w:rsid w:val="008A3C53"/>
    <w:rsid w:val="008A3EBE"/>
    <w:rsid w:val="008A3EC6"/>
    <w:rsid w:val="008A3F34"/>
    <w:rsid w:val="008A4890"/>
    <w:rsid w:val="008A48BE"/>
    <w:rsid w:val="008A4940"/>
    <w:rsid w:val="008A4B6F"/>
    <w:rsid w:val="008A4C39"/>
    <w:rsid w:val="008A4DA0"/>
    <w:rsid w:val="008A4E01"/>
    <w:rsid w:val="008A4E9F"/>
    <w:rsid w:val="008A5203"/>
    <w:rsid w:val="008A547C"/>
    <w:rsid w:val="008A54AC"/>
    <w:rsid w:val="008A5647"/>
    <w:rsid w:val="008A573D"/>
    <w:rsid w:val="008A57E3"/>
    <w:rsid w:val="008A587E"/>
    <w:rsid w:val="008A5B3F"/>
    <w:rsid w:val="008A5B6F"/>
    <w:rsid w:val="008A5BCF"/>
    <w:rsid w:val="008A5CB6"/>
    <w:rsid w:val="008A5D1A"/>
    <w:rsid w:val="008A5E3E"/>
    <w:rsid w:val="008A6123"/>
    <w:rsid w:val="008A634A"/>
    <w:rsid w:val="008A6436"/>
    <w:rsid w:val="008A65D4"/>
    <w:rsid w:val="008A6ABA"/>
    <w:rsid w:val="008A6CC5"/>
    <w:rsid w:val="008A6DEA"/>
    <w:rsid w:val="008A6E27"/>
    <w:rsid w:val="008A6E30"/>
    <w:rsid w:val="008A6EC9"/>
    <w:rsid w:val="008A6F9B"/>
    <w:rsid w:val="008A6FCF"/>
    <w:rsid w:val="008A715E"/>
    <w:rsid w:val="008A71C4"/>
    <w:rsid w:val="008A7209"/>
    <w:rsid w:val="008A73AD"/>
    <w:rsid w:val="008A73D8"/>
    <w:rsid w:val="008A74A2"/>
    <w:rsid w:val="008A7506"/>
    <w:rsid w:val="008A752C"/>
    <w:rsid w:val="008A77F0"/>
    <w:rsid w:val="008A7857"/>
    <w:rsid w:val="008A7A96"/>
    <w:rsid w:val="008A7ACC"/>
    <w:rsid w:val="008A7B1A"/>
    <w:rsid w:val="008A7B73"/>
    <w:rsid w:val="008A7B77"/>
    <w:rsid w:val="008A7C4B"/>
    <w:rsid w:val="008A7D5E"/>
    <w:rsid w:val="008A7FE9"/>
    <w:rsid w:val="008B026B"/>
    <w:rsid w:val="008B026E"/>
    <w:rsid w:val="008B066F"/>
    <w:rsid w:val="008B0892"/>
    <w:rsid w:val="008B0CF3"/>
    <w:rsid w:val="008B0DEE"/>
    <w:rsid w:val="008B0EB8"/>
    <w:rsid w:val="008B10CD"/>
    <w:rsid w:val="008B1271"/>
    <w:rsid w:val="008B138E"/>
    <w:rsid w:val="008B13EF"/>
    <w:rsid w:val="008B1490"/>
    <w:rsid w:val="008B170F"/>
    <w:rsid w:val="008B195E"/>
    <w:rsid w:val="008B1A38"/>
    <w:rsid w:val="008B1A65"/>
    <w:rsid w:val="008B1C19"/>
    <w:rsid w:val="008B1DFA"/>
    <w:rsid w:val="008B21E7"/>
    <w:rsid w:val="008B223D"/>
    <w:rsid w:val="008B241F"/>
    <w:rsid w:val="008B267E"/>
    <w:rsid w:val="008B2AD1"/>
    <w:rsid w:val="008B2B11"/>
    <w:rsid w:val="008B2B81"/>
    <w:rsid w:val="008B2C7B"/>
    <w:rsid w:val="008B2E68"/>
    <w:rsid w:val="008B2F68"/>
    <w:rsid w:val="008B2FCF"/>
    <w:rsid w:val="008B315B"/>
    <w:rsid w:val="008B3323"/>
    <w:rsid w:val="008B33A1"/>
    <w:rsid w:val="008B33ED"/>
    <w:rsid w:val="008B3487"/>
    <w:rsid w:val="008B34D7"/>
    <w:rsid w:val="008B34DF"/>
    <w:rsid w:val="008B3501"/>
    <w:rsid w:val="008B3567"/>
    <w:rsid w:val="008B3685"/>
    <w:rsid w:val="008B3798"/>
    <w:rsid w:val="008B3799"/>
    <w:rsid w:val="008B3DFB"/>
    <w:rsid w:val="008B3E6B"/>
    <w:rsid w:val="008B3EAE"/>
    <w:rsid w:val="008B3ECA"/>
    <w:rsid w:val="008B3FE9"/>
    <w:rsid w:val="008B4034"/>
    <w:rsid w:val="008B403D"/>
    <w:rsid w:val="008B4053"/>
    <w:rsid w:val="008B406A"/>
    <w:rsid w:val="008B4118"/>
    <w:rsid w:val="008B4403"/>
    <w:rsid w:val="008B45B5"/>
    <w:rsid w:val="008B47C9"/>
    <w:rsid w:val="008B4803"/>
    <w:rsid w:val="008B4DF8"/>
    <w:rsid w:val="008B51A9"/>
    <w:rsid w:val="008B55C1"/>
    <w:rsid w:val="008B56C8"/>
    <w:rsid w:val="008B5700"/>
    <w:rsid w:val="008B5DAA"/>
    <w:rsid w:val="008B5DFA"/>
    <w:rsid w:val="008B5E32"/>
    <w:rsid w:val="008B5EFA"/>
    <w:rsid w:val="008B6009"/>
    <w:rsid w:val="008B60C4"/>
    <w:rsid w:val="008B6130"/>
    <w:rsid w:val="008B61D2"/>
    <w:rsid w:val="008B6436"/>
    <w:rsid w:val="008B6771"/>
    <w:rsid w:val="008B6B10"/>
    <w:rsid w:val="008B6B3C"/>
    <w:rsid w:val="008B6BD7"/>
    <w:rsid w:val="008B6E12"/>
    <w:rsid w:val="008B6E53"/>
    <w:rsid w:val="008B6EB3"/>
    <w:rsid w:val="008B709A"/>
    <w:rsid w:val="008B70B6"/>
    <w:rsid w:val="008B70D8"/>
    <w:rsid w:val="008B73E3"/>
    <w:rsid w:val="008B742D"/>
    <w:rsid w:val="008B7440"/>
    <w:rsid w:val="008B75B8"/>
    <w:rsid w:val="008B75FF"/>
    <w:rsid w:val="008B7788"/>
    <w:rsid w:val="008B779D"/>
    <w:rsid w:val="008B79D0"/>
    <w:rsid w:val="008B79E4"/>
    <w:rsid w:val="008B79EB"/>
    <w:rsid w:val="008B7C04"/>
    <w:rsid w:val="008B7E8D"/>
    <w:rsid w:val="008B7F24"/>
    <w:rsid w:val="008C0064"/>
    <w:rsid w:val="008C01CF"/>
    <w:rsid w:val="008C0678"/>
    <w:rsid w:val="008C080B"/>
    <w:rsid w:val="008C081F"/>
    <w:rsid w:val="008C0833"/>
    <w:rsid w:val="008C087C"/>
    <w:rsid w:val="008C08EE"/>
    <w:rsid w:val="008C0928"/>
    <w:rsid w:val="008C1082"/>
    <w:rsid w:val="008C1545"/>
    <w:rsid w:val="008C182A"/>
    <w:rsid w:val="008C1964"/>
    <w:rsid w:val="008C1991"/>
    <w:rsid w:val="008C19A8"/>
    <w:rsid w:val="008C19F2"/>
    <w:rsid w:val="008C1B79"/>
    <w:rsid w:val="008C1CEC"/>
    <w:rsid w:val="008C1D03"/>
    <w:rsid w:val="008C20E5"/>
    <w:rsid w:val="008C25DF"/>
    <w:rsid w:val="008C2823"/>
    <w:rsid w:val="008C290B"/>
    <w:rsid w:val="008C2C2A"/>
    <w:rsid w:val="008C2E7F"/>
    <w:rsid w:val="008C3235"/>
    <w:rsid w:val="008C35DC"/>
    <w:rsid w:val="008C3642"/>
    <w:rsid w:val="008C374A"/>
    <w:rsid w:val="008C39B0"/>
    <w:rsid w:val="008C3ADE"/>
    <w:rsid w:val="008C3CF5"/>
    <w:rsid w:val="008C3E58"/>
    <w:rsid w:val="008C4011"/>
    <w:rsid w:val="008C4253"/>
    <w:rsid w:val="008C43A3"/>
    <w:rsid w:val="008C4B17"/>
    <w:rsid w:val="008C4C0C"/>
    <w:rsid w:val="008C4D09"/>
    <w:rsid w:val="008C4FA7"/>
    <w:rsid w:val="008C5105"/>
    <w:rsid w:val="008C534E"/>
    <w:rsid w:val="008C54EC"/>
    <w:rsid w:val="008C5649"/>
    <w:rsid w:val="008C5677"/>
    <w:rsid w:val="008C59A3"/>
    <w:rsid w:val="008C5CC8"/>
    <w:rsid w:val="008C60AC"/>
    <w:rsid w:val="008C6229"/>
    <w:rsid w:val="008C6237"/>
    <w:rsid w:val="008C6323"/>
    <w:rsid w:val="008C63BB"/>
    <w:rsid w:val="008C63F0"/>
    <w:rsid w:val="008C6532"/>
    <w:rsid w:val="008C661A"/>
    <w:rsid w:val="008C6802"/>
    <w:rsid w:val="008C69AA"/>
    <w:rsid w:val="008C6C6F"/>
    <w:rsid w:val="008C6FD1"/>
    <w:rsid w:val="008C7085"/>
    <w:rsid w:val="008C7139"/>
    <w:rsid w:val="008C7545"/>
    <w:rsid w:val="008C76EB"/>
    <w:rsid w:val="008C7816"/>
    <w:rsid w:val="008C781D"/>
    <w:rsid w:val="008C7BF7"/>
    <w:rsid w:val="008C7D05"/>
    <w:rsid w:val="008C7D7E"/>
    <w:rsid w:val="008D01AF"/>
    <w:rsid w:val="008D04E7"/>
    <w:rsid w:val="008D0628"/>
    <w:rsid w:val="008D08F7"/>
    <w:rsid w:val="008D09A8"/>
    <w:rsid w:val="008D0BB2"/>
    <w:rsid w:val="008D0DFE"/>
    <w:rsid w:val="008D106C"/>
    <w:rsid w:val="008D1082"/>
    <w:rsid w:val="008D1116"/>
    <w:rsid w:val="008D1252"/>
    <w:rsid w:val="008D133D"/>
    <w:rsid w:val="008D170D"/>
    <w:rsid w:val="008D18B3"/>
    <w:rsid w:val="008D192B"/>
    <w:rsid w:val="008D1C2F"/>
    <w:rsid w:val="008D1DD4"/>
    <w:rsid w:val="008D20B3"/>
    <w:rsid w:val="008D218E"/>
    <w:rsid w:val="008D22D2"/>
    <w:rsid w:val="008D23E0"/>
    <w:rsid w:val="008D2505"/>
    <w:rsid w:val="008D2581"/>
    <w:rsid w:val="008D26E3"/>
    <w:rsid w:val="008D2747"/>
    <w:rsid w:val="008D2980"/>
    <w:rsid w:val="008D2C14"/>
    <w:rsid w:val="008D2D7B"/>
    <w:rsid w:val="008D2EB8"/>
    <w:rsid w:val="008D31DF"/>
    <w:rsid w:val="008D32BF"/>
    <w:rsid w:val="008D33AB"/>
    <w:rsid w:val="008D33F1"/>
    <w:rsid w:val="008D35BE"/>
    <w:rsid w:val="008D3625"/>
    <w:rsid w:val="008D36A6"/>
    <w:rsid w:val="008D36F2"/>
    <w:rsid w:val="008D3711"/>
    <w:rsid w:val="008D375F"/>
    <w:rsid w:val="008D390F"/>
    <w:rsid w:val="008D3CA0"/>
    <w:rsid w:val="008D3FB1"/>
    <w:rsid w:val="008D4019"/>
    <w:rsid w:val="008D40E4"/>
    <w:rsid w:val="008D4429"/>
    <w:rsid w:val="008D44F3"/>
    <w:rsid w:val="008D4582"/>
    <w:rsid w:val="008D474C"/>
    <w:rsid w:val="008D495B"/>
    <w:rsid w:val="008D4C7A"/>
    <w:rsid w:val="008D4CC0"/>
    <w:rsid w:val="008D5057"/>
    <w:rsid w:val="008D5217"/>
    <w:rsid w:val="008D53F9"/>
    <w:rsid w:val="008D5518"/>
    <w:rsid w:val="008D5563"/>
    <w:rsid w:val="008D56B9"/>
    <w:rsid w:val="008D57B7"/>
    <w:rsid w:val="008D5920"/>
    <w:rsid w:val="008D594F"/>
    <w:rsid w:val="008D5C90"/>
    <w:rsid w:val="008D5FA4"/>
    <w:rsid w:val="008D640F"/>
    <w:rsid w:val="008D649C"/>
    <w:rsid w:val="008D6513"/>
    <w:rsid w:val="008D653C"/>
    <w:rsid w:val="008D6AEF"/>
    <w:rsid w:val="008D6BFE"/>
    <w:rsid w:val="008D6E79"/>
    <w:rsid w:val="008D7195"/>
    <w:rsid w:val="008D7313"/>
    <w:rsid w:val="008D73A4"/>
    <w:rsid w:val="008D75D7"/>
    <w:rsid w:val="008D76F5"/>
    <w:rsid w:val="008D79E4"/>
    <w:rsid w:val="008D7A6D"/>
    <w:rsid w:val="008E0022"/>
    <w:rsid w:val="008E0478"/>
    <w:rsid w:val="008E04D4"/>
    <w:rsid w:val="008E06DC"/>
    <w:rsid w:val="008E08AB"/>
    <w:rsid w:val="008E0A72"/>
    <w:rsid w:val="008E0CF2"/>
    <w:rsid w:val="008E0E73"/>
    <w:rsid w:val="008E0F20"/>
    <w:rsid w:val="008E0F25"/>
    <w:rsid w:val="008E1005"/>
    <w:rsid w:val="008E1034"/>
    <w:rsid w:val="008E161B"/>
    <w:rsid w:val="008E1737"/>
    <w:rsid w:val="008E182C"/>
    <w:rsid w:val="008E1883"/>
    <w:rsid w:val="008E18D7"/>
    <w:rsid w:val="008E18E5"/>
    <w:rsid w:val="008E1C7C"/>
    <w:rsid w:val="008E1CF6"/>
    <w:rsid w:val="008E1EE6"/>
    <w:rsid w:val="008E20D8"/>
    <w:rsid w:val="008E2274"/>
    <w:rsid w:val="008E2732"/>
    <w:rsid w:val="008E2A5B"/>
    <w:rsid w:val="008E2B3E"/>
    <w:rsid w:val="008E2D09"/>
    <w:rsid w:val="008E2D76"/>
    <w:rsid w:val="008E2EB0"/>
    <w:rsid w:val="008E31C4"/>
    <w:rsid w:val="008E32C3"/>
    <w:rsid w:val="008E3946"/>
    <w:rsid w:val="008E3951"/>
    <w:rsid w:val="008E39AB"/>
    <w:rsid w:val="008E429D"/>
    <w:rsid w:val="008E42BF"/>
    <w:rsid w:val="008E4338"/>
    <w:rsid w:val="008E44E6"/>
    <w:rsid w:val="008E4762"/>
    <w:rsid w:val="008E492A"/>
    <w:rsid w:val="008E49F2"/>
    <w:rsid w:val="008E4AC5"/>
    <w:rsid w:val="008E4BA6"/>
    <w:rsid w:val="008E4D25"/>
    <w:rsid w:val="008E4DEB"/>
    <w:rsid w:val="008E51A2"/>
    <w:rsid w:val="008E533B"/>
    <w:rsid w:val="008E5451"/>
    <w:rsid w:val="008E5487"/>
    <w:rsid w:val="008E5605"/>
    <w:rsid w:val="008E5611"/>
    <w:rsid w:val="008E56A0"/>
    <w:rsid w:val="008E597F"/>
    <w:rsid w:val="008E59B0"/>
    <w:rsid w:val="008E5A01"/>
    <w:rsid w:val="008E5DF1"/>
    <w:rsid w:val="008E62F2"/>
    <w:rsid w:val="008E6474"/>
    <w:rsid w:val="008E68BB"/>
    <w:rsid w:val="008E69F5"/>
    <w:rsid w:val="008E6A59"/>
    <w:rsid w:val="008E6AA4"/>
    <w:rsid w:val="008E6CF4"/>
    <w:rsid w:val="008E70E6"/>
    <w:rsid w:val="008E73EB"/>
    <w:rsid w:val="008E75AB"/>
    <w:rsid w:val="008E7957"/>
    <w:rsid w:val="008E7CA8"/>
    <w:rsid w:val="008E7D13"/>
    <w:rsid w:val="008E7D7F"/>
    <w:rsid w:val="008E7D97"/>
    <w:rsid w:val="008E7DF5"/>
    <w:rsid w:val="008E7E54"/>
    <w:rsid w:val="008E7F95"/>
    <w:rsid w:val="008F00A6"/>
    <w:rsid w:val="008F01DA"/>
    <w:rsid w:val="008F037C"/>
    <w:rsid w:val="008F0564"/>
    <w:rsid w:val="008F05F4"/>
    <w:rsid w:val="008F0673"/>
    <w:rsid w:val="008F0840"/>
    <w:rsid w:val="008F09D3"/>
    <w:rsid w:val="008F0B5C"/>
    <w:rsid w:val="008F10F1"/>
    <w:rsid w:val="008F125B"/>
    <w:rsid w:val="008F1491"/>
    <w:rsid w:val="008F16C1"/>
    <w:rsid w:val="008F1C01"/>
    <w:rsid w:val="008F1F3A"/>
    <w:rsid w:val="008F1F4F"/>
    <w:rsid w:val="008F1F69"/>
    <w:rsid w:val="008F2091"/>
    <w:rsid w:val="008F2283"/>
    <w:rsid w:val="008F242F"/>
    <w:rsid w:val="008F250E"/>
    <w:rsid w:val="008F2663"/>
    <w:rsid w:val="008F269B"/>
    <w:rsid w:val="008F28C4"/>
    <w:rsid w:val="008F2A3F"/>
    <w:rsid w:val="008F2CB3"/>
    <w:rsid w:val="008F2F20"/>
    <w:rsid w:val="008F33FC"/>
    <w:rsid w:val="008F3790"/>
    <w:rsid w:val="008F38AD"/>
    <w:rsid w:val="008F38D5"/>
    <w:rsid w:val="008F3ABB"/>
    <w:rsid w:val="008F3DDF"/>
    <w:rsid w:val="008F4015"/>
    <w:rsid w:val="008F4245"/>
    <w:rsid w:val="008F4253"/>
    <w:rsid w:val="008F4272"/>
    <w:rsid w:val="008F44B1"/>
    <w:rsid w:val="008F4794"/>
    <w:rsid w:val="008F4896"/>
    <w:rsid w:val="008F4969"/>
    <w:rsid w:val="008F4AD7"/>
    <w:rsid w:val="008F4B7A"/>
    <w:rsid w:val="008F4BBF"/>
    <w:rsid w:val="008F4BC1"/>
    <w:rsid w:val="008F4BE1"/>
    <w:rsid w:val="008F4C33"/>
    <w:rsid w:val="008F4E96"/>
    <w:rsid w:val="008F5047"/>
    <w:rsid w:val="008F522A"/>
    <w:rsid w:val="008F523E"/>
    <w:rsid w:val="008F5444"/>
    <w:rsid w:val="008F5B17"/>
    <w:rsid w:val="008F5F25"/>
    <w:rsid w:val="008F60AC"/>
    <w:rsid w:val="008F6300"/>
    <w:rsid w:val="008F652D"/>
    <w:rsid w:val="008F6590"/>
    <w:rsid w:val="008F66AB"/>
    <w:rsid w:val="008F676A"/>
    <w:rsid w:val="008F67FB"/>
    <w:rsid w:val="008F6801"/>
    <w:rsid w:val="008F6850"/>
    <w:rsid w:val="008F68D5"/>
    <w:rsid w:val="008F6904"/>
    <w:rsid w:val="008F690A"/>
    <w:rsid w:val="008F6AE6"/>
    <w:rsid w:val="008F6CE0"/>
    <w:rsid w:val="008F6EE6"/>
    <w:rsid w:val="008F72A6"/>
    <w:rsid w:val="008F753B"/>
    <w:rsid w:val="008F762F"/>
    <w:rsid w:val="008F7724"/>
    <w:rsid w:val="008F7821"/>
    <w:rsid w:val="008F791E"/>
    <w:rsid w:val="008F7D92"/>
    <w:rsid w:val="00900129"/>
    <w:rsid w:val="00900267"/>
    <w:rsid w:val="00900283"/>
    <w:rsid w:val="009002D9"/>
    <w:rsid w:val="009003FE"/>
    <w:rsid w:val="009004B5"/>
    <w:rsid w:val="00900685"/>
    <w:rsid w:val="0090075A"/>
    <w:rsid w:val="0090076D"/>
    <w:rsid w:val="009009D2"/>
    <w:rsid w:val="00900AA7"/>
    <w:rsid w:val="00900C0B"/>
    <w:rsid w:val="00900E1A"/>
    <w:rsid w:val="00900F61"/>
    <w:rsid w:val="009010B5"/>
    <w:rsid w:val="009012AD"/>
    <w:rsid w:val="009013FD"/>
    <w:rsid w:val="0090140F"/>
    <w:rsid w:val="00901442"/>
    <w:rsid w:val="00901457"/>
    <w:rsid w:val="009014D1"/>
    <w:rsid w:val="00901622"/>
    <w:rsid w:val="0090168D"/>
    <w:rsid w:val="00901693"/>
    <w:rsid w:val="009017AB"/>
    <w:rsid w:val="009018C1"/>
    <w:rsid w:val="0090193C"/>
    <w:rsid w:val="009019AF"/>
    <w:rsid w:val="00901A6C"/>
    <w:rsid w:val="00901AA3"/>
    <w:rsid w:val="00901B85"/>
    <w:rsid w:val="00901E53"/>
    <w:rsid w:val="00901EA2"/>
    <w:rsid w:val="00901EDD"/>
    <w:rsid w:val="00901F70"/>
    <w:rsid w:val="009020F0"/>
    <w:rsid w:val="00902169"/>
    <w:rsid w:val="009022F2"/>
    <w:rsid w:val="0090258C"/>
    <w:rsid w:val="009026B3"/>
    <w:rsid w:val="00902830"/>
    <w:rsid w:val="009028A7"/>
    <w:rsid w:val="009029E3"/>
    <w:rsid w:val="00902B28"/>
    <w:rsid w:val="00902C51"/>
    <w:rsid w:val="00902E04"/>
    <w:rsid w:val="00902F9A"/>
    <w:rsid w:val="00902FDD"/>
    <w:rsid w:val="00902FE1"/>
    <w:rsid w:val="0090323C"/>
    <w:rsid w:val="00903424"/>
    <w:rsid w:val="00903434"/>
    <w:rsid w:val="00903922"/>
    <w:rsid w:val="00903C11"/>
    <w:rsid w:val="00903F98"/>
    <w:rsid w:val="00903FFD"/>
    <w:rsid w:val="00904065"/>
    <w:rsid w:val="0090425D"/>
    <w:rsid w:val="0090430C"/>
    <w:rsid w:val="0090437A"/>
    <w:rsid w:val="00904451"/>
    <w:rsid w:val="009046EB"/>
    <w:rsid w:val="0090471C"/>
    <w:rsid w:val="00904927"/>
    <w:rsid w:val="00904A77"/>
    <w:rsid w:val="00904B6B"/>
    <w:rsid w:val="00904B95"/>
    <w:rsid w:val="00904BA1"/>
    <w:rsid w:val="009051B0"/>
    <w:rsid w:val="0090527E"/>
    <w:rsid w:val="009053D0"/>
    <w:rsid w:val="00905749"/>
    <w:rsid w:val="00905844"/>
    <w:rsid w:val="00905859"/>
    <w:rsid w:val="009058E7"/>
    <w:rsid w:val="009059C8"/>
    <w:rsid w:val="00905E68"/>
    <w:rsid w:val="009060EA"/>
    <w:rsid w:val="0090613E"/>
    <w:rsid w:val="00906305"/>
    <w:rsid w:val="009064D6"/>
    <w:rsid w:val="009066A8"/>
    <w:rsid w:val="00906735"/>
    <w:rsid w:val="00906761"/>
    <w:rsid w:val="00906B3F"/>
    <w:rsid w:val="00906CDB"/>
    <w:rsid w:val="00906D83"/>
    <w:rsid w:val="00906D87"/>
    <w:rsid w:val="00906EA1"/>
    <w:rsid w:val="00906EB7"/>
    <w:rsid w:val="00907040"/>
    <w:rsid w:val="009070A9"/>
    <w:rsid w:val="00907200"/>
    <w:rsid w:val="00907226"/>
    <w:rsid w:val="009072FF"/>
    <w:rsid w:val="009073EC"/>
    <w:rsid w:val="00907657"/>
    <w:rsid w:val="0090772A"/>
    <w:rsid w:val="009077E5"/>
    <w:rsid w:val="00907870"/>
    <w:rsid w:val="00907C32"/>
    <w:rsid w:val="00907C86"/>
    <w:rsid w:val="00907CDF"/>
    <w:rsid w:val="00907E8A"/>
    <w:rsid w:val="009100A1"/>
    <w:rsid w:val="00910190"/>
    <w:rsid w:val="009102F2"/>
    <w:rsid w:val="00910434"/>
    <w:rsid w:val="009104A1"/>
    <w:rsid w:val="00910529"/>
    <w:rsid w:val="009108B4"/>
    <w:rsid w:val="009108E6"/>
    <w:rsid w:val="00910A68"/>
    <w:rsid w:val="00910C0D"/>
    <w:rsid w:val="00910CB7"/>
    <w:rsid w:val="00910D6C"/>
    <w:rsid w:val="00910D8B"/>
    <w:rsid w:val="00910ED3"/>
    <w:rsid w:val="0091121C"/>
    <w:rsid w:val="00911389"/>
    <w:rsid w:val="009114EA"/>
    <w:rsid w:val="00911676"/>
    <w:rsid w:val="0091171F"/>
    <w:rsid w:val="009118E7"/>
    <w:rsid w:val="00911A2F"/>
    <w:rsid w:val="00911AC9"/>
    <w:rsid w:val="00911AFB"/>
    <w:rsid w:val="00911C12"/>
    <w:rsid w:val="00911C54"/>
    <w:rsid w:val="00911E5E"/>
    <w:rsid w:val="0091239B"/>
    <w:rsid w:val="009123E9"/>
    <w:rsid w:val="00912A73"/>
    <w:rsid w:val="00912CE8"/>
    <w:rsid w:val="00913078"/>
    <w:rsid w:val="009130F8"/>
    <w:rsid w:val="0091312F"/>
    <w:rsid w:val="00913201"/>
    <w:rsid w:val="0091322E"/>
    <w:rsid w:val="0091324A"/>
    <w:rsid w:val="00913319"/>
    <w:rsid w:val="0091353B"/>
    <w:rsid w:val="009137A6"/>
    <w:rsid w:val="009139DA"/>
    <w:rsid w:val="00913A9A"/>
    <w:rsid w:val="00913E03"/>
    <w:rsid w:val="00913E17"/>
    <w:rsid w:val="0091433D"/>
    <w:rsid w:val="0091451D"/>
    <w:rsid w:val="009145DF"/>
    <w:rsid w:val="009147A2"/>
    <w:rsid w:val="00914898"/>
    <w:rsid w:val="0091496E"/>
    <w:rsid w:val="00914B33"/>
    <w:rsid w:val="00914DD4"/>
    <w:rsid w:val="00914EF9"/>
    <w:rsid w:val="00914F6B"/>
    <w:rsid w:val="00914FD0"/>
    <w:rsid w:val="009154F9"/>
    <w:rsid w:val="0091562A"/>
    <w:rsid w:val="00915797"/>
    <w:rsid w:val="0091591C"/>
    <w:rsid w:val="00915973"/>
    <w:rsid w:val="009159A2"/>
    <w:rsid w:val="00915AB8"/>
    <w:rsid w:val="00915C58"/>
    <w:rsid w:val="0091607B"/>
    <w:rsid w:val="00916116"/>
    <w:rsid w:val="009162AA"/>
    <w:rsid w:val="009164BD"/>
    <w:rsid w:val="009165B5"/>
    <w:rsid w:val="00916779"/>
    <w:rsid w:val="0091692E"/>
    <w:rsid w:val="0091699D"/>
    <w:rsid w:val="00916A7E"/>
    <w:rsid w:val="00916AA2"/>
    <w:rsid w:val="00916B8B"/>
    <w:rsid w:val="00916BC2"/>
    <w:rsid w:val="00916D0C"/>
    <w:rsid w:val="00916E55"/>
    <w:rsid w:val="0091702C"/>
    <w:rsid w:val="00917041"/>
    <w:rsid w:val="0091708C"/>
    <w:rsid w:val="009171CA"/>
    <w:rsid w:val="0091731E"/>
    <w:rsid w:val="0091732C"/>
    <w:rsid w:val="0091744B"/>
    <w:rsid w:val="00917496"/>
    <w:rsid w:val="0091754B"/>
    <w:rsid w:val="0091776D"/>
    <w:rsid w:val="00917833"/>
    <w:rsid w:val="009178EB"/>
    <w:rsid w:val="00917922"/>
    <w:rsid w:val="00917BA2"/>
    <w:rsid w:val="00917C3D"/>
    <w:rsid w:val="00917D0D"/>
    <w:rsid w:val="00917D71"/>
    <w:rsid w:val="00917DF7"/>
    <w:rsid w:val="00917E39"/>
    <w:rsid w:val="00917F27"/>
    <w:rsid w:val="00917F50"/>
    <w:rsid w:val="00920123"/>
    <w:rsid w:val="009202D5"/>
    <w:rsid w:val="00920642"/>
    <w:rsid w:val="00920A9B"/>
    <w:rsid w:val="00920B1A"/>
    <w:rsid w:val="00920E29"/>
    <w:rsid w:val="00920E9F"/>
    <w:rsid w:val="00920F5D"/>
    <w:rsid w:val="00921064"/>
    <w:rsid w:val="0092199F"/>
    <w:rsid w:val="009219BD"/>
    <w:rsid w:val="009219DB"/>
    <w:rsid w:val="00921ABF"/>
    <w:rsid w:val="00921BB2"/>
    <w:rsid w:val="00921DBD"/>
    <w:rsid w:val="0092214A"/>
    <w:rsid w:val="009221A6"/>
    <w:rsid w:val="009221C1"/>
    <w:rsid w:val="00922325"/>
    <w:rsid w:val="00922864"/>
    <w:rsid w:val="00922984"/>
    <w:rsid w:val="00922F13"/>
    <w:rsid w:val="00923039"/>
    <w:rsid w:val="009230DB"/>
    <w:rsid w:val="0092315F"/>
    <w:rsid w:val="0092364D"/>
    <w:rsid w:val="00923675"/>
    <w:rsid w:val="00923855"/>
    <w:rsid w:val="0092387A"/>
    <w:rsid w:val="00923C5F"/>
    <w:rsid w:val="00923DF8"/>
    <w:rsid w:val="00923E1E"/>
    <w:rsid w:val="009243C9"/>
    <w:rsid w:val="009245CB"/>
    <w:rsid w:val="00924693"/>
    <w:rsid w:val="009246DE"/>
    <w:rsid w:val="009247CD"/>
    <w:rsid w:val="009249D6"/>
    <w:rsid w:val="00924AF1"/>
    <w:rsid w:val="00924B64"/>
    <w:rsid w:val="00924BA3"/>
    <w:rsid w:val="009250A7"/>
    <w:rsid w:val="00925967"/>
    <w:rsid w:val="00925A44"/>
    <w:rsid w:val="00925D12"/>
    <w:rsid w:val="00925D25"/>
    <w:rsid w:val="00925DB9"/>
    <w:rsid w:val="00925EDD"/>
    <w:rsid w:val="00925F66"/>
    <w:rsid w:val="0092602F"/>
    <w:rsid w:val="0092614E"/>
    <w:rsid w:val="00926175"/>
    <w:rsid w:val="00926279"/>
    <w:rsid w:val="0092659A"/>
    <w:rsid w:val="009267EB"/>
    <w:rsid w:val="0092695F"/>
    <w:rsid w:val="00926A28"/>
    <w:rsid w:val="00926B5C"/>
    <w:rsid w:val="00926C65"/>
    <w:rsid w:val="00926F0D"/>
    <w:rsid w:val="00927242"/>
    <w:rsid w:val="0092735D"/>
    <w:rsid w:val="00927389"/>
    <w:rsid w:val="009274B8"/>
    <w:rsid w:val="00927643"/>
    <w:rsid w:val="00927704"/>
    <w:rsid w:val="0092790B"/>
    <w:rsid w:val="009279DC"/>
    <w:rsid w:val="00927A40"/>
    <w:rsid w:val="00927B6C"/>
    <w:rsid w:val="00927B9C"/>
    <w:rsid w:val="00927C42"/>
    <w:rsid w:val="00927F52"/>
    <w:rsid w:val="0093042E"/>
    <w:rsid w:val="00930989"/>
    <w:rsid w:val="009309E6"/>
    <w:rsid w:val="00930A8D"/>
    <w:rsid w:val="00930AAD"/>
    <w:rsid w:val="00930BAA"/>
    <w:rsid w:val="00930BB6"/>
    <w:rsid w:val="00930DED"/>
    <w:rsid w:val="00930E05"/>
    <w:rsid w:val="00930EC4"/>
    <w:rsid w:val="00931070"/>
    <w:rsid w:val="00931233"/>
    <w:rsid w:val="009315A7"/>
    <w:rsid w:val="009316D3"/>
    <w:rsid w:val="00931909"/>
    <w:rsid w:val="00931AEE"/>
    <w:rsid w:val="00931B33"/>
    <w:rsid w:val="00931C85"/>
    <w:rsid w:val="00931C8E"/>
    <w:rsid w:val="009321D1"/>
    <w:rsid w:val="00932293"/>
    <w:rsid w:val="0093238A"/>
    <w:rsid w:val="00932398"/>
    <w:rsid w:val="00932495"/>
    <w:rsid w:val="00932521"/>
    <w:rsid w:val="009325D8"/>
    <w:rsid w:val="009327F4"/>
    <w:rsid w:val="0093297F"/>
    <w:rsid w:val="00932CD2"/>
    <w:rsid w:val="00932D40"/>
    <w:rsid w:val="00932D8C"/>
    <w:rsid w:val="00932E00"/>
    <w:rsid w:val="00932FA7"/>
    <w:rsid w:val="0093305B"/>
    <w:rsid w:val="00933125"/>
    <w:rsid w:val="0093312F"/>
    <w:rsid w:val="0093330F"/>
    <w:rsid w:val="0093339B"/>
    <w:rsid w:val="00933531"/>
    <w:rsid w:val="00933A6A"/>
    <w:rsid w:val="00933B77"/>
    <w:rsid w:val="00933D0A"/>
    <w:rsid w:val="00933DB7"/>
    <w:rsid w:val="00933EC7"/>
    <w:rsid w:val="0093409D"/>
    <w:rsid w:val="009340CA"/>
    <w:rsid w:val="0093448D"/>
    <w:rsid w:val="00934524"/>
    <w:rsid w:val="00934C58"/>
    <w:rsid w:val="00934E9A"/>
    <w:rsid w:val="00934F53"/>
    <w:rsid w:val="00934F55"/>
    <w:rsid w:val="009354F1"/>
    <w:rsid w:val="009355F2"/>
    <w:rsid w:val="00935674"/>
    <w:rsid w:val="009357A7"/>
    <w:rsid w:val="009358FA"/>
    <w:rsid w:val="009359E9"/>
    <w:rsid w:val="00935BA8"/>
    <w:rsid w:val="00935C55"/>
    <w:rsid w:val="00935CFC"/>
    <w:rsid w:val="00935DD0"/>
    <w:rsid w:val="00935E68"/>
    <w:rsid w:val="009360F1"/>
    <w:rsid w:val="009361AE"/>
    <w:rsid w:val="009361E0"/>
    <w:rsid w:val="00936431"/>
    <w:rsid w:val="00936689"/>
    <w:rsid w:val="009366CE"/>
    <w:rsid w:val="0093683F"/>
    <w:rsid w:val="00936950"/>
    <w:rsid w:val="00936C31"/>
    <w:rsid w:val="00936FFD"/>
    <w:rsid w:val="00937197"/>
    <w:rsid w:val="00937278"/>
    <w:rsid w:val="009376DE"/>
    <w:rsid w:val="0093779E"/>
    <w:rsid w:val="00937948"/>
    <w:rsid w:val="009379A2"/>
    <w:rsid w:val="00937C7A"/>
    <w:rsid w:val="00937D80"/>
    <w:rsid w:val="00937DD2"/>
    <w:rsid w:val="00937E05"/>
    <w:rsid w:val="009400B3"/>
    <w:rsid w:val="00940469"/>
    <w:rsid w:val="009404D4"/>
    <w:rsid w:val="00940559"/>
    <w:rsid w:val="00940868"/>
    <w:rsid w:val="00940C33"/>
    <w:rsid w:val="00940D91"/>
    <w:rsid w:val="00940E8D"/>
    <w:rsid w:val="00940F8C"/>
    <w:rsid w:val="00940FD4"/>
    <w:rsid w:val="0094101F"/>
    <w:rsid w:val="009413F2"/>
    <w:rsid w:val="009414A8"/>
    <w:rsid w:val="009414C6"/>
    <w:rsid w:val="009414DA"/>
    <w:rsid w:val="0094157D"/>
    <w:rsid w:val="0094158A"/>
    <w:rsid w:val="00941622"/>
    <w:rsid w:val="0094196F"/>
    <w:rsid w:val="00941A42"/>
    <w:rsid w:val="00941AC3"/>
    <w:rsid w:val="00941B81"/>
    <w:rsid w:val="00941D56"/>
    <w:rsid w:val="00941E2D"/>
    <w:rsid w:val="00941E49"/>
    <w:rsid w:val="00941EE4"/>
    <w:rsid w:val="00942002"/>
    <w:rsid w:val="009424B6"/>
    <w:rsid w:val="0094253B"/>
    <w:rsid w:val="009425C8"/>
    <w:rsid w:val="00942908"/>
    <w:rsid w:val="00942B11"/>
    <w:rsid w:val="00942B6D"/>
    <w:rsid w:val="00942BE7"/>
    <w:rsid w:val="00942C27"/>
    <w:rsid w:val="00942CDE"/>
    <w:rsid w:val="00942E4E"/>
    <w:rsid w:val="00942E7A"/>
    <w:rsid w:val="00942F10"/>
    <w:rsid w:val="00942F55"/>
    <w:rsid w:val="00943024"/>
    <w:rsid w:val="009431F5"/>
    <w:rsid w:val="00943235"/>
    <w:rsid w:val="009432B6"/>
    <w:rsid w:val="00943676"/>
    <w:rsid w:val="0094371D"/>
    <w:rsid w:val="00943772"/>
    <w:rsid w:val="0094395F"/>
    <w:rsid w:val="00943A59"/>
    <w:rsid w:val="00943B24"/>
    <w:rsid w:val="00943D13"/>
    <w:rsid w:val="00943E5A"/>
    <w:rsid w:val="00943FB5"/>
    <w:rsid w:val="00944899"/>
    <w:rsid w:val="00944A21"/>
    <w:rsid w:val="00944DFA"/>
    <w:rsid w:val="00944FDC"/>
    <w:rsid w:val="009450C4"/>
    <w:rsid w:val="0094513B"/>
    <w:rsid w:val="0094523B"/>
    <w:rsid w:val="009452F2"/>
    <w:rsid w:val="009452FA"/>
    <w:rsid w:val="00945330"/>
    <w:rsid w:val="00945440"/>
    <w:rsid w:val="009455B2"/>
    <w:rsid w:val="009457EA"/>
    <w:rsid w:val="00945831"/>
    <w:rsid w:val="0094584C"/>
    <w:rsid w:val="0094585E"/>
    <w:rsid w:val="009458A9"/>
    <w:rsid w:val="009459DC"/>
    <w:rsid w:val="00945A63"/>
    <w:rsid w:val="00945BD6"/>
    <w:rsid w:val="00945C17"/>
    <w:rsid w:val="00945C8B"/>
    <w:rsid w:val="00945E93"/>
    <w:rsid w:val="00945F3A"/>
    <w:rsid w:val="00945F54"/>
    <w:rsid w:val="00945F6C"/>
    <w:rsid w:val="00946193"/>
    <w:rsid w:val="00946216"/>
    <w:rsid w:val="00946526"/>
    <w:rsid w:val="00946708"/>
    <w:rsid w:val="00946AE5"/>
    <w:rsid w:val="00946BCD"/>
    <w:rsid w:val="00946CB8"/>
    <w:rsid w:val="00946CD3"/>
    <w:rsid w:val="0094722F"/>
    <w:rsid w:val="00947337"/>
    <w:rsid w:val="009473F5"/>
    <w:rsid w:val="009474A7"/>
    <w:rsid w:val="0094784E"/>
    <w:rsid w:val="00947B60"/>
    <w:rsid w:val="00947B87"/>
    <w:rsid w:val="00947BFB"/>
    <w:rsid w:val="00947E5A"/>
    <w:rsid w:val="0094F52F"/>
    <w:rsid w:val="009500E9"/>
    <w:rsid w:val="009502E6"/>
    <w:rsid w:val="00950395"/>
    <w:rsid w:val="0095042A"/>
    <w:rsid w:val="00950437"/>
    <w:rsid w:val="0095061B"/>
    <w:rsid w:val="0095088A"/>
    <w:rsid w:val="0095091D"/>
    <w:rsid w:val="00950C2B"/>
    <w:rsid w:val="00950CA1"/>
    <w:rsid w:val="00950D3E"/>
    <w:rsid w:val="00950D7E"/>
    <w:rsid w:val="00951333"/>
    <w:rsid w:val="00951372"/>
    <w:rsid w:val="009515E4"/>
    <w:rsid w:val="00951880"/>
    <w:rsid w:val="009518CB"/>
    <w:rsid w:val="00951AEC"/>
    <w:rsid w:val="00951C84"/>
    <w:rsid w:val="00951CBA"/>
    <w:rsid w:val="00951E9C"/>
    <w:rsid w:val="00951F5B"/>
    <w:rsid w:val="00951FE0"/>
    <w:rsid w:val="00952184"/>
    <w:rsid w:val="009521A6"/>
    <w:rsid w:val="009521BD"/>
    <w:rsid w:val="00952359"/>
    <w:rsid w:val="009523C3"/>
    <w:rsid w:val="009526CB"/>
    <w:rsid w:val="009528E4"/>
    <w:rsid w:val="00952A34"/>
    <w:rsid w:val="00952B3F"/>
    <w:rsid w:val="00952B85"/>
    <w:rsid w:val="00952C62"/>
    <w:rsid w:val="00952D33"/>
    <w:rsid w:val="00952D45"/>
    <w:rsid w:val="00952E07"/>
    <w:rsid w:val="00952ED3"/>
    <w:rsid w:val="00952EF5"/>
    <w:rsid w:val="0095309B"/>
    <w:rsid w:val="00953465"/>
    <w:rsid w:val="009536BA"/>
    <w:rsid w:val="00953820"/>
    <w:rsid w:val="00953A51"/>
    <w:rsid w:val="00953A8B"/>
    <w:rsid w:val="00953BD0"/>
    <w:rsid w:val="00953E4A"/>
    <w:rsid w:val="00953F1B"/>
    <w:rsid w:val="009540DC"/>
    <w:rsid w:val="00954138"/>
    <w:rsid w:val="00954234"/>
    <w:rsid w:val="009542F3"/>
    <w:rsid w:val="0095430F"/>
    <w:rsid w:val="0095481A"/>
    <w:rsid w:val="00954847"/>
    <w:rsid w:val="009548CB"/>
    <w:rsid w:val="00954A89"/>
    <w:rsid w:val="00954B58"/>
    <w:rsid w:val="00954D05"/>
    <w:rsid w:val="00954E1D"/>
    <w:rsid w:val="0095510D"/>
    <w:rsid w:val="0095517A"/>
    <w:rsid w:val="0095523D"/>
    <w:rsid w:val="00955296"/>
    <w:rsid w:val="00955478"/>
    <w:rsid w:val="009555D5"/>
    <w:rsid w:val="009556BD"/>
    <w:rsid w:val="00955E5B"/>
    <w:rsid w:val="009560BC"/>
    <w:rsid w:val="00956234"/>
    <w:rsid w:val="0095674C"/>
    <w:rsid w:val="0095679E"/>
    <w:rsid w:val="0095685D"/>
    <w:rsid w:val="009568A8"/>
    <w:rsid w:val="009568F0"/>
    <w:rsid w:val="00956DB7"/>
    <w:rsid w:val="00956F14"/>
    <w:rsid w:val="00956F36"/>
    <w:rsid w:val="0095701C"/>
    <w:rsid w:val="009572B4"/>
    <w:rsid w:val="0095731B"/>
    <w:rsid w:val="0095734C"/>
    <w:rsid w:val="0095735D"/>
    <w:rsid w:val="00957454"/>
    <w:rsid w:val="0095754D"/>
    <w:rsid w:val="009575A9"/>
    <w:rsid w:val="009575CA"/>
    <w:rsid w:val="009575EA"/>
    <w:rsid w:val="00957744"/>
    <w:rsid w:val="009577E2"/>
    <w:rsid w:val="00957B38"/>
    <w:rsid w:val="00960056"/>
    <w:rsid w:val="00960151"/>
    <w:rsid w:val="00960156"/>
    <w:rsid w:val="0096033E"/>
    <w:rsid w:val="00960679"/>
    <w:rsid w:val="00960688"/>
    <w:rsid w:val="0096076A"/>
    <w:rsid w:val="0096089E"/>
    <w:rsid w:val="00960EA4"/>
    <w:rsid w:val="00960F71"/>
    <w:rsid w:val="00961081"/>
    <w:rsid w:val="009610D4"/>
    <w:rsid w:val="00961159"/>
    <w:rsid w:val="00961185"/>
    <w:rsid w:val="0096120D"/>
    <w:rsid w:val="0096158F"/>
    <w:rsid w:val="009616F9"/>
    <w:rsid w:val="00961999"/>
    <w:rsid w:val="009619BF"/>
    <w:rsid w:val="009619DE"/>
    <w:rsid w:val="00961ACA"/>
    <w:rsid w:val="00961C3C"/>
    <w:rsid w:val="00961D86"/>
    <w:rsid w:val="00961E24"/>
    <w:rsid w:val="00961E7D"/>
    <w:rsid w:val="00961E81"/>
    <w:rsid w:val="00962222"/>
    <w:rsid w:val="00962387"/>
    <w:rsid w:val="0096251D"/>
    <w:rsid w:val="009625D5"/>
    <w:rsid w:val="009627E1"/>
    <w:rsid w:val="009628E5"/>
    <w:rsid w:val="00962AAB"/>
    <w:rsid w:val="00962C6C"/>
    <w:rsid w:val="00962D65"/>
    <w:rsid w:val="00962D9B"/>
    <w:rsid w:val="009630C3"/>
    <w:rsid w:val="00963172"/>
    <w:rsid w:val="00963211"/>
    <w:rsid w:val="009632BF"/>
    <w:rsid w:val="009632D4"/>
    <w:rsid w:val="009633AC"/>
    <w:rsid w:val="00963479"/>
    <w:rsid w:val="00963543"/>
    <w:rsid w:val="009637BF"/>
    <w:rsid w:val="00963C0F"/>
    <w:rsid w:val="00963C61"/>
    <w:rsid w:val="00963CAB"/>
    <w:rsid w:val="00963CFA"/>
    <w:rsid w:val="00963F39"/>
    <w:rsid w:val="009640B0"/>
    <w:rsid w:val="00964267"/>
    <w:rsid w:val="00964269"/>
    <w:rsid w:val="0096441A"/>
    <w:rsid w:val="00964441"/>
    <w:rsid w:val="0096445B"/>
    <w:rsid w:val="009645A6"/>
    <w:rsid w:val="009646F6"/>
    <w:rsid w:val="009647C6"/>
    <w:rsid w:val="009649B4"/>
    <w:rsid w:val="00964AF6"/>
    <w:rsid w:val="00964E51"/>
    <w:rsid w:val="009651DA"/>
    <w:rsid w:val="009651FB"/>
    <w:rsid w:val="009652CD"/>
    <w:rsid w:val="00965395"/>
    <w:rsid w:val="00965404"/>
    <w:rsid w:val="00965630"/>
    <w:rsid w:val="00965820"/>
    <w:rsid w:val="009658FC"/>
    <w:rsid w:val="0096593F"/>
    <w:rsid w:val="00965A92"/>
    <w:rsid w:val="00965E3F"/>
    <w:rsid w:val="00965E52"/>
    <w:rsid w:val="00965EAF"/>
    <w:rsid w:val="0096613E"/>
    <w:rsid w:val="00966270"/>
    <w:rsid w:val="0096636B"/>
    <w:rsid w:val="00966383"/>
    <w:rsid w:val="009663F6"/>
    <w:rsid w:val="00966401"/>
    <w:rsid w:val="0096666C"/>
    <w:rsid w:val="009666BD"/>
    <w:rsid w:val="009668FF"/>
    <w:rsid w:val="009669E8"/>
    <w:rsid w:val="00966A5E"/>
    <w:rsid w:val="00966A70"/>
    <w:rsid w:val="00966AED"/>
    <w:rsid w:val="00966BAB"/>
    <w:rsid w:val="00966E66"/>
    <w:rsid w:val="00966F1F"/>
    <w:rsid w:val="00966F8F"/>
    <w:rsid w:val="00967134"/>
    <w:rsid w:val="00967225"/>
    <w:rsid w:val="009674E4"/>
    <w:rsid w:val="0096778A"/>
    <w:rsid w:val="009677A4"/>
    <w:rsid w:val="00967825"/>
    <w:rsid w:val="00967C2E"/>
    <w:rsid w:val="00967D0D"/>
    <w:rsid w:val="00967E43"/>
    <w:rsid w:val="00967EB9"/>
    <w:rsid w:val="0097023C"/>
    <w:rsid w:val="009702F8"/>
    <w:rsid w:val="00970352"/>
    <w:rsid w:val="009703DF"/>
    <w:rsid w:val="009704D4"/>
    <w:rsid w:val="009705CC"/>
    <w:rsid w:val="0097076D"/>
    <w:rsid w:val="009708A5"/>
    <w:rsid w:val="00970C27"/>
    <w:rsid w:val="00970D05"/>
    <w:rsid w:val="00970D27"/>
    <w:rsid w:val="00970E40"/>
    <w:rsid w:val="00970F01"/>
    <w:rsid w:val="0097118C"/>
    <w:rsid w:val="0097144D"/>
    <w:rsid w:val="0097150D"/>
    <w:rsid w:val="0097156E"/>
    <w:rsid w:val="0097184B"/>
    <w:rsid w:val="00971CB5"/>
    <w:rsid w:val="00971CC7"/>
    <w:rsid w:val="00971D28"/>
    <w:rsid w:val="009720E6"/>
    <w:rsid w:val="0097221A"/>
    <w:rsid w:val="00972325"/>
    <w:rsid w:val="009725E6"/>
    <w:rsid w:val="0097273C"/>
    <w:rsid w:val="0097294E"/>
    <w:rsid w:val="009729E1"/>
    <w:rsid w:val="00972F5A"/>
    <w:rsid w:val="009730AA"/>
    <w:rsid w:val="0097345C"/>
    <w:rsid w:val="009734A1"/>
    <w:rsid w:val="0097352F"/>
    <w:rsid w:val="009735BD"/>
    <w:rsid w:val="009736A7"/>
    <w:rsid w:val="00973732"/>
    <w:rsid w:val="00973861"/>
    <w:rsid w:val="009738F8"/>
    <w:rsid w:val="00973A10"/>
    <w:rsid w:val="00973CB6"/>
    <w:rsid w:val="00973D97"/>
    <w:rsid w:val="00973FA6"/>
    <w:rsid w:val="00974279"/>
    <w:rsid w:val="009743DC"/>
    <w:rsid w:val="0097449F"/>
    <w:rsid w:val="009744D7"/>
    <w:rsid w:val="009745BD"/>
    <w:rsid w:val="00974743"/>
    <w:rsid w:val="00974A5D"/>
    <w:rsid w:val="00974A73"/>
    <w:rsid w:val="00974B8A"/>
    <w:rsid w:val="00974BCD"/>
    <w:rsid w:val="00974D4D"/>
    <w:rsid w:val="00974DD1"/>
    <w:rsid w:val="00975064"/>
    <w:rsid w:val="00975088"/>
    <w:rsid w:val="009752D4"/>
    <w:rsid w:val="00975449"/>
    <w:rsid w:val="0097552C"/>
    <w:rsid w:val="0097568C"/>
    <w:rsid w:val="0097595A"/>
    <w:rsid w:val="00975B17"/>
    <w:rsid w:val="00975BD7"/>
    <w:rsid w:val="00975C43"/>
    <w:rsid w:val="00975C87"/>
    <w:rsid w:val="00975E19"/>
    <w:rsid w:val="00975FED"/>
    <w:rsid w:val="0097604D"/>
    <w:rsid w:val="0097607C"/>
    <w:rsid w:val="00976224"/>
    <w:rsid w:val="00976434"/>
    <w:rsid w:val="00976529"/>
    <w:rsid w:val="0097687F"/>
    <w:rsid w:val="00976958"/>
    <w:rsid w:val="0097699F"/>
    <w:rsid w:val="009769AF"/>
    <w:rsid w:val="009769BE"/>
    <w:rsid w:val="00976BAA"/>
    <w:rsid w:val="00976D90"/>
    <w:rsid w:val="00976FFD"/>
    <w:rsid w:val="00977229"/>
    <w:rsid w:val="0097734C"/>
    <w:rsid w:val="00977355"/>
    <w:rsid w:val="0097743A"/>
    <w:rsid w:val="0097754E"/>
    <w:rsid w:val="00977593"/>
    <w:rsid w:val="00977690"/>
    <w:rsid w:val="00977747"/>
    <w:rsid w:val="009777F7"/>
    <w:rsid w:val="009803BA"/>
    <w:rsid w:val="00980553"/>
    <w:rsid w:val="00980691"/>
    <w:rsid w:val="00980711"/>
    <w:rsid w:val="00980A82"/>
    <w:rsid w:val="00980A9A"/>
    <w:rsid w:val="009810B3"/>
    <w:rsid w:val="0098119D"/>
    <w:rsid w:val="0098128C"/>
    <w:rsid w:val="00981296"/>
    <w:rsid w:val="0098130A"/>
    <w:rsid w:val="009815EA"/>
    <w:rsid w:val="00981666"/>
    <w:rsid w:val="00981838"/>
    <w:rsid w:val="009819BA"/>
    <w:rsid w:val="00981A22"/>
    <w:rsid w:val="00981CAC"/>
    <w:rsid w:val="00981FA5"/>
    <w:rsid w:val="00981FAA"/>
    <w:rsid w:val="009821F3"/>
    <w:rsid w:val="009824D9"/>
    <w:rsid w:val="00982538"/>
    <w:rsid w:val="0098254B"/>
    <w:rsid w:val="00982555"/>
    <w:rsid w:val="0098256E"/>
    <w:rsid w:val="0098270A"/>
    <w:rsid w:val="00982752"/>
    <w:rsid w:val="00982AE4"/>
    <w:rsid w:val="00982C1A"/>
    <w:rsid w:val="00982D5F"/>
    <w:rsid w:val="00982EDB"/>
    <w:rsid w:val="00982EEE"/>
    <w:rsid w:val="009832B6"/>
    <w:rsid w:val="009832F7"/>
    <w:rsid w:val="0098336C"/>
    <w:rsid w:val="009833FB"/>
    <w:rsid w:val="009834EE"/>
    <w:rsid w:val="00983502"/>
    <w:rsid w:val="0098359F"/>
    <w:rsid w:val="0098365C"/>
    <w:rsid w:val="0098374F"/>
    <w:rsid w:val="00983C34"/>
    <w:rsid w:val="00983CCE"/>
    <w:rsid w:val="00983E04"/>
    <w:rsid w:val="00983E87"/>
    <w:rsid w:val="00984025"/>
    <w:rsid w:val="00984193"/>
    <w:rsid w:val="00984548"/>
    <w:rsid w:val="00984645"/>
    <w:rsid w:val="00984746"/>
    <w:rsid w:val="009848AF"/>
    <w:rsid w:val="00984916"/>
    <w:rsid w:val="00984C45"/>
    <w:rsid w:val="00984C59"/>
    <w:rsid w:val="00984CBE"/>
    <w:rsid w:val="00984CEE"/>
    <w:rsid w:val="00984E56"/>
    <w:rsid w:val="00984E8F"/>
    <w:rsid w:val="00984F11"/>
    <w:rsid w:val="00984F35"/>
    <w:rsid w:val="00984FC6"/>
    <w:rsid w:val="00984FE2"/>
    <w:rsid w:val="00985157"/>
    <w:rsid w:val="0098532C"/>
    <w:rsid w:val="00985431"/>
    <w:rsid w:val="009859F0"/>
    <w:rsid w:val="00986127"/>
    <w:rsid w:val="00986270"/>
    <w:rsid w:val="00986505"/>
    <w:rsid w:val="00986764"/>
    <w:rsid w:val="00986AD4"/>
    <w:rsid w:val="00986E0F"/>
    <w:rsid w:val="00986FB4"/>
    <w:rsid w:val="0098702E"/>
    <w:rsid w:val="00987053"/>
    <w:rsid w:val="00987382"/>
    <w:rsid w:val="00987466"/>
    <w:rsid w:val="0098751B"/>
    <w:rsid w:val="00987525"/>
    <w:rsid w:val="009875A1"/>
    <w:rsid w:val="0098762F"/>
    <w:rsid w:val="00987839"/>
    <w:rsid w:val="00987EC1"/>
    <w:rsid w:val="0099000A"/>
    <w:rsid w:val="00990049"/>
    <w:rsid w:val="009903E6"/>
    <w:rsid w:val="00990549"/>
    <w:rsid w:val="00990598"/>
    <w:rsid w:val="009905C3"/>
    <w:rsid w:val="00990646"/>
    <w:rsid w:val="009906E9"/>
    <w:rsid w:val="0099074E"/>
    <w:rsid w:val="00990759"/>
    <w:rsid w:val="00990797"/>
    <w:rsid w:val="009907AC"/>
    <w:rsid w:val="009907E9"/>
    <w:rsid w:val="009909F0"/>
    <w:rsid w:val="00990A99"/>
    <w:rsid w:val="00990B37"/>
    <w:rsid w:val="00990B50"/>
    <w:rsid w:val="00990CF1"/>
    <w:rsid w:val="00990E0B"/>
    <w:rsid w:val="00990E52"/>
    <w:rsid w:val="00990EC4"/>
    <w:rsid w:val="009910D9"/>
    <w:rsid w:val="009912D2"/>
    <w:rsid w:val="00991632"/>
    <w:rsid w:val="0099185F"/>
    <w:rsid w:val="00991979"/>
    <w:rsid w:val="00991AD4"/>
    <w:rsid w:val="00991DF9"/>
    <w:rsid w:val="00991E2C"/>
    <w:rsid w:val="00991F98"/>
    <w:rsid w:val="0099236E"/>
    <w:rsid w:val="0099245D"/>
    <w:rsid w:val="00992A33"/>
    <w:rsid w:val="00992B73"/>
    <w:rsid w:val="00992B78"/>
    <w:rsid w:val="00992BFE"/>
    <w:rsid w:val="00992C01"/>
    <w:rsid w:val="00992C8A"/>
    <w:rsid w:val="00992CF5"/>
    <w:rsid w:val="00992D3A"/>
    <w:rsid w:val="00992D4C"/>
    <w:rsid w:val="00992D76"/>
    <w:rsid w:val="00992E62"/>
    <w:rsid w:val="009933B2"/>
    <w:rsid w:val="009934DB"/>
    <w:rsid w:val="00993532"/>
    <w:rsid w:val="00993692"/>
    <w:rsid w:val="00993890"/>
    <w:rsid w:val="009938BD"/>
    <w:rsid w:val="009939E1"/>
    <w:rsid w:val="00993AD7"/>
    <w:rsid w:val="00993C84"/>
    <w:rsid w:val="00993CBB"/>
    <w:rsid w:val="00993D81"/>
    <w:rsid w:val="00993E8C"/>
    <w:rsid w:val="00993F39"/>
    <w:rsid w:val="00994080"/>
    <w:rsid w:val="00994225"/>
    <w:rsid w:val="0099452D"/>
    <w:rsid w:val="009945C3"/>
    <w:rsid w:val="009946AF"/>
    <w:rsid w:val="00994748"/>
    <w:rsid w:val="009948DE"/>
    <w:rsid w:val="00994A56"/>
    <w:rsid w:val="00994B67"/>
    <w:rsid w:val="00994EFE"/>
    <w:rsid w:val="00994FDE"/>
    <w:rsid w:val="009950B3"/>
    <w:rsid w:val="00995255"/>
    <w:rsid w:val="00995256"/>
    <w:rsid w:val="00995349"/>
    <w:rsid w:val="00995789"/>
    <w:rsid w:val="0099588E"/>
    <w:rsid w:val="0099595F"/>
    <w:rsid w:val="00995CB8"/>
    <w:rsid w:val="00995ED1"/>
    <w:rsid w:val="009962AF"/>
    <w:rsid w:val="009965EE"/>
    <w:rsid w:val="00996647"/>
    <w:rsid w:val="00996770"/>
    <w:rsid w:val="0099690D"/>
    <w:rsid w:val="00996ABC"/>
    <w:rsid w:val="00996C9A"/>
    <w:rsid w:val="00996D02"/>
    <w:rsid w:val="00996EC7"/>
    <w:rsid w:val="00996F69"/>
    <w:rsid w:val="00996FAE"/>
    <w:rsid w:val="009970C9"/>
    <w:rsid w:val="00997189"/>
    <w:rsid w:val="009971E4"/>
    <w:rsid w:val="0099747C"/>
    <w:rsid w:val="009974DE"/>
    <w:rsid w:val="009974F8"/>
    <w:rsid w:val="00997615"/>
    <w:rsid w:val="009977BF"/>
    <w:rsid w:val="00997DE9"/>
    <w:rsid w:val="009A0142"/>
    <w:rsid w:val="009A04A7"/>
    <w:rsid w:val="009A04FC"/>
    <w:rsid w:val="009A07FD"/>
    <w:rsid w:val="009A0902"/>
    <w:rsid w:val="009A0A8D"/>
    <w:rsid w:val="009A0AE6"/>
    <w:rsid w:val="009A0C8D"/>
    <w:rsid w:val="009A0D0C"/>
    <w:rsid w:val="009A0E3D"/>
    <w:rsid w:val="009A0F0C"/>
    <w:rsid w:val="009A0F53"/>
    <w:rsid w:val="009A1053"/>
    <w:rsid w:val="009A1113"/>
    <w:rsid w:val="009A1172"/>
    <w:rsid w:val="009A121E"/>
    <w:rsid w:val="009A123C"/>
    <w:rsid w:val="009A1304"/>
    <w:rsid w:val="009A1504"/>
    <w:rsid w:val="009A156B"/>
    <w:rsid w:val="009A1769"/>
    <w:rsid w:val="009A1933"/>
    <w:rsid w:val="009A1AFD"/>
    <w:rsid w:val="009A1B24"/>
    <w:rsid w:val="009A1BC4"/>
    <w:rsid w:val="009A1C31"/>
    <w:rsid w:val="009A1C7F"/>
    <w:rsid w:val="009A1E3C"/>
    <w:rsid w:val="009A1EDA"/>
    <w:rsid w:val="009A1F02"/>
    <w:rsid w:val="009A20FC"/>
    <w:rsid w:val="009A222C"/>
    <w:rsid w:val="009A2241"/>
    <w:rsid w:val="009A2372"/>
    <w:rsid w:val="009A243F"/>
    <w:rsid w:val="009A24AE"/>
    <w:rsid w:val="009A25AA"/>
    <w:rsid w:val="009A2632"/>
    <w:rsid w:val="009A2B0A"/>
    <w:rsid w:val="009A2B4A"/>
    <w:rsid w:val="009A2CD8"/>
    <w:rsid w:val="009A2D0D"/>
    <w:rsid w:val="009A2E6A"/>
    <w:rsid w:val="009A2ECE"/>
    <w:rsid w:val="009A33D5"/>
    <w:rsid w:val="009A33F5"/>
    <w:rsid w:val="009A3452"/>
    <w:rsid w:val="009A3617"/>
    <w:rsid w:val="009A3620"/>
    <w:rsid w:val="009A3639"/>
    <w:rsid w:val="009A363E"/>
    <w:rsid w:val="009A367E"/>
    <w:rsid w:val="009A380B"/>
    <w:rsid w:val="009A39B5"/>
    <w:rsid w:val="009A3A67"/>
    <w:rsid w:val="009A3AE5"/>
    <w:rsid w:val="009A3BF0"/>
    <w:rsid w:val="009A3C06"/>
    <w:rsid w:val="009A3EC6"/>
    <w:rsid w:val="009A41F7"/>
    <w:rsid w:val="009A471E"/>
    <w:rsid w:val="009A47C6"/>
    <w:rsid w:val="009A47D6"/>
    <w:rsid w:val="009A4B0C"/>
    <w:rsid w:val="009A4F1F"/>
    <w:rsid w:val="009A5109"/>
    <w:rsid w:val="009A5135"/>
    <w:rsid w:val="009A5215"/>
    <w:rsid w:val="009A5559"/>
    <w:rsid w:val="009A577C"/>
    <w:rsid w:val="009A5896"/>
    <w:rsid w:val="009A59B9"/>
    <w:rsid w:val="009A5AD2"/>
    <w:rsid w:val="009A5C5D"/>
    <w:rsid w:val="009A5D2A"/>
    <w:rsid w:val="009A5E72"/>
    <w:rsid w:val="009A5E8A"/>
    <w:rsid w:val="009A63E0"/>
    <w:rsid w:val="009A645C"/>
    <w:rsid w:val="009A655F"/>
    <w:rsid w:val="009A6626"/>
    <w:rsid w:val="009A6741"/>
    <w:rsid w:val="009A689C"/>
    <w:rsid w:val="009A68D9"/>
    <w:rsid w:val="009A69C2"/>
    <w:rsid w:val="009A6CC6"/>
    <w:rsid w:val="009A6D1F"/>
    <w:rsid w:val="009A6D34"/>
    <w:rsid w:val="009A70DD"/>
    <w:rsid w:val="009A71DF"/>
    <w:rsid w:val="009A724C"/>
    <w:rsid w:val="009A7293"/>
    <w:rsid w:val="009A741E"/>
    <w:rsid w:val="009A74DC"/>
    <w:rsid w:val="009A76E2"/>
    <w:rsid w:val="009A7A73"/>
    <w:rsid w:val="009A7DF0"/>
    <w:rsid w:val="009A7EB7"/>
    <w:rsid w:val="009A7ED6"/>
    <w:rsid w:val="009A7FEF"/>
    <w:rsid w:val="009B0172"/>
    <w:rsid w:val="009B0451"/>
    <w:rsid w:val="009B0499"/>
    <w:rsid w:val="009B0527"/>
    <w:rsid w:val="009B065D"/>
    <w:rsid w:val="009B0700"/>
    <w:rsid w:val="009B084C"/>
    <w:rsid w:val="009B08BA"/>
    <w:rsid w:val="009B0ADC"/>
    <w:rsid w:val="009B0B90"/>
    <w:rsid w:val="009B0DA0"/>
    <w:rsid w:val="009B0F14"/>
    <w:rsid w:val="009B0F5E"/>
    <w:rsid w:val="009B0FAD"/>
    <w:rsid w:val="009B1072"/>
    <w:rsid w:val="009B108F"/>
    <w:rsid w:val="009B11DC"/>
    <w:rsid w:val="009B1256"/>
    <w:rsid w:val="009B131B"/>
    <w:rsid w:val="009B15DA"/>
    <w:rsid w:val="009B177B"/>
    <w:rsid w:val="009B17CA"/>
    <w:rsid w:val="009B1CEC"/>
    <w:rsid w:val="009B1DA3"/>
    <w:rsid w:val="009B1DF5"/>
    <w:rsid w:val="009B20DE"/>
    <w:rsid w:val="009B234C"/>
    <w:rsid w:val="009B2589"/>
    <w:rsid w:val="009B2814"/>
    <w:rsid w:val="009B284D"/>
    <w:rsid w:val="009B2878"/>
    <w:rsid w:val="009B2CB1"/>
    <w:rsid w:val="009B2CFF"/>
    <w:rsid w:val="009B2DB8"/>
    <w:rsid w:val="009B31E5"/>
    <w:rsid w:val="009B3357"/>
    <w:rsid w:val="009B3482"/>
    <w:rsid w:val="009B3638"/>
    <w:rsid w:val="009B3652"/>
    <w:rsid w:val="009B36CC"/>
    <w:rsid w:val="009B3739"/>
    <w:rsid w:val="009B394B"/>
    <w:rsid w:val="009B39A5"/>
    <w:rsid w:val="009B3AB1"/>
    <w:rsid w:val="009B3B38"/>
    <w:rsid w:val="009B3CBB"/>
    <w:rsid w:val="009B3E51"/>
    <w:rsid w:val="009B3E68"/>
    <w:rsid w:val="009B3F6C"/>
    <w:rsid w:val="009B40FC"/>
    <w:rsid w:val="009B4122"/>
    <w:rsid w:val="009B428D"/>
    <w:rsid w:val="009B440F"/>
    <w:rsid w:val="009B47CE"/>
    <w:rsid w:val="009B4887"/>
    <w:rsid w:val="009B4C1C"/>
    <w:rsid w:val="009B4CFA"/>
    <w:rsid w:val="009B5077"/>
    <w:rsid w:val="009B51C7"/>
    <w:rsid w:val="009B548F"/>
    <w:rsid w:val="009B54E9"/>
    <w:rsid w:val="009B55F6"/>
    <w:rsid w:val="009B5A9F"/>
    <w:rsid w:val="009B5B26"/>
    <w:rsid w:val="009B5B7F"/>
    <w:rsid w:val="009B5C4F"/>
    <w:rsid w:val="009B5DEE"/>
    <w:rsid w:val="009B5EB2"/>
    <w:rsid w:val="009B62CA"/>
    <w:rsid w:val="009B6393"/>
    <w:rsid w:val="009B665A"/>
    <w:rsid w:val="009B66D5"/>
    <w:rsid w:val="009B66EC"/>
    <w:rsid w:val="009B66F3"/>
    <w:rsid w:val="009B6A90"/>
    <w:rsid w:val="009B6B2B"/>
    <w:rsid w:val="009B6CB2"/>
    <w:rsid w:val="009B6DF9"/>
    <w:rsid w:val="009B6EE4"/>
    <w:rsid w:val="009B707E"/>
    <w:rsid w:val="009B7427"/>
    <w:rsid w:val="009B749D"/>
    <w:rsid w:val="009B7801"/>
    <w:rsid w:val="009B7A1D"/>
    <w:rsid w:val="009B7C08"/>
    <w:rsid w:val="009C01E4"/>
    <w:rsid w:val="009C094C"/>
    <w:rsid w:val="009C0CB7"/>
    <w:rsid w:val="009C0D40"/>
    <w:rsid w:val="009C0DB4"/>
    <w:rsid w:val="009C0DDA"/>
    <w:rsid w:val="009C1146"/>
    <w:rsid w:val="009C1185"/>
    <w:rsid w:val="009C11D2"/>
    <w:rsid w:val="009C12DD"/>
    <w:rsid w:val="009C12E1"/>
    <w:rsid w:val="009C141B"/>
    <w:rsid w:val="009C151B"/>
    <w:rsid w:val="009C19BF"/>
    <w:rsid w:val="009C1ACA"/>
    <w:rsid w:val="009C1AEC"/>
    <w:rsid w:val="009C1B0D"/>
    <w:rsid w:val="009C1D46"/>
    <w:rsid w:val="009C1EBB"/>
    <w:rsid w:val="009C1F90"/>
    <w:rsid w:val="009C1FB0"/>
    <w:rsid w:val="009C26C7"/>
    <w:rsid w:val="009C2779"/>
    <w:rsid w:val="009C2C0B"/>
    <w:rsid w:val="009C2C6D"/>
    <w:rsid w:val="009C2D46"/>
    <w:rsid w:val="009C2F52"/>
    <w:rsid w:val="009C2FE4"/>
    <w:rsid w:val="009C310C"/>
    <w:rsid w:val="009C3569"/>
    <w:rsid w:val="009C3607"/>
    <w:rsid w:val="009C39B6"/>
    <w:rsid w:val="009C3E1C"/>
    <w:rsid w:val="009C3F70"/>
    <w:rsid w:val="009C41DA"/>
    <w:rsid w:val="009C4289"/>
    <w:rsid w:val="009C43E8"/>
    <w:rsid w:val="009C44B1"/>
    <w:rsid w:val="009C44EA"/>
    <w:rsid w:val="009C48CB"/>
    <w:rsid w:val="009C4904"/>
    <w:rsid w:val="009C4B2C"/>
    <w:rsid w:val="009C4E0B"/>
    <w:rsid w:val="009C4F63"/>
    <w:rsid w:val="009C4FD3"/>
    <w:rsid w:val="009C51D1"/>
    <w:rsid w:val="009C51DD"/>
    <w:rsid w:val="009C526D"/>
    <w:rsid w:val="009C5274"/>
    <w:rsid w:val="009C538F"/>
    <w:rsid w:val="009C5500"/>
    <w:rsid w:val="009C560D"/>
    <w:rsid w:val="009C597A"/>
    <w:rsid w:val="009C5B94"/>
    <w:rsid w:val="009C5E7E"/>
    <w:rsid w:val="009C5E94"/>
    <w:rsid w:val="009C60AD"/>
    <w:rsid w:val="009C6345"/>
    <w:rsid w:val="009C6C8A"/>
    <w:rsid w:val="009C6D23"/>
    <w:rsid w:val="009C7033"/>
    <w:rsid w:val="009C709C"/>
    <w:rsid w:val="009C71EE"/>
    <w:rsid w:val="009C75DA"/>
    <w:rsid w:val="009C786F"/>
    <w:rsid w:val="009C798D"/>
    <w:rsid w:val="009C79CE"/>
    <w:rsid w:val="009C7A0A"/>
    <w:rsid w:val="009C7F03"/>
    <w:rsid w:val="009D0139"/>
    <w:rsid w:val="009D0295"/>
    <w:rsid w:val="009D0333"/>
    <w:rsid w:val="009D0594"/>
    <w:rsid w:val="009D05E1"/>
    <w:rsid w:val="009D076A"/>
    <w:rsid w:val="009D0839"/>
    <w:rsid w:val="009D0873"/>
    <w:rsid w:val="009D0901"/>
    <w:rsid w:val="009D092D"/>
    <w:rsid w:val="009D0950"/>
    <w:rsid w:val="009D09A1"/>
    <w:rsid w:val="009D09D8"/>
    <w:rsid w:val="009D09FD"/>
    <w:rsid w:val="009D0E39"/>
    <w:rsid w:val="009D0EAF"/>
    <w:rsid w:val="009D0EB6"/>
    <w:rsid w:val="009D0F56"/>
    <w:rsid w:val="009D0F7E"/>
    <w:rsid w:val="009D10A8"/>
    <w:rsid w:val="009D10C8"/>
    <w:rsid w:val="009D1222"/>
    <w:rsid w:val="009D12D0"/>
    <w:rsid w:val="009D1679"/>
    <w:rsid w:val="009D1758"/>
    <w:rsid w:val="009D18D4"/>
    <w:rsid w:val="009D19B8"/>
    <w:rsid w:val="009D1B19"/>
    <w:rsid w:val="009D1C00"/>
    <w:rsid w:val="009D1C06"/>
    <w:rsid w:val="009D1DBC"/>
    <w:rsid w:val="009D1E40"/>
    <w:rsid w:val="009D21A3"/>
    <w:rsid w:val="009D23C8"/>
    <w:rsid w:val="009D24B1"/>
    <w:rsid w:val="009D24B7"/>
    <w:rsid w:val="009D25C2"/>
    <w:rsid w:val="009D2CF5"/>
    <w:rsid w:val="009D2D5C"/>
    <w:rsid w:val="009D2DF2"/>
    <w:rsid w:val="009D32FF"/>
    <w:rsid w:val="009D333F"/>
    <w:rsid w:val="009D35D0"/>
    <w:rsid w:val="009D3620"/>
    <w:rsid w:val="009D3828"/>
    <w:rsid w:val="009D39B3"/>
    <w:rsid w:val="009D3B4E"/>
    <w:rsid w:val="009D3BCC"/>
    <w:rsid w:val="009D3BE5"/>
    <w:rsid w:val="009D3D14"/>
    <w:rsid w:val="009D3E67"/>
    <w:rsid w:val="009D3F62"/>
    <w:rsid w:val="009D4358"/>
    <w:rsid w:val="009D43C0"/>
    <w:rsid w:val="009D453B"/>
    <w:rsid w:val="009D4587"/>
    <w:rsid w:val="009D45A7"/>
    <w:rsid w:val="009D46C9"/>
    <w:rsid w:val="009D46EF"/>
    <w:rsid w:val="009D48D2"/>
    <w:rsid w:val="009D4931"/>
    <w:rsid w:val="009D4A2B"/>
    <w:rsid w:val="009D4A47"/>
    <w:rsid w:val="009D4CD6"/>
    <w:rsid w:val="009D4D24"/>
    <w:rsid w:val="009D4DB5"/>
    <w:rsid w:val="009D4F2B"/>
    <w:rsid w:val="009D4F2C"/>
    <w:rsid w:val="009D4F3E"/>
    <w:rsid w:val="009D51FF"/>
    <w:rsid w:val="009D533A"/>
    <w:rsid w:val="009D54CD"/>
    <w:rsid w:val="009D5516"/>
    <w:rsid w:val="009D59CA"/>
    <w:rsid w:val="009D5A0C"/>
    <w:rsid w:val="009D5EC8"/>
    <w:rsid w:val="009D5F49"/>
    <w:rsid w:val="009D606F"/>
    <w:rsid w:val="009D6107"/>
    <w:rsid w:val="009D6125"/>
    <w:rsid w:val="009D628B"/>
    <w:rsid w:val="009D6308"/>
    <w:rsid w:val="009D638C"/>
    <w:rsid w:val="009D65B9"/>
    <w:rsid w:val="009D6759"/>
    <w:rsid w:val="009D679E"/>
    <w:rsid w:val="009D67D2"/>
    <w:rsid w:val="009D693B"/>
    <w:rsid w:val="009D6CCE"/>
    <w:rsid w:val="009D6D8B"/>
    <w:rsid w:val="009D6DEA"/>
    <w:rsid w:val="009D6E2D"/>
    <w:rsid w:val="009D7021"/>
    <w:rsid w:val="009D70F8"/>
    <w:rsid w:val="009D710B"/>
    <w:rsid w:val="009D754C"/>
    <w:rsid w:val="009D7571"/>
    <w:rsid w:val="009D76B8"/>
    <w:rsid w:val="009D7756"/>
    <w:rsid w:val="009D77F0"/>
    <w:rsid w:val="009D7B6E"/>
    <w:rsid w:val="009D7CD4"/>
    <w:rsid w:val="009D7D17"/>
    <w:rsid w:val="009E02C0"/>
    <w:rsid w:val="009E04AB"/>
    <w:rsid w:val="009E0799"/>
    <w:rsid w:val="009E0817"/>
    <w:rsid w:val="009E0859"/>
    <w:rsid w:val="009E08E0"/>
    <w:rsid w:val="009E08EA"/>
    <w:rsid w:val="009E0919"/>
    <w:rsid w:val="009E0976"/>
    <w:rsid w:val="009E0BDE"/>
    <w:rsid w:val="009E0C94"/>
    <w:rsid w:val="009E0E58"/>
    <w:rsid w:val="009E0FDB"/>
    <w:rsid w:val="009E1038"/>
    <w:rsid w:val="009E1314"/>
    <w:rsid w:val="009E1317"/>
    <w:rsid w:val="009E168F"/>
    <w:rsid w:val="009E16D9"/>
    <w:rsid w:val="009E176D"/>
    <w:rsid w:val="009E1777"/>
    <w:rsid w:val="009E1893"/>
    <w:rsid w:val="009E18B0"/>
    <w:rsid w:val="009E1ADC"/>
    <w:rsid w:val="009E1B0D"/>
    <w:rsid w:val="009E1B9E"/>
    <w:rsid w:val="009E1D1F"/>
    <w:rsid w:val="009E1D4B"/>
    <w:rsid w:val="009E1D88"/>
    <w:rsid w:val="009E1E09"/>
    <w:rsid w:val="009E1E27"/>
    <w:rsid w:val="009E1F82"/>
    <w:rsid w:val="009E2172"/>
    <w:rsid w:val="009E2313"/>
    <w:rsid w:val="009E2475"/>
    <w:rsid w:val="009E25F5"/>
    <w:rsid w:val="009E27CE"/>
    <w:rsid w:val="009E2819"/>
    <w:rsid w:val="009E2AEB"/>
    <w:rsid w:val="009E2B42"/>
    <w:rsid w:val="009E2CA8"/>
    <w:rsid w:val="009E3183"/>
    <w:rsid w:val="009E322E"/>
    <w:rsid w:val="009E33B1"/>
    <w:rsid w:val="009E33C2"/>
    <w:rsid w:val="009E34C5"/>
    <w:rsid w:val="009E3512"/>
    <w:rsid w:val="009E3720"/>
    <w:rsid w:val="009E3834"/>
    <w:rsid w:val="009E3C37"/>
    <w:rsid w:val="009E3DC9"/>
    <w:rsid w:val="009E3DF9"/>
    <w:rsid w:val="009E3EBB"/>
    <w:rsid w:val="009E3EE9"/>
    <w:rsid w:val="009E3F30"/>
    <w:rsid w:val="009E408F"/>
    <w:rsid w:val="009E411B"/>
    <w:rsid w:val="009E47F0"/>
    <w:rsid w:val="009E4BE0"/>
    <w:rsid w:val="009E4D7F"/>
    <w:rsid w:val="009E4EEC"/>
    <w:rsid w:val="009E5262"/>
    <w:rsid w:val="009E5462"/>
    <w:rsid w:val="009E5464"/>
    <w:rsid w:val="009E5542"/>
    <w:rsid w:val="009E555B"/>
    <w:rsid w:val="009E5638"/>
    <w:rsid w:val="009E5778"/>
    <w:rsid w:val="009E589E"/>
    <w:rsid w:val="009E5930"/>
    <w:rsid w:val="009E5B2D"/>
    <w:rsid w:val="009E5D16"/>
    <w:rsid w:val="009E5DB6"/>
    <w:rsid w:val="009E5F8B"/>
    <w:rsid w:val="009E5FC9"/>
    <w:rsid w:val="009E624F"/>
    <w:rsid w:val="009E629E"/>
    <w:rsid w:val="009E632C"/>
    <w:rsid w:val="009E6380"/>
    <w:rsid w:val="009E63FF"/>
    <w:rsid w:val="009E6511"/>
    <w:rsid w:val="009E653C"/>
    <w:rsid w:val="009E6906"/>
    <w:rsid w:val="009E693C"/>
    <w:rsid w:val="009E6948"/>
    <w:rsid w:val="009E6A1F"/>
    <w:rsid w:val="009E6BA9"/>
    <w:rsid w:val="009E6C8A"/>
    <w:rsid w:val="009E6CAF"/>
    <w:rsid w:val="009E7009"/>
    <w:rsid w:val="009E72E2"/>
    <w:rsid w:val="009E746C"/>
    <w:rsid w:val="009E7618"/>
    <w:rsid w:val="009E7624"/>
    <w:rsid w:val="009E76BF"/>
    <w:rsid w:val="009E7706"/>
    <w:rsid w:val="009E78B3"/>
    <w:rsid w:val="009E79FF"/>
    <w:rsid w:val="009E7A9A"/>
    <w:rsid w:val="009E7B3F"/>
    <w:rsid w:val="009E7B9B"/>
    <w:rsid w:val="009E7D30"/>
    <w:rsid w:val="009E7E45"/>
    <w:rsid w:val="009E7F77"/>
    <w:rsid w:val="009E7F7D"/>
    <w:rsid w:val="009F0051"/>
    <w:rsid w:val="009F00A6"/>
    <w:rsid w:val="009F00F5"/>
    <w:rsid w:val="009F02AE"/>
    <w:rsid w:val="009F04AB"/>
    <w:rsid w:val="009F06A3"/>
    <w:rsid w:val="009F075A"/>
    <w:rsid w:val="009F094B"/>
    <w:rsid w:val="009F0A2F"/>
    <w:rsid w:val="009F0AE5"/>
    <w:rsid w:val="009F0B88"/>
    <w:rsid w:val="009F0BA5"/>
    <w:rsid w:val="009F0C81"/>
    <w:rsid w:val="009F0C8F"/>
    <w:rsid w:val="009F0D4D"/>
    <w:rsid w:val="009F0EC0"/>
    <w:rsid w:val="009F0EEC"/>
    <w:rsid w:val="009F14DD"/>
    <w:rsid w:val="009F1544"/>
    <w:rsid w:val="009F1668"/>
    <w:rsid w:val="009F1896"/>
    <w:rsid w:val="009F1914"/>
    <w:rsid w:val="009F1D3C"/>
    <w:rsid w:val="009F1F43"/>
    <w:rsid w:val="009F219F"/>
    <w:rsid w:val="009F22C8"/>
    <w:rsid w:val="009F2327"/>
    <w:rsid w:val="009F23B4"/>
    <w:rsid w:val="009F25AC"/>
    <w:rsid w:val="009F2714"/>
    <w:rsid w:val="009F29EE"/>
    <w:rsid w:val="009F2A5A"/>
    <w:rsid w:val="009F3125"/>
    <w:rsid w:val="009F322E"/>
    <w:rsid w:val="009F323F"/>
    <w:rsid w:val="009F3337"/>
    <w:rsid w:val="009F339F"/>
    <w:rsid w:val="009F3426"/>
    <w:rsid w:val="009F3702"/>
    <w:rsid w:val="009F38BE"/>
    <w:rsid w:val="009F3A90"/>
    <w:rsid w:val="009F3DDB"/>
    <w:rsid w:val="009F414F"/>
    <w:rsid w:val="009F42F9"/>
    <w:rsid w:val="009F4566"/>
    <w:rsid w:val="009F4639"/>
    <w:rsid w:val="009F47E0"/>
    <w:rsid w:val="009F47E6"/>
    <w:rsid w:val="009F4A7E"/>
    <w:rsid w:val="009F4A9F"/>
    <w:rsid w:val="009F4DDB"/>
    <w:rsid w:val="009F4FB6"/>
    <w:rsid w:val="009F5096"/>
    <w:rsid w:val="009F50C1"/>
    <w:rsid w:val="009F5156"/>
    <w:rsid w:val="009F51F1"/>
    <w:rsid w:val="009F538F"/>
    <w:rsid w:val="009F5488"/>
    <w:rsid w:val="009F54A3"/>
    <w:rsid w:val="009F5644"/>
    <w:rsid w:val="009F5AAA"/>
    <w:rsid w:val="009F5D92"/>
    <w:rsid w:val="009F5F4C"/>
    <w:rsid w:val="009F61C7"/>
    <w:rsid w:val="009F61F5"/>
    <w:rsid w:val="009F657D"/>
    <w:rsid w:val="009F6885"/>
    <w:rsid w:val="009F6953"/>
    <w:rsid w:val="009F69AC"/>
    <w:rsid w:val="009F6A42"/>
    <w:rsid w:val="009F6C1E"/>
    <w:rsid w:val="009F6C31"/>
    <w:rsid w:val="009F7032"/>
    <w:rsid w:val="009F7211"/>
    <w:rsid w:val="009F72E5"/>
    <w:rsid w:val="009F7418"/>
    <w:rsid w:val="009F7638"/>
    <w:rsid w:val="009F7B31"/>
    <w:rsid w:val="009F7C50"/>
    <w:rsid w:val="009F7EE3"/>
    <w:rsid w:val="00A00127"/>
    <w:rsid w:val="00A00138"/>
    <w:rsid w:val="00A0024C"/>
    <w:rsid w:val="00A002B5"/>
    <w:rsid w:val="00A002C6"/>
    <w:rsid w:val="00A00300"/>
    <w:rsid w:val="00A00340"/>
    <w:rsid w:val="00A005A3"/>
    <w:rsid w:val="00A00650"/>
    <w:rsid w:val="00A00908"/>
    <w:rsid w:val="00A00D91"/>
    <w:rsid w:val="00A01041"/>
    <w:rsid w:val="00A01188"/>
    <w:rsid w:val="00A01203"/>
    <w:rsid w:val="00A013DF"/>
    <w:rsid w:val="00A014A6"/>
    <w:rsid w:val="00A0158A"/>
    <w:rsid w:val="00A0172E"/>
    <w:rsid w:val="00A017B7"/>
    <w:rsid w:val="00A01983"/>
    <w:rsid w:val="00A01D00"/>
    <w:rsid w:val="00A01F74"/>
    <w:rsid w:val="00A02016"/>
    <w:rsid w:val="00A02210"/>
    <w:rsid w:val="00A02287"/>
    <w:rsid w:val="00A02300"/>
    <w:rsid w:val="00A023A0"/>
    <w:rsid w:val="00A02403"/>
    <w:rsid w:val="00A02439"/>
    <w:rsid w:val="00A024A8"/>
    <w:rsid w:val="00A026AC"/>
    <w:rsid w:val="00A028BD"/>
    <w:rsid w:val="00A028F7"/>
    <w:rsid w:val="00A029CC"/>
    <w:rsid w:val="00A02D76"/>
    <w:rsid w:val="00A02DEE"/>
    <w:rsid w:val="00A02EF3"/>
    <w:rsid w:val="00A02F19"/>
    <w:rsid w:val="00A02F75"/>
    <w:rsid w:val="00A03044"/>
    <w:rsid w:val="00A03162"/>
    <w:rsid w:val="00A032F4"/>
    <w:rsid w:val="00A0338A"/>
    <w:rsid w:val="00A0380D"/>
    <w:rsid w:val="00A038E1"/>
    <w:rsid w:val="00A039A8"/>
    <w:rsid w:val="00A03AA3"/>
    <w:rsid w:val="00A03C03"/>
    <w:rsid w:val="00A03C6C"/>
    <w:rsid w:val="00A03D50"/>
    <w:rsid w:val="00A03E7F"/>
    <w:rsid w:val="00A03EF3"/>
    <w:rsid w:val="00A03FBE"/>
    <w:rsid w:val="00A04083"/>
    <w:rsid w:val="00A04213"/>
    <w:rsid w:val="00A0427F"/>
    <w:rsid w:val="00A042B1"/>
    <w:rsid w:val="00A043D0"/>
    <w:rsid w:val="00A044B0"/>
    <w:rsid w:val="00A04534"/>
    <w:rsid w:val="00A0458B"/>
    <w:rsid w:val="00A046EE"/>
    <w:rsid w:val="00A046EF"/>
    <w:rsid w:val="00A048E0"/>
    <w:rsid w:val="00A04CC4"/>
    <w:rsid w:val="00A04DC9"/>
    <w:rsid w:val="00A0504C"/>
    <w:rsid w:val="00A05267"/>
    <w:rsid w:val="00A053AC"/>
    <w:rsid w:val="00A0557D"/>
    <w:rsid w:val="00A057BC"/>
    <w:rsid w:val="00A058C2"/>
    <w:rsid w:val="00A05A9D"/>
    <w:rsid w:val="00A05D03"/>
    <w:rsid w:val="00A05D15"/>
    <w:rsid w:val="00A06202"/>
    <w:rsid w:val="00A062F2"/>
    <w:rsid w:val="00A06876"/>
    <w:rsid w:val="00A06907"/>
    <w:rsid w:val="00A06994"/>
    <w:rsid w:val="00A069C0"/>
    <w:rsid w:val="00A06DDF"/>
    <w:rsid w:val="00A06E14"/>
    <w:rsid w:val="00A06EB4"/>
    <w:rsid w:val="00A06FD3"/>
    <w:rsid w:val="00A0702B"/>
    <w:rsid w:val="00A073A1"/>
    <w:rsid w:val="00A07474"/>
    <w:rsid w:val="00A075DC"/>
    <w:rsid w:val="00A07618"/>
    <w:rsid w:val="00A07785"/>
    <w:rsid w:val="00A07868"/>
    <w:rsid w:val="00A07A98"/>
    <w:rsid w:val="00A07C7F"/>
    <w:rsid w:val="00A07DD8"/>
    <w:rsid w:val="00A07E45"/>
    <w:rsid w:val="00A07FD0"/>
    <w:rsid w:val="00A100DC"/>
    <w:rsid w:val="00A101CE"/>
    <w:rsid w:val="00A103D2"/>
    <w:rsid w:val="00A103D5"/>
    <w:rsid w:val="00A1045C"/>
    <w:rsid w:val="00A10524"/>
    <w:rsid w:val="00A10555"/>
    <w:rsid w:val="00A105ED"/>
    <w:rsid w:val="00A10663"/>
    <w:rsid w:val="00A108CE"/>
    <w:rsid w:val="00A109ED"/>
    <w:rsid w:val="00A10A40"/>
    <w:rsid w:val="00A10A65"/>
    <w:rsid w:val="00A10ADE"/>
    <w:rsid w:val="00A10BDF"/>
    <w:rsid w:val="00A10CAB"/>
    <w:rsid w:val="00A10CD8"/>
    <w:rsid w:val="00A10D36"/>
    <w:rsid w:val="00A10F64"/>
    <w:rsid w:val="00A11033"/>
    <w:rsid w:val="00A1152E"/>
    <w:rsid w:val="00A115C0"/>
    <w:rsid w:val="00A119B4"/>
    <w:rsid w:val="00A11AA7"/>
    <w:rsid w:val="00A11B06"/>
    <w:rsid w:val="00A11B4D"/>
    <w:rsid w:val="00A11C29"/>
    <w:rsid w:val="00A11E80"/>
    <w:rsid w:val="00A120A9"/>
    <w:rsid w:val="00A1220E"/>
    <w:rsid w:val="00A1230C"/>
    <w:rsid w:val="00A1248C"/>
    <w:rsid w:val="00A124E1"/>
    <w:rsid w:val="00A12636"/>
    <w:rsid w:val="00A12726"/>
    <w:rsid w:val="00A128BB"/>
    <w:rsid w:val="00A129B9"/>
    <w:rsid w:val="00A12C3A"/>
    <w:rsid w:val="00A12CBD"/>
    <w:rsid w:val="00A12CF3"/>
    <w:rsid w:val="00A12EAC"/>
    <w:rsid w:val="00A12F75"/>
    <w:rsid w:val="00A13158"/>
    <w:rsid w:val="00A133F7"/>
    <w:rsid w:val="00A134B0"/>
    <w:rsid w:val="00A139FF"/>
    <w:rsid w:val="00A13B0B"/>
    <w:rsid w:val="00A13F63"/>
    <w:rsid w:val="00A14075"/>
    <w:rsid w:val="00A1417F"/>
    <w:rsid w:val="00A14250"/>
    <w:rsid w:val="00A14284"/>
    <w:rsid w:val="00A142A8"/>
    <w:rsid w:val="00A145C9"/>
    <w:rsid w:val="00A14701"/>
    <w:rsid w:val="00A147B6"/>
    <w:rsid w:val="00A148B3"/>
    <w:rsid w:val="00A14A2F"/>
    <w:rsid w:val="00A14CBD"/>
    <w:rsid w:val="00A14E01"/>
    <w:rsid w:val="00A14E9D"/>
    <w:rsid w:val="00A1501E"/>
    <w:rsid w:val="00A15078"/>
    <w:rsid w:val="00A15230"/>
    <w:rsid w:val="00A15255"/>
    <w:rsid w:val="00A15258"/>
    <w:rsid w:val="00A156C9"/>
    <w:rsid w:val="00A1577E"/>
    <w:rsid w:val="00A15B3A"/>
    <w:rsid w:val="00A15BBD"/>
    <w:rsid w:val="00A163D4"/>
    <w:rsid w:val="00A1677E"/>
    <w:rsid w:val="00A167BF"/>
    <w:rsid w:val="00A16847"/>
    <w:rsid w:val="00A16AAF"/>
    <w:rsid w:val="00A16DC9"/>
    <w:rsid w:val="00A16DE3"/>
    <w:rsid w:val="00A170FE"/>
    <w:rsid w:val="00A173F7"/>
    <w:rsid w:val="00A174CE"/>
    <w:rsid w:val="00A17562"/>
    <w:rsid w:val="00A175F4"/>
    <w:rsid w:val="00A17818"/>
    <w:rsid w:val="00A179AC"/>
    <w:rsid w:val="00A17C9E"/>
    <w:rsid w:val="00A17CDD"/>
    <w:rsid w:val="00A17D0E"/>
    <w:rsid w:val="00A17E6A"/>
    <w:rsid w:val="00A2023E"/>
    <w:rsid w:val="00A20252"/>
    <w:rsid w:val="00A204FC"/>
    <w:rsid w:val="00A20505"/>
    <w:rsid w:val="00A20676"/>
    <w:rsid w:val="00A20856"/>
    <w:rsid w:val="00A20B39"/>
    <w:rsid w:val="00A20B8A"/>
    <w:rsid w:val="00A20F76"/>
    <w:rsid w:val="00A20FAE"/>
    <w:rsid w:val="00A21001"/>
    <w:rsid w:val="00A21070"/>
    <w:rsid w:val="00A21885"/>
    <w:rsid w:val="00A219BE"/>
    <w:rsid w:val="00A21AD9"/>
    <w:rsid w:val="00A21BF3"/>
    <w:rsid w:val="00A21DBE"/>
    <w:rsid w:val="00A21F37"/>
    <w:rsid w:val="00A2212A"/>
    <w:rsid w:val="00A22158"/>
    <w:rsid w:val="00A22166"/>
    <w:rsid w:val="00A22801"/>
    <w:rsid w:val="00A2289F"/>
    <w:rsid w:val="00A22B2C"/>
    <w:rsid w:val="00A22D81"/>
    <w:rsid w:val="00A22DDA"/>
    <w:rsid w:val="00A234F6"/>
    <w:rsid w:val="00A23535"/>
    <w:rsid w:val="00A23741"/>
    <w:rsid w:val="00A23757"/>
    <w:rsid w:val="00A23AA6"/>
    <w:rsid w:val="00A23BCD"/>
    <w:rsid w:val="00A23D7F"/>
    <w:rsid w:val="00A23FED"/>
    <w:rsid w:val="00A241C5"/>
    <w:rsid w:val="00A24644"/>
    <w:rsid w:val="00A24966"/>
    <w:rsid w:val="00A24C73"/>
    <w:rsid w:val="00A2513B"/>
    <w:rsid w:val="00A253FF"/>
    <w:rsid w:val="00A256C1"/>
    <w:rsid w:val="00A2575D"/>
    <w:rsid w:val="00A25768"/>
    <w:rsid w:val="00A25D40"/>
    <w:rsid w:val="00A25E5D"/>
    <w:rsid w:val="00A2611A"/>
    <w:rsid w:val="00A262CF"/>
    <w:rsid w:val="00A26420"/>
    <w:rsid w:val="00A265C6"/>
    <w:rsid w:val="00A26764"/>
    <w:rsid w:val="00A267CB"/>
    <w:rsid w:val="00A26BAE"/>
    <w:rsid w:val="00A26C2F"/>
    <w:rsid w:val="00A26D6C"/>
    <w:rsid w:val="00A26E78"/>
    <w:rsid w:val="00A26FEA"/>
    <w:rsid w:val="00A2720A"/>
    <w:rsid w:val="00A272CC"/>
    <w:rsid w:val="00A27457"/>
    <w:rsid w:val="00A2748E"/>
    <w:rsid w:val="00A27647"/>
    <w:rsid w:val="00A27811"/>
    <w:rsid w:val="00A27840"/>
    <w:rsid w:val="00A27880"/>
    <w:rsid w:val="00A278EE"/>
    <w:rsid w:val="00A279F2"/>
    <w:rsid w:val="00A27B6B"/>
    <w:rsid w:val="00A27BE3"/>
    <w:rsid w:val="00A3035D"/>
    <w:rsid w:val="00A303FB"/>
    <w:rsid w:val="00A307A8"/>
    <w:rsid w:val="00A307C6"/>
    <w:rsid w:val="00A307FF"/>
    <w:rsid w:val="00A30A71"/>
    <w:rsid w:val="00A30D12"/>
    <w:rsid w:val="00A30F45"/>
    <w:rsid w:val="00A31089"/>
    <w:rsid w:val="00A31359"/>
    <w:rsid w:val="00A31393"/>
    <w:rsid w:val="00A3149F"/>
    <w:rsid w:val="00A31578"/>
    <w:rsid w:val="00A31653"/>
    <w:rsid w:val="00A31765"/>
    <w:rsid w:val="00A319EF"/>
    <w:rsid w:val="00A31A49"/>
    <w:rsid w:val="00A31CC2"/>
    <w:rsid w:val="00A31DA8"/>
    <w:rsid w:val="00A32142"/>
    <w:rsid w:val="00A32403"/>
    <w:rsid w:val="00A3243C"/>
    <w:rsid w:val="00A3252D"/>
    <w:rsid w:val="00A32B1E"/>
    <w:rsid w:val="00A33000"/>
    <w:rsid w:val="00A3309C"/>
    <w:rsid w:val="00A3329B"/>
    <w:rsid w:val="00A33305"/>
    <w:rsid w:val="00A33319"/>
    <w:rsid w:val="00A33496"/>
    <w:rsid w:val="00A33510"/>
    <w:rsid w:val="00A33798"/>
    <w:rsid w:val="00A338C6"/>
    <w:rsid w:val="00A33C3D"/>
    <w:rsid w:val="00A34024"/>
    <w:rsid w:val="00A340EC"/>
    <w:rsid w:val="00A3418E"/>
    <w:rsid w:val="00A3419F"/>
    <w:rsid w:val="00A342D1"/>
    <w:rsid w:val="00A343B2"/>
    <w:rsid w:val="00A34489"/>
    <w:rsid w:val="00A347BA"/>
    <w:rsid w:val="00A34B23"/>
    <w:rsid w:val="00A34CC2"/>
    <w:rsid w:val="00A34EAB"/>
    <w:rsid w:val="00A3514C"/>
    <w:rsid w:val="00A3529F"/>
    <w:rsid w:val="00A35381"/>
    <w:rsid w:val="00A35393"/>
    <w:rsid w:val="00A354E9"/>
    <w:rsid w:val="00A35538"/>
    <w:rsid w:val="00A3566E"/>
    <w:rsid w:val="00A3567F"/>
    <w:rsid w:val="00A35821"/>
    <w:rsid w:val="00A35822"/>
    <w:rsid w:val="00A3597A"/>
    <w:rsid w:val="00A3599D"/>
    <w:rsid w:val="00A359E8"/>
    <w:rsid w:val="00A35BD2"/>
    <w:rsid w:val="00A35F3A"/>
    <w:rsid w:val="00A3627F"/>
    <w:rsid w:val="00A36487"/>
    <w:rsid w:val="00A364DE"/>
    <w:rsid w:val="00A36858"/>
    <w:rsid w:val="00A368FD"/>
    <w:rsid w:val="00A3691C"/>
    <w:rsid w:val="00A36AC5"/>
    <w:rsid w:val="00A36B4D"/>
    <w:rsid w:val="00A36D3F"/>
    <w:rsid w:val="00A36DCA"/>
    <w:rsid w:val="00A36EB1"/>
    <w:rsid w:val="00A36F27"/>
    <w:rsid w:val="00A3705A"/>
    <w:rsid w:val="00A37119"/>
    <w:rsid w:val="00A37153"/>
    <w:rsid w:val="00A37346"/>
    <w:rsid w:val="00A37470"/>
    <w:rsid w:val="00A37516"/>
    <w:rsid w:val="00A37582"/>
    <w:rsid w:val="00A375BA"/>
    <w:rsid w:val="00A37693"/>
    <w:rsid w:val="00A378D6"/>
    <w:rsid w:val="00A37967"/>
    <w:rsid w:val="00A37AC0"/>
    <w:rsid w:val="00A37B90"/>
    <w:rsid w:val="00A37C2A"/>
    <w:rsid w:val="00A37C7A"/>
    <w:rsid w:val="00A37D16"/>
    <w:rsid w:val="00A37DD3"/>
    <w:rsid w:val="00A37F4B"/>
    <w:rsid w:val="00A37FF0"/>
    <w:rsid w:val="00A40046"/>
    <w:rsid w:val="00A40128"/>
    <w:rsid w:val="00A403E9"/>
    <w:rsid w:val="00A407BA"/>
    <w:rsid w:val="00A40974"/>
    <w:rsid w:val="00A4097B"/>
    <w:rsid w:val="00A40C52"/>
    <w:rsid w:val="00A40D0F"/>
    <w:rsid w:val="00A40F8B"/>
    <w:rsid w:val="00A40F91"/>
    <w:rsid w:val="00A40FC4"/>
    <w:rsid w:val="00A4109E"/>
    <w:rsid w:val="00A412FC"/>
    <w:rsid w:val="00A41328"/>
    <w:rsid w:val="00A4138A"/>
    <w:rsid w:val="00A415BC"/>
    <w:rsid w:val="00A415F4"/>
    <w:rsid w:val="00A4198F"/>
    <w:rsid w:val="00A41A8D"/>
    <w:rsid w:val="00A41AE8"/>
    <w:rsid w:val="00A41FE9"/>
    <w:rsid w:val="00A41FEA"/>
    <w:rsid w:val="00A4234D"/>
    <w:rsid w:val="00A4261A"/>
    <w:rsid w:val="00A427E6"/>
    <w:rsid w:val="00A42AEF"/>
    <w:rsid w:val="00A42B62"/>
    <w:rsid w:val="00A42B69"/>
    <w:rsid w:val="00A42BC6"/>
    <w:rsid w:val="00A42D55"/>
    <w:rsid w:val="00A42D69"/>
    <w:rsid w:val="00A42F47"/>
    <w:rsid w:val="00A43008"/>
    <w:rsid w:val="00A4309D"/>
    <w:rsid w:val="00A430E4"/>
    <w:rsid w:val="00A431E1"/>
    <w:rsid w:val="00A432C9"/>
    <w:rsid w:val="00A43362"/>
    <w:rsid w:val="00A43640"/>
    <w:rsid w:val="00A4374A"/>
    <w:rsid w:val="00A438C6"/>
    <w:rsid w:val="00A43CC3"/>
    <w:rsid w:val="00A43D0D"/>
    <w:rsid w:val="00A43E3D"/>
    <w:rsid w:val="00A440A3"/>
    <w:rsid w:val="00A4411F"/>
    <w:rsid w:val="00A44325"/>
    <w:rsid w:val="00A44AE9"/>
    <w:rsid w:val="00A44E3E"/>
    <w:rsid w:val="00A45196"/>
    <w:rsid w:val="00A452C8"/>
    <w:rsid w:val="00A453A2"/>
    <w:rsid w:val="00A45449"/>
    <w:rsid w:val="00A456C9"/>
    <w:rsid w:val="00A45B8D"/>
    <w:rsid w:val="00A45F06"/>
    <w:rsid w:val="00A460D1"/>
    <w:rsid w:val="00A46118"/>
    <w:rsid w:val="00A4617D"/>
    <w:rsid w:val="00A461E6"/>
    <w:rsid w:val="00A4626A"/>
    <w:rsid w:val="00A46370"/>
    <w:rsid w:val="00A46380"/>
    <w:rsid w:val="00A4649F"/>
    <w:rsid w:val="00A4669B"/>
    <w:rsid w:val="00A467BE"/>
    <w:rsid w:val="00A467CA"/>
    <w:rsid w:val="00A46825"/>
    <w:rsid w:val="00A469C3"/>
    <w:rsid w:val="00A46A31"/>
    <w:rsid w:val="00A46A84"/>
    <w:rsid w:val="00A46B44"/>
    <w:rsid w:val="00A46B94"/>
    <w:rsid w:val="00A46C82"/>
    <w:rsid w:val="00A46C90"/>
    <w:rsid w:val="00A46D41"/>
    <w:rsid w:val="00A46F11"/>
    <w:rsid w:val="00A47028"/>
    <w:rsid w:val="00A47093"/>
    <w:rsid w:val="00A47344"/>
    <w:rsid w:val="00A4748B"/>
    <w:rsid w:val="00A474A1"/>
    <w:rsid w:val="00A475CA"/>
    <w:rsid w:val="00A47794"/>
    <w:rsid w:val="00A477FE"/>
    <w:rsid w:val="00A47814"/>
    <w:rsid w:val="00A47A4D"/>
    <w:rsid w:val="00A47D3E"/>
    <w:rsid w:val="00A5009F"/>
    <w:rsid w:val="00A501A5"/>
    <w:rsid w:val="00A5022A"/>
    <w:rsid w:val="00A505BE"/>
    <w:rsid w:val="00A506D1"/>
    <w:rsid w:val="00A50886"/>
    <w:rsid w:val="00A50A56"/>
    <w:rsid w:val="00A50E20"/>
    <w:rsid w:val="00A51001"/>
    <w:rsid w:val="00A51381"/>
    <w:rsid w:val="00A515CA"/>
    <w:rsid w:val="00A515DA"/>
    <w:rsid w:val="00A5168F"/>
    <w:rsid w:val="00A5169A"/>
    <w:rsid w:val="00A51791"/>
    <w:rsid w:val="00A5180D"/>
    <w:rsid w:val="00A518DB"/>
    <w:rsid w:val="00A519E3"/>
    <w:rsid w:val="00A51AC4"/>
    <w:rsid w:val="00A51B2B"/>
    <w:rsid w:val="00A51D5E"/>
    <w:rsid w:val="00A51D9A"/>
    <w:rsid w:val="00A51E55"/>
    <w:rsid w:val="00A52244"/>
    <w:rsid w:val="00A52349"/>
    <w:rsid w:val="00A523A9"/>
    <w:rsid w:val="00A524DB"/>
    <w:rsid w:val="00A52575"/>
    <w:rsid w:val="00A52683"/>
    <w:rsid w:val="00A52697"/>
    <w:rsid w:val="00A52879"/>
    <w:rsid w:val="00A5288B"/>
    <w:rsid w:val="00A52A67"/>
    <w:rsid w:val="00A52B40"/>
    <w:rsid w:val="00A52B41"/>
    <w:rsid w:val="00A52E24"/>
    <w:rsid w:val="00A52F2B"/>
    <w:rsid w:val="00A52FA0"/>
    <w:rsid w:val="00A530C7"/>
    <w:rsid w:val="00A53108"/>
    <w:rsid w:val="00A53157"/>
    <w:rsid w:val="00A531D8"/>
    <w:rsid w:val="00A53255"/>
    <w:rsid w:val="00A53398"/>
    <w:rsid w:val="00A533EB"/>
    <w:rsid w:val="00A5354F"/>
    <w:rsid w:val="00A5372C"/>
    <w:rsid w:val="00A5382B"/>
    <w:rsid w:val="00A538C0"/>
    <w:rsid w:val="00A53946"/>
    <w:rsid w:val="00A53A2B"/>
    <w:rsid w:val="00A53A3F"/>
    <w:rsid w:val="00A53A7F"/>
    <w:rsid w:val="00A53B52"/>
    <w:rsid w:val="00A53B79"/>
    <w:rsid w:val="00A53D16"/>
    <w:rsid w:val="00A53F52"/>
    <w:rsid w:val="00A54191"/>
    <w:rsid w:val="00A54574"/>
    <w:rsid w:val="00A54A04"/>
    <w:rsid w:val="00A54A7C"/>
    <w:rsid w:val="00A54D7D"/>
    <w:rsid w:val="00A54EB5"/>
    <w:rsid w:val="00A55048"/>
    <w:rsid w:val="00A550D1"/>
    <w:rsid w:val="00A55301"/>
    <w:rsid w:val="00A55369"/>
    <w:rsid w:val="00A554B5"/>
    <w:rsid w:val="00A554C2"/>
    <w:rsid w:val="00A55702"/>
    <w:rsid w:val="00A5592F"/>
    <w:rsid w:val="00A55FD8"/>
    <w:rsid w:val="00A5621B"/>
    <w:rsid w:val="00A5644D"/>
    <w:rsid w:val="00A56758"/>
    <w:rsid w:val="00A5675A"/>
    <w:rsid w:val="00A5685B"/>
    <w:rsid w:val="00A56A73"/>
    <w:rsid w:val="00A56AD5"/>
    <w:rsid w:val="00A56C76"/>
    <w:rsid w:val="00A56DC3"/>
    <w:rsid w:val="00A56E7A"/>
    <w:rsid w:val="00A5709E"/>
    <w:rsid w:val="00A57159"/>
    <w:rsid w:val="00A572A6"/>
    <w:rsid w:val="00A5744E"/>
    <w:rsid w:val="00A575A1"/>
    <w:rsid w:val="00A57967"/>
    <w:rsid w:val="00A57986"/>
    <w:rsid w:val="00A57EB9"/>
    <w:rsid w:val="00A57EC6"/>
    <w:rsid w:val="00A60283"/>
    <w:rsid w:val="00A60428"/>
    <w:rsid w:val="00A6042F"/>
    <w:rsid w:val="00A6051A"/>
    <w:rsid w:val="00A605AE"/>
    <w:rsid w:val="00A6091B"/>
    <w:rsid w:val="00A60BE3"/>
    <w:rsid w:val="00A60C16"/>
    <w:rsid w:val="00A60D15"/>
    <w:rsid w:val="00A60E50"/>
    <w:rsid w:val="00A60FBB"/>
    <w:rsid w:val="00A610B1"/>
    <w:rsid w:val="00A61113"/>
    <w:rsid w:val="00A61198"/>
    <w:rsid w:val="00A614F6"/>
    <w:rsid w:val="00A61697"/>
    <w:rsid w:val="00A616ED"/>
    <w:rsid w:val="00A6176A"/>
    <w:rsid w:val="00A617BB"/>
    <w:rsid w:val="00A61A6E"/>
    <w:rsid w:val="00A6204D"/>
    <w:rsid w:val="00A6217B"/>
    <w:rsid w:val="00A622E8"/>
    <w:rsid w:val="00A622F1"/>
    <w:rsid w:val="00A62640"/>
    <w:rsid w:val="00A6266C"/>
    <w:rsid w:val="00A626FC"/>
    <w:rsid w:val="00A627E3"/>
    <w:rsid w:val="00A6288E"/>
    <w:rsid w:val="00A62922"/>
    <w:rsid w:val="00A62962"/>
    <w:rsid w:val="00A62973"/>
    <w:rsid w:val="00A62ADB"/>
    <w:rsid w:val="00A62BA3"/>
    <w:rsid w:val="00A62E00"/>
    <w:rsid w:val="00A6300A"/>
    <w:rsid w:val="00A63162"/>
    <w:rsid w:val="00A631DE"/>
    <w:rsid w:val="00A6336C"/>
    <w:rsid w:val="00A635A0"/>
    <w:rsid w:val="00A63736"/>
    <w:rsid w:val="00A63936"/>
    <w:rsid w:val="00A63B3C"/>
    <w:rsid w:val="00A63F1E"/>
    <w:rsid w:val="00A63FAA"/>
    <w:rsid w:val="00A640B7"/>
    <w:rsid w:val="00A640C9"/>
    <w:rsid w:val="00A64137"/>
    <w:rsid w:val="00A64489"/>
    <w:rsid w:val="00A64BD6"/>
    <w:rsid w:val="00A64BF1"/>
    <w:rsid w:val="00A64FDD"/>
    <w:rsid w:val="00A651A9"/>
    <w:rsid w:val="00A65604"/>
    <w:rsid w:val="00A6575F"/>
    <w:rsid w:val="00A657F1"/>
    <w:rsid w:val="00A6582E"/>
    <w:rsid w:val="00A658D4"/>
    <w:rsid w:val="00A658F7"/>
    <w:rsid w:val="00A65930"/>
    <w:rsid w:val="00A659FF"/>
    <w:rsid w:val="00A65C9E"/>
    <w:rsid w:val="00A65D48"/>
    <w:rsid w:val="00A65E30"/>
    <w:rsid w:val="00A66111"/>
    <w:rsid w:val="00A66214"/>
    <w:rsid w:val="00A66312"/>
    <w:rsid w:val="00A66408"/>
    <w:rsid w:val="00A66615"/>
    <w:rsid w:val="00A668C0"/>
    <w:rsid w:val="00A669B5"/>
    <w:rsid w:val="00A66DFD"/>
    <w:rsid w:val="00A66EE4"/>
    <w:rsid w:val="00A66FDB"/>
    <w:rsid w:val="00A6701D"/>
    <w:rsid w:val="00A6707A"/>
    <w:rsid w:val="00A672D2"/>
    <w:rsid w:val="00A6732E"/>
    <w:rsid w:val="00A67708"/>
    <w:rsid w:val="00A679D4"/>
    <w:rsid w:val="00A67CF0"/>
    <w:rsid w:val="00A67D2F"/>
    <w:rsid w:val="00A67E94"/>
    <w:rsid w:val="00A70191"/>
    <w:rsid w:val="00A703D2"/>
    <w:rsid w:val="00A704ED"/>
    <w:rsid w:val="00A704F4"/>
    <w:rsid w:val="00A70756"/>
    <w:rsid w:val="00A70896"/>
    <w:rsid w:val="00A70B5D"/>
    <w:rsid w:val="00A70C7D"/>
    <w:rsid w:val="00A70EFE"/>
    <w:rsid w:val="00A70F7A"/>
    <w:rsid w:val="00A7119E"/>
    <w:rsid w:val="00A71332"/>
    <w:rsid w:val="00A71342"/>
    <w:rsid w:val="00A71520"/>
    <w:rsid w:val="00A71619"/>
    <w:rsid w:val="00A716EF"/>
    <w:rsid w:val="00A71747"/>
    <w:rsid w:val="00A71788"/>
    <w:rsid w:val="00A71926"/>
    <w:rsid w:val="00A71A39"/>
    <w:rsid w:val="00A71BE3"/>
    <w:rsid w:val="00A71D3C"/>
    <w:rsid w:val="00A71E9F"/>
    <w:rsid w:val="00A71F26"/>
    <w:rsid w:val="00A72119"/>
    <w:rsid w:val="00A72135"/>
    <w:rsid w:val="00A7213C"/>
    <w:rsid w:val="00A725AA"/>
    <w:rsid w:val="00A7282D"/>
    <w:rsid w:val="00A72832"/>
    <w:rsid w:val="00A72A1B"/>
    <w:rsid w:val="00A72B6E"/>
    <w:rsid w:val="00A7314C"/>
    <w:rsid w:val="00A73265"/>
    <w:rsid w:val="00A732F7"/>
    <w:rsid w:val="00A733F9"/>
    <w:rsid w:val="00A735FD"/>
    <w:rsid w:val="00A73709"/>
    <w:rsid w:val="00A73738"/>
    <w:rsid w:val="00A7373F"/>
    <w:rsid w:val="00A73791"/>
    <w:rsid w:val="00A739F9"/>
    <w:rsid w:val="00A73C2E"/>
    <w:rsid w:val="00A73F32"/>
    <w:rsid w:val="00A7422B"/>
    <w:rsid w:val="00A7446E"/>
    <w:rsid w:val="00A744E7"/>
    <w:rsid w:val="00A74668"/>
    <w:rsid w:val="00A74847"/>
    <w:rsid w:val="00A74848"/>
    <w:rsid w:val="00A74AEE"/>
    <w:rsid w:val="00A74B11"/>
    <w:rsid w:val="00A74B18"/>
    <w:rsid w:val="00A74E4E"/>
    <w:rsid w:val="00A74E98"/>
    <w:rsid w:val="00A75468"/>
    <w:rsid w:val="00A75696"/>
    <w:rsid w:val="00A757BF"/>
    <w:rsid w:val="00A75952"/>
    <w:rsid w:val="00A75B6D"/>
    <w:rsid w:val="00A75BF2"/>
    <w:rsid w:val="00A75E41"/>
    <w:rsid w:val="00A75F68"/>
    <w:rsid w:val="00A76066"/>
    <w:rsid w:val="00A7606E"/>
    <w:rsid w:val="00A76126"/>
    <w:rsid w:val="00A7615A"/>
    <w:rsid w:val="00A76214"/>
    <w:rsid w:val="00A76395"/>
    <w:rsid w:val="00A764E1"/>
    <w:rsid w:val="00A76501"/>
    <w:rsid w:val="00A765AC"/>
    <w:rsid w:val="00A76690"/>
    <w:rsid w:val="00A767DC"/>
    <w:rsid w:val="00A768D3"/>
    <w:rsid w:val="00A76A14"/>
    <w:rsid w:val="00A76C73"/>
    <w:rsid w:val="00A76D53"/>
    <w:rsid w:val="00A76DAC"/>
    <w:rsid w:val="00A7707B"/>
    <w:rsid w:val="00A770F7"/>
    <w:rsid w:val="00A77421"/>
    <w:rsid w:val="00A774D7"/>
    <w:rsid w:val="00A77636"/>
    <w:rsid w:val="00A77707"/>
    <w:rsid w:val="00A77732"/>
    <w:rsid w:val="00A77BB1"/>
    <w:rsid w:val="00A77C43"/>
    <w:rsid w:val="00A77DC4"/>
    <w:rsid w:val="00A8047A"/>
    <w:rsid w:val="00A806AD"/>
    <w:rsid w:val="00A80753"/>
    <w:rsid w:val="00A80C26"/>
    <w:rsid w:val="00A80E32"/>
    <w:rsid w:val="00A81504"/>
    <w:rsid w:val="00A81549"/>
    <w:rsid w:val="00A816E5"/>
    <w:rsid w:val="00A81829"/>
    <w:rsid w:val="00A81959"/>
    <w:rsid w:val="00A819AF"/>
    <w:rsid w:val="00A819F0"/>
    <w:rsid w:val="00A81AAA"/>
    <w:rsid w:val="00A81AD7"/>
    <w:rsid w:val="00A81B44"/>
    <w:rsid w:val="00A81C98"/>
    <w:rsid w:val="00A81D01"/>
    <w:rsid w:val="00A81D07"/>
    <w:rsid w:val="00A81D5D"/>
    <w:rsid w:val="00A81D8F"/>
    <w:rsid w:val="00A81E30"/>
    <w:rsid w:val="00A81E53"/>
    <w:rsid w:val="00A81FC0"/>
    <w:rsid w:val="00A82075"/>
    <w:rsid w:val="00A822B3"/>
    <w:rsid w:val="00A823FA"/>
    <w:rsid w:val="00A82433"/>
    <w:rsid w:val="00A8245A"/>
    <w:rsid w:val="00A824AC"/>
    <w:rsid w:val="00A82581"/>
    <w:rsid w:val="00A825F6"/>
    <w:rsid w:val="00A8282D"/>
    <w:rsid w:val="00A8291D"/>
    <w:rsid w:val="00A82986"/>
    <w:rsid w:val="00A829D1"/>
    <w:rsid w:val="00A82BFD"/>
    <w:rsid w:val="00A82D9E"/>
    <w:rsid w:val="00A82DDC"/>
    <w:rsid w:val="00A83110"/>
    <w:rsid w:val="00A8328A"/>
    <w:rsid w:val="00A83553"/>
    <w:rsid w:val="00A83A16"/>
    <w:rsid w:val="00A83A8B"/>
    <w:rsid w:val="00A83B0B"/>
    <w:rsid w:val="00A83DBC"/>
    <w:rsid w:val="00A83EDD"/>
    <w:rsid w:val="00A84051"/>
    <w:rsid w:val="00A84196"/>
    <w:rsid w:val="00A841B9"/>
    <w:rsid w:val="00A84238"/>
    <w:rsid w:val="00A84282"/>
    <w:rsid w:val="00A845CF"/>
    <w:rsid w:val="00A845D7"/>
    <w:rsid w:val="00A8463E"/>
    <w:rsid w:val="00A8468B"/>
    <w:rsid w:val="00A84900"/>
    <w:rsid w:val="00A84BAD"/>
    <w:rsid w:val="00A84C08"/>
    <w:rsid w:val="00A84CBE"/>
    <w:rsid w:val="00A850D6"/>
    <w:rsid w:val="00A8544B"/>
    <w:rsid w:val="00A85749"/>
    <w:rsid w:val="00A857B0"/>
    <w:rsid w:val="00A85D02"/>
    <w:rsid w:val="00A85D4C"/>
    <w:rsid w:val="00A85D5F"/>
    <w:rsid w:val="00A85EBB"/>
    <w:rsid w:val="00A860DA"/>
    <w:rsid w:val="00A86180"/>
    <w:rsid w:val="00A861F9"/>
    <w:rsid w:val="00A8631C"/>
    <w:rsid w:val="00A86387"/>
    <w:rsid w:val="00A8678F"/>
    <w:rsid w:val="00A86895"/>
    <w:rsid w:val="00A869A0"/>
    <w:rsid w:val="00A86A30"/>
    <w:rsid w:val="00A86B0B"/>
    <w:rsid w:val="00A86BB6"/>
    <w:rsid w:val="00A86C95"/>
    <w:rsid w:val="00A86D65"/>
    <w:rsid w:val="00A86E8F"/>
    <w:rsid w:val="00A86EF9"/>
    <w:rsid w:val="00A86F2A"/>
    <w:rsid w:val="00A87256"/>
    <w:rsid w:val="00A87512"/>
    <w:rsid w:val="00A87701"/>
    <w:rsid w:val="00A877A9"/>
    <w:rsid w:val="00A8781E"/>
    <w:rsid w:val="00A878D5"/>
    <w:rsid w:val="00A87917"/>
    <w:rsid w:val="00A87C55"/>
    <w:rsid w:val="00A87D89"/>
    <w:rsid w:val="00A87F21"/>
    <w:rsid w:val="00A90382"/>
    <w:rsid w:val="00A90558"/>
    <w:rsid w:val="00A90601"/>
    <w:rsid w:val="00A90687"/>
    <w:rsid w:val="00A90877"/>
    <w:rsid w:val="00A909FE"/>
    <w:rsid w:val="00A90A1E"/>
    <w:rsid w:val="00A90A4E"/>
    <w:rsid w:val="00A90C60"/>
    <w:rsid w:val="00A90ED0"/>
    <w:rsid w:val="00A9108F"/>
    <w:rsid w:val="00A91150"/>
    <w:rsid w:val="00A911D4"/>
    <w:rsid w:val="00A91270"/>
    <w:rsid w:val="00A913EC"/>
    <w:rsid w:val="00A9145A"/>
    <w:rsid w:val="00A916F4"/>
    <w:rsid w:val="00A91711"/>
    <w:rsid w:val="00A9179A"/>
    <w:rsid w:val="00A9189D"/>
    <w:rsid w:val="00A919A7"/>
    <w:rsid w:val="00A91BAB"/>
    <w:rsid w:val="00A91ED8"/>
    <w:rsid w:val="00A91FB9"/>
    <w:rsid w:val="00A91FE1"/>
    <w:rsid w:val="00A920D2"/>
    <w:rsid w:val="00A9242A"/>
    <w:rsid w:val="00A9243B"/>
    <w:rsid w:val="00A92652"/>
    <w:rsid w:val="00A92665"/>
    <w:rsid w:val="00A9280D"/>
    <w:rsid w:val="00A92973"/>
    <w:rsid w:val="00A92B1C"/>
    <w:rsid w:val="00A92DAB"/>
    <w:rsid w:val="00A92E99"/>
    <w:rsid w:val="00A931AA"/>
    <w:rsid w:val="00A9324F"/>
    <w:rsid w:val="00A9327F"/>
    <w:rsid w:val="00A9328D"/>
    <w:rsid w:val="00A932D6"/>
    <w:rsid w:val="00A9371B"/>
    <w:rsid w:val="00A937DC"/>
    <w:rsid w:val="00A937E0"/>
    <w:rsid w:val="00A9380E"/>
    <w:rsid w:val="00A93A50"/>
    <w:rsid w:val="00A93CCB"/>
    <w:rsid w:val="00A93E39"/>
    <w:rsid w:val="00A93E5F"/>
    <w:rsid w:val="00A93E89"/>
    <w:rsid w:val="00A93F75"/>
    <w:rsid w:val="00A94094"/>
    <w:rsid w:val="00A94107"/>
    <w:rsid w:val="00A9418F"/>
    <w:rsid w:val="00A942D5"/>
    <w:rsid w:val="00A947D6"/>
    <w:rsid w:val="00A94840"/>
    <w:rsid w:val="00A94956"/>
    <w:rsid w:val="00A94BEF"/>
    <w:rsid w:val="00A94E05"/>
    <w:rsid w:val="00A9508F"/>
    <w:rsid w:val="00A950AC"/>
    <w:rsid w:val="00A950D9"/>
    <w:rsid w:val="00A9521E"/>
    <w:rsid w:val="00A95234"/>
    <w:rsid w:val="00A95475"/>
    <w:rsid w:val="00A955DE"/>
    <w:rsid w:val="00A956F5"/>
    <w:rsid w:val="00A957E8"/>
    <w:rsid w:val="00A95A37"/>
    <w:rsid w:val="00A95BA2"/>
    <w:rsid w:val="00A95D3A"/>
    <w:rsid w:val="00A95DFD"/>
    <w:rsid w:val="00A95F21"/>
    <w:rsid w:val="00A95FC4"/>
    <w:rsid w:val="00A9614A"/>
    <w:rsid w:val="00A962A4"/>
    <w:rsid w:val="00A96336"/>
    <w:rsid w:val="00A96524"/>
    <w:rsid w:val="00A96542"/>
    <w:rsid w:val="00A96671"/>
    <w:rsid w:val="00A96798"/>
    <w:rsid w:val="00A96B1F"/>
    <w:rsid w:val="00A96C35"/>
    <w:rsid w:val="00A96C3B"/>
    <w:rsid w:val="00A96CA5"/>
    <w:rsid w:val="00A96CCD"/>
    <w:rsid w:val="00A970CF"/>
    <w:rsid w:val="00A97140"/>
    <w:rsid w:val="00A9728D"/>
    <w:rsid w:val="00A97357"/>
    <w:rsid w:val="00A978FB"/>
    <w:rsid w:val="00A97A1A"/>
    <w:rsid w:val="00A97A82"/>
    <w:rsid w:val="00A97BDA"/>
    <w:rsid w:val="00A97D5C"/>
    <w:rsid w:val="00A97EE9"/>
    <w:rsid w:val="00AA0027"/>
    <w:rsid w:val="00AA03B4"/>
    <w:rsid w:val="00AA0940"/>
    <w:rsid w:val="00AA12C8"/>
    <w:rsid w:val="00AA1649"/>
    <w:rsid w:val="00AA1660"/>
    <w:rsid w:val="00AA174F"/>
    <w:rsid w:val="00AA1A15"/>
    <w:rsid w:val="00AA1BD8"/>
    <w:rsid w:val="00AA1C40"/>
    <w:rsid w:val="00AA1C6B"/>
    <w:rsid w:val="00AA1CE5"/>
    <w:rsid w:val="00AA1D85"/>
    <w:rsid w:val="00AA1E6F"/>
    <w:rsid w:val="00AA1EF8"/>
    <w:rsid w:val="00AA1FCB"/>
    <w:rsid w:val="00AA2195"/>
    <w:rsid w:val="00AA21C1"/>
    <w:rsid w:val="00AA21F0"/>
    <w:rsid w:val="00AA220F"/>
    <w:rsid w:val="00AA2218"/>
    <w:rsid w:val="00AA2564"/>
    <w:rsid w:val="00AA25F1"/>
    <w:rsid w:val="00AA26CD"/>
    <w:rsid w:val="00AA2852"/>
    <w:rsid w:val="00AA2A26"/>
    <w:rsid w:val="00AA2C1E"/>
    <w:rsid w:val="00AA2E55"/>
    <w:rsid w:val="00AA2F1E"/>
    <w:rsid w:val="00AA327A"/>
    <w:rsid w:val="00AA32B8"/>
    <w:rsid w:val="00AA339E"/>
    <w:rsid w:val="00AA378D"/>
    <w:rsid w:val="00AA37AA"/>
    <w:rsid w:val="00AA3C53"/>
    <w:rsid w:val="00AA3FAC"/>
    <w:rsid w:val="00AA4023"/>
    <w:rsid w:val="00AA4105"/>
    <w:rsid w:val="00AA436B"/>
    <w:rsid w:val="00AA43F7"/>
    <w:rsid w:val="00AA454E"/>
    <w:rsid w:val="00AA4628"/>
    <w:rsid w:val="00AA46E2"/>
    <w:rsid w:val="00AA4C68"/>
    <w:rsid w:val="00AA4E52"/>
    <w:rsid w:val="00AA529D"/>
    <w:rsid w:val="00AA52F8"/>
    <w:rsid w:val="00AA5368"/>
    <w:rsid w:val="00AA5374"/>
    <w:rsid w:val="00AA5407"/>
    <w:rsid w:val="00AA5439"/>
    <w:rsid w:val="00AA58CF"/>
    <w:rsid w:val="00AA58E4"/>
    <w:rsid w:val="00AA5CF2"/>
    <w:rsid w:val="00AA5F55"/>
    <w:rsid w:val="00AA5FE1"/>
    <w:rsid w:val="00AA65F2"/>
    <w:rsid w:val="00AA662B"/>
    <w:rsid w:val="00AA6634"/>
    <w:rsid w:val="00AA677A"/>
    <w:rsid w:val="00AA69F2"/>
    <w:rsid w:val="00AA69FF"/>
    <w:rsid w:val="00AA6BE2"/>
    <w:rsid w:val="00AA6DA3"/>
    <w:rsid w:val="00AA6DF3"/>
    <w:rsid w:val="00AA6DF8"/>
    <w:rsid w:val="00AA6ED8"/>
    <w:rsid w:val="00AA6FFB"/>
    <w:rsid w:val="00AA71AF"/>
    <w:rsid w:val="00AA741D"/>
    <w:rsid w:val="00AA7421"/>
    <w:rsid w:val="00AA7445"/>
    <w:rsid w:val="00AA7555"/>
    <w:rsid w:val="00AA7583"/>
    <w:rsid w:val="00AA75D4"/>
    <w:rsid w:val="00AA771D"/>
    <w:rsid w:val="00AA77A0"/>
    <w:rsid w:val="00AA7D57"/>
    <w:rsid w:val="00AA7D6D"/>
    <w:rsid w:val="00AA7DF9"/>
    <w:rsid w:val="00AB0076"/>
    <w:rsid w:val="00AB00CF"/>
    <w:rsid w:val="00AB0144"/>
    <w:rsid w:val="00AB0158"/>
    <w:rsid w:val="00AB0196"/>
    <w:rsid w:val="00AB0555"/>
    <w:rsid w:val="00AB075C"/>
    <w:rsid w:val="00AB0A06"/>
    <w:rsid w:val="00AB0CC1"/>
    <w:rsid w:val="00AB0CDF"/>
    <w:rsid w:val="00AB0DB3"/>
    <w:rsid w:val="00AB0DFC"/>
    <w:rsid w:val="00AB116E"/>
    <w:rsid w:val="00AB1238"/>
    <w:rsid w:val="00AB126D"/>
    <w:rsid w:val="00AB1360"/>
    <w:rsid w:val="00AB1424"/>
    <w:rsid w:val="00AB1583"/>
    <w:rsid w:val="00AB1592"/>
    <w:rsid w:val="00AB15CE"/>
    <w:rsid w:val="00AB188F"/>
    <w:rsid w:val="00AB1983"/>
    <w:rsid w:val="00AB1C92"/>
    <w:rsid w:val="00AB1D73"/>
    <w:rsid w:val="00AB1F0F"/>
    <w:rsid w:val="00AB1F68"/>
    <w:rsid w:val="00AB20D0"/>
    <w:rsid w:val="00AB222B"/>
    <w:rsid w:val="00AB2236"/>
    <w:rsid w:val="00AB2266"/>
    <w:rsid w:val="00AB23FF"/>
    <w:rsid w:val="00AB266A"/>
    <w:rsid w:val="00AB26D3"/>
    <w:rsid w:val="00AB27A7"/>
    <w:rsid w:val="00AB27B5"/>
    <w:rsid w:val="00AB282D"/>
    <w:rsid w:val="00AB2C04"/>
    <w:rsid w:val="00AB2C3C"/>
    <w:rsid w:val="00AB2C55"/>
    <w:rsid w:val="00AB2D59"/>
    <w:rsid w:val="00AB2DA8"/>
    <w:rsid w:val="00AB2DDF"/>
    <w:rsid w:val="00AB2F78"/>
    <w:rsid w:val="00AB2F8B"/>
    <w:rsid w:val="00AB2FC9"/>
    <w:rsid w:val="00AB32F7"/>
    <w:rsid w:val="00AB332E"/>
    <w:rsid w:val="00AB34F7"/>
    <w:rsid w:val="00AB3741"/>
    <w:rsid w:val="00AB38D7"/>
    <w:rsid w:val="00AB392C"/>
    <w:rsid w:val="00AB3962"/>
    <w:rsid w:val="00AB3BAE"/>
    <w:rsid w:val="00AB3FCC"/>
    <w:rsid w:val="00AB40E5"/>
    <w:rsid w:val="00AB4368"/>
    <w:rsid w:val="00AB436F"/>
    <w:rsid w:val="00AB466E"/>
    <w:rsid w:val="00AB484A"/>
    <w:rsid w:val="00AB4875"/>
    <w:rsid w:val="00AB4A5E"/>
    <w:rsid w:val="00AB4AF3"/>
    <w:rsid w:val="00AB4D28"/>
    <w:rsid w:val="00AB4DD0"/>
    <w:rsid w:val="00AB5135"/>
    <w:rsid w:val="00AB5653"/>
    <w:rsid w:val="00AB590D"/>
    <w:rsid w:val="00AB5B4A"/>
    <w:rsid w:val="00AB5CDE"/>
    <w:rsid w:val="00AB5CFD"/>
    <w:rsid w:val="00AB5F4D"/>
    <w:rsid w:val="00AB6143"/>
    <w:rsid w:val="00AB61D9"/>
    <w:rsid w:val="00AB633A"/>
    <w:rsid w:val="00AB6771"/>
    <w:rsid w:val="00AB67F6"/>
    <w:rsid w:val="00AB6861"/>
    <w:rsid w:val="00AB6910"/>
    <w:rsid w:val="00AB6D3D"/>
    <w:rsid w:val="00AB6D79"/>
    <w:rsid w:val="00AB6E70"/>
    <w:rsid w:val="00AB6EF6"/>
    <w:rsid w:val="00AB6F28"/>
    <w:rsid w:val="00AB70D7"/>
    <w:rsid w:val="00AB71CD"/>
    <w:rsid w:val="00AB74B6"/>
    <w:rsid w:val="00AB7682"/>
    <w:rsid w:val="00AB76BF"/>
    <w:rsid w:val="00AB7817"/>
    <w:rsid w:val="00AB7A33"/>
    <w:rsid w:val="00AB7A65"/>
    <w:rsid w:val="00AB7AA9"/>
    <w:rsid w:val="00AB7DF1"/>
    <w:rsid w:val="00AB7E9F"/>
    <w:rsid w:val="00AC0002"/>
    <w:rsid w:val="00AC0186"/>
    <w:rsid w:val="00AC065F"/>
    <w:rsid w:val="00AC06EB"/>
    <w:rsid w:val="00AC0737"/>
    <w:rsid w:val="00AC0A14"/>
    <w:rsid w:val="00AC0AC4"/>
    <w:rsid w:val="00AC0C2B"/>
    <w:rsid w:val="00AC0CA5"/>
    <w:rsid w:val="00AC0DA2"/>
    <w:rsid w:val="00AC0ECE"/>
    <w:rsid w:val="00AC1036"/>
    <w:rsid w:val="00AC10FC"/>
    <w:rsid w:val="00AC16A1"/>
    <w:rsid w:val="00AC1917"/>
    <w:rsid w:val="00AC1A69"/>
    <w:rsid w:val="00AC1E42"/>
    <w:rsid w:val="00AC20AA"/>
    <w:rsid w:val="00AC21AC"/>
    <w:rsid w:val="00AC21D2"/>
    <w:rsid w:val="00AC2307"/>
    <w:rsid w:val="00AC274B"/>
    <w:rsid w:val="00AC2B4D"/>
    <w:rsid w:val="00AC2BEF"/>
    <w:rsid w:val="00AC2DBB"/>
    <w:rsid w:val="00AC2F5B"/>
    <w:rsid w:val="00AC2F93"/>
    <w:rsid w:val="00AC2FC3"/>
    <w:rsid w:val="00AC30AC"/>
    <w:rsid w:val="00AC3388"/>
    <w:rsid w:val="00AC341A"/>
    <w:rsid w:val="00AC34CA"/>
    <w:rsid w:val="00AC3514"/>
    <w:rsid w:val="00AC35F3"/>
    <w:rsid w:val="00AC361C"/>
    <w:rsid w:val="00AC38F3"/>
    <w:rsid w:val="00AC3966"/>
    <w:rsid w:val="00AC3ACE"/>
    <w:rsid w:val="00AC3DF6"/>
    <w:rsid w:val="00AC3E8D"/>
    <w:rsid w:val="00AC3EC9"/>
    <w:rsid w:val="00AC404A"/>
    <w:rsid w:val="00AC44F0"/>
    <w:rsid w:val="00AC453A"/>
    <w:rsid w:val="00AC463D"/>
    <w:rsid w:val="00AC46F6"/>
    <w:rsid w:val="00AC4975"/>
    <w:rsid w:val="00AC4980"/>
    <w:rsid w:val="00AC4B67"/>
    <w:rsid w:val="00AC4D19"/>
    <w:rsid w:val="00AC4DA4"/>
    <w:rsid w:val="00AC5003"/>
    <w:rsid w:val="00AC5023"/>
    <w:rsid w:val="00AC5172"/>
    <w:rsid w:val="00AC5255"/>
    <w:rsid w:val="00AC52A8"/>
    <w:rsid w:val="00AC52C7"/>
    <w:rsid w:val="00AC5513"/>
    <w:rsid w:val="00AC5550"/>
    <w:rsid w:val="00AC56A0"/>
    <w:rsid w:val="00AC57E5"/>
    <w:rsid w:val="00AC584F"/>
    <w:rsid w:val="00AC58D9"/>
    <w:rsid w:val="00AC5B87"/>
    <w:rsid w:val="00AC5CFD"/>
    <w:rsid w:val="00AC5FBB"/>
    <w:rsid w:val="00AC6156"/>
    <w:rsid w:val="00AC61BE"/>
    <w:rsid w:val="00AC61DC"/>
    <w:rsid w:val="00AC6338"/>
    <w:rsid w:val="00AC6428"/>
    <w:rsid w:val="00AC648B"/>
    <w:rsid w:val="00AC64C1"/>
    <w:rsid w:val="00AC6763"/>
    <w:rsid w:val="00AC684F"/>
    <w:rsid w:val="00AC68FF"/>
    <w:rsid w:val="00AC69DA"/>
    <w:rsid w:val="00AC6A34"/>
    <w:rsid w:val="00AC6B89"/>
    <w:rsid w:val="00AC6C09"/>
    <w:rsid w:val="00AC6E46"/>
    <w:rsid w:val="00AC6F68"/>
    <w:rsid w:val="00AC6F7F"/>
    <w:rsid w:val="00AC7009"/>
    <w:rsid w:val="00AC709C"/>
    <w:rsid w:val="00AC7223"/>
    <w:rsid w:val="00AC730E"/>
    <w:rsid w:val="00AC780B"/>
    <w:rsid w:val="00AC7959"/>
    <w:rsid w:val="00AC7ABB"/>
    <w:rsid w:val="00AC7B9E"/>
    <w:rsid w:val="00AD0266"/>
    <w:rsid w:val="00AD042B"/>
    <w:rsid w:val="00AD05AB"/>
    <w:rsid w:val="00AD05FB"/>
    <w:rsid w:val="00AD0655"/>
    <w:rsid w:val="00AD06A0"/>
    <w:rsid w:val="00AD0759"/>
    <w:rsid w:val="00AD0A06"/>
    <w:rsid w:val="00AD0DCA"/>
    <w:rsid w:val="00AD0DEE"/>
    <w:rsid w:val="00AD0E75"/>
    <w:rsid w:val="00AD0EBE"/>
    <w:rsid w:val="00AD0F26"/>
    <w:rsid w:val="00AD1003"/>
    <w:rsid w:val="00AD1085"/>
    <w:rsid w:val="00AD114C"/>
    <w:rsid w:val="00AD11AD"/>
    <w:rsid w:val="00AD1486"/>
    <w:rsid w:val="00AD159A"/>
    <w:rsid w:val="00AD1680"/>
    <w:rsid w:val="00AD1721"/>
    <w:rsid w:val="00AD1772"/>
    <w:rsid w:val="00AD1AA7"/>
    <w:rsid w:val="00AD1B83"/>
    <w:rsid w:val="00AD1C56"/>
    <w:rsid w:val="00AD1D4C"/>
    <w:rsid w:val="00AD1DB3"/>
    <w:rsid w:val="00AD1ED3"/>
    <w:rsid w:val="00AD1F3D"/>
    <w:rsid w:val="00AD20F8"/>
    <w:rsid w:val="00AD2308"/>
    <w:rsid w:val="00AD233B"/>
    <w:rsid w:val="00AD236B"/>
    <w:rsid w:val="00AD2385"/>
    <w:rsid w:val="00AD250A"/>
    <w:rsid w:val="00AD2609"/>
    <w:rsid w:val="00AD2848"/>
    <w:rsid w:val="00AD2894"/>
    <w:rsid w:val="00AD2C76"/>
    <w:rsid w:val="00AD2E80"/>
    <w:rsid w:val="00AD2E93"/>
    <w:rsid w:val="00AD3093"/>
    <w:rsid w:val="00AD30F4"/>
    <w:rsid w:val="00AD31C3"/>
    <w:rsid w:val="00AD320E"/>
    <w:rsid w:val="00AD35D8"/>
    <w:rsid w:val="00AD38F3"/>
    <w:rsid w:val="00AD3B0F"/>
    <w:rsid w:val="00AD3C95"/>
    <w:rsid w:val="00AD3E6C"/>
    <w:rsid w:val="00AD3FA1"/>
    <w:rsid w:val="00AD40B9"/>
    <w:rsid w:val="00AD40DD"/>
    <w:rsid w:val="00AD4225"/>
    <w:rsid w:val="00AD4365"/>
    <w:rsid w:val="00AD4435"/>
    <w:rsid w:val="00AD4ACF"/>
    <w:rsid w:val="00AD4DD8"/>
    <w:rsid w:val="00AD5157"/>
    <w:rsid w:val="00AD51A0"/>
    <w:rsid w:val="00AD531F"/>
    <w:rsid w:val="00AD536C"/>
    <w:rsid w:val="00AD53C6"/>
    <w:rsid w:val="00AD53F9"/>
    <w:rsid w:val="00AD5511"/>
    <w:rsid w:val="00AD5700"/>
    <w:rsid w:val="00AD580A"/>
    <w:rsid w:val="00AD5A79"/>
    <w:rsid w:val="00AD5D09"/>
    <w:rsid w:val="00AD5EEF"/>
    <w:rsid w:val="00AD5F7F"/>
    <w:rsid w:val="00AD6388"/>
    <w:rsid w:val="00AD6514"/>
    <w:rsid w:val="00AD654F"/>
    <w:rsid w:val="00AD66DF"/>
    <w:rsid w:val="00AD69B5"/>
    <w:rsid w:val="00AD6D51"/>
    <w:rsid w:val="00AD6F84"/>
    <w:rsid w:val="00AD7033"/>
    <w:rsid w:val="00AD703F"/>
    <w:rsid w:val="00AD723D"/>
    <w:rsid w:val="00AD74AD"/>
    <w:rsid w:val="00AD74AE"/>
    <w:rsid w:val="00AD7568"/>
    <w:rsid w:val="00AD768D"/>
    <w:rsid w:val="00AD76B8"/>
    <w:rsid w:val="00AD77FC"/>
    <w:rsid w:val="00AD7929"/>
    <w:rsid w:val="00AD7971"/>
    <w:rsid w:val="00AD7989"/>
    <w:rsid w:val="00AD7B90"/>
    <w:rsid w:val="00AD7B98"/>
    <w:rsid w:val="00AD7CF0"/>
    <w:rsid w:val="00AD7E35"/>
    <w:rsid w:val="00AE01F7"/>
    <w:rsid w:val="00AE05AF"/>
    <w:rsid w:val="00AE0868"/>
    <w:rsid w:val="00AE0996"/>
    <w:rsid w:val="00AE0A99"/>
    <w:rsid w:val="00AE0D91"/>
    <w:rsid w:val="00AE0E37"/>
    <w:rsid w:val="00AE0EA4"/>
    <w:rsid w:val="00AE1154"/>
    <w:rsid w:val="00AE1322"/>
    <w:rsid w:val="00AE1424"/>
    <w:rsid w:val="00AE1483"/>
    <w:rsid w:val="00AE148A"/>
    <w:rsid w:val="00AE1A16"/>
    <w:rsid w:val="00AE1D96"/>
    <w:rsid w:val="00AE1E5E"/>
    <w:rsid w:val="00AE1F76"/>
    <w:rsid w:val="00AE20F8"/>
    <w:rsid w:val="00AE2362"/>
    <w:rsid w:val="00AE2514"/>
    <w:rsid w:val="00AE2696"/>
    <w:rsid w:val="00AE28CE"/>
    <w:rsid w:val="00AE2928"/>
    <w:rsid w:val="00AE2AD4"/>
    <w:rsid w:val="00AE2BC7"/>
    <w:rsid w:val="00AE2C4E"/>
    <w:rsid w:val="00AE2CD0"/>
    <w:rsid w:val="00AE2F68"/>
    <w:rsid w:val="00AE3176"/>
    <w:rsid w:val="00AE33C6"/>
    <w:rsid w:val="00AE36B7"/>
    <w:rsid w:val="00AE3A19"/>
    <w:rsid w:val="00AE3AA3"/>
    <w:rsid w:val="00AE3ABA"/>
    <w:rsid w:val="00AE3B24"/>
    <w:rsid w:val="00AE3C03"/>
    <w:rsid w:val="00AE3C0F"/>
    <w:rsid w:val="00AE3DF1"/>
    <w:rsid w:val="00AE3E65"/>
    <w:rsid w:val="00AE3FCA"/>
    <w:rsid w:val="00AE42FE"/>
    <w:rsid w:val="00AE43FC"/>
    <w:rsid w:val="00AE4428"/>
    <w:rsid w:val="00AE444B"/>
    <w:rsid w:val="00AE47BF"/>
    <w:rsid w:val="00AE4A03"/>
    <w:rsid w:val="00AE4AEB"/>
    <w:rsid w:val="00AE4EB2"/>
    <w:rsid w:val="00AE4F7A"/>
    <w:rsid w:val="00AE4FBE"/>
    <w:rsid w:val="00AE528F"/>
    <w:rsid w:val="00AE53A1"/>
    <w:rsid w:val="00AE5641"/>
    <w:rsid w:val="00AE58A1"/>
    <w:rsid w:val="00AE5A09"/>
    <w:rsid w:val="00AE5E4F"/>
    <w:rsid w:val="00AE6207"/>
    <w:rsid w:val="00AE6294"/>
    <w:rsid w:val="00AE62F4"/>
    <w:rsid w:val="00AE65A6"/>
    <w:rsid w:val="00AE663F"/>
    <w:rsid w:val="00AE684C"/>
    <w:rsid w:val="00AE6937"/>
    <w:rsid w:val="00AE7067"/>
    <w:rsid w:val="00AE714F"/>
    <w:rsid w:val="00AE75C9"/>
    <w:rsid w:val="00AE7656"/>
    <w:rsid w:val="00AE782A"/>
    <w:rsid w:val="00AE79FE"/>
    <w:rsid w:val="00AE7BD3"/>
    <w:rsid w:val="00AE7D9C"/>
    <w:rsid w:val="00AE7E15"/>
    <w:rsid w:val="00AE7E82"/>
    <w:rsid w:val="00AE7E89"/>
    <w:rsid w:val="00AF0050"/>
    <w:rsid w:val="00AF00DF"/>
    <w:rsid w:val="00AF0632"/>
    <w:rsid w:val="00AF09E4"/>
    <w:rsid w:val="00AF0D6E"/>
    <w:rsid w:val="00AF1207"/>
    <w:rsid w:val="00AF1209"/>
    <w:rsid w:val="00AF1352"/>
    <w:rsid w:val="00AF13B5"/>
    <w:rsid w:val="00AF15DA"/>
    <w:rsid w:val="00AF169F"/>
    <w:rsid w:val="00AF1769"/>
    <w:rsid w:val="00AF185D"/>
    <w:rsid w:val="00AF19B7"/>
    <w:rsid w:val="00AF1B28"/>
    <w:rsid w:val="00AF1B81"/>
    <w:rsid w:val="00AF1B97"/>
    <w:rsid w:val="00AF1BC4"/>
    <w:rsid w:val="00AF1C30"/>
    <w:rsid w:val="00AF1D98"/>
    <w:rsid w:val="00AF1D9E"/>
    <w:rsid w:val="00AF1DC3"/>
    <w:rsid w:val="00AF1DF5"/>
    <w:rsid w:val="00AF1E0E"/>
    <w:rsid w:val="00AF1EE0"/>
    <w:rsid w:val="00AF1FC6"/>
    <w:rsid w:val="00AF2120"/>
    <w:rsid w:val="00AF234E"/>
    <w:rsid w:val="00AF235C"/>
    <w:rsid w:val="00AF2388"/>
    <w:rsid w:val="00AF24E9"/>
    <w:rsid w:val="00AF2739"/>
    <w:rsid w:val="00AF27AE"/>
    <w:rsid w:val="00AF2852"/>
    <w:rsid w:val="00AF2DDB"/>
    <w:rsid w:val="00AF317D"/>
    <w:rsid w:val="00AF33EF"/>
    <w:rsid w:val="00AF3581"/>
    <w:rsid w:val="00AF35A3"/>
    <w:rsid w:val="00AF365B"/>
    <w:rsid w:val="00AF3682"/>
    <w:rsid w:val="00AF3730"/>
    <w:rsid w:val="00AF376A"/>
    <w:rsid w:val="00AF386C"/>
    <w:rsid w:val="00AF39A7"/>
    <w:rsid w:val="00AF39B6"/>
    <w:rsid w:val="00AF3BF3"/>
    <w:rsid w:val="00AF3C06"/>
    <w:rsid w:val="00AF3D18"/>
    <w:rsid w:val="00AF3DE5"/>
    <w:rsid w:val="00AF3FE9"/>
    <w:rsid w:val="00AF4273"/>
    <w:rsid w:val="00AF42A3"/>
    <w:rsid w:val="00AF438E"/>
    <w:rsid w:val="00AF441B"/>
    <w:rsid w:val="00AF44AC"/>
    <w:rsid w:val="00AF44FF"/>
    <w:rsid w:val="00AF46CC"/>
    <w:rsid w:val="00AF48D5"/>
    <w:rsid w:val="00AF4C3C"/>
    <w:rsid w:val="00AF4DAE"/>
    <w:rsid w:val="00AF4E63"/>
    <w:rsid w:val="00AF4EFC"/>
    <w:rsid w:val="00AF5114"/>
    <w:rsid w:val="00AF5237"/>
    <w:rsid w:val="00AF54F3"/>
    <w:rsid w:val="00AF5545"/>
    <w:rsid w:val="00AF56E6"/>
    <w:rsid w:val="00AF5848"/>
    <w:rsid w:val="00AF59DA"/>
    <w:rsid w:val="00AF5AA6"/>
    <w:rsid w:val="00AF5AFF"/>
    <w:rsid w:val="00AF5B12"/>
    <w:rsid w:val="00AF60D9"/>
    <w:rsid w:val="00AF6122"/>
    <w:rsid w:val="00AF62AC"/>
    <w:rsid w:val="00AF6358"/>
    <w:rsid w:val="00AF6497"/>
    <w:rsid w:val="00AF691B"/>
    <w:rsid w:val="00AF6A4C"/>
    <w:rsid w:val="00AF6B55"/>
    <w:rsid w:val="00AF6BDC"/>
    <w:rsid w:val="00AF6BE5"/>
    <w:rsid w:val="00AF6C69"/>
    <w:rsid w:val="00AF6D83"/>
    <w:rsid w:val="00AF6E4A"/>
    <w:rsid w:val="00AF6F2B"/>
    <w:rsid w:val="00AF71BA"/>
    <w:rsid w:val="00AF723A"/>
    <w:rsid w:val="00AF7453"/>
    <w:rsid w:val="00AF7583"/>
    <w:rsid w:val="00AF76C6"/>
    <w:rsid w:val="00AF7B66"/>
    <w:rsid w:val="00AF7C54"/>
    <w:rsid w:val="00AF7E41"/>
    <w:rsid w:val="00AF7E7E"/>
    <w:rsid w:val="00AF7ECC"/>
    <w:rsid w:val="00AF7F01"/>
    <w:rsid w:val="00AF7F0C"/>
    <w:rsid w:val="00AF7F1C"/>
    <w:rsid w:val="00B002B6"/>
    <w:rsid w:val="00B002C1"/>
    <w:rsid w:val="00B00329"/>
    <w:rsid w:val="00B0064A"/>
    <w:rsid w:val="00B006F3"/>
    <w:rsid w:val="00B007BD"/>
    <w:rsid w:val="00B00A11"/>
    <w:rsid w:val="00B00F7E"/>
    <w:rsid w:val="00B012D2"/>
    <w:rsid w:val="00B01341"/>
    <w:rsid w:val="00B0134F"/>
    <w:rsid w:val="00B01398"/>
    <w:rsid w:val="00B013C1"/>
    <w:rsid w:val="00B0148C"/>
    <w:rsid w:val="00B01943"/>
    <w:rsid w:val="00B01950"/>
    <w:rsid w:val="00B01F1E"/>
    <w:rsid w:val="00B02116"/>
    <w:rsid w:val="00B0298B"/>
    <w:rsid w:val="00B02C44"/>
    <w:rsid w:val="00B02C7A"/>
    <w:rsid w:val="00B02D88"/>
    <w:rsid w:val="00B02F26"/>
    <w:rsid w:val="00B02F44"/>
    <w:rsid w:val="00B02F7B"/>
    <w:rsid w:val="00B03550"/>
    <w:rsid w:val="00B03553"/>
    <w:rsid w:val="00B037BE"/>
    <w:rsid w:val="00B03854"/>
    <w:rsid w:val="00B039AB"/>
    <w:rsid w:val="00B03A3D"/>
    <w:rsid w:val="00B03AF3"/>
    <w:rsid w:val="00B03B13"/>
    <w:rsid w:val="00B03F4A"/>
    <w:rsid w:val="00B03F59"/>
    <w:rsid w:val="00B04069"/>
    <w:rsid w:val="00B04163"/>
    <w:rsid w:val="00B043CB"/>
    <w:rsid w:val="00B04500"/>
    <w:rsid w:val="00B0456F"/>
    <w:rsid w:val="00B0488E"/>
    <w:rsid w:val="00B04BA4"/>
    <w:rsid w:val="00B04C3F"/>
    <w:rsid w:val="00B04C5C"/>
    <w:rsid w:val="00B04DC3"/>
    <w:rsid w:val="00B04E0E"/>
    <w:rsid w:val="00B05304"/>
    <w:rsid w:val="00B05314"/>
    <w:rsid w:val="00B05318"/>
    <w:rsid w:val="00B0551B"/>
    <w:rsid w:val="00B0552B"/>
    <w:rsid w:val="00B05543"/>
    <w:rsid w:val="00B055CB"/>
    <w:rsid w:val="00B055EF"/>
    <w:rsid w:val="00B0569A"/>
    <w:rsid w:val="00B05745"/>
    <w:rsid w:val="00B0578B"/>
    <w:rsid w:val="00B05CD6"/>
    <w:rsid w:val="00B05D4F"/>
    <w:rsid w:val="00B05DAF"/>
    <w:rsid w:val="00B05E57"/>
    <w:rsid w:val="00B060A9"/>
    <w:rsid w:val="00B060AB"/>
    <w:rsid w:val="00B060D5"/>
    <w:rsid w:val="00B061B4"/>
    <w:rsid w:val="00B0632A"/>
    <w:rsid w:val="00B06510"/>
    <w:rsid w:val="00B065FA"/>
    <w:rsid w:val="00B06600"/>
    <w:rsid w:val="00B06786"/>
    <w:rsid w:val="00B06CD9"/>
    <w:rsid w:val="00B06D0D"/>
    <w:rsid w:val="00B06D6B"/>
    <w:rsid w:val="00B06D8A"/>
    <w:rsid w:val="00B06E25"/>
    <w:rsid w:val="00B07163"/>
    <w:rsid w:val="00B071A6"/>
    <w:rsid w:val="00B07316"/>
    <w:rsid w:val="00B07473"/>
    <w:rsid w:val="00B075C4"/>
    <w:rsid w:val="00B078E9"/>
    <w:rsid w:val="00B07BEC"/>
    <w:rsid w:val="00B07EF9"/>
    <w:rsid w:val="00B07F72"/>
    <w:rsid w:val="00B101BE"/>
    <w:rsid w:val="00B10211"/>
    <w:rsid w:val="00B1053D"/>
    <w:rsid w:val="00B106EB"/>
    <w:rsid w:val="00B1089A"/>
    <w:rsid w:val="00B108CE"/>
    <w:rsid w:val="00B10908"/>
    <w:rsid w:val="00B109ED"/>
    <w:rsid w:val="00B10EB4"/>
    <w:rsid w:val="00B1110D"/>
    <w:rsid w:val="00B1146D"/>
    <w:rsid w:val="00B114DA"/>
    <w:rsid w:val="00B115E5"/>
    <w:rsid w:val="00B1169D"/>
    <w:rsid w:val="00B11705"/>
    <w:rsid w:val="00B117D9"/>
    <w:rsid w:val="00B1183E"/>
    <w:rsid w:val="00B11AC7"/>
    <w:rsid w:val="00B11BC1"/>
    <w:rsid w:val="00B11D05"/>
    <w:rsid w:val="00B11EBF"/>
    <w:rsid w:val="00B11F0B"/>
    <w:rsid w:val="00B11FC3"/>
    <w:rsid w:val="00B12155"/>
    <w:rsid w:val="00B123EB"/>
    <w:rsid w:val="00B12438"/>
    <w:rsid w:val="00B12487"/>
    <w:rsid w:val="00B124A6"/>
    <w:rsid w:val="00B1286D"/>
    <w:rsid w:val="00B128F9"/>
    <w:rsid w:val="00B1292C"/>
    <w:rsid w:val="00B1299F"/>
    <w:rsid w:val="00B129D1"/>
    <w:rsid w:val="00B12A1F"/>
    <w:rsid w:val="00B12C53"/>
    <w:rsid w:val="00B12C8F"/>
    <w:rsid w:val="00B132C2"/>
    <w:rsid w:val="00B13302"/>
    <w:rsid w:val="00B13602"/>
    <w:rsid w:val="00B13BFB"/>
    <w:rsid w:val="00B13C78"/>
    <w:rsid w:val="00B1401A"/>
    <w:rsid w:val="00B14106"/>
    <w:rsid w:val="00B1435D"/>
    <w:rsid w:val="00B1458D"/>
    <w:rsid w:val="00B14612"/>
    <w:rsid w:val="00B14621"/>
    <w:rsid w:val="00B1471C"/>
    <w:rsid w:val="00B147D4"/>
    <w:rsid w:val="00B14B14"/>
    <w:rsid w:val="00B14CCA"/>
    <w:rsid w:val="00B14D76"/>
    <w:rsid w:val="00B14E21"/>
    <w:rsid w:val="00B15129"/>
    <w:rsid w:val="00B151ED"/>
    <w:rsid w:val="00B15229"/>
    <w:rsid w:val="00B1523B"/>
    <w:rsid w:val="00B15354"/>
    <w:rsid w:val="00B156F8"/>
    <w:rsid w:val="00B15BE1"/>
    <w:rsid w:val="00B15BE9"/>
    <w:rsid w:val="00B15C2F"/>
    <w:rsid w:val="00B15D39"/>
    <w:rsid w:val="00B169A9"/>
    <w:rsid w:val="00B16DB3"/>
    <w:rsid w:val="00B16DBD"/>
    <w:rsid w:val="00B16DEB"/>
    <w:rsid w:val="00B16F02"/>
    <w:rsid w:val="00B1717C"/>
    <w:rsid w:val="00B17398"/>
    <w:rsid w:val="00B17404"/>
    <w:rsid w:val="00B17715"/>
    <w:rsid w:val="00B17864"/>
    <w:rsid w:val="00B17911"/>
    <w:rsid w:val="00B17A0B"/>
    <w:rsid w:val="00B17A62"/>
    <w:rsid w:val="00B17AE3"/>
    <w:rsid w:val="00B17BBB"/>
    <w:rsid w:val="00B17CAA"/>
    <w:rsid w:val="00B17E0B"/>
    <w:rsid w:val="00B200A5"/>
    <w:rsid w:val="00B200DA"/>
    <w:rsid w:val="00B201C4"/>
    <w:rsid w:val="00B20261"/>
    <w:rsid w:val="00B204C7"/>
    <w:rsid w:val="00B2091F"/>
    <w:rsid w:val="00B20A30"/>
    <w:rsid w:val="00B20A31"/>
    <w:rsid w:val="00B20DE2"/>
    <w:rsid w:val="00B21115"/>
    <w:rsid w:val="00B21182"/>
    <w:rsid w:val="00B21330"/>
    <w:rsid w:val="00B21405"/>
    <w:rsid w:val="00B216D7"/>
    <w:rsid w:val="00B217AC"/>
    <w:rsid w:val="00B217C5"/>
    <w:rsid w:val="00B2184B"/>
    <w:rsid w:val="00B21A55"/>
    <w:rsid w:val="00B21E47"/>
    <w:rsid w:val="00B21E6A"/>
    <w:rsid w:val="00B21F39"/>
    <w:rsid w:val="00B223C3"/>
    <w:rsid w:val="00B22442"/>
    <w:rsid w:val="00B22508"/>
    <w:rsid w:val="00B22509"/>
    <w:rsid w:val="00B227B1"/>
    <w:rsid w:val="00B227F8"/>
    <w:rsid w:val="00B22821"/>
    <w:rsid w:val="00B22A9D"/>
    <w:rsid w:val="00B22B4E"/>
    <w:rsid w:val="00B22D12"/>
    <w:rsid w:val="00B23081"/>
    <w:rsid w:val="00B23172"/>
    <w:rsid w:val="00B233A5"/>
    <w:rsid w:val="00B233CB"/>
    <w:rsid w:val="00B23567"/>
    <w:rsid w:val="00B23703"/>
    <w:rsid w:val="00B239D9"/>
    <w:rsid w:val="00B23B10"/>
    <w:rsid w:val="00B23C74"/>
    <w:rsid w:val="00B23DE2"/>
    <w:rsid w:val="00B23E26"/>
    <w:rsid w:val="00B23F1E"/>
    <w:rsid w:val="00B23F5F"/>
    <w:rsid w:val="00B24110"/>
    <w:rsid w:val="00B2419E"/>
    <w:rsid w:val="00B24251"/>
    <w:rsid w:val="00B24314"/>
    <w:rsid w:val="00B2433F"/>
    <w:rsid w:val="00B24430"/>
    <w:rsid w:val="00B245BD"/>
    <w:rsid w:val="00B24613"/>
    <w:rsid w:val="00B24931"/>
    <w:rsid w:val="00B24A0D"/>
    <w:rsid w:val="00B24F51"/>
    <w:rsid w:val="00B2512F"/>
    <w:rsid w:val="00B25280"/>
    <w:rsid w:val="00B25402"/>
    <w:rsid w:val="00B255D1"/>
    <w:rsid w:val="00B2572A"/>
    <w:rsid w:val="00B25AEA"/>
    <w:rsid w:val="00B25B4A"/>
    <w:rsid w:val="00B25C6C"/>
    <w:rsid w:val="00B25EEB"/>
    <w:rsid w:val="00B26368"/>
    <w:rsid w:val="00B26414"/>
    <w:rsid w:val="00B2662C"/>
    <w:rsid w:val="00B2668C"/>
    <w:rsid w:val="00B2673C"/>
    <w:rsid w:val="00B26807"/>
    <w:rsid w:val="00B26922"/>
    <w:rsid w:val="00B26CFB"/>
    <w:rsid w:val="00B26D05"/>
    <w:rsid w:val="00B26D5D"/>
    <w:rsid w:val="00B26E2D"/>
    <w:rsid w:val="00B26FAE"/>
    <w:rsid w:val="00B27004"/>
    <w:rsid w:val="00B271D8"/>
    <w:rsid w:val="00B2724C"/>
    <w:rsid w:val="00B277D1"/>
    <w:rsid w:val="00B27856"/>
    <w:rsid w:val="00B278E9"/>
    <w:rsid w:val="00B27DAE"/>
    <w:rsid w:val="00B27F48"/>
    <w:rsid w:val="00B300EF"/>
    <w:rsid w:val="00B30220"/>
    <w:rsid w:val="00B3038D"/>
    <w:rsid w:val="00B3044F"/>
    <w:rsid w:val="00B30492"/>
    <w:rsid w:val="00B3051B"/>
    <w:rsid w:val="00B3058C"/>
    <w:rsid w:val="00B3086F"/>
    <w:rsid w:val="00B30AF7"/>
    <w:rsid w:val="00B30B6E"/>
    <w:rsid w:val="00B30B84"/>
    <w:rsid w:val="00B30C96"/>
    <w:rsid w:val="00B30D06"/>
    <w:rsid w:val="00B30D7C"/>
    <w:rsid w:val="00B30F2F"/>
    <w:rsid w:val="00B30F30"/>
    <w:rsid w:val="00B3111C"/>
    <w:rsid w:val="00B31426"/>
    <w:rsid w:val="00B31752"/>
    <w:rsid w:val="00B31792"/>
    <w:rsid w:val="00B317E1"/>
    <w:rsid w:val="00B31A92"/>
    <w:rsid w:val="00B31B7C"/>
    <w:rsid w:val="00B324E9"/>
    <w:rsid w:val="00B32621"/>
    <w:rsid w:val="00B329E3"/>
    <w:rsid w:val="00B32A15"/>
    <w:rsid w:val="00B32B3F"/>
    <w:rsid w:val="00B32BC3"/>
    <w:rsid w:val="00B32CCB"/>
    <w:rsid w:val="00B32F22"/>
    <w:rsid w:val="00B32F4C"/>
    <w:rsid w:val="00B33120"/>
    <w:rsid w:val="00B331F6"/>
    <w:rsid w:val="00B334A4"/>
    <w:rsid w:val="00B3376D"/>
    <w:rsid w:val="00B33812"/>
    <w:rsid w:val="00B33B51"/>
    <w:rsid w:val="00B33E2F"/>
    <w:rsid w:val="00B3404D"/>
    <w:rsid w:val="00B340A7"/>
    <w:rsid w:val="00B344F6"/>
    <w:rsid w:val="00B34651"/>
    <w:rsid w:val="00B34AEB"/>
    <w:rsid w:val="00B34AF3"/>
    <w:rsid w:val="00B34B7B"/>
    <w:rsid w:val="00B34BB9"/>
    <w:rsid w:val="00B34C71"/>
    <w:rsid w:val="00B34D5C"/>
    <w:rsid w:val="00B34DB4"/>
    <w:rsid w:val="00B34DCE"/>
    <w:rsid w:val="00B34E4E"/>
    <w:rsid w:val="00B34FBC"/>
    <w:rsid w:val="00B35077"/>
    <w:rsid w:val="00B350E8"/>
    <w:rsid w:val="00B3542C"/>
    <w:rsid w:val="00B354CC"/>
    <w:rsid w:val="00B35550"/>
    <w:rsid w:val="00B35577"/>
    <w:rsid w:val="00B356B4"/>
    <w:rsid w:val="00B356CB"/>
    <w:rsid w:val="00B356FC"/>
    <w:rsid w:val="00B357CB"/>
    <w:rsid w:val="00B35855"/>
    <w:rsid w:val="00B35892"/>
    <w:rsid w:val="00B3590D"/>
    <w:rsid w:val="00B35913"/>
    <w:rsid w:val="00B359FF"/>
    <w:rsid w:val="00B35C5D"/>
    <w:rsid w:val="00B35C65"/>
    <w:rsid w:val="00B35CC5"/>
    <w:rsid w:val="00B35EAE"/>
    <w:rsid w:val="00B36448"/>
    <w:rsid w:val="00B36507"/>
    <w:rsid w:val="00B3662D"/>
    <w:rsid w:val="00B367F6"/>
    <w:rsid w:val="00B36B3A"/>
    <w:rsid w:val="00B36D24"/>
    <w:rsid w:val="00B36E47"/>
    <w:rsid w:val="00B36EE0"/>
    <w:rsid w:val="00B370BE"/>
    <w:rsid w:val="00B37134"/>
    <w:rsid w:val="00B37171"/>
    <w:rsid w:val="00B373B7"/>
    <w:rsid w:val="00B37772"/>
    <w:rsid w:val="00B37991"/>
    <w:rsid w:val="00B37A9D"/>
    <w:rsid w:val="00B37AC7"/>
    <w:rsid w:val="00B37AEA"/>
    <w:rsid w:val="00B37B92"/>
    <w:rsid w:val="00B37D1A"/>
    <w:rsid w:val="00B37F49"/>
    <w:rsid w:val="00B37FD5"/>
    <w:rsid w:val="00B40097"/>
    <w:rsid w:val="00B400FB"/>
    <w:rsid w:val="00B4019E"/>
    <w:rsid w:val="00B40346"/>
    <w:rsid w:val="00B404C4"/>
    <w:rsid w:val="00B406E0"/>
    <w:rsid w:val="00B40854"/>
    <w:rsid w:val="00B40A00"/>
    <w:rsid w:val="00B40A96"/>
    <w:rsid w:val="00B40F18"/>
    <w:rsid w:val="00B40F98"/>
    <w:rsid w:val="00B4112C"/>
    <w:rsid w:val="00B4125C"/>
    <w:rsid w:val="00B412FA"/>
    <w:rsid w:val="00B41392"/>
    <w:rsid w:val="00B41664"/>
    <w:rsid w:val="00B416AB"/>
    <w:rsid w:val="00B4189D"/>
    <w:rsid w:val="00B419EC"/>
    <w:rsid w:val="00B41CBC"/>
    <w:rsid w:val="00B41F1A"/>
    <w:rsid w:val="00B420AC"/>
    <w:rsid w:val="00B42105"/>
    <w:rsid w:val="00B422B7"/>
    <w:rsid w:val="00B422D8"/>
    <w:rsid w:val="00B423A3"/>
    <w:rsid w:val="00B4257C"/>
    <w:rsid w:val="00B425A7"/>
    <w:rsid w:val="00B42688"/>
    <w:rsid w:val="00B428D2"/>
    <w:rsid w:val="00B42B21"/>
    <w:rsid w:val="00B42D1D"/>
    <w:rsid w:val="00B42D62"/>
    <w:rsid w:val="00B42E73"/>
    <w:rsid w:val="00B42EE8"/>
    <w:rsid w:val="00B43112"/>
    <w:rsid w:val="00B4321F"/>
    <w:rsid w:val="00B4325E"/>
    <w:rsid w:val="00B4332C"/>
    <w:rsid w:val="00B434B4"/>
    <w:rsid w:val="00B4369C"/>
    <w:rsid w:val="00B4372F"/>
    <w:rsid w:val="00B438DF"/>
    <w:rsid w:val="00B43A4A"/>
    <w:rsid w:val="00B43D40"/>
    <w:rsid w:val="00B43D8E"/>
    <w:rsid w:val="00B43EDB"/>
    <w:rsid w:val="00B440BC"/>
    <w:rsid w:val="00B44190"/>
    <w:rsid w:val="00B44223"/>
    <w:rsid w:val="00B44247"/>
    <w:rsid w:val="00B442B3"/>
    <w:rsid w:val="00B44419"/>
    <w:rsid w:val="00B444C8"/>
    <w:rsid w:val="00B44AAA"/>
    <w:rsid w:val="00B44ABE"/>
    <w:rsid w:val="00B44DD4"/>
    <w:rsid w:val="00B455A2"/>
    <w:rsid w:val="00B455FA"/>
    <w:rsid w:val="00B45640"/>
    <w:rsid w:val="00B45BA2"/>
    <w:rsid w:val="00B45C96"/>
    <w:rsid w:val="00B45FA7"/>
    <w:rsid w:val="00B45FAE"/>
    <w:rsid w:val="00B46035"/>
    <w:rsid w:val="00B4615B"/>
    <w:rsid w:val="00B463D8"/>
    <w:rsid w:val="00B46732"/>
    <w:rsid w:val="00B468A2"/>
    <w:rsid w:val="00B46933"/>
    <w:rsid w:val="00B47063"/>
    <w:rsid w:val="00B4717F"/>
    <w:rsid w:val="00B47250"/>
    <w:rsid w:val="00B472A1"/>
    <w:rsid w:val="00B4731E"/>
    <w:rsid w:val="00B474B2"/>
    <w:rsid w:val="00B47566"/>
    <w:rsid w:val="00B47714"/>
    <w:rsid w:val="00B47833"/>
    <w:rsid w:val="00B47844"/>
    <w:rsid w:val="00B4793B"/>
    <w:rsid w:val="00B47B94"/>
    <w:rsid w:val="00B47BCE"/>
    <w:rsid w:val="00B47D2A"/>
    <w:rsid w:val="00B5007C"/>
    <w:rsid w:val="00B500BB"/>
    <w:rsid w:val="00B50139"/>
    <w:rsid w:val="00B503BF"/>
    <w:rsid w:val="00B50548"/>
    <w:rsid w:val="00B5059F"/>
    <w:rsid w:val="00B50671"/>
    <w:rsid w:val="00B506E6"/>
    <w:rsid w:val="00B508D7"/>
    <w:rsid w:val="00B5096A"/>
    <w:rsid w:val="00B50AF5"/>
    <w:rsid w:val="00B50B71"/>
    <w:rsid w:val="00B50C1F"/>
    <w:rsid w:val="00B50E3C"/>
    <w:rsid w:val="00B50FC5"/>
    <w:rsid w:val="00B51245"/>
    <w:rsid w:val="00B5152C"/>
    <w:rsid w:val="00B5158A"/>
    <w:rsid w:val="00B515E9"/>
    <w:rsid w:val="00B5163D"/>
    <w:rsid w:val="00B517F8"/>
    <w:rsid w:val="00B519CE"/>
    <w:rsid w:val="00B51A1E"/>
    <w:rsid w:val="00B51B96"/>
    <w:rsid w:val="00B51D6D"/>
    <w:rsid w:val="00B51D82"/>
    <w:rsid w:val="00B523BC"/>
    <w:rsid w:val="00B52429"/>
    <w:rsid w:val="00B52608"/>
    <w:rsid w:val="00B52797"/>
    <w:rsid w:val="00B52843"/>
    <w:rsid w:val="00B528E9"/>
    <w:rsid w:val="00B52D82"/>
    <w:rsid w:val="00B52E1B"/>
    <w:rsid w:val="00B52E2D"/>
    <w:rsid w:val="00B531C2"/>
    <w:rsid w:val="00B53411"/>
    <w:rsid w:val="00B53493"/>
    <w:rsid w:val="00B53687"/>
    <w:rsid w:val="00B53B4F"/>
    <w:rsid w:val="00B53B89"/>
    <w:rsid w:val="00B53CF9"/>
    <w:rsid w:val="00B53E91"/>
    <w:rsid w:val="00B53FB4"/>
    <w:rsid w:val="00B540A6"/>
    <w:rsid w:val="00B54150"/>
    <w:rsid w:val="00B54522"/>
    <w:rsid w:val="00B54681"/>
    <w:rsid w:val="00B547B7"/>
    <w:rsid w:val="00B54E03"/>
    <w:rsid w:val="00B54EE7"/>
    <w:rsid w:val="00B55101"/>
    <w:rsid w:val="00B55155"/>
    <w:rsid w:val="00B5540C"/>
    <w:rsid w:val="00B55675"/>
    <w:rsid w:val="00B556FB"/>
    <w:rsid w:val="00B55770"/>
    <w:rsid w:val="00B55B52"/>
    <w:rsid w:val="00B55BF6"/>
    <w:rsid w:val="00B55EDD"/>
    <w:rsid w:val="00B5601C"/>
    <w:rsid w:val="00B56232"/>
    <w:rsid w:val="00B568C9"/>
    <w:rsid w:val="00B569DD"/>
    <w:rsid w:val="00B56CC7"/>
    <w:rsid w:val="00B56D01"/>
    <w:rsid w:val="00B56E56"/>
    <w:rsid w:val="00B57368"/>
    <w:rsid w:val="00B57429"/>
    <w:rsid w:val="00B57680"/>
    <w:rsid w:val="00B57687"/>
    <w:rsid w:val="00B57AC6"/>
    <w:rsid w:val="00B57B0C"/>
    <w:rsid w:val="00B57B8C"/>
    <w:rsid w:val="00B60127"/>
    <w:rsid w:val="00B601B9"/>
    <w:rsid w:val="00B601C6"/>
    <w:rsid w:val="00B60448"/>
    <w:rsid w:val="00B604A2"/>
    <w:rsid w:val="00B60864"/>
    <w:rsid w:val="00B608DE"/>
    <w:rsid w:val="00B6099B"/>
    <w:rsid w:val="00B6099D"/>
    <w:rsid w:val="00B609E2"/>
    <w:rsid w:val="00B609EE"/>
    <w:rsid w:val="00B60C57"/>
    <w:rsid w:val="00B60EC5"/>
    <w:rsid w:val="00B6107C"/>
    <w:rsid w:val="00B61252"/>
    <w:rsid w:val="00B61312"/>
    <w:rsid w:val="00B6140F"/>
    <w:rsid w:val="00B6142F"/>
    <w:rsid w:val="00B618BF"/>
    <w:rsid w:val="00B61AE5"/>
    <w:rsid w:val="00B61BB9"/>
    <w:rsid w:val="00B61C7A"/>
    <w:rsid w:val="00B61E20"/>
    <w:rsid w:val="00B620C7"/>
    <w:rsid w:val="00B6236B"/>
    <w:rsid w:val="00B623C2"/>
    <w:rsid w:val="00B6242E"/>
    <w:rsid w:val="00B62458"/>
    <w:rsid w:val="00B62677"/>
    <w:rsid w:val="00B6271F"/>
    <w:rsid w:val="00B62B96"/>
    <w:rsid w:val="00B62E57"/>
    <w:rsid w:val="00B62FCF"/>
    <w:rsid w:val="00B6302E"/>
    <w:rsid w:val="00B63276"/>
    <w:rsid w:val="00B635F3"/>
    <w:rsid w:val="00B6362A"/>
    <w:rsid w:val="00B6363D"/>
    <w:rsid w:val="00B637B6"/>
    <w:rsid w:val="00B6396E"/>
    <w:rsid w:val="00B63A79"/>
    <w:rsid w:val="00B63BDA"/>
    <w:rsid w:val="00B63C0C"/>
    <w:rsid w:val="00B63EA3"/>
    <w:rsid w:val="00B63F4C"/>
    <w:rsid w:val="00B63FFD"/>
    <w:rsid w:val="00B6446E"/>
    <w:rsid w:val="00B644EE"/>
    <w:rsid w:val="00B644FA"/>
    <w:rsid w:val="00B64513"/>
    <w:rsid w:val="00B64591"/>
    <w:rsid w:val="00B64611"/>
    <w:rsid w:val="00B64618"/>
    <w:rsid w:val="00B64841"/>
    <w:rsid w:val="00B64852"/>
    <w:rsid w:val="00B648AC"/>
    <w:rsid w:val="00B6495D"/>
    <w:rsid w:val="00B649D7"/>
    <w:rsid w:val="00B649F3"/>
    <w:rsid w:val="00B64B4F"/>
    <w:rsid w:val="00B64C15"/>
    <w:rsid w:val="00B64DC2"/>
    <w:rsid w:val="00B64FED"/>
    <w:rsid w:val="00B6536D"/>
    <w:rsid w:val="00B654FB"/>
    <w:rsid w:val="00B65AC1"/>
    <w:rsid w:val="00B65BFC"/>
    <w:rsid w:val="00B662B0"/>
    <w:rsid w:val="00B662B3"/>
    <w:rsid w:val="00B66473"/>
    <w:rsid w:val="00B664EA"/>
    <w:rsid w:val="00B6674F"/>
    <w:rsid w:val="00B669C1"/>
    <w:rsid w:val="00B66FD1"/>
    <w:rsid w:val="00B6702B"/>
    <w:rsid w:val="00B67162"/>
    <w:rsid w:val="00B6728F"/>
    <w:rsid w:val="00B67452"/>
    <w:rsid w:val="00B674A4"/>
    <w:rsid w:val="00B6766D"/>
    <w:rsid w:val="00B6787A"/>
    <w:rsid w:val="00B67904"/>
    <w:rsid w:val="00B67B8C"/>
    <w:rsid w:val="00B67BA4"/>
    <w:rsid w:val="00B67EBD"/>
    <w:rsid w:val="00B67FF4"/>
    <w:rsid w:val="00B67FFA"/>
    <w:rsid w:val="00B70093"/>
    <w:rsid w:val="00B700EE"/>
    <w:rsid w:val="00B7019C"/>
    <w:rsid w:val="00B701D5"/>
    <w:rsid w:val="00B7034C"/>
    <w:rsid w:val="00B7046E"/>
    <w:rsid w:val="00B7052C"/>
    <w:rsid w:val="00B708B3"/>
    <w:rsid w:val="00B7097B"/>
    <w:rsid w:val="00B70C60"/>
    <w:rsid w:val="00B70C68"/>
    <w:rsid w:val="00B70C89"/>
    <w:rsid w:val="00B70CAC"/>
    <w:rsid w:val="00B70D4F"/>
    <w:rsid w:val="00B70FD3"/>
    <w:rsid w:val="00B7148A"/>
    <w:rsid w:val="00B71524"/>
    <w:rsid w:val="00B71570"/>
    <w:rsid w:val="00B71824"/>
    <w:rsid w:val="00B71835"/>
    <w:rsid w:val="00B71A9B"/>
    <w:rsid w:val="00B71BBB"/>
    <w:rsid w:val="00B71C96"/>
    <w:rsid w:val="00B71E0A"/>
    <w:rsid w:val="00B71EAA"/>
    <w:rsid w:val="00B71FE2"/>
    <w:rsid w:val="00B72069"/>
    <w:rsid w:val="00B7230C"/>
    <w:rsid w:val="00B724C8"/>
    <w:rsid w:val="00B726B8"/>
    <w:rsid w:val="00B7272B"/>
    <w:rsid w:val="00B729C9"/>
    <w:rsid w:val="00B72E63"/>
    <w:rsid w:val="00B72F9D"/>
    <w:rsid w:val="00B730ED"/>
    <w:rsid w:val="00B73130"/>
    <w:rsid w:val="00B73407"/>
    <w:rsid w:val="00B73488"/>
    <w:rsid w:val="00B737A1"/>
    <w:rsid w:val="00B73800"/>
    <w:rsid w:val="00B738F2"/>
    <w:rsid w:val="00B73AA9"/>
    <w:rsid w:val="00B73B17"/>
    <w:rsid w:val="00B73B29"/>
    <w:rsid w:val="00B73B8C"/>
    <w:rsid w:val="00B73DF5"/>
    <w:rsid w:val="00B73ED2"/>
    <w:rsid w:val="00B73F3D"/>
    <w:rsid w:val="00B73FA3"/>
    <w:rsid w:val="00B74113"/>
    <w:rsid w:val="00B74134"/>
    <w:rsid w:val="00B744DB"/>
    <w:rsid w:val="00B7451D"/>
    <w:rsid w:val="00B74812"/>
    <w:rsid w:val="00B74A0E"/>
    <w:rsid w:val="00B74A20"/>
    <w:rsid w:val="00B74A49"/>
    <w:rsid w:val="00B74CCA"/>
    <w:rsid w:val="00B74DF5"/>
    <w:rsid w:val="00B74E7D"/>
    <w:rsid w:val="00B74FAF"/>
    <w:rsid w:val="00B75299"/>
    <w:rsid w:val="00B756EA"/>
    <w:rsid w:val="00B7579B"/>
    <w:rsid w:val="00B75940"/>
    <w:rsid w:val="00B75948"/>
    <w:rsid w:val="00B75A65"/>
    <w:rsid w:val="00B75CFA"/>
    <w:rsid w:val="00B75D8E"/>
    <w:rsid w:val="00B75F53"/>
    <w:rsid w:val="00B75F72"/>
    <w:rsid w:val="00B75F8E"/>
    <w:rsid w:val="00B76026"/>
    <w:rsid w:val="00B760B5"/>
    <w:rsid w:val="00B7622F"/>
    <w:rsid w:val="00B764E0"/>
    <w:rsid w:val="00B765DC"/>
    <w:rsid w:val="00B76983"/>
    <w:rsid w:val="00B76C98"/>
    <w:rsid w:val="00B76EEF"/>
    <w:rsid w:val="00B76FB9"/>
    <w:rsid w:val="00B7725D"/>
    <w:rsid w:val="00B773A1"/>
    <w:rsid w:val="00B77428"/>
    <w:rsid w:val="00B774F4"/>
    <w:rsid w:val="00B77534"/>
    <w:rsid w:val="00B77756"/>
    <w:rsid w:val="00B7779C"/>
    <w:rsid w:val="00B77976"/>
    <w:rsid w:val="00B779C3"/>
    <w:rsid w:val="00B77A0A"/>
    <w:rsid w:val="00B77B49"/>
    <w:rsid w:val="00B77BB3"/>
    <w:rsid w:val="00B77CD2"/>
    <w:rsid w:val="00B788B4"/>
    <w:rsid w:val="00B800D9"/>
    <w:rsid w:val="00B8020E"/>
    <w:rsid w:val="00B8069C"/>
    <w:rsid w:val="00B80ACB"/>
    <w:rsid w:val="00B80AD9"/>
    <w:rsid w:val="00B80D2F"/>
    <w:rsid w:val="00B80F1D"/>
    <w:rsid w:val="00B8108E"/>
    <w:rsid w:val="00B81211"/>
    <w:rsid w:val="00B81420"/>
    <w:rsid w:val="00B8143E"/>
    <w:rsid w:val="00B815DA"/>
    <w:rsid w:val="00B81680"/>
    <w:rsid w:val="00B81F4D"/>
    <w:rsid w:val="00B81FB6"/>
    <w:rsid w:val="00B82062"/>
    <w:rsid w:val="00B8217E"/>
    <w:rsid w:val="00B8241C"/>
    <w:rsid w:val="00B82431"/>
    <w:rsid w:val="00B82610"/>
    <w:rsid w:val="00B826CE"/>
    <w:rsid w:val="00B82714"/>
    <w:rsid w:val="00B8276F"/>
    <w:rsid w:val="00B8288D"/>
    <w:rsid w:val="00B82D85"/>
    <w:rsid w:val="00B82EC9"/>
    <w:rsid w:val="00B82ED4"/>
    <w:rsid w:val="00B82F86"/>
    <w:rsid w:val="00B83374"/>
    <w:rsid w:val="00B833BD"/>
    <w:rsid w:val="00B83518"/>
    <w:rsid w:val="00B8351E"/>
    <w:rsid w:val="00B8359B"/>
    <w:rsid w:val="00B837A2"/>
    <w:rsid w:val="00B837F0"/>
    <w:rsid w:val="00B838C0"/>
    <w:rsid w:val="00B838FB"/>
    <w:rsid w:val="00B839E9"/>
    <w:rsid w:val="00B83B5B"/>
    <w:rsid w:val="00B83CDC"/>
    <w:rsid w:val="00B83F0D"/>
    <w:rsid w:val="00B8409F"/>
    <w:rsid w:val="00B8453B"/>
    <w:rsid w:val="00B848E5"/>
    <w:rsid w:val="00B8496F"/>
    <w:rsid w:val="00B84A01"/>
    <w:rsid w:val="00B84D6D"/>
    <w:rsid w:val="00B84E0E"/>
    <w:rsid w:val="00B84F16"/>
    <w:rsid w:val="00B84FCC"/>
    <w:rsid w:val="00B850B6"/>
    <w:rsid w:val="00B85109"/>
    <w:rsid w:val="00B85146"/>
    <w:rsid w:val="00B852DF"/>
    <w:rsid w:val="00B853CF"/>
    <w:rsid w:val="00B85534"/>
    <w:rsid w:val="00B8562B"/>
    <w:rsid w:val="00B85828"/>
    <w:rsid w:val="00B859F2"/>
    <w:rsid w:val="00B85B3C"/>
    <w:rsid w:val="00B85C56"/>
    <w:rsid w:val="00B85CE5"/>
    <w:rsid w:val="00B85DC9"/>
    <w:rsid w:val="00B85F1C"/>
    <w:rsid w:val="00B85FC8"/>
    <w:rsid w:val="00B8621C"/>
    <w:rsid w:val="00B86413"/>
    <w:rsid w:val="00B864A3"/>
    <w:rsid w:val="00B86AA7"/>
    <w:rsid w:val="00B86CFD"/>
    <w:rsid w:val="00B86CFE"/>
    <w:rsid w:val="00B86D1D"/>
    <w:rsid w:val="00B871CC"/>
    <w:rsid w:val="00B871D7"/>
    <w:rsid w:val="00B87255"/>
    <w:rsid w:val="00B87483"/>
    <w:rsid w:val="00B8759F"/>
    <w:rsid w:val="00B879B2"/>
    <w:rsid w:val="00B87B68"/>
    <w:rsid w:val="00B87D59"/>
    <w:rsid w:val="00B87DA0"/>
    <w:rsid w:val="00B87E72"/>
    <w:rsid w:val="00B87E97"/>
    <w:rsid w:val="00B87EEA"/>
    <w:rsid w:val="00B90071"/>
    <w:rsid w:val="00B9013F"/>
    <w:rsid w:val="00B9016B"/>
    <w:rsid w:val="00B902BE"/>
    <w:rsid w:val="00B903A6"/>
    <w:rsid w:val="00B903D6"/>
    <w:rsid w:val="00B9052B"/>
    <w:rsid w:val="00B90594"/>
    <w:rsid w:val="00B90656"/>
    <w:rsid w:val="00B90872"/>
    <w:rsid w:val="00B90A80"/>
    <w:rsid w:val="00B90AA6"/>
    <w:rsid w:val="00B90CB9"/>
    <w:rsid w:val="00B90E9C"/>
    <w:rsid w:val="00B910B3"/>
    <w:rsid w:val="00B914A7"/>
    <w:rsid w:val="00B91976"/>
    <w:rsid w:val="00B91980"/>
    <w:rsid w:val="00B91CE3"/>
    <w:rsid w:val="00B9203C"/>
    <w:rsid w:val="00B92136"/>
    <w:rsid w:val="00B921EF"/>
    <w:rsid w:val="00B9260A"/>
    <w:rsid w:val="00B92B18"/>
    <w:rsid w:val="00B92D30"/>
    <w:rsid w:val="00B92E80"/>
    <w:rsid w:val="00B93101"/>
    <w:rsid w:val="00B93146"/>
    <w:rsid w:val="00B9322F"/>
    <w:rsid w:val="00B932D5"/>
    <w:rsid w:val="00B9335B"/>
    <w:rsid w:val="00B93647"/>
    <w:rsid w:val="00B936BF"/>
    <w:rsid w:val="00B93AF8"/>
    <w:rsid w:val="00B93C23"/>
    <w:rsid w:val="00B93D72"/>
    <w:rsid w:val="00B93D8A"/>
    <w:rsid w:val="00B93EAC"/>
    <w:rsid w:val="00B94010"/>
    <w:rsid w:val="00B94133"/>
    <w:rsid w:val="00B941A4"/>
    <w:rsid w:val="00B944D0"/>
    <w:rsid w:val="00B94750"/>
    <w:rsid w:val="00B94771"/>
    <w:rsid w:val="00B947B8"/>
    <w:rsid w:val="00B94851"/>
    <w:rsid w:val="00B94CBF"/>
    <w:rsid w:val="00B94E41"/>
    <w:rsid w:val="00B94EBC"/>
    <w:rsid w:val="00B95363"/>
    <w:rsid w:val="00B9544C"/>
    <w:rsid w:val="00B95534"/>
    <w:rsid w:val="00B95584"/>
    <w:rsid w:val="00B95772"/>
    <w:rsid w:val="00B957AD"/>
    <w:rsid w:val="00B959AA"/>
    <w:rsid w:val="00B95B67"/>
    <w:rsid w:val="00B95BFC"/>
    <w:rsid w:val="00B95DCC"/>
    <w:rsid w:val="00B95F9E"/>
    <w:rsid w:val="00B95FCC"/>
    <w:rsid w:val="00B961D0"/>
    <w:rsid w:val="00B96268"/>
    <w:rsid w:val="00B96356"/>
    <w:rsid w:val="00B9664A"/>
    <w:rsid w:val="00B96C5F"/>
    <w:rsid w:val="00B96C61"/>
    <w:rsid w:val="00B971A0"/>
    <w:rsid w:val="00B972A0"/>
    <w:rsid w:val="00B97339"/>
    <w:rsid w:val="00B97355"/>
    <w:rsid w:val="00B976CA"/>
    <w:rsid w:val="00B97ACF"/>
    <w:rsid w:val="00B97EFC"/>
    <w:rsid w:val="00B97F12"/>
    <w:rsid w:val="00B97F8A"/>
    <w:rsid w:val="00BA0071"/>
    <w:rsid w:val="00BA01F4"/>
    <w:rsid w:val="00BA01F6"/>
    <w:rsid w:val="00BA026C"/>
    <w:rsid w:val="00BA0625"/>
    <w:rsid w:val="00BA08DF"/>
    <w:rsid w:val="00BA0A92"/>
    <w:rsid w:val="00BA0B1A"/>
    <w:rsid w:val="00BA0B63"/>
    <w:rsid w:val="00BA0CA2"/>
    <w:rsid w:val="00BA0E0B"/>
    <w:rsid w:val="00BA0FEA"/>
    <w:rsid w:val="00BA12B4"/>
    <w:rsid w:val="00BA13A8"/>
    <w:rsid w:val="00BA156A"/>
    <w:rsid w:val="00BA1571"/>
    <w:rsid w:val="00BA1879"/>
    <w:rsid w:val="00BA18CE"/>
    <w:rsid w:val="00BA1A5A"/>
    <w:rsid w:val="00BA1A6F"/>
    <w:rsid w:val="00BA1CBD"/>
    <w:rsid w:val="00BA1D9F"/>
    <w:rsid w:val="00BA1E01"/>
    <w:rsid w:val="00BA1EF1"/>
    <w:rsid w:val="00BA1FBF"/>
    <w:rsid w:val="00BA200F"/>
    <w:rsid w:val="00BA24C3"/>
    <w:rsid w:val="00BA2692"/>
    <w:rsid w:val="00BA279B"/>
    <w:rsid w:val="00BA27C9"/>
    <w:rsid w:val="00BA28C0"/>
    <w:rsid w:val="00BA2D27"/>
    <w:rsid w:val="00BA2DF8"/>
    <w:rsid w:val="00BA2FA5"/>
    <w:rsid w:val="00BA313D"/>
    <w:rsid w:val="00BA326A"/>
    <w:rsid w:val="00BA3297"/>
    <w:rsid w:val="00BA3842"/>
    <w:rsid w:val="00BA3D1B"/>
    <w:rsid w:val="00BA3E12"/>
    <w:rsid w:val="00BA4400"/>
    <w:rsid w:val="00BA486F"/>
    <w:rsid w:val="00BA49B9"/>
    <w:rsid w:val="00BA4A3A"/>
    <w:rsid w:val="00BA4ABD"/>
    <w:rsid w:val="00BA4BA7"/>
    <w:rsid w:val="00BA4CE3"/>
    <w:rsid w:val="00BA4D8B"/>
    <w:rsid w:val="00BA4D9B"/>
    <w:rsid w:val="00BA4E45"/>
    <w:rsid w:val="00BA4EC3"/>
    <w:rsid w:val="00BA4EF6"/>
    <w:rsid w:val="00BA518D"/>
    <w:rsid w:val="00BA520A"/>
    <w:rsid w:val="00BA55A1"/>
    <w:rsid w:val="00BA5611"/>
    <w:rsid w:val="00BA5955"/>
    <w:rsid w:val="00BA5C84"/>
    <w:rsid w:val="00BA5D68"/>
    <w:rsid w:val="00BA64CF"/>
    <w:rsid w:val="00BA6BA3"/>
    <w:rsid w:val="00BA6C8E"/>
    <w:rsid w:val="00BA6F15"/>
    <w:rsid w:val="00BA6FF3"/>
    <w:rsid w:val="00BA7012"/>
    <w:rsid w:val="00BA7090"/>
    <w:rsid w:val="00BA70C1"/>
    <w:rsid w:val="00BA7234"/>
    <w:rsid w:val="00BA7449"/>
    <w:rsid w:val="00BA751F"/>
    <w:rsid w:val="00BA758A"/>
    <w:rsid w:val="00BA786D"/>
    <w:rsid w:val="00BA78E2"/>
    <w:rsid w:val="00BA7AFF"/>
    <w:rsid w:val="00BA7B26"/>
    <w:rsid w:val="00BB01C1"/>
    <w:rsid w:val="00BB06A3"/>
    <w:rsid w:val="00BB090C"/>
    <w:rsid w:val="00BB0936"/>
    <w:rsid w:val="00BB09B3"/>
    <w:rsid w:val="00BB0EED"/>
    <w:rsid w:val="00BB0F8F"/>
    <w:rsid w:val="00BB1219"/>
    <w:rsid w:val="00BB1358"/>
    <w:rsid w:val="00BB13CB"/>
    <w:rsid w:val="00BB1773"/>
    <w:rsid w:val="00BB1787"/>
    <w:rsid w:val="00BB19E7"/>
    <w:rsid w:val="00BB1A7B"/>
    <w:rsid w:val="00BB1A97"/>
    <w:rsid w:val="00BB1C51"/>
    <w:rsid w:val="00BB1D82"/>
    <w:rsid w:val="00BB1EEA"/>
    <w:rsid w:val="00BB212B"/>
    <w:rsid w:val="00BB213A"/>
    <w:rsid w:val="00BB215A"/>
    <w:rsid w:val="00BB21B0"/>
    <w:rsid w:val="00BB21E7"/>
    <w:rsid w:val="00BB227E"/>
    <w:rsid w:val="00BB2340"/>
    <w:rsid w:val="00BB243E"/>
    <w:rsid w:val="00BB262D"/>
    <w:rsid w:val="00BB26C6"/>
    <w:rsid w:val="00BB287D"/>
    <w:rsid w:val="00BB287F"/>
    <w:rsid w:val="00BB2B4E"/>
    <w:rsid w:val="00BB2B7B"/>
    <w:rsid w:val="00BB2C3D"/>
    <w:rsid w:val="00BB2CF7"/>
    <w:rsid w:val="00BB2D28"/>
    <w:rsid w:val="00BB2DF7"/>
    <w:rsid w:val="00BB2FB3"/>
    <w:rsid w:val="00BB3005"/>
    <w:rsid w:val="00BB37B1"/>
    <w:rsid w:val="00BB382D"/>
    <w:rsid w:val="00BB39A6"/>
    <w:rsid w:val="00BB3B01"/>
    <w:rsid w:val="00BB3B2E"/>
    <w:rsid w:val="00BB3CB9"/>
    <w:rsid w:val="00BB3DBC"/>
    <w:rsid w:val="00BB3E24"/>
    <w:rsid w:val="00BB3E7B"/>
    <w:rsid w:val="00BB4190"/>
    <w:rsid w:val="00BB4422"/>
    <w:rsid w:val="00BB448E"/>
    <w:rsid w:val="00BB4B4E"/>
    <w:rsid w:val="00BB4B69"/>
    <w:rsid w:val="00BB4BB2"/>
    <w:rsid w:val="00BB4CA2"/>
    <w:rsid w:val="00BB5069"/>
    <w:rsid w:val="00BB5099"/>
    <w:rsid w:val="00BB5170"/>
    <w:rsid w:val="00BB597F"/>
    <w:rsid w:val="00BB59D2"/>
    <w:rsid w:val="00BB5C1D"/>
    <w:rsid w:val="00BB5E6D"/>
    <w:rsid w:val="00BB5F1B"/>
    <w:rsid w:val="00BB5F1F"/>
    <w:rsid w:val="00BB5F2D"/>
    <w:rsid w:val="00BB6060"/>
    <w:rsid w:val="00BB6379"/>
    <w:rsid w:val="00BB63C6"/>
    <w:rsid w:val="00BB6430"/>
    <w:rsid w:val="00BB6629"/>
    <w:rsid w:val="00BB6704"/>
    <w:rsid w:val="00BB69D4"/>
    <w:rsid w:val="00BB6E48"/>
    <w:rsid w:val="00BB7018"/>
    <w:rsid w:val="00BB7036"/>
    <w:rsid w:val="00BB7177"/>
    <w:rsid w:val="00BB7396"/>
    <w:rsid w:val="00BB7675"/>
    <w:rsid w:val="00BB7785"/>
    <w:rsid w:val="00BB78D2"/>
    <w:rsid w:val="00BB7AF4"/>
    <w:rsid w:val="00BB7B37"/>
    <w:rsid w:val="00BB7E89"/>
    <w:rsid w:val="00BC03CA"/>
    <w:rsid w:val="00BC058C"/>
    <w:rsid w:val="00BC088C"/>
    <w:rsid w:val="00BC08AD"/>
    <w:rsid w:val="00BC098F"/>
    <w:rsid w:val="00BC0A36"/>
    <w:rsid w:val="00BC0AB8"/>
    <w:rsid w:val="00BC0B3E"/>
    <w:rsid w:val="00BC0B5C"/>
    <w:rsid w:val="00BC0C13"/>
    <w:rsid w:val="00BC0D1E"/>
    <w:rsid w:val="00BC11FF"/>
    <w:rsid w:val="00BC1208"/>
    <w:rsid w:val="00BC12E6"/>
    <w:rsid w:val="00BC141A"/>
    <w:rsid w:val="00BC1447"/>
    <w:rsid w:val="00BC1471"/>
    <w:rsid w:val="00BC150E"/>
    <w:rsid w:val="00BC1575"/>
    <w:rsid w:val="00BC19ED"/>
    <w:rsid w:val="00BC1A22"/>
    <w:rsid w:val="00BC1CDC"/>
    <w:rsid w:val="00BC1E86"/>
    <w:rsid w:val="00BC21AE"/>
    <w:rsid w:val="00BC2215"/>
    <w:rsid w:val="00BC228A"/>
    <w:rsid w:val="00BC25EC"/>
    <w:rsid w:val="00BC288C"/>
    <w:rsid w:val="00BC2980"/>
    <w:rsid w:val="00BC2988"/>
    <w:rsid w:val="00BC2A68"/>
    <w:rsid w:val="00BC2B2F"/>
    <w:rsid w:val="00BC2BA8"/>
    <w:rsid w:val="00BC2D83"/>
    <w:rsid w:val="00BC2F8C"/>
    <w:rsid w:val="00BC307F"/>
    <w:rsid w:val="00BC308E"/>
    <w:rsid w:val="00BC3405"/>
    <w:rsid w:val="00BC3525"/>
    <w:rsid w:val="00BC3880"/>
    <w:rsid w:val="00BC39D0"/>
    <w:rsid w:val="00BC3A09"/>
    <w:rsid w:val="00BC3A4C"/>
    <w:rsid w:val="00BC3AAA"/>
    <w:rsid w:val="00BC3F4B"/>
    <w:rsid w:val="00BC416D"/>
    <w:rsid w:val="00BC43C0"/>
    <w:rsid w:val="00BC457C"/>
    <w:rsid w:val="00BC45B9"/>
    <w:rsid w:val="00BC45CB"/>
    <w:rsid w:val="00BC4A87"/>
    <w:rsid w:val="00BC4B15"/>
    <w:rsid w:val="00BC4BA7"/>
    <w:rsid w:val="00BC4C07"/>
    <w:rsid w:val="00BC4CD4"/>
    <w:rsid w:val="00BC4E82"/>
    <w:rsid w:val="00BC5064"/>
    <w:rsid w:val="00BC5117"/>
    <w:rsid w:val="00BC53AC"/>
    <w:rsid w:val="00BC547F"/>
    <w:rsid w:val="00BC5573"/>
    <w:rsid w:val="00BC5574"/>
    <w:rsid w:val="00BC5915"/>
    <w:rsid w:val="00BC5E5A"/>
    <w:rsid w:val="00BC6082"/>
    <w:rsid w:val="00BC61BF"/>
    <w:rsid w:val="00BC61E8"/>
    <w:rsid w:val="00BC6321"/>
    <w:rsid w:val="00BC64EC"/>
    <w:rsid w:val="00BC6667"/>
    <w:rsid w:val="00BC67F4"/>
    <w:rsid w:val="00BC6862"/>
    <w:rsid w:val="00BC6A56"/>
    <w:rsid w:val="00BC6A57"/>
    <w:rsid w:val="00BC6B9B"/>
    <w:rsid w:val="00BC6C9B"/>
    <w:rsid w:val="00BC6E66"/>
    <w:rsid w:val="00BC6EEF"/>
    <w:rsid w:val="00BC6FC1"/>
    <w:rsid w:val="00BC7101"/>
    <w:rsid w:val="00BC74FC"/>
    <w:rsid w:val="00BC751C"/>
    <w:rsid w:val="00BC7839"/>
    <w:rsid w:val="00BC78D1"/>
    <w:rsid w:val="00BC7987"/>
    <w:rsid w:val="00BC7996"/>
    <w:rsid w:val="00BC79A5"/>
    <w:rsid w:val="00BC7A41"/>
    <w:rsid w:val="00BC7AE5"/>
    <w:rsid w:val="00BC7BF3"/>
    <w:rsid w:val="00BC7C6E"/>
    <w:rsid w:val="00BC7CCD"/>
    <w:rsid w:val="00BC7D0E"/>
    <w:rsid w:val="00BC7D3C"/>
    <w:rsid w:val="00BC7F33"/>
    <w:rsid w:val="00BC7F5E"/>
    <w:rsid w:val="00BC7F80"/>
    <w:rsid w:val="00BD021F"/>
    <w:rsid w:val="00BD038C"/>
    <w:rsid w:val="00BD03C4"/>
    <w:rsid w:val="00BD07F2"/>
    <w:rsid w:val="00BD08E7"/>
    <w:rsid w:val="00BD0B3B"/>
    <w:rsid w:val="00BD0B7B"/>
    <w:rsid w:val="00BD0C7D"/>
    <w:rsid w:val="00BD0E35"/>
    <w:rsid w:val="00BD0E80"/>
    <w:rsid w:val="00BD1364"/>
    <w:rsid w:val="00BD13AC"/>
    <w:rsid w:val="00BD18B7"/>
    <w:rsid w:val="00BD18EB"/>
    <w:rsid w:val="00BD1F45"/>
    <w:rsid w:val="00BD2169"/>
    <w:rsid w:val="00BD232F"/>
    <w:rsid w:val="00BD2538"/>
    <w:rsid w:val="00BD29A0"/>
    <w:rsid w:val="00BD2D39"/>
    <w:rsid w:val="00BD2E2A"/>
    <w:rsid w:val="00BD2EF4"/>
    <w:rsid w:val="00BD314B"/>
    <w:rsid w:val="00BD31F8"/>
    <w:rsid w:val="00BD32D1"/>
    <w:rsid w:val="00BD3457"/>
    <w:rsid w:val="00BD355C"/>
    <w:rsid w:val="00BD3567"/>
    <w:rsid w:val="00BD357B"/>
    <w:rsid w:val="00BD35BA"/>
    <w:rsid w:val="00BD3646"/>
    <w:rsid w:val="00BD3756"/>
    <w:rsid w:val="00BD397A"/>
    <w:rsid w:val="00BD3DA1"/>
    <w:rsid w:val="00BD3E16"/>
    <w:rsid w:val="00BD3E6E"/>
    <w:rsid w:val="00BD3F51"/>
    <w:rsid w:val="00BD3FE7"/>
    <w:rsid w:val="00BD420E"/>
    <w:rsid w:val="00BD434D"/>
    <w:rsid w:val="00BD4502"/>
    <w:rsid w:val="00BD4659"/>
    <w:rsid w:val="00BD4774"/>
    <w:rsid w:val="00BD48A4"/>
    <w:rsid w:val="00BD4B36"/>
    <w:rsid w:val="00BD4BFE"/>
    <w:rsid w:val="00BD4F79"/>
    <w:rsid w:val="00BD50A5"/>
    <w:rsid w:val="00BD5272"/>
    <w:rsid w:val="00BD550F"/>
    <w:rsid w:val="00BD557E"/>
    <w:rsid w:val="00BD5635"/>
    <w:rsid w:val="00BD5642"/>
    <w:rsid w:val="00BD569B"/>
    <w:rsid w:val="00BD57AF"/>
    <w:rsid w:val="00BD589D"/>
    <w:rsid w:val="00BD5C01"/>
    <w:rsid w:val="00BD5D1C"/>
    <w:rsid w:val="00BD5EF1"/>
    <w:rsid w:val="00BD617D"/>
    <w:rsid w:val="00BD630D"/>
    <w:rsid w:val="00BD63CA"/>
    <w:rsid w:val="00BD6417"/>
    <w:rsid w:val="00BD675A"/>
    <w:rsid w:val="00BD68A2"/>
    <w:rsid w:val="00BD68C5"/>
    <w:rsid w:val="00BD6CFD"/>
    <w:rsid w:val="00BD6EE5"/>
    <w:rsid w:val="00BD6FA2"/>
    <w:rsid w:val="00BD7028"/>
    <w:rsid w:val="00BD7463"/>
    <w:rsid w:val="00BD7859"/>
    <w:rsid w:val="00BD788F"/>
    <w:rsid w:val="00BD7A61"/>
    <w:rsid w:val="00BD7D67"/>
    <w:rsid w:val="00BD7DD9"/>
    <w:rsid w:val="00BD7ECD"/>
    <w:rsid w:val="00BD7F3C"/>
    <w:rsid w:val="00BD7F40"/>
    <w:rsid w:val="00BD7FA2"/>
    <w:rsid w:val="00BE00C3"/>
    <w:rsid w:val="00BE014A"/>
    <w:rsid w:val="00BE0180"/>
    <w:rsid w:val="00BE07A5"/>
    <w:rsid w:val="00BE0827"/>
    <w:rsid w:val="00BE086B"/>
    <w:rsid w:val="00BE08B1"/>
    <w:rsid w:val="00BE0D5F"/>
    <w:rsid w:val="00BE103F"/>
    <w:rsid w:val="00BE1046"/>
    <w:rsid w:val="00BE107D"/>
    <w:rsid w:val="00BE1199"/>
    <w:rsid w:val="00BE120E"/>
    <w:rsid w:val="00BE12DD"/>
    <w:rsid w:val="00BE175F"/>
    <w:rsid w:val="00BE17EC"/>
    <w:rsid w:val="00BE19B9"/>
    <w:rsid w:val="00BE19EB"/>
    <w:rsid w:val="00BE1B56"/>
    <w:rsid w:val="00BE1B8E"/>
    <w:rsid w:val="00BE1BF5"/>
    <w:rsid w:val="00BE20A8"/>
    <w:rsid w:val="00BE228C"/>
    <w:rsid w:val="00BE2443"/>
    <w:rsid w:val="00BE2453"/>
    <w:rsid w:val="00BE248A"/>
    <w:rsid w:val="00BE250B"/>
    <w:rsid w:val="00BE280B"/>
    <w:rsid w:val="00BE2841"/>
    <w:rsid w:val="00BE2973"/>
    <w:rsid w:val="00BE2BA9"/>
    <w:rsid w:val="00BE2BF4"/>
    <w:rsid w:val="00BE2F35"/>
    <w:rsid w:val="00BE2FA2"/>
    <w:rsid w:val="00BE3098"/>
    <w:rsid w:val="00BE318E"/>
    <w:rsid w:val="00BE36A2"/>
    <w:rsid w:val="00BE372D"/>
    <w:rsid w:val="00BE374C"/>
    <w:rsid w:val="00BE3788"/>
    <w:rsid w:val="00BE38FB"/>
    <w:rsid w:val="00BE399A"/>
    <w:rsid w:val="00BE3A71"/>
    <w:rsid w:val="00BE4039"/>
    <w:rsid w:val="00BE41E0"/>
    <w:rsid w:val="00BE4345"/>
    <w:rsid w:val="00BE4348"/>
    <w:rsid w:val="00BE440B"/>
    <w:rsid w:val="00BE47EC"/>
    <w:rsid w:val="00BE4939"/>
    <w:rsid w:val="00BE4A39"/>
    <w:rsid w:val="00BE4CC3"/>
    <w:rsid w:val="00BE4E04"/>
    <w:rsid w:val="00BE4E27"/>
    <w:rsid w:val="00BE4E29"/>
    <w:rsid w:val="00BE4FE3"/>
    <w:rsid w:val="00BE5082"/>
    <w:rsid w:val="00BE5181"/>
    <w:rsid w:val="00BE5623"/>
    <w:rsid w:val="00BE56B4"/>
    <w:rsid w:val="00BE58D8"/>
    <w:rsid w:val="00BE592D"/>
    <w:rsid w:val="00BE5A31"/>
    <w:rsid w:val="00BE5C89"/>
    <w:rsid w:val="00BE5EAF"/>
    <w:rsid w:val="00BE6018"/>
    <w:rsid w:val="00BE60F9"/>
    <w:rsid w:val="00BE641E"/>
    <w:rsid w:val="00BE64BA"/>
    <w:rsid w:val="00BE65F1"/>
    <w:rsid w:val="00BE6984"/>
    <w:rsid w:val="00BE6A5D"/>
    <w:rsid w:val="00BE6AB3"/>
    <w:rsid w:val="00BE6AB6"/>
    <w:rsid w:val="00BE6C4B"/>
    <w:rsid w:val="00BE6CC3"/>
    <w:rsid w:val="00BE7026"/>
    <w:rsid w:val="00BE736C"/>
    <w:rsid w:val="00BE741D"/>
    <w:rsid w:val="00BE7497"/>
    <w:rsid w:val="00BE78AD"/>
    <w:rsid w:val="00BE7FB9"/>
    <w:rsid w:val="00BF0074"/>
    <w:rsid w:val="00BF00C4"/>
    <w:rsid w:val="00BF0116"/>
    <w:rsid w:val="00BF0258"/>
    <w:rsid w:val="00BF0470"/>
    <w:rsid w:val="00BF05DB"/>
    <w:rsid w:val="00BF0919"/>
    <w:rsid w:val="00BF09CF"/>
    <w:rsid w:val="00BF0B0F"/>
    <w:rsid w:val="00BF0D04"/>
    <w:rsid w:val="00BF0D90"/>
    <w:rsid w:val="00BF0DE9"/>
    <w:rsid w:val="00BF0F22"/>
    <w:rsid w:val="00BF1248"/>
    <w:rsid w:val="00BF12CE"/>
    <w:rsid w:val="00BF1373"/>
    <w:rsid w:val="00BF15E4"/>
    <w:rsid w:val="00BF16DD"/>
    <w:rsid w:val="00BF178C"/>
    <w:rsid w:val="00BF184B"/>
    <w:rsid w:val="00BF1B09"/>
    <w:rsid w:val="00BF1B31"/>
    <w:rsid w:val="00BF1C19"/>
    <w:rsid w:val="00BF1D38"/>
    <w:rsid w:val="00BF1EED"/>
    <w:rsid w:val="00BF2014"/>
    <w:rsid w:val="00BF218A"/>
    <w:rsid w:val="00BF23A7"/>
    <w:rsid w:val="00BF272D"/>
    <w:rsid w:val="00BF2753"/>
    <w:rsid w:val="00BF27B1"/>
    <w:rsid w:val="00BF27CE"/>
    <w:rsid w:val="00BF29AF"/>
    <w:rsid w:val="00BF2C77"/>
    <w:rsid w:val="00BF2CF9"/>
    <w:rsid w:val="00BF2D03"/>
    <w:rsid w:val="00BF2DE0"/>
    <w:rsid w:val="00BF2F87"/>
    <w:rsid w:val="00BF33DD"/>
    <w:rsid w:val="00BF3558"/>
    <w:rsid w:val="00BF37EC"/>
    <w:rsid w:val="00BF399D"/>
    <w:rsid w:val="00BF39EE"/>
    <w:rsid w:val="00BF3A4C"/>
    <w:rsid w:val="00BF3B0D"/>
    <w:rsid w:val="00BF3BC7"/>
    <w:rsid w:val="00BF3CD4"/>
    <w:rsid w:val="00BF3CFA"/>
    <w:rsid w:val="00BF3D1D"/>
    <w:rsid w:val="00BF3D4B"/>
    <w:rsid w:val="00BF3E2B"/>
    <w:rsid w:val="00BF3E36"/>
    <w:rsid w:val="00BF3E4A"/>
    <w:rsid w:val="00BF3EB0"/>
    <w:rsid w:val="00BF3F5E"/>
    <w:rsid w:val="00BF3FD0"/>
    <w:rsid w:val="00BF4025"/>
    <w:rsid w:val="00BF425A"/>
    <w:rsid w:val="00BF437A"/>
    <w:rsid w:val="00BF44C2"/>
    <w:rsid w:val="00BF46A2"/>
    <w:rsid w:val="00BF4762"/>
    <w:rsid w:val="00BF47FA"/>
    <w:rsid w:val="00BF4AC1"/>
    <w:rsid w:val="00BF4C86"/>
    <w:rsid w:val="00BF4D93"/>
    <w:rsid w:val="00BF4E6C"/>
    <w:rsid w:val="00BF4FF8"/>
    <w:rsid w:val="00BF508A"/>
    <w:rsid w:val="00BF557D"/>
    <w:rsid w:val="00BF56FF"/>
    <w:rsid w:val="00BF59C0"/>
    <w:rsid w:val="00BF5A99"/>
    <w:rsid w:val="00BF5C2C"/>
    <w:rsid w:val="00BF5E68"/>
    <w:rsid w:val="00BF6198"/>
    <w:rsid w:val="00BF634D"/>
    <w:rsid w:val="00BF649F"/>
    <w:rsid w:val="00BF671C"/>
    <w:rsid w:val="00BF6875"/>
    <w:rsid w:val="00BF6947"/>
    <w:rsid w:val="00BF69E9"/>
    <w:rsid w:val="00BF6A5E"/>
    <w:rsid w:val="00BF6B7C"/>
    <w:rsid w:val="00BF6B90"/>
    <w:rsid w:val="00BF7024"/>
    <w:rsid w:val="00BF7084"/>
    <w:rsid w:val="00BF70E9"/>
    <w:rsid w:val="00BF71F4"/>
    <w:rsid w:val="00BF7284"/>
    <w:rsid w:val="00BF7436"/>
    <w:rsid w:val="00BF7446"/>
    <w:rsid w:val="00BF74ED"/>
    <w:rsid w:val="00BF758B"/>
    <w:rsid w:val="00BF786D"/>
    <w:rsid w:val="00BF79C2"/>
    <w:rsid w:val="00BF79EF"/>
    <w:rsid w:val="00BF7BD7"/>
    <w:rsid w:val="00BF7C97"/>
    <w:rsid w:val="00BF7CBE"/>
    <w:rsid w:val="00BF7CC4"/>
    <w:rsid w:val="00BF7CC7"/>
    <w:rsid w:val="00BF7D29"/>
    <w:rsid w:val="00BF7DE2"/>
    <w:rsid w:val="00BF7E0E"/>
    <w:rsid w:val="00BF7E3F"/>
    <w:rsid w:val="00BF7EC0"/>
    <w:rsid w:val="00C0020B"/>
    <w:rsid w:val="00C00262"/>
    <w:rsid w:val="00C002E6"/>
    <w:rsid w:val="00C005A2"/>
    <w:rsid w:val="00C006B8"/>
    <w:rsid w:val="00C009CD"/>
    <w:rsid w:val="00C00EF6"/>
    <w:rsid w:val="00C00F4C"/>
    <w:rsid w:val="00C00FB0"/>
    <w:rsid w:val="00C0105D"/>
    <w:rsid w:val="00C01245"/>
    <w:rsid w:val="00C0156D"/>
    <w:rsid w:val="00C01597"/>
    <w:rsid w:val="00C01727"/>
    <w:rsid w:val="00C017A0"/>
    <w:rsid w:val="00C017A6"/>
    <w:rsid w:val="00C0181D"/>
    <w:rsid w:val="00C01BCD"/>
    <w:rsid w:val="00C01C67"/>
    <w:rsid w:val="00C01CA5"/>
    <w:rsid w:val="00C01CAA"/>
    <w:rsid w:val="00C01F52"/>
    <w:rsid w:val="00C01F6A"/>
    <w:rsid w:val="00C01FE5"/>
    <w:rsid w:val="00C0200F"/>
    <w:rsid w:val="00C02168"/>
    <w:rsid w:val="00C02353"/>
    <w:rsid w:val="00C02596"/>
    <w:rsid w:val="00C0260F"/>
    <w:rsid w:val="00C0267C"/>
    <w:rsid w:val="00C026D7"/>
    <w:rsid w:val="00C02B0F"/>
    <w:rsid w:val="00C02B1C"/>
    <w:rsid w:val="00C02BB5"/>
    <w:rsid w:val="00C02C07"/>
    <w:rsid w:val="00C02D72"/>
    <w:rsid w:val="00C02E4D"/>
    <w:rsid w:val="00C03073"/>
    <w:rsid w:val="00C03286"/>
    <w:rsid w:val="00C03432"/>
    <w:rsid w:val="00C034E4"/>
    <w:rsid w:val="00C03800"/>
    <w:rsid w:val="00C03886"/>
    <w:rsid w:val="00C0397B"/>
    <w:rsid w:val="00C0398C"/>
    <w:rsid w:val="00C039A1"/>
    <w:rsid w:val="00C044F9"/>
    <w:rsid w:val="00C045D7"/>
    <w:rsid w:val="00C047E3"/>
    <w:rsid w:val="00C04EBD"/>
    <w:rsid w:val="00C051C9"/>
    <w:rsid w:val="00C0548F"/>
    <w:rsid w:val="00C055BA"/>
    <w:rsid w:val="00C0562D"/>
    <w:rsid w:val="00C05695"/>
    <w:rsid w:val="00C057A5"/>
    <w:rsid w:val="00C057DB"/>
    <w:rsid w:val="00C05DBB"/>
    <w:rsid w:val="00C05FA8"/>
    <w:rsid w:val="00C06059"/>
    <w:rsid w:val="00C060B2"/>
    <w:rsid w:val="00C0620C"/>
    <w:rsid w:val="00C06930"/>
    <w:rsid w:val="00C06B53"/>
    <w:rsid w:val="00C06BF7"/>
    <w:rsid w:val="00C06D15"/>
    <w:rsid w:val="00C06E67"/>
    <w:rsid w:val="00C06F9C"/>
    <w:rsid w:val="00C06FAD"/>
    <w:rsid w:val="00C06FFD"/>
    <w:rsid w:val="00C07013"/>
    <w:rsid w:val="00C07250"/>
    <w:rsid w:val="00C077AC"/>
    <w:rsid w:val="00C0782C"/>
    <w:rsid w:val="00C078EC"/>
    <w:rsid w:val="00C07973"/>
    <w:rsid w:val="00C079D9"/>
    <w:rsid w:val="00C07C04"/>
    <w:rsid w:val="00C07C79"/>
    <w:rsid w:val="00C10011"/>
    <w:rsid w:val="00C100B6"/>
    <w:rsid w:val="00C10201"/>
    <w:rsid w:val="00C1062F"/>
    <w:rsid w:val="00C1080B"/>
    <w:rsid w:val="00C1083D"/>
    <w:rsid w:val="00C10B91"/>
    <w:rsid w:val="00C10EFD"/>
    <w:rsid w:val="00C10F44"/>
    <w:rsid w:val="00C10F99"/>
    <w:rsid w:val="00C10FCF"/>
    <w:rsid w:val="00C1101F"/>
    <w:rsid w:val="00C112C7"/>
    <w:rsid w:val="00C116E9"/>
    <w:rsid w:val="00C116F6"/>
    <w:rsid w:val="00C11782"/>
    <w:rsid w:val="00C117D6"/>
    <w:rsid w:val="00C117DA"/>
    <w:rsid w:val="00C118DF"/>
    <w:rsid w:val="00C11A1D"/>
    <w:rsid w:val="00C11C23"/>
    <w:rsid w:val="00C11E55"/>
    <w:rsid w:val="00C11EA7"/>
    <w:rsid w:val="00C120B4"/>
    <w:rsid w:val="00C12341"/>
    <w:rsid w:val="00C12355"/>
    <w:rsid w:val="00C12573"/>
    <w:rsid w:val="00C12602"/>
    <w:rsid w:val="00C12699"/>
    <w:rsid w:val="00C126D9"/>
    <w:rsid w:val="00C127BB"/>
    <w:rsid w:val="00C12851"/>
    <w:rsid w:val="00C12889"/>
    <w:rsid w:val="00C129F6"/>
    <w:rsid w:val="00C12A06"/>
    <w:rsid w:val="00C12B70"/>
    <w:rsid w:val="00C12CD8"/>
    <w:rsid w:val="00C12D72"/>
    <w:rsid w:val="00C12D93"/>
    <w:rsid w:val="00C12E4B"/>
    <w:rsid w:val="00C12EE6"/>
    <w:rsid w:val="00C130F9"/>
    <w:rsid w:val="00C13107"/>
    <w:rsid w:val="00C1314B"/>
    <w:rsid w:val="00C131F1"/>
    <w:rsid w:val="00C132A0"/>
    <w:rsid w:val="00C1347A"/>
    <w:rsid w:val="00C134C6"/>
    <w:rsid w:val="00C13843"/>
    <w:rsid w:val="00C13B59"/>
    <w:rsid w:val="00C13BE2"/>
    <w:rsid w:val="00C13BF5"/>
    <w:rsid w:val="00C13D5A"/>
    <w:rsid w:val="00C13ED0"/>
    <w:rsid w:val="00C13FA6"/>
    <w:rsid w:val="00C1402C"/>
    <w:rsid w:val="00C1406A"/>
    <w:rsid w:val="00C14261"/>
    <w:rsid w:val="00C1443C"/>
    <w:rsid w:val="00C144F4"/>
    <w:rsid w:val="00C145A3"/>
    <w:rsid w:val="00C14817"/>
    <w:rsid w:val="00C1498C"/>
    <w:rsid w:val="00C14A5E"/>
    <w:rsid w:val="00C14A6C"/>
    <w:rsid w:val="00C14C84"/>
    <w:rsid w:val="00C14CEC"/>
    <w:rsid w:val="00C14DC4"/>
    <w:rsid w:val="00C14FFB"/>
    <w:rsid w:val="00C1527B"/>
    <w:rsid w:val="00C153F8"/>
    <w:rsid w:val="00C1553E"/>
    <w:rsid w:val="00C156A2"/>
    <w:rsid w:val="00C158D4"/>
    <w:rsid w:val="00C15976"/>
    <w:rsid w:val="00C15A60"/>
    <w:rsid w:val="00C16048"/>
    <w:rsid w:val="00C16092"/>
    <w:rsid w:val="00C16200"/>
    <w:rsid w:val="00C163DC"/>
    <w:rsid w:val="00C167B6"/>
    <w:rsid w:val="00C169CB"/>
    <w:rsid w:val="00C16A25"/>
    <w:rsid w:val="00C16CD3"/>
    <w:rsid w:val="00C16FC5"/>
    <w:rsid w:val="00C171FA"/>
    <w:rsid w:val="00C17230"/>
    <w:rsid w:val="00C175A1"/>
    <w:rsid w:val="00C175AE"/>
    <w:rsid w:val="00C1765D"/>
    <w:rsid w:val="00C176E6"/>
    <w:rsid w:val="00C17816"/>
    <w:rsid w:val="00C17A31"/>
    <w:rsid w:val="00C17A81"/>
    <w:rsid w:val="00C202A6"/>
    <w:rsid w:val="00C205BC"/>
    <w:rsid w:val="00C20A37"/>
    <w:rsid w:val="00C20A60"/>
    <w:rsid w:val="00C20F61"/>
    <w:rsid w:val="00C20FA4"/>
    <w:rsid w:val="00C21126"/>
    <w:rsid w:val="00C211BB"/>
    <w:rsid w:val="00C2133A"/>
    <w:rsid w:val="00C213E1"/>
    <w:rsid w:val="00C2150D"/>
    <w:rsid w:val="00C21634"/>
    <w:rsid w:val="00C2174A"/>
    <w:rsid w:val="00C21A1F"/>
    <w:rsid w:val="00C21C8C"/>
    <w:rsid w:val="00C21D86"/>
    <w:rsid w:val="00C21E66"/>
    <w:rsid w:val="00C221D5"/>
    <w:rsid w:val="00C2262B"/>
    <w:rsid w:val="00C22848"/>
    <w:rsid w:val="00C229DA"/>
    <w:rsid w:val="00C22CA5"/>
    <w:rsid w:val="00C22CC6"/>
    <w:rsid w:val="00C22D15"/>
    <w:rsid w:val="00C22EF2"/>
    <w:rsid w:val="00C22FB2"/>
    <w:rsid w:val="00C22FF1"/>
    <w:rsid w:val="00C230B2"/>
    <w:rsid w:val="00C2314B"/>
    <w:rsid w:val="00C2318D"/>
    <w:rsid w:val="00C232CF"/>
    <w:rsid w:val="00C23322"/>
    <w:rsid w:val="00C233BB"/>
    <w:rsid w:val="00C234BF"/>
    <w:rsid w:val="00C23717"/>
    <w:rsid w:val="00C238A0"/>
    <w:rsid w:val="00C23927"/>
    <w:rsid w:val="00C242C8"/>
    <w:rsid w:val="00C24309"/>
    <w:rsid w:val="00C243E3"/>
    <w:rsid w:val="00C24A8C"/>
    <w:rsid w:val="00C24B69"/>
    <w:rsid w:val="00C24BF8"/>
    <w:rsid w:val="00C24F23"/>
    <w:rsid w:val="00C25141"/>
    <w:rsid w:val="00C25306"/>
    <w:rsid w:val="00C2533A"/>
    <w:rsid w:val="00C25511"/>
    <w:rsid w:val="00C2553D"/>
    <w:rsid w:val="00C25759"/>
    <w:rsid w:val="00C2575B"/>
    <w:rsid w:val="00C258D2"/>
    <w:rsid w:val="00C25A3C"/>
    <w:rsid w:val="00C25BB1"/>
    <w:rsid w:val="00C25BFC"/>
    <w:rsid w:val="00C25C90"/>
    <w:rsid w:val="00C25D16"/>
    <w:rsid w:val="00C25E5A"/>
    <w:rsid w:val="00C25FCD"/>
    <w:rsid w:val="00C26026"/>
    <w:rsid w:val="00C2603F"/>
    <w:rsid w:val="00C261D7"/>
    <w:rsid w:val="00C26310"/>
    <w:rsid w:val="00C26543"/>
    <w:rsid w:val="00C26577"/>
    <w:rsid w:val="00C2664D"/>
    <w:rsid w:val="00C2680B"/>
    <w:rsid w:val="00C268BF"/>
    <w:rsid w:val="00C26C37"/>
    <w:rsid w:val="00C26CC0"/>
    <w:rsid w:val="00C26DCF"/>
    <w:rsid w:val="00C26E71"/>
    <w:rsid w:val="00C26F2D"/>
    <w:rsid w:val="00C2730F"/>
    <w:rsid w:val="00C2745E"/>
    <w:rsid w:val="00C27608"/>
    <w:rsid w:val="00C2786E"/>
    <w:rsid w:val="00C279BC"/>
    <w:rsid w:val="00C27A64"/>
    <w:rsid w:val="00C27BF7"/>
    <w:rsid w:val="00C27CCA"/>
    <w:rsid w:val="00C27CD0"/>
    <w:rsid w:val="00C27DFB"/>
    <w:rsid w:val="00C30246"/>
    <w:rsid w:val="00C30251"/>
    <w:rsid w:val="00C3037E"/>
    <w:rsid w:val="00C307C1"/>
    <w:rsid w:val="00C30829"/>
    <w:rsid w:val="00C30CDB"/>
    <w:rsid w:val="00C30D24"/>
    <w:rsid w:val="00C30D5D"/>
    <w:rsid w:val="00C310E4"/>
    <w:rsid w:val="00C31116"/>
    <w:rsid w:val="00C3126E"/>
    <w:rsid w:val="00C312A8"/>
    <w:rsid w:val="00C31301"/>
    <w:rsid w:val="00C313F9"/>
    <w:rsid w:val="00C314F6"/>
    <w:rsid w:val="00C315A8"/>
    <w:rsid w:val="00C3164C"/>
    <w:rsid w:val="00C31955"/>
    <w:rsid w:val="00C319E5"/>
    <w:rsid w:val="00C31AC5"/>
    <w:rsid w:val="00C31C74"/>
    <w:rsid w:val="00C31C78"/>
    <w:rsid w:val="00C31D99"/>
    <w:rsid w:val="00C31DB6"/>
    <w:rsid w:val="00C31E39"/>
    <w:rsid w:val="00C31FBA"/>
    <w:rsid w:val="00C32116"/>
    <w:rsid w:val="00C32595"/>
    <w:rsid w:val="00C32671"/>
    <w:rsid w:val="00C32805"/>
    <w:rsid w:val="00C329A9"/>
    <w:rsid w:val="00C32AC4"/>
    <w:rsid w:val="00C32CB4"/>
    <w:rsid w:val="00C32CEA"/>
    <w:rsid w:val="00C33003"/>
    <w:rsid w:val="00C33144"/>
    <w:rsid w:val="00C33162"/>
    <w:rsid w:val="00C333E7"/>
    <w:rsid w:val="00C33748"/>
    <w:rsid w:val="00C33B7B"/>
    <w:rsid w:val="00C33D5D"/>
    <w:rsid w:val="00C34128"/>
    <w:rsid w:val="00C342D0"/>
    <w:rsid w:val="00C34390"/>
    <w:rsid w:val="00C34518"/>
    <w:rsid w:val="00C347F8"/>
    <w:rsid w:val="00C34A25"/>
    <w:rsid w:val="00C34A64"/>
    <w:rsid w:val="00C34B1C"/>
    <w:rsid w:val="00C34BC7"/>
    <w:rsid w:val="00C34C70"/>
    <w:rsid w:val="00C34CBF"/>
    <w:rsid w:val="00C34D39"/>
    <w:rsid w:val="00C34E72"/>
    <w:rsid w:val="00C34EA1"/>
    <w:rsid w:val="00C34EF8"/>
    <w:rsid w:val="00C35153"/>
    <w:rsid w:val="00C352BC"/>
    <w:rsid w:val="00C352FE"/>
    <w:rsid w:val="00C35444"/>
    <w:rsid w:val="00C354C6"/>
    <w:rsid w:val="00C355CA"/>
    <w:rsid w:val="00C35836"/>
    <w:rsid w:val="00C35AD8"/>
    <w:rsid w:val="00C35BAB"/>
    <w:rsid w:val="00C35C31"/>
    <w:rsid w:val="00C36106"/>
    <w:rsid w:val="00C362B9"/>
    <w:rsid w:val="00C3638C"/>
    <w:rsid w:val="00C3647E"/>
    <w:rsid w:val="00C364A2"/>
    <w:rsid w:val="00C36521"/>
    <w:rsid w:val="00C36556"/>
    <w:rsid w:val="00C36705"/>
    <w:rsid w:val="00C3671D"/>
    <w:rsid w:val="00C368CC"/>
    <w:rsid w:val="00C36980"/>
    <w:rsid w:val="00C369F1"/>
    <w:rsid w:val="00C369FD"/>
    <w:rsid w:val="00C36A6E"/>
    <w:rsid w:val="00C36B19"/>
    <w:rsid w:val="00C36B60"/>
    <w:rsid w:val="00C36B87"/>
    <w:rsid w:val="00C36C99"/>
    <w:rsid w:val="00C36EA8"/>
    <w:rsid w:val="00C36EC0"/>
    <w:rsid w:val="00C371EA"/>
    <w:rsid w:val="00C372BF"/>
    <w:rsid w:val="00C37356"/>
    <w:rsid w:val="00C37512"/>
    <w:rsid w:val="00C3752D"/>
    <w:rsid w:val="00C37647"/>
    <w:rsid w:val="00C376B6"/>
    <w:rsid w:val="00C37728"/>
    <w:rsid w:val="00C3773A"/>
    <w:rsid w:val="00C3795D"/>
    <w:rsid w:val="00C37F07"/>
    <w:rsid w:val="00C4001E"/>
    <w:rsid w:val="00C40127"/>
    <w:rsid w:val="00C40354"/>
    <w:rsid w:val="00C40505"/>
    <w:rsid w:val="00C405B0"/>
    <w:rsid w:val="00C4068D"/>
    <w:rsid w:val="00C40755"/>
    <w:rsid w:val="00C4081F"/>
    <w:rsid w:val="00C40980"/>
    <w:rsid w:val="00C40AF9"/>
    <w:rsid w:val="00C40C59"/>
    <w:rsid w:val="00C40C99"/>
    <w:rsid w:val="00C41235"/>
    <w:rsid w:val="00C41311"/>
    <w:rsid w:val="00C41485"/>
    <w:rsid w:val="00C414B1"/>
    <w:rsid w:val="00C415EC"/>
    <w:rsid w:val="00C4162F"/>
    <w:rsid w:val="00C41856"/>
    <w:rsid w:val="00C4196A"/>
    <w:rsid w:val="00C41BDF"/>
    <w:rsid w:val="00C41C26"/>
    <w:rsid w:val="00C41C59"/>
    <w:rsid w:val="00C41E94"/>
    <w:rsid w:val="00C4230B"/>
    <w:rsid w:val="00C424A9"/>
    <w:rsid w:val="00C427ED"/>
    <w:rsid w:val="00C429A2"/>
    <w:rsid w:val="00C42AA8"/>
    <w:rsid w:val="00C42AE4"/>
    <w:rsid w:val="00C42CD6"/>
    <w:rsid w:val="00C42D04"/>
    <w:rsid w:val="00C42E11"/>
    <w:rsid w:val="00C42E98"/>
    <w:rsid w:val="00C432D8"/>
    <w:rsid w:val="00C434C3"/>
    <w:rsid w:val="00C4356D"/>
    <w:rsid w:val="00C43768"/>
    <w:rsid w:val="00C43978"/>
    <w:rsid w:val="00C43991"/>
    <w:rsid w:val="00C43A5A"/>
    <w:rsid w:val="00C43BE5"/>
    <w:rsid w:val="00C43D8A"/>
    <w:rsid w:val="00C4425A"/>
    <w:rsid w:val="00C442DE"/>
    <w:rsid w:val="00C4434F"/>
    <w:rsid w:val="00C44377"/>
    <w:rsid w:val="00C443E3"/>
    <w:rsid w:val="00C44676"/>
    <w:rsid w:val="00C44806"/>
    <w:rsid w:val="00C44849"/>
    <w:rsid w:val="00C44925"/>
    <w:rsid w:val="00C44AA8"/>
    <w:rsid w:val="00C44CB2"/>
    <w:rsid w:val="00C44D68"/>
    <w:rsid w:val="00C44D83"/>
    <w:rsid w:val="00C44F60"/>
    <w:rsid w:val="00C450EF"/>
    <w:rsid w:val="00C4515A"/>
    <w:rsid w:val="00C4520A"/>
    <w:rsid w:val="00C45383"/>
    <w:rsid w:val="00C45698"/>
    <w:rsid w:val="00C4586F"/>
    <w:rsid w:val="00C4588A"/>
    <w:rsid w:val="00C459EB"/>
    <w:rsid w:val="00C45AB6"/>
    <w:rsid w:val="00C45DB5"/>
    <w:rsid w:val="00C45F35"/>
    <w:rsid w:val="00C45FF3"/>
    <w:rsid w:val="00C46028"/>
    <w:rsid w:val="00C46091"/>
    <w:rsid w:val="00C460C4"/>
    <w:rsid w:val="00C460D3"/>
    <w:rsid w:val="00C46209"/>
    <w:rsid w:val="00C4630B"/>
    <w:rsid w:val="00C46555"/>
    <w:rsid w:val="00C46578"/>
    <w:rsid w:val="00C46A04"/>
    <w:rsid w:val="00C46DF6"/>
    <w:rsid w:val="00C470E3"/>
    <w:rsid w:val="00C47100"/>
    <w:rsid w:val="00C472D2"/>
    <w:rsid w:val="00C4731D"/>
    <w:rsid w:val="00C47357"/>
    <w:rsid w:val="00C4780A"/>
    <w:rsid w:val="00C4791D"/>
    <w:rsid w:val="00C47AA2"/>
    <w:rsid w:val="00C47AA7"/>
    <w:rsid w:val="00C5001E"/>
    <w:rsid w:val="00C50026"/>
    <w:rsid w:val="00C5006C"/>
    <w:rsid w:val="00C50519"/>
    <w:rsid w:val="00C5058D"/>
    <w:rsid w:val="00C50643"/>
    <w:rsid w:val="00C5075B"/>
    <w:rsid w:val="00C50AFE"/>
    <w:rsid w:val="00C50BD8"/>
    <w:rsid w:val="00C50C8F"/>
    <w:rsid w:val="00C50DE9"/>
    <w:rsid w:val="00C50E28"/>
    <w:rsid w:val="00C51015"/>
    <w:rsid w:val="00C51020"/>
    <w:rsid w:val="00C51175"/>
    <w:rsid w:val="00C5128C"/>
    <w:rsid w:val="00C5129F"/>
    <w:rsid w:val="00C5151E"/>
    <w:rsid w:val="00C51553"/>
    <w:rsid w:val="00C51676"/>
    <w:rsid w:val="00C51733"/>
    <w:rsid w:val="00C517A0"/>
    <w:rsid w:val="00C5184A"/>
    <w:rsid w:val="00C51A91"/>
    <w:rsid w:val="00C51A97"/>
    <w:rsid w:val="00C51ABB"/>
    <w:rsid w:val="00C51D8A"/>
    <w:rsid w:val="00C51E10"/>
    <w:rsid w:val="00C52231"/>
    <w:rsid w:val="00C52278"/>
    <w:rsid w:val="00C522C5"/>
    <w:rsid w:val="00C525B0"/>
    <w:rsid w:val="00C525D5"/>
    <w:rsid w:val="00C5269F"/>
    <w:rsid w:val="00C52856"/>
    <w:rsid w:val="00C52B7E"/>
    <w:rsid w:val="00C5309D"/>
    <w:rsid w:val="00C532BD"/>
    <w:rsid w:val="00C534DF"/>
    <w:rsid w:val="00C53656"/>
    <w:rsid w:val="00C538AF"/>
    <w:rsid w:val="00C5395E"/>
    <w:rsid w:val="00C5398B"/>
    <w:rsid w:val="00C53BCF"/>
    <w:rsid w:val="00C53CCB"/>
    <w:rsid w:val="00C53DA7"/>
    <w:rsid w:val="00C53DBD"/>
    <w:rsid w:val="00C53E05"/>
    <w:rsid w:val="00C5406E"/>
    <w:rsid w:val="00C54158"/>
    <w:rsid w:val="00C541A7"/>
    <w:rsid w:val="00C541CF"/>
    <w:rsid w:val="00C54249"/>
    <w:rsid w:val="00C5444E"/>
    <w:rsid w:val="00C5449A"/>
    <w:rsid w:val="00C547F8"/>
    <w:rsid w:val="00C548DC"/>
    <w:rsid w:val="00C54DE2"/>
    <w:rsid w:val="00C54F46"/>
    <w:rsid w:val="00C54F4B"/>
    <w:rsid w:val="00C55032"/>
    <w:rsid w:val="00C55349"/>
    <w:rsid w:val="00C55447"/>
    <w:rsid w:val="00C5553D"/>
    <w:rsid w:val="00C5564A"/>
    <w:rsid w:val="00C5581D"/>
    <w:rsid w:val="00C55CD4"/>
    <w:rsid w:val="00C55F7C"/>
    <w:rsid w:val="00C56008"/>
    <w:rsid w:val="00C56168"/>
    <w:rsid w:val="00C562A0"/>
    <w:rsid w:val="00C56363"/>
    <w:rsid w:val="00C563D5"/>
    <w:rsid w:val="00C564A1"/>
    <w:rsid w:val="00C56860"/>
    <w:rsid w:val="00C5690E"/>
    <w:rsid w:val="00C56AFE"/>
    <w:rsid w:val="00C56D91"/>
    <w:rsid w:val="00C56DC3"/>
    <w:rsid w:val="00C57059"/>
    <w:rsid w:val="00C571C1"/>
    <w:rsid w:val="00C571CC"/>
    <w:rsid w:val="00C5758F"/>
    <w:rsid w:val="00C576C0"/>
    <w:rsid w:val="00C57B36"/>
    <w:rsid w:val="00C57C0D"/>
    <w:rsid w:val="00C60025"/>
    <w:rsid w:val="00C602D0"/>
    <w:rsid w:val="00C60472"/>
    <w:rsid w:val="00C6069B"/>
    <w:rsid w:val="00C606ED"/>
    <w:rsid w:val="00C60790"/>
    <w:rsid w:val="00C607A3"/>
    <w:rsid w:val="00C609BD"/>
    <w:rsid w:val="00C60A3D"/>
    <w:rsid w:val="00C60BBF"/>
    <w:rsid w:val="00C60C9F"/>
    <w:rsid w:val="00C60EE1"/>
    <w:rsid w:val="00C61191"/>
    <w:rsid w:val="00C61289"/>
    <w:rsid w:val="00C61717"/>
    <w:rsid w:val="00C61719"/>
    <w:rsid w:val="00C61826"/>
    <w:rsid w:val="00C61D68"/>
    <w:rsid w:val="00C61D8C"/>
    <w:rsid w:val="00C620B8"/>
    <w:rsid w:val="00C620FF"/>
    <w:rsid w:val="00C62437"/>
    <w:rsid w:val="00C624FA"/>
    <w:rsid w:val="00C626CF"/>
    <w:rsid w:val="00C62791"/>
    <w:rsid w:val="00C62BE1"/>
    <w:rsid w:val="00C62D2C"/>
    <w:rsid w:val="00C62E98"/>
    <w:rsid w:val="00C632D3"/>
    <w:rsid w:val="00C6338B"/>
    <w:rsid w:val="00C63807"/>
    <w:rsid w:val="00C639CE"/>
    <w:rsid w:val="00C63BB8"/>
    <w:rsid w:val="00C63D6B"/>
    <w:rsid w:val="00C63DF7"/>
    <w:rsid w:val="00C63E26"/>
    <w:rsid w:val="00C6416A"/>
    <w:rsid w:val="00C642B3"/>
    <w:rsid w:val="00C64662"/>
    <w:rsid w:val="00C649BE"/>
    <w:rsid w:val="00C64E13"/>
    <w:rsid w:val="00C64E2C"/>
    <w:rsid w:val="00C64E3B"/>
    <w:rsid w:val="00C64E63"/>
    <w:rsid w:val="00C64E6D"/>
    <w:rsid w:val="00C64EDA"/>
    <w:rsid w:val="00C64F60"/>
    <w:rsid w:val="00C650E2"/>
    <w:rsid w:val="00C652E1"/>
    <w:rsid w:val="00C65364"/>
    <w:rsid w:val="00C655DF"/>
    <w:rsid w:val="00C6562D"/>
    <w:rsid w:val="00C65654"/>
    <w:rsid w:val="00C65852"/>
    <w:rsid w:val="00C658FD"/>
    <w:rsid w:val="00C6593F"/>
    <w:rsid w:val="00C659ED"/>
    <w:rsid w:val="00C65A6B"/>
    <w:rsid w:val="00C65B54"/>
    <w:rsid w:val="00C65BFD"/>
    <w:rsid w:val="00C65C18"/>
    <w:rsid w:val="00C66016"/>
    <w:rsid w:val="00C6602E"/>
    <w:rsid w:val="00C660B4"/>
    <w:rsid w:val="00C661CF"/>
    <w:rsid w:val="00C661D3"/>
    <w:rsid w:val="00C662A5"/>
    <w:rsid w:val="00C663AA"/>
    <w:rsid w:val="00C6647A"/>
    <w:rsid w:val="00C66532"/>
    <w:rsid w:val="00C6677E"/>
    <w:rsid w:val="00C669A7"/>
    <w:rsid w:val="00C66B7B"/>
    <w:rsid w:val="00C66CB8"/>
    <w:rsid w:val="00C67023"/>
    <w:rsid w:val="00C67394"/>
    <w:rsid w:val="00C67742"/>
    <w:rsid w:val="00C677A9"/>
    <w:rsid w:val="00C677D0"/>
    <w:rsid w:val="00C677DD"/>
    <w:rsid w:val="00C678A3"/>
    <w:rsid w:val="00C67A43"/>
    <w:rsid w:val="00C67AC7"/>
    <w:rsid w:val="00C67B37"/>
    <w:rsid w:val="00C67B4E"/>
    <w:rsid w:val="00C67D78"/>
    <w:rsid w:val="00C67EF1"/>
    <w:rsid w:val="00C67EF4"/>
    <w:rsid w:val="00C67F06"/>
    <w:rsid w:val="00C701B6"/>
    <w:rsid w:val="00C703C8"/>
    <w:rsid w:val="00C70631"/>
    <w:rsid w:val="00C70692"/>
    <w:rsid w:val="00C708AB"/>
    <w:rsid w:val="00C708DD"/>
    <w:rsid w:val="00C70987"/>
    <w:rsid w:val="00C70ACD"/>
    <w:rsid w:val="00C70AD1"/>
    <w:rsid w:val="00C70B33"/>
    <w:rsid w:val="00C70B3F"/>
    <w:rsid w:val="00C70C85"/>
    <w:rsid w:val="00C70CA3"/>
    <w:rsid w:val="00C70CCA"/>
    <w:rsid w:val="00C70D8D"/>
    <w:rsid w:val="00C70DAC"/>
    <w:rsid w:val="00C70E55"/>
    <w:rsid w:val="00C70EF9"/>
    <w:rsid w:val="00C70F5F"/>
    <w:rsid w:val="00C710F2"/>
    <w:rsid w:val="00C7137F"/>
    <w:rsid w:val="00C716D6"/>
    <w:rsid w:val="00C7188F"/>
    <w:rsid w:val="00C71987"/>
    <w:rsid w:val="00C71C07"/>
    <w:rsid w:val="00C725ED"/>
    <w:rsid w:val="00C7261A"/>
    <w:rsid w:val="00C72798"/>
    <w:rsid w:val="00C727CA"/>
    <w:rsid w:val="00C7284D"/>
    <w:rsid w:val="00C7288E"/>
    <w:rsid w:val="00C729C8"/>
    <w:rsid w:val="00C72B07"/>
    <w:rsid w:val="00C72B85"/>
    <w:rsid w:val="00C72BA2"/>
    <w:rsid w:val="00C72C83"/>
    <w:rsid w:val="00C72CE9"/>
    <w:rsid w:val="00C73066"/>
    <w:rsid w:val="00C730AC"/>
    <w:rsid w:val="00C7323A"/>
    <w:rsid w:val="00C73611"/>
    <w:rsid w:val="00C73952"/>
    <w:rsid w:val="00C73983"/>
    <w:rsid w:val="00C73A28"/>
    <w:rsid w:val="00C73A5F"/>
    <w:rsid w:val="00C73B76"/>
    <w:rsid w:val="00C73B9B"/>
    <w:rsid w:val="00C73C8C"/>
    <w:rsid w:val="00C73FDE"/>
    <w:rsid w:val="00C74105"/>
    <w:rsid w:val="00C74109"/>
    <w:rsid w:val="00C74334"/>
    <w:rsid w:val="00C74335"/>
    <w:rsid w:val="00C743B1"/>
    <w:rsid w:val="00C74796"/>
    <w:rsid w:val="00C747DA"/>
    <w:rsid w:val="00C748E3"/>
    <w:rsid w:val="00C74DCF"/>
    <w:rsid w:val="00C75003"/>
    <w:rsid w:val="00C750E5"/>
    <w:rsid w:val="00C75235"/>
    <w:rsid w:val="00C75248"/>
    <w:rsid w:val="00C753D5"/>
    <w:rsid w:val="00C75873"/>
    <w:rsid w:val="00C7587E"/>
    <w:rsid w:val="00C758A0"/>
    <w:rsid w:val="00C7599C"/>
    <w:rsid w:val="00C75A6E"/>
    <w:rsid w:val="00C75BF0"/>
    <w:rsid w:val="00C75C0D"/>
    <w:rsid w:val="00C75C9E"/>
    <w:rsid w:val="00C75D9D"/>
    <w:rsid w:val="00C75F5E"/>
    <w:rsid w:val="00C7603C"/>
    <w:rsid w:val="00C76235"/>
    <w:rsid w:val="00C76419"/>
    <w:rsid w:val="00C76574"/>
    <w:rsid w:val="00C76621"/>
    <w:rsid w:val="00C76A7A"/>
    <w:rsid w:val="00C76B9D"/>
    <w:rsid w:val="00C76F9B"/>
    <w:rsid w:val="00C7715B"/>
    <w:rsid w:val="00C77288"/>
    <w:rsid w:val="00C77360"/>
    <w:rsid w:val="00C773B8"/>
    <w:rsid w:val="00C773DA"/>
    <w:rsid w:val="00C77413"/>
    <w:rsid w:val="00C77791"/>
    <w:rsid w:val="00C77A26"/>
    <w:rsid w:val="00C77A38"/>
    <w:rsid w:val="00C77B05"/>
    <w:rsid w:val="00C77B9F"/>
    <w:rsid w:val="00C77DA9"/>
    <w:rsid w:val="00C80505"/>
    <w:rsid w:val="00C80723"/>
    <w:rsid w:val="00C8094D"/>
    <w:rsid w:val="00C80D48"/>
    <w:rsid w:val="00C80EC8"/>
    <w:rsid w:val="00C80F2A"/>
    <w:rsid w:val="00C80FE1"/>
    <w:rsid w:val="00C80FEE"/>
    <w:rsid w:val="00C81000"/>
    <w:rsid w:val="00C812C3"/>
    <w:rsid w:val="00C81350"/>
    <w:rsid w:val="00C81676"/>
    <w:rsid w:val="00C81A63"/>
    <w:rsid w:val="00C81A91"/>
    <w:rsid w:val="00C81E68"/>
    <w:rsid w:val="00C8206E"/>
    <w:rsid w:val="00C82465"/>
    <w:rsid w:val="00C8279D"/>
    <w:rsid w:val="00C82845"/>
    <w:rsid w:val="00C82A48"/>
    <w:rsid w:val="00C82CF6"/>
    <w:rsid w:val="00C82DF3"/>
    <w:rsid w:val="00C8302B"/>
    <w:rsid w:val="00C830D2"/>
    <w:rsid w:val="00C83182"/>
    <w:rsid w:val="00C832C6"/>
    <w:rsid w:val="00C83483"/>
    <w:rsid w:val="00C83B3B"/>
    <w:rsid w:val="00C83E02"/>
    <w:rsid w:val="00C8400E"/>
    <w:rsid w:val="00C84064"/>
    <w:rsid w:val="00C84163"/>
    <w:rsid w:val="00C844AA"/>
    <w:rsid w:val="00C84509"/>
    <w:rsid w:val="00C846FB"/>
    <w:rsid w:val="00C847C8"/>
    <w:rsid w:val="00C8487D"/>
    <w:rsid w:val="00C849CB"/>
    <w:rsid w:val="00C84B38"/>
    <w:rsid w:val="00C84C07"/>
    <w:rsid w:val="00C84F7A"/>
    <w:rsid w:val="00C85433"/>
    <w:rsid w:val="00C85609"/>
    <w:rsid w:val="00C8585C"/>
    <w:rsid w:val="00C85952"/>
    <w:rsid w:val="00C85DE5"/>
    <w:rsid w:val="00C85EF7"/>
    <w:rsid w:val="00C86122"/>
    <w:rsid w:val="00C863A7"/>
    <w:rsid w:val="00C864CA"/>
    <w:rsid w:val="00C866B4"/>
    <w:rsid w:val="00C86936"/>
    <w:rsid w:val="00C86AA8"/>
    <w:rsid w:val="00C86AF5"/>
    <w:rsid w:val="00C86D7C"/>
    <w:rsid w:val="00C86FF0"/>
    <w:rsid w:val="00C870CA"/>
    <w:rsid w:val="00C8729C"/>
    <w:rsid w:val="00C87310"/>
    <w:rsid w:val="00C873DC"/>
    <w:rsid w:val="00C87447"/>
    <w:rsid w:val="00C87535"/>
    <w:rsid w:val="00C87560"/>
    <w:rsid w:val="00C876D3"/>
    <w:rsid w:val="00C876E0"/>
    <w:rsid w:val="00C87A65"/>
    <w:rsid w:val="00C87A98"/>
    <w:rsid w:val="00C87D30"/>
    <w:rsid w:val="00C87E64"/>
    <w:rsid w:val="00C87F0F"/>
    <w:rsid w:val="00C87F97"/>
    <w:rsid w:val="00C90371"/>
    <w:rsid w:val="00C90429"/>
    <w:rsid w:val="00C906EF"/>
    <w:rsid w:val="00C90877"/>
    <w:rsid w:val="00C908FC"/>
    <w:rsid w:val="00C90965"/>
    <w:rsid w:val="00C90E81"/>
    <w:rsid w:val="00C90EBF"/>
    <w:rsid w:val="00C91011"/>
    <w:rsid w:val="00C91378"/>
    <w:rsid w:val="00C918F5"/>
    <w:rsid w:val="00C9199D"/>
    <w:rsid w:val="00C91C72"/>
    <w:rsid w:val="00C91DB6"/>
    <w:rsid w:val="00C91DB9"/>
    <w:rsid w:val="00C91DDF"/>
    <w:rsid w:val="00C91E1D"/>
    <w:rsid w:val="00C91E89"/>
    <w:rsid w:val="00C91FBC"/>
    <w:rsid w:val="00C92028"/>
    <w:rsid w:val="00C922E9"/>
    <w:rsid w:val="00C92560"/>
    <w:rsid w:val="00C9260A"/>
    <w:rsid w:val="00C92889"/>
    <w:rsid w:val="00C92A66"/>
    <w:rsid w:val="00C92D65"/>
    <w:rsid w:val="00C92E7A"/>
    <w:rsid w:val="00C92FB2"/>
    <w:rsid w:val="00C93120"/>
    <w:rsid w:val="00C933D9"/>
    <w:rsid w:val="00C934C6"/>
    <w:rsid w:val="00C9358B"/>
    <w:rsid w:val="00C935C5"/>
    <w:rsid w:val="00C93ECB"/>
    <w:rsid w:val="00C93ED6"/>
    <w:rsid w:val="00C94000"/>
    <w:rsid w:val="00C9419C"/>
    <w:rsid w:val="00C94472"/>
    <w:rsid w:val="00C9459F"/>
    <w:rsid w:val="00C946CC"/>
    <w:rsid w:val="00C94715"/>
    <w:rsid w:val="00C947BF"/>
    <w:rsid w:val="00C94847"/>
    <w:rsid w:val="00C9499B"/>
    <w:rsid w:val="00C94AC6"/>
    <w:rsid w:val="00C94BC6"/>
    <w:rsid w:val="00C94EF4"/>
    <w:rsid w:val="00C94FE1"/>
    <w:rsid w:val="00C94FF8"/>
    <w:rsid w:val="00C951F8"/>
    <w:rsid w:val="00C9521C"/>
    <w:rsid w:val="00C9523C"/>
    <w:rsid w:val="00C95410"/>
    <w:rsid w:val="00C95716"/>
    <w:rsid w:val="00C95882"/>
    <w:rsid w:val="00C958EF"/>
    <w:rsid w:val="00C95947"/>
    <w:rsid w:val="00C95CE4"/>
    <w:rsid w:val="00C95D01"/>
    <w:rsid w:val="00C95EA7"/>
    <w:rsid w:val="00C96058"/>
    <w:rsid w:val="00C9608B"/>
    <w:rsid w:val="00C96098"/>
    <w:rsid w:val="00C963CC"/>
    <w:rsid w:val="00C9650C"/>
    <w:rsid w:val="00C966E1"/>
    <w:rsid w:val="00C967B0"/>
    <w:rsid w:val="00C96C22"/>
    <w:rsid w:val="00C96DB0"/>
    <w:rsid w:val="00C96E54"/>
    <w:rsid w:val="00C97122"/>
    <w:rsid w:val="00C97177"/>
    <w:rsid w:val="00C97449"/>
    <w:rsid w:val="00C9752A"/>
    <w:rsid w:val="00C9761D"/>
    <w:rsid w:val="00C97778"/>
    <w:rsid w:val="00C978E3"/>
    <w:rsid w:val="00C97931"/>
    <w:rsid w:val="00C97978"/>
    <w:rsid w:val="00C97A1D"/>
    <w:rsid w:val="00C97B4E"/>
    <w:rsid w:val="00C97B5C"/>
    <w:rsid w:val="00C97B64"/>
    <w:rsid w:val="00C97D3D"/>
    <w:rsid w:val="00C97E8C"/>
    <w:rsid w:val="00C97EA4"/>
    <w:rsid w:val="00CA003A"/>
    <w:rsid w:val="00CA05DA"/>
    <w:rsid w:val="00CA06A2"/>
    <w:rsid w:val="00CA06ED"/>
    <w:rsid w:val="00CA0756"/>
    <w:rsid w:val="00CA0778"/>
    <w:rsid w:val="00CA0990"/>
    <w:rsid w:val="00CA09EA"/>
    <w:rsid w:val="00CA0B00"/>
    <w:rsid w:val="00CA0CE4"/>
    <w:rsid w:val="00CA0E03"/>
    <w:rsid w:val="00CA1723"/>
    <w:rsid w:val="00CA185F"/>
    <w:rsid w:val="00CA1A96"/>
    <w:rsid w:val="00CA1AE3"/>
    <w:rsid w:val="00CA201A"/>
    <w:rsid w:val="00CA205F"/>
    <w:rsid w:val="00CA20DF"/>
    <w:rsid w:val="00CA21C2"/>
    <w:rsid w:val="00CA21C9"/>
    <w:rsid w:val="00CA2370"/>
    <w:rsid w:val="00CA2499"/>
    <w:rsid w:val="00CA2768"/>
    <w:rsid w:val="00CA278C"/>
    <w:rsid w:val="00CA28AC"/>
    <w:rsid w:val="00CA2983"/>
    <w:rsid w:val="00CA2B09"/>
    <w:rsid w:val="00CA2CB1"/>
    <w:rsid w:val="00CA2DF5"/>
    <w:rsid w:val="00CA2F73"/>
    <w:rsid w:val="00CA30A9"/>
    <w:rsid w:val="00CA313F"/>
    <w:rsid w:val="00CA31EA"/>
    <w:rsid w:val="00CA32F9"/>
    <w:rsid w:val="00CA3637"/>
    <w:rsid w:val="00CA36B0"/>
    <w:rsid w:val="00CA36CA"/>
    <w:rsid w:val="00CA371C"/>
    <w:rsid w:val="00CA378A"/>
    <w:rsid w:val="00CA37C9"/>
    <w:rsid w:val="00CA3913"/>
    <w:rsid w:val="00CA3A0F"/>
    <w:rsid w:val="00CA3D45"/>
    <w:rsid w:val="00CA4113"/>
    <w:rsid w:val="00CA41BE"/>
    <w:rsid w:val="00CA452C"/>
    <w:rsid w:val="00CA4564"/>
    <w:rsid w:val="00CA4732"/>
    <w:rsid w:val="00CA4A6B"/>
    <w:rsid w:val="00CA4C4C"/>
    <w:rsid w:val="00CA4D91"/>
    <w:rsid w:val="00CA509D"/>
    <w:rsid w:val="00CA5192"/>
    <w:rsid w:val="00CA5251"/>
    <w:rsid w:val="00CA5282"/>
    <w:rsid w:val="00CA53A8"/>
    <w:rsid w:val="00CA54B6"/>
    <w:rsid w:val="00CA557D"/>
    <w:rsid w:val="00CA57A2"/>
    <w:rsid w:val="00CA5846"/>
    <w:rsid w:val="00CA5B1C"/>
    <w:rsid w:val="00CA5D9D"/>
    <w:rsid w:val="00CA5F68"/>
    <w:rsid w:val="00CA60CD"/>
    <w:rsid w:val="00CA6350"/>
    <w:rsid w:val="00CA63A5"/>
    <w:rsid w:val="00CA63B3"/>
    <w:rsid w:val="00CA63D2"/>
    <w:rsid w:val="00CA655F"/>
    <w:rsid w:val="00CA6592"/>
    <w:rsid w:val="00CA666C"/>
    <w:rsid w:val="00CA6956"/>
    <w:rsid w:val="00CA6A47"/>
    <w:rsid w:val="00CA6A6E"/>
    <w:rsid w:val="00CA6A9A"/>
    <w:rsid w:val="00CA6D88"/>
    <w:rsid w:val="00CA6DC4"/>
    <w:rsid w:val="00CA704F"/>
    <w:rsid w:val="00CA70D2"/>
    <w:rsid w:val="00CA720E"/>
    <w:rsid w:val="00CA72E3"/>
    <w:rsid w:val="00CA7349"/>
    <w:rsid w:val="00CA73E6"/>
    <w:rsid w:val="00CA7552"/>
    <w:rsid w:val="00CA795D"/>
    <w:rsid w:val="00CA79F1"/>
    <w:rsid w:val="00CA7A9C"/>
    <w:rsid w:val="00CA7AAD"/>
    <w:rsid w:val="00CA7B0E"/>
    <w:rsid w:val="00CA7E0E"/>
    <w:rsid w:val="00CA7E1F"/>
    <w:rsid w:val="00CA7E88"/>
    <w:rsid w:val="00CA7FAB"/>
    <w:rsid w:val="00CB00E4"/>
    <w:rsid w:val="00CB0125"/>
    <w:rsid w:val="00CB0135"/>
    <w:rsid w:val="00CB0324"/>
    <w:rsid w:val="00CB05D1"/>
    <w:rsid w:val="00CB091B"/>
    <w:rsid w:val="00CB0B20"/>
    <w:rsid w:val="00CB0B41"/>
    <w:rsid w:val="00CB0BEC"/>
    <w:rsid w:val="00CB0C69"/>
    <w:rsid w:val="00CB0CFA"/>
    <w:rsid w:val="00CB0EAA"/>
    <w:rsid w:val="00CB120D"/>
    <w:rsid w:val="00CB13D1"/>
    <w:rsid w:val="00CB171F"/>
    <w:rsid w:val="00CB17DB"/>
    <w:rsid w:val="00CB1AA2"/>
    <w:rsid w:val="00CB1B17"/>
    <w:rsid w:val="00CB1CAD"/>
    <w:rsid w:val="00CB1CB1"/>
    <w:rsid w:val="00CB1CFA"/>
    <w:rsid w:val="00CB1E3B"/>
    <w:rsid w:val="00CB2056"/>
    <w:rsid w:val="00CB2097"/>
    <w:rsid w:val="00CB22BD"/>
    <w:rsid w:val="00CB247E"/>
    <w:rsid w:val="00CB2501"/>
    <w:rsid w:val="00CB266C"/>
    <w:rsid w:val="00CB2B39"/>
    <w:rsid w:val="00CB2D1C"/>
    <w:rsid w:val="00CB2ED5"/>
    <w:rsid w:val="00CB2F22"/>
    <w:rsid w:val="00CB3632"/>
    <w:rsid w:val="00CB384F"/>
    <w:rsid w:val="00CB39DD"/>
    <w:rsid w:val="00CB3B1C"/>
    <w:rsid w:val="00CB3CDC"/>
    <w:rsid w:val="00CB3F57"/>
    <w:rsid w:val="00CB418C"/>
    <w:rsid w:val="00CB42FB"/>
    <w:rsid w:val="00CB44AF"/>
    <w:rsid w:val="00CB4533"/>
    <w:rsid w:val="00CB46ED"/>
    <w:rsid w:val="00CB47CD"/>
    <w:rsid w:val="00CB49DA"/>
    <w:rsid w:val="00CB4D12"/>
    <w:rsid w:val="00CB4E2A"/>
    <w:rsid w:val="00CB4F3D"/>
    <w:rsid w:val="00CB4FC4"/>
    <w:rsid w:val="00CB516A"/>
    <w:rsid w:val="00CB524A"/>
    <w:rsid w:val="00CB54BD"/>
    <w:rsid w:val="00CB563A"/>
    <w:rsid w:val="00CB5F0A"/>
    <w:rsid w:val="00CB6000"/>
    <w:rsid w:val="00CB611F"/>
    <w:rsid w:val="00CB6158"/>
    <w:rsid w:val="00CB6439"/>
    <w:rsid w:val="00CB64F4"/>
    <w:rsid w:val="00CB67AE"/>
    <w:rsid w:val="00CB68E7"/>
    <w:rsid w:val="00CB690C"/>
    <w:rsid w:val="00CB6D1F"/>
    <w:rsid w:val="00CB6DDF"/>
    <w:rsid w:val="00CB7079"/>
    <w:rsid w:val="00CB719E"/>
    <w:rsid w:val="00CB7203"/>
    <w:rsid w:val="00CB7224"/>
    <w:rsid w:val="00CB72ED"/>
    <w:rsid w:val="00CB7551"/>
    <w:rsid w:val="00CB76CD"/>
    <w:rsid w:val="00CB78E5"/>
    <w:rsid w:val="00CB78F2"/>
    <w:rsid w:val="00CB7A9E"/>
    <w:rsid w:val="00CB7BA9"/>
    <w:rsid w:val="00CB7BB8"/>
    <w:rsid w:val="00CB7CD5"/>
    <w:rsid w:val="00CB7CE0"/>
    <w:rsid w:val="00CB7DC0"/>
    <w:rsid w:val="00CB7E6B"/>
    <w:rsid w:val="00CC0102"/>
    <w:rsid w:val="00CC01C2"/>
    <w:rsid w:val="00CC01C3"/>
    <w:rsid w:val="00CC03B9"/>
    <w:rsid w:val="00CC0457"/>
    <w:rsid w:val="00CC05C2"/>
    <w:rsid w:val="00CC0786"/>
    <w:rsid w:val="00CC08D1"/>
    <w:rsid w:val="00CC0B39"/>
    <w:rsid w:val="00CC0BE7"/>
    <w:rsid w:val="00CC0CFC"/>
    <w:rsid w:val="00CC0DC8"/>
    <w:rsid w:val="00CC0E47"/>
    <w:rsid w:val="00CC0F6E"/>
    <w:rsid w:val="00CC0FDF"/>
    <w:rsid w:val="00CC112D"/>
    <w:rsid w:val="00CC112F"/>
    <w:rsid w:val="00CC120C"/>
    <w:rsid w:val="00CC12C5"/>
    <w:rsid w:val="00CC13EF"/>
    <w:rsid w:val="00CC1496"/>
    <w:rsid w:val="00CC1928"/>
    <w:rsid w:val="00CC1945"/>
    <w:rsid w:val="00CC1B1E"/>
    <w:rsid w:val="00CC1E5B"/>
    <w:rsid w:val="00CC1F67"/>
    <w:rsid w:val="00CC206C"/>
    <w:rsid w:val="00CC211E"/>
    <w:rsid w:val="00CC2192"/>
    <w:rsid w:val="00CC2227"/>
    <w:rsid w:val="00CC2264"/>
    <w:rsid w:val="00CC237C"/>
    <w:rsid w:val="00CC2396"/>
    <w:rsid w:val="00CC23AC"/>
    <w:rsid w:val="00CC2492"/>
    <w:rsid w:val="00CC2A74"/>
    <w:rsid w:val="00CC2B0A"/>
    <w:rsid w:val="00CC2D82"/>
    <w:rsid w:val="00CC2F35"/>
    <w:rsid w:val="00CC3218"/>
    <w:rsid w:val="00CC32CC"/>
    <w:rsid w:val="00CC332E"/>
    <w:rsid w:val="00CC33D3"/>
    <w:rsid w:val="00CC3423"/>
    <w:rsid w:val="00CC371F"/>
    <w:rsid w:val="00CC378C"/>
    <w:rsid w:val="00CC38D6"/>
    <w:rsid w:val="00CC38F8"/>
    <w:rsid w:val="00CC392E"/>
    <w:rsid w:val="00CC396A"/>
    <w:rsid w:val="00CC3CB3"/>
    <w:rsid w:val="00CC3DC7"/>
    <w:rsid w:val="00CC3E0A"/>
    <w:rsid w:val="00CC40FD"/>
    <w:rsid w:val="00CC4166"/>
    <w:rsid w:val="00CC4201"/>
    <w:rsid w:val="00CC458F"/>
    <w:rsid w:val="00CC45CB"/>
    <w:rsid w:val="00CC45DD"/>
    <w:rsid w:val="00CC466C"/>
    <w:rsid w:val="00CC4769"/>
    <w:rsid w:val="00CC48F9"/>
    <w:rsid w:val="00CC4B5D"/>
    <w:rsid w:val="00CC4D63"/>
    <w:rsid w:val="00CC4E95"/>
    <w:rsid w:val="00CC511D"/>
    <w:rsid w:val="00CC5235"/>
    <w:rsid w:val="00CC52E8"/>
    <w:rsid w:val="00CC549A"/>
    <w:rsid w:val="00CC54A8"/>
    <w:rsid w:val="00CC5710"/>
    <w:rsid w:val="00CC57BD"/>
    <w:rsid w:val="00CC5867"/>
    <w:rsid w:val="00CC5A5F"/>
    <w:rsid w:val="00CC5A7D"/>
    <w:rsid w:val="00CC5BC4"/>
    <w:rsid w:val="00CC5CBA"/>
    <w:rsid w:val="00CC5CC8"/>
    <w:rsid w:val="00CC6025"/>
    <w:rsid w:val="00CC6108"/>
    <w:rsid w:val="00CC67C0"/>
    <w:rsid w:val="00CC68CD"/>
    <w:rsid w:val="00CC6A03"/>
    <w:rsid w:val="00CC6A40"/>
    <w:rsid w:val="00CC6C23"/>
    <w:rsid w:val="00CC6EF2"/>
    <w:rsid w:val="00CC6F1E"/>
    <w:rsid w:val="00CC703C"/>
    <w:rsid w:val="00CC70A9"/>
    <w:rsid w:val="00CC723A"/>
    <w:rsid w:val="00CC74D1"/>
    <w:rsid w:val="00CC7582"/>
    <w:rsid w:val="00CC77D4"/>
    <w:rsid w:val="00CC77E8"/>
    <w:rsid w:val="00CC79B6"/>
    <w:rsid w:val="00CC7EA2"/>
    <w:rsid w:val="00CC7F29"/>
    <w:rsid w:val="00CD0150"/>
    <w:rsid w:val="00CD0215"/>
    <w:rsid w:val="00CD0285"/>
    <w:rsid w:val="00CD02B6"/>
    <w:rsid w:val="00CD0305"/>
    <w:rsid w:val="00CD0395"/>
    <w:rsid w:val="00CD0717"/>
    <w:rsid w:val="00CD078E"/>
    <w:rsid w:val="00CD07A9"/>
    <w:rsid w:val="00CD086F"/>
    <w:rsid w:val="00CD0BFA"/>
    <w:rsid w:val="00CD0C35"/>
    <w:rsid w:val="00CD0CD9"/>
    <w:rsid w:val="00CD0CDC"/>
    <w:rsid w:val="00CD0DF4"/>
    <w:rsid w:val="00CD0E04"/>
    <w:rsid w:val="00CD0EDA"/>
    <w:rsid w:val="00CD1219"/>
    <w:rsid w:val="00CD13C7"/>
    <w:rsid w:val="00CD156D"/>
    <w:rsid w:val="00CD15FF"/>
    <w:rsid w:val="00CD1769"/>
    <w:rsid w:val="00CD19BB"/>
    <w:rsid w:val="00CD1B27"/>
    <w:rsid w:val="00CD1CDA"/>
    <w:rsid w:val="00CD2045"/>
    <w:rsid w:val="00CD21DC"/>
    <w:rsid w:val="00CD2532"/>
    <w:rsid w:val="00CD25F3"/>
    <w:rsid w:val="00CD25FB"/>
    <w:rsid w:val="00CD269B"/>
    <w:rsid w:val="00CD26C6"/>
    <w:rsid w:val="00CD28DD"/>
    <w:rsid w:val="00CD2913"/>
    <w:rsid w:val="00CD292C"/>
    <w:rsid w:val="00CD29A1"/>
    <w:rsid w:val="00CD2A9E"/>
    <w:rsid w:val="00CD2AF5"/>
    <w:rsid w:val="00CD2D9E"/>
    <w:rsid w:val="00CD2F6C"/>
    <w:rsid w:val="00CD311E"/>
    <w:rsid w:val="00CD34F1"/>
    <w:rsid w:val="00CD3533"/>
    <w:rsid w:val="00CD3537"/>
    <w:rsid w:val="00CD35B2"/>
    <w:rsid w:val="00CD3600"/>
    <w:rsid w:val="00CD3989"/>
    <w:rsid w:val="00CD3DF7"/>
    <w:rsid w:val="00CD3E3E"/>
    <w:rsid w:val="00CD401E"/>
    <w:rsid w:val="00CD40DE"/>
    <w:rsid w:val="00CD431A"/>
    <w:rsid w:val="00CD4370"/>
    <w:rsid w:val="00CD438B"/>
    <w:rsid w:val="00CD44EF"/>
    <w:rsid w:val="00CD4675"/>
    <w:rsid w:val="00CD46DF"/>
    <w:rsid w:val="00CD4A3B"/>
    <w:rsid w:val="00CD4B0B"/>
    <w:rsid w:val="00CD4B96"/>
    <w:rsid w:val="00CD4E58"/>
    <w:rsid w:val="00CD4FC7"/>
    <w:rsid w:val="00CD5228"/>
    <w:rsid w:val="00CD54EC"/>
    <w:rsid w:val="00CD5662"/>
    <w:rsid w:val="00CD5867"/>
    <w:rsid w:val="00CD5953"/>
    <w:rsid w:val="00CD5ADE"/>
    <w:rsid w:val="00CD5AE9"/>
    <w:rsid w:val="00CD5BA0"/>
    <w:rsid w:val="00CD5BA5"/>
    <w:rsid w:val="00CD5C57"/>
    <w:rsid w:val="00CD5D9B"/>
    <w:rsid w:val="00CD615F"/>
    <w:rsid w:val="00CD62CF"/>
    <w:rsid w:val="00CD6385"/>
    <w:rsid w:val="00CD63EB"/>
    <w:rsid w:val="00CD67AC"/>
    <w:rsid w:val="00CD692F"/>
    <w:rsid w:val="00CD6B88"/>
    <w:rsid w:val="00CD6B90"/>
    <w:rsid w:val="00CD6C91"/>
    <w:rsid w:val="00CD74DF"/>
    <w:rsid w:val="00CD74F5"/>
    <w:rsid w:val="00CD7682"/>
    <w:rsid w:val="00CD7B78"/>
    <w:rsid w:val="00CD7DAC"/>
    <w:rsid w:val="00CD7DC3"/>
    <w:rsid w:val="00CD7E32"/>
    <w:rsid w:val="00CE00B4"/>
    <w:rsid w:val="00CE00BC"/>
    <w:rsid w:val="00CE01BF"/>
    <w:rsid w:val="00CE025B"/>
    <w:rsid w:val="00CE033E"/>
    <w:rsid w:val="00CE04DF"/>
    <w:rsid w:val="00CE0535"/>
    <w:rsid w:val="00CE0609"/>
    <w:rsid w:val="00CE09FF"/>
    <w:rsid w:val="00CE0B0E"/>
    <w:rsid w:val="00CE0B2D"/>
    <w:rsid w:val="00CE0B88"/>
    <w:rsid w:val="00CE0BDD"/>
    <w:rsid w:val="00CE0CAF"/>
    <w:rsid w:val="00CE0CCC"/>
    <w:rsid w:val="00CE0E7D"/>
    <w:rsid w:val="00CE0F40"/>
    <w:rsid w:val="00CE11C3"/>
    <w:rsid w:val="00CE120A"/>
    <w:rsid w:val="00CE120C"/>
    <w:rsid w:val="00CE1562"/>
    <w:rsid w:val="00CE1A0E"/>
    <w:rsid w:val="00CE1A16"/>
    <w:rsid w:val="00CE1BDF"/>
    <w:rsid w:val="00CE1CD5"/>
    <w:rsid w:val="00CE1E39"/>
    <w:rsid w:val="00CE1E68"/>
    <w:rsid w:val="00CE1F94"/>
    <w:rsid w:val="00CE230F"/>
    <w:rsid w:val="00CE248B"/>
    <w:rsid w:val="00CE24F0"/>
    <w:rsid w:val="00CE25B3"/>
    <w:rsid w:val="00CE264F"/>
    <w:rsid w:val="00CE26C6"/>
    <w:rsid w:val="00CE2AF7"/>
    <w:rsid w:val="00CE2F6F"/>
    <w:rsid w:val="00CE319F"/>
    <w:rsid w:val="00CE31CC"/>
    <w:rsid w:val="00CE3356"/>
    <w:rsid w:val="00CE35DC"/>
    <w:rsid w:val="00CE35FB"/>
    <w:rsid w:val="00CE398A"/>
    <w:rsid w:val="00CE39D6"/>
    <w:rsid w:val="00CE3A9A"/>
    <w:rsid w:val="00CE3B3D"/>
    <w:rsid w:val="00CE3B52"/>
    <w:rsid w:val="00CE3E33"/>
    <w:rsid w:val="00CE3EFE"/>
    <w:rsid w:val="00CE40D8"/>
    <w:rsid w:val="00CE41D5"/>
    <w:rsid w:val="00CE43EE"/>
    <w:rsid w:val="00CE440C"/>
    <w:rsid w:val="00CE452C"/>
    <w:rsid w:val="00CE4582"/>
    <w:rsid w:val="00CE46C8"/>
    <w:rsid w:val="00CE4904"/>
    <w:rsid w:val="00CE49DF"/>
    <w:rsid w:val="00CE4CC7"/>
    <w:rsid w:val="00CE4DE9"/>
    <w:rsid w:val="00CE4E6D"/>
    <w:rsid w:val="00CE5005"/>
    <w:rsid w:val="00CE5060"/>
    <w:rsid w:val="00CE50CB"/>
    <w:rsid w:val="00CE50DD"/>
    <w:rsid w:val="00CE55F5"/>
    <w:rsid w:val="00CE5647"/>
    <w:rsid w:val="00CE576F"/>
    <w:rsid w:val="00CE5A94"/>
    <w:rsid w:val="00CE5DA5"/>
    <w:rsid w:val="00CE6007"/>
    <w:rsid w:val="00CE60D1"/>
    <w:rsid w:val="00CE6316"/>
    <w:rsid w:val="00CE6472"/>
    <w:rsid w:val="00CE64A0"/>
    <w:rsid w:val="00CE64D6"/>
    <w:rsid w:val="00CE64EE"/>
    <w:rsid w:val="00CE6599"/>
    <w:rsid w:val="00CE6749"/>
    <w:rsid w:val="00CE679F"/>
    <w:rsid w:val="00CE67B6"/>
    <w:rsid w:val="00CE6846"/>
    <w:rsid w:val="00CE6865"/>
    <w:rsid w:val="00CE6BDD"/>
    <w:rsid w:val="00CE6C0B"/>
    <w:rsid w:val="00CE6C23"/>
    <w:rsid w:val="00CE6D28"/>
    <w:rsid w:val="00CE6E1F"/>
    <w:rsid w:val="00CE6FD8"/>
    <w:rsid w:val="00CE6FFA"/>
    <w:rsid w:val="00CE7252"/>
    <w:rsid w:val="00CE73BE"/>
    <w:rsid w:val="00CE7400"/>
    <w:rsid w:val="00CE75CC"/>
    <w:rsid w:val="00CE77E7"/>
    <w:rsid w:val="00CE78D6"/>
    <w:rsid w:val="00CE79E0"/>
    <w:rsid w:val="00CE7A61"/>
    <w:rsid w:val="00CE7CD0"/>
    <w:rsid w:val="00CE7E70"/>
    <w:rsid w:val="00CF024E"/>
    <w:rsid w:val="00CF04D5"/>
    <w:rsid w:val="00CF0808"/>
    <w:rsid w:val="00CF081A"/>
    <w:rsid w:val="00CF089E"/>
    <w:rsid w:val="00CF0AAF"/>
    <w:rsid w:val="00CF0AF8"/>
    <w:rsid w:val="00CF0C49"/>
    <w:rsid w:val="00CF0E1B"/>
    <w:rsid w:val="00CF0F91"/>
    <w:rsid w:val="00CF1030"/>
    <w:rsid w:val="00CF1036"/>
    <w:rsid w:val="00CF1117"/>
    <w:rsid w:val="00CF1274"/>
    <w:rsid w:val="00CF145D"/>
    <w:rsid w:val="00CF14C0"/>
    <w:rsid w:val="00CF153D"/>
    <w:rsid w:val="00CF1C5F"/>
    <w:rsid w:val="00CF1F51"/>
    <w:rsid w:val="00CF2076"/>
    <w:rsid w:val="00CF2503"/>
    <w:rsid w:val="00CF2707"/>
    <w:rsid w:val="00CF2747"/>
    <w:rsid w:val="00CF27CA"/>
    <w:rsid w:val="00CF28BA"/>
    <w:rsid w:val="00CF2C3E"/>
    <w:rsid w:val="00CF2DDF"/>
    <w:rsid w:val="00CF2F22"/>
    <w:rsid w:val="00CF302A"/>
    <w:rsid w:val="00CF32B8"/>
    <w:rsid w:val="00CF3752"/>
    <w:rsid w:val="00CF3873"/>
    <w:rsid w:val="00CF38CB"/>
    <w:rsid w:val="00CF3C76"/>
    <w:rsid w:val="00CF3DBF"/>
    <w:rsid w:val="00CF41E2"/>
    <w:rsid w:val="00CF4231"/>
    <w:rsid w:val="00CF4368"/>
    <w:rsid w:val="00CF4C17"/>
    <w:rsid w:val="00CF4C66"/>
    <w:rsid w:val="00CF4DD0"/>
    <w:rsid w:val="00CF503F"/>
    <w:rsid w:val="00CF517A"/>
    <w:rsid w:val="00CF5301"/>
    <w:rsid w:val="00CF53BB"/>
    <w:rsid w:val="00CF540D"/>
    <w:rsid w:val="00CF540E"/>
    <w:rsid w:val="00CF5462"/>
    <w:rsid w:val="00CF54AC"/>
    <w:rsid w:val="00CF5644"/>
    <w:rsid w:val="00CF564E"/>
    <w:rsid w:val="00CF566B"/>
    <w:rsid w:val="00CF57AB"/>
    <w:rsid w:val="00CF5817"/>
    <w:rsid w:val="00CF5839"/>
    <w:rsid w:val="00CF588A"/>
    <w:rsid w:val="00CF5C93"/>
    <w:rsid w:val="00CF5CE3"/>
    <w:rsid w:val="00CF5D40"/>
    <w:rsid w:val="00CF5E67"/>
    <w:rsid w:val="00CF6038"/>
    <w:rsid w:val="00CF645E"/>
    <w:rsid w:val="00CF64F1"/>
    <w:rsid w:val="00CF6765"/>
    <w:rsid w:val="00CF6885"/>
    <w:rsid w:val="00CF693C"/>
    <w:rsid w:val="00CF6966"/>
    <w:rsid w:val="00CF6A7E"/>
    <w:rsid w:val="00CF6DF3"/>
    <w:rsid w:val="00CF701C"/>
    <w:rsid w:val="00CF733B"/>
    <w:rsid w:val="00CF73BC"/>
    <w:rsid w:val="00CF73D2"/>
    <w:rsid w:val="00CF74E1"/>
    <w:rsid w:val="00CF74F6"/>
    <w:rsid w:val="00CF75CA"/>
    <w:rsid w:val="00CF7843"/>
    <w:rsid w:val="00CF78DF"/>
    <w:rsid w:val="00CF7F71"/>
    <w:rsid w:val="00D00648"/>
    <w:rsid w:val="00D00851"/>
    <w:rsid w:val="00D0094E"/>
    <w:rsid w:val="00D009EE"/>
    <w:rsid w:val="00D00F2A"/>
    <w:rsid w:val="00D0112C"/>
    <w:rsid w:val="00D012CE"/>
    <w:rsid w:val="00D01500"/>
    <w:rsid w:val="00D01531"/>
    <w:rsid w:val="00D0164F"/>
    <w:rsid w:val="00D01749"/>
    <w:rsid w:val="00D017B9"/>
    <w:rsid w:val="00D017CC"/>
    <w:rsid w:val="00D019A9"/>
    <w:rsid w:val="00D01CF8"/>
    <w:rsid w:val="00D01F09"/>
    <w:rsid w:val="00D02066"/>
    <w:rsid w:val="00D020B8"/>
    <w:rsid w:val="00D022B1"/>
    <w:rsid w:val="00D02400"/>
    <w:rsid w:val="00D02529"/>
    <w:rsid w:val="00D025BE"/>
    <w:rsid w:val="00D02807"/>
    <w:rsid w:val="00D0297C"/>
    <w:rsid w:val="00D02BC3"/>
    <w:rsid w:val="00D02CA4"/>
    <w:rsid w:val="00D02E8E"/>
    <w:rsid w:val="00D02F3F"/>
    <w:rsid w:val="00D03153"/>
    <w:rsid w:val="00D0326C"/>
    <w:rsid w:val="00D03355"/>
    <w:rsid w:val="00D03521"/>
    <w:rsid w:val="00D0360F"/>
    <w:rsid w:val="00D0377B"/>
    <w:rsid w:val="00D03BD7"/>
    <w:rsid w:val="00D03D50"/>
    <w:rsid w:val="00D03DB7"/>
    <w:rsid w:val="00D03FD4"/>
    <w:rsid w:val="00D04036"/>
    <w:rsid w:val="00D041F3"/>
    <w:rsid w:val="00D0429F"/>
    <w:rsid w:val="00D0466D"/>
    <w:rsid w:val="00D047CD"/>
    <w:rsid w:val="00D047D8"/>
    <w:rsid w:val="00D047D9"/>
    <w:rsid w:val="00D047ED"/>
    <w:rsid w:val="00D048E1"/>
    <w:rsid w:val="00D048EF"/>
    <w:rsid w:val="00D04A78"/>
    <w:rsid w:val="00D04F1D"/>
    <w:rsid w:val="00D05087"/>
    <w:rsid w:val="00D0517A"/>
    <w:rsid w:val="00D05318"/>
    <w:rsid w:val="00D053CA"/>
    <w:rsid w:val="00D05633"/>
    <w:rsid w:val="00D0581C"/>
    <w:rsid w:val="00D0585E"/>
    <w:rsid w:val="00D0585F"/>
    <w:rsid w:val="00D05A34"/>
    <w:rsid w:val="00D05E4C"/>
    <w:rsid w:val="00D05EB7"/>
    <w:rsid w:val="00D05F3E"/>
    <w:rsid w:val="00D063DB"/>
    <w:rsid w:val="00D06630"/>
    <w:rsid w:val="00D067CB"/>
    <w:rsid w:val="00D06A64"/>
    <w:rsid w:val="00D06CA8"/>
    <w:rsid w:val="00D06E45"/>
    <w:rsid w:val="00D07122"/>
    <w:rsid w:val="00D07145"/>
    <w:rsid w:val="00D07274"/>
    <w:rsid w:val="00D0738B"/>
    <w:rsid w:val="00D07594"/>
    <w:rsid w:val="00D07659"/>
    <w:rsid w:val="00D078AD"/>
    <w:rsid w:val="00D078C9"/>
    <w:rsid w:val="00D0797B"/>
    <w:rsid w:val="00D07AE2"/>
    <w:rsid w:val="00D07D80"/>
    <w:rsid w:val="00D07E71"/>
    <w:rsid w:val="00D07F24"/>
    <w:rsid w:val="00D1010D"/>
    <w:rsid w:val="00D101FE"/>
    <w:rsid w:val="00D10397"/>
    <w:rsid w:val="00D104A0"/>
    <w:rsid w:val="00D109C0"/>
    <w:rsid w:val="00D10B96"/>
    <w:rsid w:val="00D10CFE"/>
    <w:rsid w:val="00D10E38"/>
    <w:rsid w:val="00D11126"/>
    <w:rsid w:val="00D1135F"/>
    <w:rsid w:val="00D113EA"/>
    <w:rsid w:val="00D11504"/>
    <w:rsid w:val="00D11532"/>
    <w:rsid w:val="00D11553"/>
    <w:rsid w:val="00D11584"/>
    <w:rsid w:val="00D1165E"/>
    <w:rsid w:val="00D1180B"/>
    <w:rsid w:val="00D1190C"/>
    <w:rsid w:val="00D119C0"/>
    <w:rsid w:val="00D11B29"/>
    <w:rsid w:val="00D11F61"/>
    <w:rsid w:val="00D1200E"/>
    <w:rsid w:val="00D12105"/>
    <w:rsid w:val="00D12386"/>
    <w:rsid w:val="00D124BF"/>
    <w:rsid w:val="00D124D5"/>
    <w:rsid w:val="00D129DC"/>
    <w:rsid w:val="00D12A4D"/>
    <w:rsid w:val="00D12BDC"/>
    <w:rsid w:val="00D12F4D"/>
    <w:rsid w:val="00D13134"/>
    <w:rsid w:val="00D13210"/>
    <w:rsid w:val="00D13218"/>
    <w:rsid w:val="00D132B7"/>
    <w:rsid w:val="00D1341B"/>
    <w:rsid w:val="00D1347A"/>
    <w:rsid w:val="00D135F0"/>
    <w:rsid w:val="00D136E8"/>
    <w:rsid w:val="00D136F5"/>
    <w:rsid w:val="00D13736"/>
    <w:rsid w:val="00D13753"/>
    <w:rsid w:val="00D13787"/>
    <w:rsid w:val="00D137C9"/>
    <w:rsid w:val="00D137CF"/>
    <w:rsid w:val="00D13816"/>
    <w:rsid w:val="00D13952"/>
    <w:rsid w:val="00D13AB4"/>
    <w:rsid w:val="00D13ADF"/>
    <w:rsid w:val="00D13CDF"/>
    <w:rsid w:val="00D1412D"/>
    <w:rsid w:val="00D143B8"/>
    <w:rsid w:val="00D146E4"/>
    <w:rsid w:val="00D149FD"/>
    <w:rsid w:val="00D14B50"/>
    <w:rsid w:val="00D14C4F"/>
    <w:rsid w:val="00D14F0F"/>
    <w:rsid w:val="00D14F40"/>
    <w:rsid w:val="00D14F73"/>
    <w:rsid w:val="00D153F1"/>
    <w:rsid w:val="00D154D6"/>
    <w:rsid w:val="00D1562D"/>
    <w:rsid w:val="00D156AB"/>
    <w:rsid w:val="00D15954"/>
    <w:rsid w:val="00D15FA9"/>
    <w:rsid w:val="00D160E5"/>
    <w:rsid w:val="00D16246"/>
    <w:rsid w:val="00D16472"/>
    <w:rsid w:val="00D1651B"/>
    <w:rsid w:val="00D1697F"/>
    <w:rsid w:val="00D16CE3"/>
    <w:rsid w:val="00D16DBE"/>
    <w:rsid w:val="00D16EB0"/>
    <w:rsid w:val="00D17572"/>
    <w:rsid w:val="00D17575"/>
    <w:rsid w:val="00D17603"/>
    <w:rsid w:val="00D176F4"/>
    <w:rsid w:val="00D17733"/>
    <w:rsid w:val="00D1789F"/>
    <w:rsid w:val="00D17971"/>
    <w:rsid w:val="00D179AB"/>
    <w:rsid w:val="00D17CA7"/>
    <w:rsid w:val="00D17E78"/>
    <w:rsid w:val="00D20268"/>
    <w:rsid w:val="00D202C4"/>
    <w:rsid w:val="00D204C7"/>
    <w:rsid w:val="00D206E0"/>
    <w:rsid w:val="00D20980"/>
    <w:rsid w:val="00D20A18"/>
    <w:rsid w:val="00D20B91"/>
    <w:rsid w:val="00D20C71"/>
    <w:rsid w:val="00D20CCF"/>
    <w:rsid w:val="00D20E72"/>
    <w:rsid w:val="00D20ED2"/>
    <w:rsid w:val="00D20F59"/>
    <w:rsid w:val="00D2104B"/>
    <w:rsid w:val="00D210A5"/>
    <w:rsid w:val="00D21100"/>
    <w:rsid w:val="00D2118C"/>
    <w:rsid w:val="00D21193"/>
    <w:rsid w:val="00D2123D"/>
    <w:rsid w:val="00D21258"/>
    <w:rsid w:val="00D215D7"/>
    <w:rsid w:val="00D216AA"/>
    <w:rsid w:val="00D21735"/>
    <w:rsid w:val="00D218CB"/>
    <w:rsid w:val="00D21970"/>
    <w:rsid w:val="00D21C51"/>
    <w:rsid w:val="00D21CBD"/>
    <w:rsid w:val="00D21EEF"/>
    <w:rsid w:val="00D21FFC"/>
    <w:rsid w:val="00D22130"/>
    <w:rsid w:val="00D222AD"/>
    <w:rsid w:val="00D223F6"/>
    <w:rsid w:val="00D2273B"/>
    <w:rsid w:val="00D2298C"/>
    <w:rsid w:val="00D229F8"/>
    <w:rsid w:val="00D22BA6"/>
    <w:rsid w:val="00D22C71"/>
    <w:rsid w:val="00D22E70"/>
    <w:rsid w:val="00D23078"/>
    <w:rsid w:val="00D230A6"/>
    <w:rsid w:val="00D23179"/>
    <w:rsid w:val="00D23294"/>
    <w:rsid w:val="00D234E0"/>
    <w:rsid w:val="00D2360C"/>
    <w:rsid w:val="00D2388F"/>
    <w:rsid w:val="00D2389C"/>
    <w:rsid w:val="00D23B21"/>
    <w:rsid w:val="00D23C79"/>
    <w:rsid w:val="00D23E09"/>
    <w:rsid w:val="00D23EB4"/>
    <w:rsid w:val="00D23FF1"/>
    <w:rsid w:val="00D23FF4"/>
    <w:rsid w:val="00D241F0"/>
    <w:rsid w:val="00D2420A"/>
    <w:rsid w:val="00D244B1"/>
    <w:rsid w:val="00D245DD"/>
    <w:rsid w:val="00D2461B"/>
    <w:rsid w:val="00D2464C"/>
    <w:rsid w:val="00D247DC"/>
    <w:rsid w:val="00D24ACA"/>
    <w:rsid w:val="00D24AD5"/>
    <w:rsid w:val="00D24B7D"/>
    <w:rsid w:val="00D24B90"/>
    <w:rsid w:val="00D24C64"/>
    <w:rsid w:val="00D24CEF"/>
    <w:rsid w:val="00D24D3E"/>
    <w:rsid w:val="00D24D66"/>
    <w:rsid w:val="00D24F44"/>
    <w:rsid w:val="00D25087"/>
    <w:rsid w:val="00D253B7"/>
    <w:rsid w:val="00D253D5"/>
    <w:rsid w:val="00D25AB5"/>
    <w:rsid w:val="00D25AD2"/>
    <w:rsid w:val="00D25B0F"/>
    <w:rsid w:val="00D25B18"/>
    <w:rsid w:val="00D25BFE"/>
    <w:rsid w:val="00D25C32"/>
    <w:rsid w:val="00D25C4C"/>
    <w:rsid w:val="00D25D51"/>
    <w:rsid w:val="00D26370"/>
    <w:rsid w:val="00D263B4"/>
    <w:rsid w:val="00D2655A"/>
    <w:rsid w:val="00D265C5"/>
    <w:rsid w:val="00D26905"/>
    <w:rsid w:val="00D26B51"/>
    <w:rsid w:val="00D26B64"/>
    <w:rsid w:val="00D26F07"/>
    <w:rsid w:val="00D27277"/>
    <w:rsid w:val="00D27559"/>
    <w:rsid w:val="00D27901"/>
    <w:rsid w:val="00D27947"/>
    <w:rsid w:val="00D27AE7"/>
    <w:rsid w:val="00D27BB3"/>
    <w:rsid w:val="00D27DFC"/>
    <w:rsid w:val="00D300FF"/>
    <w:rsid w:val="00D30146"/>
    <w:rsid w:val="00D30218"/>
    <w:rsid w:val="00D3040E"/>
    <w:rsid w:val="00D3052C"/>
    <w:rsid w:val="00D30731"/>
    <w:rsid w:val="00D30732"/>
    <w:rsid w:val="00D308A4"/>
    <w:rsid w:val="00D309A2"/>
    <w:rsid w:val="00D30B73"/>
    <w:rsid w:val="00D30BB6"/>
    <w:rsid w:val="00D30D02"/>
    <w:rsid w:val="00D30F79"/>
    <w:rsid w:val="00D31079"/>
    <w:rsid w:val="00D310BF"/>
    <w:rsid w:val="00D3125F"/>
    <w:rsid w:val="00D314B9"/>
    <w:rsid w:val="00D316F6"/>
    <w:rsid w:val="00D317AE"/>
    <w:rsid w:val="00D31898"/>
    <w:rsid w:val="00D31CCC"/>
    <w:rsid w:val="00D31E1F"/>
    <w:rsid w:val="00D32063"/>
    <w:rsid w:val="00D32301"/>
    <w:rsid w:val="00D3247A"/>
    <w:rsid w:val="00D32597"/>
    <w:rsid w:val="00D329D5"/>
    <w:rsid w:val="00D32A30"/>
    <w:rsid w:val="00D32BDC"/>
    <w:rsid w:val="00D32CD6"/>
    <w:rsid w:val="00D32CF7"/>
    <w:rsid w:val="00D33143"/>
    <w:rsid w:val="00D331F4"/>
    <w:rsid w:val="00D33475"/>
    <w:rsid w:val="00D337A4"/>
    <w:rsid w:val="00D338EF"/>
    <w:rsid w:val="00D33A2C"/>
    <w:rsid w:val="00D33B3B"/>
    <w:rsid w:val="00D33D1D"/>
    <w:rsid w:val="00D33D24"/>
    <w:rsid w:val="00D33ED7"/>
    <w:rsid w:val="00D34079"/>
    <w:rsid w:val="00D3427E"/>
    <w:rsid w:val="00D34312"/>
    <w:rsid w:val="00D34346"/>
    <w:rsid w:val="00D3438B"/>
    <w:rsid w:val="00D3446F"/>
    <w:rsid w:val="00D3448A"/>
    <w:rsid w:val="00D344F3"/>
    <w:rsid w:val="00D3461D"/>
    <w:rsid w:val="00D34687"/>
    <w:rsid w:val="00D34738"/>
    <w:rsid w:val="00D34782"/>
    <w:rsid w:val="00D347C4"/>
    <w:rsid w:val="00D34D87"/>
    <w:rsid w:val="00D34E94"/>
    <w:rsid w:val="00D3506C"/>
    <w:rsid w:val="00D350C1"/>
    <w:rsid w:val="00D351B3"/>
    <w:rsid w:val="00D35269"/>
    <w:rsid w:val="00D352B0"/>
    <w:rsid w:val="00D35367"/>
    <w:rsid w:val="00D35436"/>
    <w:rsid w:val="00D35546"/>
    <w:rsid w:val="00D35650"/>
    <w:rsid w:val="00D35842"/>
    <w:rsid w:val="00D3591F"/>
    <w:rsid w:val="00D35A94"/>
    <w:rsid w:val="00D35AD7"/>
    <w:rsid w:val="00D35B3F"/>
    <w:rsid w:val="00D35C20"/>
    <w:rsid w:val="00D3604A"/>
    <w:rsid w:val="00D36133"/>
    <w:rsid w:val="00D361BC"/>
    <w:rsid w:val="00D36273"/>
    <w:rsid w:val="00D363E6"/>
    <w:rsid w:val="00D369BB"/>
    <w:rsid w:val="00D36A43"/>
    <w:rsid w:val="00D36CCA"/>
    <w:rsid w:val="00D36F6F"/>
    <w:rsid w:val="00D3716A"/>
    <w:rsid w:val="00D3726D"/>
    <w:rsid w:val="00D37312"/>
    <w:rsid w:val="00D378B1"/>
    <w:rsid w:val="00D378E9"/>
    <w:rsid w:val="00D37907"/>
    <w:rsid w:val="00D37B5E"/>
    <w:rsid w:val="00D37C65"/>
    <w:rsid w:val="00D37D0A"/>
    <w:rsid w:val="00D37E0E"/>
    <w:rsid w:val="00D37F80"/>
    <w:rsid w:val="00D401BE"/>
    <w:rsid w:val="00D40234"/>
    <w:rsid w:val="00D40242"/>
    <w:rsid w:val="00D40574"/>
    <w:rsid w:val="00D40720"/>
    <w:rsid w:val="00D40839"/>
    <w:rsid w:val="00D40857"/>
    <w:rsid w:val="00D40F3A"/>
    <w:rsid w:val="00D4112F"/>
    <w:rsid w:val="00D4115E"/>
    <w:rsid w:val="00D41414"/>
    <w:rsid w:val="00D414AD"/>
    <w:rsid w:val="00D41708"/>
    <w:rsid w:val="00D417B5"/>
    <w:rsid w:val="00D4180B"/>
    <w:rsid w:val="00D4183F"/>
    <w:rsid w:val="00D41B7E"/>
    <w:rsid w:val="00D41B99"/>
    <w:rsid w:val="00D41BF2"/>
    <w:rsid w:val="00D41C4E"/>
    <w:rsid w:val="00D41C87"/>
    <w:rsid w:val="00D41C9E"/>
    <w:rsid w:val="00D41D87"/>
    <w:rsid w:val="00D41F19"/>
    <w:rsid w:val="00D420CE"/>
    <w:rsid w:val="00D42443"/>
    <w:rsid w:val="00D424BA"/>
    <w:rsid w:val="00D42508"/>
    <w:rsid w:val="00D42529"/>
    <w:rsid w:val="00D42586"/>
    <w:rsid w:val="00D42686"/>
    <w:rsid w:val="00D42693"/>
    <w:rsid w:val="00D426E5"/>
    <w:rsid w:val="00D42A38"/>
    <w:rsid w:val="00D42A8A"/>
    <w:rsid w:val="00D42D95"/>
    <w:rsid w:val="00D42F27"/>
    <w:rsid w:val="00D43050"/>
    <w:rsid w:val="00D430BF"/>
    <w:rsid w:val="00D431E5"/>
    <w:rsid w:val="00D4379B"/>
    <w:rsid w:val="00D437B8"/>
    <w:rsid w:val="00D437FA"/>
    <w:rsid w:val="00D43966"/>
    <w:rsid w:val="00D439F7"/>
    <w:rsid w:val="00D43A12"/>
    <w:rsid w:val="00D43A13"/>
    <w:rsid w:val="00D43ABE"/>
    <w:rsid w:val="00D43D8A"/>
    <w:rsid w:val="00D44297"/>
    <w:rsid w:val="00D4452F"/>
    <w:rsid w:val="00D4453B"/>
    <w:rsid w:val="00D44574"/>
    <w:rsid w:val="00D446B8"/>
    <w:rsid w:val="00D447CE"/>
    <w:rsid w:val="00D4482C"/>
    <w:rsid w:val="00D4496B"/>
    <w:rsid w:val="00D44DF0"/>
    <w:rsid w:val="00D44E90"/>
    <w:rsid w:val="00D44EA6"/>
    <w:rsid w:val="00D44F72"/>
    <w:rsid w:val="00D45023"/>
    <w:rsid w:val="00D45186"/>
    <w:rsid w:val="00D451B9"/>
    <w:rsid w:val="00D457CE"/>
    <w:rsid w:val="00D458B5"/>
    <w:rsid w:val="00D45961"/>
    <w:rsid w:val="00D45B78"/>
    <w:rsid w:val="00D45E26"/>
    <w:rsid w:val="00D46295"/>
    <w:rsid w:val="00D462B4"/>
    <w:rsid w:val="00D4641E"/>
    <w:rsid w:val="00D46424"/>
    <w:rsid w:val="00D46560"/>
    <w:rsid w:val="00D46714"/>
    <w:rsid w:val="00D46738"/>
    <w:rsid w:val="00D46955"/>
    <w:rsid w:val="00D469CF"/>
    <w:rsid w:val="00D46A3D"/>
    <w:rsid w:val="00D46A63"/>
    <w:rsid w:val="00D46BDE"/>
    <w:rsid w:val="00D46D8B"/>
    <w:rsid w:val="00D46DA5"/>
    <w:rsid w:val="00D47458"/>
    <w:rsid w:val="00D47630"/>
    <w:rsid w:val="00D477E9"/>
    <w:rsid w:val="00D4781A"/>
    <w:rsid w:val="00D47985"/>
    <w:rsid w:val="00D47A3E"/>
    <w:rsid w:val="00D5064F"/>
    <w:rsid w:val="00D50690"/>
    <w:rsid w:val="00D50793"/>
    <w:rsid w:val="00D50A0B"/>
    <w:rsid w:val="00D50B57"/>
    <w:rsid w:val="00D50E9D"/>
    <w:rsid w:val="00D51241"/>
    <w:rsid w:val="00D514EB"/>
    <w:rsid w:val="00D51739"/>
    <w:rsid w:val="00D517D7"/>
    <w:rsid w:val="00D5185A"/>
    <w:rsid w:val="00D519C9"/>
    <w:rsid w:val="00D51B9D"/>
    <w:rsid w:val="00D51C41"/>
    <w:rsid w:val="00D52261"/>
    <w:rsid w:val="00D52406"/>
    <w:rsid w:val="00D525D8"/>
    <w:rsid w:val="00D52810"/>
    <w:rsid w:val="00D5283C"/>
    <w:rsid w:val="00D52CA3"/>
    <w:rsid w:val="00D52D62"/>
    <w:rsid w:val="00D52E0C"/>
    <w:rsid w:val="00D52F4B"/>
    <w:rsid w:val="00D52FFB"/>
    <w:rsid w:val="00D5307F"/>
    <w:rsid w:val="00D530EA"/>
    <w:rsid w:val="00D53420"/>
    <w:rsid w:val="00D53444"/>
    <w:rsid w:val="00D53484"/>
    <w:rsid w:val="00D534DB"/>
    <w:rsid w:val="00D53627"/>
    <w:rsid w:val="00D53679"/>
    <w:rsid w:val="00D53746"/>
    <w:rsid w:val="00D5377F"/>
    <w:rsid w:val="00D539C7"/>
    <w:rsid w:val="00D53A70"/>
    <w:rsid w:val="00D53DF8"/>
    <w:rsid w:val="00D53DFC"/>
    <w:rsid w:val="00D53EC6"/>
    <w:rsid w:val="00D53FB2"/>
    <w:rsid w:val="00D5427E"/>
    <w:rsid w:val="00D542BB"/>
    <w:rsid w:val="00D5442E"/>
    <w:rsid w:val="00D54495"/>
    <w:rsid w:val="00D54515"/>
    <w:rsid w:val="00D548CF"/>
    <w:rsid w:val="00D549FA"/>
    <w:rsid w:val="00D54A37"/>
    <w:rsid w:val="00D54C10"/>
    <w:rsid w:val="00D54CBC"/>
    <w:rsid w:val="00D54DBB"/>
    <w:rsid w:val="00D54E28"/>
    <w:rsid w:val="00D54E83"/>
    <w:rsid w:val="00D5503F"/>
    <w:rsid w:val="00D55295"/>
    <w:rsid w:val="00D552E7"/>
    <w:rsid w:val="00D5568B"/>
    <w:rsid w:val="00D55730"/>
    <w:rsid w:val="00D55859"/>
    <w:rsid w:val="00D55915"/>
    <w:rsid w:val="00D55AB5"/>
    <w:rsid w:val="00D55B29"/>
    <w:rsid w:val="00D55B46"/>
    <w:rsid w:val="00D55D93"/>
    <w:rsid w:val="00D55EBC"/>
    <w:rsid w:val="00D56297"/>
    <w:rsid w:val="00D562B9"/>
    <w:rsid w:val="00D5666E"/>
    <w:rsid w:val="00D56674"/>
    <w:rsid w:val="00D56811"/>
    <w:rsid w:val="00D56B3A"/>
    <w:rsid w:val="00D56BED"/>
    <w:rsid w:val="00D56D6C"/>
    <w:rsid w:val="00D56E11"/>
    <w:rsid w:val="00D56F6B"/>
    <w:rsid w:val="00D574C4"/>
    <w:rsid w:val="00D574FD"/>
    <w:rsid w:val="00D57773"/>
    <w:rsid w:val="00D57C52"/>
    <w:rsid w:val="00D57DB7"/>
    <w:rsid w:val="00D57ECC"/>
    <w:rsid w:val="00D6046A"/>
    <w:rsid w:val="00D604DF"/>
    <w:rsid w:val="00D60799"/>
    <w:rsid w:val="00D60BB8"/>
    <w:rsid w:val="00D60E3B"/>
    <w:rsid w:val="00D611E7"/>
    <w:rsid w:val="00D61216"/>
    <w:rsid w:val="00D61463"/>
    <w:rsid w:val="00D614D2"/>
    <w:rsid w:val="00D61762"/>
    <w:rsid w:val="00D61AC6"/>
    <w:rsid w:val="00D62046"/>
    <w:rsid w:val="00D6205F"/>
    <w:rsid w:val="00D62185"/>
    <w:rsid w:val="00D624F4"/>
    <w:rsid w:val="00D627A6"/>
    <w:rsid w:val="00D6286B"/>
    <w:rsid w:val="00D629E9"/>
    <w:rsid w:val="00D62B2F"/>
    <w:rsid w:val="00D62B75"/>
    <w:rsid w:val="00D62E65"/>
    <w:rsid w:val="00D632A8"/>
    <w:rsid w:val="00D632B0"/>
    <w:rsid w:val="00D6379E"/>
    <w:rsid w:val="00D63A6B"/>
    <w:rsid w:val="00D63BA0"/>
    <w:rsid w:val="00D63D1F"/>
    <w:rsid w:val="00D63F96"/>
    <w:rsid w:val="00D64401"/>
    <w:rsid w:val="00D64554"/>
    <w:rsid w:val="00D64635"/>
    <w:rsid w:val="00D646CD"/>
    <w:rsid w:val="00D6470B"/>
    <w:rsid w:val="00D649D7"/>
    <w:rsid w:val="00D64BE4"/>
    <w:rsid w:val="00D64D8F"/>
    <w:rsid w:val="00D64EEC"/>
    <w:rsid w:val="00D65096"/>
    <w:rsid w:val="00D6536E"/>
    <w:rsid w:val="00D65396"/>
    <w:rsid w:val="00D65399"/>
    <w:rsid w:val="00D653A4"/>
    <w:rsid w:val="00D653CC"/>
    <w:rsid w:val="00D65507"/>
    <w:rsid w:val="00D65604"/>
    <w:rsid w:val="00D65C4F"/>
    <w:rsid w:val="00D65DA8"/>
    <w:rsid w:val="00D65DBE"/>
    <w:rsid w:val="00D65DEC"/>
    <w:rsid w:val="00D66180"/>
    <w:rsid w:val="00D661DF"/>
    <w:rsid w:val="00D66300"/>
    <w:rsid w:val="00D6663B"/>
    <w:rsid w:val="00D66838"/>
    <w:rsid w:val="00D6691A"/>
    <w:rsid w:val="00D66952"/>
    <w:rsid w:val="00D66C7B"/>
    <w:rsid w:val="00D66D77"/>
    <w:rsid w:val="00D66E49"/>
    <w:rsid w:val="00D670BB"/>
    <w:rsid w:val="00D671FA"/>
    <w:rsid w:val="00D6728B"/>
    <w:rsid w:val="00D67838"/>
    <w:rsid w:val="00D67841"/>
    <w:rsid w:val="00D67ABE"/>
    <w:rsid w:val="00D67AE7"/>
    <w:rsid w:val="00D67DFB"/>
    <w:rsid w:val="00D67E06"/>
    <w:rsid w:val="00D70039"/>
    <w:rsid w:val="00D700A3"/>
    <w:rsid w:val="00D704FE"/>
    <w:rsid w:val="00D70979"/>
    <w:rsid w:val="00D70C6F"/>
    <w:rsid w:val="00D70DF7"/>
    <w:rsid w:val="00D71064"/>
    <w:rsid w:val="00D710C8"/>
    <w:rsid w:val="00D71192"/>
    <w:rsid w:val="00D71248"/>
    <w:rsid w:val="00D71325"/>
    <w:rsid w:val="00D7136F"/>
    <w:rsid w:val="00D71427"/>
    <w:rsid w:val="00D71439"/>
    <w:rsid w:val="00D71694"/>
    <w:rsid w:val="00D7181D"/>
    <w:rsid w:val="00D71EC8"/>
    <w:rsid w:val="00D71EE2"/>
    <w:rsid w:val="00D71FCE"/>
    <w:rsid w:val="00D720D3"/>
    <w:rsid w:val="00D72268"/>
    <w:rsid w:val="00D724B3"/>
    <w:rsid w:val="00D72555"/>
    <w:rsid w:val="00D7268D"/>
    <w:rsid w:val="00D730A7"/>
    <w:rsid w:val="00D732F7"/>
    <w:rsid w:val="00D733BA"/>
    <w:rsid w:val="00D736B6"/>
    <w:rsid w:val="00D73BA7"/>
    <w:rsid w:val="00D73C76"/>
    <w:rsid w:val="00D73CE8"/>
    <w:rsid w:val="00D73D74"/>
    <w:rsid w:val="00D73EEC"/>
    <w:rsid w:val="00D73F75"/>
    <w:rsid w:val="00D74136"/>
    <w:rsid w:val="00D743A3"/>
    <w:rsid w:val="00D7470E"/>
    <w:rsid w:val="00D74880"/>
    <w:rsid w:val="00D749BD"/>
    <w:rsid w:val="00D74A55"/>
    <w:rsid w:val="00D74DBF"/>
    <w:rsid w:val="00D7506C"/>
    <w:rsid w:val="00D750DC"/>
    <w:rsid w:val="00D756B1"/>
    <w:rsid w:val="00D75733"/>
    <w:rsid w:val="00D757EE"/>
    <w:rsid w:val="00D75931"/>
    <w:rsid w:val="00D759FD"/>
    <w:rsid w:val="00D75A5F"/>
    <w:rsid w:val="00D75A69"/>
    <w:rsid w:val="00D75AFB"/>
    <w:rsid w:val="00D75B9C"/>
    <w:rsid w:val="00D75D40"/>
    <w:rsid w:val="00D75DD8"/>
    <w:rsid w:val="00D76008"/>
    <w:rsid w:val="00D760BF"/>
    <w:rsid w:val="00D7644E"/>
    <w:rsid w:val="00D7663D"/>
    <w:rsid w:val="00D766FF"/>
    <w:rsid w:val="00D76839"/>
    <w:rsid w:val="00D768AC"/>
    <w:rsid w:val="00D76B54"/>
    <w:rsid w:val="00D76B9B"/>
    <w:rsid w:val="00D770B3"/>
    <w:rsid w:val="00D77227"/>
    <w:rsid w:val="00D77278"/>
    <w:rsid w:val="00D77510"/>
    <w:rsid w:val="00D7781C"/>
    <w:rsid w:val="00D778B0"/>
    <w:rsid w:val="00D77908"/>
    <w:rsid w:val="00D77D08"/>
    <w:rsid w:val="00D77FF5"/>
    <w:rsid w:val="00D80169"/>
    <w:rsid w:val="00D805F3"/>
    <w:rsid w:val="00D8073C"/>
    <w:rsid w:val="00D807E3"/>
    <w:rsid w:val="00D80A0A"/>
    <w:rsid w:val="00D80A38"/>
    <w:rsid w:val="00D80D0C"/>
    <w:rsid w:val="00D81087"/>
    <w:rsid w:val="00D81094"/>
    <w:rsid w:val="00D810F6"/>
    <w:rsid w:val="00D814BA"/>
    <w:rsid w:val="00D81699"/>
    <w:rsid w:val="00D816BA"/>
    <w:rsid w:val="00D819AE"/>
    <w:rsid w:val="00D81A0A"/>
    <w:rsid w:val="00D81AB6"/>
    <w:rsid w:val="00D81D83"/>
    <w:rsid w:val="00D81DFB"/>
    <w:rsid w:val="00D81EA8"/>
    <w:rsid w:val="00D81F0A"/>
    <w:rsid w:val="00D82011"/>
    <w:rsid w:val="00D826DE"/>
    <w:rsid w:val="00D82816"/>
    <w:rsid w:val="00D82A9A"/>
    <w:rsid w:val="00D82C3F"/>
    <w:rsid w:val="00D82E93"/>
    <w:rsid w:val="00D82EC1"/>
    <w:rsid w:val="00D82EF0"/>
    <w:rsid w:val="00D830F9"/>
    <w:rsid w:val="00D8314D"/>
    <w:rsid w:val="00D8318C"/>
    <w:rsid w:val="00D8329A"/>
    <w:rsid w:val="00D834CA"/>
    <w:rsid w:val="00D83636"/>
    <w:rsid w:val="00D8375D"/>
    <w:rsid w:val="00D83C8B"/>
    <w:rsid w:val="00D83D09"/>
    <w:rsid w:val="00D83DBA"/>
    <w:rsid w:val="00D83E2F"/>
    <w:rsid w:val="00D842BA"/>
    <w:rsid w:val="00D845CE"/>
    <w:rsid w:val="00D84A1A"/>
    <w:rsid w:val="00D84A60"/>
    <w:rsid w:val="00D84AB5"/>
    <w:rsid w:val="00D84D6D"/>
    <w:rsid w:val="00D84F37"/>
    <w:rsid w:val="00D85021"/>
    <w:rsid w:val="00D85404"/>
    <w:rsid w:val="00D8548B"/>
    <w:rsid w:val="00D854C4"/>
    <w:rsid w:val="00D8583C"/>
    <w:rsid w:val="00D859B7"/>
    <w:rsid w:val="00D85D42"/>
    <w:rsid w:val="00D860C5"/>
    <w:rsid w:val="00D860D1"/>
    <w:rsid w:val="00D86378"/>
    <w:rsid w:val="00D86396"/>
    <w:rsid w:val="00D863CC"/>
    <w:rsid w:val="00D863FE"/>
    <w:rsid w:val="00D8643D"/>
    <w:rsid w:val="00D86583"/>
    <w:rsid w:val="00D865A1"/>
    <w:rsid w:val="00D8669D"/>
    <w:rsid w:val="00D86764"/>
    <w:rsid w:val="00D867C6"/>
    <w:rsid w:val="00D86992"/>
    <w:rsid w:val="00D86B21"/>
    <w:rsid w:val="00D86C94"/>
    <w:rsid w:val="00D86E38"/>
    <w:rsid w:val="00D86F79"/>
    <w:rsid w:val="00D87026"/>
    <w:rsid w:val="00D871D1"/>
    <w:rsid w:val="00D87324"/>
    <w:rsid w:val="00D8739F"/>
    <w:rsid w:val="00D87B50"/>
    <w:rsid w:val="00D87B65"/>
    <w:rsid w:val="00D87F8F"/>
    <w:rsid w:val="00D901B1"/>
    <w:rsid w:val="00D90283"/>
    <w:rsid w:val="00D902CF"/>
    <w:rsid w:val="00D904D1"/>
    <w:rsid w:val="00D904DB"/>
    <w:rsid w:val="00D9064A"/>
    <w:rsid w:val="00D90BB8"/>
    <w:rsid w:val="00D90C57"/>
    <w:rsid w:val="00D90D66"/>
    <w:rsid w:val="00D90E2C"/>
    <w:rsid w:val="00D90E50"/>
    <w:rsid w:val="00D91235"/>
    <w:rsid w:val="00D91242"/>
    <w:rsid w:val="00D91335"/>
    <w:rsid w:val="00D91406"/>
    <w:rsid w:val="00D9167E"/>
    <w:rsid w:val="00D9185C"/>
    <w:rsid w:val="00D91AD4"/>
    <w:rsid w:val="00D91B38"/>
    <w:rsid w:val="00D91B50"/>
    <w:rsid w:val="00D91C83"/>
    <w:rsid w:val="00D91CA3"/>
    <w:rsid w:val="00D91F6E"/>
    <w:rsid w:val="00D91FC9"/>
    <w:rsid w:val="00D92208"/>
    <w:rsid w:val="00D922B5"/>
    <w:rsid w:val="00D92834"/>
    <w:rsid w:val="00D9294A"/>
    <w:rsid w:val="00D9295D"/>
    <w:rsid w:val="00D92B7A"/>
    <w:rsid w:val="00D92F9C"/>
    <w:rsid w:val="00D92FCC"/>
    <w:rsid w:val="00D93100"/>
    <w:rsid w:val="00D933E9"/>
    <w:rsid w:val="00D9368A"/>
    <w:rsid w:val="00D93AC0"/>
    <w:rsid w:val="00D93B0A"/>
    <w:rsid w:val="00D93E02"/>
    <w:rsid w:val="00D93E2B"/>
    <w:rsid w:val="00D94155"/>
    <w:rsid w:val="00D94466"/>
    <w:rsid w:val="00D94516"/>
    <w:rsid w:val="00D946F9"/>
    <w:rsid w:val="00D947CE"/>
    <w:rsid w:val="00D94B2F"/>
    <w:rsid w:val="00D94DC0"/>
    <w:rsid w:val="00D94EE4"/>
    <w:rsid w:val="00D95928"/>
    <w:rsid w:val="00D9592E"/>
    <w:rsid w:val="00D95952"/>
    <w:rsid w:val="00D95B22"/>
    <w:rsid w:val="00D95E0E"/>
    <w:rsid w:val="00D95E56"/>
    <w:rsid w:val="00D96058"/>
    <w:rsid w:val="00D9612A"/>
    <w:rsid w:val="00D964FF"/>
    <w:rsid w:val="00D966E4"/>
    <w:rsid w:val="00D96CEE"/>
    <w:rsid w:val="00D96F0F"/>
    <w:rsid w:val="00D96F25"/>
    <w:rsid w:val="00D96FA2"/>
    <w:rsid w:val="00D9709B"/>
    <w:rsid w:val="00D971BC"/>
    <w:rsid w:val="00D975F5"/>
    <w:rsid w:val="00D97659"/>
    <w:rsid w:val="00D978BA"/>
    <w:rsid w:val="00D97902"/>
    <w:rsid w:val="00D97AD6"/>
    <w:rsid w:val="00D97B78"/>
    <w:rsid w:val="00D97D70"/>
    <w:rsid w:val="00D97EB6"/>
    <w:rsid w:val="00DA0140"/>
    <w:rsid w:val="00DA0375"/>
    <w:rsid w:val="00DA0390"/>
    <w:rsid w:val="00DA0391"/>
    <w:rsid w:val="00DA0488"/>
    <w:rsid w:val="00DA0878"/>
    <w:rsid w:val="00DA0936"/>
    <w:rsid w:val="00DA0A75"/>
    <w:rsid w:val="00DA0BB7"/>
    <w:rsid w:val="00DA0D99"/>
    <w:rsid w:val="00DA0F52"/>
    <w:rsid w:val="00DA10D7"/>
    <w:rsid w:val="00DA139B"/>
    <w:rsid w:val="00DA1421"/>
    <w:rsid w:val="00DA14CE"/>
    <w:rsid w:val="00DA191F"/>
    <w:rsid w:val="00DA1952"/>
    <w:rsid w:val="00DA1A66"/>
    <w:rsid w:val="00DA1AF1"/>
    <w:rsid w:val="00DA1E16"/>
    <w:rsid w:val="00DA1E91"/>
    <w:rsid w:val="00DA20B0"/>
    <w:rsid w:val="00DA25D2"/>
    <w:rsid w:val="00DA26DA"/>
    <w:rsid w:val="00DA27D7"/>
    <w:rsid w:val="00DA29F2"/>
    <w:rsid w:val="00DA2DA0"/>
    <w:rsid w:val="00DA2E1A"/>
    <w:rsid w:val="00DA2FE4"/>
    <w:rsid w:val="00DA2FEB"/>
    <w:rsid w:val="00DA302C"/>
    <w:rsid w:val="00DA3074"/>
    <w:rsid w:val="00DA314A"/>
    <w:rsid w:val="00DA3606"/>
    <w:rsid w:val="00DA366B"/>
    <w:rsid w:val="00DA3868"/>
    <w:rsid w:val="00DA38C7"/>
    <w:rsid w:val="00DA38FC"/>
    <w:rsid w:val="00DA3ADA"/>
    <w:rsid w:val="00DA3F32"/>
    <w:rsid w:val="00DA41C9"/>
    <w:rsid w:val="00DA436D"/>
    <w:rsid w:val="00DA44A6"/>
    <w:rsid w:val="00DA4590"/>
    <w:rsid w:val="00DA4848"/>
    <w:rsid w:val="00DA489E"/>
    <w:rsid w:val="00DA48D2"/>
    <w:rsid w:val="00DA4AF9"/>
    <w:rsid w:val="00DA4B00"/>
    <w:rsid w:val="00DA4D2E"/>
    <w:rsid w:val="00DA4D5D"/>
    <w:rsid w:val="00DA4D63"/>
    <w:rsid w:val="00DA4D66"/>
    <w:rsid w:val="00DA4E6B"/>
    <w:rsid w:val="00DA4EA3"/>
    <w:rsid w:val="00DA52A0"/>
    <w:rsid w:val="00DA5300"/>
    <w:rsid w:val="00DA53B9"/>
    <w:rsid w:val="00DA56AF"/>
    <w:rsid w:val="00DA57EC"/>
    <w:rsid w:val="00DA5AB5"/>
    <w:rsid w:val="00DA5D40"/>
    <w:rsid w:val="00DA5DFD"/>
    <w:rsid w:val="00DA5E6A"/>
    <w:rsid w:val="00DA5EC8"/>
    <w:rsid w:val="00DA6032"/>
    <w:rsid w:val="00DA614F"/>
    <w:rsid w:val="00DA6241"/>
    <w:rsid w:val="00DA65DC"/>
    <w:rsid w:val="00DA679A"/>
    <w:rsid w:val="00DA6975"/>
    <w:rsid w:val="00DA6F30"/>
    <w:rsid w:val="00DA71BD"/>
    <w:rsid w:val="00DA71DB"/>
    <w:rsid w:val="00DA77B0"/>
    <w:rsid w:val="00DA78D3"/>
    <w:rsid w:val="00DA7EEA"/>
    <w:rsid w:val="00DA7EF1"/>
    <w:rsid w:val="00DA7EF3"/>
    <w:rsid w:val="00DB01D7"/>
    <w:rsid w:val="00DB0220"/>
    <w:rsid w:val="00DB055A"/>
    <w:rsid w:val="00DB0562"/>
    <w:rsid w:val="00DB05ED"/>
    <w:rsid w:val="00DB0682"/>
    <w:rsid w:val="00DB0688"/>
    <w:rsid w:val="00DB0946"/>
    <w:rsid w:val="00DB0C6D"/>
    <w:rsid w:val="00DB0CC7"/>
    <w:rsid w:val="00DB0D53"/>
    <w:rsid w:val="00DB0D5C"/>
    <w:rsid w:val="00DB0DBD"/>
    <w:rsid w:val="00DB0FEE"/>
    <w:rsid w:val="00DB1011"/>
    <w:rsid w:val="00DB106B"/>
    <w:rsid w:val="00DB1070"/>
    <w:rsid w:val="00DB1086"/>
    <w:rsid w:val="00DB1361"/>
    <w:rsid w:val="00DB13E3"/>
    <w:rsid w:val="00DB14D9"/>
    <w:rsid w:val="00DB1533"/>
    <w:rsid w:val="00DB15E8"/>
    <w:rsid w:val="00DB1986"/>
    <w:rsid w:val="00DB19F6"/>
    <w:rsid w:val="00DB1D4C"/>
    <w:rsid w:val="00DB1DB4"/>
    <w:rsid w:val="00DB1F55"/>
    <w:rsid w:val="00DB2107"/>
    <w:rsid w:val="00DB2295"/>
    <w:rsid w:val="00DB23ED"/>
    <w:rsid w:val="00DB2439"/>
    <w:rsid w:val="00DB2588"/>
    <w:rsid w:val="00DB299C"/>
    <w:rsid w:val="00DB2D39"/>
    <w:rsid w:val="00DB2DD4"/>
    <w:rsid w:val="00DB2E20"/>
    <w:rsid w:val="00DB2FA0"/>
    <w:rsid w:val="00DB3017"/>
    <w:rsid w:val="00DB354B"/>
    <w:rsid w:val="00DB3598"/>
    <w:rsid w:val="00DB3879"/>
    <w:rsid w:val="00DB38BF"/>
    <w:rsid w:val="00DB3922"/>
    <w:rsid w:val="00DB398B"/>
    <w:rsid w:val="00DB3DBB"/>
    <w:rsid w:val="00DB4567"/>
    <w:rsid w:val="00DB466B"/>
    <w:rsid w:val="00DB479E"/>
    <w:rsid w:val="00DB479F"/>
    <w:rsid w:val="00DB4C5D"/>
    <w:rsid w:val="00DB4CA5"/>
    <w:rsid w:val="00DB4DDE"/>
    <w:rsid w:val="00DB5026"/>
    <w:rsid w:val="00DB5386"/>
    <w:rsid w:val="00DB550E"/>
    <w:rsid w:val="00DB56BF"/>
    <w:rsid w:val="00DB56CB"/>
    <w:rsid w:val="00DB56F7"/>
    <w:rsid w:val="00DB577B"/>
    <w:rsid w:val="00DB5923"/>
    <w:rsid w:val="00DB5990"/>
    <w:rsid w:val="00DB59A1"/>
    <w:rsid w:val="00DB5B64"/>
    <w:rsid w:val="00DB608B"/>
    <w:rsid w:val="00DB60B9"/>
    <w:rsid w:val="00DB6459"/>
    <w:rsid w:val="00DB689E"/>
    <w:rsid w:val="00DB695E"/>
    <w:rsid w:val="00DB69EF"/>
    <w:rsid w:val="00DB6AA5"/>
    <w:rsid w:val="00DB6B1E"/>
    <w:rsid w:val="00DB6DCA"/>
    <w:rsid w:val="00DB6E18"/>
    <w:rsid w:val="00DB7056"/>
    <w:rsid w:val="00DB70CD"/>
    <w:rsid w:val="00DB70F8"/>
    <w:rsid w:val="00DB71AA"/>
    <w:rsid w:val="00DB7202"/>
    <w:rsid w:val="00DB75BF"/>
    <w:rsid w:val="00DB771C"/>
    <w:rsid w:val="00DB774F"/>
    <w:rsid w:val="00DB780A"/>
    <w:rsid w:val="00DB7831"/>
    <w:rsid w:val="00DB79A7"/>
    <w:rsid w:val="00DB7B64"/>
    <w:rsid w:val="00DB7BCC"/>
    <w:rsid w:val="00DB7D66"/>
    <w:rsid w:val="00DB7F7A"/>
    <w:rsid w:val="00DC01FF"/>
    <w:rsid w:val="00DC0347"/>
    <w:rsid w:val="00DC0441"/>
    <w:rsid w:val="00DC058C"/>
    <w:rsid w:val="00DC0796"/>
    <w:rsid w:val="00DC092A"/>
    <w:rsid w:val="00DC097B"/>
    <w:rsid w:val="00DC09A4"/>
    <w:rsid w:val="00DC0C01"/>
    <w:rsid w:val="00DC0C65"/>
    <w:rsid w:val="00DC1078"/>
    <w:rsid w:val="00DC1353"/>
    <w:rsid w:val="00DC141B"/>
    <w:rsid w:val="00DC1449"/>
    <w:rsid w:val="00DC14FF"/>
    <w:rsid w:val="00DC1516"/>
    <w:rsid w:val="00DC15EA"/>
    <w:rsid w:val="00DC16B4"/>
    <w:rsid w:val="00DC1817"/>
    <w:rsid w:val="00DC1903"/>
    <w:rsid w:val="00DC1BB2"/>
    <w:rsid w:val="00DC1E2F"/>
    <w:rsid w:val="00DC1EE7"/>
    <w:rsid w:val="00DC1F40"/>
    <w:rsid w:val="00DC1F53"/>
    <w:rsid w:val="00DC22CC"/>
    <w:rsid w:val="00DC22F6"/>
    <w:rsid w:val="00DC24AE"/>
    <w:rsid w:val="00DC24E2"/>
    <w:rsid w:val="00DC25E9"/>
    <w:rsid w:val="00DC260A"/>
    <w:rsid w:val="00DC2BFD"/>
    <w:rsid w:val="00DC2C08"/>
    <w:rsid w:val="00DC34D0"/>
    <w:rsid w:val="00DC3864"/>
    <w:rsid w:val="00DC3A94"/>
    <w:rsid w:val="00DC3B8D"/>
    <w:rsid w:val="00DC3C04"/>
    <w:rsid w:val="00DC3D59"/>
    <w:rsid w:val="00DC3DE2"/>
    <w:rsid w:val="00DC3EDB"/>
    <w:rsid w:val="00DC3FDE"/>
    <w:rsid w:val="00DC4083"/>
    <w:rsid w:val="00DC41B2"/>
    <w:rsid w:val="00DC4284"/>
    <w:rsid w:val="00DC42F1"/>
    <w:rsid w:val="00DC4693"/>
    <w:rsid w:val="00DC46CB"/>
    <w:rsid w:val="00DC46E6"/>
    <w:rsid w:val="00DC4865"/>
    <w:rsid w:val="00DC48BD"/>
    <w:rsid w:val="00DC4933"/>
    <w:rsid w:val="00DC4A3F"/>
    <w:rsid w:val="00DC4D81"/>
    <w:rsid w:val="00DC4E05"/>
    <w:rsid w:val="00DC4EA2"/>
    <w:rsid w:val="00DC513D"/>
    <w:rsid w:val="00DC5153"/>
    <w:rsid w:val="00DC517C"/>
    <w:rsid w:val="00DC54CC"/>
    <w:rsid w:val="00DC559B"/>
    <w:rsid w:val="00DC5724"/>
    <w:rsid w:val="00DC59BE"/>
    <w:rsid w:val="00DC5AD6"/>
    <w:rsid w:val="00DC5CD3"/>
    <w:rsid w:val="00DC5D5D"/>
    <w:rsid w:val="00DC5EA6"/>
    <w:rsid w:val="00DC60EC"/>
    <w:rsid w:val="00DC63CE"/>
    <w:rsid w:val="00DC6505"/>
    <w:rsid w:val="00DC651A"/>
    <w:rsid w:val="00DC660D"/>
    <w:rsid w:val="00DC6791"/>
    <w:rsid w:val="00DC689F"/>
    <w:rsid w:val="00DC6A8C"/>
    <w:rsid w:val="00DC6BA2"/>
    <w:rsid w:val="00DC6FA9"/>
    <w:rsid w:val="00DC718E"/>
    <w:rsid w:val="00DC71FA"/>
    <w:rsid w:val="00DC7210"/>
    <w:rsid w:val="00DC76D3"/>
    <w:rsid w:val="00DC7895"/>
    <w:rsid w:val="00DC7AD3"/>
    <w:rsid w:val="00DC7D3B"/>
    <w:rsid w:val="00DD01E4"/>
    <w:rsid w:val="00DD0290"/>
    <w:rsid w:val="00DD081C"/>
    <w:rsid w:val="00DD08FE"/>
    <w:rsid w:val="00DD0B70"/>
    <w:rsid w:val="00DD0B80"/>
    <w:rsid w:val="00DD0C42"/>
    <w:rsid w:val="00DD0D01"/>
    <w:rsid w:val="00DD0D06"/>
    <w:rsid w:val="00DD0F35"/>
    <w:rsid w:val="00DD0FB2"/>
    <w:rsid w:val="00DD1192"/>
    <w:rsid w:val="00DD1276"/>
    <w:rsid w:val="00DD137E"/>
    <w:rsid w:val="00DD16E6"/>
    <w:rsid w:val="00DD1722"/>
    <w:rsid w:val="00DD17D7"/>
    <w:rsid w:val="00DD18C5"/>
    <w:rsid w:val="00DD1A05"/>
    <w:rsid w:val="00DD1A46"/>
    <w:rsid w:val="00DD1B3E"/>
    <w:rsid w:val="00DD1D7E"/>
    <w:rsid w:val="00DD1FDF"/>
    <w:rsid w:val="00DD2099"/>
    <w:rsid w:val="00DD22F0"/>
    <w:rsid w:val="00DD249B"/>
    <w:rsid w:val="00DD2B01"/>
    <w:rsid w:val="00DD2BF6"/>
    <w:rsid w:val="00DD2C21"/>
    <w:rsid w:val="00DD2D2A"/>
    <w:rsid w:val="00DD2F2B"/>
    <w:rsid w:val="00DD2F45"/>
    <w:rsid w:val="00DD3007"/>
    <w:rsid w:val="00DD308D"/>
    <w:rsid w:val="00DD31B6"/>
    <w:rsid w:val="00DD3295"/>
    <w:rsid w:val="00DD34B8"/>
    <w:rsid w:val="00DD3524"/>
    <w:rsid w:val="00DD3714"/>
    <w:rsid w:val="00DD3A47"/>
    <w:rsid w:val="00DD3AE7"/>
    <w:rsid w:val="00DD3D70"/>
    <w:rsid w:val="00DD3E50"/>
    <w:rsid w:val="00DD3F40"/>
    <w:rsid w:val="00DD40F6"/>
    <w:rsid w:val="00DD43BD"/>
    <w:rsid w:val="00DD45C7"/>
    <w:rsid w:val="00DD490A"/>
    <w:rsid w:val="00DD49B6"/>
    <w:rsid w:val="00DD4AA0"/>
    <w:rsid w:val="00DD4B64"/>
    <w:rsid w:val="00DD4C0A"/>
    <w:rsid w:val="00DD4D61"/>
    <w:rsid w:val="00DD4DED"/>
    <w:rsid w:val="00DD4F80"/>
    <w:rsid w:val="00DD53B2"/>
    <w:rsid w:val="00DD56ED"/>
    <w:rsid w:val="00DD59E2"/>
    <w:rsid w:val="00DD6172"/>
    <w:rsid w:val="00DD618D"/>
    <w:rsid w:val="00DD62E9"/>
    <w:rsid w:val="00DD633F"/>
    <w:rsid w:val="00DD637F"/>
    <w:rsid w:val="00DD63E2"/>
    <w:rsid w:val="00DD6485"/>
    <w:rsid w:val="00DD65DD"/>
    <w:rsid w:val="00DD6698"/>
    <w:rsid w:val="00DD68E0"/>
    <w:rsid w:val="00DD6AFA"/>
    <w:rsid w:val="00DD6C09"/>
    <w:rsid w:val="00DD6C4D"/>
    <w:rsid w:val="00DD6D0B"/>
    <w:rsid w:val="00DD6DCA"/>
    <w:rsid w:val="00DD6DE7"/>
    <w:rsid w:val="00DD6EA7"/>
    <w:rsid w:val="00DD7490"/>
    <w:rsid w:val="00DD74A0"/>
    <w:rsid w:val="00DD7603"/>
    <w:rsid w:val="00DD778D"/>
    <w:rsid w:val="00DD792B"/>
    <w:rsid w:val="00DD7989"/>
    <w:rsid w:val="00DD7998"/>
    <w:rsid w:val="00DD7A83"/>
    <w:rsid w:val="00DD7D40"/>
    <w:rsid w:val="00DD7DA0"/>
    <w:rsid w:val="00DD7F37"/>
    <w:rsid w:val="00DE0045"/>
    <w:rsid w:val="00DE0105"/>
    <w:rsid w:val="00DE03FB"/>
    <w:rsid w:val="00DE0492"/>
    <w:rsid w:val="00DE0559"/>
    <w:rsid w:val="00DE0975"/>
    <w:rsid w:val="00DE0BBD"/>
    <w:rsid w:val="00DE0C05"/>
    <w:rsid w:val="00DE0E46"/>
    <w:rsid w:val="00DE105F"/>
    <w:rsid w:val="00DE1089"/>
    <w:rsid w:val="00DE10FB"/>
    <w:rsid w:val="00DE12F4"/>
    <w:rsid w:val="00DE1480"/>
    <w:rsid w:val="00DE1A55"/>
    <w:rsid w:val="00DE1CDE"/>
    <w:rsid w:val="00DE1D78"/>
    <w:rsid w:val="00DE2489"/>
    <w:rsid w:val="00DE2550"/>
    <w:rsid w:val="00DE2BEA"/>
    <w:rsid w:val="00DE2C76"/>
    <w:rsid w:val="00DE30F2"/>
    <w:rsid w:val="00DE329E"/>
    <w:rsid w:val="00DE32A0"/>
    <w:rsid w:val="00DE32F8"/>
    <w:rsid w:val="00DE359D"/>
    <w:rsid w:val="00DE36D3"/>
    <w:rsid w:val="00DE36D6"/>
    <w:rsid w:val="00DE3748"/>
    <w:rsid w:val="00DE383C"/>
    <w:rsid w:val="00DE3C2E"/>
    <w:rsid w:val="00DE3C6C"/>
    <w:rsid w:val="00DE3EAD"/>
    <w:rsid w:val="00DE4089"/>
    <w:rsid w:val="00DE42DD"/>
    <w:rsid w:val="00DE4360"/>
    <w:rsid w:val="00DE442A"/>
    <w:rsid w:val="00DE4448"/>
    <w:rsid w:val="00DE44C0"/>
    <w:rsid w:val="00DE45BC"/>
    <w:rsid w:val="00DE4795"/>
    <w:rsid w:val="00DE496D"/>
    <w:rsid w:val="00DE4A65"/>
    <w:rsid w:val="00DE4BCE"/>
    <w:rsid w:val="00DE4C8F"/>
    <w:rsid w:val="00DE4E07"/>
    <w:rsid w:val="00DE4EDE"/>
    <w:rsid w:val="00DE51F4"/>
    <w:rsid w:val="00DE534E"/>
    <w:rsid w:val="00DE53E6"/>
    <w:rsid w:val="00DE53F4"/>
    <w:rsid w:val="00DE551E"/>
    <w:rsid w:val="00DE561C"/>
    <w:rsid w:val="00DE569E"/>
    <w:rsid w:val="00DE5940"/>
    <w:rsid w:val="00DE59C2"/>
    <w:rsid w:val="00DE5CC4"/>
    <w:rsid w:val="00DE5CD3"/>
    <w:rsid w:val="00DE5D48"/>
    <w:rsid w:val="00DE5DA5"/>
    <w:rsid w:val="00DE5E52"/>
    <w:rsid w:val="00DE5F62"/>
    <w:rsid w:val="00DE61C3"/>
    <w:rsid w:val="00DE670F"/>
    <w:rsid w:val="00DE6733"/>
    <w:rsid w:val="00DE67A7"/>
    <w:rsid w:val="00DE68F3"/>
    <w:rsid w:val="00DE68FC"/>
    <w:rsid w:val="00DE74A6"/>
    <w:rsid w:val="00DE75EE"/>
    <w:rsid w:val="00DE765B"/>
    <w:rsid w:val="00DE771D"/>
    <w:rsid w:val="00DE7BE3"/>
    <w:rsid w:val="00DE7C15"/>
    <w:rsid w:val="00DE7E45"/>
    <w:rsid w:val="00DF00AA"/>
    <w:rsid w:val="00DF01CC"/>
    <w:rsid w:val="00DF0529"/>
    <w:rsid w:val="00DF080A"/>
    <w:rsid w:val="00DF0C86"/>
    <w:rsid w:val="00DF0D3C"/>
    <w:rsid w:val="00DF0D8C"/>
    <w:rsid w:val="00DF0E5F"/>
    <w:rsid w:val="00DF0F6F"/>
    <w:rsid w:val="00DF0F74"/>
    <w:rsid w:val="00DF10A5"/>
    <w:rsid w:val="00DF10A8"/>
    <w:rsid w:val="00DF10D6"/>
    <w:rsid w:val="00DF11E4"/>
    <w:rsid w:val="00DF127F"/>
    <w:rsid w:val="00DF13C5"/>
    <w:rsid w:val="00DF158E"/>
    <w:rsid w:val="00DF18DA"/>
    <w:rsid w:val="00DF1AA8"/>
    <w:rsid w:val="00DF1BE6"/>
    <w:rsid w:val="00DF1E62"/>
    <w:rsid w:val="00DF1FCD"/>
    <w:rsid w:val="00DF21B8"/>
    <w:rsid w:val="00DF2673"/>
    <w:rsid w:val="00DF2A00"/>
    <w:rsid w:val="00DF2B1B"/>
    <w:rsid w:val="00DF2B6D"/>
    <w:rsid w:val="00DF2CE8"/>
    <w:rsid w:val="00DF2E27"/>
    <w:rsid w:val="00DF2E64"/>
    <w:rsid w:val="00DF2EAB"/>
    <w:rsid w:val="00DF2EE3"/>
    <w:rsid w:val="00DF3165"/>
    <w:rsid w:val="00DF32F3"/>
    <w:rsid w:val="00DF3362"/>
    <w:rsid w:val="00DF33B9"/>
    <w:rsid w:val="00DF35A0"/>
    <w:rsid w:val="00DF35D1"/>
    <w:rsid w:val="00DF36E6"/>
    <w:rsid w:val="00DF38D1"/>
    <w:rsid w:val="00DF3DC5"/>
    <w:rsid w:val="00DF3FF4"/>
    <w:rsid w:val="00DF4054"/>
    <w:rsid w:val="00DF40C3"/>
    <w:rsid w:val="00DF417C"/>
    <w:rsid w:val="00DF439A"/>
    <w:rsid w:val="00DF43C1"/>
    <w:rsid w:val="00DF44E9"/>
    <w:rsid w:val="00DF4569"/>
    <w:rsid w:val="00DF46CD"/>
    <w:rsid w:val="00DF473F"/>
    <w:rsid w:val="00DF491A"/>
    <w:rsid w:val="00DF4AFF"/>
    <w:rsid w:val="00DF4FD8"/>
    <w:rsid w:val="00DF509E"/>
    <w:rsid w:val="00DF535B"/>
    <w:rsid w:val="00DF538E"/>
    <w:rsid w:val="00DF5740"/>
    <w:rsid w:val="00DF5847"/>
    <w:rsid w:val="00DF58C9"/>
    <w:rsid w:val="00DF5966"/>
    <w:rsid w:val="00DF5A99"/>
    <w:rsid w:val="00DF5C1C"/>
    <w:rsid w:val="00DF5CC4"/>
    <w:rsid w:val="00DF5CF6"/>
    <w:rsid w:val="00DF5D47"/>
    <w:rsid w:val="00DF5DF6"/>
    <w:rsid w:val="00DF5ED7"/>
    <w:rsid w:val="00DF6112"/>
    <w:rsid w:val="00DF61CC"/>
    <w:rsid w:val="00DF6598"/>
    <w:rsid w:val="00DF65D3"/>
    <w:rsid w:val="00DF667B"/>
    <w:rsid w:val="00DF66D2"/>
    <w:rsid w:val="00DF6987"/>
    <w:rsid w:val="00DF6B9D"/>
    <w:rsid w:val="00DF6CFD"/>
    <w:rsid w:val="00DF6E21"/>
    <w:rsid w:val="00DF70A2"/>
    <w:rsid w:val="00DF71A9"/>
    <w:rsid w:val="00DF76D7"/>
    <w:rsid w:val="00DF777C"/>
    <w:rsid w:val="00DF78F4"/>
    <w:rsid w:val="00DF798D"/>
    <w:rsid w:val="00DF7F38"/>
    <w:rsid w:val="00DF7FCB"/>
    <w:rsid w:val="00E00076"/>
    <w:rsid w:val="00E00149"/>
    <w:rsid w:val="00E001E2"/>
    <w:rsid w:val="00E0026B"/>
    <w:rsid w:val="00E00503"/>
    <w:rsid w:val="00E005CE"/>
    <w:rsid w:val="00E005DE"/>
    <w:rsid w:val="00E00740"/>
    <w:rsid w:val="00E009EC"/>
    <w:rsid w:val="00E00A14"/>
    <w:rsid w:val="00E00A7C"/>
    <w:rsid w:val="00E00D44"/>
    <w:rsid w:val="00E00D49"/>
    <w:rsid w:val="00E00D88"/>
    <w:rsid w:val="00E00FB2"/>
    <w:rsid w:val="00E012D7"/>
    <w:rsid w:val="00E01401"/>
    <w:rsid w:val="00E01428"/>
    <w:rsid w:val="00E014F4"/>
    <w:rsid w:val="00E01552"/>
    <w:rsid w:val="00E01574"/>
    <w:rsid w:val="00E01615"/>
    <w:rsid w:val="00E01713"/>
    <w:rsid w:val="00E01733"/>
    <w:rsid w:val="00E01774"/>
    <w:rsid w:val="00E01B06"/>
    <w:rsid w:val="00E01C5B"/>
    <w:rsid w:val="00E01CDA"/>
    <w:rsid w:val="00E0226E"/>
    <w:rsid w:val="00E022A2"/>
    <w:rsid w:val="00E02376"/>
    <w:rsid w:val="00E02382"/>
    <w:rsid w:val="00E023EC"/>
    <w:rsid w:val="00E0240F"/>
    <w:rsid w:val="00E02568"/>
    <w:rsid w:val="00E0258A"/>
    <w:rsid w:val="00E026CC"/>
    <w:rsid w:val="00E027E8"/>
    <w:rsid w:val="00E02BC0"/>
    <w:rsid w:val="00E030ED"/>
    <w:rsid w:val="00E0329D"/>
    <w:rsid w:val="00E0340D"/>
    <w:rsid w:val="00E0372C"/>
    <w:rsid w:val="00E03797"/>
    <w:rsid w:val="00E03A92"/>
    <w:rsid w:val="00E03A9C"/>
    <w:rsid w:val="00E03C08"/>
    <w:rsid w:val="00E03D01"/>
    <w:rsid w:val="00E03F28"/>
    <w:rsid w:val="00E03F34"/>
    <w:rsid w:val="00E042C6"/>
    <w:rsid w:val="00E042D0"/>
    <w:rsid w:val="00E0446D"/>
    <w:rsid w:val="00E0448E"/>
    <w:rsid w:val="00E0459F"/>
    <w:rsid w:val="00E045DA"/>
    <w:rsid w:val="00E04637"/>
    <w:rsid w:val="00E04A71"/>
    <w:rsid w:val="00E04A8B"/>
    <w:rsid w:val="00E04C7D"/>
    <w:rsid w:val="00E05077"/>
    <w:rsid w:val="00E056C1"/>
    <w:rsid w:val="00E0582D"/>
    <w:rsid w:val="00E05AC6"/>
    <w:rsid w:val="00E05BE1"/>
    <w:rsid w:val="00E05C31"/>
    <w:rsid w:val="00E05C58"/>
    <w:rsid w:val="00E05CA0"/>
    <w:rsid w:val="00E05D0C"/>
    <w:rsid w:val="00E05D29"/>
    <w:rsid w:val="00E05E96"/>
    <w:rsid w:val="00E0603F"/>
    <w:rsid w:val="00E0605E"/>
    <w:rsid w:val="00E060AF"/>
    <w:rsid w:val="00E06116"/>
    <w:rsid w:val="00E062CB"/>
    <w:rsid w:val="00E06694"/>
    <w:rsid w:val="00E067D2"/>
    <w:rsid w:val="00E0697D"/>
    <w:rsid w:val="00E06AAE"/>
    <w:rsid w:val="00E06AB6"/>
    <w:rsid w:val="00E06AD8"/>
    <w:rsid w:val="00E06C14"/>
    <w:rsid w:val="00E06D90"/>
    <w:rsid w:val="00E06E5B"/>
    <w:rsid w:val="00E06ECE"/>
    <w:rsid w:val="00E070E8"/>
    <w:rsid w:val="00E07187"/>
    <w:rsid w:val="00E073F2"/>
    <w:rsid w:val="00E074CE"/>
    <w:rsid w:val="00E075D6"/>
    <w:rsid w:val="00E07661"/>
    <w:rsid w:val="00E077FF"/>
    <w:rsid w:val="00E07A6C"/>
    <w:rsid w:val="00E07C6F"/>
    <w:rsid w:val="00E10430"/>
    <w:rsid w:val="00E104B3"/>
    <w:rsid w:val="00E106A5"/>
    <w:rsid w:val="00E10BB7"/>
    <w:rsid w:val="00E10CB9"/>
    <w:rsid w:val="00E10F4F"/>
    <w:rsid w:val="00E11058"/>
    <w:rsid w:val="00E11076"/>
    <w:rsid w:val="00E11209"/>
    <w:rsid w:val="00E1131A"/>
    <w:rsid w:val="00E11392"/>
    <w:rsid w:val="00E11684"/>
    <w:rsid w:val="00E119CF"/>
    <w:rsid w:val="00E11D99"/>
    <w:rsid w:val="00E11E0C"/>
    <w:rsid w:val="00E11E44"/>
    <w:rsid w:val="00E11F91"/>
    <w:rsid w:val="00E11FDC"/>
    <w:rsid w:val="00E1226A"/>
    <w:rsid w:val="00E122F0"/>
    <w:rsid w:val="00E123F8"/>
    <w:rsid w:val="00E1268D"/>
    <w:rsid w:val="00E128AC"/>
    <w:rsid w:val="00E12B26"/>
    <w:rsid w:val="00E12B29"/>
    <w:rsid w:val="00E12E76"/>
    <w:rsid w:val="00E12FB8"/>
    <w:rsid w:val="00E12FEA"/>
    <w:rsid w:val="00E1312C"/>
    <w:rsid w:val="00E1316D"/>
    <w:rsid w:val="00E132E1"/>
    <w:rsid w:val="00E132EC"/>
    <w:rsid w:val="00E13499"/>
    <w:rsid w:val="00E134BE"/>
    <w:rsid w:val="00E1352B"/>
    <w:rsid w:val="00E1387B"/>
    <w:rsid w:val="00E13AD9"/>
    <w:rsid w:val="00E13C0B"/>
    <w:rsid w:val="00E13CA9"/>
    <w:rsid w:val="00E13EBE"/>
    <w:rsid w:val="00E13F29"/>
    <w:rsid w:val="00E14428"/>
    <w:rsid w:val="00E14859"/>
    <w:rsid w:val="00E148A0"/>
    <w:rsid w:val="00E148E3"/>
    <w:rsid w:val="00E14A6B"/>
    <w:rsid w:val="00E14FAA"/>
    <w:rsid w:val="00E15245"/>
    <w:rsid w:val="00E157FD"/>
    <w:rsid w:val="00E15831"/>
    <w:rsid w:val="00E15ADD"/>
    <w:rsid w:val="00E15D90"/>
    <w:rsid w:val="00E15E80"/>
    <w:rsid w:val="00E15E81"/>
    <w:rsid w:val="00E15F12"/>
    <w:rsid w:val="00E160F1"/>
    <w:rsid w:val="00E162EA"/>
    <w:rsid w:val="00E163C5"/>
    <w:rsid w:val="00E1642C"/>
    <w:rsid w:val="00E16443"/>
    <w:rsid w:val="00E167EF"/>
    <w:rsid w:val="00E168ED"/>
    <w:rsid w:val="00E16C83"/>
    <w:rsid w:val="00E16E8C"/>
    <w:rsid w:val="00E171E3"/>
    <w:rsid w:val="00E1748B"/>
    <w:rsid w:val="00E175C4"/>
    <w:rsid w:val="00E17650"/>
    <w:rsid w:val="00E17668"/>
    <w:rsid w:val="00E17754"/>
    <w:rsid w:val="00E178F8"/>
    <w:rsid w:val="00E17949"/>
    <w:rsid w:val="00E2035D"/>
    <w:rsid w:val="00E2046A"/>
    <w:rsid w:val="00E20696"/>
    <w:rsid w:val="00E20700"/>
    <w:rsid w:val="00E20C41"/>
    <w:rsid w:val="00E20C95"/>
    <w:rsid w:val="00E20D61"/>
    <w:rsid w:val="00E20E4A"/>
    <w:rsid w:val="00E211FE"/>
    <w:rsid w:val="00E2121A"/>
    <w:rsid w:val="00E21326"/>
    <w:rsid w:val="00E21567"/>
    <w:rsid w:val="00E21605"/>
    <w:rsid w:val="00E216D3"/>
    <w:rsid w:val="00E218C8"/>
    <w:rsid w:val="00E2196C"/>
    <w:rsid w:val="00E219CC"/>
    <w:rsid w:val="00E21C79"/>
    <w:rsid w:val="00E21D3B"/>
    <w:rsid w:val="00E22105"/>
    <w:rsid w:val="00E222EB"/>
    <w:rsid w:val="00E2235A"/>
    <w:rsid w:val="00E22435"/>
    <w:rsid w:val="00E2257A"/>
    <w:rsid w:val="00E226A5"/>
    <w:rsid w:val="00E2271F"/>
    <w:rsid w:val="00E228A3"/>
    <w:rsid w:val="00E229A6"/>
    <w:rsid w:val="00E22A0B"/>
    <w:rsid w:val="00E22B2A"/>
    <w:rsid w:val="00E22BF6"/>
    <w:rsid w:val="00E22F23"/>
    <w:rsid w:val="00E22F6D"/>
    <w:rsid w:val="00E23068"/>
    <w:rsid w:val="00E2315B"/>
    <w:rsid w:val="00E23173"/>
    <w:rsid w:val="00E23231"/>
    <w:rsid w:val="00E23424"/>
    <w:rsid w:val="00E2347B"/>
    <w:rsid w:val="00E23683"/>
    <w:rsid w:val="00E23889"/>
    <w:rsid w:val="00E23AD0"/>
    <w:rsid w:val="00E23E3C"/>
    <w:rsid w:val="00E23EDB"/>
    <w:rsid w:val="00E241CD"/>
    <w:rsid w:val="00E241E2"/>
    <w:rsid w:val="00E2439B"/>
    <w:rsid w:val="00E2440A"/>
    <w:rsid w:val="00E2468F"/>
    <w:rsid w:val="00E24770"/>
    <w:rsid w:val="00E249F9"/>
    <w:rsid w:val="00E24CA4"/>
    <w:rsid w:val="00E24F13"/>
    <w:rsid w:val="00E25359"/>
    <w:rsid w:val="00E2551E"/>
    <w:rsid w:val="00E25796"/>
    <w:rsid w:val="00E257CC"/>
    <w:rsid w:val="00E2583E"/>
    <w:rsid w:val="00E25849"/>
    <w:rsid w:val="00E25C85"/>
    <w:rsid w:val="00E25E6A"/>
    <w:rsid w:val="00E25FC2"/>
    <w:rsid w:val="00E26000"/>
    <w:rsid w:val="00E26157"/>
    <w:rsid w:val="00E26492"/>
    <w:rsid w:val="00E269F6"/>
    <w:rsid w:val="00E26A3B"/>
    <w:rsid w:val="00E26A70"/>
    <w:rsid w:val="00E26E23"/>
    <w:rsid w:val="00E26F9F"/>
    <w:rsid w:val="00E272C9"/>
    <w:rsid w:val="00E273BD"/>
    <w:rsid w:val="00E2755E"/>
    <w:rsid w:val="00E27565"/>
    <w:rsid w:val="00E27607"/>
    <w:rsid w:val="00E27690"/>
    <w:rsid w:val="00E27C35"/>
    <w:rsid w:val="00E27D5C"/>
    <w:rsid w:val="00E27D88"/>
    <w:rsid w:val="00E27DB4"/>
    <w:rsid w:val="00E27E99"/>
    <w:rsid w:val="00E27F31"/>
    <w:rsid w:val="00E27F41"/>
    <w:rsid w:val="00E27FE2"/>
    <w:rsid w:val="00E30140"/>
    <w:rsid w:val="00E302DE"/>
    <w:rsid w:val="00E30382"/>
    <w:rsid w:val="00E3041E"/>
    <w:rsid w:val="00E30485"/>
    <w:rsid w:val="00E30584"/>
    <w:rsid w:val="00E3070F"/>
    <w:rsid w:val="00E3093D"/>
    <w:rsid w:val="00E30C2B"/>
    <w:rsid w:val="00E30D06"/>
    <w:rsid w:val="00E30EB2"/>
    <w:rsid w:val="00E30F4C"/>
    <w:rsid w:val="00E3105F"/>
    <w:rsid w:val="00E311FB"/>
    <w:rsid w:val="00E312BA"/>
    <w:rsid w:val="00E3139E"/>
    <w:rsid w:val="00E31437"/>
    <w:rsid w:val="00E3157D"/>
    <w:rsid w:val="00E315C5"/>
    <w:rsid w:val="00E316A4"/>
    <w:rsid w:val="00E317FB"/>
    <w:rsid w:val="00E31822"/>
    <w:rsid w:val="00E3189B"/>
    <w:rsid w:val="00E318FA"/>
    <w:rsid w:val="00E3197B"/>
    <w:rsid w:val="00E31A44"/>
    <w:rsid w:val="00E31A75"/>
    <w:rsid w:val="00E31ABC"/>
    <w:rsid w:val="00E31B5C"/>
    <w:rsid w:val="00E31EF0"/>
    <w:rsid w:val="00E31F10"/>
    <w:rsid w:val="00E31F15"/>
    <w:rsid w:val="00E32055"/>
    <w:rsid w:val="00E320E3"/>
    <w:rsid w:val="00E32207"/>
    <w:rsid w:val="00E3221E"/>
    <w:rsid w:val="00E3248F"/>
    <w:rsid w:val="00E329DA"/>
    <w:rsid w:val="00E32B12"/>
    <w:rsid w:val="00E32BAE"/>
    <w:rsid w:val="00E32CB0"/>
    <w:rsid w:val="00E33095"/>
    <w:rsid w:val="00E33170"/>
    <w:rsid w:val="00E33249"/>
    <w:rsid w:val="00E33309"/>
    <w:rsid w:val="00E33339"/>
    <w:rsid w:val="00E3336C"/>
    <w:rsid w:val="00E33515"/>
    <w:rsid w:val="00E3355D"/>
    <w:rsid w:val="00E33573"/>
    <w:rsid w:val="00E335E6"/>
    <w:rsid w:val="00E33AAC"/>
    <w:rsid w:val="00E33C1A"/>
    <w:rsid w:val="00E33D99"/>
    <w:rsid w:val="00E33EBF"/>
    <w:rsid w:val="00E33EC6"/>
    <w:rsid w:val="00E33EE7"/>
    <w:rsid w:val="00E33F61"/>
    <w:rsid w:val="00E3402D"/>
    <w:rsid w:val="00E34106"/>
    <w:rsid w:val="00E3418A"/>
    <w:rsid w:val="00E341FB"/>
    <w:rsid w:val="00E3463A"/>
    <w:rsid w:val="00E34747"/>
    <w:rsid w:val="00E34A72"/>
    <w:rsid w:val="00E34ABE"/>
    <w:rsid w:val="00E34C64"/>
    <w:rsid w:val="00E34E44"/>
    <w:rsid w:val="00E34E87"/>
    <w:rsid w:val="00E35128"/>
    <w:rsid w:val="00E352D9"/>
    <w:rsid w:val="00E354CF"/>
    <w:rsid w:val="00E355C3"/>
    <w:rsid w:val="00E355FB"/>
    <w:rsid w:val="00E35B8F"/>
    <w:rsid w:val="00E36039"/>
    <w:rsid w:val="00E36119"/>
    <w:rsid w:val="00E3615E"/>
    <w:rsid w:val="00E364B8"/>
    <w:rsid w:val="00E364CE"/>
    <w:rsid w:val="00E36512"/>
    <w:rsid w:val="00E36581"/>
    <w:rsid w:val="00E36704"/>
    <w:rsid w:val="00E36771"/>
    <w:rsid w:val="00E367C0"/>
    <w:rsid w:val="00E367D2"/>
    <w:rsid w:val="00E368E7"/>
    <w:rsid w:val="00E36952"/>
    <w:rsid w:val="00E36A15"/>
    <w:rsid w:val="00E36B5E"/>
    <w:rsid w:val="00E36C6A"/>
    <w:rsid w:val="00E36D56"/>
    <w:rsid w:val="00E36EC6"/>
    <w:rsid w:val="00E36FFC"/>
    <w:rsid w:val="00E37047"/>
    <w:rsid w:val="00E370D6"/>
    <w:rsid w:val="00E37130"/>
    <w:rsid w:val="00E3735E"/>
    <w:rsid w:val="00E37393"/>
    <w:rsid w:val="00E37435"/>
    <w:rsid w:val="00E37749"/>
    <w:rsid w:val="00E3778A"/>
    <w:rsid w:val="00E37FF7"/>
    <w:rsid w:val="00E4026C"/>
    <w:rsid w:val="00E40440"/>
    <w:rsid w:val="00E4058C"/>
    <w:rsid w:val="00E4061A"/>
    <w:rsid w:val="00E40804"/>
    <w:rsid w:val="00E40843"/>
    <w:rsid w:val="00E40862"/>
    <w:rsid w:val="00E40BED"/>
    <w:rsid w:val="00E40F4A"/>
    <w:rsid w:val="00E40F69"/>
    <w:rsid w:val="00E41006"/>
    <w:rsid w:val="00E412AE"/>
    <w:rsid w:val="00E4132F"/>
    <w:rsid w:val="00E413A3"/>
    <w:rsid w:val="00E41480"/>
    <w:rsid w:val="00E4155A"/>
    <w:rsid w:val="00E4157E"/>
    <w:rsid w:val="00E415AA"/>
    <w:rsid w:val="00E418AB"/>
    <w:rsid w:val="00E419C7"/>
    <w:rsid w:val="00E41BEA"/>
    <w:rsid w:val="00E41D71"/>
    <w:rsid w:val="00E41D75"/>
    <w:rsid w:val="00E41F40"/>
    <w:rsid w:val="00E42190"/>
    <w:rsid w:val="00E42512"/>
    <w:rsid w:val="00E425A9"/>
    <w:rsid w:val="00E42837"/>
    <w:rsid w:val="00E42A3E"/>
    <w:rsid w:val="00E42CFF"/>
    <w:rsid w:val="00E42D23"/>
    <w:rsid w:val="00E4301A"/>
    <w:rsid w:val="00E43022"/>
    <w:rsid w:val="00E431D2"/>
    <w:rsid w:val="00E4326B"/>
    <w:rsid w:val="00E43291"/>
    <w:rsid w:val="00E43475"/>
    <w:rsid w:val="00E43683"/>
    <w:rsid w:val="00E437A9"/>
    <w:rsid w:val="00E438C1"/>
    <w:rsid w:val="00E43935"/>
    <w:rsid w:val="00E43A11"/>
    <w:rsid w:val="00E43A85"/>
    <w:rsid w:val="00E43DC9"/>
    <w:rsid w:val="00E43EDA"/>
    <w:rsid w:val="00E44442"/>
    <w:rsid w:val="00E446EB"/>
    <w:rsid w:val="00E44748"/>
    <w:rsid w:val="00E44953"/>
    <w:rsid w:val="00E44960"/>
    <w:rsid w:val="00E449D3"/>
    <w:rsid w:val="00E44A5C"/>
    <w:rsid w:val="00E44CE2"/>
    <w:rsid w:val="00E44D87"/>
    <w:rsid w:val="00E44DC8"/>
    <w:rsid w:val="00E44DEA"/>
    <w:rsid w:val="00E44DF8"/>
    <w:rsid w:val="00E44EB4"/>
    <w:rsid w:val="00E44F03"/>
    <w:rsid w:val="00E4503D"/>
    <w:rsid w:val="00E45124"/>
    <w:rsid w:val="00E456CF"/>
    <w:rsid w:val="00E4580F"/>
    <w:rsid w:val="00E45BD8"/>
    <w:rsid w:val="00E45D9A"/>
    <w:rsid w:val="00E45F1F"/>
    <w:rsid w:val="00E46021"/>
    <w:rsid w:val="00E4603A"/>
    <w:rsid w:val="00E4648C"/>
    <w:rsid w:val="00E46547"/>
    <w:rsid w:val="00E4662C"/>
    <w:rsid w:val="00E468B6"/>
    <w:rsid w:val="00E46AFD"/>
    <w:rsid w:val="00E46B1F"/>
    <w:rsid w:val="00E46F88"/>
    <w:rsid w:val="00E47000"/>
    <w:rsid w:val="00E4710F"/>
    <w:rsid w:val="00E47137"/>
    <w:rsid w:val="00E473F5"/>
    <w:rsid w:val="00E474F3"/>
    <w:rsid w:val="00E475F3"/>
    <w:rsid w:val="00E47782"/>
    <w:rsid w:val="00E47A72"/>
    <w:rsid w:val="00E47A84"/>
    <w:rsid w:val="00E47B28"/>
    <w:rsid w:val="00E47BDC"/>
    <w:rsid w:val="00E47DD8"/>
    <w:rsid w:val="00E47E19"/>
    <w:rsid w:val="00E50117"/>
    <w:rsid w:val="00E50154"/>
    <w:rsid w:val="00E502D6"/>
    <w:rsid w:val="00E50390"/>
    <w:rsid w:val="00E50511"/>
    <w:rsid w:val="00E50589"/>
    <w:rsid w:val="00E50B7C"/>
    <w:rsid w:val="00E51071"/>
    <w:rsid w:val="00E51118"/>
    <w:rsid w:val="00E513FC"/>
    <w:rsid w:val="00E5140D"/>
    <w:rsid w:val="00E51423"/>
    <w:rsid w:val="00E515FF"/>
    <w:rsid w:val="00E5161A"/>
    <w:rsid w:val="00E516BD"/>
    <w:rsid w:val="00E51B40"/>
    <w:rsid w:val="00E51CB5"/>
    <w:rsid w:val="00E51DA8"/>
    <w:rsid w:val="00E51F5F"/>
    <w:rsid w:val="00E51FF3"/>
    <w:rsid w:val="00E521F0"/>
    <w:rsid w:val="00E52252"/>
    <w:rsid w:val="00E522CB"/>
    <w:rsid w:val="00E5230B"/>
    <w:rsid w:val="00E52572"/>
    <w:rsid w:val="00E5285D"/>
    <w:rsid w:val="00E528A6"/>
    <w:rsid w:val="00E528D9"/>
    <w:rsid w:val="00E52A60"/>
    <w:rsid w:val="00E52AC1"/>
    <w:rsid w:val="00E52AC2"/>
    <w:rsid w:val="00E52D58"/>
    <w:rsid w:val="00E52D88"/>
    <w:rsid w:val="00E52F3E"/>
    <w:rsid w:val="00E52FD2"/>
    <w:rsid w:val="00E52FF8"/>
    <w:rsid w:val="00E5301D"/>
    <w:rsid w:val="00E531A6"/>
    <w:rsid w:val="00E533BB"/>
    <w:rsid w:val="00E537EA"/>
    <w:rsid w:val="00E53A55"/>
    <w:rsid w:val="00E53A78"/>
    <w:rsid w:val="00E53B94"/>
    <w:rsid w:val="00E53BCA"/>
    <w:rsid w:val="00E53C9F"/>
    <w:rsid w:val="00E53D63"/>
    <w:rsid w:val="00E53DB5"/>
    <w:rsid w:val="00E54004"/>
    <w:rsid w:val="00E542F6"/>
    <w:rsid w:val="00E54497"/>
    <w:rsid w:val="00E544A5"/>
    <w:rsid w:val="00E546D3"/>
    <w:rsid w:val="00E54899"/>
    <w:rsid w:val="00E549B2"/>
    <w:rsid w:val="00E54C0E"/>
    <w:rsid w:val="00E55029"/>
    <w:rsid w:val="00E55165"/>
    <w:rsid w:val="00E55186"/>
    <w:rsid w:val="00E552B3"/>
    <w:rsid w:val="00E55311"/>
    <w:rsid w:val="00E553BD"/>
    <w:rsid w:val="00E555E8"/>
    <w:rsid w:val="00E55787"/>
    <w:rsid w:val="00E557BF"/>
    <w:rsid w:val="00E558EE"/>
    <w:rsid w:val="00E55A6D"/>
    <w:rsid w:val="00E55B96"/>
    <w:rsid w:val="00E55D7E"/>
    <w:rsid w:val="00E5609D"/>
    <w:rsid w:val="00E56141"/>
    <w:rsid w:val="00E562B5"/>
    <w:rsid w:val="00E56346"/>
    <w:rsid w:val="00E56783"/>
    <w:rsid w:val="00E56850"/>
    <w:rsid w:val="00E5697B"/>
    <w:rsid w:val="00E56A95"/>
    <w:rsid w:val="00E56AAF"/>
    <w:rsid w:val="00E56BBB"/>
    <w:rsid w:val="00E56BCC"/>
    <w:rsid w:val="00E56EF2"/>
    <w:rsid w:val="00E57173"/>
    <w:rsid w:val="00E57312"/>
    <w:rsid w:val="00E573A9"/>
    <w:rsid w:val="00E574F9"/>
    <w:rsid w:val="00E57ACC"/>
    <w:rsid w:val="00E57CE1"/>
    <w:rsid w:val="00E57D19"/>
    <w:rsid w:val="00E57E39"/>
    <w:rsid w:val="00E6010E"/>
    <w:rsid w:val="00E6043C"/>
    <w:rsid w:val="00E60578"/>
    <w:rsid w:val="00E6060F"/>
    <w:rsid w:val="00E6065E"/>
    <w:rsid w:val="00E606E8"/>
    <w:rsid w:val="00E60757"/>
    <w:rsid w:val="00E609B6"/>
    <w:rsid w:val="00E60A25"/>
    <w:rsid w:val="00E60F3B"/>
    <w:rsid w:val="00E61344"/>
    <w:rsid w:val="00E613EA"/>
    <w:rsid w:val="00E6168B"/>
    <w:rsid w:val="00E6179B"/>
    <w:rsid w:val="00E618A4"/>
    <w:rsid w:val="00E61993"/>
    <w:rsid w:val="00E61C26"/>
    <w:rsid w:val="00E61D90"/>
    <w:rsid w:val="00E61E29"/>
    <w:rsid w:val="00E620A5"/>
    <w:rsid w:val="00E62404"/>
    <w:rsid w:val="00E627D7"/>
    <w:rsid w:val="00E62B98"/>
    <w:rsid w:val="00E62C0A"/>
    <w:rsid w:val="00E62C3C"/>
    <w:rsid w:val="00E62DBB"/>
    <w:rsid w:val="00E62ED5"/>
    <w:rsid w:val="00E62F2E"/>
    <w:rsid w:val="00E62F9B"/>
    <w:rsid w:val="00E63054"/>
    <w:rsid w:val="00E632C2"/>
    <w:rsid w:val="00E63715"/>
    <w:rsid w:val="00E637D7"/>
    <w:rsid w:val="00E63983"/>
    <w:rsid w:val="00E63997"/>
    <w:rsid w:val="00E63A1C"/>
    <w:rsid w:val="00E63A2E"/>
    <w:rsid w:val="00E63A58"/>
    <w:rsid w:val="00E63BBC"/>
    <w:rsid w:val="00E63BD0"/>
    <w:rsid w:val="00E63D13"/>
    <w:rsid w:val="00E64291"/>
    <w:rsid w:val="00E642F3"/>
    <w:rsid w:val="00E6447B"/>
    <w:rsid w:val="00E645D5"/>
    <w:rsid w:val="00E64734"/>
    <w:rsid w:val="00E64970"/>
    <w:rsid w:val="00E64BAF"/>
    <w:rsid w:val="00E64CEB"/>
    <w:rsid w:val="00E64D9D"/>
    <w:rsid w:val="00E64E52"/>
    <w:rsid w:val="00E64F7C"/>
    <w:rsid w:val="00E6516A"/>
    <w:rsid w:val="00E6530F"/>
    <w:rsid w:val="00E655F7"/>
    <w:rsid w:val="00E65692"/>
    <w:rsid w:val="00E65899"/>
    <w:rsid w:val="00E658DC"/>
    <w:rsid w:val="00E65B24"/>
    <w:rsid w:val="00E65C11"/>
    <w:rsid w:val="00E65E4D"/>
    <w:rsid w:val="00E6606E"/>
    <w:rsid w:val="00E66083"/>
    <w:rsid w:val="00E660A6"/>
    <w:rsid w:val="00E66178"/>
    <w:rsid w:val="00E6652B"/>
    <w:rsid w:val="00E6662F"/>
    <w:rsid w:val="00E667AC"/>
    <w:rsid w:val="00E667D6"/>
    <w:rsid w:val="00E66B57"/>
    <w:rsid w:val="00E66B80"/>
    <w:rsid w:val="00E67337"/>
    <w:rsid w:val="00E67866"/>
    <w:rsid w:val="00E678E4"/>
    <w:rsid w:val="00E67933"/>
    <w:rsid w:val="00E67935"/>
    <w:rsid w:val="00E67AB0"/>
    <w:rsid w:val="00E67AF2"/>
    <w:rsid w:val="00E67C53"/>
    <w:rsid w:val="00E67CA3"/>
    <w:rsid w:val="00E67D31"/>
    <w:rsid w:val="00E67D44"/>
    <w:rsid w:val="00E67E1B"/>
    <w:rsid w:val="00E67EEA"/>
    <w:rsid w:val="00E70002"/>
    <w:rsid w:val="00E70028"/>
    <w:rsid w:val="00E705B5"/>
    <w:rsid w:val="00E70633"/>
    <w:rsid w:val="00E70C70"/>
    <w:rsid w:val="00E70D76"/>
    <w:rsid w:val="00E70F26"/>
    <w:rsid w:val="00E71053"/>
    <w:rsid w:val="00E71277"/>
    <w:rsid w:val="00E71390"/>
    <w:rsid w:val="00E7140B"/>
    <w:rsid w:val="00E7143C"/>
    <w:rsid w:val="00E7171E"/>
    <w:rsid w:val="00E717F3"/>
    <w:rsid w:val="00E7194C"/>
    <w:rsid w:val="00E71BE6"/>
    <w:rsid w:val="00E71E0F"/>
    <w:rsid w:val="00E71FD4"/>
    <w:rsid w:val="00E721C9"/>
    <w:rsid w:val="00E72A0B"/>
    <w:rsid w:val="00E72B50"/>
    <w:rsid w:val="00E72B5B"/>
    <w:rsid w:val="00E72B62"/>
    <w:rsid w:val="00E72BA2"/>
    <w:rsid w:val="00E72CFB"/>
    <w:rsid w:val="00E7317E"/>
    <w:rsid w:val="00E73398"/>
    <w:rsid w:val="00E7358D"/>
    <w:rsid w:val="00E73682"/>
    <w:rsid w:val="00E73766"/>
    <w:rsid w:val="00E73927"/>
    <w:rsid w:val="00E73AB9"/>
    <w:rsid w:val="00E73B3F"/>
    <w:rsid w:val="00E73B97"/>
    <w:rsid w:val="00E73C33"/>
    <w:rsid w:val="00E73C34"/>
    <w:rsid w:val="00E73FFE"/>
    <w:rsid w:val="00E741F3"/>
    <w:rsid w:val="00E74549"/>
    <w:rsid w:val="00E74644"/>
    <w:rsid w:val="00E74686"/>
    <w:rsid w:val="00E74879"/>
    <w:rsid w:val="00E74F58"/>
    <w:rsid w:val="00E75235"/>
    <w:rsid w:val="00E75656"/>
    <w:rsid w:val="00E75696"/>
    <w:rsid w:val="00E757B4"/>
    <w:rsid w:val="00E75816"/>
    <w:rsid w:val="00E758DE"/>
    <w:rsid w:val="00E75955"/>
    <w:rsid w:val="00E75B4B"/>
    <w:rsid w:val="00E75C7D"/>
    <w:rsid w:val="00E75FC1"/>
    <w:rsid w:val="00E75FD3"/>
    <w:rsid w:val="00E7601E"/>
    <w:rsid w:val="00E7603B"/>
    <w:rsid w:val="00E7629E"/>
    <w:rsid w:val="00E764D4"/>
    <w:rsid w:val="00E767E2"/>
    <w:rsid w:val="00E76BA8"/>
    <w:rsid w:val="00E76BCF"/>
    <w:rsid w:val="00E76E40"/>
    <w:rsid w:val="00E771D7"/>
    <w:rsid w:val="00E774F2"/>
    <w:rsid w:val="00E775D2"/>
    <w:rsid w:val="00E7771B"/>
    <w:rsid w:val="00E7773F"/>
    <w:rsid w:val="00E7790C"/>
    <w:rsid w:val="00E77A50"/>
    <w:rsid w:val="00E77B34"/>
    <w:rsid w:val="00E77CE2"/>
    <w:rsid w:val="00E77E67"/>
    <w:rsid w:val="00E80555"/>
    <w:rsid w:val="00E806C9"/>
    <w:rsid w:val="00E807E3"/>
    <w:rsid w:val="00E80DB1"/>
    <w:rsid w:val="00E80EC0"/>
    <w:rsid w:val="00E80FBB"/>
    <w:rsid w:val="00E810AB"/>
    <w:rsid w:val="00E810DA"/>
    <w:rsid w:val="00E81134"/>
    <w:rsid w:val="00E8145F"/>
    <w:rsid w:val="00E815B0"/>
    <w:rsid w:val="00E81C32"/>
    <w:rsid w:val="00E8204E"/>
    <w:rsid w:val="00E821CF"/>
    <w:rsid w:val="00E82266"/>
    <w:rsid w:val="00E822E9"/>
    <w:rsid w:val="00E8237B"/>
    <w:rsid w:val="00E82458"/>
    <w:rsid w:val="00E8256C"/>
    <w:rsid w:val="00E82A3F"/>
    <w:rsid w:val="00E82C8C"/>
    <w:rsid w:val="00E82E55"/>
    <w:rsid w:val="00E82E6D"/>
    <w:rsid w:val="00E83101"/>
    <w:rsid w:val="00E83172"/>
    <w:rsid w:val="00E833F9"/>
    <w:rsid w:val="00E8361C"/>
    <w:rsid w:val="00E8399F"/>
    <w:rsid w:val="00E83D71"/>
    <w:rsid w:val="00E83DFB"/>
    <w:rsid w:val="00E83F70"/>
    <w:rsid w:val="00E84045"/>
    <w:rsid w:val="00E84060"/>
    <w:rsid w:val="00E840C3"/>
    <w:rsid w:val="00E840EC"/>
    <w:rsid w:val="00E841D1"/>
    <w:rsid w:val="00E84920"/>
    <w:rsid w:val="00E84BB0"/>
    <w:rsid w:val="00E84E82"/>
    <w:rsid w:val="00E8503C"/>
    <w:rsid w:val="00E850C2"/>
    <w:rsid w:val="00E853C6"/>
    <w:rsid w:val="00E854F1"/>
    <w:rsid w:val="00E85759"/>
    <w:rsid w:val="00E8583C"/>
    <w:rsid w:val="00E85844"/>
    <w:rsid w:val="00E859DE"/>
    <w:rsid w:val="00E85D13"/>
    <w:rsid w:val="00E8634D"/>
    <w:rsid w:val="00E864FD"/>
    <w:rsid w:val="00E866AC"/>
    <w:rsid w:val="00E86C52"/>
    <w:rsid w:val="00E86CC1"/>
    <w:rsid w:val="00E8717D"/>
    <w:rsid w:val="00E871AB"/>
    <w:rsid w:val="00E87271"/>
    <w:rsid w:val="00E872D4"/>
    <w:rsid w:val="00E8789E"/>
    <w:rsid w:val="00E87A87"/>
    <w:rsid w:val="00E87DB5"/>
    <w:rsid w:val="00E87F12"/>
    <w:rsid w:val="00E9010E"/>
    <w:rsid w:val="00E902C1"/>
    <w:rsid w:val="00E90361"/>
    <w:rsid w:val="00E903B3"/>
    <w:rsid w:val="00E905F5"/>
    <w:rsid w:val="00E90631"/>
    <w:rsid w:val="00E908A5"/>
    <w:rsid w:val="00E90A45"/>
    <w:rsid w:val="00E90A58"/>
    <w:rsid w:val="00E90B4C"/>
    <w:rsid w:val="00E90EF5"/>
    <w:rsid w:val="00E90F84"/>
    <w:rsid w:val="00E9116A"/>
    <w:rsid w:val="00E912DD"/>
    <w:rsid w:val="00E9136D"/>
    <w:rsid w:val="00E913A9"/>
    <w:rsid w:val="00E913E2"/>
    <w:rsid w:val="00E91475"/>
    <w:rsid w:val="00E9186B"/>
    <w:rsid w:val="00E91955"/>
    <w:rsid w:val="00E91AD2"/>
    <w:rsid w:val="00E91C43"/>
    <w:rsid w:val="00E91C69"/>
    <w:rsid w:val="00E91F20"/>
    <w:rsid w:val="00E92103"/>
    <w:rsid w:val="00E92113"/>
    <w:rsid w:val="00E9221E"/>
    <w:rsid w:val="00E922F3"/>
    <w:rsid w:val="00E92551"/>
    <w:rsid w:val="00E927E1"/>
    <w:rsid w:val="00E92899"/>
    <w:rsid w:val="00E92C3B"/>
    <w:rsid w:val="00E92E8D"/>
    <w:rsid w:val="00E92F08"/>
    <w:rsid w:val="00E93123"/>
    <w:rsid w:val="00E93170"/>
    <w:rsid w:val="00E93194"/>
    <w:rsid w:val="00E93229"/>
    <w:rsid w:val="00E93232"/>
    <w:rsid w:val="00E932FD"/>
    <w:rsid w:val="00E933E4"/>
    <w:rsid w:val="00E934C7"/>
    <w:rsid w:val="00E934D0"/>
    <w:rsid w:val="00E9351B"/>
    <w:rsid w:val="00E935A1"/>
    <w:rsid w:val="00E93771"/>
    <w:rsid w:val="00E93852"/>
    <w:rsid w:val="00E9386E"/>
    <w:rsid w:val="00E93C0F"/>
    <w:rsid w:val="00E93EA0"/>
    <w:rsid w:val="00E940E4"/>
    <w:rsid w:val="00E943C1"/>
    <w:rsid w:val="00E9458A"/>
    <w:rsid w:val="00E945E0"/>
    <w:rsid w:val="00E946F3"/>
    <w:rsid w:val="00E949DA"/>
    <w:rsid w:val="00E94A24"/>
    <w:rsid w:val="00E94CAC"/>
    <w:rsid w:val="00E94DE7"/>
    <w:rsid w:val="00E94E8A"/>
    <w:rsid w:val="00E951B0"/>
    <w:rsid w:val="00E95210"/>
    <w:rsid w:val="00E955E7"/>
    <w:rsid w:val="00E95630"/>
    <w:rsid w:val="00E956A1"/>
    <w:rsid w:val="00E956E5"/>
    <w:rsid w:val="00E9583A"/>
    <w:rsid w:val="00E958C3"/>
    <w:rsid w:val="00E95D16"/>
    <w:rsid w:val="00E95D1D"/>
    <w:rsid w:val="00E95D21"/>
    <w:rsid w:val="00E95EE7"/>
    <w:rsid w:val="00E95F74"/>
    <w:rsid w:val="00E96112"/>
    <w:rsid w:val="00E9615D"/>
    <w:rsid w:val="00E9659A"/>
    <w:rsid w:val="00E96789"/>
    <w:rsid w:val="00E967CA"/>
    <w:rsid w:val="00E96886"/>
    <w:rsid w:val="00E96A95"/>
    <w:rsid w:val="00E96C10"/>
    <w:rsid w:val="00E96F55"/>
    <w:rsid w:val="00E96F69"/>
    <w:rsid w:val="00E9703C"/>
    <w:rsid w:val="00E9741F"/>
    <w:rsid w:val="00E9743F"/>
    <w:rsid w:val="00E975E5"/>
    <w:rsid w:val="00E9772D"/>
    <w:rsid w:val="00E977E3"/>
    <w:rsid w:val="00E979FF"/>
    <w:rsid w:val="00E97A3A"/>
    <w:rsid w:val="00E97AF0"/>
    <w:rsid w:val="00E97B35"/>
    <w:rsid w:val="00E97BF5"/>
    <w:rsid w:val="00E97D17"/>
    <w:rsid w:val="00E97F5E"/>
    <w:rsid w:val="00EA00A2"/>
    <w:rsid w:val="00EA0341"/>
    <w:rsid w:val="00EA0551"/>
    <w:rsid w:val="00EA05C6"/>
    <w:rsid w:val="00EA0926"/>
    <w:rsid w:val="00EA0974"/>
    <w:rsid w:val="00EA09B9"/>
    <w:rsid w:val="00EA0A96"/>
    <w:rsid w:val="00EA0B56"/>
    <w:rsid w:val="00EA0C0B"/>
    <w:rsid w:val="00EA0E84"/>
    <w:rsid w:val="00EA0F7A"/>
    <w:rsid w:val="00EA112A"/>
    <w:rsid w:val="00EA1293"/>
    <w:rsid w:val="00EA15D6"/>
    <w:rsid w:val="00EA1633"/>
    <w:rsid w:val="00EA1B6B"/>
    <w:rsid w:val="00EA1BD2"/>
    <w:rsid w:val="00EA1C5A"/>
    <w:rsid w:val="00EA1DC2"/>
    <w:rsid w:val="00EA1DCA"/>
    <w:rsid w:val="00EA1EBA"/>
    <w:rsid w:val="00EA1F1B"/>
    <w:rsid w:val="00EA255F"/>
    <w:rsid w:val="00EA27B1"/>
    <w:rsid w:val="00EA27BB"/>
    <w:rsid w:val="00EA2BDC"/>
    <w:rsid w:val="00EA2DD6"/>
    <w:rsid w:val="00EA2EA2"/>
    <w:rsid w:val="00EA2FB1"/>
    <w:rsid w:val="00EA30E1"/>
    <w:rsid w:val="00EA328D"/>
    <w:rsid w:val="00EA32EB"/>
    <w:rsid w:val="00EA35E5"/>
    <w:rsid w:val="00EA3AC6"/>
    <w:rsid w:val="00EA3ACA"/>
    <w:rsid w:val="00EA3C20"/>
    <w:rsid w:val="00EA3E9B"/>
    <w:rsid w:val="00EA446F"/>
    <w:rsid w:val="00EA4478"/>
    <w:rsid w:val="00EA458C"/>
    <w:rsid w:val="00EA48FF"/>
    <w:rsid w:val="00EA4947"/>
    <w:rsid w:val="00EA4A10"/>
    <w:rsid w:val="00EA4A14"/>
    <w:rsid w:val="00EA4AA4"/>
    <w:rsid w:val="00EA4BA5"/>
    <w:rsid w:val="00EA4BFC"/>
    <w:rsid w:val="00EA4FAF"/>
    <w:rsid w:val="00EA500F"/>
    <w:rsid w:val="00EA5062"/>
    <w:rsid w:val="00EA5078"/>
    <w:rsid w:val="00EA50B4"/>
    <w:rsid w:val="00EA54A2"/>
    <w:rsid w:val="00EA54F4"/>
    <w:rsid w:val="00EA58B7"/>
    <w:rsid w:val="00EA5935"/>
    <w:rsid w:val="00EA5B8F"/>
    <w:rsid w:val="00EA5DD1"/>
    <w:rsid w:val="00EA5FAE"/>
    <w:rsid w:val="00EA5FBE"/>
    <w:rsid w:val="00EA6419"/>
    <w:rsid w:val="00EA6607"/>
    <w:rsid w:val="00EA699C"/>
    <w:rsid w:val="00EA6A94"/>
    <w:rsid w:val="00EA6BDF"/>
    <w:rsid w:val="00EA6C23"/>
    <w:rsid w:val="00EA6CC3"/>
    <w:rsid w:val="00EA7056"/>
    <w:rsid w:val="00EA72C2"/>
    <w:rsid w:val="00EA7549"/>
    <w:rsid w:val="00EA7838"/>
    <w:rsid w:val="00EA7A27"/>
    <w:rsid w:val="00EA7F9C"/>
    <w:rsid w:val="00EA7FE5"/>
    <w:rsid w:val="00EB0181"/>
    <w:rsid w:val="00EB01BE"/>
    <w:rsid w:val="00EB0286"/>
    <w:rsid w:val="00EB0369"/>
    <w:rsid w:val="00EB045F"/>
    <w:rsid w:val="00EB0711"/>
    <w:rsid w:val="00EB0785"/>
    <w:rsid w:val="00EB07DE"/>
    <w:rsid w:val="00EB09F8"/>
    <w:rsid w:val="00EB0A7A"/>
    <w:rsid w:val="00EB0B2E"/>
    <w:rsid w:val="00EB0C8A"/>
    <w:rsid w:val="00EB0D79"/>
    <w:rsid w:val="00EB0E78"/>
    <w:rsid w:val="00EB1055"/>
    <w:rsid w:val="00EB1072"/>
    <w:rsid w:val="00EB10C1"/>
    <w:rsid w:val="00EB11A7"/>
    <w:rsid w:val="00EB123F"/>
    <w:rsid w:val="00EB1408"/>
    <w:rsid w:val="00EB17A6"/>
    <w:rsid w:val="00EB1849"/>
    <w:rsid w:val="00EB1A2A"/>
    <w:rsid w:val="00EB1C24"/>
    <w:rsid w:val="00EB1C9E"/>
    <w:rsid w:val="00EB1F54"/>
    <w:rsid w:val="00EB1FE6"/>
    <w:rsid w:val="00EB214E"/>
    <w:rsid w:val="00EB2178"/>
    <w:rsid w:val="00EB2182"/>
    <w:rsid w:val="00EB21A4"/>
    <w:rsid w:val="00EB2494"/>
    <w:rsid w:val="00EB24AE"/>
    <w:rsid w:val="00EB261F"/>
    <w:rsid w:val="00EB2677"/>
    <w:rsid w:val="00EB26E0"/>
    <w:rsid w:val="00EB272E"/>
    <w:rsid w:val="00EB27DC"/>
    <w:rsid w:val="00EB29E3"/>
    <w:rsid w:val="00EB2A6B"/>
    <w:rsid w:val="00EB2F79"/>
    <w:rsid w:val="00EB305B"/>
    <w:rsid w:val="00EB30CA"/>
    <w:rsid w:val="00EB335D"/>
    <w:rsid w:val="00EB35EB"/>
    <w:rsid w:val="00EB378B"/>
    <w:rsid w:val="00EB381C"/>
    <w:rsid w:val="00EB385B"/>
    <w:rsid w:val="00EB38D1"/>
    <w:rsid w:val="00EB390B"/>
    <w:rsid w:val="00EB3BD5"/>
    <w:rsid w:val="00EB3ECE"/>
    <w:rsid w:val="00EB3FC4"/>
    <w:rsid w:val="00EB4154"/>
    <w:rsid w:val="00EB41A7"/>
    <w:rsid w:val="00EB41E7"/>
    <w:rsid w:val="00EB42A9"/>
    <w:rsid w:val="00EB43E0"/>
    <w:rsid w:val="00EB4786"/>
    <w:rsid w:val="00EB492E"/>
    <w:rsid w:val="00EB4AE8"/>
    <w:rsid w:val="00EB4C03"/>
    <w:rsid w:val="00EB4C20"/>
    <w:rsid w:val="00EB4C7D"/>
    <w:rsid w:val="00EB4D61"/>
    <w:rsid w:val="00EB516D"/>
    <w:rsid w:val="00EB53C9"/>
    <w:rsid w:val="00EB543F"/>
    <w:rsid w:val="00EB5500"/>
    <w:rsid w:val="00EB567A"/>
    <w:rsid w:val="00EB57B4"/>
    <w:rsid w:val="00EB5984"/>
    <w:rsid w:val="00EB59A7"/>
    <w:rsid w:val="00EB60B7"/>
    <w:rsid w:val="00EB630D"/>
    <w:rsid w:val="00EB6391"/>
    <w:rsid w:val="00EB6813"/>
    <w:rsid w:val="00EB699E"/>
    <w:rsid w:val="00EB6A25"/>
    <w:rsid w:val="00EB6AF6"/>
    <w:rsid w:val="00EB6B7D"/>
    <w:rsid w:val="00EB7274"/>
    <w:rsid w:val="00EB733A"/>
    <w:rsid w:val="00EB735B"/>
    <w:rsid w:val="00EB7406"/>
    <w:rsid w:val="00EB767B"/>
    <w:rsid w:val="00EB76D4"/>
    <w:rsid w:val="00EB77B5"/>
    <w:rsid w:val="00EB77FA"/>
    <w:rsid w:val="00EB7819"/>
    <w:rsid w:val="00EB7935"/>
    <w:rsid w:val="00EB7AC1"/>
    <w:rsid w:val="00EB7C98"/>
    <w:rsid w:val="00EB7CBC"/>
    <w:rsid w:val="00EB7E0F"/>
    <w:rsid w:val="00EB7ECA"/>
    <w:rsid w:val="00EC0043"/>
    <w:rsid w:val="00EC0086"/>
    <w:rsid w:val="00EC0359"/>
    <w:rsid w:val="00EC0475"/>
    <w:rsid w:val="00EC0C80"/>
    <w:rsid w:val="00EC0E14"/>
    <w:rsid w:val="00EC0E69"/>
    <w:rsid w:val="00EC141B"/>
    <w:rsid w:val="00EC198B"/>
    <w:rsid w:val="00EC1B00"/>
    <w:rsid w:val="00EC1C2B"/>
    <w:rsid w:val="00EC1FBA"/>
    <w:rsid w:val="00EC202F"/>
    <w:rsid w:val="00EC2062"/>
    <w:rsid w:val="00EC20BF"/>
    <w:rsid w:val="00EC2401"/>
    <w:rsid w:val="00EC24F4"/>
    <w:rsid w:val="00EC2627"/>
    <w:rsid w:val="00EC27A8"/>
    <w:rsid w:val="00EC2A39"/>
    <w:rsid w:val="00EC2BDF"/>
    <w:rsid w:val="00EC2C63"/>
    <w:rsid w:val="00EC2D42"/>
    <w:rsid w:val="00EC2E2B"/>
    <w:rsid w:val="00EC3013"/>
    <w:rsid w:val="00EC30FB"/>
    <w:rsid w:val="00EC3100"/>
    <w:rsid w:val="00EC317C"/>
    <w:rsid w:val="00EC3211"/>
    <w:rsid w:val="00EC3227"/>
    <w:rsid w:val="00EC348F"/>
    <w:rsid w:val="00EC34BD"/>
    <w:rsid w:val="00EC36B9"/>
    <w:rsid w:val="00EC3954"/>
    <w:rsid w:val="00EC3D4E"/>
    <w:rsid w:val="00EC3E79"/>
    <w:rsid w:val="00EC40C7"/>
    <w:rsid w:val="00EC42BB"/>
    <w:rsid w:val="00EC4747"/>
    <w:rsid w:val="00EC4A46"/>
    <w:rsid w:val="00EC4B5E"/>
    <w:rsid w:val="00EC4D66"/>
    <w:rsid w:val="00EC5166"/>
    <w:rsid w:val="00EC529A"/>
    <w:rsid w:val="00EC534F"/>
    <w:rsid w:val="00EC53CA"/>
    <w:rsid w:val="00EC5A86"/>
    <w:rsid w:val="00EC5C42"/>
    <w:rsid w:val="00EC5E2D"/>
    <w:rsid w:val="00EC5E82"/>
    <w:rsid w:val="00EC61BC"/>
    <w:rsid w:val="00EC61FE"/>
    <w:rsid w:val="00EC6A53"/>
    <w:rsid w:val="00EC6DE3"/>
    <w:rsid w:val="00EC6E14"/>
    <w:rsid w:val="00EC6EEE"/>
    <w:rsid w:val="00EC754C"/>
    <w:rsid w:val="00EC7797"/>
    <w:rsid w:val="00EC7927"/>
    <w:rsid w:val="00EC7C13"/>
    <w:rsid w:val="00EC7D0D"/>
    <w:rsid w:val="00ED0396"/>
    <w:rsid w:val="00ED0493"/>
    <w:rsid w:val="00ED0524"/>
    <w:rsid w:val="00ED065A"/>
    <w:rsid w:val="00ED0744"/>
    <w:rsid w:val="00ED0A1A"/>
    <w:rsid w:val="00ED0E16"/>
    <w:rsid w:val="00ED1122"/>
    <w:rsid w:val="00ED11DE"/>
    <w:rsid w:val="00ED1233"/>
    <w:rsid w:val="00ED12DC"/>
    <w:rsid w:val="00ED1412"/>
    <w:rsid w:val="00ED1458"/>
    <w:rsid w:val="00ED1541"/>
    <w:rsid w:val="00ED1650"/>
    <w:rsid w:val="00ED1676"/>
    <w:rsid w:val="00ED19F3"/>
    <w:rsid w:val="00ED1A6B"/>
    <w:rsid w:val="00ED1B98"/>
    <w:rsid w:val="00ED1BCC"/>
    <w:rsid w:val="00ED1D2F"/>
    <w:rsid w:val="00ED1D47"/>
    <w:rsid w:val="00ED2368"/>
    <w:rsid w:val="00ED267E"/>
    <w:rsid w:val="00ED26F4"/>
    <w:rsid w:val="00ED2707"/>
    <w:rsid w:val="00ED27D4"/>
    <w:rsid w:val="00ED28A9"/>
    <w:rsid w:val="00ED28CB"/>
    <w:rsid w:val="00ED2A65"/>
    <w:rsid w:val="00ED2AF2"/>
    <w:rsid w:val="00ED2B11"/>
    <w:rsid w:val="00ED2BE5"/>
    <w:rsid w:val="00ED2CB2"/>
    <w:rsid w:val="00ED2F5A"/>
    <w:rsid w:val="00ED31A9"/>
    <w:rsid w:val="00ED326B"/>
    <w:rsid w:val="00ED354F"/>
    <w:rsid w:val="00ED35C9"/>
    <w:rsid w:val="00ED36E0"/>
    <w:rsid w:val="00ED36F0"/>
    <w:rsid w:val="00ED3710"/>
    <w:rsid w:val="00ED3855"/>
    <w:rsid w:val="00ED3AF4"/>
    <w:rsid w:val="00ED3ECC"/>
    <w:rsid w:val="00ED402E"/>
    <w:rsid w:val="00ED40CD"/>
    <w:rsid w:val="00ED413E"/>
    <w:rsid w:val="00ED43D9"/>
    <w:rsid w:val="00ED441C"/>
    <w:rsid w:val="00ED46E1"/>
    <w:rsid w:val="00ED4759"/>
    <w:rsid w:val="00ED48E4"/>
    <w:rsid w:val="00ED4CB9"/>
    <w:rsid w:val="00ED513D"/>
    <w:rsid w:val="00ED515E"/>
    <w:rsid w:val="00ED531C"/>
    <w:rsid w:val="00ED53AE"/>
    <w:rsid w:val="00ED56EC"/>
    <w:rsid w:val="00ED57BD"/>
    <w:rsid w:val="00ED5B71"/>
    <w:rsid w:val="00ED5B8C"/>
    <w:rsid w:val="00ED5EC0"/>
    <w:rsid w:val="00ED5FCF"/>
    <w:rsid w:val="00ED5FD8"/>
    <w:rsid w:val="00ED636A"/>
    <w:rsid w:val="00ED6547"/>
    <w:rsid w:val="00ED6746"/>
    <w:rsid w:val="00ED69C7"/>
    <w:rsid w:val="00ED69DD"/>
    <w:rsid w:val="00ED69EB"/>
    <w:rsid w:val="00ED712D"/>
    <w:rsid w:val="00ED7268"/>
    <w:rsid w:val="00ED732B"/>
    <w:rsid w:val="00ED756C"/>
    <w:rsid w:val="00ED76F7"/>
    <w:rsid w:val="00ED7AD0"/>
    <w:rsid w:val="00ED7B08"/>
    <w:rsid w:val="00ED7B3B"/>
    <w:rsid w:val="00ED7BA2"/>
    <w:rsid w:val="00ED7BB0"/>
    <w:rsid w:val="00ED7E1E"/>
    <w:rsid w:val="00ED7FB1"/>
    <w:rsid w:val="00EE028C"/>
    <w:rsid w:val="00EE03F1"/>
    <w:rsid w:val="00EE045A"/>
    <w:rsid w:val="00EE0529"/>
    <w:rsid w:val="00EE07BF"/>
    <w:rsid w:val="00EE08A1"/>
    <w:rsid w:val="00EE09E0"/>
    <w:rsid w:val="00EE0C05"/>
    <w:rsid w:val="00EE0F6C"/>
    <w:rsid w:val="00EE1275"/>
    <w:rsid w:val="00EE12F0"/>
    <w:rsid w:val="00EE1523"/>
    <w:rsid w:val="00EE1592"/>
    <w:rsid w:val="00EE1595"/>
    <w:rsid w:val="00EE166B"/>
    <w:rsid w:val="00EE171F"/>
    <w:rsid w:val="00EE1827"/>
    <w:rsid w:val="00EE1859"/>
    <w:rsid w:val="00EE18CA"/>
    <w:rsid w:val="00EE1B14"/>
    <w:rsid w:val="00EE1C31"/>
    <w:rsid w:val="00EE1D53"/>
    <w:rsid w:val="00EE1E20"/>
    <w:rsid w:val="00EE1E68"/>
    <w:rsid w:val="00EE21E3"/>
    <w:rsid w:val="00EE2568"/>
    <w:rsid w:val="00EE25D1"/>
    <w:rsid w:val="00EE2691"/>
    <w:rsid w:val="00EE28B6"/>
    <w:rsid w:val="00EE2944"/>
    <w:rsid w:val="00EE296E"/>
    <w:rsid w:val="00EE2AEF"/>
    <w:rsid w:val="00EE2C40"/>
    <w:rsid w:val="00EE2CC1"/>
    <w:rsid w:val="00EE3137"/>
    <w:rsid w:val="00EE31EA"/>
    <w:rsid w:val="00EE3314"/>
    <w:rsid w:val="00EE337F"/>
    <w:rsid w:val="00EE3470"/>
    <w:rsid w:val="00EE37B2"/>
    <w:rsid w:val="00EE3B3F"/>
    <w:rsid w:val="00EE3D68"/>
    <w:rsid w:val="00EE3E41"/>
    <w:rsid w:val="00EE3EB4"/>
    <w:rsid w:val="00EE3F75"/>
    <w:rsid w:val="00EE42D5"/>
    <w:rsid w:val="00EE4306"/>
    <w:rsid w:val="00EE4786"/>
    <w:rsid w:val="00EE4C8D"/>
    <w:rsid w:val="00EE4CD0"/>
    <w:rsid w:val="00EE4FBD"/>
    <w:rsid w:val="00EE4FF8"/>
    <w:rsid w:val="00EE5087"/>
    <w:rsid w:val="00EE5327"/>
    <w:rsid w:val="00EE5386"/>
    <w:rsid w:val="00EE5567"/>
    <w:rsid w:val="00EE5593"/>
    <w:rsid w:val="00EE5747"/>
    <w:rsid w:val="00EE580C"/>
    <w:rsid w:val="00EE59E2"/>
    <w:rsid w:val="00EE5B85"/>
    <w:rsid w:val="00EE5CE3"/>
    <w:rsid w:val="00EE5D88"/>
    <w:rsid w:val="00EE6176"/>
    <w:rsid w:val="00EE6273"/>
    <w:rsid w:val="00EE6276"/>
    <w:rsid w:val="00EE642F"/>
    <w:rsid w:val="00EE64E8"/>
    <w:rsid w:val="00EE6508"/>
    <w:rsid w:val="00EE6649"/>
    <w:rsid w:val="00EE6726"/>
    <w:rsid w:val="00EE6813"/>
    <w:rsid w:val="00EE681B"/>
    <w:rsid w:val="00EE69A3"/>
    <w:rsid w:val="00EE69AA"/>
    <w:rsid w:val="00EE6B47"/>
    <w:rsid w:val="00EE6DF3"/>
    <w:rsid w:val="00EE71E7"/>
    <w:rsid w:val="00EE7563"/>
    <w:rsid w:val="00EE7572"/>
    <w:rsid w:val="00EE7690"/>
    <w:rsid w:val="00EE78A8"/>
    <w:rsid w:val="00EE78EC"/>
    <w:rsid w:val="00EE790C"/>
    <w:rsid w:val="00EE79B7"/>
    <w:rsid w:val="00EE7B62"/>
    <w:rsid w:val="00EF01CC"/>
    <w:rsid w:val="00EF0329"/>
    <w:rsid w:val="00EF045C"/>
    <w:rsid w:val="00EF0484"/>
    <w:rsid w:val="00EF093D"/>
    <w:rsid w:val="00EF0BFE"/>
    <w:rsid w:val="00EF0C71"/>
    <w:rsid w:val="00EF0F21"/>
    <w:rsid w:val="00EF0F35"/>
    <w:rsid w:val="00EF1146"/>
    <w:rsid w:val="00EF1208"/>
    <w:rsid w:val="00EF13AE"/>
    <w:rsid w:val="00EF15D1"/>
    <w:rsid w:val="00EF17F0"/>
    <w:rsid w:val="00EF18AC"/>
    <w:rsid w:val="00EF1988"/>
    <w:rsid w:val="00EF1C30"/>
    <w:rsid w:val="00EF1E15"/>
    <w:rsid w:val="00EF221C"/>
    <w:rsid w:val="00EF22D3"/>
    <w:rsid w:val="00EF234C"/>
    <w:rsid w:val="00EF235C"/>
    <w:rsid w:val="00EF2437"/>
    <w:rsid w:val="00EF2570"/>
    <w:rsid w:val="00EF2603"/>
    <w:rsid w:val="00EF265A"/>
    <w:rsid w:val="00EF266D"/>
    <w:rsid w:val="00EF26B1"/>
    <w:rsid w:val="00EF26B4"/>
    <w:rsid w:val="00EF272C"/>
    <w:rsid w:val="00EF2A14"/>
    <w:rsid w:val="00EF2AC9"/>
    <w:rsid w:val="00EF2E51"/>
    <w:rsid w:val="00EF31CC"/>
    <w:rsid w:val="00EF32CA"/>
    <w:rsid w:val="00EF3477"/>
    <w:rsid w:val="00EF34BC"/>
    <w:rsid w:val="00EF3570"/>
    <w:rsid w:val="00EF362A"/>
    <w:rsid w:val="00EF380A"/>
    <w:rsid w:val="00EF3C7A"/>
    <w:rsid w:val="00EF3CF2"/>
    <w:rsid w:val="00EF3E04"/>
    <w:rsid w:val="00EF3F45"/>
    <w:rsid w:val="00EF41B9"/>
    <w:rsid w:val="00EF4216"/>
    <w:rsid w:val="00EF424A"/>
    <w:rsid w:val="00EF43DF"/>
    <w:rsid w:val="00EF441A"/>
    <w:rsid w:val="00EF445E"/>
    <w:rsid w:val="00EF4655"/>
    <w:rsid w:val="00EF48CD"/>
    <w:rsid w:val="00EF4932"/>
    <w:rsid w:val="00EF4976"/>
    <w:rsid w:val="00EF4A4B"/>
    <w:rsid w:val="00EF4A5D"/>
    <w:rsid w:val="00EF4B7B"/>
    <w:rsid w:val="00EF4D48"/>
    <w:rsid w:val="00EF4D74"/>
    <w:rsid w:val="00EF4FB3"/>
    <w:rsid w:val="00EF5422"/>
    <w:rsid w:val="00EF551F"/>
    <w:rsid w:val="00EF55C2"/>
    <w:rsid w:val="00EF560A"/>
    <w:rsid w:val="00EF56C0"/>
    <w:rsid w:val="00EF5AAD"/>
    <w:rsid w:val="00EF5C22"/>
    <w:rsid w:val="00EF61FA"/>
    <w:rsid w:val="00EF6914"/>
    <w:rsid w:val="00EF6A94"/>
    <w:rsid w:val="00EF6B82"/>
    <w:rsid w:val="00EF6D66"/>
    <w:rsid w:val="00EF6D6B"/>
    <w:rsid w:val="00EF6D87"/>
    <w:rsid w:val="00EF6E56"/>
    <w:rsid w:val="00EF711A"/>
    <w:rsid w:val="00EF71B3"/>
    <w:rsid w:val="00EF77C8"/>
    <w:rsid w:val="00EF77DB"/>
    <w:rsid w:val="00EF7904"/>
    <w:rsid w:val="00EF796A"/>
    <w:rsid w:val="00EF7A2E"/>
    <w:rsid w:val="00EF7B2E"/>
    <w:rsid w:val="00EF7C82"/>
    <w:rsid w:val="00EF7E81"/>
    <w:rsid w:val="00F0004E"/>
    <w:rsid w:val="00F00256"/>
    <w:rsid w:val="00F0028E"/>
    <w:rsid w:val="00F00427"/>
    <w:rsid w:val="00F0077C"/>
    <w:rsid w:val="00F00961"/>
    <w:rsid w:val="00F00A12"/>
    <w:rsid w:val="00F00ABC"/>
    <w:rsid w:val="00F00C41"/>
    <w:rsid w:val="00F00DE3"/>
    <w:rsid w:val="00F00F2D"/>
    <w:rsid w:val="00F00FAE"/>
    <w:rsid w:val="00F00FE2"/>
    <w:rsid w:val="00F011A4"/>
    <w:rsid w:val="00F0123F"/>
    <w:rsid w:val="00F015EC"/>
    <w:rsid w:val="00F01848"/>
    <w:rsid w:val="00F0198D"/>
    <w:rsid w:val="00F01E0E"/>
    <w:rsid w:val="00F01EE4"/>
    <w:rsid w:val="00F01F1C"/>
    <w:rsid w:val="00F020A9"/>
    <w:rsid w:val="00F02173"/>
    <w:rsid w:val="00F02205"/>
    <w:rsid w:val="00F022C6"/>
    <w:rsid w:val="00F0239B"/>
    <w:rsid w:val="00F024B1"/>
    <w:rsid w:val="00F0278F"/>
    <w:rsid w:val="00F0280E"/>
    <w:rsid w:val="00F028B8"/>
    <w:rsid w:val="00F02A83"/>
    <w:rsid w:val="00F02BAD"/>
    <w:rsid w:val="00F02C91"/>
    <w:rsid w:val="00F0357B"/>
    <w:rsid w:val="00F036AE"/>
    <w:rsid w:val="00F036E3"/>
    <w:rsid w:val="00F036ED"/>
    <w:rsid w:val="00F03AF7"/>
    <w:rsid w:val="00F03B9E"/>
    <w:rsid w:val="00F03F37"/>
    <w:rsid w:val="00F03F86"/>
    <w:rsid w:val="00F042FE"/>
    <w:rsid w:val="00F04414"/>
    <w:rsid w:val="00F04446"/>
    <w:rsid w:val="00F0444A"/>
    <w:rsid w:val="00F04534"/>
    <w:rsid w:val="00F045E7"/>
    <w:rsid w:val="00F04693"/>
    <w:rsid w:val="00F046A4"/>
    <w:rsid w:val="00F0519D"/>
    <w:rsid w:val="00F05245"/>
    <w:rsid w:val="00F056EE"/>
    <w:rsid w:val="00F0570D"/>
    <w:rsid w:val="00F05AE7"/>
    <w:rsid w:val="00F05B7D"/>
    <w:rsid w:val="00F05D2A"/>
    <w:rsid w:val="00F0620E"/>
    <w:rsid w:val="00F0639C"/>
    <w:rsid w:val="00F06A21"/>
    <w:rsid w:val="00F06E80"/>
    <w:rsid w:val="00F0744E"/>
    <w:rsid w:val="00F074E9"/>
    <w:rsid w:val="00F077E8"/>
    <w:rsid w:val="00F077E9"/>
    <w:rsid w:val="00F077EB"/>
    <w:rsid w:val="00F07D32"/>
    <w:rsid w:val="00F07D83"/>
    <w:rsid w:val="00F07FFA"/>
    <w:rsid w:val="00F10132"/>
    <w:rsid w:val="00F10222"/>
    <w:rsid w:val="00F1041A"/>
    <w:rsid w:val="00F105D7"/>
    <w:rsid w:val="00F10661"/>
    <w:rsid w:val="00F106A4"/>
    <w:rsid w:val="00F10703"/>
    <w:rsid w:val="00F1070D"/>
    <w:rsid w:val="00F10AF6"/>
    <w:rsid w:val="00F10B50"/>
    <w:rsid w:val="00F10B92"/>
    <w:rsid w:val="00F10CE0"/>
    <w:rsid w:val="00F10D12"/>
    <w:rsid w:val="00F10D56"/>
    <w:rsid w:val="00F10DB8"/>
    <w:rsid w:val="00F10FC4"/>
    <w:rsid w:val="00F10FCE"/>
    <w:rsid w:val="00F10FF6"/>
    <w:rsid w:val="00F1107F"/>
    <w:rsid w:val="00F111F3"/>
    <w:rsid w:val="00F11240"/>
    <w:rsid w:val="00F112AB"/>
    <w:rsid w:val="00F11335"/>
    <w:rsid w:val="00F1134B"/>
    <w:rsid w:val="00F1139D"/>
    <w:rsid w:val="00F113E2"/>
    <w:rsid w:val="00F11511"/>
    <w:rsid w:val="00F11714"/>
    <w:rsid w:val="00F11786"/>
    <w:rsid w:val="00F1188A"/>
    <w:rsid w:val="00F11CB3"/>
    <w:rsid w:val="00F11E8F"/>
    <w:rsid w:val="00F122C7"/>
    <w:rsid w:val="00F126F3"/>
    <w:rsid w:val="00F12873"/>
    <w:rsid w:val="00F1292B"/>
    <w:rsid w:val="00F1292C"/>
    <w:rsid w:val="00F12C10"/>
    <w:rsid w:val="00F12FB2"/>
    <w:rsid w:val="00F130FC"/>
    <w:rsid w:val="00F13295"/>
    <w:rsid w:val="00F13318"/>
    <w:rsid w:val="00F1371D"/>
    <w:rsid w:val="00F13863"/>
    <w:rsid w:val="00F138E0"/>
    <w:rsid w:val="00F13C66"/>
    <w:rsid w:val="00F13D18"/>
    <w:rsid w:val="00F13F86"/>
    <w:rsid w:val="00F141BE"/>
    <w:rsid w:val="00F14305"/>
    <w:rsid w:val="00F1456A"/>
    <w:rsid w:val="00F14A27"/>
    <w:rsid w:val="00F14B65"/>
    <w:rsid w:val="00F14BE3"/>
    <w:rsid w:val="00F14CEA"/>
    <w:rsid w:val="00F14DA1"/>
    <w:rsid w:val="00F1510D"/>
    <w:rsid w:val="00F1512E"/>
    <w:rsid w:val="00F15224"/>
    <w:rsid w:val="00F153DF"/>
    <w:rsid w:val="00F155E6"/>
    <w:rsid w:val="00F15697"/>
    <w:rsid w:val="00F15A6B"/>
    <w:rsid w:val="00F15DDE"/>
    <w:rsid w:val="00F1611E"/>
    <w:rsid w:val="00F163C2"/>
    <w:rsid w:val="00F16549"/>
    <w:rsid w:val="00F165EF"/>
    <w:rsid w:val="00F1664F"/>
    <w:rsid w:val="00F16747"/>
    <w:rsid w:val="00F16748"/>
    <w:rsid w:val="00F1689C"/>
    <w:rsid w:val="00F169C6"/>
    <w:rsid w:val="00F16A81"/>
    <w:rsid w:val="00F16AF5"/>
    <w:rsid w:val="00F16BD4"/>
    <w:rsid w:val="00F16BDB"/>
    <w:rsid w:val="00F16BFF"/>
    <w:rsid w:val="00F16C47"/>
    <w:rsid w:val="00F16DEF"/>
    <w:rsid w:val="00F16E16"/>
    <w:rsid w:val="00F16E56"/>
    <w:rsid w:val="00F16F03"/>
    <w:rsid w:val="00F17710"/>
    <w:rsid w:val="00F177DA"/>
    <w:rsid w:val="00F17977"/>
    <w:rsid w:val="00F1797B"/>
    <w:rsid w:val="00F17A2F"/>
    <w:rsid w:val="00F17B77"/>
    <w:rsid w:val="00F17C32"/>
    <w:rsid w:val="00F17F37"/>
    <w:rsid w:val="00F17FFA"/>
    <w:rsid w:val="00F200DC"/>
    <w:rsid w:val="00F20150"/>
    <w:rsid w:val="00F201CE"/>
    <w:rsid w:val="00F2047E"/>
    <w:rsid w:val="00F204AC"/>
    <w:rsid w:val="00F20540"/>
    <w:rsid w:val="00F20ABB"/>
    <w:rsid w:val="00F20AEB"/>
    <w:rsid w:val="00F20B82"/>
    <w:rsid w:val="00F20C57"/>
    <w:rsid w:val="00F20DC7"/>
    <w:rsid w:val="00F21014"/>
    <w:rsid w:val="00F211D6"/>
    <w:rsid w:val="00F212D1"/>
    <w:rsid w:val="00F21424"/>
    <w:rsid w:val="00F214AF"/>
    <w:rsid w:val="00F21B5E"/>
    <w:rsid w:val="00F21DBC"/>
    <w:rsid w:val="00F21E2A"/>
    <w:rsid w:val="00F21F75"/>
    <w:rsid w:val="00F22220"/>
    <w:rsid w:val="00F2222F"/>
    <w:rsid w:val="00F2228E"/>
    <w:rsid w:val="00F2253A"/>
    <w:rsid w:val="00F22591"/>
    <w:rsid w:val="00F22625"/>
    <w:rsid w:val="00F2275C"/>
    <w:rsid w:val="00F22798"/>
    <w:rsid w:val="00F22887"/>
    <w:rsid w:val="00F22B6F"/>
    <w:rsid w:val="00F22B8C"/>
    <w:rsid w:val="00F22C5C"/>
    <w:rsid w:val="00F2349E"/>
    <w:rsid w:val="00F23649"/>
    <w:rsid w:val="00F236C2"/>
    <w:rsid w:val="00F236F1"/>
    <w:rsid w:val="00F237B2"/>
    <w:rsid w:val="00F23CED"/>
    <w:rsid w:val="00F23D42"/>
    <w:rsid w:val="00F23D5F"/>
    <w:rsid w:val="00F23DD5"/>
    <w:rsid w:val="00F23E69"/>
    <w:rsid w:val="00F23F78"/>
    <w:rsid w:val="00F24108"/>
    <w:rsid w:val="00F243F1"/>
    <w:rsid w:val="00F24A99"/>
    <w:rsid w:val="00F24BFE"/>
    <w:rsid w:val="00F24E16"/>
    <w:rsid w:val="00F24F67"/>
    <w:rsid w:val="00F25135"/>
    <w:rsid w:val="00F25140"/>
    <w:rsid w:val="00F251E7"/>
    <w:rsid w:val="00F25320"/>
    <w:rsid w:val="00F25677"/>
    <w:rsid w:val="00F26026"/>
    <w:rsid w:val="00F2611F"/>
    <w:rsid w:val="00F264FA"/>
    <w:rsid w:val="00F2694B"/>
    <w:rsid w:val="00F26963"/>
    <w:rsid w:val="00F26C8D"/>
    <w:rsid w:val="00F26E58"/>
    <w:rsid w:val="00F26EC7"/>
    <w:rsid w:val="00F2703B"/>
    <w:rsid w:val="00F27680"/>
    <w:rsid w:val="00F278BE"/>
    <w:rsid w:val="00F27917"/>
    <w:rsid w:val="00F27968"/>
    <w:rsid w:val="00F27B03"/>
    <w:rsid w:val="00F27C52"/>
    <w:rsid w:val="00F27F99"/>
    <w:rsid w:val="00F306AA"/>
    <w:rsid w:val="00F306D2"/>
    <w:rsid w:val="00F306DF"/>
    <w:rsid w:val="00F309A2"/>
    <w:rsid w:val="00F30A06"/>
    <w:rsid w:val="00F310CB"/>
    <w:rsid w:val="00F310F4"/>
    <w:rsid w:val="00F31129"/>
    <w:rsid w:val="00F311C3"/>
    <w:rsid w:val="00F315B8"/>
    <w:rsid w:val="00F31603"/>
    <w:rsid w:val="00F31662"/>
    <w:rsid w:val="00F31697"/>
    <w:rsid w:val="00F31A1A"/>
    <w:rsid w:val="00F31AF2"/>
    <w:rsid w:val="00F31B30"/>
    <w:rsid w:val="00F31DC1"/>
    <w:rsid w:val="00F31DEC"/>
    <w:rsid w:val="00F31E87"/>
    <w:rsid w:val="00F32138"/>
    <w:rsid w:val="00F32494"/>
    <w:rsid w:val="00F32833"/>
    <w:rsid w:val="00F32E4D"/>
    <w:rsid w:val="00F32FDF"/>
    <w:rsid w:val="00F33018"/>
    <w:rsid w:val="00F33158"/>
    <w:rsid w:val="00F33267"/>
    <w:rsid w:val="00F3335F"/>
    <w:rsid w:val="00F3360C"/>
    <w:rsid w:val="00F336FD"/>
    <w:rsid w:val="00F33729"/>
    <w:rsid w:val="00F337F0"/>
    <w:rsid w:val="00F337FF"/>
    <w:rsid w:val="00F33806"/>
    <w:rsid w:val="00F3396E"/>
    <w:rsid w:val="00F33BCB"/>
    <w:rsid w:val="00F33C86"/>
    <w:rsid w:val="00F33EFA"/>
    <w:rsid w:val="00F33F29"/>
    <w:rsid w:val="00F33FE4"/>
    <w:rsid w:val="00F341AE"/>
    <w:rsid w:val="00F34549"/>
    <w:rsid w:val="00F3483E"/>
    <w:rsid w:val="00F34A99"/>
    <w:rsid w:val="00F34B38"/>
    <w:rsid w:val="00F35274"/>
    <w:rsid w:val="00F35298"/>
    <w:rsid w:val="00F35317"/>
    <w:rsid w:val="00F35321"/>
    <w:rsid w:val="00F354BA"/>
    <w:rsid w:val="00F35671"/>
    <w:rsid w:val="00F356BB"/>
    <w:rsid w:val="00F35844"/>
    <w:rsid w:val="00F35889"/>
    <w:rsid w:val="00F359EE"/>
    <w:rsid w:val="00F35ABF"/>
    <w:rsid w:val="00F35B3C"/>
    <w:rsid w:val="00F35CC5"/>
    <w:rsid w:val="00F35CD4"/>
    <w:rsid w:val="00F35FE7"/>
    <w:rsid w:val="00F36094"/>
    <w:rsid w:val="00F3609B"/>
    <w:rsid w:val="00F3627E"/>
    <w:rsid w:val="00F362A0"/>
    <w:rsid w:val="00F363CF"/>
    <w:rsid w:val="00F36555"/>
    <w:rsid w:val="00F36556"/>
    <w:rsid w:val="00F365ED"/>
    <w:rsid w:val="00F3672E"/>
    <w:rsid w:val="00F3697C"/>
    <w:rsid w:val="00F36D0F"/>
    <w:rsid w:val="00F36DB5"/>
    <w:rsid w:val="00F3705A"/>
    <w:rsid w:val="00F37143"/>
    <w:rsid w:val="00F3750F"/>
    <w:rsid w:val="00F37854"/>
    <w:rsid w:val="00F3791E"/>
    <w:rsid w:val="00F37962"/>
    <w:rsid w:val="00F37AFB"/>
    <w:rsid w:val="00F37B5C"/>
    <w:rsid w:val="00F37C0C"/>
    <w:rsid w:val="00F40033"/>
    <w:rsid w:val="00F40635"/>
    <w:rsid w:val="00F4071C"/>
    <w:rsid w:val="00F40838"/>
    <w:rsid w:val="00F40879"/>
    <w:rsid w:val="00F40AFC"/>
    <w:rsid w:val="00F40EA8"/>
    <w:rsid w:val="00F40F13"/>
    <w:rsid w:val="00F40F25"/>
    <w:rsid w:val="00F41063"/>
    <w:rsid w:val="00F412C9"/>
    <w:rsid w:val="00F412E9"/>
    <w:rsid w:val="00F412F3"/>
    <w:rsid w:val="00F413FD"/>
    <w:rsid w:val="00F414EE"/>
    <w:rsid w:val="00F415DA"/>
    <w:rsid w:val="00F4165D"/>
    <w:rsid w:val="00F418C8"/>
    <w:rsid w:val="00F41A34"/>
    <w:rsid w:val="00F42306"/>
    <w:rsid w:val="00F423F2"/>
    <w:rsid w:val="00F423F8"/>
    <w:rsid w:val="00F424FD"/>
    <w:rsid w:val="00F42552"/>
    <w:rsid w:val="00F425BD"/>
    <w:rsid w:val="00F427F6"/>
    <w:rsid w:val="00F4283C"/>
    <w:rsid w:val="00F42995"/>
    <w:rsid w:val="00F42C19"/>
    <w:rsid w:val="00F42C5F"/>
    <w:rsid w:val="00F42EA0"/>
    <w:rsid w:val="00F42F3C"/>
    <w:rsid w:val="00F430A2"/>
    <w:rsid w:val="00F432A7"/>
    <w:rsid w:val="00F4332A"/>
    <w:rsid w:val="00F43390"/>
    <w:rsid w:val="00F434B3"/>
    <w:rsid w:val="00F4361A"/>
    <w:rsid w:val="00F437A4"/>
    <w:rsid w:val="00F437C5"/>
    <w:rsid w:val="00F43996"/>
    <w:rsid w:val="00F43B17"/>
    <w:rsid w:val="00F43C51"/>
    <w:rsid w:val="00F43C93"/>
    <w:rsid w:val="00F43F13"/>
    <w:rsid w:val="00F43F35"/>
    <w:rsid w:val="00F440C8"/>
    <w:rsid w:val="00F44206"/>
    <w:rsid w:val="00F442DB"/>
    <w:rsid w:val="00F44483"/>
    <w:rsid w:val="00F445FF"/>
    <w:rsid w:val="00F4488C"/>
    <w:rsid w:val="00F44A73"/>
    <w:rsid w:val="00F44B31"/>
    <w:rsid w:val="00F44CFD"/>
    <w:rsid w:val="00F45213"/>
    <w:rsid w:val="00F45353"/>
    <w:rsid w:val="00F45360"/>
    <w:rsid w:val="00F45416"/>
    <w:rsid w:val="00F4542C"/>
    <w:rsid w:val="00F4548A"/>
    <w:rsid w:val="00F456D9"/>
    <w:rsid w:val="00F4598A"/>
    <w:rsid w:val="00F45AD6"/>
    <w:rsid w:val="00F45CDC"/>
    <w:rsid w:val="00F45D03"/>
    <w:rsid w:val="00F45F3B"/>
    <w:rsid w:val="00F45F73"/>
    <w:rsid w:val="00F45F84"/>
    <w:rsid w:val="00F46776"/>
    <w:rsid w:val="00F468B6"/>
    <w:rsid w:val="00F469B9"/>
    <w:rsid w:val="00F469F2"/>
    <w:rsid w:val="00F46C05"/>
    <w:rsid w:val="00F46CC6"/>
    <w:rsid w:val="00F46D47"/>
    <w:rsid w:val="00F46E5C"/>
    <w:rsid w:val="00F46EB6"/>
    <w:rsid w:val="00F46FF7"/>
    <w:rsid w:val="00F47474"/>
    <w:rsid w:val="00F47703"/>
    <w:rsid w:val="00F47755"/>
    <w:rsid w:val="00F47767"/>
    <w:rsid w:val="00F478A8"/>
    <w:rsid w:val="00F478C8"/>
    <w:rsid w:val="00F47D6E"/>
    <w:rsid w:val="00F47DAF"/>
    <w:rsid w:val="00F47F67"/>
    <w:rsid w:val="00F500A9"/>
    <w:rsid w:val="00F503E3"/>
    <w:rsid w:val="00F5069E"/>
    <w:rsid w:val="00F507C3"/>
    <w:rsid w:val="00F50E3C"/>
    <w:rsid w:val="00F50F49"/>
    <w:rsid w:val="00F51137"/>
    <w:rsid w:val="00F51168"/>
    <w:rsid w:val="00F51217"/>
    <w:rsid w:val="00F5121F"/>
    <w:rsid w:val="00F51232"/>
    <w:rsid w:val="00F512F3"/>
    <w:rsid w:val="00F51719"/>
    <w:rsid w:val="00F517F6"/>
    <w:rsid w:val="00F518E5"/>
    <w:rsid w:val="00F5191B"/>
    <w:rsid w:val="00F519BF"/>
    <w:rsid w:val="00F51BBB"/>
    <w:rsid w:val="00F51C1D"/>
    <w:rsid w:val="00F51D1F"/>
    <w:rsid w:val="00F51D64"/>
    <w:rsid w:val="00F51E84"/>
    <w:rsid w:val="00F51F07"/>
    <w:rsid w:val="00F5214C"/>
    <w:rsid w:val="00F521B9"/>
    <w:rsid w:val="00F52267"/>
    <w:rsid w:val="00F52281"/>
    <w:rsid w:val="00F5245C"/>
    <w:rsid w:val="00F5272D"/>
    <w:rsid w:val="00F52A2A"/>
    <w:rsid w:val="00F52A79"/>
    <w:rsid w:val="00F52E00"/>
    <w:rsid w:val="00F53325"/>
    <w:rsid w:val="00F53752"/>
    <w:rsid w:val="00F537BE"/>
    <w:rsid w:val="00F5386F"/>
    <w:rsid w:val="00F53ADF"/>
    <w:rsid w:val="00F53B39"/>
    <w:rsid w:val="00F53D25"/>
    <w:rsid w:val="00F545BA"/>
    <w:rsid w:val="00F54628"/>
    <w:rsid w:val="00F54653"/>
    <w:rsid w:val="00F54680"/>
    <w:rsid w:val="00F5477F"/>
    <w:rsid w:val="00F54A2F"/>
    <w:rsid w:val="00F54C31"/>
    <w:rsid w:val="00F54DDF"/>
    <w:rsid w:val="00F55129"/>
    <w:rsid w:val="00F5524C"/>
    <w:rsid w:val="00F556F9"/>
    <w:rsid w:val="00F55778"/>
    <w:rsid w:val="00F55A91"/>
    <w:rsid w:val="00F55C2B"/>
    <w:rsid w:val="00F55C63"/>
    <w:rsid w:val="00F55D50"/>
    <w:rsid w:val="00F55DB1"/>
    <w:rsid w:val="00F55F98"/>
    <w:rsid w:val="00F55FC8"/>
    <w:rsid w:val="00F5607C"/>
    <w:rsid w:val="00F560F1"/>
    <w:rsid w:val="00F56211"/>
    <w:rsid w:val="00F56272"/>
    <w:rsid w:val="00F5668D"/>
    <w:rsid w:val="00F568BB"/>
    <w:rsid w:val="00F569EF"/>
    <w:rsid w:val="00F56A35"/>
    <w:rsid w:val="00F56B18"/>
    <w:rsid w:val="00F56B30"/>
    <w:rsid w:val="00F56D6F"/>
    <w:rsid w:val="00F56F5C"/>
    <w:rsid w:val="00F56F5E"/>
    <w:rsid w:val="00F56F7A"/>
    <w:rsid w:val="00F57245"/>
    <w:rsid w:val="00F5733E"/>
    <w:rsid w:val="00F574D2"/>
    <w:rsid w:val="00F5758D"/>
    <w:rsid w:val="00F575EE"/>
    <w:rsid w:val="00F576F4"/>
    <w:rsid w:val="00F576F6"/>
    <w:rsid w:val="00F57979"/>
    <w:rsid w:val="00F57C1C"/>
    <w:rsid w:val="00F57CA3"/>
    <w:rsid w:val="00F57F09"/>
    <w:rsid w:val="00F57F26"/>
    <w:rsid w:val="00F603C0"/>
    <w:rsid w:val="00F604A2"/>
    <w:rsid w:val="00F605E4"/>
    <w:rsid w:val="00F606E8"/>
    <w:rsid w:val="00F609FD"/>
    <w:rsid w:val="00F60A55"/>
    <w:rsid w:val="00F60C50"/>
    <w:rsid w:val="00F60D32"/>
    <w:rsid w:val="00F60DBB"/>
    <w:rsid w:val="00F6107E"/>
    <w:rsid w:val="00F61349"/>
    <w:rsid w:val="00F613FD"/>
    <w:rsid w:val="00F61485"/>
    <w:rsid w:val="00F61580"/>
    <w:rsid w:val="00F615A1"/>
    <w:rsid w:val="00F615C0"/>
    <w:rsid w:val="00F61602"/>
    <w:rsid w:val="00F61B19"/>
    <w:rsid w:val="00F61C77"/>
    <w:rsid w:val="00F61DBC"/>
    <w:rsid w:val="00F61DDF"/>
    <w:rsid w:val="00F61E4B"/>
    <w:rsid w:val="00F61F08"/>
    <w:rsid w:val="00F61F7C"/>
    <w:rsid w:val="00F6206A"/>
    <w:rsid w:val="00F62100"/>
    <w:rsid w:val="00F62712"/>
    <w:rsid w:val="00F62762"/>
    <w:rsid w:val="00F62885"/>
    <w:rsid w:val="00F62967"/>
    <w:rsid w:val="00F62A5A"/>
    <w:rsid w:val="00F62AB3"/>
    <w:rsid w:val="00F62B1E"/>
    <w:rsid w:val="00F62DCD"/>
    <w:rsid w:val="00F62F6C"/>
    <w:rsid w:val="00F630EC"/>
    <w:rsid w:val="00F63629"/>
    <w:rsid w:val="00F63954"/>
    <w:rsid w:val="00F639BB"/>
    <w:rsid w:val="00F63A1F"/>
    <w:rsid w:val="00F63DD0"/>
    <w:rsid w:val="00F63F19"/>
    <w:rsid w:val="00F64000"/>
    <w:rsid w:val="00F64007"/>
    <w:rsid w:val="00F64021"/>
    <w:rsid w:val="00F640C9"/>
    <w:rsid w:val="00F640F3"/>
    <w:rsid w:val="00F6420C"/>
    <w:rsid w:val="00F642E4"/>
    <w:rsid w:val="00F643A7"/>
    <w:rsid w:val="00F643CA"/>
    <w:rsid w:val="00F64416"/>
    <w:rsid w:val="00F646FA"/>
    <w:rsid w:val="00F647AB"/>
    <w:rsid w:val="00F6493B"/>
    <w:rsid w:val="00F649E1"/>
    <w:rsid w:val="00F649E8"/>
    <w:rsid w:val="00F64C4E"/>
    <w:rsid w:val="00F64E15"/>
    <w:rsid w:val="00F64E4D"/>
    <w:rsid w:val="00F64FC6"/>
    <w:rsid w:val="00F6521E"/>
    <w:rsid w:val="00F653B8"/>
    <w:rsid w:val="00F653E5"/>
    <w:rsid w:val="00F65553"/>
    <w:rsid w:val="00F65598"/>
    <w:rsid w:val="00F65ACA"/>
    <w:rsid w:val="00F65BD6"/>
    <w:rsid w:val="00F65C01"/>
    <w:rsid w:val="00F65F76"/>
    <w:rsid w:val="00F65F7A"/>
    <w:rsid w:val="00F66071"/>
    <w:rsid w:val="00F66205"/>
    <w:rsid w:val="00F66330"/>
    <w:rsid w:val="00F665F1"/>
    <w:rsid w:val="00F666AC"/>
    <w:rsid w:val="00F6684A"/>
    <w:rsid w:val="00F66DBA"/>
    <w:rsid w:val="00F66E15"/>
    <w:rsid w:val="00F66F36"/>
    <w:rsid w:val="00F66F87"/>
    <w:rsid w:val="00F670FC"/>
    <w:rsid w:val="00F6711B"/>
    <w:rsid w:val="00F67294"/>
    <w:rsid w:val="00F672B3"/>
    <w:rsid w:val="00F67455"/>
    <w:rsid w:val="00F677D2"/>
    <w:rsid w:val="00F67811"/>
    <w:rsid w:val="00F67861"/>
    <w:rsid w:val="00F67DB3"/>
    <w:rsid w:val="00F67E8B"/>
    <w:rsid w:val="00F67F8A"/>
    <w:rsid w:val="00F67FDD"/>
    <w:rsid w:val="00F7010C"/>
    <w:rsid w:val="00F7017C"/>
    <w:rsid w:val="00F7029E"/>
    <w:rsid w:val="00F703B5"/>
    <w:rsid w:val="00F7049B"/>
    <w:rsid w:val="00F70652"/>
    <w:rsid w:val="00F706C3"/>
    <w:rsid w:val="00F70763"/>
    <w:rsid w:val="00F7083F"/>
    <w:rsid w:val="00F70984"/>
    <w:rsid w:val="00F70B33"/>
    <w:rsid w:val="00F70CA6"/>
    <w:rsid w:val="00F70CFF"/>
    <w:rsid w:val="00F70D4A"/>
    <w:rsid w:val="00F70D8A"/>
    <w:rsid w:val="00F71566"/>
    <w:rsid w:val="00F7184E"/>
    <w:rsid w:val="00F71868"/>
    <w:rsid w:val="00F71894"/>
    <w:rsid w:val="00F718AA"/>
    <w:rsid w:val="00F719C4"/>
    <w:rsid w:val="00F71B20"/>
    <w:rsid w:val="00F71CD8"/>
    <w:rsid w:val="00F71DDB"/>
    <w:rsid w:val="00F71E44"/>
    <w:rsid w:val="00F71ECB"/>
    <w:rsid w:val="00F71F36"/>
    <w:rsid w:val="00F7214C"/>
    <w:rsid w:val="00F7221A"/>
    <w:rsid w:val="00F7224F"/>
    <w:rsid w:val="00F7237E"/>
    <w:rsid w:val="00F72463"/>
    <w:rsid w:val="00F72592"/>
    <w:rsid w:val="00F725B7"/>
    <w:rsid w:val="00F726F6"/>
    <w:rsid w:val="00F72A74"/>
    <w:rsid w:val="00F72A88"/>
    <w:rsid w:val="00F72AA6"/>
    <w:rsid w:val="00F72E01"/>
    <w:rsid w:val="00F73068"/>
    <w:rsid w:val="00F731C3"/>
    <w:rsid w:val="00F73243"/>
    <w:rsid w:val="00F73358"/>
    <w:rsid w:val="00F7345F"/>
    <w:rsid w:val="00F734F6"/>
    <w:rsid w:val="00F73573"/>
    <w:rsid w:val="00F736CD"/>
    <w:rsid w:val="00F73833"/>
    <w:rsid w:val="00F73CD1"/>
    <w:rsid w:val="00F73CFF"/>
    <w:rsid w:val="00F73DF0"/>
    <w:rsid w:val="00F73F00"/>
    <w:rsid w:val="00F73F14"/>
    <w:rsid w:val="00F7425E"/>
    <w:rsid w:val="00F74365"/>
    <w:rsid w:val="00F743D7"/>
    <w:rsid w:val="00F744AE"/>
    <w:rsid w:val="00F74516"/>
    <w:rsid w:val="00F745C1"/>
    <w:rsid w:val="00F7465F"/>
    <w:rsid w:val="00F7488A"/>
    <w:rsid w:val="00F7489F"/>
    <w:rsid w:val="00F7497B"/>
    <w:rsid w:val="00F7499D"/>
    <w:rsid w:val="00F749AE"/>
    <w:rsid w:val="00F74A44"/>
    <w:rsid w:val="00F74BFF"/>
    <w:rsid w:val="00F7522E"/>
    <w:rsid w:val="00F7539B"/>
    <w:rsid w:val="00F754FB"/>
    <w:rsid w:val="00F75632"/>
    <w:rsid w:val="00F75825"/>
    <w:rsid w:val="00F75900"/>
    <w:rsid w:val="00F7594B"/>
    <w:rsid w:val="00F7595A"/>
    <w:rsid w:val="00F759FF"/>
    <w:rsid w:val="00F75B84"/>
    <w:rsid w:val="00F75C3A"/>
    <w:rsid w:val="00F75CA3"/>
    <w:rsid w:val="00F75DC4"/>
    <w:rsid w:val="00F75F4B"/>
    <w:rsid w:val="00F76014"/>
    <w:rsid w:val="00F76047"/>
    <w:rsid w:val="00F762A3"/>
    <w:rsid w:val="00F76686"/>
    <w:rsid w:val="00F76832"/>
    <w:rsid w:val="00F76AA1"/>
    <w:rsid w:val="00F76CD4"/>
    <w:rsid w:val="00F76D67"/>
    <w:rsid w:val="00F76D9F"/>
    <w:rsid w:val="00F76F18"/>
    <w:rsid w:val="00F770B4"/>
    <w:rsid w:val="00F770C3"/>
    <w:rsid w:val="00F77164"/>
    <w:rsid w:val="00F77EC2"/>
    <w:rsid w:val="00F77EE0"/>
    <w:rsid w:val="00F77FCF"/>
    <w:rsid w:val="00F8006E"/>
    <w:rsid w:val="00F80090"/>
    <w:rsid w:val="00F80118"/>
    <w:rsid w:val="00F80217"/>
    <w:rsid w:val="00F80428"/>
    <w:rsid w:val="00F807B0"/>
    <w:rsid w:val="00F8099C"/>
    <w:rsid w:val="00F80AE9"/>
    <w:rsid w:val="00F80AEA"/>
    <w:rsid w:val="00F80B5D"/>
    <w:rsid w:val="00F80CAA"/>
    <w:rsid w:val="00F80E27"/>
    <w:rsid w:val="00F80FED"/>
    <w:rsid w:val="00F81110"/>
    <w:rsid w:val="00F8125E"/>
    <w:rsid w:val="00F8130D"/>
    <w:rsid w:val="00F81695"/>
    <w:rsid w:val="00F81D3E"/>
    <w:rsid w:val="00F81DCD"/>
    <w:rsid w:val="00F81EA1"/>
    <w:rsid w:val="00F81EEF"/>
    <w:rsid w:val="00F81F11"/>
    <w:rsid w:val="00F81F1B"/>
    <w:rsid w:val="00F82092"/>
    <w:rsid w:val="00F82108"/>
    <w:rsid w:val="00F821BC"/>
    <w:rsid w:val="00F8233A"/>
    <w:rsid w:val="00F82402"/>
    <w:rsid w:val="00F8264E"/>
    <w:rsid w:val="00F826F8"/>
    <w:rsid w:val="00F826FD"/>
    <w:rsid w:val="00F82775"/>
    <w:rsid w:val="00F82926"/>
    <w:rsid w:val="00F82AA5"/>
    <w:rsid w:val="00F82CD3"/>
    <w:rsid w:val="00F82EC4"/>
    <w:rsid w:val="00F830AC"/>
    <w:rsid w:val="00F83266"/>
    <w:rsid w:val="00F832DC"/>
    <w:rsid w:val="00F832FB"/>
    <w:rsid w:val="00F83482"/>
    <w:rsid w:val="00F835CE"/>
    <w:rsid w:val="00F83654"/>
    <w:rsid w:val="00F83838"/>
    <w:rsid w:val="00F83AC0"/>
    <w:rsid w:val="00F83BBE"/>
    <w:rsid w:val="00F83CB3"/>
    <w:rsid w:val="00F83F82"/>
    <w:rsid w:val="00F84043"/>
    <w:rsid w:val="00F841D1"/>
    <w:rsid w:val="00F84434"/>
    <w:rsid w:val="00F844AE"/>
    <w:rsid w:val="00F846B2"/>
    <w:rsid w:val="00F848C2"/>
    <w:rsid w:val="00F84B97"/>
    <w:rsid w:val="00F84EF1"/>
    <w:rsid w:val="00F84F5E"/>
    <w:rsid w:val="00F853F9"/>
    <w:rsid w:val="00F855BF"/>
    <w:rsid w:val="00F8563B"/>
    <w:rsid w:val="00F856E8"/>
    <w:rsid w:val="00F859E0"/>
    <w:rsid w:val="00F85A9F"/>
    <w:rsid w:val="00F85AA6"/>
    <w:rsid w:val="00F85C30"/>
    <w:rsid w:val="00F85CB4"/>
    <w:rsid w:val="00F86075"/>
    <w:rsid w:val="00F862A3"/>
    <w:rsid w:val="00F8631F"/>
    <w:rsid w:val="00F86C17"/>
    <w:rsid w:val="00F86D8A"/>
    <w:rsid w:val="00F86DAB"/>
    <w:rsid w:val="00F86FEF"/>
    <w:rsid w:val="00F87345"/>
    <w:rsid w:val="00F873B8"/>
    <w:rsid w:val="00F8769B"/>
    <w:rsid w:val="00F878FD"/>
    <w:rsid w:val="00F87BC0"/>
    <w:rsid w:val="00F87C16"/>
    <w:rsid w:val="00F87C8E"/>
    <w:rsid w:val="00F87E8F"/>
    <w:rsid w:val="00F87F01"/>
    <w:rsid w:val="00F90093"/>
    <w:rsid w:val="00F900E9"/>
    <w:rsid w:val="00F901F7"/>
    <w:rsid w:val="00F90517"/>
    <w:rsid w:val="00F9052F"/>
    <w:rsid w:val="00F90980"/>
    <w:rsid w:val="00F90ACF"/>
    <w:rsid w:val="00F90C58"/>
    <w:rsid w:val="00F90E39"/>
    <w:rsid w:val="00F90E61"/>
    <w:rsid w:val="00F911FE"/>
    <w:rsid w:val="00F91377"/>
    <w:rsid w:val="00F9143A"/>
    <w:rsid w:val="00F9177C"/>
    <w:rsid w:val="00F918C0"/>
    <w:rsid w:val="00F9193F"/>
    <w:rsid w:val="00F919DC"/>
    <w:rsid w:val="00F91A5E"/>
    <w:rsid w:val="00F91BCF"/>
    <w:rsid w:val="00F91D1D"/>
    <w:rsid w:val="00F91D71"/>
    <w:rsid w:val="00F91DBA"/>
    <w:rsid w:val="00F91E18"/>
    <w:rsid w:val="00F91F11"/>
    <w:rsid w:val="00F91FBD"/>
    <w:rsid w:val="00F91FD9"/>
    <w:rsid w:val="00F92426"/>
    <w:rsid w:val="00F925C0"/>
    <w:rsid w:val="00F92B7A"/>
    <w:rsid w:val="00F92CCD"/>
    <w:rsid w:val="00F9310B"/>
    <w:rsid w:val="00F93512"/>
    <w:rsid w:val="00F93570"/>
    <w:rsid w:val="00F9357E"/>
    <w:rsid w:val="00F93722"/>
    <w:rsid w:val="00F939EA"/>
    <w:rsid w:val="00F93AC0"/>
    <w:rsid w:val="00F93CC7"/>
    <w:rsid w:val="00F93CCD"/>
    <w:rsid w:val="00F93DF2"/>
    <w:rsid w:val="00F94013"/>
    <w:rsid w:val="00F9412A"/>
    <w:rsid w:val="00F94181"/>
    <w:rsid w:val="00F942C6"/>
    <w:rsid w:val="00F9451A"/>
    <w:rsid w:val="00F94591"/>
    <w:rsid w:val="00F9464D"/>
    <w:rsid w:val="00F94741"/>
    <w:rsid w:val="00F9475B"/>
    <w:rsid w:val="00F94B8B"/>
    <w:rsid w:val="00F94C53"/>
    <w:rsid w:val="00F94E37"/>
    <w:rsid w:val="00F94F61"/>
    <w:rsid w:val="00F94FAD"/>
    <w:rsid w:val="00F950C7"/>
    <w:rsid w:val="00F951AB"/>
    <w:rsid w:val="00F9557D"/>
    <w:rsid w:val="00F955A7"/>
    <w:rsid w:val="00F95688"/>
    <w:rsid w:val="00F95702"/>
    <w:rsid w:val="00F95B93"/>
    <w:rsid w:val="00F95E54"/>
    <w:rsid w:val="00F96230"/>
    <w:rsid w:val="00F9636B"/>
    <w:rsid w:val="00F963ED"/>
    <w:rsid w:val="00F9656E"/>
    <w:rsid w:val="00F9657F"/>
    <w:rsid w:val="00F96716"/>
    <w:rsid w:val="00F969B2"/>
    <w:rsid w:val="00F969C9"/>
    <w:rsid w:val="00F96C02"/>
    <w:rsid w:val="00F96C2C"/>
    <w:rsid w:val="00F96CF9"/>
    <w:rsid w:val="00F96E43"/>
    <w:rsid w:val="00F9706D"/>
    <w:rsid w:val="00F97100"/>
    <w:rsid w:val="00F972F6"/>
    <w:rsid w:val="00F974F0"/>
    <w:rsid w:val="00F9773E"/>
    <w:rsid w:val="00F97A3C"/>
    <w:rsid w:val="00F97A63"/>
    <w:rsid w:val="00F97BB2"/>
    <w:rsid w:val="00F97BE0"/>
    <w:rsid w:val="00F97D1E"/>
    <w:rsid w:val="00FA024E"/>
    <w:rsid w:val="00FA0491"/>
    <w:rsid w:val="00FA052D"/>
    <w:rsid w:val="00FA0826"/>
    <w:rsid w:val="00FA0B56"/>
    <w:rsid w:val="00FA0CA7"/>
    <w:rsid w:val="00FA0DF7"/>
    <w:rsid w:val="00FA108D"/>
    <w:rsid w:val="00FA111B"/>
    <w:rsid w:val="00FA1258"/>
    <w:rsid w:val="00FA1348"/>
    <w:rsid w:val="00FA135D"/>
    <w:rsid w:val="00FA147F"/>
    <w:rsid w:val="00FA14F0"/>
    <w:rsid w:val="00FA166D"/>
    <w:rsid w:val="00FA1851"/>
    <w:rsid w:val="00FA1A6B"/>
    <w:rsid w:val="00FA1ACF"/>
    <w:rsid w:val="00FA1AE6"/>
    <w:rsid w:val="00FA1B9A"/>
    <w:rsid w:val="00FA1DCE"/>
    <w:rsid w:val="00FA1FED"/>
    <w:rsid w:val="00FA223C"/>
    <w:rsid w:val="00FA2307"/>
    <w:rsid w:val="00FA248F"/>
    <w:rsid w:val="00FA25B8"/>
    <w:rsid w:val="00FA288A"/>
    <w:rsid w:val="00FA2D46"/>
    <w:rsid w:val="00FA2D66"/>
    <w:rsid w:val="00FA2EA5"/>
    <w:rsid w:val="00FA35D9"/>
    <w:rsid w:val="00FA38DD"/>
    <w:rsid w:val="00FA3966"/>
    <w:rsid w:val="00FA3C56"/>
    <w:rsid w:val="00FA3D37"/>
    <w:rsid w:val="00FA3D38"/>
    <w:rsid w:val="00FA3FC6"/>
    <w:rsid w:val="00FA3FE1"/>
    <w:rsid w:val="00FA42A0"/>
    <w:rsid w:val="00FA438A"/>
    <w:rsid w:val="00FA43C5"/>
    <w:rsid w:val="00FA457A"/>
    <w:rsid w:val="00FA465D"/>
    <w:rsid w:val="00FA4744"/>
    <w:rsid w:val="00FA4805"/>
    <w:rsid w:val="00FA4A3E"/>
    <w:rsid w:val="00FA4AE3"/>
    <w:rsid w:val="00FA4EA3"/>
    <w:rsid w:val="00FA500C"/>
    <w:rsid w:val="00FA5345"/>
    <w:rsid w:val="00FA5884"/>
    <w:rsid w:val="00FA58D7"/>
    <w:rsid w:val="00FA5A87"/>
    <w:rsid w:val="00FA5AAD"/>
    <w:rsid w:val="00FA5CA4"/>
    <w:rsid w:val="00FA5D3B"/>
    <w:rsid w:val="00FA5FAB"/>
    <w:rsid w:val="00FA612B"/>
    <w:rsid w:val="00FA6333"/>
    <w:rsid w:val="00FA63C8"/>
    <w:rsid w:val="00FA63CE"/>
    <w:rsid w:val="00FA68A9"/>
    <w:rsid w:val="00FA68BA"/>
    <w:rsid w:val="00FA69B1"/>
    <w:rsid w:val="00FA6A25"/>
    <w:rsid w:val="00FA6F7F"/>
    <w:rsid w:val="00FA722C"/>
    <w:rsid w:val="00FA7267"/>
    <w:rsid w:val="00FA7319"/>
    <w:rsid w:val="00FA73A0"/>
    <w:rsid w:val="00FA75D4"/>
    <w:rsid w:val="00FA760E"/>
    <w:rsid w:val="00FA7999"/>
    <w:rsid w:val="00FA7A0B"/>
    <w:rsid w:val="00FA7C81"/>
    <w:rsid w:val="00FA7DB9"/>
    <w:rsid w:val="00FA7E60"/>
    <w:rsid w:val="00FB008F"/>
    <w:rsid w:val="00FB00D0"/>
    <w:rsid w:val="00FB035A"/>
    <w:rsid w:val="00FB053A"/>
    <w:rsid w:val="00FB0816"/>
    <w:rsid w:val="00FB0937"/>
    <w:rsid w:val="00FB09C3"/>
    <w:rsid w:val="00FB0DFF"/>
    <w:rsid w:val="00FB0E83"/>
    <w:rsid w:val="00FB1078"/>
    <w:rsid w:val="00FB114D"/>
    <w:rsid w:val="00FB13E4"/>
    <w:rsid w:val="00FB144D"/>
    <w:rsid w:val="00FB15B2"/>
    <w:rsid w:val="00FB1704"/>
    <w:rsid w:val="00FB1C60"/>
    <w:rsid w:val="00FB1C79"/>
    <w:rsid w:val="00FB1E10"/>
    <w:rsid w:val="00FB1F60"/>
    <w:rsid w:val="00FB222D"/>
    <w:rsid w:val="00FB284F"/>
    <w:rsid w:val="00FB2CBB"/>
    <w:rsid w:val="00FB2DA2"/>
    <w:rsid w:val="00FB3209"/>
    <w:rsid w:val="00FB329F"/>
    <w:rsid w:val="00FB32F9"/>
    <w:rsid w:val="00FB33E8"/>
    <w:rsid w:val="00FB34B3"/>
    <w:rsid w:val="00FB34D7"/>
    <w:rsid w:val="00FB3611"/>
    <w:rsid w:val="00FB3724"/>
    <w:rsid w:val="00FB3749"/>
    <w:rsid w:val="00FB3829"/>
    <w:rsid w:val="00FB38C2"/>
    <w:rsid w:val="00FB390B"/>
    <w:rsid w:val="00FB3950"/>
    <w:rsid w:val="00FB3A1D"/>
    <w:rsid w:val="00FB3BBC"/>
    <w:rsid w:val="00FB3E3A"/>
    <w:rsid w:val="00FB3E75"/>
    <w:rsid w:val="00FB3F76"/>
    <w:rsid w:val="00FB445C"/>
    <w:rsid w:val="00FB46FF"/>
    <w:rsid w:val="00FB4767"/>
    <w:rsid w:val="00FB4781"/>
    <w:rsid w:val="00FB489A"/>
    <w:rsid w:val="00FB4B97"/>
    <w:rsid w:val="00FB4C42"/>
    <w:rsid w:val="00FB4C79"/>
    <w:rsid w:val="00FB4ED8"/>
    <w:rsid w:val="00FB4F03"/>
    <w:rsid w:val="00FB531D"/>
    <w:rsid w:val="00FB533F"/>
    <w:rsid w:val="00FB551F"/>
    <w:rsid w:val="00FB58D2"/>
    <w:rsid w:val="00FB58FB"/>
    <w:rsid w:val="00FB59CB"/>
    <w:rsid w:val="00FB5A39"/>
    <w:rsid w:val="00FB5EAE"/>
    <w:rsid w:val="00FB5FB5"/>
    <w:rsid w:val="00FB60CA"/>
    <w:rsid w:val="00FB6186"/>
    <w:rsid w:val="00FB624F"/>
    <w:rsid w:val="00FB6368"/>
    <w:rsid w:val="00FB67CA"/>
    <w:rsid w:val="00FB6B99"/>
    <w:rsid w:val="00FB6D71"/>
    <w:rsid w:val="00FB6E93"/>
    <w:rsid w:val="00FB6FC8"/>
    <w:rsid w:val="00FB7085"/>
    <w:rsid w:val="00FB7271"/>
    <w:rsid w:val="00FB7473"/>
    <w:rsid w:val="00FB75FC"/>
    <w:rsid w:val="00FB789A"/>
    <w:rsid w:val="00FB79CC"/>
    <w:rsid w:val="00FB7FE1"/>
    <w:rsid w:val="00FC008D"/>
    <w:rsid w:val="00FC031D"/>
    <w:rsid w:val="00FC031F"/>
    <w:rsid w:val="00FC03EE"/>
    <w:rsid w:val="00FC0499"/>
    <w:rsid w:val="00FC0571"/>
    <w:rsid w:val="00FC059F"/>
    <w:rsid w:val="00FC0633"/>
    <w:rsid w:val="00FC0825"/>
    <w:rsid w:val="00FC08BD"/>
    <w:rsid w:val="00FC0C9F"/>
    <w:rsid w:val="00FC0DB3"/>
    <w:rsid w:val="00FC0EAA"/>
    <w:rsid w:val="00FC1389"/>
    <w:rsid w:val="00FC14CD"/>
    <w:rsid w:val="00FC14DF"/>
    <w:rsid w:val="00FC160C"/>
    <w:rsid w:val="00FC162D"/>
    <w:rsid w:val="00FC19A9"/>
    <w:rsid w:val="00FC19AD"/>
    <w:rsid w:val="00FC19E1"/>
    <w:rsid w:val="00FC1A78"/>
    <w:rsid w:val="00FC1C72"/>
    <w:rsid w:val="00FC1CAA"/>
    <w:rsid w:val="00FC1DD2"/>
    <w:rsid w:val="00FC1E44"/>
    <w:rsid w:val="00FC1F62"/>
    <w:rsid w:val="00FC21ED"/>
    <w:rsid w:val="00FC23CC"/>
    <w:rsid w:val="00FC2423"/>
    <w:rsid w:val="00FC244F"/>
    <w:rsid w:val="00FC2557"/>
    <w:rsid w:val="00FC262D"/>
    <w:rsid w:val="00FC2686"/>
    <w:rsid w:val="00FC29E2"/>
    <w:rsid w:val="00FC2B3A"/>
    <w:rsid w:val="00FC2E7A"/>
    <w:rsid w:val="00FC2E7D"/>
    <w:rsid w:val="00FC2FB9"/>
    <w:rsid w:val="00FC35F6"/>
    <w:rsid w:val="00FC36BF"/>
    <w:rsid w:val="00FC3C0C"/>
    <w:rsid w:val="00FC3E6C"/>
    <w:rsid w:val="00FC3F53"/>
    <w:rsid w:val="00FC3FEA"/>
    <w:rsid w:val="00FC4235"/>
    <w:rsid w:val="00FC4589"/>
    <w:rsid w:val="00FC487C"/>
    <w:rsid w:val="00FC4977"/>
    <w:rsid w:val="00FC4AA7"/>
    <w:rsid w:val="00FC4BBD"/>
    <w:rsid w:val="00FC4C69"/>
    <w:rsid w:val="00FC4D9D"/>
    <w:rsid w:val="00FC4F46"/>
    <w:rsid w:val="00FC5029"/>
    <w:rsid w:val="00FC51BD"/>
    <w:rsid w:val="00FC528E"/>
    <w:rsid w:val="00FC529A"/>
    <w:rsid w:val="00FC5612"/>
    <w:rsid w:val="00FC5781"/>
    <w:rsid w:val="00FC5844"/>
    <w:rsid w:val="00FC5A2A"/>
    <w:rsid w:val="00FC5AA1"/>
    <w:rsid w:val="00FC5BD8"/>
    <w:rsid w:val="00FC5BE7"/>
    <w:rsid w:val="00FC5C52"/>
    <w:rsid w:val="00FC5D60"/>
    <w:rsid w:val="00FC5DE4"/>
    <w:rsid w:val="00FC5F1B"/>
    <w:rsid w:val="00FC5FC0"/>
    <w:rsid w:val="00FC5FC7"/>
    <w:rsid w:val="00FC6167"/>
    <w:rsid w:val="00FC6229"/>
    <w:rsid w:val="00FC627D"/>
    <w:rsid w:val="00FC6351"/>
    <w:rsid w:val="00FC650B"/>
    <w:rsid w:val="00FC6ABD"/>
    <w:rsid w:val="00FC6D3E"/>
    <w:rsid w:val="00FC6EDD"/>
    <w:rsid w:val="00FC7026"/>
    <w:rsid w:val="00FC704D"/>
    <w:rsid w:val="00FC723E"/>
    <w:rsid w:val="00FC725B"/>
    <w:rsid w:val="00FC73D3"/>
    <w:rsid w:val="00FC74B6"/>
    <w:rsid w:val="00FC7502"/>
    <w:rsid w:val="00FC75A9"/>
    <w:rsid w:val="00FC75C9"/>
    <w:rsid w:val="00FC7800"/>
    <w:rsid w:val="00FC7A1D"/>
    <w:rsid w:val="00FC7C2D"/>
    <w:rsid w:val="00FD02D6"/>
    <w:rsid w:val="00FD035C"/>
    <w:rsid w:val="00FD03C5"/>
    <w:rsid w:val="00FD085B"/>
    <w:rsid w:val="00FD0C21"/>
    <w:rsid w:val="00FD0D08"/>
    <w:rsid w:val="00FD0D12"/>
    <w:rsid w:val="00FD0D37"/>
    <w:rsid w:val="00FD0D46"/>
    <w:rsid w:val="00FD0DAA"/>
    <w:rsid w:val="00FD114D"/>
    <w:rsid w:val="00FD138C"/>
    <w:rsid w:val="00FD1471"/>
    <w:rsid w:val="00FD1670"/>
    <w:rsid w:val="00FD1769"/>
    <w:rsid w:val="00FD1854"/>
    <w:rsid w:val="00FD1ACA"/>
    <w:rsid w:val="00FD1E74"/>
    <w:rsid w:val="00FD1F8A"/>
    <w:rsid w:val="00FD238D"/>
    <w:rsid w:val="00FD24A0"/>
    <w:rsid w:val="00FD24AD"/>
    <w:rsid w:val="00FD24D9"/>
    <w:rsid w:val="00FD259B"/>
    <w:rsid w:val="00FD279E"/>
    <w:rsid w:val="00FD27CF"/>
    <w:rsid w:val="00FD2819"/>
    <w:rsid w:val="00FD2849"/>
    <w:rsid w:val="00FD2C82"/>
    <w:rsid w:val="00FD2E73"/>
    <w:rsid w:val="00FD2FAB"/>
    <w:rsid w:val="00FD319D"/>
    <w:rsid w:val="00FD3513"/>
    <w:rsid w:val="00FD3728"/>
    <w:rsid w:val="00FD3905"/>
    <w:rsid w:val="00FD3906"/>
    <w:rsid w:val="00FD3B82"/>
    <w:rsid w:val="00FD3F41"/>
    <w:rsid w:val="00FD4152"/>
    <w:rsid w:val="00FD43CA"/>
    <w:rsid w:val="00FD456B"/>
    <w:rsid w:val="00FD45AC"/>
    <w:rsid w:val="00FD468D"/>
    <w:rsid w:val="00FD4A96"/>
    <w:rsid w:val="00FD4B7D"/>
    <w:rsid w:val="00FD4D98"/>
    <w:rsid w:val="00FD4D9A"/>
    <w:rsid w:val="00FD4EE4"/>
    <w:rsid w:val="00FD53C8"/>
    <w:rsid w:val="00FD5424"/>
    <w:rsid w:val="00FD5498"/>
    <w:rsid w:val="00FD549A"/>
    <w:rsid w:val="00FD5547"/>
    <w:rsid w:val="00FD5814"/>
    <w:rsid w:val="00FD5ADF"/>
    <w:rsid w:val="00FD5B37"/>
    <w:rsid w:val="00FD5CAF"/>
    <w:rsid w:val="00FD5E21"/>
    <w:rsid w:val="00FD5E71"/>
    <w:rsid w:val="00FD5ED8"/>
    <w:rsid w:val="00FD5F70"/>
    <w:rsid w:val="00FD6010"/>
    <w:rsid w:val="00FD609F"/>
    <w:rsid w:val="00FD60EE"/>
    <w:rsid w:val="00FD621C"/>
    <w:rsid w:val="00FD6250"/>
    <w:rsid w:val="00FD6255"/>
    <w:rsid w:val="00FD6284"/>
    <w:rsid w:val="00FD628E"/>
    <w:rsid w:val="00FD642F"/>
    <w:rsid w:val="00FD677E"/>
    <w:rsid w:val="00FD68EC"/>
    <w:rsid w:val="00FD6A47"/>
    <w:rsid w:val="00FD6B01"/>
    <w:rsid w:val="00FD70BE"/>
    <w:rsid w:val="00FD7102"/>
    <w:rsid w:val="00FD72EF"/>
    <w:rsid w:val="00FD744C"/>
    <w:rsid w:val="00FD76A4"/>
    <w:rsid w:val="00FD780D"/>
    <w:rsid w:val="00FD7879"/>
    <w:rsid w:val="00FD7902"/>
    <w:rsid w:val="00FD7AF5"/>
    <w:rsid w:val="00FD7BE2"/>
    <w:rsid w:val="00FD7DCC"/>
    <w:rsid w:val="00FD7EC5"/>
    <w:rsid w:val="00FD7F03"/>
    <w:rsid w:val="00FD7FA3"/>
    <w:rsid w:val="00FE0493"/>
    <w:rsid w:val="00FE052E"/>
    <w:rsid w:val="00FE0805"/>
    <w:rsid w:val="00FE0838"/>
    <w:rsid w:val="00FE0BB7"/>
    <w:rsid w:val="00FE0C9A"/>
    <w:rsid w:val="00FE0CCA"/>
    <w:rsid w:val="00FE0F88"/>
    <w:rsid w:val="00FE11C8"/>
    <w:rsid w:val="00FE14F7"/>
    <w:rsid w:val="00FE1578"/>
    <w:rsid w:val="00FE1939"/>
    <w:rsid w:val="00FE195C"/>
    <w:rsid w:val="00FE197B"/>
    <w:rsid w:val="00FE1AAB"/>
    <w:rsid w:val="00FE1D32"/>
    <w:rsid w:val="00FE1DD0"/>
    <w:rsid w:val="00FE210A"/>
    <w:rsid w:val="00FE23DE"/>
    <w:rsid w:val="00FE2922"/>
    <w:rsid w:val="00FE2BAD"/>
    <w:rsid w:val="00FE2C95"/>
    <w:rsid w:val="00FE2D5E"/>
    <w:rsid w:val="00FE2D91"/>
    <w:rsid w:val="00FE2EA0"/>
    <w:rsid w:val="00FE2F63"/>
    <w:rsid w:val="00FE3139"/>
    <w:rsid w:val="00FE3314"/>
    <w:rsid w:val="00FE3336"/>
    <w:rsid w:val="00FE3414"/>
    <w:rsid w:val="00FE34C5"/>
    <w:rsid w:val="00FE3609"/>
    <w:rsid w:val="00FE380C"/>
    <w:rsid w:val="00FE3855"/>
    <w:rsid w:val="00FE38E9"/>
    <w:rsid w:val="00FE39FC"/>
    <w:rsid w:val="00FE3AE8"/>
    <w:rsid w:val="00FE3C24"/>
    <w:rsid w:val="00FE3D30"/>
    <w:rsid w:val="00FE3DB9"/>
    <w:rsid w:val="00FE43A4"/>
    <w:rsid w:val="00FE4426"/>
    <w:rsid w:val="00FE443A"/>
    <w:rsid w:val="00FE4551"/>
    <w:rsid w:val="00FE468C"/>
    <w:rsid w:val="00FE48AC"/>
    <w:rsid w:val="00FE48E8"/>
    <w:rsid w:val="00FE4930"/>
    <w:rsid w:val="00FE4C40"/>
    <w:rsid w:val="00FE4E90"/>
    <w:rsid w:val="00FE4F3C"/>
    <w:rsid w:val="00FE4FD1"/>
    <w:rsid w:val="00FE5130"/>
    <w:rsid w:val="00FE5400"/>
    <w:rsid w:val="00FE547A"/>
    <w:rsid w:val="00FE5730"/>
    <w:rsid w:val="00FE5905"/>
    <w:rsid w:val="00FE59AB"/>
    <w:rsid w:val="00FE5A1E"/>
    <w:rsid w:val="00FE5B58"/>
    <w:rsid w:val="00FE5D4B"/>
    <w:rsid w:val="00FE5E49"/>
    <w:rsid w:val="00FE5F82"/>
    <w:rsid w:val="00FE61D6"/>
    <w:rsid w:val="00FE621A"/>
    <w:rsid w:val="00FE62AE"/>
    <w:rsid w:val="00FE63B0"/>
    <w:rsid w:val="00FE64E8"/>
    <w:rsid w:val="00FE6684"/>
    <w:rsid w:val="00FE6B63"/>
    <w:rsid w:val="00FE6E0B"/>
    <w:rsid w:val="00FE6EA9"/>
    <w:rsid w:val="00FE720A"/>
    <w:rsid w:val="00FE736B"/>
    <w:rsid w:val="00FE749B"/>
    <w:rsid w:val="00FE7637"/>
    <w:rsid w:val="00FE79FE"/>
    <w:rsid w:val="00FE7D9D"/>
    <w:rsid w:val="00FE7EBB"/>
    <w:rsid w:val="00FE7F02"/>
    <w:rsid w:val="00FF02BE"/>
    <w:rsid w:val="00FF0387"/>
    <w:rsid w:val="00FF0AE4"/>
    <w:rsid w:val="00FF0C02"/>
    <w:rsid w:val="00FF0C4F"/>
    <w:rsid w:val="00FF0C97"/>
    <w:rsid w:val="00FF0E0F"/>
    <w:rsid w:val="00FF110B"/>
    <w:rsid w:val="00FF14FE"/>
    <w:rsid w:val="00FF161E"/>
    <w:rsid w:val="00FF163C"/>
    <w:rsid w:val="00FF179B"/>
    <w:rsid w:val="00FF17B4"/>
    <w:rsid w:val="00FF1964"/>
    <w:rsid w:val="00FF1A41"/>
    <w:rsid w:val="00FF1B65"/>
    <w:rsid w:val="00FF1C0B"/>
    <w:rsid w:val="00FF1CE5"/>
    <w:rsid w:val="00FF1DD3"/>
    <w:rsid w:val="00FF1DDC"/>
    <w:rsid w:val="00FF1EB6"/>
    <w:rsid w:val="00FF1FDA"/>
    <w:rsid w:val="00FF247F"/>
    <w:rsid w:val="00FF266F"/>
    <w:rsid w:val="00FF2764"/>
    <w:rsid w:val="00FF27FD"/>
    <w:rsid w:val="00FF289B"/>
    <w:rsid w:val="00FF29D3"/>
    <w:rsid w:val="00FF2B8B"/>
    <w:rsid w:val="00FF2F23"/>
    <w:rsid w:val="00FF2F6B"/>
    <w:rsid w:val="00FF30B9"/>
    <w:rsid w:val="00FF3106"/>
    <w:rsid w:val="00FF3484"/>
    <w:rsid w:val="00FF3651"/>
    <w:rsid w:val="00FF384D"/>
    <w:rsid w:val="00FF3909"/>
    <w:rsid w:val="00FF3919"/>
    <w:rsid w:val="00FF3C0C"/>
    <w:rsid w:val="00FF3C52"/>
    <w:rsid w:val="00FF3CAD"/>
    <w:rsid w:val="00FF3CEE"/>
    <w:rsid w:val="00FF3F19"/>
    <w:rsid w:val="00FF4159"/>
    <w:rsid w:val="00FF41C3"/>
    <w:rsid w:val="00FF44CC"/>
    <w:rsid w:val="00FF4822"/>
    <w:rsid w:val="00FF484E"/>
    <w:rsid w:val="00FF4899"/>
    <w:rsid w:val="00FF49FF"/>
    <w:rsid w:val="00FF4B11"/>
    <w:rsid w:val="00FF4B65"/>
    <w:rsid w:val="00FF4CD3"/>
    <w:rsid w:val="00FF51E8"/>
    <w:rsid w:val="00FF57BE"/>
    <w:rsid w:val="00FF59DD"/>
    <w:rsid w:val="00FF5B31"/>
    <w:rsid w:val="00FF5B93"/>
    <w:rsid w:val="00FF5BE0"/>
    <w:rsid w:val="00FF5CFF"/>
    <w:rsid w:val="00FF5D13"/>
    <w:rsid w:val="00FF5F09"/>
    <w:rsid w:val="00FF6030"/>
    <w:rsid w:val="00FF62D2"/>
    <w:rsid w:val="00FF6647"/>
    <w:rsid w:val="00FF67CE"/>
    <w:rsid w:val="00FF6837"/>
    <w:rsid w:val="00FF6D38"/>
    <w:rsid w:val="00FF6E20"/>
    <w:rsid w:val="00FF6E51"/>
    <w:rsid w:val="00FF6F07"/>
    <w:rsid w:val="00FF71E1"/>
    <w:rsid w:val="00FF727E"/>
    <w:rsid w:val="00FF76EB"/>
    <w:rsid w:val="00FF7735"/>
    <w:rsid w:val="00FF7A83"/>
    <w:rsid w:val="00FF7C0A"/>
    <w:rsid w:val="00FF7F2A"/>
    <w:rsid w:val="00FF7F75"/>
    <w:rsid w:val="014068C4"/>
    <w:rsid w:val="014BF7FB"/>
    <w:rsid w:val="0160C960"/>
    <w:rsid w:val="0182CCD5"/>
    <w:rsid w:val="0183DFDF"/>
    <w:rsid w:val="0195D010"/>
    <w:rsid w:val="01AFA490"/>
    <w:rsid w:val="01C213ED"/>
    <w:rsid w:val="01C2BFC8"/>
    <w:rsid w:val="01ED8CA0"/>
    <w:rsid w:val="020E58E6"/>
    <w:rsid w:val="0215D8EF"/>
    <w:rsid w:val="022BB6F6"/>
    <w:rsid w:val="023B7BC6"/>
    <w:rsid w:val="02468520"/>
    <w:rsid w:val="024E0FF2"/>
    <w:rsid w:val="02587600"/>
    <w:rsid w:val="025AF901"/>
    <w:rsid w:val="02601624"/>
    <w:rsid w:val="027F566C"/>
    <w:rsid w:val="02C4A9B3"/>
    <w:rsid w:val="02D57D82"/>
    <w:rsid w:val="02D59844"/>
    <w:rsid w:val="02E7C9FF"/>
    <w:rsid w:val="0300B9BF"/>
    <w:rsid w:val="031AB3BE"/>
    <w:rsid w:val="031BDB50"/>
    <w:rsid w:val="03212440"/>
    <w:rsid w:val="032A7FF0"/>
    <w:rsid w:val="03529048"/>
    <w:rsid w:val="0356669D"/>
    <w:rsid w:val="035AD95D"/>
    <w:rsid w:val="03626F5E"/>
    <w:rsid w:val="036844FA"/>
    <w:rsid w:val="03879DCD"/>
    <w:rsid w:val="03AF47CE"/>
    <w:rsid w:val="03B67059"/>
    <w:rsid w:val="03BF6068"/>
    <w:rsid w:val="03CC84CF"/>
    <w:rsid w:val="03D72037"/>
    <w:rsid w:val="03FD4F79"/>
    <w:rsid w:val="042F4787"/>
    <w:rsid w:val="04496190"/>
    <w:rsid w:val="047F5664"/>
    <w:rsid w:val="04834570"/>
    <w:rsid w:val="048F4AF4"/>
    <w:rsid w:val="04BFA915"/>
    <w:rsid w:val="04C3DB25"/>
    <w:rsid w:val="04CF2944"/>
    <w:rsid w:val="04DA855A"/>
    <w:rsid w:val="04E22156"/>
    <w:rsid w:val="04ECD579"/>
    <w:rsid w:val="050B19F5"/>
    <w:rsid w:val="0516C5F8"/>
    <w:rsid w:val="052CEC24"/>
    <w:rsid w:val="054DDCF8"/>
    <w:rsid w:val="0590119C"/>
    <w:rsid w:val="059C5203"/>
    <w:rsid w:val="05AA02EB"/>
    <w:rsid w:val="05AD62AD"/>
    <w:rsid w:val="05C34F66"/>
    <w:rsid w:val="05C997CA"/>
    <w:rsid w:val="05DFA2C9"/>
    <w:rsid w:val="05F9B14C"/>
    <w:rsid w:val="06054E5B"/>
    <w:rsid w:val="06113944"/>
    <w:rsid w:val="061A72D6"/>
    <w:rsid w:val="0640B442"/>
    <w:rsid w:val="064812BC"/>
    <w:rsid w:val="0660E254"/>
    <w:rsid w:val="066538A4"/>
    <w:rsid w:val="066A9998"/>
    <w:rsid w:val="067D43E1"/>
    <w:rsid w:val="067DA7FE"/>
    <w:rsid w:val="06838EAD"/>
    <w:rsid w:val="06904567"/>
    <w:rsid w:val="0691929E"/>
    <w:rsid w:val="069224A4"/>
    <w:rsid w:val="06BAF6C0"/>
    <w:rsid w:val="06CDB18D"/>
    <w:rsid w:val="06D67CB7"/>
    <w:rsid w:val="06D896B7"/>
    <w:rsid w:val="07144385"/>
    <w:rsid w:val="0721C419"/>
    <w:rsid w:val="07399BCC"/>
    <w:rsid w:val="079448E7"/>
    <w:rsid w:val="07A81BDA"/>
    <w:rsid w:val="07AF8649"/>
    <w:rsid w:val="07B7F061"/>
    <w:rsid w:val="08005EFD"/>
    <w:rsid w:val="08105863"/>
    <w:rsid w:val="082DD401"/>
    <w:rsid w:val="08379A4A"/>
    <w:rsid w:val="083F7132"/>
    <w:rsid w:val="086F35B0"/>
    <w:rsid w:val="08858A11"/>
    <w:rsid w:val="089C101E"/>
    <w:rsid w:val="089F28B5"/>
    <w:rsid w:val="08B2B870"/>
    <w:rsid w:val="08BD1327"/>
    <w:rsid w:val="08C46515"/>
    <w:rsid w:val="08D707CB"/>
    <w:rsid w:val="0916E56D"/>
    <w:rsid w:val="09337944"/>
    <w:rsid w:val="093DEF7C"/>
    <w:rsid w:val="097DAE7E"/>
    <w:rsid w:val="09886111"/>
    <w:rsid w:val="09A788D0"/>
    <w:rsid w:val="09B426F6"/>
    <w:rsid w:val="09BFD72A"/>
    <w:rsid w:val="09C8B5BD"/>
    <w:rsid w:val="09F0104F"/>
    <w:rsid w:val="09F8251E"/>
    <w:rsid w:val="0A13FABD"/>
    <w:rsid w:val="0A16CFD3"/>
    <w:rsid w:val="0A18FD9E"/>
    <w:rsid w:val="0A1BA2FF"/>
    <w:rsid w:val="0A270D85"/>
    <w:rsid w:val="0A7BA5B8"/>
    <w:rsid w:val="0A7EC263"/>
    <w:rsid w:val="0A815510"/>
    <w:rsid w:val="0AE8183F"/>
    <w:rsid w:val="0B03308D"/>
    <w:rsid w:val="0B14273E"/>
    <w:rsid w:val="0B37ABC2"/>
    <w:rsid w:val="0B3B2AE5"/>
    <w:rsid w:val="0B5A0152"/>
    <w:rsid w:val="0B7C4188"/>
    <w:rsid w:val="0B7CDAE1"/>
    <w:rsid w:val="0B9DAC88"/>
    <w:rsid w:val="0BB453D5"/>
    <w:rsid w:val="0BB5F049"/>
    <w:rsid w:val="0BBDE244"/>
    <w:rsid w:val="0BC3858B"/>
    <w:rsid w:val="0BDC4A3B"/>
    <w:rsid w:val="0BDEB4F2"/>
    <w:rsid w:val="0BF6E674"/>
    <w:rsid w:val="0C0E73D0"/>
    <w:rsid w:val="0C229748"/>
    <w:rsid w:val="0C29F905"/>
    <w:rsid w:val="0C2E1EE1"/>
    <w:rsid w:val="0C407305"/>
    <w:rsid w:val="0C687020"/>
    <w:rsid w:val="0C75E41E"/>
    <w:rsid w:val="0C960BF1"/>
    <w:rsid w:val="0C983136"/>
    <w:rsid w:val="0CC81CDB"/>
    <w:rsid w:val="0CCBB437"/>
    <w:rsid w:val="0CD27AB3"/>
    <w:rsid w:val="0CE73BA6"/>
    <w:rsid w:val="0CFAAE8E"/>
    <w:rsid w:val="0D04F071"/>
    <w:rsid w:val="0D090A47"/>
    <w:rsid w:val="0D0E290A"/>
    <w:rsid w:val="0D3DCB3F"/>
    <w:rsid w:val="0D62443E"/>
    <w:rsid w:val="0D7D018E"/>
    <w:rsid w:val="0D8B36A9"/>
    <w:rsid w:val="0DB70299"/>
    <w:rsid w:val="0DC2CD89"/>
    <w:rsid w:val="0DD4BC01"/>
    <w:rsid w:val="0E3EA1AD"/>
    <w:rsid w:val="0E3FB98D"/>
    <w:rsid w:val="0E50DE9D"/>
    <w:rsid w:val="0E51EBD3"/>
    <w:rsid w:val="0E53AAFE"/>
    <w:rsid w:val="0E639C04"/>
    <w:rsid w:val="0E6800E1"/>
    <w:rsid w:val="0E6A795F"/>
    <w:rsid w:val="0E6CF5EC"/>
    <w:rsid w:val="0E6D9A4F"/>
    <w:rsid w:val="0E7CA8B8"/>
    <w:rsid w:val="0EC6ED1C"/>
    <w:rsid w:val="0ED72512"/>
    <w:rsid w:val="0EDC64C8"/>
    <w:rsid w:val="0F0E6940"/>
    <w:rsid w:val="0F10E0C8"/>
    <w:rsid w:val="0F1F1FBC"/>
    <w:rsid w:val="0F61D409"/>
    <w:rsid w:val="0F61E3D7"/>
    <w:rsid w:val="0F6DA709"/>
    <w:rsid w:val="0F7D658A"/>
    <w:rsid w:val="0F92D38B"/>
    <w:rsid w:val="0FAA900D"/>
    <w:rsid w:val="0FB2BD9A"/>
    <w:rsid w:val="0FCCABB1"/>
    <w:rsid w:val="0FD62718"/>
    <w:rsid w:val="0FF748A6"/>
    <w:rsid w:val="0FF7CBBF"/>
    <w:rsid w:val="1016DF7E"/>
    <w:rsid w:val="101F4053"/>
    <w:rsid w:val="10387511"/>
    <w:rsid w:val="1038AD0A"/>
    <w:rsid w:val="1041D7D5"/>
    <w:rsid w:val="1049D6E8"/>
    <w:rsid w:val="105E592E"/>
    <w:rsid w:val="1069CAE6"/>
    <w:rsid w:val="106C39B3"/>
    <w:rsid w:val="10737F0B"/>
    <w:rsid w:val="10847636"/>
    <w:rsid w:val="109611DC"/>
    <w:rsid w:val="10DA2114"/>
    <w:rsid w:val="10E4BC16"/>
    <w:rsid w:val="10F7726E"/>
    <w:rsid w:val="1108E977"/>
    <w:rsid w:val="1120BAAB"/>
    <w:rsid w:val="11243DDC"/>
    <w:rsid w:val="112F16FE"/>
    <w:rsid w:val="113739B4"/>
    <w:rsid w:val="1138360E"/>
    <w:rsid w:val="1145A7B6"/>
    <w:rsid w:val="1155BAAB"/>
    <w:rsid w:val="115A890E"/>
    <w:rsid w:val="115EA42F"/>
    <w:rsid w:val="116B23A1"/>
    <w:rsid w:val="11802234"/>
    <w:rsid w:val="1181D5F0"/>
    <w:rsid w:val="11901F0D"/>
    <w:rsid w:val="11A949A0"/>
    <w:rsid w:val="11B83BC1"/>
    <w:rsid w:val="11CEC4F0"/>
    <w:rsid w:val="11E9C98D"/>
    <w:rsid w:val="11F99F60"/>
    <w:rsid w:val="11FBFF47"/>
    <w:rsid w:val="11FC30F4"/>
    <w:rsid w:val="1204DD9B"/>
    <w:rsid w:val="1235B79F"/>
    <w:rsid w:val="123EA05C"/>
    <w:rsid w:val="1255B5FF"/>
    <w:rsid w:val="125DD6E5"/>
    <w:rsid w:val="12664F1C"/>
    <w:rsid w:val="126A3781"/>
    <w:rsid w:val="1276A191"/>
    <w:rsid w:val="127DEC5F"/>
    <w:rsid w:val="128104BC"/>
    <w:rsid w:val="1289301D"/>
    <w:rsid w:val="12A5AF7C"/>
    <w:rsid w:val="12AA8BD8"/>
    <w:rsid w:val="12D17003"/>
    <w:rsid w:val="12DED78C"/>
    <w:rsid w:val="12E9AC88"/>
    <w:rsid w:val="12E9C2E5"/>
    <w:rsid w:val="12EF1B56"/>
    <w:rsid w:val="130096E6"/>
    <w:rsid w:val="13116B2B"/>
    <w:rsid w:val="131473B7"/>
    <w:rsid w:val="13412961"/>
    <w:rsid w:val="13429EA1"/>
    <w:rsid w:val="136D8E99"/>
    <w:rsid w:val="137F3165"/>
    <w:rsid w:val="138B55DD"/>
    <w:rsid w:val="13978F68"/>
    <w:rsid w:val="13AD6D76"/>
    <w:rsid w:val="13C14FE9"/>
    <w:rsid w:val="13DA9ED8"/>
    <w:rsid w:val="13E13B82"/>
    <w:rsid w:val="13E18866"/>
    <w:rsid w:val="13E45A5C"/>
    <w:rsid w:val="1402FB7A"/>
    <w:rsid w:val="14125F57"/>
    <w:rsid w:val="14192D88"/>
    <w:rsid w:val="142ADD4B"/>
    <w:rsid w:val="14364FD3"/>
    <w:rsid w:val="14462D9A"/>
    <w:rsid w:val="1450F66C"/>
    <w:rsid w:val="1452CB86"/>
    <w:rsid w:val="145624C3"/>
    <w:rsid w:val="145EADB9"/>
    <w:rsid w:val="14896840"/>
    <w:rsid w:val="14A6E7FC"/>
    <w:rsid w:val="15077393"/>
    <w:rsid w:val="151152D8"/>
    <w:rsid w:val="151274D7"/>
    <w:rsid w:val="1522B5DF"/>
    <w:rsid w:val="1534CEE0"/>
    <w:rsid w:val="1538B1EE"/>
    <w:rsid w:val="1541A569"/>
    <w:rsid w:val="1552FC65"/>
    <w:rsid w:val="15775513"/>
    <w:rsid w:val="15836ED7"/>
    <w:rsid w:val="158DA27E"/>
    <w:rsid w:val="1595EBCC"/>
    <w:rsid w:val="1598998A"/>
    <w:rsid w:val="159FBC80"/>
    <w:rsid w:val="15A83C4F"/>
    <w:rsid w:val="15ABC713"/>
    <w:rsid w:val="15B7155D"/>
    <w:rsid w:val="15C7031C"/>
    <w:rsid w:val="15C87538"/>
    <w:rsid w:val="16321F63"/>
    <w:rsid w:val="1640F580"/>
    <w:rsid w:val="1644AA3B"/>
    <w:rsid w:val="16545032"/>
    <w:rsid w:val="16795FCF"/>
    <w:rsid w:val="167E53E0"/>
    <w:rsid w:val="167F829F"/>
    <w:rsid w:val="169CD712"/>
    <w:rsid w:val="16A9AF3C"/>
    <w:rsid w:val="16AEAEA6"/>
    <w:rsid w:val="16AEF55E"/>
    <w:rsid w:val="16CC1FB9"/>
    <w:rsid w:val="16D64F46"/>
    <w:rsid w:val="16D90B95"/>
    <w:rsid w:val="16F56B92"/>
    <w:rsid w:val="171D10F7"/>
    <w:rsid w:val="171FCDD6"/>
    <w:rsid w:val="17230299"/>
    <w:rsid w:val="1723BB7F"/>
    <w:rsid w:val="1728EBD9"/>
    <w:rsid w:val="17434BE1"/>
    <w:rsid w:val="1765E8E3"/>
    <w:rsid w:val="1765F718"/>
    <w:rsid w:val="1769CE56"/>
    <w:rsid w:val="1778CDE7"/>
    <w:rsid w:val="178778A2"/>
    <w:rsid w:val="1791F1D0"/>
    <w:rsid w:val="17A494A8"/>
    <w:rsid w:val="17A73CDD"/>
    <w:rsid w:val="17C9F1C9"/>
    <w:rsid w:val="17D9E1F7"/>
    <w:rsid w:val="17FC4EBC"/>
    <w:rsid w:val="180A7F5A"/>
    <w:rsid w:val="181E0678"/>
    <w:rsid w:val="185449D4"/>
    <w:rsid w:val="185B4272"/>
    <w:rsid w:val="1877F0A8"/>
    <w:rsid w:val="18806988"/>
    <w:rsid w:val="18A48119"/>
    <w:rsid w:val="18A98CBF"/>
    <w:rsid w:val="18A992D1"/>
    <w:rsid w:val="18B015A4"/>
    <w:rsid w:val="18BBE3A1"/>
    <w:rsid w:val="18EE337F"/>
    <w:rsid w:val="18FA34F1"/>
    <w:rsid w:val="1901BD49"/>
    <w:rsid w:val="1938AD3F"/>
    <w:rsid w:val="193C5815"/>
    <w:rsid w:val="193D74B3"/>
    <w:rsid w:val="1943DE92"/>
    <w:rsid w:val="19441BB9"/>
    <w:rsid w:val="195B053F"/>
    <w:rsid w:val="197A987A"/>
    <w:rsid w:val="197EFDB7"/>
    <w:rsid w:val="1988F07C"/>
    <w:rsid w:val="19A2F161"/>
    <w:rsid w:val="19A6D7F0"/>
    <w:rsid w:val="19C05990"/>
    <w:rsid w:val="19CD025C"/>
    <w:rsid w:val="19D30D5F"/>
    <w:rsid w:val="19D4D752"/>
    <w:rsid w:val="19D5DAC4"/>
    <w:rsid w:val="19D62E1A"/>
    <w:rsid w:val="19D6BE81"/>
    <w:rsid w:val="1A3155CC"/>
    <w:rsid w:val="1A66F2C6"/>
    <w:rsid w:val="1A68BC3E"/>
    <w:rsid w:val="1A6E1A1D"/>
    <w:rsid w:val="1A877DAB"/>
    <w:rsid w:val="1A8913FA"/>
    <w:rsid w:val="1AA6B464"/>
    <w:rsid w:val="1AA8C5DC"/>
    <w:rsid w:val="1AC36786"/>
    <w:rsid w:val="1AC5B7BC"/>
    <w:rsid w:val="1AD962DE"/>
    <w:rsid w:val="1AF2392D"/>
    <w:rsid w:val="1B158042"/>
    <w:rsid w:val="1B1CBF45"/>
    <w:rsid w:val="1B33611B"/>
    <w:rsid w:val="1B536EF3"/>
    <w:rsid w:val="1B547BC4"/>
    <w:rsid w:val="1B682109"/>
    <w:rsid w:val="1B705D8D"/>
    <w:rsid w:val="1B7137AE"/>
    <w:rsid w:val="1B9C45B8"/>
    <w:rsid w:val="1B9D560C"/>
    <w:rsid w:val="1BAC7C4F"/>
    <w:rsid w:val="1BB21D97"/>
    <w:rsid w:val="1BB6AEAC"/>
    <w:rsid w:val="1BBFE395"/>
    <w:rsid w:val="1BDD4EDB"/>
    <w:rsid w:val="1BDF48C2"/>
    <w:rsid w:val="1BE0B4BF"/>
    <w:rsid w:val="1C0E760B"/>
    <w:rsid w:val="1C0F8420"/>
    <w:rsid w:val="1C115DF1"/>
    <w:rsid w:val="1C22E77B"/>
    <w:rsid w:val="1C3439F9"/>
    <w:rsid w:val="1C34FFB1"/>
    <w:rsid w:val="1C363060"/>
    <w:rsid w:val="1C416F66"/>
    <w:rsid w:val="1C605026"/>
    <w:rsid w:val="1C803129"/>
    <w:rsid w:val="1C9AE4B8"/>
    <w:rsid w:val="1CB16D4F"/>
    <w:rsid w:val="1CB3A333"/>
    <w:rsid w:val="1CBB41D4"/>
    <w:rsid w:val="1CC1295A"/>
    <w:rsid w:val="1CD9D97B"/>
    <w:rsid w:val="1CDAB125"/>
    <w:rsid w:val="1CEC935B"/>
    <w:rsid w:val="1CFC9005"/>
    <w:rsid w:val="1D0E2DF3"/>
    <w:rsid w:val="1D1CCECA"/>
    <w:rsid w:val="1D335214"/>
    <w:rsid w:val="1D342EA8"/>
    <w:rsid w:val="1D3E0D86"/>
    <w:rsid w:val="1D494FB9"/>
    <w:rsid w:val="1D55BAD6"/>
    <w:rsid w:val="1D752899"/>
    <w:rsid w:val="1D992E86"/>
    <w:rsid w:val="1DE0E058"/>
    <w:rsid w:val="1DEB3A27"/>
    <w:rsid w:val="1DF57CDA"/>
    <w:rsid w:val="1DF6B0D3"/>
    <w:rsid w:val="1E0EEE77"/>
    <w:rsid w:val="1E383DAD"/>
    <w:rsid w:val="1E39B3BF"/>
    <w:rsid w:val="1E3F7081"/>
    <w:rsid w:val="1E4AD84C"/>
    <w:rsid w:val="1E554A40"/>
    <w:rsid w:val="1E5CFD8B"/>
    <w:rsid w:val="1E73F8C8"/>
    <w:rsid w:val="1E78EC3D"/>
    <w:rsid w:val="1E9AF6F6"/>
    <w:rsid w:val="1E9C1280"/>
    <w:rsid w:val="1ECC6F99"/>
    <w:rsid w:val="1ED3059A"/>
    <w:rsid w:val="1EDA0B1D"/>
    <w:rsid w:val="1EE55ACC"/>
    <w:rsid w:val="1EE57757"/>
    <w:rsid w:val="1EFC8289"/>
    <w:rsid w:val="1F0E9603"/>
    <w:rsid w:val="1F5E72C3"/>
    <w:rsid w:val="1F5EB005"/>
    <w:rsid w:val="1F6B0E0C"/>
    <w:rsid w:val="1F8BBAF9"/>
    <w:rsid w:val="1F8E13C1"/>
    <w:rsid w:val="1F9F7D88"/>
    <w:rsid w:val="1FA60B1C"/>
    <w:rsid w:val="1FA8ED0A"/>
    <w:rsid w:val="1FA90399"/>
    <w:rsid w:val="1FB27349"/>
    <w:rsid w:val="1FB79167"/>
    <w:rsid w:val="1FBD82BD"/>
    <w:rsid w:val="1FC415C0"/>
    <w:rsid w:val="1FD0CF6B"/>
    <w:rsid w:val="1FD10EAC"/>
    <w:rsid w:val="1FF31722"/>
    <w:rsid w:val="1FF64955"/>
    <w:rsid w:val="201427C4"/>
    <w:rsid w:val="205F7EA5"/>
    <w:rsid w:val="20664510"/>
    <w:rsid w:val="2068083F"/>
    <w:rsid w:val="2075F804"/>
    <w:rsid w:val="208B8C2C"/>
    <w:rsid w:val="2097EF32"/>
    <w:rsid w:val="20BE1D17"/>
    <w:rsid w:val="20BF0047"/>
    <w:rsid w:val="20D0B2F8"/>
    <w:rsid w:val="20D615CA"/>
    <w:rsid w:val="20EF67B9"/>
    <w:rsid w:val="20F53D46"/>
    <w:rsid w:val="20FD6F95"/>
    <w:rsid w:val="21267D4E"/>
    <w:rsid w:val="2179F51A"/>
    <w:rsid w:val="2181CFA3"/>
    <w:rsid w:val="21906C27"/>
    <w:rsid w:val="21AE59B8"/>
    <w:rsid w:val="21B2595E"/>
    <w:rsid w:val="21D0F3D5"/>
    <w:rsid w:val="21EC4922"/>
    <w:rsid w:val="21F14761"/>
    <w:rsid w:val="21F3915D"/>
    <w:rsid w:val="21F621C7"/>
    <w:rsid w:val="21FEE453"/>
    <w:rsid w:val="221B27D5"/>
    <w:rsid w:val="2247AD6F"/>
    <w:rsid w:val="2248976D"/>
    <w:rsid w:val="224ED6DC"/>
    <w:rsid w:val="2250CB9D"/>
    <w:rsid w:val="22601C66"/>
    <w:rsid w:val="22607859"/>
    <w:rsid w:val="2262D076"/>
    <w:rsid w:val="2264C8EC"/>
    <w:rsid w:val="226C91AE"/>
    <w:rsid w:val="226E236E"/>
    <w:rsid w:val="226F441D"/>
    <w:rsid w:val="2287A755"/>
    <w:rsid w:val="228BD3BE"/>
    <w:rsid w:val="2293DC89"/>
    <w:rsid w:val="22975789"/>
    <w:rsid w:val="22981DD7"/>
    <w:rsid w:val="229ACF55"/>
    <w:rsid w:val="22ABA89E"/>
    <w:rsid w:val="22C55653"/>
    <w:rsid w:val="22CCA6C7"/>
    <w:rsid w:val="22FA0158"/>
    <w:rsid w:val="2308EFFB"/>
    <w:rsid w:val="23095957"/>
    <w:rsid w:val="231267E6"/>
    <w:rsid w:val="231AD109"/>
    <w:rsid w:val="2325499D"/>
    <w:rsid w:val="232DDC1B"/>
    <w:rsid w:val="232DF2C0"/>
    <w:rsid w:val="2331660B"/>
    <w:rsid w:val="233A1FA3"/>
    <w:rsid w:val="233D0294"/>
    <w:rsid w:val="234A7ADE"/>
    <w:rsid w:val="23592831"/>
    <w:rsid w:val="235E772D"/>
    <w:rsid w:val="235FA9E7"/>
    <w:rsid w:val="2371F562"/>
    <w:rsid w:val="2399F763"/>
    <w:rsid w:val="23A12FC2"/>
    <w:rsid w:val="23B7BADC"/>
    <w:rsid w:val="23C9C72B"/>
    <w:rsid w:val="23E18F94"/>
    <w:rsid w:val="23E74FC3"/>
    <w:rsid w:val="23E98177"/>
    <w:rsid w:val="23F6A36A"/>
    <w:rsid w:val="23FFDA3C"/>
    <w:rsid w:val="240F185E"/>
    <w:rsid w:val="242F482D"/>
    <w:rsid w:val="24373031"/>
    <w:rsid w:val="244DD68F"/>
    <w:rsid w:val="244F12B2"/>
    <w:rsid w:val="246ED160"/>
    <w:rsid w:val="2479F412"/>
    <w:rsid w:val="247B8C19"/>
    <w:rsid w:val="2483E694"/>
    <w:rsid w:val="248672F9"/>
    <w:rsid w:val="2495BB23"/>
    <w:rsid w:val="24A7AB15"/>
    <w:rsid w:val="24AAE8BF"/>
    <w:rsid w:val="24D473A3"/>
    <w:rsid w:val="252B111A"/>
    <w:rsid w:val="253BBC73"/>
    <w:rsid w:val="254E42DE"/>
    <w:rsid w:val="25679576"/>
    <w:rsid w:val="25775B85"/>
    <w:rsid w:val="25B6A5E6"/>
    <w:rsid w:val="25D45FA2"/>
    <w:rsid w:val="25F0904D"/>
    <w:rsid w:val="260372E6"/>
    <w:rsid w:val="26072E33"/>
    <w:rsid w:val="2620C1BC"/>
    <w:rsid w:val="263A74CA"/>
    <w:rsid w:val="26417251"/>
    <w:rsid w:val="265791E6"/>
    <w:rsid w:val="265B100B"/>
    <w:rsid w:val="265EBF3F"/>
    <w:rsid w:val="267A3A70"/>
    <w:rsid w:val="2684BC2D"/>
    <w:rsid w:val="269C4FA2"/>
    <w:rsid w:val="269F82D5"/>
    <w:rsid w:val="26A20943"/>
    <w:rsid w:val="26BEA27A"/>
    <w:rsid w:val="26CAF1A5"/>
    <w:rsid w:val="26D01ECA"/>
    <w:rsid w:val="26E1165D"/>
    <w:rsid w:val="26EB704B"/>
    <w:rsid w:val="26EF7BDB"/>
    <w:rsid w:val="271E0973"/>
    <w:rsid w:val="2739D8ED"/>
    <w:rsid w:val="273AE629"/>
    <w:rsid w:val="273E45EC"/>
    <w:rsid w:val="2749A358"/>
    <w:rsid w:val="2761F134"/>
    <w:rsid w:val="27785989"/>
    <w:rsid w:val="2780A275"/>
    <w:rsid w:val="27846FE4"/>
    <w:rsid w:val="2797C93B"/>
    <w:rsid w:val="27A22568"/>
    <w:rsid w:val="27B84AAA"/>
    <w:rsid w:val="27C0FF9B"/>
    <w:rsid w:val="27C47AE8"/>
    <w:rsid w:val="27ED6515"/>
    <w:rsid w:val="27F2DA28"/>
    <w:rsid w:val="27F5E914"/>
    <w:rsid w:val="27F88741"/>
    <w:rsid w:val="2804FBAF"/>
    <w:rsid w:val="280D32C9"/>
    <w:rsid w:val="281C60F9"/>
    <w:rsid w:val="2828493F"/>
    <w:rsid w:val="28318786"/>
    <w:rsid w:val="283A12D6"/>
    <w:rsid w:val="28463798"/>
    <w:rsid w:val="2849AF1D"/>
    <w:rsid w:val="28560C16"/>
    <w:rsid w:val="28562F7F"/>
    <w:rsid w:val="285921BC"/>
    <w:rsid w:val="288EC3A7"/>
    <w:rsid w:val="289AFEBB"/>
    <w:rsid w:val="28AAE13F"/>
    <w:rsid w:val="28B2F2CE"/>
    <w:rsid w:val="28C2E0A8"/>
    <w:rsid w:val="28CD8642"/>
    <w:rsid w:val="28CEBE50"/>
    <w:rsid w:val="28EC7B10"/>
    <w:rsid w:val="29146FAB"/>
    <w:rsid w:val="2914C2F1"/>
    <w:rsid w:val="291555F6"/>
    <w:rsid w:val="2934231B"/>
    <w:rsid w:val="293D383E"/>
    <w:rsid w:val="296CEA2A"/>
    <w:rsid w:val="296D16E8"/>
    <w:rsid w:val="29750052"/>
    <w:rsid w:val="299C170E"/>
    <w:rsid w:val="29BD609A"/>
    <w:rsid w:val="29CBFFF5"/>
    <w:rsid w:val="29D93F0F"/>
    <w:rsid w:val="29E7A676"/>
    <w:rsid w:val="29E8946D"/>
    <w:rsid w:val="29ED2731"/>
    <w:rsid w:val="29F64675"/>
    <w:rsid w:val="29F8F64D"/>
    <w:rsid w:val="29FD0B04"/>
    <w:rsid w:val="2A1AA7EF"/>
    <w:rsid w:val="2A2B3B5E"/>
    <w:rsid w:val="2A3868AA"/>
    <w:rsid w:val="2A4AB465"/>
    <w:rsid w:val="2A506F89"/>
    <w:rsid w:val="2A889A61"/>
    <w:rsid w:val="2AB0C1C0"/>
    <w:rsid w:val="2AB10E8A"/>
    <w:rsid w:val="2AB33B6D"/>
    <w:rsid w:val="2AC3B014"/>
    <w:rsid w:val="2AC4353A"/>
    <w:rsid w:val="2ADC9D94"/>
    <w:rsid w:val="2AE5DDC5"/>
    <w:rsid w:val="2AFCF8FE"/>
    <w:rsid w:val="2B16A43E"/>
    <w:rsid w:val="2B17D671"/>
    <w:rsid w:val="2B26DE2A"/>
    <w:rsid w:val="2B3FE7A7"/>
    <w:rsid w:val="2B64D974"/>
    <w:rsid w:val="2B6F2959"/>
    <w:rsid w:val="2B75E2AC"/>
    <w:rsid w:val="2B7C2CBB"/>
    <w:rsid w:val="2B7D44CB"/>
    <w:rsid w:val="2BA0B14D"/>
    <w:rsid w:val="2BB7DF0C"/>
    <w:rsid w:val="2BF00774"/>
    <w:rsid w:val="2C0D8DCE"/>
    <w:rsid w:val="2C0FAC3B"/>
    <w:rsid w:val="2C1868BB"/>
    <w:rsid w:val="2C3F11CB"/>
    <w:rsid w:val="2C48C357"/>
    <w:rsid w:val="2C5E81B1"/>
    <w:rsid w:val="2C601676"/>
    <w:rsid w:val="2C653AB7"/>
    <w:rsid w:val="2C68F139"/>
    <w:rsid w:val="2C814C70"/>
    <w:rsid w:val="2C83AF46"/>
    <w:rsid w:val="2CB7E948"/>
    <w:rsid w:val="2CC0A7EC"/>
    <w:rsid w:val="2CD345E6"/>
    <w:rsid w:val="2CE099AF"/>
    <w:rsid w:val="2CF4B4D6"/>
    <w:rsid w:val="2D1C9A6B"/>
    <w:rsid w:val="2D30EEA8"/>
    <w:rsid w:val="2D7386B8"/>
    <w:rsid w:val="2D782CF0"/>
    <w:rsid w:val="2D888C0C"/>
    <w:rsid w:val="2D909D0F"/>
    <w:rsid w:val="2DBD0835"/>
    <w:rsid w:val="2DC17C1E"/>
    <w:rsid w:val="2DC1CB10"/>
    <w:rsid w:val="2DC1D681"/>
    <w:rsid w:val="2DD86982"/>
    <w:rsid w:val="2DE4DAFC"/>
    <w:rsid w:val="2DE98FC6"/>
    <w:rsid w:val="2DEE40F3"/>
    <w:rsid w:val="2DF7E816"/>
    <w:rsid w:val="2DFBE130"/>
    <w:rsid w:val="2E0E674A"/>
    <w:rsid w:val="2E12B545"/>
    <w:rsid w:val="2E388EE7"/>
    <w:rsid w:val="2E38EA3C"/>
    <w:rsid w:val="2E49D616"/>
    <w:rsid w:val="2E8FAEED"/>
    <w:rsid w:val="2E9A9F6E"/>
    <w:rsid w:val="2E9E04DC"/>
    <w:rsid w:val="2EADD716"/>
    <w:rsid w:val="2EB1B286"/>
    <w:rsid w:val="2EB678D9"/>
    <w:rsid w:val="2ECF5656"/>
    <w:rsid w:val="2EE16622"/>
    <w:rsid w:val="2EE39932"/>
    <w:rsid w:val="2EE3B578"/>
    <w:rsid w:val="2F2C14AC"/>
    <w:rsid w:val="2F2FA841"/>
    <w:rsid w:val="2F31375E"/>
    <w:rsid w:val="2F340AD0"/>
    <w:rsid w:val="2F3AE919"/>
    <w:rsid w:val="2F3CFBDF"/>
    <w:rsid w:val="2F678470"/>
    <w:rsid w:val="2F7D3F87"/>
    <w:rsid w:val="2F9C632C"/>
    <w:rsid w:val="2FA2967B"/>
    <w:rsid w:val="2FBA4DC4"/>
    <w:rsid w:val="2FCB3FEE"/>
    <w:rsid w:val="2FE1B2B5"/>
    <w:rsid w:val="30085444"/>
    <w:rsid w:val="30156FF8"/>
    <w:rsid w:val="3019AFD9"/>
    <w:rsid w:val="303DCC69"/>
    <w:rsid w:val="30504E86"/>
    <w:rsid w:val="305C99B6"/>
    <w:rsid w:val="3062848D"/>
    <w:rsid w:val="30645420"/>
    <w:rsid w:val="306A9853"/>
    <w:rsid w:val="306D4516"/>
    <w:rsid w:val="308D28C1"/>
    <w:rsid w:val="309D8464"/>
    <w:rsid w:val="30C06BFA"/>
    <w:rsid w:val="30D544A6"/>
    <w:rsid w:val="30E65FBC"/>
    <w:rsid w:val="30ECA590"/>
    <w:rsid w:val="30FEFB02"/>
    <w:rsid w:val="3121A89B"/>
    <w:rsid w:val="3127AE56"/>
    <w:rsid w:val="3145B750"/>
    <w:rsid w:val="316571E3"/>
    <w:rsid w:val="31679E5B"/>
    <w:rsid w:val="317979E3"/>
    <w:rsid w:val="31845666"/>
    <w:rsid w:val="31988BE4"/>
    <w:rsid w:val="319AC709"/>
    <w:rsid w:val="31A94785"/>
    <w:rsid w:val="31B2F352"/>
    <w:rsid w:val="31BA7994"/>
    <w:rsid w:val="31CB6DC1"/>
    <w:rsid w:val="31D34899"/>
    <w:rsid w:val="31F4EDD3"/>
    <w:rsid w:val="320CD431"/>
    <w:rsid w:val="3216D445"/>
    <w:rsid w:val="322EF084"/>
    <w:rsid w:val="32450E1C"/>
    <w:rsid w:val="324BB7E9"/>
    <w:rsid w:val="32763A22"/>
    <w:rsid w:val="329CA4CD"/>
    <w:rsid w:val="32B24B76"/>
    <w:rsid w:val="32C668D5"/>
    <w:rsid w:val="32CF1449"/>
    <w:rsid w:val="32DA405D"/>
    <w:rsid w:val="32DCA07C"/>
    <w:rsid w:val="32F850EC"/>
    <w:rsid w:val="32F87C02"/>
    <w:rsid w:val="3306D5A0"/>
    <w:rsid w:val="330CC3E9"/>
    <w:rsid w:val="33175A3C"/>
    <w:rsid w:val="332E82AB"/>
    <w:rsid w:val="334771C6"/>
    <w:rsid w:val="33490F01"/>
    <w:rsid w:val="334F4461"/>
    <w:rsid w:val="3359865E"/>
    <w:rsid w:val="335ECC2A"/>
    <w:rsid w:val="3362D4B1"/>
    <w:rsid w:val="3375A9D5"/>
    <w:rsid w:val="338CB751"/>
    <w:rsid w:val="3392EC61"/>
    <w:rsid w:val="33990BE8"/>
    <w:rsid w:val="3399CA15"/>
    <w:rsid w:val="339F7071"/>
    <w:rsid w:val="33A7D94E"/>
    <w:rsid w:val="33BC0901"/>
    <w:rsid w:val="33BF2EE1"/>
    <w:rsid w:val="33EFBF20"/>
    <w:rsid w:val="3405B586"/>
    <w:rsid w:val="340FD2ED"/>
    <w:rsid w:val="3411BE4E"/>
    <w:rsid w:val="3449164F"/>
    <w:rsid w:val="344E6776"/>
    <w:rsid w:val="345F40E4"/>
    <w:rsid w:val="34611DF9"/>
    <w:rsid w:val="34736A2F"/>
    <w:rsid w:val="347A7D65"/>
    <w:rsid w:val="34A32E26"/>
    <w:rsid w:val="34B34F45"/>
    <w:rsid w:val="34BDE63F"/>
    <w:rsid w:val="34D3BCBE"/>
    <w:rsid w:val="35057F71"/>
    <w:rsid w:val="350722EF"/>
    <w:rsid w:val="350AEA0D"/>
    <w:rsid w:val="35220265"/>
    <w:rsid w:val="35331258"/>
    <w:rsid w:val="353D8B44"/>
    <w:rsid w:val="354F9D0E"/>
    <w:rsid w:val="357522A5"/>
    <w:rsid w:val="357C1270"/>
    <w:rsid w:val="3584650C"/>
    <w:rsid w:val="3591814B"/>
    <w:rsid w:val="3594932B"/>
    <w:rsid w:val="35A6F643"/>
    <w:rsid w:val="35AB4C10"/>
    <w:rsid w:val="35D17D62"/>
    <w:rsid w:val="35FF2933"/>
    <w:rsid w:val="360C245A"/>
    <w:rsid w:val="360C8054"/>
    <w:rsid w:val="360CA691"/>
    <w:rsid w:val="361C3D33"/>
    <w:rsid w:val="363000BD"/>
    <w:rsid w:val="36419436"/>
    <w:rsid w:val="368A6C47"/>
    <w:rsid w:val="36945C50"/>
    <w:rsid w:val="369535F0"/>
    <w:rsid w:val="369FFE18"/>
    <w:rsid w:val="36A03644"/>
    <w:rsid w:val="36A6BB3B"/>
    <w:rsid w:val="36A82FDD"/>
    <w:rsid w:val="36B3773A"/>
    <w:rsid w:val="36B82153"/>
    <w:rsid w:val="36B9A0A9"/>
    <w:rsid w:val="36C81B79"/>
    <w:rsid w:val="36DD666E"/>
    <w:rsid w:val="36F15FCD"/>
    <w:rsid w:val="36F79803"/>
    <w:rsid w:val="370A92E1"/>
    <w:rsid w:val="3732D783"/>
    <w:rsid w:val="373D3A67"/>
    <w:rsid w:val="374175C0"/>
    <w:rsid w:val="37460933"/>
    <w:rsid w:val="374FFFBB"/>
    <w:rsid w:val="37533E09"/>
    <w:rsid w:val="3774EC47"/>
    <w:rsid w:val="37A48882"/>
    <w:rsid w:val="37C777CF"/>
    <w:rsid w:val="37EA65BB"/>
    <w:rsid w:val="37F1124C"/>
    <w:rsid w:val="381D800A"/>
    <w:rsid w:val="383C2C37"/>
    <w:rsid w:val="383ECF97"/>
    <w:rsid w:val="385DC67E"/>
    <w:rsid w:val="3865FFA7"/>
    <w:rsid w:val="3877B017"/>
    <w:rsid w:val="3878E2B8"/>
    <w:rsid w:val="387E360D"/>
    <w:rsid w:val="389E0186"/>
    <w:rsid w:val="38A29826"/>
    <w:rsid w:val="38AB453C"/>
    <w:rsid w:val="38B3DE0D"/>
    <w:rsid w:val="38C66877"/>
    <w:rsid w:val="38D50C4F"/>
    <w:rsid w:val="38DD2960"/>
    <w:rsid w:val="38E1922F"/>
    <w:rsid w:val="38E5B8BA"/>
    <w:rsid w:val="38EC0E30"/>
    <w:rsid w:val="38FEDE7B"/>
    <w:rsid w:val="39039A10"/>
    <w:rsid w:val="39144683"/>
    <w:rsid w:val="392489C1"/>
    <w:rsid w:val="392AF98C"/>
    <w:rsid w:val="3943D91E"/>
    <w:rsid w:val="3949DCD6"/>
    <w:rsid w:val="3966EA2E"/>
    <w:rsid w:val="397A3779"/>
    <w:rsid w:val="399C1A48"/>
    <w:rsid w:val="39AE0948"/>
    <w:rsid w:val="39AF0332"/>
    <w:rsid w:val="39E82620"/>
    <w:rsid w:val="39EEC9AC"/>
    <w:rsid w:val="39F22A9B"/>
    <w:rsid w:val="3A00C024"/>
    <w:rsid w:val="3A0B94A7"/>
    <w:rsid w:val="3A114684"/>
    <w:rsid w:val="3A1DEEE5"/>
    <w:rsid w:val="3A27BD7B"/>
    <w:rsid w:val="3A35D407"/>
    <w:rsid w:val="3A395379"/>
    <w:rsid w:val="3A41F6D3"/>
    <w:rsid w:val="3A475E4F"/>
    <w:rsid w:val="3A695D9A"/>
    <w:rsid w:val="3AA31EF4"/>
    <w:rsid w:val="3AA4B7AA"/>
    <w:rsid w:val="3AB797BA"/>
    <w:rsid w:val="3ADAE7C6"/>
    <w:rsid w:val="3AE140EC"/>
    <w:rsid w:val="3B0D6057"/>
    <w:rsid w:val="3B18397F"/>
    <w:rsid w:val="3B186AE1"/>
    <w:rsid w:val="3B194DAE"/>
    <w:rsid w:val="3B301FD7"/>
    <w:rsid w:val="3B32E210"/>
    <w:rsid w:val="3B3C9F57"/>
    <w:rsid w:val="3B44E17E"/>
    <w:rsid w:val="3B4F8488"/>
    <w:rsid w:val="3B5957EF"/>
    <w:rsid w:val="3B5CCDF9"/>
    <w:rsid w:val="3B83924A"/>
    <w:rsid w:val="3B8D83FE"/>
    <w:rsid w:val="3B8F2E8C"/>
    <w:rsid w:val="3B95720F"/>
    <w:rsid w:val="3B99E9A0"/>
    <w:rsid w:val="3BAB46D0"/>
    <w:rsid w:val="3BC1FF84"/>
    <w:rsid w:val="3BC40E47"/>
    <w:rsid w:val="3BC9D251"/>
    <w:rsid w:val="3BEA19F3"/>
    <w:rsid w:val="3BF0EDCF"/>
    <w:rsid w:val="3BFF6897"/>
    <w:rsid w:val="3C1B6516"/>
    <w:rsid w:val="3C1C0F50"/>
    <w:rsid w:val="3C2EA608"/>
    <w:rsid w:val="3C35D285"/>
    <w:rsid w:val="3C3FB61D"/>
    <w:rsid w:val="3C421CFA"/>
    <w:rsid w:val="3C579E93"/>
    <w:rsid w:val="3C8CD711"/>
    <w:rsid w:val="3C925AC9"/>
    <w:rsid w:val="3C9B63CC"/>
    <w:rsid w:val="3CB6B0C6"/>
    <w:rsid w:val="3CBDAD45"/>
    <w:rsid w:val="3CC896AB"/>
    <w:rsid w:val="3CE2C1CD"/>
    <w:rsid w:val="3CECF274"/>
    <w:rsid w:val="3D169990"/>
    <w:rsid w:val="3D22E51F"/>
    <w:rsid w:val="3D39E11C"/>
    <w:rsid w:val="3D7A7227"/>
    <w:rsid w:val="3D9726C2"/>
    <w:rsid w:val="3D9DB520"/>
    <w:rsid w:val="3DA48BEC"/>
    <w:rsid w:val="3DA99641"/>
    <w:rsid w:val="3DC58899"/>
    <w:rsid w:val="3DC6D0C7"/>
    <w:rsid w:val="3DE5F784"/>
    <w:rsid w:val="3DFED4BA"/>
    <w:rsid w:val="3DFF1870"/>
    <w:rsid w:val="3E03870D"/>
    <w:rsid w:val="3E090210"/>
    <w:rsid w:val="3E31D56E"/>
    <w:rsid w:val="3E3C522D"/>
    <w:rsid w:val="3E68AC90"/>
    <w:rsid w:val="3E71A8AA"/>
    <w:rsid w:val="3E89FA31"/>
    <w:rsid w:val="3E9F97E1"/>
    <w:rsid w:val="3ECF25D6"/>
    <w:rsid w:val="3ED13181"/>
    <w:rsid w:val="3EE2D808"/>
    <w:rsid w:val="3EF11A02"/>
    <w:rsid w:val="3EF4CE37"/>
    <w:rsid w:val="3EF81569"/>
    <w:rsid w:val="3F01BD8D"/>
    <w:rsid w:val="3F0F21DA"/>
    <w:rsid w:val="3F290351"/>
    <w:rsid w:val="3F2CF198"/>
    <w:rsid w:val="3F4E2B56"/>
    <w:rsid w:val="3F501F34"/>
    <w:rsid w:val="3F5696E4"/>
    <w:rsid w:val="3F5C82F6"/>
    <w:rsid w:val="3F7B1ED2"/>
    <w:rsid w:val="3F8409DF"/>
    <w:rsid w:val="3F984C92"/>
    <w:rsid w:val="3F9C750C"/>
    <w:rsid w:val="3FB43795"/>
    <w:rsid w:val="3FB6AF55"/>
    <w:rsid w:val="3FC231FD"/>
    <w:rsid w:val="3FDB3B3E"/>
    <w:rsid w:val="3FE1CECC"/>
    <w:rsid w:val="3FE9E315"/>
    <w:rsid w:val="3FF1E060"/>
    <w:rsid w:val="40011B67"/>
    <w:rsid w:val="40071818"/>
    <w:rsid w:val="40096913"/>
    <w:rsid w:val="401FD341"/>
    <w:rsid w:val="40273B4F"/>
    <w:rsid w:val="40287786"/>
    <w:rsid w:val="40300960"/>
    <w:rsid w:val="40630EA0"/>
    <w:rsid w:val="4069321C"/>
    <w:rsid w:val="406EECC5"/>
    <w:rsid w:val="4092F723"/>
    <w:rsid w:val="4097BB58"/>
    <w:rsid w:val="40A45FBC"/>
    <w:rsid w:val="40B03DE7"/>
    <w:rsid w:val="40B567DF"/>
    <w:rsid w:val="40DC07F7"/>
    <w:rsid w:val="40E09F1C"/>
    <w:rsid w:val="40E87EA5"/>
    <w:rsid w:val="40F44D42"/>
    <w:rsid w:val="40F8CF80"/>
    <w:rsid w:val="4100793E"/>
    <w:rsid w:val="411270A8"/>
    <w:rsid w:val="412F9612"/>
    <w:rsid w:val="4131A0A2"/>
    <w:rsid w:val="4132BA17"/>
    <w:rsid w:val="4157AFAB"/>
    <w:rsid w:val="4163677E"/>
    <w:rsid w:val="41726D6F"/>
    <w:rsid w:val="4177266C"/>
    <w:rsid w:val="418A3BBC"/>
    <w:rsid w:val="41AD1BCE"/>
    <w:rsid w:val="41B0B9D4"/>
    <w:rsid w:val="41CC8ED5"/>
    <w:rsid w:val="41D17933"/>
    <w:rsid w:val="41D5CF46"/>
    <w:rsid w:val="4222CBC8"/>
    <w:rsid w:val="42513DEC"/>
    <w:rsid w:val="427B32B1"/>
    <w:rsid w:val="428E5B74"/>
    <w:rsid w:val="4291440C"/>
    <w:rsid w:val="42A36611"/>
    <w:rsid w:val="42B0FAA7"/>
    <w:rsid w:val="42B5EFD1"/>
    <w:rsid w:val="42C733AB"/>
    <w:rsid w:val="42D21D9F"/>
    <w:rsid w:val="42DF245F"/>
    <w:rsid w:val="42F62333"/>
    <w:rsid w:val="43231B12"/>
    <w:rsid w:val="4325B0D1"/>
    <w:rsid w:val="433531C9"/>
    <w:rsid w:val="43382A92"/>
    <w:rsid w:val="43422A17"/>
    <w:rsid w:val="43479BDD"/>
    <w:rsid w:val="4351E8C3"/>
    <w:rsid w:val="436AE7D7"/>
    <w:rsid w:val="436FBD58"/>
    <w:rsid w:val="43891159"/>
    <w:rsid w:val="4391B241"/>
    <w:rsid w:val="43BE6C92"/>
    <w:rsid w:val="43CB241A"/>
    <w:rsid w:val="43D9C9F8"/>
    <w:rsid w:val="440CC3E2"/>
    <w:rsid w:val="4424E302"/>
    <w:rsid w:val="44609A81"/>
    <w:rsid w:val="44BD81E4"/>
    <w:rsid w:val="44C7E49C"/>
    <w:rsid w:val="44E81C79"/>
    <w:rsid w:val="44F2EFD2"/>
    <w:rsid w:val="4502738D"/>
    <w:rsid w:val="45126171"/>
    <w:rsid w:val="4517020C"/>
    <w:rsid w:val="4519E67C"/>
    <w:rsid w:val="4527706D"/>
    <w:rsid w:val="4533E8F0"/>
    <w:rsid w:val="4541AEBA"/>
    <w:rsid w:val="45629203"/>
    <w:rsid w:val="4589D3AF"/>
    <w:rsid w:val="459AA716"/>
    <w:rsid w:val="459E0493"/>
    <w:rsid w:val="45A69EB1"/>
    <w:rsid w:val="45ACB84C"/>
    <w:rsid w:val="45B34AF5"/>
    <w:rsid w:val="45BEE813"/>
    <w:rsid w:val="45BEFD88"/>
    <w:rsid w:val="45FF8B77"/>
    <w:rsid w:val="460254F0"/>
    <w:rsid w:val="4621C066"/>
    <w:rsid w:val="46305B69"/>
    <w:rsid w:val="46337E7D"/>
    <w:rsid w:val="46411E8A"/>
    <w:rsid w:val="4655B802"/>
    <w:rsid w:val="46772033"/>
    <w:rsid w:val="467C06E9"/>
    <w:rsid w:val="46876F0F"/>
    <w:rsid w:val="4690B510"/>
    <w:rsid w:val="4693A221"/>
    <w:rsid w:val="46BA0398"/>
    <w:rsid w:val="46BBBEB4"/>
    <w:rsid w:val="46CF1053"/>
    <w:rsid w:val="46E886BC"/>
    <w:rsid w:val="46FA7E39"/>
    <w:rsid w:val="470D58EB"/>
    <w:rsid w:val="470E4850"/>
    <w:rsid w:val="4716C66B"/>
    <w:rsid w:val="47253156"/>
    <w:rsid w:val="47404EEB"/>
    <w:rsid w:val="4742A1E2"/>
    <w:rsid w:val="476DF5A2"/>
    <w:rsid w:val="477B40CC"/>
    <w:rsid w:val="478E849C"/>
    <w:rsid w:val="478F38A8"/>
    <w:rsid w:val="47A3127C"/>
    <w:rsid w:val="47B61405"/>
    <w:rsid w:val="47C47225"/>
    <w:rsid w:val="47C91D76"/>
    <w:rsid w:val="47D6E9D9"/>
    <w:rsid w:val="47DB5B9E"/>
    <w:rsid w:val="47DCB620"/>
    <w:rsid w:val="47E7F1EB"/>
    <w:rsid w:val="47ECF1C2"/>
    <w:rsid w:val="47EFF74A"/>
    <w:rsid w:val="47F1FE55"/>
    <w:rsid w:val="47F8D8F9"/>
    <w:rsid w:val="4815002B"/>
    <w:rsid w:val="482BF738"/>
    <w:rsid w:val="48486E5E"/>
    <w:rsid w:val="4858CCE5"/>
    <w:rsid w:val="4865216B"/>
    <w:rsid w:val="48776F48"/>
    <w:rsid w:val="487E0FF8"/>
    <w:rsid w:val="48875B96"/>
    <w:rsid w:val="4893B0C9"/>
    <w:rsid w:val="48AD2629"/>
    <w:rsid w:val="48B053D2"/>
    <w:rsid w:val="48C79898"/>
    <w:rsid w:val="48CA4AD4"/>
    <w:rsid w:val="48CC8958"/>
    <w:rsid w:val="48D54E56"/>
    <w:rsid w:val="48DA70B4"/>
    <w:rsid w:val="48E4CC7E"/>
    <w:rsid w:val="49180FA2"/>
    <w:rsid w:val="49271821"/>
    <w:rsid w:val="493F3467"/>
    <w:rsid w:val="49437573"/>
    <w:rsid w:val="4949569B"/>
    <w:rsid w:val="494AD20C"/>
    <w:rsid w:val="494E4299"/>
    <w:rsid w:val="49571A02"/>
    <w:rsid w:val="4960B80E"/>
    <w:rsid w:val="496DB506"/>
    <w:rsid w:val="497BB4D6"/>
    <w:rsid w:val="498DC0ED"/>
    <w:rsid w:val="4994FEE6"/>
    <w:rsid w:val="49A8EB46"/>
    <w:rsid w:val="49D1924D"/>
    <w:rsid w:val="49EF40A0"/>
    <w:rsid w:val="49F05B34"/>
    <w:rsid w:val="4A0502A7"/>
    <w:rsid w:val="4A0CB332"/>
    <w:rsid w:val="4A163748"/>
    <w:rsid w:val="4A17A644"/>
    <w:rsid w:val="4A36E869"/>
    <w:rsid w:val="4A51C8B3"/>
    <w:rsid w:val="4A64E10A"/>
    <w:rsid w:val="4A797C3D"/>
    <w:rsid w:val="4AB1E1BF"/>
    <w:rsid w:val="4AB516C3"/>
    <w:rsid w:val="4AB593A1"/>
    <w:rsid w:val="4ADFDD8C"/>
    <w:rsid w:val="4AEA07E4"/>
    <w:rsid w:val="4AECC7CE"/>
    <w:rsid w:val="4B34E31A"/>
    <w:rsid w:val="4B3ACD84"/>
    <w:rsid w:val="4B50B78C"/>
    <w:rsid w:val="4B5DA1A6"/>
    <w:rsid w:val="4BB9AE07"/>
    <w:rsid w:val="4BC96E0A"/>
    <w:rsid w:val="4BCC77A2"/>
    <w:rsid w:val="4BD53D8E"/>
    <w:rsid w:val="4BD9969B"/>
    <w:rsid w:val="4BEACA9B"/>
    <w:rsid w:val="4BF7BAA9"/>
    <w:rsid w:val="4C0A60D2"/>
    <w:rsid w:val="4C156BC6"/>
    <w:rsid w:val="4C171499"/>
    <w:rsid w:val="4C35E11F"/>
    <w:rsid w:val="4C560F25"/>
    <w:rsid w:val="4C56E523"/>
    <w:rsid w:val="4C77268A"/>
    <w:rsid w:val="4C8B5DDF"/>
    <w:rsid w:val="4C8BB744"/>
    <w:rsid w:val="4C8DD17E"/>
    <w:rsid w:val="4C8F3D26"/>
    <w:rsid w:val="4C8F6CCA"/>
    <w:rsid w:val="4CB10874"/>
    <w:rsid w:val="4CB9CAFB"/>
    <w:rsid w:val="4CD96468"/>
    <w:rsid w:val="4CD97600"/>
    <w:rsid w:val="4CE99754"/>
    <w:rsid w:val="4CFBF4C8"/>
    <w:rsid w:val="4D1D8F42"/>
    <w:rsid w:val="4D1D9579"/>
    <w:rsid w:val="4D29FE6A"/>
    <w:rsid w:val="4D2F2B7E"/>
    <w:rsid w:val="4D3E673D"/>
    <w:rsid w:val="4D47E71D"/>
    <w:rsid w:val="4D4D306A"/>
    <w:rsid w:val="4D4EFD83"/>
    <w:rsid w:val="4D4FF037"/>
    <w:rsid w:val="4D995E5D"/>
    <w:rsid w:val="4D9BE250"/>
    <w:rsid w:val="4DB0374F"/>
    <w:rsid w:val="4DEA6ED9"/>
    <w:rsid w:val="4DFDD129"/>
    <w:rsid w:val="4E14F620"/>
    <w:rsid w:val="4E2F8CA3"/>
    <w:rsid w:val="4E3E7569"/>
    <w:rsid w:val="4E59C387"/>
    <w:rsid w:val="4E77145E"/>
    <w:rsid w:val="4E9C5C50"/>
    <w:rsid w:val="4E9D33DB"/>
    <w:rsid w:val="4EAACA6D"/>
    <w:rsid w:val="4EAD3377"/>
    <w:rsid w:val="4EB53669"/>
    <w:rsid w:val="4ECC5659"/>
    <w:rsid w:val="4ED6917D"/>
    <w:rsid w:val="4EE99E51"/>
    <w:rsid w:val="4F0B5E7C"/>
    <w:rsid w:val="4F0FC556"/>
    <w:rsid w:val="4F12C5F2"/>
    <w:rsid w:val="4F27FA63"/>
    <w:rsid w:val="4F43B192"/>
    <w:rsid w:val="4F572C39"/>
    <w:rsid w:val="4F661E7D"/>
    <w:rsid w:val="4F69CC59"/>
    <w:rsid w:val="4F6F2C0E"/>
    <w:rsid w:val="4FB28B19"/>
    <w:rsid w:val="4FC032CB"/>
    <w:rsid w:val="4FDEB5A1"/>
    <w:rsid w:val="4FE28CEE"/>
    <w:rsid w:val="4FEAF785"/>
    <w:rsid w:val="50036CF9"/>
    <w:rsid w:val="500B6EB3"/>
    <w:rsid w:val="500FB907"/>
    <w:rsid w:val="5011EBD8"/>
    <w:rsid w:val="501435D0"/>
    <w:rsid w:val="5015B52C"/>
    <w:rsid w:val="506390BA"/>
    <w:rsid w:val="50720037"/>
    <w:rsid w:val="50790DAC"/>
    <w:rsid w:val="509226ED"/>
    <w:rsid w:val="50A9E617"/>
    <w:rsid w:val="50C0EACE"/>
    <w:rsid w:val="50E1ED09"/>
    <w:rsid w:val="50E4DF2E"/>
    <w:rsid w:val="5104C5D0"/>
    <w:rsid w:val="510CB050"/>
    <w:rsid w:val="511DBD96"/>
    <w:rsid w:val="5138CC55"/>
    <w:rsid w:val="5149F5B3"/>
    <w:rsid w:val="5165F494"/>
    <w:rsid w:val="5166C2CF"/>
    <w:rsid w:val="517BB338"/>
    <w:rsid w:val="519B9D44"/>
    <w:rsid w:val="51A8A9A5"/>
    <w:rsid w:val="51AA403F"/>
    <w:rsid w:val="51BA8AD9"/>
    <w:rsid w:val="51BC11E0"/>
    <w:rsid w:val="51DA1931"/>
    <w:rsid w:val="51DF004C"/>
    <w:rsid w:val="51EBB9E9"/>
    <w:rsid w:val="51F5A674"/>
    <w:rsid w:val="52128760"/>
    <w:rsid w:val="521DA10E"/>
    <w:rsid w:val="522A8D23"/>
    <w:rsid w:val="52329143"/>
    <w:rsid w:val="5236BA18"/>
    <w:rsid w:val="52427666"/>
    <w:rsid w:val="525E3580"/>
    <w:rsid w:val="526D6BB6"/>
    <w:rsid w:val="527014EA"/>
    <w:rsid w:val="5272C535"/>
    <w:rsid w:val="5274AD25"/>
    <w:rsid w:val="52785808"/>
    <w:rsid w:val="527CB2F8"/>
    <w:rsid w:val="527DE2D7"/>
    <w:rsid w:val="5286A898"/>
    <w:rsid w:val="52B7BEB6"/>
    <w:rsid w:val="52CD155E"/>
    <w:rsid w:val="53070938"/>
    <w:rsid w:val="531904CA"/>
    <w:rsid w:val="53197602"/>
    <w:rsid w:val="53258A82"/>
    <w:rsid w:val="532C6C20"/>
    <w:rsid w:val="533C99AE"/>
    <w:rsid w:val="53407C08"/>
    <w:rsid w:val="536D597C"/>
    <w:rsid w:val="5388BC84"/>
    <w:rsid w:val="53CA788A"/>
    <w:rsid w:val="53F532E0"/>
    <w:rsid w:val="5405279C"/>
    <w:rsid w:val="5418DADC"/>
    <w:rsid w:val="541F1E79"/>
    <w:rsid w:val="5443AAE6"/>
    <w:rsid w:val="544407A8"/>
    <w:rsid w:val="54534481"/>
    <w:rsid w:val="546AAC1F"/>
    <w:rsid w:val="547C7693"/>
    <w:rsid w:val="54A4FD9A"/>
    <w:rsid w:val="54AC8855"/>
    <w:rsid w:val="54B258A1"/>
    <w:rsid w:val="54B51D38"/>
    <w:rsid w:val="54B62460"/>
    <w:rsid w:val="54C2B2D9"/>
    <w:rsid w:val="54D23E11"/>
    <w:rsid w:val="54D804E2"/>
    <w:rsid w:val="54E88ACF"/>
    <w:rsid w:val="54F83BD1"/>
    <w:rsid w:val="54F8758E"/>
    <w:rsid w:val="54FB00D7"/>
    <w:rsid w:val="54FB0D94"/>
    <w:rsid w:val="55076E67"/>
    <w:rsid w:val="551AC51D"/>
    <w:rsid w:val="551F32C2"/>
    <w:rsid w:val="5546349F"/>
    <w:rsid w:val="555E1C59"/>
    <w:rsid w:val="5561DE49"/>
    <w:rsid w:val="5564591F"/>
    <w:rsid w:val="556E9B38"/>
    <w:rsid w:val="556FA1EC"/>
    <w:rsid w:val="556FF609"/>
    <w:rsid w:val="557B3C45"/>
    <w:rsid w:val="55992CA2"/>
    <w:rsid w:val="559A9AC8"/>
    <w:rsid w:val="55ACE38E"/>
    <w:rsid w:val="55B62F58"/>
    <w:rsid w:val="55CD6579"/>
    <w:rsid w:val="55EBA8EE"/>
    <w:rsid w:val="56092C38"/>
    <w:rsid w:val="562D1C17"/>
    <w:rsid w:val="562EC50A"/>
    <w:rsid w:val="56350543"/>
    <w:rsid w:val="5637A81A"/>
    <w:rsid w:val="5659D9F2"/>
    <w:rsid w:val="566C7C0E"/>
    <w:rsid w:val="56837F38"/>
    <w:rsid w:val="56846EB1"/>
    <w:rsid w:val="56A50FA2"/>
    <w:rsid w:val="56A7C32B"/>
    <w:rsid w:val="56AD1F7F"/>
    <w:rsid w:val="56B92F9E"/>
    <w:rsid w:val="56BA1577"/>
    <w:rsid w:val="56BAE545"/>
    <w:rsid w:val="56BBBF00"/>
    <w:rsid w:val="56C26B88"/>
    <w:rsid w:val="56C906C5"/>
    <w:rsid w:val="56D05158"/>
    <w:rsid w:val="56DC10E2"/>
    <w:rsid w:val="56E7FFEA"/>
    <w:rsid w:val="56EA9C76"/>
    <w:rsid w:val="56F224F7"/>
    <w:rsid w:val="56FFAE89"/>
    <w:rsid w:val="5718810A"/>
    <w:rsid w:val="5718ABFE"/>
    <w:rsid w:val="57425261"/>
    <w:rsid w:val="574B9879"/>
    <w:rsid w:val="57609146"/>
    <w:rsid w:val="57731A56"/>
    <w:rsid w:val="57A1852E"/>
    <w:rsid w:val="57A5F076"/>
    <w:rsid w:val="57A92FD7"/>
    <w:rsid w:val="57A94B3F"/>
    <w:rsid w:val="57BA0783"/>
    <w:rsid w:val="57BCBB50"/>
    <w:rsid w:val="57C416FD"/>
    <w:rsid w:val="57CF31C0"/>
    <w:rsid w:val="57E11F72"/>
    <w:rsid w:val="57EA7192"/>
    <w:rsid w:val="57F5C8D6"/>
    <w:rsid w:val="57FB6899"/>
    <w:rsid w:val="5812F528"/>
    <w:rsid w:val="58135BDC"/>
    <w:rsid w:val="581B1736"/>
    <w:rsid w:val="5822D5EE"/>
    <w:rsid w:val="5824D4C7"/>
    <w:rsid w:val="582AC545"/>
    <w:rsid w:val="58426079"/>
    <w:rsid w:val="5845E541"/>
    <w:rsid w:val="5846DDD5"/>
    <w:rsid w:val="585C9A7A"/>
    <w:rsid w:val="58601E71"/>
    <w:rsid w:val="588002CA"/>
    <w:rsid w:val="588C5A83"/>
    <w:rsid w:val="5890ABC1"/>
    <w:rsid w:val="589DFB8C"/>
    <w:rsid w:val="58A55876"/>
    <w:rsid w:val="58B35708"/>
    <w:rsid w:val="58B82DFB"/>
    <w:rsid w:val="58DF60DA"/>
    <w:rsid w:val="58E95A73"/>
    <w:rsid w:val="58FBBC90"/>
    <w:rsid w:val="592201E5"/>
    <w:rsid w:val="593801A7"/>
    <w:rsid w:val="594A9983"/>
    <w:rsid w:val="59538E10"/>
    <w:rsid w:val="597410AF"/>
    <w:rsid w:val="597F83D5"/>
    <w:rsid w:val="59A5C919"/>
    <w:rsid w:val="59A8550B"/>
    <w:rsid w:val="59B1D745"/>
    <w:rsid w:val="59C6540C"/>
    <w:rsid w:val="59C71D54"/>
    <w:rsid w:val="59E8C817"/>
    <w:rsid w:val="59ECA37E"/>
    <w:rsid w:val="5A04A36F"/>
    <w:rsid w:val="5A1AB816"/>
    <w:rsid w:val="5A2347ED"/>
    <w:rsid w:val="5A59E080"/>
    <w:rsid w:val="5A69EB3A"/>
    <w:rsid w:val="5A74C703"/>
    <w:rsid w:val="5A78CAD7"/>
    <w:rsid w:val="5A819650"/>
    <w:rsid w:val="5AA41D69"/>
    <w:rsid w:val="5AA5383E"/>
    <w:rsid w:val="5AAD34BB"/>
    <w:rsid w:val="5AAF7A8D"/>
    <w:rsid w:val="5ACEECD6"/>
    <w:rsid w:val="5AF20F85"/>
    <w:rsid w:val="5B147A2E"/>
    <w:rsid w:val="5B25C855"/>
    <w:rsid w:val="5B32C373"/>
    <w:rsid w:val="5B3EA818"/>
    <w:rsid w:val="5B520398"/>
    <w:rsid w:val="5B580479"/>
    <w:rsid w:val="5B65C179"/>
    <w:rsid w:val="5B6E3576"/>
    <w:rsid w:val="5B6E8380"/>
    <w:rsid w:val="5B8B7CFD"/>
    <w:rsid w:val="5B8F5B6C"/>
    <w:rsid w:val="5B94A01D"/>
    <w:rsid w:val="5BA4732C"/>
    <w:rsid w:val="5BBB2DD6"/>
    <w:rsid w:val="5BC40FA2"/>
    <w:rsid w:val="5BFAB13B"/>
    <w:rsid w:val="5BFED4AD"/>
    <w:rsid w:val="5C15748A"/>
    <w:rsid w:val="5C25115A"/>
    <w:rsid w:val="5C256D7B"/>
    <w:rsid w:val="5C35767E"/>
    <w:rsid w:val="5C4CF1BE"/>
    <w:rsid w:val="5C500AE9"/>
    <w:rsid w:val="5C8142AD"/>
    <w:rsid w:val="5C873CED"/>
    <w:rsid w:val="5C895BDC"/>
    <w:rsid w:val="5CA4A8F0"/>
    <w:rsid w:val="5CD447B7"/>
    <w:rsid w:val="5CFD9990"/>
    <w:rsid w:val="5D077C98"/>
    <w:rsid w:val="5D085514"/>
    <w:rsid w:val="5D1DDBC1"/>
    <w:rsid w:val="5D3294B6"/>
    <w:rsid w:val="5D3F13A4"/>
    <w:rsid w:val="5D4C17E1"/>
    <w:rsid w:val="5D4F3854"/>
    <w:rsid w:val="5D507F0F"/>
    <w:rsid w:val="5D53519F"/>
    <w:rsid w:val="5D6E67F5"/>
    <w:rsid w:val="5D7DCC3E"/>
    <w:rsid w:val="5D83C922"/>
    <w:rsid w:val="5DA831B8"/>
    <w:rsid w:val="5DADBE46"/>
    <w:rsid w:val="5DBBDF52"/>
    <w:rsid w:val="5DBE9BA1"/>
    <w:rsid w:val="5DC30275"/>
    <w:rsid w:val="5DCC8ABD"/>
    <w:rsid w:val="5DCE9229"/>
    <w:rsid w:val="5DDC6445"/>
    <w:rsid w:val="5DF6EA74"/>
    <w:rsid w:val="5DFFED53"/>
    <w:rsid w:val="5E0427E7"/>
    <w:rsid w:val="5E101222"/>
    <w:rsid w:val="5E1216D6"/>
    <w:rsid w:val="5E183E56"/>
    <w:rsid w:val="5E22708A"/>
    <w:rsid w:val="5E340F68"/>
    <w:rsid w:val="5E57E0BC"/>
    <w:rsid w:val="5E67B6D3"/>
    <w:rsid w:val="5E6A1582"/>
    <w:rsid w:val="5E736A96"/>
    <w:rsid w:val="5E73C2A9"/>
    <w:rsid w:val="5E9829BD"/>
    <w:rsid w:val="5EA0C5AE"/>
    <w:rsid w:val="5EBF8E2B"/>
    <w:rsid w:val="5EC45D4B"/>
    <w:rsid w:val="5EE6235F"/>
    <w:rsid w:val="5EE799EC"/>
    <w:rsid w:val="5EF48458"/>
    <w:rsid w:val="5F1E238E"/>
    <w:rsid w:val="5F1FBAE8"/>
    <w:rsid w:val="5F24D903"/>
    <w:rsid w:val="5F279087"/>
    <w:rsid w:val="5F3DFF3F"/>
    <w:rsid w:val="5F4AFA81"/>
    <w:rsid w:val="5F66FFAC"/>
    <w:rsid w:val="5F68E643"/>
    <w:rsid w:val="5F6F6556"/>
    <w:rsid w:val="5F9C7F8A"/>
    <w:rsid w:val="5FA94F87"/>
    <w:rsid w:val="5FB205AE"/>
    <w:rsid w:val="5FC883CF"/>
    <w:rsid w:val="5FD1F4A1"/>
    <w:rsid w:val="5FF03C40"/>
    <w:rsid w:val="5FF9AF10"/>
    <w:rsid w:val="600DA5E5"/>
    <w:rsid w:val="6018DC31"/>
    <w:rsid w:val="60466C34"/>
    <w:rsid w:val="6061A5EF"/>
    <w:rsid w:val="60644182"/>
    <w:rsid w:val="607ADDA1"/>
    <w:rsid w:val="608D058F"/>
    <w:rsid w:val="609284A0"/>
    <w:rsid w:val="60A57C52"/>
    <w:rsid w:val="60BB9736"/>
    <w:rsid w:val="60DA0BDF"/>
    <w:rsid w:val="60E7A2E6"/>
    <w:rsid w:val="60EB7715"/>
    <w:rsid w:val="60F6E9C8"/>
    <w:rsid w:val="60FF469B"/>
    <w:rsid w:val="610A4686"/>
    <w:rsid w:val="610B394A"/>
    <w:rsid w:val="611B7382"/>
    <w:rsid w:val="6127A4E3"/>
    <w:rsid w:val="612B3F13"/>
    <w:rsid w:val="6143F0A5"/>
    <w:rsid w:val="61591716"/>
    <w:rsid w:val="616370A7"/>
    <w:rsid w:val="616BC1B4"/>
    <w:rsid w:val="61865443"/>
    <w:rsid w:val="6187EC33"/>
    <w:rsid w:val="6191E194"/>
    <w:rsid w:val="61A0C88E"/>
    <w:rsid w:val="61B429FB"/>
    <w:rsid w:val="61C50C98"/>
    <w:rsid w:val="61D226AE"/>
    <w:rsid w:val="61EDC800"/>
    <w:rsid w:val="62043DB7"/>
    <w:rsid w:val="620789FC"/>
    <w:rsid w:val="62188875"/>
    <w:rsid w:val="621A577F"/>
    <w:rsid w:val="6228E27D"/>
    <w:rsid w:val="6233ABE6"/>
    <w:rsid w:val="62481821"/>
    <w:rsid w:val="624BCD2C"/>
    <w:rsid w:val="62521ADB"/>
    <w:rsid w:val="625EDDC5"/>
    <w:rsid w:val="6275B3FB"/>
    <w:rsid w:val="6277B35C"/>
    <w:rsid w:val="6283764B"/>
    <w:rsid w:val="6293F43F"/>
    <w:rsid w:val="62A32AD9"/>
    <w:rsid w:val="62AA6FA4"/>
    <w:rsid w:val="62DF5D72"/>
    <w:rsid w:val="62E2E3B4"/>
    <w:rsid w:val="62F98753"/>
    <w:rsid w:val="62FF2F34"/>
    <w:rsid w:val="631F2BD1"/>
    <w:rsid w:val="6328347A"/>
    <w:rsid w:val="632848E9"/>
    <w:rsid w:val="632FB9BB"/>
    <w:rsid w:val="634727C5"/>
    <w:rsid w:val="636BF0C3"/>
    <w:rsid w:val="637FFDAD"/>
    <w:rsid w:val="639CABEC"/>
    <w:rsid w:val="63A20551"/>
    <w:rsid w:val="63AF681A"/>
    <w:rsid w:val="63B928BE"/>
    <w:rsid w:val="63C9DABF"/>
    <w:rsid w:val="63E8C79D"/>
    <w:rsid w:val="63EE9CC3"/>
    <w:rsid w:val="63EFE3FD"/>
    <w:rsid w:val="64074FDA"/>
    <w:rsid w:val="640DF18E"/>
    <w:rsid w:val="641D2124"/>
    <w:rsid w:val="64462103"/>
    <w:rsid w:val="6470215F"/>
    <w:rsid w:val="64729C8E"/>
    <w:rsid w:val="64B4AB44"/>
    <w:rsid w:val="65022F99"/>
    <w:rsid w:val="650DD4CB"/>
    <w:rsid w:val="6521FC9B"/>
    <w:rsid w:val="6537D2F9"/>
    <w:rsid w:val="653D8BA2"/>
    <w:rsid w:val="653DC416"/>
    <w:rsid w:val="653FD7D4"/>
    <w:rsid w:val="6543B6A1"/>
    <w:rsid w:val="65460713"/>
    <w:rsid w:val="6549253B"/>
    <w:rsid w:val="6554CECB"/>
    <w:rsid w:val="655A8CD9"/>
    <w:rsid w:val="656D77D3"/>
    <w:rsid w:val="659BF44F"/>
    <w:rsid w:val="65A1F83A"/>
    <w:rsid w:val="65B2D363"/>
    <w:rsid w:val="65B522A8"/>
    <w:rsid w:val="65C3237F"/>
    <w:rsid w:val="65E05B96"/>
    <w:rsid w:val="65EB9ACC"/>
    <w:rsid w:val="6600BAE8"/>
    <w:rsid w:val="6605BCF8"/>
    <w:rsid w:val="6608C74B"/>
    <w:rsid w:val="6608D7F0"/>
    <w:rsid w:val="66253DDF"/>
    <w:rsid w:val="6626647F"/>
    <w:rsid w:val="6631A865"/>
    <w:rsid w:val="663224A2"/>
    <w:rsid w:val="663DE716"/>
    <w:rsid w:val="6643AEEB"/>
    <w:rsid w:val="66603563"/>
    <w:rsid w:val="668158FE"/>
    <w:rsid w:val="6681CDA2"/>
    <w:rsid w:val="668B07B0"/>
    <w:rsid w:val="668ED358"/>
    <w:rsid w:val="66BB6115"/>
    <w:rsid w:val="66D3D49C"/>
    <w:rsid w:val="66D45214"/>
    <w:rsid w:val="66F13D56"/>
    <w:rsid w:val="66FEAA11"/>
    <w:rsid w:val="670367DD"/>
    <w:rsid w:val="67149675"/>
    <w:rsid w:val="6725AC59"/>
    <w:rsid w:val="67507AC8"/>
    <w:rsid w:val="6752787B"/>
    <w:rsid w:val="675B8663"/>
    <w:rsid w:val="6773AFC6"/>
    <w:rsid w:val="6789BE7A"/>
    <w:rsid w:val="679B1A3C"/>
    <w:rsid w:val="67A1FC5B"/>
    <w:rsid w:val="67E1E0E8"/>
    <w:rsid w:val="681282B5"/>
    <w:rsid w:val="68410965"/>
    <w:rsid w:val="6844F3CD"/>
    <w:rsid w:val="68564078"/>
    <w:rsid w:val="685E5C7A"/>
    <w:rsid w:val="6860AEAC"/>
    <w:rsid w:val="6863B885"/>
    <w:rsid w:val="687617E6"/>
    <w:rsid w:val="687F03D1"/>
    <w:rsid w:val="6887D5F2"/>
    <w:rsid w:val="688F247E"/>
    <w:rsid w:val="6891584F"/>
    <w:rsid w:val="68B56BC0"/>
    <w:rsid w:val="68E1CA43"/>
    <w:rsid w:val="690BBEC6"/>
    <w:rsid w:val="69158881"/>
    <w:rsid w:val="69184624"/>
    <w:rsid w:val="69294294"/>
    <w:rsid w:val="69375CE2"/>
    <w:rsid w:val="6943FF10"/>
    <w:rsid w:val="694A5B91"/>
    <w:rsid w:val="696D5CCF"/>
    <w:rsid w:val="6971C3BF"/>
    <w:rsid w:val="697B39E2"/>
    <w:rsid w:val="6997EDB1"/>
    <w:rsid w:val="69B18A9B"/>
    <w:rsid w:val="69B9265D"/>
    <w:rsid w:val="69D1B885"/>
    <w:rsid w:val="69EB233D"/>
    <w:rsid w:val="6A0B7B83"/>
    <w:rsid w:val="6A0DA9DA"/>
    <w:rsid w:val="6A1011D6"/>
    <w:rsid w:val="6A2486DC"/>
    <w:rsid w:val="6A26BFAC"/>
    <w:rsid w:val="6A2D1FD6"/>
    <w:rsid w:val="6A621229"/>
    <w:rsid w:val="6A6C20B6"/>
    <w:rsid w:val="6A8D106F"/>
    <w:rsid w:val="6AAB2BB9"/>
    <w:rsid w:val="6AB5C4DB"/>
    <w:rsid w:val="6AC24EF7"/>
    <w:rsid w:val="6AC870D1"/>
    <w:rsid w:val="6B2A04AE"/>
    <w:rsid w:val="6B2B695D"/>
    <w:rsid w:val="6B2C9B4A"/>
    <w:rsid w:val="6B317D31"/>
    <w:rsid w:val="6B33758B"/>
    <w:rsid w:val="6B40BC6C"/>
    <w:rsid w:val="6B4A8D14"/>
    <w:rsid w:val="6B79CAEA"/>
    <w:rsid w:val="6B9F1F40"/>
    <w:rsid w:val="6BA1A303"/>
    <w:rsid w:val="6BB7AEA5"/>
    <w:rsid w:val="6BC164CB"/>
    <w:rsid w:val="6BC5DD3C"/>
    <w:rsid w:val="6BC84A3D"/>
    <w:rsid w:val="6BDA3EA6"/>
    <w:rsid w:val="6BEE3B58"/>
    <w:rsid w:val="6BF59DFA"/>
    <w:rsid w:val="6BFA622A"/>
    <w:rsid w:val="6BFFDB45"/>
    <w:rsid w:val="6C0EE64B"/>
    <w:rsid w:val="6C172911"/>
    <w:rsid w:val="6C27D90E"/>
    <w:rsid w:val="6C2F64A6"/>
    <w:rsid w:val="6C304089"/>
    <w:rsid w:val="6C637B69"/>
    <w:rsid w:val="6C7FFD14"/>
    <w:rsid w:val="6C881BE0"/>
    <w:rsid w:val="6C8FDF4C"/>
    <w:rsid w:val="6C913BAF"/>
    <w:rsid w:val="6C984CDD"/>
    <w:rsid w:val="6C9ED57E"/>
    <w:rsid w:val="6CBBC3F3"/>
    <w:rsid w:val="6CBD83F3"/>
    <w:rsid w:val="6CCB96E6"/>
    <w:rsid w:val="6CE8AB82"/>
    <w:rsid w:val="6CEBA6A4"/>
    <w:rsid w:val="6D110683"/>
    <w:rsid w:val="6D121D39"/>
    <w:rsid w:val="6D1775CF"/>
    <w:rsid w:val="6D1CE26D"/>
    <w:rsid w:val="6D24C996"/>
    <w:rsid w:val="6D2F196B"/>
    <w:rsid w:val="6D34C8AB"/>
    <w:rsid w:val="6D36EED9"/>
    <w:rsid w:val="6D395E57"/>
    <w:rsid w:val="6D4AF0E9"/>
    <w:rsid w:val="6D696CFB"/>
    <w:rsid w:val="6D76C5AD"/>
    <w:rsid w:val="6D796AEC"/>
    <w:rsid w:val="6D80707C"/>
    <w:rsid w:val="6DA7AC18"/>
    <w:rsid w:val="6DAAECC9"/>
    <w:rsid w:val="6DB1189E"/>
    <w:rsid w:val="6DBE59C5"/>
    <w:rsid w:val="6DC46763"/>
    <w:rsid w:val="6DC5C899"/>
    <w:rsid w:val="6DC92B6B"/>
    <w:rsid w:val="6DCA6AED"/>
    <w:rsid w:val="6DCDE633"/>
    <w:rsid w:val="6DCE8518"/>
    <w:rsid w:val="6DD92F63"/>
    <w:rsid w:val="6DF005A9"/>
    <w:rsid w:val="6E12CD1A"/>
    <w:rsid w:val="6E620ADF"/>
    <w:rsid w:val="6E72FADA"/>
    <w:rsid w:val="6E7F927B"/>
    <w:rsid w:val="6E997707"/>
    <w:rsid w:val="6EAC9BFA"/>
    <w:rsid w:val="6ECA20B1"/>
    <w:rsid w:val="6ECE5642"/>
    <w:rsid w:val="6EF385DD"/>
    <w:rsid w:val="6EFC8114"/>
    <w:rsid w:val="6EFF5A46"/>
    <w:rsid w:val="6F0E4230"/>
    <w:rsid w:val="6F1B02EC"/>
    <w:rsid w:val="6F1BA807"/>
    <w:rsid w:val="6F28BAC3"/>
    <w:rsid w:val="6F3DA2F2"/>
    <w:rsid w:val="6F55683E"/>
    <w:rsid w:val="6F76B5B0"/>
    <w:rsid w:val="6F8B2D52"/>
    <w:rsid w:val="6F941796"/>
    <w:rsid w:val="6F95F9FB"/>
    <w:rsid w:val="6FE03F62"/>
    <w:rsid w:val="6FE677D9"/>
    <w:rsid w:val="700876E3"/>
    <w:rsid w:val="701A3592"/>
    <w:rsid w:val="702C4DFC"/>
    <w:rsid w:val="702CC2B8"/>
    <w:rsid w:val="702E0257"/>
    <w:rsid w:val="70603021"/>
    <w:rsid w:val="709F8E4E"/>
    <w:rsid w:val="70A78B3E"/>
    <w:rsid w:val="70D5B6EB"/>
    <w:rsid w:val="70D76782"/>
    <w:rsid w:val="70F17E5C"/>
    <w:rsid w:val="71111C5D"/>
    <w:rsid w:val="713ADAB7"/>
    <w:rsid w:val="713D8C08"/>
    <w:rsid w:val="7141E7C0"/>
    <w:rsid w:val="715C1B80"/>
    <w:rsid w:val="7178076A"/>
    <w:rsid w:val="71B384C4"/>
    <w:rsid w:val="71BEE450"/>
    <w:rsid w:val="71C1E473"/>
    <w:rsid w:val="71D7C136"/>
    <w:rsid w:val="71DB6586"/>
    <w:rsid w:val="71DBA10D"/>
    <w:rsid w:val="71EA68B2"/>
    <w:rsid w:val="7211923C"/>
    <w:rsid w:val="722668F4"/>
    <w:rsid w:val="725FBC77"/>
    <w:rsid w:val="72797585"/>
    <w:rsid w:val="72881BC6"/>
    <w:rsid w:val="72A51719"/>
    <w:rsid w:val="72A5C60D"/>
    <w:rsid w:val="72C64D63"/>
    <w:rsid w:val="72D1A403"/>
    <w:rsid w:val="72DF3132"/>
    <w:rsid w:val="72DFABE6"/>
    <w:rsid w:val="72E90F5A"/>
    <w:rsid w:val="7310A035"/>
    <w:rsid w:val="731A7196"/>
    <w:rsid w:val="731EF249"/>
    <w:rsid w:val="732F4D3C"/>
    <w:rsid w:val="735B790B"/>
    <w:rsid w:val="736D1CF1"/>
    <w:rsid w:val="7375434C"/>
    <w:rsid w:val="7386D097"/>
    <w:rsid w:val="73889F78"/>
    <w:rsid w:val="73B97571"/>
    <w:rsid w:val="73D8C669"/>
    <w:rsid w:val="73E7CD06"/>
    <w:rsid w:val="73E85D96"/>
    <w:rsid w:val="73FC9F1D"/>
    <w:rsid w:val="73FDF0BF"/>
    <w:rsid w:val="74036DCD"/>
    <w:rsid w:val="7422A3BF"/>
    <w:rsid w:val="742701BE"/>
    <w:rsid w:val="744A71C1"/>
    <w:rsid w:val="7455F242"/>
    <w:rsid w:val="74780525"/>
    <w:rsid w:val="74BE3E13"/>
    <w:rsid w:val="74BF5A87"/>
    <w:rsid w:val="74CA4806"/>
    <w:rsid w:val="74CCE364"/>
    <w:rsid w:val="74D19A16"/>
    <w:rsid w:val="74D20515"/>
    <w:rsid w:val="74EC4D9A"/>
    <w:rsid w:val="74FAABF3"/>
    <w:rsid w:val="750D49BF"/>
    <w:rsid w:val="7516D9FF"/>
    <w:rsid w:val="752495A5"/>
    <w:rsid w:val="752ED3C3"/>
    <w:rsid w:val="753051B2"/>
    <w:rsid w:val="753E3510"/>
    <w:rsid w:val="755243F4"/>
    <w:rsid w:val="756C58A5"/>
    <w:rsid w:val="7573F660"/>
    <w:rsid w:val="7575A715"/>
    <w:rsid w:val="758BD53A"/>
    <w:rsid w:val="758D3566"/>
    <w:rsid w:val="75AC93C6"/>
    <w:rsid w:val="75B76526"/>
    <w:rsid w:val="75BB7D13"/>
    <w:rsid w:val="75C020A8"/>
    <w:rsid w:val="75C3E0CC"/>
    <w:rsid w:val="75DB7C19"/>
    <w:rsid w:val="75DBF659"/>
    <w:rsid w:val="75FE82FF"/>
    <w:rsid w:val="760E4478"/>
    <w:rsid w:val="7636EB81"/>
    <w:rsid w:val="76448B46"/>
    <w:rsid w:val="764734B3"/>
    <w:rsid w:val="764CB530"/>
    <w:rsid w:val="768477B4"/>
    <w:rsid w:val="768583E2"/>
    <w:rsid w:val="768EB8D3"/>
    <w:rsid w:val="7690B7E7"/>
    <w:rsid w:val="76CB1E55"/>
    <w:rsid w:val="76E8E53E"/>
    <w:rsid w:val="76F41122"/>
    <w:rsid w:val="772F069C"/>
    <w:rsid w:val="773209A5"/>
    <w:rsid w:val="77386C58"/>
    <w:rsid w:val="7742164A"/>
    <w:rsid w:val="7744DC3F"/>
    <w:rsid w:val="77633EA5"/>
    <w:rsid w:val="7781B477"/>
    <w:rsid w:val="778FED7C"/>
    <w:rsid w:val="77A71633"/>
    <w:rsid w:val="77C2C33E"/>
    <w:rsid w:val="77DE71B7"/>
    <w:rsid w:val="77F70348"/>
    <w:rsid w:val="78083307"/>
    <w:rsid w:val="781D833F"/>
    <w:rsid w:val="7822E1E3"/>
    <w:rsid w:val="783189D5"/>
    <w:rsid w:val="78327CA6"/>
    <w:rsid w:val="7845A238"/>
    <w:rsid w:val="784E3B4C"/>
    <w:rsid w:val="789FBEE5"/>
    <w:rsid w:val="78BB3993"/>
    <w:rsid w:val="78C5497F"/>
    <w:rsid w:val="78F8A93B"/>
    <w:rsid w:val="7901A696"/>
    <w:rsid w:val="790C45C9"/>
    <w:rsid w:val="791F837C"/>
    <w:rsid w:val="7926A977"/>
    <w:rsid w:val="792B31C3"/>
    <w:rsid w:val="792FF405"/>
    <w:rsid w:val="79306EE8"/>
    <w:rsid w:val="793878CA"/>
    <w:rsid w:val="79576235"/>
    <w:rsid w:val="796325C7"/>
    <w:rsid w:val="7968FF12"/>
    <w:rsid w:val="79745ED2"/>
    <w:rsid w:val="797A23FE"/>
    <w:rsid w:val="7996EB94"/>
    <w:rsid w:val="799B0B6E"/>
    <w:rsid w:val="79ADAD31"/>
    <w:rsid w:val="79B65E31"/>
    <w:rsid w:val="79C165A7"/>
    <w:rsid w:val="79DEAF52"/>
    <w:rsid w:val="7A00B4FB"/>
    <w:rsid w:val="7A0384F5"/>
    <w:rsid w:val="7A10B5F3"/>
    <w:rsid w:val="7A10F255"/>
    <w:rsid w:val="7A187871"/>
    <w:rsid w:val="7A1ABF79"/>
    <w:rsid w:val="7A1B2916"/>
    <w:rsid w:val="7A26E80E"/>
    <w:rsid w:val="7A2B5A1A"/>
    <w:rsid w:val="7A40B81D"/>
    <w:rsid w:val="7A5AEA24"/>
    <w:rsid w:val="7A863039"/>
    <w:rsid w:val="7AC67048"/>
    <w:rsid w:val="7AC79D5A"/>
    <w:rsid w:val="7ACF5FF0"/>
    <w:rsid w:val="7AE3F050"/>
    <w:rsid w:val="7AF5C1FC"/>
    <w:rsid w:val="7B277151"/>
    <w:rsid w:val="7B286133"/>
    <w:rsid w:val="7B3923B1"/>
    <w:rsid w:val="7B424791"/>
    <w:rsid w:val="7B4FCFB9"/>
    <w:rsid w:val="7B71D075"/>
    <w:rsid w:val="7B781069"/>
    <w:rsid w:val="7B88674E"/>
    <w:rsid w:val="7B9069AF"/>
    <w:rsid w:val="7B95B342"/>
    <w:rsid w:val="7BAAF99C"/>
    <w:rsid w:val="7BB2D1F5"/>
    <w:rsid w:val="7BB57B49"/>
    <w:rsid w:val="7BC2EA45"/>
    <w:rsid w:val="7BE6FFDF"/>
    <w:rsid w:val="7BF182E1"/>
    <w:rsid w:val="7BF657FD"/>
    <w:rsid w:val="7BFC7A84"/>
    <w:rsid w:val="7C01807D"/>
    <w:rsid w:val="7C100064"/>
    <w:rsid w:val="7C1D16A3"/>
    <w:rsid w:val="7C21FD05"/>
    <w:rsid w:val="7C2C05E1"/>
    <w:rsid w:val="7C5E3ED4"/>
    <w:rsid w:val="7C5EB2FD"/>
    <w:rsid w:val="7C637AAB"/>
    <w:rsid w:val="7C81E827"/>
    <w:rsid w:val="7C835245"/>
    <w:rsid w:val="7C859242"/>
    <w:rsid w:val="7C8ECF6D"/>
    <w:rsid w:val="7C91FBA6"/>
    <w:rsid w:val="7C97B055"/>
    <w:rsid w:val="7CA8B6CF"/>
    <w:rsid w:val="7CAA02D2"/>
    <w:rsid w:val="7CC58E80"/>
    <w:rsid w:val="7CD29F56"/>
    <w:rsid w:val="7CF44378"/>
    <w:rsid w:val="7D071CC8"/>
    <w:rsid w:val="7D344AFE"/>
    <w:rsid w:val="7D377917"/>
    <w:rsid w:val="7D46FC8F"/>
    <w:rsid w:val="7D47A6DA"/>
    <w:rsid w:val="7D713FCE"/>
    <w:rsid w:val="7D751391"/>
    <w:rsid w:val="7D8E213D"/>
    <w:rsid w:val="7D974F75"/>
    <w:rsid w:val="7DA54966"/>
    <w:rsid w:val="7DB6555B"/>
    <w:rsid w:val="7DBA9BC6"/>
    <w:rsid w:val="7DCBB21F"/>
    <w:rsid w:val="7DE20713"/>
    <w:rsid w:val="7DE88EA4"/>
    <w:rsid w:val="7DE99C70"/>
    <w:rsid w:val="7DFCDB84"/>
    <w:rsid w:val="7E0909B6"/>
    <w:rsid w:val="7E14A586"/>
    <w:rsid w:val="7E1EEA42"/>
    <w:rsid w:val="7E338CDA"/>
    <w:rsid w:val="7E35A7C7"/>
    <w:rsid w:val="7E43BA63"/>
    <w:rsid w:val="7E44127E"/>
    <w:rsid w:val="7E44A8DA"/>
    <w:rsid w:val="7E528A71"/>
    <w:rsid w:val="7E59AFA2"/>
    <w:rsid w:val="7E5DA9CC"/>
    <w:rsid w:val="7E6D04F8"/>
    <w:rsid w:val="7E70779B"/>
    <w:rsid w:val="7E77E7FC"/>
    <w:rsid w:val="7E9B43DA"/>
    <w:rsid w:val="7EA50158"/>
    <w:rsid w:val="7EB9B276"/>
    <w:rsid w:val="7EC8E735"/>
    <w:rsid w:val="7EDADB5C"/>
    <w:rsid w:val="7EE10052"/>
    <w:rsid w:val="7EF6F016"/>
    <w:rsid w:val="7F057A6B"/>
    <w:rsid w:val="7F069F49"/>
    <w:rsid w:val="7F0912B6"/>
    <w:rsid w:val="7F0E9115"/>
    <w:rsid w:val="7F167FDB"/>
    <w:rsid w:val="7F2CA467"/>
    <w:rsid w:val="7F387328"/>
    <w:rsid w:val="7F3AD925"/>
    <w:rsid w:val="7F3F33D0"/>
    <w:rsid w:val="7F65CD09"/>
    <w:rsid w:val="7F6D7265"/>
    <w:rsid w:val="7F8B6E5B"/>
    <w:rsid w:val="7F8E1F98"/>
    <w:rsid w:val="7F966EDA"/>
    <w:rsid w:val="7FA2094A"/>
    <w:rsid w:val="7FA41F22"/>
    <w:rsid w:val="7FAC1C8F"/>
    <w:rsid w:val="7FADB6CD"/>
    <w:rsid w:val="7FCAD533"/>
    <w:rsid w:val="7FCBAF15"/>
    <w:rsid w:val="7FCD41F7"/>
    <w:rsid w:val="7FD93CB9"/>
    <w:rsid w:val="7FD96D53"/>
    <w:rsid w:val="7FD9EA69"/>
    <w:rsid w:val="7FEF17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B2CEE"/>
  <w15:docId w15:val="{41C96A04-DD6C-4665-8DB0-F76C2A1A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C7F"/>
    <w:rPr>
      <w:rFonts w:asciiTheme="minorHAnsi" w:hAnsiTheme="minorHAnsi"/>
      <w:szCs w:val="24"/>
    </w:rPr>
  </w:style>
  <w:style w:type="paragraph" w:styleId="Heading1">
    <w:name w:val="heading 1"/>
    <w:next w:val="BodyTextFirstIndent"/>
    <w:link w:val="Heading1Char"/>
    <w:autoRedefine/>
    <w:qFormat/>
    <w:rsid w:val="00A90558"/>
    <w:pPr>
      <w:keepNext/>
      <w:numPr>
        <w:numId w:val="6"/>
      </w:numPr>
      <w:shd w:val="clear" w:color="auto" w:fill="1F497D" w:themeFill="text2"/>
      <w:spacing w:before="240" w:after="240"/>
      <w:ind w:left="540" w:hanging="540"/>
      <w:outlineLvl w:val="0"/>
    </w:pPr>
    <w:rPr>
      <w:rFonts w:ascii="Arial" w:hAnsi="Arial"/>
      <w:b/>
      <w:bCs/>
      <w:color w:val="FFFFFF" w:themeColor="background1"/>
      <w:sz w:val="28"/>
      <w:szCs w:val="24"/>
    </w:rPr>
  </w:style>
  <w:style w:type="paragraph" w:styleId="Heading2">
    <w:name w:val="heading 2"/>
    <w:next w:val="BodyTextFirstIndent"/>
    <w:link w:val="Heading2Char"/>
    <w:autoRedefine/>
    <w:qFormat/>
    <w:rsid w:val="001C7888"/>
    <w:pPr>
      <w:keepNext/>
      <w:spacing w:before="240" w:after="240"/>
      <w:outlineLvl w:val="1"/>
    </w:pPr>
    <w:rPr>
      <w:rFonts w:ascii="Arial" w:hAnsi="Arial"/>
      <w:b/>
      <w:bCs/>
      <w:color w:val="1F497D" w:themeColor="text2"/>
      <w:sz w:val="28"/>
      <w:szCs w:val="28"/>
    </w:rPr>
  </w:style>
  <w:style w:type="paragraph" w:styleId="Heading3">
    <w:name w:val="heading 3"/>
    <w:next w:val="BodyTextFirstIndent"/>
    <w:link w:val="Heading3Char"/>
    <w:qFormat/>
    <w:rsid w:val="00E87F12"/>
    <w:pPr>
      <w:spacing w:before="240" w:after="240"/>
      <w:outlineLvl w:val="2"/>
    </w:pPr>
    <w:rPr>
      <w:rFonts w:ascii="Arial" w:hAnsi="Arial" w:cs="Arial"/>
      <w:b/>
      <w:bCs/>
      <w:color w:val="4F6228" w:themeColor="accent3" w:themeShade="80"/>
      <w:sz w:val="26"/>
    </w:rPr>
  </w:style>
  <w:style w:type="paragraph" w:styleId="Heading4">
    <w:name w:val="heading 4"/>
    <w:next w:val="BodyTextFirstIndent"/>
    <w:link w:val="Heading4Char"/>
    <w:autoRedefine/>
    <w:uiPriority w:val="9"/>
    <w:qFormat/>
    <w:rsid w:val="00E30C2B"/>
    <w:pPr>
      <w:keepNext/>
      <w:spacing w:before="240" w:after="240"/>
      <w:outlineLvl w:val="3"/>
    </w:pPr>
    <w:rPr>
      <w:rFonts w:ascii="Arial" w:hAnsi="Arial" w:cs="Arial"/>
      <w:b/>
      <w:color w:val="E36C0A" w:themeColor="accent6" w:themeShade="BF"/>
      <w:sz w:val="24"/>
      <w:szCs w:val="32"/>
      <w:u w:val="single"/>
    </w:rPr>
  </w:style>
  <w:style w:type="paragraph" w:styleId="Heading5">
    <w:name w:val="heading 5"/>
    <w:next w:val="SourceCaption"/>
    <w:link w:val="Heading5Char"/>
    <w:autoRedefine/>
    <w:uiPriority w:val="9"/>
    <w:qFormat/>
    <w:rsid w:val="00E34A72"/>
    <w:pPr>
      <w:tabs>
        <w:tab w:val="left" w:pos="360"/>
      </w:tabs>
      <w:spacing w:before="240"/>
      <w:outlineLvl w:val="4"/>
    </w:pPr>
    <w:rPr>
      <w:rFonts w:ascii="Arial" w:hAnsi="Arial"/>
      <w:b/>
      <w:i/>
      <w:color w:val="1F497D"/>
      <w:sz w:val="24"/>
      <w:szCs w:val="24"/>
    </w:rPr>
  </w:style>
  <w:style w:type="paragraph" w:styleId="Heading6">
    <w:name w:val="heading 6"/>
    <w:next w:val="BodyTextFirstIndent"/>
    <w:link w:val="Heading6Char"/>
    <w:autoRedefine/>
    <w:uiPriority w:val="9"/>
    <w:qFormat/>
    <w:rsid w:val="0035766C"/>
    <w:pPr>
      <w:pageBreakBefore/>
      <w:numPr>
        <w:ilvl w:val="5"/>
        <w:numId w:val="6"/>
      </w:numPr>
      <w:shd w:val="clear" w:color="auto" w:fill="1F497D" w:themeFill="text2"/>
      <w:spacing w:before="240" w:after="240"/>
      <w:outlineLvl w:val="5"/>
    </w:pPr>
    <w:rPr>
      <w:rFonts w:asciiTheme="minorHAnsi" w:hAnsiTheme="minorHAnsi"/>
      <w:b/>
      <w:bCs/>
      <w:caps/>
      <w:color w:val="FFFFFF" w:themeColor="background1"/>
      <w:sz w:val="28"/>
      <w:szCs w:val="28"/>
    </w:rPr>
  </w:style>
  <w:style w:type="paragraph" w:styleId="Heading7">
    <w:name w:val="heading 7"/>
    <w:next w:val="BodyTextFirstIndent"/>
    <w:link w:val="Heading7Char"/>
    <w:uiPriority w:val="9"/>
    <w:qFormat/>
    <w:rsid w:val="008E429D"/>
    <w:pPr>
      <w:keepNext/>
      <w:numPr>
        <w:ilvl w:val="6"/>
        <w:numId w:val="4"/>
      </w:numPr>
      <w:spacing w:after="240"/>
      <w:outlineLvl w:val="6"/>
    </w:pPr>
    <w:rPr>
      <w:rFonts w:asciiTheme="minorHAnsi" w:hAnsiTheme="minorHAnsi" w:cs="Arial"/>
      <w:b/>
      <w:bCs/>
      <w:caps/>
      <w:sz w:val="24"/>
      <w:szCs w:val="24"/>
    </w:rPr>
  </w:style>
  <w:style w:type="paragraph" w:styleId="Heading8">
    <w:name w:val="heading 8"/>
    <w:next w:val="BodyTextFirstIndent"/>
    <w:link w:val="Heading8Char"/>
    <w:uiPriority w:val="9"/>
    <w:qFormat/>
    <w:rsid w:val="008E429D"/>
    <w:pPr>
      <w:numPr>
        <w:ilvl w:val="7"/>
        <w:numId w:val="4"/>
      </w:numPr>
      <w:jc w:val="center"/>
      <w:outlineLvl w:val="7"/>
    </w:pPr>
    <w:rPr>
      <w:rFonts w:asciiTheme="minorHAnsi" w:hAnsiTheme="minorHAnsi"/>
      <w:b/>
      <w:caps/>
      <w:sz w:val="28"/>
      <w:szCs w:val="24"/>
    </w:rPr>
  </w:style>
  <w:style w:type="paragraph" w:styleId="Heading9">
    <w:name w:val="heading 9"/>
    <w:next w:val="BodyTextFirstIndent"/>
    <w:link w:val="Heading9Char"/>
    <w:uiPriority w:val="9"/>
    <w:qFormat/>
    <w:rsid w:val="008E429D"/>
    <w:pPr>
      <w:numPr>
        <w:ilvl w:val="8"/>
        <w:numId w:val="4"/>
      </w:numPr>
      <w:spacing w:after="240"/>
      <w:outlineLvl w:val="8"/>
    </w:pPr>
    <w:rPr>
      <w:rFonts w:asciiTheme="minorHAnsi" w:hAnsiTheme="minorHAnsi"/>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
    <w:name w:val="Body Text First Indent"/>
    <w:basedOn w:val="BodyText"/>
    <w:link w:val="BodyTextFirstIndentChar"/>
    <w:autoRedefine/>
    <w:qFormat/>
    <w:rsid w:val="006D7DE6"/>
    <w:pPr>
      <w:spacing w:before="240" w:after="240"/>
    </w:pPr>
    <w:rPr>
      <w:rFonts w:ascii="Arial" w:eastAsiaTheme="majorEastAsia" w:hAnsi="Arial" w:cstheme="minorHAnsi"/>
      <w:sz w:val="24"/>
    </w:rPr>
  </w:style>
  <w:style w:type="paragraph" w:styleId="BodyText">
    <w:name w:val="Body Text"/>
    <w:basedOn w:val="Normal"/>
    <w:link w:val="BodyTextChar"/>
    <w:uiPriority w:val="99"/>
    <w:semiHidden/>
    <w:unhideWhenUsed/>
    <w:rsid w:val="00174757"/>
    <w:pPr>
      <w:spacing w:after="120"/>
    </w:pPr>
  </w:style>
  <w:style w:type="character" w:customStyle="1" w:styleId="BodyTextChar">
    <w:name w:val="Body Text Char"/>
    <w:basedOn w:val="DefaultParagraphFont"/>
    <w:link w:val="BodyText"/>
    <w:uiPriority w:val="99"/>
    <w:semiHidden/>
    <w:rsid w:val="00174757"/>
  </w:style>
  <w:style w:type="character" w:customStyle="1" w:styleId="BodyTextFirstIndentChar">
    <w:name w:val="Body Text First Indent Char"/>
    <w:basedOn w:val="BodyTextChar"/>
    <w:link w:val="BodyTextFirstIndent"/>
    <w:rsid w:val="006D7DE6"/>
    <w:rPr>
      <w:rFonts w:ascii="Arial" w:eastAsiaTheme="majorEastAsia" w:hAnsi="Arial" w:cstheme="minorHAnsi"/>
      <w:sz w:val="24"/>
      <w:szCs w:val="24"/>
    </w:rPr>
  </w:style>
  <w:style w:type="character" w:customStyle="1" w:styleId="Heading1Char">
    <w:name w:val="Heading 1 Char"/>
    <w:basedOn w:val="DefaultParagraphFont"/>
    <w:link w:val="Heading1"/>
    <w:rsid w:val="00A90558"/>
    <w:rPr>
      <w:rFonts w:ascii="Arial" w:hAnsi="Arial"/>
      <w:b/>
      <w:bCs/>
      <w:color w:val="FFFFFF" w:themeColor="background1"/>
      <w:sz w:val="28"/>
      <w:szCs w:val="24"/>
      <w:shd w:val="clear" w:color="auto" w:fill="1F497D" w:themeFill="text2"/>
    </w:rPr>
  </w:style>
  <w:style w:type="character" w:customStyle="1" w:styleId="Heading2Char">
    <w:name w:val="Heading 2 Char"/>
    <w:basedOn w:val="DefaultParagraphFont"/>
    <w:link w:val="Heading2"/>
    <w:rsid w:val="001C7888"/>
    <w:rPr>
      <w:rFonts w:ascii="Arial" w:hAnsi="Arial"/>
      <w:b/>
      <w:bCs/>
      <w:color w:val="1F497D" w:themeColor="text2"/>
      <w:sz w:val="28"/>
      <w:szCs w:val="28"/>
    </w:rPr>
  </w:style>
  <w:style w:type="character" w:customStyle="1" w:styleId="Heading3Char">
    <w:name w:val="Heading 3 Char"/>
    <w:basedOn w:val="DefaultParagraphFont"/>
    <w:link w:val="Heading3"/>
    <w:rsid w:val="00E87F12"/>
    <w:rPr>
      <w:rFonts w:ascii="Arial" w:hAnsi="Arial" w:cs="Arial"/>
      <w:b/>
      <w:bCs/>
      <w:color w:val="4F6228" w:themeColor="accent3" w:themeShade="80"/>
      <w:sz w:val="26"/>
    </w:rPr>
  </w:style>
  <w:style w:type="character" w:customStyle="1" w:styleId="Heading4Char">
    <w:name w:val="Heading 4 Char"/>
    <w:basedOn w:val="DefaultParagraphFont"/>
    <w:link w:val="Heading4"/>
    <w:uiPriority w:val="9"/>
    <w:rsid w:val="00E30C2B"/>
    <w:rPr>
      <w:rFonts w:ascii="Arial" w:hAnsi="Arial" w:cs="Arial"/>
      <w:b/>
      <w:color w:val="E36C0A" w:themeColor="accent6" w:themeShade="BF"/>
      <w:sz w:val="24"/>
      <w:szCs w:val="32"/>
      <w:u w:val="single"/>
    </w:rPr>
  </w:style>
  <w:style w:type="paragraph" w:customStyle="1" w:styleId="SourceCaption">
    <w:name w:val="Source Caption"/>
    <w:autoRedefine/>
    <w:rsid w:val="0023018C"/>
    <w:pPr>
      <w:spacing w:after="120"/>
      <w:contextualSpacing/>
      <w:jc w:val="center"/>
    </w:pPr>
    <w:rPr>
      <w:rFonts w:ascii="Arial" w:hAnsi="Arial"/>
      <w:i/>
    </w:rPr>
  </w:style>
  <w:style w:type="character" w:customStyle="1" w:styleId="Heading5Char">
    <w:name w:val="Heading 5 Char"/>
    <w:basedOn w:val="DefaultParagraphFont"/>
    <w:link w:val="Heading5"/>
    <w:uiPriority w:val="9"/>
    <w:rsid w:val="00E34A72"/>
    <w:rPr>
      <w:rFonts w:ascii="Arial" w:hAnsi="Arial"/>
      <w:b/>
      <w:i/>
      <w:color w:val="1F497D"/>
      <w:sz w:val="24"/>
      <w:szCs w:val="24"/>
    </w:rPr>
  </w:style>
  <w:style w:type="character" w:customStyle="1" w:styleId="Heading6Char">
    <w:name w:val="Heading 6 Char"/>
    <w:basedOn w:val="DefaultParagraphFont"/>
    <w:link w:val="Heading6"/>
    <w:uiPriority w:val="9"/>
    <w:rsid w:val="0035766C"/>
    <w:rPr>
      <w:rFonts w:asciiTheme="minorHAnsi" w:hAnsiTheme="minorHAnsi"/>
      <w:b/>
      <w:bCs/>
      <w:caps/>
      <w:color w:val="FFFFFF" w:themeColor="background1"/>
      <w:sz w:val="28"/>
      <w:szCs w:val="28"/>
      <w:shd w:val="clear" w:color="auto" w:fill="1F497D" w:themeFill="text2"/>
    </w:rPr>
  </w:style>
  <w:style w:type="character" w:customStyle="1" w:styleId="Heading7Char">
    <w:name w:val="Heading 7 Char"/>
    <w:basedOn w:val="DefaultParagraphFont"/>
    <w:link w:val="Heading7"/>
    <w:uiPriority w:val="9"/>
    <w:rsid w:val="00236F93"/>
    <w:rPr>
      <w:rFonts w:asciiTheme="minorHAnsi" w:hAnsiTheme="minorHAnsi" w:cs="Arial"/>
      <w:b/>
      <w:bCs/>
      <w:caps/>
      <w:sz w:val="24"/>
      <w:szCs w:val="24"/>
    </w:rPr>
  </w:style>
  <w:style w:type="character" w:customStyle="1" w:styleId="Heading8Char">
    <w:name w:val="Heading 8 Char"/>
    <w:basedOn w:val="DefaultParagraphFont"/>
    <w:link w:val="Heading8"/>
    <w:uiPriority w:val="9"/>
    <w:rsid w:val="00236F93"/>
    <w:rPr>
      <w:rFonts w:asciiTheme="minorHAnsi" w:hAnsiTheme="minorHAnsi"/>
      <w:b/>
      <w:caps/>
      <w:sz w:val="28"/>
      <w:szCs w:val="24"/>
    </w:rPr>
  </w:style>
  <w:style w:type="character" w:customStyle="1" w:styleId="Heading9Char">
    <w:name w:val="Heading 9 Char"/>
    <w:basedOn w:val="DefaultParagraphFont"/>
    <w:link w:val="Heading9"/>
    <w:uiPriority w:val="9"/>
    <w:rsid w:val="00236F93"/>
    <w:rPr>
      <w:rFonts w:asciiTheme="minorHAnsi" w:hAnsiTheme="minorHAnsi"/>
      <w:b/>
      <w:smallCaps/>
      <w:sz w:val="24"/>
      <w:szCs w:val="24"/>
    </w:rPr>
  </w:style>
  <w:style w:type="paragraph" w:styleId="Caption">
    <w:name w:val="caption"/>
    <w:basedOn w:val="Normal"/>
    <w:next w:val="Normal"/>
    <w:autoRedefine/>
    <w:uiPriority w:val="1"/>
    <w:qFormat/>
    <w:rsid w:val="00B30C96"/>
    <w:pPr>
      <w:keepNext/>
      <w:spacing w:after="240"/>
      <w:jc w:val="center"/>
    </w:pPr>
    <w:rPr>
      <w:rFonts w:ascii="Arial" w:hAnsi="Arial" w:cstheme="minorHAnsi"/>
      <w:b/>
      <w:color w:val="1F497D" w:themeColor="text2"/>
      <w:sz w:val="24"/>
    </w:rPr>
  </w:style>
  <w:style w:type="paragraph" w:styleId="ListBullet">
    <w:name w:val="List Bullet"/>
    <w:autoRedefine/>
    <w:qFormat/>
    <w:rsid w:val="008131EB"/>
    <w:pPr>
      <w:numPr>
        <w:numId w:val="5"/>
      </w:numPr>
      <w:spacing w:after="120"/>
      <w:ind w:left="720"/>
    </w:pPr>
    <w:rPr>
      <w:rFonts w:ascii="Arial" w:hAnsi="Arial"/>
      <w:sz w:val="24"/>
    </w:rPr>
  </w:style>
  <w:style w:type="paragraph" w:styleId="ListBullet2">
    <w:name w:val="List Bullet 2"/>
    <w:basedOn w:val="Normal"/>
    <w:autoRedefine/>
    <w:qFormat/>
    <w:rsid w:val="00F309A2"/>
    <w:pPr>
      <w:numPr>
        <w:numId w:val="1"/>
      </w:numPr>
      <w:spacing w:after="120"/>
    </w:pPr>
    <w:rPr>
      <w:rFonts w:ascii="Arial" w:hAnsi="Arial" w:cstheme="minorHAnsi"/>
      <w:sz w:val="24"/>
    </w:rPr>
  </w:style>
  <w:style w:type="paragraph" w:styleId="Title">
    <w:name w:val="Title"/>
    <w:link w:val="TitleChar"/>
    <w:rsid w:val="008E429D"/>
    <w:pPr>
      <w:spacing w:after="240"/>
      <w:jc w:val="center"/>
      <w:outlineLvl w:val="0"/>
    </w:pPr>
    <w:rPr>
      <w:rFonts w:asciiTheme="minorHAnsi" w:hAnsiTheme="minorHAnsi" w:cs="Arial"/>
      <w:b/>
      <w:bCs/>
      <w:caps/>
      <w:kern w:val="28"/>
      <w:sz w:val="28"/>
      <w:szCs w:val="32"/>
    </w:rPr>
  </w:style>
  <w:style w:type="character" w:customStyle="1" w:styleId="TitleChar">
    <w:name w:val="Title Char"/>
    <w:basedOn w:val="DefaultParagraphFont"/>
    <w:link w:val="Title"/>
    <w:rsid w:val="008E429D"/>
    <w:rPr>
      <w:rFonts w:asciiTheme="minorHAnsi" w:hAnsiTheme="minorHAnsi" w:cs="Arial"/>
      <w:b/>
      <w:bCs/>
      <w:caps/>
      <w:kern w:val="28"/>
      <w:sz w:val="28"/>
      <w:szCs w:val="32"/>
    </w:rPr>
  </w:style>
  <w:style w:type="paragraph" w:styleId="TOCHeading">
    <w:name w:val="TOC Heading"/>
    <w:basedOn w:val="Heading1"/>
    <w:next w:val="Normal"/>
    <w:uiPriority w:val="39"/>
    <w:unhideWhenUsed/>
    <w:qFormat/>
    <w:rsid w:val="00D265C5"/>
    <w:pPr>
      <w:keepLines/>
      <w:spacing w:after="0" w:line="276" w:lineRule="auto"/>
      <w:outlineLvl w:val="9"/>
    </w:pPr>
    <w:rPr>
      <w:rFonts w:asciiTheme="minorHAnsi" w:hAnsiTheme="minorHAnsi"/>
    </w:rPr>
  </w:style>
  <w:style w:type="paragraph" w:styleId="ListBullet3">
    <w:name w:val="List Bullet 3"/>
    <w:basedOn w:val="Normal"/>
    <w:uiPriority w:val="99"/>
    <w:unhideWhenUsed/>
    <w:rsid w:val="00C9260A"/>
    <w:pPr>
      <w:numPr>
        <w:numId w:val="2"/>
      </w:numPr>
      <w:spacing w:after="120"/>
    </w:pPr>
    <w:rPr>
      <w:rFonts w:ascii="Arial" w:hAnsi="Arial"/>
      <w:sz w:val="24"/>
    </w:rPr>
  </w:style>
  <w:style w:type="paragraph" w:styleId="Header">
    <w:name w:val="header"/>
    <w:basedOn w:val="Normal"/>
    <w:link w:val="HeaderChar"/>
    <w:autoRedefine/>
    <w:uiPriority w:val="99"/>
    <w:unhideWhenUsed/>
    <w:rsid w:val="009F0051"/>
    <w:pPr>
      <w:tabs>
        <w:tab w:val="center" w:pos="4680"/>
        <w:tab w:val="right" w:pos="9360"/>
      </w:tabs>
    </w:pPr>
    <w:rPr>
      <w:rFonts w:ascii="Arial" w:hAnsi="Arial"/>
      <w:sz w:val="20"/>
    </w:rPr>
  </w:style>
  <w:style w:type="character" w:customStyle="1" w:styleId="HeaderChar">
    <w:name w:val="Header Char"/>
    <w:basedOn w:val="DefaultParagraphFont"/>
    <w:link w:val="Header"/>
    <w:uiPriority w:val="99"/>
    <w:rsid w:val="009F0051"/>
    <w:rPr>
      <w:rFonts w:ascii="Arial" w:hAnsi="Arial"/>
      <w:sz w:val="20"/>
      <w:szCs w:val="24"/>
    </w:rPr>
  </w:style>
  <w:style w:type="paragraph" w:styleId="Footer">
    <w:name w:val="footer"/>
    <w:basedOn w:val="Normal"/>
    <w:link w:val="FooterChar"/>
    <w:autoRedefine/>
    <w:uiPriority w:val="99"/>
    <w:unhideWhenUsed/>
    <w:rsid w:val="0028629A"/>
    <w:pPr>
      <w:pBdr>
        <w:top w:val="single" w:sz="4" w:space="1" w:color="auto"/>
      </w:pBdr>
      <w:tabs>
        <w:tab w:val="center" w:pos="4680"/>
        <w:tab w:val="right" w:pos="9360"/>
      </w:tabs>
      <w:jc w:val="center"/>
    </w:pPr>
    <w:rPr>
      <w:rFonts w:ascii="Arial" w:hAnsi="Arial"/>
      <w:sz w:val="20"/>
    </w:rPr>
  </w:style>
  <w:style w:type="character" w:customStyle="1" w:styleId="FooterChar">
    <w:name w:val="Footer Char"/>
    <w:basedOn w:val="DefaultParagraphFont"/>
    <w:link w:val="Footer"/>
    <w:uiPriority w:val="99"/>
    <w:rsid w:val="0028629A"/>
    <w:rPr>
      <w:rFonts w:ascii="Arial" w:hAnsi="Arial"/>
      <w:sz w:val="20"/>
      <w:szCs w:val="24"/>
    </w:rPr>
  </w:style>
  <w:style w:type="paragraph" w:styleId="BalloonText">
    <w:name w:val="Balloon Text"/>
    <w:basedOn w:val="Normal"/>
    <w:link w:val="BalloonTextChar"/>
    <w:uiPriority w:val="99"/>
    <w:semiHidden/>
    <w:unhideWhenUsed/>
    <w:rsid w:val="005903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312"/>
    <w:rPr>
      <w:rFonts w:ascii="Segoe UI" w:hAnsi="Segoe UI" w:cs="Segoe UI"/>
      <w:sz w:val="18"/>
      <w:szCs w:val="18"/>
    </w:rPr>
  </w:style>
  <w:style w:type="character" w:styleId="CommentReference">
    <w:name w:val="annotation reference"/>
    <w:basedOn w:val="DefaultParagraphFont"/>
    <w:uiPriority w:val="99"/>
    <w:semiHidden/>
    <w:unhideWhenUsed/>
    <w:rsid w:val="003F0987"/>
    <w:rPr>
      <w:sz w:val="16"/>
      <w:szCs w:val="16"/>
    </w:rPr>
  </w:style>
  <w:style w:type="paragraph" w:styleId="CommentText">
    <w:name w:val="annotation text"/>
    <w:basedOn w:val="Normal"/>
    <w:link w:val="CommentTextChar"/>
    <w:uiPriority w:val="99"/>
    <w:unhideWhenUsed/>
    <w:rsid w:val="003F0987"/>
    <w:rPr>
      <w:sz w:val="20"/>
      <w:szCs w:val="20"/>
    </w:rPr>
  </w:style>
  <w:style w:type="character" w:customStyle="1" w:styleId="CommentTextChar">
    <w:name w:val="Comment Text Char"/>
    <w:basedOn w:val="DefaultParagraphFont"/>
    <w:link w:val="CommentText"/>
    <w:uiPriority w:val="99"/>
    <w:rsid w:val="003F098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3F0987"/>
    <w:rPr>
      <w:b/>
      <w:bCs/>
    </w:rPr>
  </w:style>
  <w:style w:type="character" w:customStyle="1" w:styleId="CommentSubjectChar">
    <w:name w:val="Comment Subject Char"/>
    <w:basedOn w:val="CommentTextChar"/>
    <w:link w:val="CommentSubject"/>
    <w:uiPriority w:val="99"/>
    <w:semiHidden/>
    <w:rsid w:val="003F0987"/>
    <w:rPr>
      <w:rFonts w:asciiTheme="minorHAnsi" w:hAnsiTheme="minorHAnsi"/>
      <w:b/>
      <w:bCs/>
      <w:sz w:val="20"/>
      <w:szCs w:val="20"/>
    </w:rPr>
  </w:style>
  <w:style w:type="character" w:styleId="Hyperlink">
    <w:name w:val="Hyperlink"/>
    <w:uiPriority w:val="99"/>
    <w:unhideWhenUsed/>
    <w:rsid w:val="00194C7F"/>
    <w:rPr>
      <w:rFonts w:ascii="Arial" w:hAnsi="Arial"/>
      <w:color w:val="0000FF" w:themeColor="hyperlink"/>
      <w:sz w:val="24"/>
      <w:u w:val="single"/>
    </w:rPr>
  </w:style>
  <w:style w:type="character" w:customStyle="1" w:styleId="UnresolvedMention1">
    <w:name w:val="Unresolved Mention1"/>
    <w:basedOn w:val="DefaultParagraphFont"/>
    <w:uiPriority w:val="99"/>
    <w:unhideWhenUsed/>
    <w:rsid w:val="00AA5374"/>
    <w:rPr>
      <w:color w:val="605E5C"/>
      <w:shd w:val="clear" w:color="auto" w:fill="E1DFDD"/>
    </w:rPr>
  </w:style>
  <w:style w:type="character" w:styleId="Strong">
    <w:name w:val="Strong"/>
    <w:basedOn w:val="DefaultParagraphFont"/>
    <w:uiPriority w:val="22"/>
    <w:qFormat/>
    <w:rsid w:val="00FF7735"/>
    <w:rPr>
      <w:b/>
      <w:bCs/>
    </w:rPr>
  </w:style>
  <w:style w:type="paragraph" w:styleId="NormalWeb">
    <w:name w:val="Normal (Web)"/>
    <w:basedOn w:val="Normal"/>
    <w:uiPriority w:val="99"/>
    <w:unhideWhenUsed/>
    <w:rsid w:val="00D76B54"/>
    <w:pPr>
      <w:spacing w:before="100" w:beforeAutospacing="1" w:after="100" w:afterAutospacing="1"/>
    </w:pPr>
  </w:style>
  <w:style w:type="paragraph" w:styleId="ListParagraph">
    <w:name w:val="List Paragraph"/>
    <w:basedOn w:val="Normal"/>
    <w:link w:val="ListParagraphChar"/>
    <w:autoRedefine/>
    <w:uiPriority w:val="34"/>
    <w:qFormat/>
    <w:rsid w:val="008B45B5"/>
    <w:pPr>
      <w:numPr>
        <w:numId w:val="22"/>
      </w:numPr>
      <w:contextualSpacing/>
    </w:pPr>
    <w:rPr>
      <w:rFonts w:ascii="Arial" w:eastAsiaTheme="minorHAnsi" w:hAnsi="Arial" w:cstheme="minorBidi"/>
      <w:sz w:val="24"/>
    </w:rPr>
  </w:style>
  <w:style w:type="character" w:customStyle="1" w:styleId="ListParagraphChar">
    <w:name w:val="List Paragraph Char"/>
    <w:basedOn w:val="DefaultParagraphFont"/>
    <w:link w:val="ListParagraph"/>
    <w:uiPriority w:val="34"/>
    <w:rsid w:val="008B45B5"/>
    <w:rPr>
      <w:rFonts w:ascii="Arial" w:eastAsiaTheme="minorHAnsi" w:hAnsi="Arial" w:cstheme="minorBidi"/>
      <w:sz w:val="24"/>
      <w:szCs w:val="24"/>
    </w:rPr>
  </w:style>
  <w:style w:type="character" w:styleId="FollowedHyperlink">
    <w:name w:val="FollowedHyperlink"/>
    <w:basedOn w:val="DefaultParagraphFont"/>
    <w:uiPriority w:val="99"/>
    <w:semiHidden/>
    <w:unhideWhenUsed/>
    <w:rsid w:val="0063463C"/>
    <w:rPr>
      <w:color w:val="800080" w:themeColor="followedHyperlink"/>
      <w:u w:val="single"/>
    </w:rPr>
  </w:style>
  <w:style w:type="paragraph" w:styleId="Revision">
    <w:name w:val="Revision"/>
    <w:hidden/>
    <w:uiPriority w:val="99"/>
    <w:semiHidden/>
    <w:rsid w:val="0063463C"/>
    <w:rPr>
      <w:rFonts w:asciiTheme="minorHAnsi" w:hAnsiTheme="minorHAnsi"/>
    </w:rPr>
  </w:style>
  <w:style w:type="table" w:styleId="TableGrid">
    <w:name w:val="Table Grid"/>
    <w:basedOn w:val="TableNormal"/>
    <w:uiPriority w:val="39"/>
    <w:rsid w:val="00840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02B9"/>
    <w:pPr>
      <w:autoSpaceDE w:val="0"/>
      <w:autoSpaceDN w:val="0"/>
      <w:adjustRightInd w:val="0"/>
    </w:pPr>
    <w:rPr>
      <w:rFonts w:ascii="Calibri" w:hAnsi="Calibri" w:cs="Calibri"/>
      <w:color w:val="000000"/>
      <w:sz w:val="24"/>
      <w:szCs w:val="24"/>
    </w:rPr>
  </w:style>
  <w:style w:type="paragraph" w:customStyle="1" w:styleId="PolicyArea">
    <w:name w:val="Policy Area"/>
    <w:basedOn w:val="Heading2"/>
    <w:rsid w:val="00752FD4"/>
  </w:style>
  <w:style w:type="paragraph" w:styleId="ListNumber">
    <w:name w:val="List Number"/>
    <w:basedOn w:val="Normal"/>
    <w:autoRedefine/>
    <w:uiPriority w:val="99"/>
    <w:unhideWhenUsed/>
    <w:rsid w:val="0073680D"/>
    <w:pPr>
      <w:numPr>
        <w:numId w:val="3"/>
      </w:numPr>
      <w:spacing w:after="120"/>
    </w:pPr>
    <w:rPr>
      <w:rFonts w:ascii="Arial" w:hAnsi="Arial"/>
      <w:sz w:val="24"/>
    </w:rPr>
  </w:style>
  <w:style w:type="paragraph" w:customStyle="1" w:styleId="paragraph">
    <w:name w:val="paragraph"/>
    <w:basedOn w:val="Normal"/>
    <w:rsid w:val="00DB2588"/>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3A77A1"/>
  </w:style>
  <w:style w:type="character" w:customStyle="1" w:styleId="eop">
    <w:name w:val="eop"/>
    <w:basedOn w:val="DefaultParagraphFont"/>
    <w:rsid w:val="003A77A1"/>
  </w:style>
  <w:style w:type="paragraph" w:styleId="TOC1">
    <w:name w:val="toc 1"/>
    <w:basedOn w:val="Normal"/>
    <w:next w:val="Normal"/>
    <w:autoRedefine/>
    <w:uiPriority w:val="39"/>
    <w:unhideWhenUsed/>
    <w:rsid w:val="000E189F"/>
    <w:pPr>
      <w:tabs>
        <w:tab w:val="right" w:leader="dot" w:pos="9350"/>
      </w:tabs>
      <w:spacing w:before="120" w:after="120"/>
      <w:ind w:left="360" w:hanging="360"/>
    </w:pPr>
    <w:rPr>
      <w:rFonts w:ascii="Arial" w:hAnsi="Arial" w:cstheme="minorHAnsi"/>
      <w:noProof/>
      <w:sz w:val="24"/>
      <w:szCs w:val="20"/>
    </w:rPr>
  </w:style>
  <w:style w:type="paragraph" w:styleId="TOC2">
    <w:name w:val="toc 2"/>
    <w:basedOn w:val="Normal"/>
    <w:next w:val="Normal"/>
    <w:autoRedefine/>
    <w:uiPriority w:val="39"/>
    <w:unhideWhenUsed/>
    <w:rsid w:val="00160A50"/>
    <w:pPr>
      <w:ind w:left="605" w:hanging="360"/>
    </w:pPr>
    <w:rPr>
      <w:rFonts w:ascii="Arial" w:hAnsi="Arial" w:cstheme="minorHAnsi"/>
      <w:sz w:val="24"/>
      <w:szCs w:val="20"/>
    </w:rPr>
  </w:style>
  <w:style w:type="paragraph" w:styleId="TOC3">
    <w:name w:val="toc 3"/>
    <w:basedOn w:val="Normal"/>
    <w:next w:val="Normal"/>
    <w:autoRedefine/>
    <w:uiPriority w:val="39"/>
    <w:unhideWhenUsed/>
    <w:rsid w:val="00160A50"/>
    <w:pPr>
      <w:ind w:left="835" w:hanging="360"/>
    </w:pPr>
    <w:rPr>
      <w:rFonts w:cstheme="minorHAnsi"/>
      <w:i/>
      <w:iCs/>
      <w:sz w:val="20"/>
      <w:szCs w:val="20"/>
    </w:rPr>
  </w:style>
  <w:style w:type="paragraph" w:styleId="TOC4">
    <w:name w:val="toc 4"/>
    <w:basedOn w:val="Normal"/>
    <w:next w:val="Normal"/>
    <w:autoRedefine/>
    <w:uiPriority w:val="39"/>
    <w:unhideWhenUsed/>
    <w:rsid w:val="00576B33"/>
    <w:pPr>
      <w:spacing w:before="120" w:after="120"/>
    </w:pPr>
    <w:rPr>
      <w:rFonts w:ascii="Arial" w:hAnsi="Arial" w:cstheme="minorHAnsi"/>
      <w:b/>
      <w:sz w:val="24"/>
      <w:szCs w:val="18"/>
    </w:rPr>
  </w:style>
  <w:style w:type="paragraph" w:styleId="TOC5">
    <w:name w:val="toc 5"/>
    <w:basedOn w:val="Normal"/>
    <w:next w:val="Normal"/>
    <w:autoRedefine/>
    <w:uiPriority w:val="39"/>
    <w:unhideWhenUsed/>
    <w:rsid w:val="00DB2588"/>
    <w:pPr>
      <w:ind w:left="960"/>
    </w:pPr>
    <w:rPr>
      <w:rFonts w:cstheme="minorHAnsi"/>
      <w:sz w:val="18"/>
      <w:szCs w:val="18"/>
    </w:rPr>
  </w:style>
  <w:style w:type="paragraph" w:styleId="TOC6">
    <w:name w:val="toc 6"/>
    <w:basedOn w:val="Normal"/>
    <w:next w:val="Normal"/>
    <w:autoRedefine/>
    <w:uiPriority w:val="39"/>
    <w:unhideWhenUsed/>
    <w:rsid w:val="00DB2588"/>
    <w:pPr>
      <w:ind w:left="1200"/>
    </w:pPr>
    <w:rPr>
      <w:rFonts w:cstheme="minorHAnsi"/>
      <w:sz w:val="18"/>
      <w:szCs w:val="18"/>
    </w:rPr>
  </w:style>
  <w:style w:type="paragraph" w:styleId="TOC7">
    <w:name w:val="toc 7"/>
    <w:basedOn w:val="Normal"/>
    <w:next w:val="Normal"/>
    <w:autoRedefine/>
    <w:uiPriority w:val="39"/>
    <w:unhideWhenUsed/>
    <w:rsid w:val="00DB2588"/>
    <w:pPr>
      <w:ind w:left="1440"/>
    </w:pPr>
    <w:rPr>
      <w:rFonts w:cstheme="minorHAnsi"/>
      <w:sz w:val="18"/>
      <w:szCs w:val="18"/>
    </w:rPr>
  </w:style>
  <w:style w:type="paragraph" w:styleId="TOC8">
    <w:name w:val="toc 8"/>
    <w:basedOn w:val="Normal"/>
    <w:next w:val="Normal"/>
    <w:autoRedefine/>
    <w:uiPriority w:val="39"/>
    <w:unhideWhenUsed/>
    <w:rsid w:val="00DB2588"/>
    <w:pPr>
      <w:ind w:left="1680"/>
    </w:pPr>
    <w:rPr>
      <w:rFonts w:cstheme="minorHAnsi"/>
      <w:sz w:val="18"/>
      <w:szCs w:val="18"/>
    </w:rPr>
  </w:style>
  <w:style w:type="paragraph" w:styleId="TOC9">
    <w:name w:val="toc 9"/>
    <w:basedOn w:val="Normal"/>
    <w:next w:val="Normal"/>
    <w:autoRedefine/>
    <w:uiPriority w:val="39"/>
    <w:unhideWhenUsed/>
    <w:rsid w:val="00DB2588"/>
    <w:pPr>
      <w:ind w:left="1920"/>
    </w:pPr>
    <w:rPr>
      <w:rFonts w:cstheme="minorHAnsi"/>
      <w:sz w:val="18"/>
      <w:szCs w:val="18"/>
    </w:rPr>
  </w:style>
  <w:style w:type="character" w:customStyle="1" w:styleId="Mention1">
    <w:name w:val="Mention1"/>
    <w:basedOn w:val="DefaultParagraphFont"/>
    <w:uiPriority w:val="99"/>
    <w:unhideWhenUsed/>
    <w:rsid w:val="003E681F"/>
    <w:rPr>
      <w:color w:val="2B579A"/>
      <w:shd w:val="clear" w:color="auto" w:fill="E1DFDD"/>
    </w:rPr>
  </w:style>
  <w:style w:type="paragraph" w:styleId="FootnoteText">
    <w:name w:val="footnote text"/>
    <w:basedOn w:val="Normal"/>
    <w:link w:val="FootnoteTextChar"/>
    <w:uiPriority w:val="99"/>
    <w:semiHidden/>
    <w:unhideWhenUsed/>
    <w:rsid w:val="007F3E20"/>
    <w:rPr>
      <w:sz w:val="20"/>
      <w:szCs w:val="20"/>
    </w:rPr>
  </w:style>
  <w:style w:type="character" w:customStyle="1" w:styleId="FootnoteTextChar">
    <w:name w:val="Footnote Text Char"/>
    <w:basedOn w:val="DefaultParagraphFont"/>
    <w:link w:val="FootnoteText"/>
    <w:uiPriority w:val="99"/>
    <w:semiHidden/>
    <w:rsid w:val="007F3E20"/>
    <w:rPr>
      <w:rFonts w:asciiTheme="minorHAnsi" w:hAnsiTheme="minorHAnsi"/>
      <w:sz w:val="20"/>
      <w:szCs w:val="20"/>
    </w:rPr>
  </w:style>
  <w:style w:type="character" w:styleId="FootnoteReference">
    <w:name w:val="footnote reference"/>
    <w:basedOn w:val="DefaultParagraphFont"/>
    <w:uiPriority w:val="99"/>
    <w:semiHidden/>
    <w:unhideWhenUsed/>
    <w:rsid w:val="007F3E20"/>
    <w:rPr>
      <w:vertAlign w:val="superscript"/>
    </w:rPr>
  </w:style>
  <w:style w:type="character" w:customStyle="1" w:styleId="lrdczwznu7wahylyafv5">
    <w:name w:val="lrd_czwznu7wahylyafv5"/>
    <w:basedOn w:val="DefaultParagraphFont"/>
    <w:rsid w:val="00F9557D"/>
  </w:style>
  <w:style w:type="character" w:styleId="PageNumber">
    <w:name w:val="page number"/>
    <w:basedOn w:val="DefaultParagraphFont"/>
    <w:uiPriority w:val="99"/>
    <w:semiHidden/>
    <w:unhideWhenUsed/>
    <w:rsid w:val="006415A8"/>
  </w:style>
  <w:style w:type="character" w:styleId="UnresolvedMention">
    <w:name w:val="Unresolved Mention"/>
    <w:basedOn w:val="DefaultParagraphFont"/>
    <w:uiPriority w:val="99"/>
    <w:unhideWhenUsed/>
    <w:rsid w:val="0003767C"/>
    <w:rPr>
      <w:color w:val="605E5C"/>
      <w:shd w:val="clear" w:color="auto" w:fill="E1DFDD"/>
    </w:rPr>
  </w:style>
  <w:style w:type="character" w:styleId="Mention">
    <w:name w:val="Mention"/>
    <w:basedOn w:val="DefaultParagraphFont"/>
    <w:uiPriority w:val="99"/>
    <w:unhideWhenUsed/>
    <w:rsid w:val="00A63736"/>
    <w:rPr>
      <w:color w:val="2B579A"/>
      <w:shd w:val="clear" w:color="auto" w:fill="E1DFDD"/>
    </w:rPr>
  </w:style>
  <w:style w:type="paragraph" w:customStyle="1" w:styleId="ListLetter">
    <w:name w:val="List Letter"/>
    <w:basedOn w:val="ListNumber"/>
    <w:autoRedefine/>
    <w:rsid w:val="0071640F"/>
    <w:pPr>
      <w:numPr>
        <w:numId w:val="7"/>
      </w:numPr>
    </w:pPr>
  </w:style>
  <w:style w:type="paragraph" w:styleId="EndnoteText">
    <w:name w:val="endnote text"/>
    <w:basedOn w:val="Normal"/>
    <w:link w:val="EndnoteTextChar"/>
    <w:uiPriority w:val="99"/>
    <w:semiHidden/>
    <w:unhideWhenUsed/>
    <w:rsid w:val="00806B65"/>
    <w:rPr>
      <w:sz w:val="20"/>
      <w:szCs w:val="20"/>
    </w:rPr>
  </w:style>
  <w:style w:type="character" w:customStyle="1" w:styleId="EndnoteTextChar">
    <w:name w:val="Endnote Text Char"/>
    <w:basedOn w:val="DefaultParagraphFont"/>
    <w:link w:val="EndnoteText"/>
    <w:uiPriority w:val="99"/>
    <w:semiHidden/>
    <w:rsid w:val="00806B65"/>
    <w:rPr>
      <w:rFonts w:asciiTheme="minorHAnsi" w:hAnsiTheme="minorHAnsi"/>
      <w:sz w:val="20"/>
      <w:szCs w:val="20"/>
    </w:rPr>
  </w:style>
  <w:style w:type="paragraph" w:styleId="Bibliography">
    <w:name w:val="Bibliography"/>
    <w:basedOn w:val="Normal"/>
    <w:next w:val="Normal"/>
    <w:autoRedefine/>
    <w:uiPriority w:val="37"/>
    <w:unhideWhenUsed/>
    <w:rsid w:val="002546E3"/>
    <w:pPr>
      <w:ind w:left="720" w:hanging="720"/>
    </w:pPr>
    <w:rPr>
      <w:rFonts w:ascii="Arial" w:hAnsi="Arial"/>
    </w:rPr>
  </w:style>
  <w:style w:type="paragraph" w:customStyle="1" w:styleId="Heading1NoTOC">
    <w:name w:val="Heading 1_No TOC"/>
    <w:basedOn w:val="Heading1"/>
    <w:autoRedefine/>
    <w:rsid w:val="00E06AD8"/>
    <w:rPr>
      <w:b w:val="0"/>
      <w:bCs w:val="0"/>
    </w:rPr>
  </w:style>
  <w:style w:type="paragraph" w:styleId="TableofFigures">
    <w:name w:val="table of figures"/>
    <w:basedOn w:val="Normal"/>
    <w:next w:val="Normal"/>
    <w:uiPriority w:val="99"/>
    <w:unhideWhenUsed/>
    <w:rsid w:val="000A1DED"/>
    <w:pPr>
      <w:ind w:left="360" w:hanging="360"/>
    </w:pPr>
    <w:rPr>
      <w:rFonts w:ascii="Arial" w:hAnsi="Arial"/>
      <w:sz w:val="24"/>
    </w:rPr>
  </w:style>
  <w:style w:type="paragraph" w:customStyle="1" w:styleId="Governor">
    <w:name w:val="Governor"/>
    <w:basedOn w:val="Normal"/>
    <w:rsid w:val="0073439F"/>
    <w:pPr>
      <w:framePr w:hSpace="187" w:wrap="notBeside" w:vAnchor="text" w:hAnchor="page" w:x="546" w:y="141"/>
      <w:spacing w:after="120"/>
      <w:jc w:val="center"/>
    </w:pPr>
    <w:rPr>
      <w:rFonts w:ascii="Arial Rounded MT Bold" w:hAnsi="Arial Rounded MT Bold"/>
      <w:sz w:val="14"/>
      <w:szCs w:val="20"/>
    </w:rPr>
  </w:style>
  <w:style w:type="paragraph" w:customStyle="1" w:styleId="TableColumnHeader">
    <w:name w:val="Table Column Header"/>
    <w:basedOn w:val="Normal"/>
    <w:rsid w:val="00FE052E"/>
    <w:pPr>
      <w:jc w:val="center"/>
    </w:pPr>
    <w:rPr>
      <w:rFonts w:ascii="Arial" w:hAnsi="Arial" w:cs="Calibri"/>
      <w:b/>
      <w:bCs/>
      <w:color w:val="000000"/>
      <w:sz w:val="24"/>
      <w:szCs w:val="20"/>
    </w:rPr>
  </w:style>
  <w:style w:type="paragraph" w:customStyle="1" w:styleId="TableRowHeader">
    <w:name w:val="Table Row Header"/>
    <w:basedOn w:val="Normal"/>
    <w:rsid w:val="00B34651"/>
    <w:rPr>
      <w:rFonts w:ascii="Arial" w:hAnsi="Arial" w:cstheme="minorHAnsi"/>
      <w:b/>
      <w:bCs/>
      <w:color w:val="FFFFFF" w:themeColor="background1"/>
      <w:sz w:val="24"/>
      <w:szCs w:val="20"/>
    </w:rPr>
  </w:style>
  <w:style w:type="paragraph" w:customStyle="1" w:styleId="TableText">
    <w:name w:val="Table Text"/>
    <w:basedOn w:val="Normal"/>
    <w:rsid w:val="00B34651"/>
    <w:rPr>
      <w:rFonts w:ascii="Arial" w:hAnsi="Arial" w:cs="Calibri"/>
      <w:color w:val="000000"/>
      <w:sz w:val="24"/>
      <w:szCs w:val="20"/>
    </w:rPr>
  </w:style>
  <w:style w:type="paragraph" w:customStyle="1" w:styleId="TextBoxText">
    <w:name w:val="Text Box Text"/>
    <w:basedOn w:val="Normal"/>
    <w:autoRedefine/>
    <w:rsid w:val="00C72798"/>
    <w:pPr>
      <w:spacing w:after="120"/>
    </w:pPr>
    <w:rPr>
      <w:rFonts w:ascii="Arial" w:hAnsi="Arial" w:cs="Arial"/>
      <w:sz w:val="24"/>
    </w:rPr>
  </w:style>
  <w:style w:type="paragraph" w:customStyle="1" w:styleId="FigureTitle">
    <w:name w:val="Figure Title"/>
    <w:basedOn w:val="Caption"/>
    <w:autoRedefine/>
    <w:rsid w:val="00D137CF"/>
    <w:pPr>
      <w:spacing w:after="120"/>
    </w:pPr>
    <w:rPr>
      <w:b w:val="0"/>
    </w:rPr>
  </w:style>
  <w:style w:type="paragraph" w:customStyle="1" w:styleId="TableTitle">
    <w:name w:val="Table Title"/>
    <w:basedOn w:val="Caption"/>
    <w:autoRedefine/>
    <w:rsid w:val="00AF438E"/>
    <w:pPr>
      <w:spacing w:after="120"/>
      <w:jc w:val="left"/>
    </w:pPr>
    <w:rPr>
      <w:b w:val="0"/>
    </w:rPr>
  </w:style>
  <w:style w:type="paragraph" w:customStyle="1" w:styleId="TableTextIndent">
    <w:name w:val="Table Text_Indent"/>
    <w:basedOn w:val="TableText"/>
    <w:rsid w:val="002B1C05"/>
    <w:pPr>
      <w:ind w:left="288"/>
    </w:pPr>
  </w:style>
  <w:style w:type="paragraph" w:customStyle="1" w:styleId="TableKey">
    <w:name w:val="Table Key"/>
    <w:basedOn w:val="Normal"/>
    <w:rsid w:val="00062EC9"/>
    <w:rPr>
      <w:rFonts w:ascii="Arial" w:hAnsi="Arial"/>
      <w:bCs/>
      <w:sz w:val="20"/>
      <w:szCs w:val="20"/>
    </w:rPr>
  </w:style>
  <w:style w:type="paragraph" w:customStyle="1" w:styleId="AirQualitySubheading">
    <w:name w:val="Air Quality Subheading"/>
    <w:basedOn w:val="Heading3"/>
    <w:rsid w:val="0053393F"/>
    <w:pPr>
      <w:shd w:val="clear" w:color="auto" w:fill="4F6228" w:themeFill="accent3" w:themeFillShade="80"/>
    </w:pPr>
    <w:rPr>
      <w:color w:val="FFFFFF" w:themeColor="background1"/>
    </w:rPr>
  </w:style>
  <w:style w:type="paragraph" w:customStyle="1" w:styleId="PhotoCaption">
    <w:name w:val="Photo Caption"/>
    <w:basedOn w:val="BodyTextFirstIndent"/>
    <w:autoRedefine/>
    <w:qFormat/>
    <w:rsid w:val="00D32CF7"/>
    <w:pPr>
      <w:spacing w:before="0" w:after="120"/>
    </w:pPr>
    <w:rPr>
      <w:i/>
      <w:sz w:val="20"/>
    </w:rPr>
  </w:style>
  <w:style w:type="paragraph" w:customStyle="1" w:styleId="Heading5a">
    <w:name w:val="Heading 5a"/>
    <w:basedOn w:val="Heading4"/>
    <w:autoRedefine/>
    <w:rsid w:val="009D638C"/>
    <w:rPr>
      <w:b w:val="0"/>
      <w:i/>
      <w:color w:val="1F497D"/>
      <w:u w:val="none"/>
    </w:rPr>
  </w:style>
  <w:style w:type="paragraph" w:customStyle="1" w:styleId="Sources">
    <w:name w:val="Sources"/>
    <w:rsid w:val="00A307C6"/>
    <w:pPr>
      <w:spacing w:after="240"/>
      <w:ind w:left="720" w:hanging="720"/>
    </w:pPr>
    <w:rPr>
      <w:rFonts w:asciiTheme="minorHAnsi" w:hAnsiTheme="minorHAnsi"/>
    </w:rPr>
  </w:style>
  <w:style w:type="paragraph" w:customStyle="1" w:styleId="TextBoxTitle">
    <w:name w:val="Text Box Title"/>
    <w:basedOn w:val="TextBoxText"/>
    <w:autoRedefine/>
    <w:qFormat/>
    <w:rsid w:val="0064286D"/>
    <w:pPr>
      <w:jc w:val="center"/>
    </w:pPr>
    <w:rPr>
      <w:b/>
    </w:rPr>
  </w:style>
  <w:style w:type="character" w:customStyle="1" w:styleId="findhit">
    <w:name w:val="findhit"/>
    <w:basedOn w:val="DefaultParagraphFont"/>
    <w:rsid w:val="00BB3B01"/>
  </w:style>
  <w:style w:type="character" w:customStyle="1" w:styleId="wacimagecontainer">
    <w:name w:val="wacimagecontainer"/>
    <w:basedOn w:val="DefaultParagraphFont"/>
    <w:rsid w:val="00574A37"/>
  </w:style>
  <w:style w:type="character" w:styleId="EndnoteReference">
    <w:name w:val="endnote reference"/>
    <w:basedOn w:val="DefaultParagraphFont"/>
    <w:uiPriority w:val="99"/>
    <w:semiHidden/>
    <w:unhideWhenUsed/>
    <w:rsid w:val="00EF77DB"/>
    <w:rPr>
      <w:vertAlign w:val="superscript"/>
    </w:rPr>
  </w:style>
  <w:style w:type="paragraph" w:customStyle="1" w:styleId="Footnote">
    <w:name w:val="Footnote"/>
    <w:basedOn w:val="FootnoteText"/>
    <w:autoRedefine/>
    <w:rsid w:val="00DA614F"/>
    <w:pPr>
      <w:keepLines/>
    </w:pPr>
    <w:rPr>
      <w:rFonts w:ascii="Arial" w:hAnsi="Arial"/>
    </w:rPr>
  </w:style>
  <w:style w:type="paragraph" w:customStyle="1" w:styleId="TableBullet1">
    <w:name w:val="Table Bullet 1"/>
    <w:basedOn w:val="TableText"/>
    <w:autoRedefine/>
    <w:rsid w:val="00167E15"/>
    <w:pPr>
      <w:numPr>
        <w:numId w:val="20"/>
      </w:numPr>
      <w:ind w:left="288" w:hanging="274"/>
    </w:pPr>
  </w:style>
  <w:style w:type="paragraph" w:customStyle="1" w:styleId="TableBullet2">
    <w:name w:val="Table Bullet 2"/>
    <w:basedOn w:val="TableBullet1"/>
    <w:rsid w:val="00897D50"/>
    <w:pPr>
      <w:numPr>
        <w:numId w:val="21"/>
      </w:numPr>
    </w:pPr>
  </w:style>
  <w:style w:type="paragraph" w:customStyle="1" w:styleId="TextBoxItal">
    <w:name w:val="Text Box Ital"/>
    <w:basedOn w:val="TextBoxText"/>
    <w:autoRedefine/>
    <w:rsid w:val="00FC2423"/>
    <w:rPr>
      <w:i/>
    </w:rPr>
  </w:style>
  <w:style w:type="paragraph" w:customStyle="1" w:styleId="TextBoxBullet">
    <w:name w:val="Text Box Bullet"/>
    <w:basedOn w:val="TextBoxText"/>
    <w:autoRedefine/>
    <w:qFormat/>
    <w:rsid w:val="00634D68"/>
    <w:pPr>
      <w:numPr>
        <w:numId w:val="26"/>
      </w:numPr>
      <w:ind w:left="504"/>
    </w:pPr>
  </w:style>
  <w:style w:type="paragraph" w:customStyle="1" w:styleId="ModuleHeader">
    <w:name w:val="Module Header"/>
    <w:basedOn w:val="Normal"/>
    <w:rsid w:val="002B48E4"/>
    <w:pPr>
      <w:jc w:val="center"/>
    </w:pPr>
    <w:rPr>
      <w:rFonts w:ascii="Arial" w:hAnsi="Arial"/>
      <w:b/>
      <w:sz w:val="32"/>
    </w:rPr>
  </w:style>
  <w:style w:type="numbering" w:customStyle="1" w:styleId="CurrentList1">
    <w:name w:val="Current List1"/>
    <w:uiPriority w:val="99"/>
    <w:rsid w:val="00396DFA"/>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472">
      <w:bodyDiv w:val="1"/>
      <w:marLeft w:val="0"/>
      <w:marRight w:val="0"/>
      <w:marTop w:val="0"/>
      <w:marBottom w:val="0"/>
      <w:divBdr>
        <w:top w:val="none" w:sz="0" w:space="0" w:color="auto"/>
        <w:left w:val="none" w:sz="0" w:space="0" w:color="auto"/>
        <w:bottom w:val="none" w:sz="0" w:space="0" w:color="auto"/>
        <w:right w:val="none" w:sz="0" w:space="0" w:color="auto"/>
      </w:divBdr>
    </w:div>
    <w:div w:id="43452286">
      <w:bodyDiv w:val="1"/>
      <w:marLeft w:val="0"/>
      <w:marRight w:val="0"/>
      <w:marTop w:val="0"/>
      <w:marBottom w:val="0"/>
      <w:divBdr>
        <w:top w:val="none" w:sz="0" w:space="0" w:color="auto"/>
        <w:left w:val="none" w:sz="0" w:space="0" w:color="auto"/>
        <w:bottom w:val="none" w:sz="0" w:space="0" w:color="auto"/>
        <w:right w:val="none" w:sz="0" w:space="0" w:color="auto"/>
      </w:divBdr>
    </w:div>
    <w:div w:id="45225783">
      <w:bodyDiv w:val="1"/>
      <w:marLeft w:val="0"/>
      <w:marRight w:val="0"/>
      <w:marTop w:val="0"/>
      <w:marBottom w:val="0"/>
      <w:divBdr>
        <w:top w:val="none" w:sz="0" w:space="0" w:color="auto"/>
        <w:left w:val="none" w:sz="0" w:space="0" w:color="auto"/>
        <w:bottom w:val="none" w:sz="0" w:space="0" w:color="auto"/>
        <w:right w:val="none" w:sz="0" w:space="0" w:color="auto"/>
      </w:divBdr>
    </w:div>
    <w:div w:id="50808975">
      <w:bodyDiv w:val="1"/>
      <w:marLeft w:val="0"/>
      <w:marRight w:val="0"/>
      <w:marTop w:val="0"/>
      <w:marBottom w:val="0"/>
      <w:divBdr>
        <w:top w:val="none" w:sz="0" w:space="0" w:color="auto"/>
        <w:left w:val="none" w:sz="0" w:space="0" w:color="auto"/>
        <w:bottom w:val="none" w:sz="0" w:space="0" w:color="auto"/>
        <w:right w:val="none" w:sz="0" w:space="0" w:color="auto"/>
      </w:divBdr>
      <w:divsChild>
        <w:div w:id="429158241">
          <w:marLeft w:val="0"/>
          <w:marRight w:val="0"/>
          <w:marTop w:val="0"/>
          <w:marBottom w:val="0"/>
          <w:divBdr>
            <w:top w:val="none" w:sz="0" w:space="0" w:color="auto"/>
            <w:left w:val="none" w:sz="0" w:space="0" w:color="auto"/>
            <w:bottom w:val="none" w:sz="0" w:space="0" w:color="auto"/>
            <w:right w:val="none" w:sz="0" w:space="0" w:color="auto"/>
          </w:divBdr>
        </w:div>
        <w:div w:id="997541964">
          <w:marLeft w:val="0"/>
          <w:marRight w:val="0"/>
          <w:marTop w:val="0"/>
          <w:marBottom w:val="0"/>
          <w:divBdr>
            <w:top w:val="none" w:sz="0" w:space="0" w:color="auto"/>
            <w:left w:val="none" w:sz="0" w:space="0" w:color="auto"/>
            <w:bottom w:val="none" w:sz="0" w:space="0" w:color="auto"/>
            <w:right w:val="none" w:sz="0" w:space="0" w:color="auto"/>
          </w:divBdr>
        </w:div>
      </w:divsChild>
    </w:div>
    <w:div w:id="61800473">
      <w:bodyDiv w:val="1"/>
      <w:marLeft w:val="0"/>
      <w:marRight w:val="0"/>
      <w:marTop w:val="0"/>
      <w:marBottom w:val="0"/>
      <w:divBdr>
        <w:top w:val="none" w:sz="0" w:space="0" w:color="auto"/>
        <w:left w:val="none" w:sz="0" w:space="0" w:color="auto"/>
        <w:bottom w:val="none" w:sz="0" w:space="0" w:color="auto"/>
        <w:right w:val="none" w:sz="0" w:space="0" w:color="auto"/>
      </w:divBdr>
    </w:div>
    <w:div w:id="95250921">
      <w:bodyDiv w:val="1"/>
      <w:marLeft w:val="0"/>
      <w:marRight w:val="0"/>
      <w:marTop w:val="0"/>
      <w:marBottom w:val="0"/>
      <w:divBdr>
        <w:top w:val="none" w:sz="0" w:space="0" w:color="auto"/>
        <w:left w:val="none" w:sz="0" w:space="0" w:color="auto"/>
        <w:bottom w:val="none" w:sz="0" w:space="0" w:color="auto"/>
        <w:right w:val="none" w:sz="0" w:space="0" w:color="auto"/>
      </w:divBdr>
      <w:divsChild>
        <w:div w:id="395980177">
          <w:marLeft w:val="0"/>
          <w:marRight w:val="0"/>
          <w:marTop w:val="0"/>
          <w:marBottom w:val="0"/>
          <w:divBdr>
            <w:top w:val="none" w:sz="0" w:space="0" w:color="auto"/>
            <w:left w:val="none" w:sz="0" w:space="0" w:color="auto"/>
            <w:bottom w:val="none" w:sz="0" w:space="0" w:color="auto"/>
            <w:right w:val="none" w:sz="0" w:space="0" w:color="auto"/>
          </w:divBdr>
        </w:div>
        <w:div w:id="710963366">
          <w:marLeft w:val="0"/>
          <w:marRight w:val="0"/>
          <w:marTop w:val="0"/>
          <w:marBottom w:val="0"/>
          <w:divBdr>
            <w:top w:val="none" w:sz="0" w:space="0" w:color="auto"/>
            <w:left w:val="none" w:sz="0" w:space="0" w:color="auto"/>
            <w:bottom w:val="none" w:sz="0" w:space="0" w:color="auto"/>
            <w:right w:val="none" w:sz="0" w:space="0" w:color="auto"/>
          </w:divBdr>
        </w:div>
        <w:div w:id="765468231">
          <w:marLeft w:val="0"/>
          <w:marRight w:val="0"/>
          <w:marTop w:val="0"/>
          <w:marBottom w:val="0"/>
          <w:divBdr>
            <w:top w:val="none" w:sz="0" w:space="0" w:color="auto"/>
            <w:left w:val="none" w:sz="0" w:space="0" w:color="auto"/>
            <w:bottom w:val="none" w:sz="0" w:space="0" w:color="auto"/>
            <w:right w:val="none" w:sz="0" w:space="0" w:color="auto"/>
          </w:divBdr>
        </w:div>
        <w:div w:id="1164665840">
          <w:marLeft w:val="0"/>
          <w:marRight w:val="0"/>
          <w:marTop w:val="0"/>
          <w:marBottom w:val="0"/>
          <w:divBdr>
            <w:top w:val="none" w:sz="0" w:space="0" w:color="auto"/>
            <w:left w:val="none" w:sz="0" w:space="0" w:color="auto"/>
            <w:bottom w:val="none" w:sz="0" w:space="0" w:color="auto"/>
            <w:right w:val="none" w:sz="0" w:space="0" w:color="auto"/>
          </w:divBdr>
        </w:div>
        <w:div w:id="1942030331">
          <w:marLeft w:val="0"/>
          <w:marRight w:val="0"/>
          <w:marTop w:val="0"/>
          <w:marBottom w:val="0"/>
          <w:divBdr>
            <w:top w:val="none" w:sz="0" w:space="0" w:color="auto"/>
            <w:left w:val="none" w:sz="0" w:space="0" w:color="auto"/>
            <w:bottom w:val="none" w:sz="0" w:space="0" w:color="auto"/>
            <w:right w:val="none" w:sz="0" w:space="0" w:color="auto"/>
          </w:divBdr>
        </w:div>
      </w:divsChild>
    </w:div>
    <w:div w:id="120465984">
      <w:bodyDiv w:val="1"/>
      <w:marLeft w:val="0"/>
      <w:marRight w:val="0"/>
      <w:marTop w:val="0"/>
      <w:marBottom w:val="0"/>
      <w:divBdr>
        <w:top w:val="none" w:sz="0" w:space="0" w:color="auto"/>
        <w:left w:val="none" w:sz="0" w:space="0" w:color="auto"/>
        <w:bottom w:val="none" w:sz="0" w:space="0" w:color="auto"/>
        <w:right w:val="none" w:sz="0" w:space="0" w:color="auto"/>
      </w:divBdr>
    </w:div>
    <w:div w:id="138814706">
      <w:bodyDiv w:val="1"/>
      <w:marLeft w:val="0"/>
      <w:marRight w:val="0"/>
      <w:marTop w:val="0"/>
      <w:marBottom w:val="0"/>
      <w:divBdr>
        <w:top w:val="none" w:sz="0" w:space="0" w:color="auto"/>
        <w:left w:val="none" w:sz="0" w:space="0" w:color="auto"/>
        <w:bottom w:val="none" w:sz="0" w:space="0" w:color="auto"/>
        <w:right w:val="none" w:sz="0" w:space="0" w:color="auto"/>
      </w:divBdr>
      <w:divsChild>
        <w:div w:id="404886733">
          <w:marLeft w:val="0"/>
          <w:marRight w:val="0"/>
          <w:marTop w:val="0"/>
          <w:marBottom w:val="0"/>
          <w:divBdr>
            <w:top w:val="none" w:sz="0" w:space="0" w:color="auto"/>
            <w:left w:val="none" w:sz="0" w:space="0" w:color="auto"/>
            <w:bottom w:val="none" w:sz="0" w:space="0" w:color="auto"/>
            <w:right w:val="none" w:sz="0" w:space="0" w:color="auto"/>
          </w:divBdr>
          <w:divsChild>
            <w:div w:id="1152914481">
              <w:marLeft w:val="0"/>
              <w:marRight w:val="0"/>
              <w:marTop w:val="0"/>
              <w:marBottom w:val="0"/>
              <w:divBdr>
                <w:top w:val="none" w:sz="0" w:space="0" w:color="auto"/>
                <w:left w:val="none" w:sz="0" w:space="0" w:color="auto"/>
                <w:bottom w:val="none" w:sz="0" w:space="0" w:color="auto"/>
                <w:right w:val="none" w:sz="0" w:space="0" w:color="auto"/>
              </w:divBdr>
              <w:divsChild>
                <w:div w:id="17094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9349">
      <w:bodyDiv w:val="1"/>
      <w:marLeft w:val="0"/>
      <w:marRight w:val="0"/>
      <w:marTop w:val="0"/>
      <w:marBottom w:val="0"/>
      <w:divBdr>
        <w:top w:val="none" w:sz="0" w:space="0" w:color="auto"/>
        <w:left w:val="none" w:sz="0" w:space="0" w:color="auto"/>
        <w:bottom w:val="none" w:sz="0" w:space="0" w:color="auto"/>
        <w:right w:val="none" w:sz="0" w:space="0" w:color="auto"/>
      </w:divBdr>
    </w:div>
    <w:div w:id="161166342">
      <w:bodyDiv w:val="1"/>
      <w:marLeft w:val="0"/>
      <w:marRight w:val="0"/>
      <w:marTop w:val="0"/>
      <w:marBottom w:val="0"/>
      <w:divBdr>
        <w:top w:val="none" w:sz="0" w:space="0" w:color="auto"/>
        <w:left w:val="none" w:sz="0" w:space="0" w:color="auto"/>
        <w:bottom w:val="none" w:sz="0" w:space="0" w:color="auto"/>
        <w:right w:val="none" w:sz="0" w:space="0" w:color="auto"/>
      </w:divBdr>
    </w:div>
    <w:div w:id="187764285">
      <w:bodyDiv w:val="1"/>
      <w:marLeft w:val="0"/>
      <w:marRight w:val="0"/>
      <w:marTop w:val="0"/>
      <w:marBottom w:val="0"/>
      <w:divBdr>
        <w:top w:val="none" w:sz="0" w:space="0" w:color="auto"/>
        <w:left w:val="none" w:sz="0" w:space="0" w:color="auto"/>
        <w:bottom w:val="none" w:sz="0" w:space="0" w:color="auto"/>
        <w:right w:val="none" w:sz="0" w:space="0" w:color="auto"/>
      </w:divBdr>
    </w:div>
    <w:div w:id="202793767">
      <w:bodyDiv w:val="1"/>
      <w:marLeft w:val="0"/>
      <w:marRight w:val="0"/>
      <w:marTop w:val="0"/>
      <w:marBottom w:val="0"/>
      <w:divBdr>
        <w:top w:val="none" w:sz="0" w:space="0" w:color="auto"/>
        <w:left w:val="none" w:sz="0" w:space="0" w:color="auto"/>
        <w:bottom w:val="none" w:sz="0" w:space="0" w:color="auto"/>
        <w:right w:val="none" w:sz="0" w:space="0" w:color="auto"/>
      </w:divBdr>
    </w:div>
    <w:div w:id="206990115">
      <w:bodyDiv w:val="1"/>
      <w:marLeft w:val="0"/>
      <w:marRight w:val="0"/>
      <w:marTop w:val="0"/>
      <w:marBottom w:val="0"/>
      <w:divBdr>
        <w:top w:val="none" w:sz="0" w:space="0" w:color="auto"/>
        <w:left w:val="none" w:sz="0" w:space="0" w:color="auto"/>
        <w:bottom w:val="none" w:sz="0" w:space="0" w:color="auto"/>
        <w:right w:val="none" w:sz="0" w:space="0" w:color="auto"/>
      </w:divBdr>
    </w:div>
    <w:div w:id="215508223">
      <w:bodyDiv w:val="1"/>
      <w:marLeft w:val="0"/>
      <w:marRight w:val="0"/>
      <w:marTop w:val="0"/>
      <w:marBottom w:val="0"/>
      <w:divBdr>
        <w:top w:val="none" w:sz="0" w:space="0" w:color="auto"/>
        <w:left w:val="none" w:sz="0" w:space="0" w:color="auto"/>
        <w:bottom w:val="none" w:sz="0" w:space="0" w:color="auto"/>
        <w:right w:val="none" w:sz="0" w:space="0" w:color="auto"/>
      </w:divBdr>
    </w:div>
    <w:div w:id="218565332">
      <w:bodyDiv w:val="1"/>
      <w:marLeft w:val="0"/>
      <w:marRight w:val="0"/>
      <w:marTop w:val="0"/>
      <w:marBottom w:val="0"/>
      <w:divBdr>
        <w:top w:val="none" w:sz="0" w:space="0" w:color="auto"/>
        <w:left w:val="none" w:sz="0" w:space="0" w:color="auto"/>
        <w:bottom w:val="none" w:sz="0" w:space="0" w:color="auto"/>
        <w:right w:val="none" w:sz="0" w:space="0" w:color="auto"/>
      </w:divBdr>
    </w:div>
    <w:div w:id="218789625">
      <w:bodyDiv w:val="1"/>
      <w:marLeft w:val="0"/>
      <w:marRight w:val="0"/>
      <w:marTop w:val="0"/>
      <w:marBottom w:val="0"/>
      <w:divBdr>
        <w:top w:val="none" w:sz="0" w:space="0" w:color="auto"/>
        <w:left w:val="none" w:sz="0" w:space="0" w:color="auto"/>
        <w:bottom w:val="none" w:sz="0" w:space="0" w:color="auto"/>
        <w:right w:val="none" w:sz="0" w:space="0" w:color="auto"/>
      </w:divBdr>
    </w:div>
    <w:div w:id="224222974">
      <w:bodyDiv w:val="1"/>
      <w:marLeft w:val="0"/>
      <w:marRight w:val="0"/>
      <w:marTop w:val="0"/>
      <w:marBottom w:val="0"/>
      <w:divBdr>
        <w:top w:val="none" w:sz="0" w:space="0" w:color="auto"/>
        <w:left w:val="none" w:sz="0" w:space="0" w:color="auto"/>
        <w:bottom w:val="none" w:sz="0" w:space="0" w:color="auto"/>
        <w:right w:val="none" w:sz="0" w:space="0" w:color="auto"/>
      </w:divBdr>
      <w:divsChild>
        <w:div w:id="875503241">
          <w:marLeft w:val="0"/>
          <w:marRight w:val="0"/>
          <w:marTop w:val="0"/>
          <w:marBottom w:val="0"/>
          <w:divBdr>
            <w:top w:val="none" w:sz="0" w:space="0" w:color="auto"/>
            <w:left w:val="none" w:sz="0" w:space="0" w:color="auto"/>
            <w:bottom w:val="none" w:sz="0" w:space="0" w:color="auto"/>
            <w:right w:val="none" w:sz="0" w:space="0" w:color="auto"/>
          </w:divBdr>
          <w:divsChild>
            <w:div w:id="1927423440">
              <w:marLeft w:val="0"/>
              <w:marRight w:val="0"/>
              <w:marTop w:val="0"/>
              <w:marBottom w:val="0"/>
              <w:divBdr>
                <w:top w:val="none" w:sz="0" w:space="0" w:color="auto"/>
                <w:left w:val="none" w:sz="0" w:space="0" w:color="auto"/>
                <w:bottom w:val="none" w:sz="0" w:space="0" w:color="auto"/>
                <w:right w:val="none" w:sz="0" w:space="0" w:color="auto"/>
              </w:divBdr>
              <w:divsChild>
                <w:div w:id="151823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785">
      <w:bodyDiv w:val="1"/>
      <w:marLeft w:val="0"/>
      <w:marRight w:val="0"/>
      <w:marTop w:val="0"/>
      <w:marBottom w:val="0"/>
      <w:divBdr>
        <w:top w:val="none" w:sz="0" w:space="0" w:color="auto"/>
        <w:left w:val="none" w:sz="0" w:space="0" w:color="auto"/>
        <w:bottom w:val="none" w:sz="0" w:space="0" w:color="auto"/>
        <w:right w:val="none" w:sz="0" w:space="0" w:color="auto"/>
      </w:divBdr>
    </w:div>
    <w:div w:id="275216698">
      <w:bodyDiv w:val="1"/>
      <w:marLeft w:val="0"/>
      <w:marRight w:val="0"/>
      <w:marTop w:val="0"/>
      <w:marBottom w:val="0"/>
      <w:divBdr>
        <w:top w:val="none" w:sz="0" w:space="0" w:color="auto"/>
        <w:left w:val="none" w:sz="0" w:space="0" w:color="auto"/>
        <w:bottom w:val="none" w:sz="0" w:space="0" w:color="auto"/>
        <w:right w:val="none" w:sz="0" w:space="0" w:color="auto"/>
      </w:divBdr>
    </w:div>
    <w:div w:id="282470191">
      <w:bodyDiv w:val="1"/>
      <w:marLeft w:val="0"/>
      <w:marRight w:val="0"/>
      <w:marTop w:val="0"/>
      <w:marBottom w:val="0"/>
      <w:divBdr>
        <w:top w:val="none" w:sz="0" w:space="0" w:color="auto"/>
        <w:left w:val="none" w:sz="0" w:space="0" w:color="auto"/>
        <w:bottom w:val="none" w:sz="0" w:space="0" w:color="auto"/>
        <w:right w:val="none" w:sz="0" w:space="0" w:color="auto"/>
      </w:divBdr>
    </w:div>
    <w:div w:id="286590607">
      <w:bodyDiv w:val="1"/>
      <w:marLeft w:val="0"/>
      <w:marRight w:val="0"/>
      <w:marTop w:val="0"/>
      <w:marBottom w:val="0"/>
      <w:divBdr>
        <w:top w:val="none" w:sz="0" w:space="0" w:color="auto"/>
        <w:left w:val="none" w:sz="0" w:space="0" w:color="auto"/>
        <w:bottom w:val="none" w:sz="0" w:space="0" w:color="auto"/>
        <w:right w:val="none" w:sz="0" w:space="0" w:color="auto"/>
      </w:divBdr>
    </w:div>
    <w:div w:id="317807554">
      <w:bodyDiv w:val="1"/>
      <w:marLeft w:val="0"/>
      <w:marRight w:val="0"/>
      <w:marTop w:val="0"/>
      <w:marBottom w:val="0"/>
      <w:divBdr>
        <w:top w:val="none" w:sz="0" w:space="0" w:color="auto"/>
        <w:left w:val="none" w:sz="0" w:space="0" w:color="auto"/>
        <w:bottom w:val="none" w:sz="0" w:space="0" w:color="auto"/>
        <w:right w:val="none" w:sz="0" w:space="0" w:color="auto"/>
      </w:divBdr>
    </w:div>
    <w:div w:id="323625406">
      <w:bodyDiv w:val="1"/>
      <w:marLeft w:val="0"/>
      <w:marRight w:val="0"/>
      <w:marTop w:val="0"/>
      <w:marBottom w:val="0"/>
      <w:divBdr>
        <w:top w:val="none" w:sz="0" w:space="0" w:color="auto"/>
        <w:left w:val="none" w:sz="0" w:space="0" w:color="auto"/>
        <w:bottom w:val="none" w:sz="0" w:space="0" w:color="auto"/>
        <w:right w:val="none" w:sz="0" w:space="0" w:color="auto"/>
      </w:divBdr>
    </w:div>
    <w:div w:id="390613467">
      <w:bodyDiv w:val="1"/>
      <w:marLeft w:val="0"/>
      <w:marRight w:val="0"/>
      <w:marTop w:val="0"/>
      <w:marBottom w:val="0"/>
      <w:divBdr>
        <w:top w:val="none" w:sz="0" w:space="0" w:color="auto"/>
        <w:left w:val="none" w:sz="0" w:space="0" w:color="auto"/>
        <w:bottom w:val="none" w:sz="0" w:space="0" w:color="auto"/>
        <w:right w:val="none" w:sz="0" w:space="0" w:color="auto"/>
      </w:divBdr>
    </w:div>
    <w:div w:id="403257644">
      <w:bodyDiv w:val="1"/>
      <w:marLeft w:val="0"/>
      <w:marRight w:val="0"/>
      <w:marTop w:val="0"/>
      <w:marBottom w:val="0"/>
      <w:divBdr>
        <w:top w:val="none" w:sz="0" w:space="0" w:color="auto"/>
        <w:left w:val="none" w:sz="0" w:space="0" w:color="auto"/>
        <w:bottom w:val="none" w:sz="0" w:space="0" w:color="auto"/>
        <w:right w:val="none" w:sz="0" w:space="0" w:color="auto"/>
      </w:divBdr>
    </w:div>
    <w:div w:id="405879631">
      <w:bodyDiv w:val="1"/>
      <w:marLeft w:val="0"/>
      <w:marRight w:val="0"/>
      <w:marTop w:val="0"/>
      <w:marBottom w:val="0"/>
      <w:divBdr>
        <w:top w:val="none" w:sz="0" w:space="0" w:color="auto"/>
        <w:left w:val="none" w:sz="0" w:space="0" w:color="auto"/>
        <w:bottom w:val="none" w:sz="0" w:space="0" w:color="auto"/>
        <w:right w:val="none" w:sz="0" w:space="0" w:color="auto"/>
      </w:divBdr>
      <w:divsChild>
        <w:div w:id="18088425">
          <w:marLeft w:val="0"/>
          <w:marRight w:val="0"/>
          <w:marTop w:val="0"/>
          <w:marBottom w:val="0"/>
          <w:divBdr>
            <w:top w:val="none" w:sz="0" w:space="0" w:color="auto"/>
            <w:left w:val="none" w:sz="0" w:space="0" w:color="auto"/>
            <w:bottom w:val="none" w:sz="0" w:space="0" w:color="auto"/>
            <w:right w:val="none" w:sz="0" w:space="0" w:color="auto"/>
          </w:divBdr>
          <w:divsChild>
            <w:div w:id="1309359388">
              <w:marLeft w:val="0"/>
              <w:marRight w:val="0"/>
              <w:marTop w:val="0"/>
              <w:marBottom w:val="0"/>
              <w:divBdr>
                <w:top w:val="none" w:sz="0" w:space="0" w:color="auto"/>
                <w:left w:val="none" w:sz="0" w:space="0" w:color="auto"/>
                <w:bottom w:val="none" w:sz="0" w:space="0" w:color="auto"/>
                <w:right w:val="none" w:sz="0" w:space="0" w:color="auto"/>
              </w:divBdr>
            </w:div>
          </w:divsChild>
        </w:div>
        <w:div w:id="30112772">
          <w:marLeft w:val="0"/>
          <w:marRight w:val="0"/>
          <w:marTop w:val="0"/>
          <w:marBottom w:val="0"/>
          <w:divBdr>
            <w:top w:val="none" w:sz="0" w:space="0" w:color="auto"/>
            <w:left w:val="none" w:sz="0" w:space="0" w:color="auto"/>
            <w:bottom w:val="none" w:sz="0" w:space="0" w:color="auto"/>
            <w:right w:val="none" w:sz="0" w:space="0" w:color="auto"/>
          </w:divBdr>
          <w:divsChild>
            <w:div w:id="1938902632">
              <w:marLeft w:val="0"/>
              <w:marRight w:val="0"/>
              <w:marTop w:val="0"/>
              <w:marBottom w:val="0"/>
              <w:divBdr>
                <w:top w:val="none" w:sz="0" w:space="0" w:color="auto"/>
                <w:left w:val="none" w:sz="0" w:space="0" w:color="auto"/>
                <w:bottom w:val="none" w:sz="0" w:space="0" w:color="auto"/>
                <w:right w:val="none" w:sz="0" w:space="0" w:color="auto"/>
              </w:divBdr>
            </w:div>
          </w:divsChild>
        </w:div>
        <w:div w:id="42600066">
          <w:marLeft w:val="0"/>
          <w:marRight w:val="0"/>
          <w:marTop w:val="0"/>
          <w:marBottom w:val="0"/>
          <w:divBdr>
            <w:top w:val="none" w:sz="0" w:space="0" w:color="auto"/>
            <w:left w:val="none" w:sz="0" w:space="0" w:color="auto"/>
            <w:bottom w:val="none" w:sz="0" w:space="0" w:color="auto"/>
            <w:right w:val="none" w:sz="0" w:space="0" w:color="auto"/>
          </w:divBdr>
          <w:divsChild>
            <w:div w:id="1592540187">
              <w:marLeft w:val="0"/>
              <w:marRight w:val="0"/>
              <w:marTop w:val="0"/>
              <w:marBottom w:val="0"/>
              <w:divBdr>
                <w:top w:val="none" w:sz="0" w:space="0" w:color="auto"/>
                <w:left w:val="none" w:sz="0" w:space="0" w:color="auto"/>
                <w:bottom w:val="none" w:sz="0" w:space="0" w:color="auto"/>
                <w:right w:val="none" w:sz="0" w:space="0" w:color="auto"/>
              </w:divBdr>
            </w:div>
          </w:divsChild>
        </w:div>
        <w:div w:id="50354071">
          <w:marLeft w:val="0"/>
          <w:marRight w:val="0"/>
          <w:marTop w:val="0"/>
          <w:marBottom w:val="0"/>
          <w:divBdr>
            <w:top w:val="none" w:sz="0" w:space="0" w:color="auto"/>
            <w:left w:val="none" w:sz="0" w:space="0" w:color="auto"/>
            <w:bottom w:val="none" w:sz="0" w:space="0" w:color="auto"/>
            <w:right w:val="none" w:sz="0" w:space="0" w:color="auto"/>
          </w:divBdr>
          <w:divsChild>
            <w:div w:id="254482851">
              <w:marLeft w:val="0"/>
              <w:marRight w:val="0"/>
              <w:marTop w:val="0"/>
              <w:marBottom w:val="0"/>
              <w:divBdr>
                <w:top w:val="none" w:sz="0" w:space="0" w:color="auto"/>
                <w:left w:val="none" w:sz="0" w:space="0" w:color="auto"/>
                <w:bottom w:val="none" w:sz="0" w:space="0" w:color="auto"/>
                <w:right w:val="none" w:sz="0" w:space="0" w:color="auto"/>
              </w:divBdr>
            </w:div>
          </w:divsChild>
        </w:div>
        <w:div w:id="99691893">
          <w:marLeft w:val="0"/>
          <w:marRight w:val="0"/>
          <w:marTop w:val="0"/>
          <w:marBottom w:val="0"/>
          <w:divBdr>
            <w:top w:val="none" w:sz="0" w:space="0" w:color="auto"/>
            <w:left w:val="none" w:sz="0" w:space="0" w:color="auto"/>
            <w:bottom w:val="none" w:sz="0" w:space="0" w:color="auto"/>
            <w:right w:val="none" w:sz="0" w:space="0" w:color="auto"/>
          </w:divBdr>
          <w:divsChild>
            <w:div w:id="717361680">
              <w:marLeft w:val="0"/>
              <w:marRight w:val="0"/>
              <w:marTop w:val="0"/>
              <w:marBottom w:val="0"/>
              <w:divBdr>
                <w:top w:val="none" w:sz="0" w:space="0" w:color="auto"/>
                <w:left w:val="none" w:sz="0" w:space="0" w:color="auto"/>
                <w:bottom w:val="none" w:sz="0" w:space="0" w:color="auto"/>
                <w:right w:val="none" w:sz="0" w:space="0" w:color="auto"/>
              </w:divBdr>
            </w:div>
          </w:divsChild>
        </w:div>
        <w:div w:id="107966940">
          <w:marLeft w:val="0"/>
          <w:marRight w:val="0"/>
          <w:marTop w:val="0"/>
          <w:marBottom w:val="0"/>
          <w:divBdr>
            <w:top w:val="none" w:sz="0" w:space="0" w:color="auto"/>
            <w:left w:val="none" w:sz="0" w:space="0" w:color="auto"/>
            <w:bottom w:val="none" w:sz="0" w:space="0" w:color="auto"/>
            <w:right w:val="none" w:sz="0" w:space="0" w:color="auto"/>
          </w:divBdr>
          <w:divsChild>
            <w:div w:id="1046444471">
              <w:marLeft w:val="0"/>
              <w:marRight w:val="0"/>
              <w:marTop w:val="0"/>
              <w:marBottom w:val="0"/>
              <w:divBdr>
                <w:top w:val="none" w:sz="0" w:space="0" w:color="auto"/>
                <w:left w:val="none" w:sz="0" w:space="0" w:color="auto"/>
                <w:bottom w:val="none" w:sz="0" w:space="0" w:color="auto"/>
                <w:right w:val="none" w:sz="0" w:space="0" w:color="auto"/>
              </w:divBdr>
            </w:div>
          </w:divsChild>
        </w:div>
        <w:div w:id="112753835">
          <w:marLeft w:val="0"/>
          <w:marRight w:val="0"/>
          <w:marTop w:val="0"/>
          <w:marBottom w:val="0"/>
          <w:divBdr>
            <w:top w:val="none" w:sz="0" w:space="0" w:color="auto"/>
            <w:left w:val="none" w:sz="0" w:space="0" w:color="auto"/>
            <w:bottom w:val="none" w:sz="0" w:space="0" w:color="auto"/>
            <w:right w:val="none" w:sz="0" w:space="0" w:color="auto"/>
          </w:divBdr>
          <w:divsChild>
            <w:div w:id="34431727">
              <w:marLeft w:val="0"/>
              <w:marRight w:val="0"/>
              <w:marTop w:val="0"/>
              <w:marBottom w:val="0"/>
              <w:divBdr>
                <w:top w:val="none" w:sz="0" w:space="0" w:color="auto"/>
                <w:left w:val="none" w:sz="0" w:space="0" w:color="auto"/>
                <w:bottom w:val="none" w:sz="0" w:space="0" w:color="auto"/>
                <w:right w:val="none" w:sz="0" w:space="0" w:color="auto"/>
              </w:divBdr>
            </w:div>
          </w:divsChild>
        </w:div>
        <w:div w:id="130944123">
          <w:marLeft w:val="0"/>
          <w:marRight w:val="0"/>
          <w:marTop w:val="0"/>
          <w:marBottom w:val="0"/>
          <w:divBdr>
            <w:top w:val="none" w:sz="0" w:space="0" w:color="auto"/>
            <w:left w:val="none" w:sz="0" w:space="0" w:color="auto"/>
            <w:bottom w:val="none" w:sz="0" w:space="0" w:color="auto"/>
            <w:right w:val="none" w:sz="0" w:space="0" w:color="auto"/>
          </w:divBdr>
          <w:divsChild>
            <w:div w:id="1291210995">
              <w:marLeft w:val="0"/>
              <w:marRight w:val="0"/>
              <w:marTop w:val="0"/>
              <w:marBottom w:val="0"/>
              <w:divBdr>
                <w:top w:val="none" w:sz="0" w:space="0" w:color="auto"/>
                <w:left w:val="none" w:sz="0" w:space="0" w:color="auto"/>
                <w:bottom w:val="none" w:sz="0" w:space="0" w:color="auto"/>
                <w:right w:val="none" w:sz="0" w:space="0" w:color="auto"/>
              </w:divBdr>
            </w:div>
          </w:divsChild>
        </w:div>
        <w:div w:id="150143402">
          <w:marLeft w:val="0"/>
          <w:marRight w:val="0"/>
          <w:marTop w:val="0"/>
          <w:marBottom w:val="0"/>
          <w:divBdr>
            <w:top w:val="none" w:sz="0" w:space="0" w:color="auto"/>
            <w:left w:val="none" w:sz="0" w:space="0" w:color="auto"/>
            <w:bottom w:val="none" w:sz="0" w:space="0" w:color="auto"/>
            <w:right w:val="none" w:sz="0" w:space="0" w:color="auto"/>
          </w:divBdr>
          <w:divsChild>
            <w:div w:id="2010742543">
              <w:marLeft w:val="0"/>
              <w:marRight w:val="0"/>
              <w:marTop w:val="0"/>
              <w:marBottom w:val="0"/>
              <w:divBdr>
                <w:top w:val="none" w:sz="0" w:space="0" w:color="auto"/>
                <w:left w:val="none" w:sz="0" w:space="0" w:color="auto"/>
                <w:bottom w:val="none" w:sz="0" w:space="0" w:color="auto"/>
                <w:right w:val="none" w:sz="0" w:space="0" w:color="auto"/>
              </w:divBdr>
            </w:div>
          </w:divsChild>
        </w:div>
        <w:div w:id="171923004">
          <w:marLeft w:val="0"/>
          <w:marRight w:val="0"/>
          <w:marTop w:val="0"/>
          <w:marBottom w:val="0"/>
          <w:divBdr>
            <w:top w:val="none" w:sz="0" w:space="0" w:color="auto"/>
            <w:left w:val="none" w:sz="0" w:space="0" w:color="auto"/>
            <w:bottom w:val="none" w:sz="0" w:space="0" w:color="auto"/>
            <w:right w:val="none" w:sz="0" w:space="0" w:color="auto"/>
          </w:divBdr>
          <w:divsChild>
            <w:div w:id="1513881770">
              <w:marLeft w:val="0"/>
              <w:marRight w:val="0"/>
              <w:marTop w:val="0"/>
              <w:marBottom w:val="0"/>
              <w:divBdr>
                <w:top w:val="none" w:sz="0" w:space="0" w:color="auto"/>
                <w:left w:val="none" w:sz="0" w:space="0" w:color="auto"/>
                <w:bottom w:val="none" w:sz="0" w:space="0" w:color="auto"/>
                <w:right w:val="none" w:sz="0" w:space="0" w:color="auto"/>
              </w:divBdr>
            </w:div>
          </w:divsChild>
        </w:div>
        <w:div w:id="183205506">
          <w:marLeft w:val="0"/>
          <w:marRight w:val="0"/>
          <w:marTop w:val="0"/>
          <w:marBottom w:val="0"/>
          <w:divBdr>
            <w:top w:val="none" w:sz="0" w:space="0" w:color="auto"/>
            <w:left w:val="none" w:sz="0" w:space="0" w:color="auto"/>
            <w:bottom w:val="none" w:sz="0" w:space="0" w:color="auto"/>
            <w:right w:val="none" w:sz="0" w:space="0" w:color="auto"/>
          </w:divBdr>
          <w:divsChild>
            <w:div w:id="739985827">
              <w:marLeft w:val="0"/>
              <w:marRight w:val="0"/>
              <w:marTop w:val="0"/>
              <w:marBottom w:val="0"/>
              <w:divBdr>
                <w:top w:val="none" w:sz="0" w:space="0" w:color="auto"/>
                <w:left w:val="none" w:sz="0" w:space="0" w:color="auto"/>
                <w:bottom w:val="none" w:sz="0" w:space="0" w:color="auto"/>
                <w:right w:val="none" w:sz="0" w:space="0" w:color="auto"/>
              </w:divBdr>
            </w:div>
          </w:divsChild>
        </w:div>
        <w:div w:id="237402535">
          <w:marLeft w:val="0"/>
          <w:marRight w:val="0"/>
          <w:marTop w:val="0"/>
          <w:marBottom w:val="0"/>
          <w:divBdr>
            <w:top w:val="none" w:sz="0" w:space="0" w:color="auto"/>
            <w:left w:val="none" w:sz="0" w:space="0" w:color="auto"/>
            <w:bottom w:val="none" w:sz="0" w:space="0" w:color="auto"/>
            <w:right w:val="none" w:sz="0" w:space="0" w:color="auto"/>
          </w:divBdr>
          <w:divsChild>
            <w:div w:id="362024804">
              <w:marLeft w:val="0"/>
              <w:marRight w:val="0"/>
              <w:marTop w:val="0"/>
              <w:marBottom w:val="0"/>
              <w:divBdr>
                <w:top w:val="none" w:sz="0" w:space="0" w:color="auto"/>
                <w:left w:val="none" w:sz="0" w:space="0" w:color="auto"/>
                <w:bottom w:val="none" w:sz="0" w:space="0" w:color="auto"/>
                <w:right w:val="none" w:sz="0" w:space="0" w:color="auto"/>
              </w:divBdr>
            </w:div>
          </w:divsChild>
        </w:div>
        <w:div w:id="249588819">
          <w:marLeft w:val="0"/>
          <w:marRight w:val="0"/>
          <w:marTop w:val="0"/>
          <w:marBottom w:val="0"/>
          <w:divBdr>
            <w:top w:val="none" w:sz="0" w:space="0" w:color="auto"/>
            <w:left w:val="none" w:sz="0" w:space="0" w:color="auto"/>
            <w:bottom w:val="none" w:sz="0" w:space="0" w:color="auto"/>
            <w:right w:val="none" w:sz="0" w:space="0" w:color="auto"/>
          </w:divBdr>
          <w:divsChild>
            <w:div w:id="1440687270">
              <w:marLeft w:val="0"/>
              <w:marRight w:val="0"/>
              <w:marTop w:val="0"/>
              <w:marBottom w:val="0"/>
              <w:divBdr>
                <w:top w:val="none" w:sz="0" w:space="0" w:color="auto"/>
                <w:left w:val="none" w:sz="0" w:space="0" w:color="auto"/>
                <w:bottom w:val="none" w:sz="0" w:space="0" w:color="auto"/>
                <w:right w:val="none" w:sz="0" w:space="0" w:color="auto"/>
              </w:divBdr>
            </w:div>
          </w:divsChild>
        </w:div>
        <w:div w:id="273169459">
          <w:marLeft w:val="0"/>
          <w:marRight w:val="0"/>
          <w:marTop w:val="0"/>
          <w:marBottom w:val="0"/>
          <w:divBdr>
            <w:top w:val="none" w:sz="0" w:space="0" w:color="auto"/>
            <w:left w:val="none" w:sz="0" w:space="0" w:color="auto"/>
            <w:bottom w:val="none" w:sz="0" w:space="0" w:color="auto"/>
            <w:right w:val="none" w:sz="0" w:space="0" w:color="auto"/>
          </w:divBdr>
          <w:divsChild>
            <w:div w:id="1596016395">
              <w:marLeft w:val="0"/>
              <w:marRight w:val="0"/>
              <w:marTop w:val="0"/>
              <w:marBottom w:val="0"/>
              <w:divBdr>
                <w:top w:val="none" w:sz="0" w:space="0" w:color="auto"/>
                <w:left w:val="none" w:sz="0" w:space="0" w:color="auto"/>
                <w:bottom w:val="none" w:sz="0" w:space="0" w:color="auto"/>
                <w:right w:val="none" w:sz="0" w:space="0" w:color="auto"/>
              </w:divBdr>
            </w:div>
          </w:divsChild>
        </w:div>
        <w:div w:id="281309601">
          <w:marLeft w:val="0"/>
          <w:marRight w:val="0"/>
          <w:marTop w:val="0"/>
          <w:marBottom w:val="0"/>
          <w:divBdr>
            <w:top w:val="none" w:sz="0" w:space="0" w:color="auto"/>
            <w:left w:val="none" w:sz="0" w:space="0" w:color="auto"/>
            <w:bottom w:val="none" w:sz="0" w:space="0" w:color="auto"/>
            <w:right w:val="none" w:sz="0" w:space="0" w:color="auto"/>
          </w:divBdr>
          <w:divsChild>
            <w:div w:id="1600333914">
              <w:marLeft w:val="0"/>
              <w:marRight w:val="0"/>
              <w:marTop w:val="0"/>
              <w:marBottom w:val="0"/>
              <w:divBdr>
                <w:top w:val="none" w:sz="0" w:space="0" w:color="auto"/>
                <w:left w:val="none" w:sz="0" w:space="0" w:color="auto"/>
                <w:bottom w:val="none" w:sz="0" w:space="0" w:color="auto"/>
                <w:right w:val="none" w:sz="0" w:space="0" w:color="auto"/>
              </w:divBdr>
            </w:div>
          </w:divsChild>
        </w:div>
        <w:div w:id="317660563">
          <w:marLeft w:val="0"/>
          <w:marRight w:val="0"/>
          <w:marTop w:val="0"/>
          <w:marBottom w:val="0"/>
          <w:divBdr>
            <w:top w:val="none" w:sz="0" w:space="0" w:color="auto"/>
            <w:left w:val="none" w:sz="0" w:space="0" w:color="auto"/>
            <w:bottom w:val="none" w:sz="0" w:space="0" w:color="auto"/>
            <w:right w:val="none" w:sz="0" w:space="0" w:color="auto"/>
          </w:divBdr>
          <w:divsChild>
            <w:div w:id="841745068">
              <w:marLeft w:val="0"/>
              <w:marRight w:val="0"/>
              <w:marTop w:val="0"/>
              <w:marBottom w:val="0"/>
              <w:divBdr>
                <w:top w:val="none" w:sz="0" w:space="0" w:color="auto"/>
                <w:left w:val="none" w:sz="0" w:space="0" w:color="auto"/>
                <w:bottom w:val="none" w:sz="0" w:space="0" w:color="auto"/>
                <w:right w:val="none" w:sz="0" w:space="0" w:color="auto"/>
              </w:divBdr>
            </w:div>
          </w:divsChild>
        </w:div>
        <w:div w:id="323166965">
          <w:marLeft w:val="0"/>
          <w:marRight w:val="0"/>
          <w:marTop w:val="0"/>
          <w:marBottom w:val="0"/>
          <w:divBdr>
            <w:top w:val="none" w:sz="0" w:space="0" w:color="auto"/>
            <w:left w:val="none" w:sz="0" w:space="0" w:color="auto"/>
            <w:bottom w:val="none" w:sz="0" w:space="0" w:color="auto"/>
            <w:right w:val="none" w:sz="0" w:space="0" w:color="auto"/>
          </w:divBdr>
          <w:divsChild>
            <w:div w:id="638338140">
              <w:marLeft w:val="0"/>
              <w:marRight w:val="0"/>
              <w:marTop w:val="0"/>
              <w:marBottom w:val="0"/>
              <w:divBdr>
                <w:top w:val="none" w:sz="0" w:space="0" w:color="auto"/>
                <w:left w:val="none" w:sz="0" w:space="0" w:color="auto"/>
                <w:bottom w:val="none" w:sz="0" w:space="0" w:color="auto"/>
                <w:right w:val="none" w:sz="0" w:space="0" w:color="auto"/>
              </w:divBdr>
            </w:div>
          </w:divsChild>
        </w:div>
        <w:div w:id="339358449">
          <w:marLeft w:val="0"/>
          <w:marRight w:val="0"/>
          <w:marTop w:val="0"/>
          <w:marBottom w:val="0"/>
          <w:divBdr>
            <w:top w:val="none" w:sz="0" w:space="0" w:color="auto"/>
            <w:left w:val="none" w:sz="0" w:space="0" w:color="auto"/>
            <w:bottom w:val="none" w:sz="0" w:space="0" w:color="auto"/>
            <w:right w:val="none" w:sz="0" w:space="0" w:color="auto"/>
          </w:divBdr>
          <w:divsChild>
            <w:div w:id="833839091">
              <w:marLeft w:val="0"/>
              <w:marRight w:val="0"/>
              <w:marTop w:val="0"/>
              <w:marBottom w:val="0"/>
              <w:divBdr>
                <w:top w:val="none" w:sz="0" w:space="0" w:color="auto"/>
                <w:left w:val="none" w:sz="0" w:space="0" w:color="auto"/>
                <w:bottom w:val="none" w:sz="0" w:space="0" w:color="auto"/>
                <w:right w:val="none" w:sz="0" w:space="0" w:color="auto"/>
              </w:divBdr>
            </w:div>
          </w:divsChild>
        </w:div>
        <w:div w:id="346639035">
          <w:marLeft w:val="0"/>
          <w:marRight w:val="0"/>
          <w:marTop w:val="0"/>
          <w:marBottom w:val="0"/>
          <w:divBdr>
            <w:top w:val="none" w:sz="0" w:space="0" w:color="auto"/>
            <w:left w:val="none" w:sz="0" w:space="0" w:color="auto"/>
            <w:bottom w:val="none" w:sz="0" w:space="0" w:color="auto"/>
            <w:right w:val="none" w:sz="0" w:space="0" w:color="auto"/>
          </w:divBdr>
          <w:divsChild>
            <w:div w:id="2132359316">
              <w:marLeft w:val="0"/>
              <w:marRight w:val="0"/>
              <w:marTop w:val="0"/>
              <w:marBottom w:val="0"/>
              <w:divBdr>
                <w:top w:val="none" w:sz="0" w:space="0" w:color="auto"/>
                <w:left w:val="none" w:sz="0" w:space="0" w:color="auto"/>
                <w:bottom w:val="none" w:sz="0" w:space="0" w:color="auto"/>
                <w:right w:val="none" w:sz="0" w:space="0" w:color="auto"/>
              </w:divBdr>
            </w:div>
          </w:divsChild>
        </w:div>
        <w:div w:id="359669286">
          <w:marLeft w:val="0"/>
          <w:marRight w:val="0"/>
          <w:marTop w:val="0"/>
          <w:marBottom w:val="0"/>
          <w:divBdr>
            <w:top w:val="none" w:sz="0" w:space="0" w:color="auto"/>
            <w:left w:val="none" w:sz="0" w:space="0" w:color="auto"/>
            <w:bottom w:val="none" w:sz="0" w:space="0" w:color="auto"/>
            <w:right w:val="none" w:sz="0" w:space="0" w:color="auto"/>
          </w:divBdr>
          <w:divsChild>
            <w:div w:id="847989242">
              <w:marLeft w:val="0"/>
              <w:marRight w:val="0"/>
              <w:marTop w:val="0"/>
              <w:marBottom w:val="0"/>
              <w:divBdr>
                <w:top w:val="none" w:sz="0" w:space="0" w:color="auto"/>
                <w:left w:val="none" w:sz="0" w:space="0" w:color="auto"/>
                <w:bottom w:val="none" w:sz="0" w:space="0" w:color="auto"/>
                <w:right w:val="none" w:sz="0" w:space="0" w:color="auto"/>
              </w:divBdr>
            </w:div>
          </w:divsChild>
        </w:div>
        <w:div w:id="369305926">
          <w:marLeft w:val="0"/>
          <w:marRight w:val="0"/>
          <w:marTop w:val="0"/>
          <w:marBottom w:val="0"/>
          <w:divBdr>
            <w:top w:val="none" w:sz="0" w:space="0" w:color="auto"/>
            <w:left w:val="none" w:sz="0" w:space="0" w:color="auto"/>
            <w:bottom w:val="none" w:sz="0" w:space="0" w:color="auto"/>
            <w:right w:val="none" w:sz="0" w:space="0" w:color="auto"/>
          </w:divBdr>
          <w:divsChild>
            <w:div w:id="1663585790">
              <w:marLeft w:val="0"/>
              <w:marRight w:val="0"/>
              <w:marTop w:val="0"/>
              <w:marBottom w:val="0"/>
              <w:divBdr>
                <w:top w:val="none" w:sz="0" w:space="0" w:color="auto"/>
                <w:left w:val="none" w:sz="0" w:space="0" w:color="auto"/>
                <w:bottom w:val="none" w:sz="0" w:space="0" w:color="auto"/>
                <w:right w:val="none" w:sz="0" w:space="0" w:color="auto"/>
              </w:divBdr>
            </w:div>
          </w:divsChild>
        </w:div>
        <w:div w:id="371928696">
          <w:marLeft w:val="0"/>
          <w:marRight w:val="0"/>
          <w:marTop w:val="0"/>
          <w:marBottom w:val="0"/>
          <w:divBdr>
            <w:top w:val="none" w:sz="0" w:space="0" w:color="auto"/>
            <w:left w:val="none" w:sz="0" w:space="0" w:color="auto"/>
            <w:bottom w:val="none" w:sz="0" w:space="0" w:color="auto"/>
            <w:right w:val="none" w:sz="0" w:space="0" w:color="auto"/>
          </w:divBdr>
          <w:divsChild>
            <w:div w:id="1098672583">
              <w:marLeft w:val="0"/>
              <w:marRight w:val="0"/>
              <w:marTop w:val="0"/>
              <w:marBottom w:val="0"/>
              <w:divBdr>
                <w:top w:val="none" w:sz="0" w:space="0" w:color="auto"/>
                <w:left w:val="none" w:sz="0" w:space="0" w:color="auto"/>
                <w:bottom w:val="none" w:sz="0" w:space="0" w:color="auto"/>
                <w:right w:val="none" w:sz="0" w:space="0" w:color="auto"/>
              </w:divBdr>
            </w:div>
          </w:divsChild>
        </w:div>
        <w:div w:id="381951583">
          <w:marLeft w:val="0"/>
          <w:marRight w:val="0"/>
          <w:marTop w:val="0"/>
          <w:marBottom w:val="0"/>
          <w:divBdr>
            <w:top w:val="none" w:sz="0" w:space="0" w:color="auto"/>
            <w:left w:val="none" w:sz="0" w:space="0" w:color="auto"/>
            <w:bottom w:val="none" w:sz="0" w:space="0" w:color="auto"/>
            <w:right w:val="none" w:sz="0" w:space="0" w:color="auto"/>
          </w:divBdr>
          <w:divsChild>
            <w:div w:id="795219343">
              <w:marLeft w:val="0"/>
              <w:marRight w:val="0"/>
              <w:marTop w:val="0"/>
              <w:marBottom w:val="0"/>
              <w:divBdr>
                <w:top w:val="none" w:sz="0" w:space="0" w:color="auto"/>
                <w:left w:val="none" w:sz="0" w:space="0" w:color="auto"/>
                <w:bottom w:val="none" w:sz="0" w:space="0" w:color="auto"/>
                <w:right w:val="none" w:sz="0" w:space="0" w:color="auto"/>
              </w:divBdr>
            </w:div>
          </w:divsChild>
        </w:div>
        <w:div w:id="393311875">
          <w:marLeft w:val="0"/>
          <w:marRight w:val="0"/>
          <w:marTop w:val="0"/>
          <w:marBottom w:val="0"/>
          <w:divBdr>
            <w:top w:val="none" w:sz="0" w:space="0" w:color="auto"/>
            <w:left w:val="none" w:sz="0" w:space="0" w:color="auto"/>
            <w:bottom w:val="none" w:sz="0" w:space="0" w:color="auto"/>
            <w:right w:val="none" w:sz="0" w:space="0" w:color="auto"/>
          </w:divBdr>
          <w:divsChild>
            <w:div w:id="958293070">
              <w:marLeft w:val="0"/>
              <w:marRight w:val="0"/>
              <w:marTop w:val="0"/>
              <w:marBottom w:val="0"/>
              <w:divBdr>
                <w:top w:val="none" w:sz="0" w:space="0" w:color="auto"/>
                <w:left w:val="none" w:sz="0" w:space="0" w:color="auto"/>
                <w:bottom w:val="none" w:sz="0" w:space="0" w:color="auto"/>
                <w:right w:val="none" w:sz="0" w:space="0" w:color="auto"/>
              </w:divBdr>
            </w:div>
          </w:divsChild>
        </w:div>
        <w:div w:id="436869493">
          <w:marLeft w:val="0"/>
          <w:marRight w:val="0"/>
          <w:marTop w:val="0"/>
          <w:marBottom w:val="0"/>
          <w:divBdr>
            <w:top w:val="none" w:sz="0" w:space="0" w:color="auto"/>
            <w:left w:val="none" w:sz="0" w:space="0" w:color="auto"/>
            <w:bottom w:val="none" w:sz="0" w:space="0" w:color="auto"/>
            <w:right w:val="none" w:sz="0" w:space="0" w:color="auto"/>
          </w:divBdr>
          <w:divsChild>
            <w:div w:id="1463499100">
              <w:marLeft w:val="0"/>
              <w:marRight w:val="0"/>
              <w:marTop w:val="0"/>
              <w:marBottom w:val="0"/>
              <w:divBdr>
                <w:top w:val="none" w:sz="0" w:space="0" w:color="auto"/>
                <w:left w:val="none" w:sz="0" w:space="0" w:color="auto"/>
                <w:bottom w:val="none" w:sz="0" w:space="0" w:color="auto"/>
                <w:right w:val="none" w:sz="0" w:space="0" w:color="auto"/>
              </w:divBdr>
            </w:div>
          </w:divsChild>
        </w:div>
        <w:div w:id="440301927">
          <w:marLeft w:val="0"/>
          <w:marRight w:val="0"/>
          <w:marTop w:val="0"/>
          <w:marBottom w:val="0"/>
          <w:divBdr>
            <w:top w:val="none" w:sz="0" w:space="0" w:color="auto"/>
            <w:left w:val="none" w:sz="0" w:space="0" w:color="auto"/>
            <w:bottom w:val="none" w:sz="0" w:space="0" w:color="auto"/>
            <w:right w:val="none" w:sz="0" w:space="0" w:color="auto"/>
          </w:divBdr>
          <w:divsChild>
            <w:div w:id="1176727947">
              <w:marLeft w:val="0"/>
              <w:marRight w:val="0"/>
              <w:marTop w:val="0"/>
              <w:marBottom w:val="0"/>
              <w:divBdr>
                <w:top w:val="none" w:sz="0" w:space="0" w:color="auto"/>
                <w:left w:val="none" w:sz="0" w:space="0" w:color="auto"/>
                <w:bottom w:val="none" w:sz="0" w:space="0" w:color="auto"/>
                <w:right w:val="none" w:sz="0" w:space="0" w:color="auto"/>
              </w:divBdr>
            </w:div>
          </w:divsChild>
        </w:div>
        <w:div w:id="471795254">
          <w:marLeft w:val="0"/>
          <w:marRight w:val="0"/>
          <w:marTop w:val="0"/>
          <w:marBottom w:val="0"/>
          <w:divBdr>
            <w:top w:val="none" w:sz="0" w:space="0" w:color="auto"/>
            <w:left w:val="none" w:sz="0" w:space="0" w:color="auto"/>
            <w:bottom w:val="none" w:sz="0" w:space="0" w:color="auto"/>
            <w:right w:val="none" w:sz="0" w:space="0" w:color="auto"/>
          </w:divBdr>
          <w:divsChild>
            <w:div w:id="1987202584">
              <w:marLeft w:val="0"/>
              <w:marRight w:val="0"/>
              <w:marTop w:val="0"/>
              <w:marBottom w:val="0"/>
              <w:divBdr>
                <w:top w:val="none" w:sz="0" w:space="0" w:color="auto"/>
                <w:left w:val="none" w:sz="0" w:space="0" w:color="auto"/>
                <w:bottom w:val="none" w:sz="0" w:space="0" w:color="auto"/>
                <w:right w:val="none" w:sz="0" w:space="0" w:color="auto"/>
              </w:divBdr>
            </w:div>
          </w:divsChild>
        </w:div>
        <w:div w:id="488836571">
          <w:marLeft w:val="0"/>
          <w:marRight w:val="0"/>
          <w:marTop w:val="0"/>
          <w:marBottom w:val="0"/>
          <w:divBdr>
            <w:top w:val="none" w:sz="0" w:space="0" w:color="auto"/>
            <w:left w:val="none" w:sz="0" w:space="0" w:color="auto"/>
            <w:bottom w:val="none" w:sz="0" w:space="0" w:color="auto"/>
            <w:right w:val="none" w:sz="0" w:space="0" w:color="auto"/>
          </w:divBdr>
          <w:divsChild>
            <w:div w:id="1314941953">
              <w:marLeft w:val="0"/>
              <w:marRight w:val="0"/>
              <w:marTop w:val="0"/>
              <w:marBottom w:val="0"/>
              <w:divBdr>
                <w:top w:val="none" w:sz="0" w:space="0" w:color="auto"/>
                <w:left w:val="none" w:sz="0" w:space="0" w:color="auto"/>
                <w:bottom w:val="none" w:sz="0" w:space="0" w:color="auto"/>
                <w:right w:val="none" w:sz="0" w:space="0" w:color="auto"/>
              </w:divBdr>
            </w:div>
          </w:divsChild>
        </w:div>
        <w:div w:id="493960945">
          <w:marLeft w:val="0"/>
          <w:marRight w:val="0"/>
          <w:marTop w:val="0"/>
          <w:marBottom w:val="0"/>
          <w:divBdr>
            <w:top w:val="none" w:sz="0" w:space="0" w:color="auto"/>
            <w:left w:val="none" w:sz="0" w:space="0" w:color="auto"/>
            <w:bottom w:val="none" w:sz="0" w:space="0" w:color="auto"/>
            <w:right w:val="none" w:sz="0" w:space="0" w:color="auto"/>
          </w:divBdr>
          <w:divsChild>
            <w:div w:id="438643736">
              <w:marLeft w:val="0"/>
              <w:marRight w:val="0"/>
              <w:marTop w:val="0"/>
              <w:marBottom w:val="0"/>
              <w:divBdr>
                <w:top w:val="none" w:sz="0" w:space="0" w:color="auto"/>
                <w:left w:val="none" w:sz="0" w:space="0" w:color="auto"/>
                <w:bottom w:val="none" w:sz="0" w:space="0" w:color="auto"/>
                <w:right w:val="none" w:sz="0" w:space="0" w:color="auto"/>
              </w:divBdr>
            </w:div>
          </w:divsChild>
        </w:div>
        <w:div w:id="543367762">
          <w:marLeft w:val="0"/>
          <w:marRight w:val="0"/>
          <w:marTop w:val="0"/>
          <w:marBottom w:val="0"/>
          <w:divBdr>
            <w:top w:val="none" w:sz="0" w:space="0" w:color="auto"/>
            <w:left w:val="none" w:sz="0" w:space="0" w:color="auto"/>
            <w:bottom w:val="none" w:sz="0" w:space="0" w:color="auto"/>
            <w:right w:val="none" w:sz="0" w:space="0" w:color="auto"/>
          </w:divBdr>
          <w:divsChild>
            <w:div w:id="1775400659">
              <w:marLeft w:val="0"/>
              <w:marRight w:val="0"/>
              <w:marTop w:val="0"/>
              <w:marBottom w:val="0"/>
              <w:divBdr>
                <w:top w:val="none" w:sz="0" w:space="0" w:color="auto"/>
                <w:left w:val="none" w:sz="0" w:space="0" w:color="auto"/>
                <w:bottom w:val="none" w:sz="0" w:space="0" w:color="auto"/>
                <w:right w:val="none" w:sz="0" w:space="0" w:color="auto"/>
              </w:divBdr>
            </w:div>
          </w:divsChild>
        </w:div>
        <w:div w:id="599528694">
          <w:marLeft w:val="0"/>
          <w:marRight w:val="0"/>
          <w:marTop w:val="0"/>
          <w:marBottom w:val="0"/>
          <w:divBdr>
            <w:top w:val="none" w:sz="0" w:space="0" w:color="auto"/>
            <w:left w:val="none" w:sz="0" w:space="0" w:color="auto"/>
            <w:bottom w:val="none" w:sz="0" w:space="0" w:color="auto"/>
            <w:right w:val="none" w:sz="0" w:space="0" w:color="auto"/>
          </w:divBdr>
          <w:divsChild>
            <w:div w:id="1562640508">
              <w:marLeft w:val="0"/>
              <w:marRight w:val="0"/>
              <w:marTop w:val="0"/>
              <w:marBottom w:val="0"/>
              <w:divBdr>
                <w:top w:val="none" w:sz="0" w:space="0" w:color="auto"/>
                <w:left w:val="none" w:sz="0" w:space="0" w:color="auto"/>
                <w:bottom w:val="none" w:sz="0" w:space="0" w:color="auto"/>
                <w:right w:val="none" w:sz="0" w:space="0" w:color="auto"/>
              </w:divBdr>
            </w:div>
          </w:divsChild>
        </w:div>
        <w:div w:id="612639014">
          <w:marLeft w:val="0"/>
          <w:marRight w:val="0"/>
          <w:marTop w:val="0"/>
          <w:marBottom w:val="0"/>
          <w:divBdr>
            <w:top w:val="none" w:sz="0" w:space="0" w:color="auto"/>
            <w:left w:val="none" w:sz="0" w:space="0" w:color="auto"/>
            <w:bottom w:val="none" w:sz="0" w:space="0" w:color="auto"/>
            <w:right w:val="none" w:sz="0" w:space="0" w:color="auto"/>
          </w:divBdr>
          <w:divsChild>
            <w:div w:id="1160775918">
              <w:marLeft w:val="0"/>
              <w:marRight w:val="0"/>
              <w:marTop w:val="0"/>
              <w:marBottom w:val="0"/>
              <w:divBdr>
                <w:top w:val="none" w:sz="0" w:space="0" w:color="auto"/>
                <w:left w:val="none" w:sz="0" w:space="0" w:color="auto"/>
                <w:bottom w:val="none" w:sz="0" w:space="0" w:color="auto"/>
                <w:right w:val="none" w:sz="0" w:space="0" w:color="auto"/>
              </w:divBdr>
            </w:div>
          </w:divsChild>
        </w:div>
        <w:div w:id="622539906">
          <w:marLeft w:val="0"/>
          <w:marRight w:val="0"/>
          <w:marTop w:val="0"/>
          <w:marBottom w:val="0"/>
          <w:divBdr>
            <w:top w:val="none" w:sz="0" w:space="0" w:color="auto"/>
            <w:left w:val="none" w:sz="0" w:space="0" w:color="auto"/>
            <w:bottom w:val="none" w:sz="0" w:space="0" w:color="auto"/>
            <w:right w:val="none" w:sz="0" w:space="0" w:color="auto"/>
          </w:divBdr>
          <w:divsChild>
            <w:div w:id="1927688863">
              <w:marLeft w:val="0"/>
              <w:marRight w:val="0"/>
              <w:marTop w:val="0"/>
              <w:marBottom w:val="0"/>
              <w:divBdr>
                <w:top w:val="none" w:sz="0" w:space="0" w:color="auto"/>
                <w:left w:val="none" w:sz="0" w:space="0" w:color="auto"/>
                <w:bottom w:val="none" w:sz="0" w:space="0" w:color="auto"/>
                <w:right w:val="none" w:sz="0" w:space="0" w:color="auto"/>
              </w:divBdr>
            </w:div>
          </w:divsChild>
        </w:div>
        <w:div w:id="670378208">
          <w:marLeft w:val="0"/>
          <w:marRight w:val="0"/>
          <w:marTop w:val="0"/>
          <w:marBottom w:val="0"/>
          <w:divBdr>
            <w:top w:val="none" w:sz="0" w:space="0" w:color="auto"/>
            <w:left w:val="none" w:sz="0" w:space="0" w:color="auto"/>
            <w:bottom w:val="none" w:sz="0" w:space="0" w:color="auto"/>
            <w:right w:val="none" w:sz="0" w:space="0" w:color="auto"/>
          </w:divBdr>
          <w:divsChild>
            <w:div w:id="1965650329">
              <w:marLeft w:val="0"/>
              <w:marRight w:val="0"/>
              <w:marTop w:val="0"/>
              <w:marBottom w:val="0"/>
              <w:divBdr>
                <w:top w:val="none" w:sz="0" w:space="0" w:color="auto"/>
                <w:left w:val="none" w:sz="0" w:space="0" w:color="auto"/>
                <w:bottom w:val="none" w:sz="0" w:space="0" w:color="auto"/>
                <w:right w:val="none" w:sz="0" w:space="0" w:color="auto"/>
              </w:divBdr>
            </w:div>
          </w:divsChild>
        </w:div>
        <w:div w:id="671105843">
          <w:marLeft w:val="0"/>
          <w:marRight w:val="0"/>
          <w:marTop w:val="0"/>
          <w:marBottom w:val="0"/>
          <w:divBdr>
            <w:top w:val="none" w:sz="0" w:space="0" w:color="auto"/>
            <w:left w:val="none" w:sz="0" w:space="0" w:color="auto"/>
            <w:bottom w:val="none" w:sz="0" w:space="0" w:color="auto"/>
            <w:right w:val="none" w:sz="0" w:space="0" w:color="auto"/>
          </w:divBdr>
          <w:divsChild>
            <w:div w:id="1624573163">
              <w:marLeft w:val="0"/>
              <w:marRight w:val="0"/>
              <w:marTop w:val="0"/>
              <w:marBottom w:val="0"/>
              <w:divBdr>
                <w:top w:val="none" w:sz="0" w:space="0" w:color="auto"/>
                <w:left w:val="none" w:sz="0" w:space="0" w:color="auto"/>
                <w:bottom w:val="none" w:sz="0" w:space="0" w:color="auto"/>
                <w:right w:val="none" w:sz="0" w:space="0" w:color="auto"/>
              </w:divBdr>
            </w:div>
          </w:divsChild>
        </w:div>
        <w:div w:id="681862009">
          <w:marLeft w:val="0"/>
          <w:marRight w:val="0"/>
          <w:marTop w:val="0"/>
          <w:marBottom w:val="0"/>
          <w:divBdr>
            <w:top w:val="none" w:sz="0" w:space="0" w:color="auto"/>
            <w:left w:val="none" w:sz="0" w:space="0" w:color="auto"/>
            <w:bottom w:val="none" w:sz="0" w:space="0" w:color="auto"/>
            <w:right w:val="none" w:sz="0" w:space="0" w:color="auto"/>
          </w:divBdr>
          <w:divsChild>
            <w:div w:id="1790320109">
              <w:marLeft w:val="0"/>
              <w:marRight w:val="0"/>
              <w:marTop w:val="0"/>
              <w:marBottom w:val="0"/>
              <w:divBdr>
                <w:top w:val="none" w:sz="0" w:space="0" w:color="auto"/>
                <w:left w:val="none" w:sz="0" w:space="0" w:color="auto"/>
                <w:bottom w:val="none" w:sz="0" w:space="0" w:color="auto"/>
                <w:right w:val="none" w:sz="0" w:space="0" w:color="auto"/>
              </w:divBdr>
            </w:div>
          </w:divsChild>
        </w:div>
        <w:div w:id="694428675">
          <w:marLeft w:val="0"/>
          <w:marRight w:val="0"/>
          <w:marTop w:val="0"/>
          <w:marBottom w:val="0"/>
          <w:divBdr>
            <w:top w:val="none" w:sz="0" w:space="0" w:color="auto"/>
            <w:left w:val="none" w:sz="0" w:space="0" w:color="auto"/>
            <w:bottom w:val="none" w:sz="0" w:space="0" w:color="auto"/>
            <w:right w:val="none" w:sz="0" w:space="0" w:color="auto"/>
          </w:divBdr>
          <w:divsChild>
            <w:div w:id="1098869331">
              <w:marLeft w:val="0"/>
              <w:marRight w:val="0"/>
              <w:marTop w:val="0"/>
              <w:marBottom w:val="0"/>
              <w:divBdr>
                <w:top w:val="none" w:sz="0" w:space="0" w:color="auto"/>
                <w:left w:val="none" w:sz="0" w:space="0" w:color="auto"/>
                <w:bottom w:val="none" w:sz="0" w:space="0" w:color="auto"/>
                <w:right w:val="none" w:sz="0" w:space="0" w:color="auto"/>
              </w:divBdr>
            </w:div>
          </w:divsChild>
        </w:div>
        <w:div w:id="727843109">
          <w:marLeft w:val="0"/>
          <w:marRight w:val="0"/>
          <w:marTop w:val="0"/>
          <w:marBottom w:val="0"/>
          <w:divBdr>
            <w:top w:val="none" w:sz="0" w:space="0" w:color="auto"/>
            <w:left w:val="none" w:sz="0" w:space="0" w:color="auto"/>
            <w:bottom w:val="none" w:sz="0" w:space="0" w:color="auto"/>
            <w:right w:val="none" w:sz="0" w:space="0" w:color="auto"/>
          </w:divBdr>
          <w:divsChild>
            <w:div w:id="271321967">
              <w:marLeft w:val="0"/>
              <w:marRight w:val="0"/>
              <w:marTop w:val="0"/>
              <w:marBottom w:val="0"/>
              <w:divBdr>
                <w:top w:val="none" w:sz="0" w:space="0" w:color="auto"/>
                <w:left w:val="none" w:sz="0" w:space="0" w:color="auto"/>
                <w:bottom w:val="none" w:sz="0" w:space="0" w:color="auto"/>
                <w:right w:val="none" w:sz="0" w:space="0" w:color="auto"/>
              </w:divBdr>
            </w:div>
          </w:divsChild>
        </w:div>
        <w:div w:id="733964267">
          <w:marLeft w:val="0"/>
          <w:marRight w:val="0"/>
          <w:marTop w:val="0"/>
          <w:marBottom w:val="0"/>
          <w:divBdr>
            <w:top w:val="none" w:sz="0" w:space="0" w:color="auto"/>
            <w:left w:val="none" w:sz="0" w:space="0" w:color="auto"/>
            <w:bottom w:val="none" w:sz="0" w:space="0" w:color="auto"/>
            <w:right w:val="none" w:sz="0" w:space="0" w:color="auto"/>
          </w:divBdr>
          <w:divsChild>
            <w:div w:id="1885678646">
              <w:marLeft w:val="0"/>
              <w:marRight w:val="0"/>
              <w:marTop w:val="0"/>
              <w:marBottom w:val="0"/>
              <w:divBdr>
                <w:top w:val="none" w:sz="0" w:space="0" w:color="auto"/>
                <w:left w:val="none" w:sz="0" w:space="0" w:color="auto"/>
                <w:bottom w:val="none" w:sz="0" w:space="0" w:color="auto"/>
                <w:right w:val="none" w:sz="0" w:space="0" w:color="auto"/>
              </w:divBdr>
            </w:div>
          </w:divsChild>
        </w:div>
        <w:div w:id="773475491">
          <w:marLeft w:val="0"/>
          <w:marRight w:val="0"/>
          <w:marTop w:val="0"/>
          <w:marBottom w:val="0"/>
          <w:divBdr>
            <w:top w:val="none" w:sz="0" w:space="0" w:color="auto"/>
            <w:left w:val="none" w:sz="0" w:space="0" w:color="auto"/>
            <w:bottom w:val="none" w:sz="0" w:space="0" w:color="auto"/>
            <w:right w:val="none" w:sz="0" w:space="0" w:color="auto"/>
          </w:divBdr>
          <w:divsChild>
            <w:div w:id="939528258">
              <w:marLeft w:val="0"/>
              <w:marRight w:val="0"/>
              <w:marTop w:val="0"/>
              <w:marBottom w:val="0"/>
              <w:divBdr>
                <w:top w:val="none" w:sz="0" w:space="0" w:color="auto"/>
                <w:left w:val="none" w:sz="0" w:space="0" w:color="auto"/>
                <w:bottom w:val="none" w:sz="0" w:space="0" w:color="auto"/>
                <w:right w:val="none" w:sz="0" w:space="0" w:color="auto"/>
              </w:divBdr>
            </w:div>
          </w:divsChild>
        </w:div>
        <w:div w:id="783961141">
          <w:marLeft w:val="0"/>
          <w:marRight w:val="0"/>
          <w:marTop w:val="0"/>
          <w:marBottom w:val="0"/>
          <w:divBdr>
            <w:top w:val="none" w:sz="0" w:space="0" w:color="auto"/>
            <w:left w:val="none" w:sz="0" w:space="0" w:color="auto"/>
            <w:bottom w:val="none" w:sz="0" w:space="0" w:color="auto"/>
            <w:right w:val="none" w:sz="0" w:space="0" w:color="auto"/>
          </w:divBdr>
          <w:divsChild>
            <w:div w:id="1462115678">
              <w:marLeft w:val="0"/>
              <w:marRight w:val="0"/>
              <w:marTop w:val="0"/>
              <w:marBottom w:val="0"/>
              <w:divBdr>
                <w:top w:val="none" w:sz="0" w:space="0" w:color="auto"/>
                <w:left w:val="none" w:sz="0" w:space="0" w:color="auto"/>
                <w:bottom w:val="none" w:sz="0" w:space="0" w:color="auto"/>
                <w:right w:val="none" w:sz="0" w:space="0" w:color="auto"/>
              </w:divBdr>
            </w:div>
          </w:divsChild>
        </w:div>
        <w:div w:id="801267208">
          <w:marLeft w:val="0"/>
          <w:marRight w:val="0"/>
          <w:marTop w:val="0"/>
          <w:marBottom w:val="0"/>
          <w:divBdr>
            <w:top w:val="none" w:sz="0" w:space="0" w:color="auto"/>
            <w:left w:val="none" w:sz="0" w:space="0" w:color="auto"/>
            <w:bottom w:val="none" w:sz="0" w:space="0" w:color="auto"/>
            <w:right w:val="none" w:sz="0" w:space="0" w:color="auto"/>
          </w:divBdr>
          <w:divsChild>
            <w:div w:id="2145853220">
              <w:marLeft w:val="0"/>
              <w:marRight w:val="0"/>
              <w:marTop w:val="0"/>
              <w:marBottom w:val="0"/>
              <w:divBdr>
                <w:top w:val="none" w:sz="0" w:space="0" w:color="auto"/>
                <w:left w:val="none" w:sz="0" w:space="0" w:color="auto"/>
                <w:bottom w:val="none" w:sz="0" w:space="0" w:color="auto"/>
                <w:right w:val="none" w:sz="0" w:space="0" w:color="auto"/>
              </w:divBdr>
            </w:div>
          </w:divsChild>
        </w:div>
        <w:div w:id="834876696">
          <w:marLeft w:val="0"/>
          <w:marRight w:val="0"/>
          <w:marTop w:val="0"/>
          <w:marBottom w:val="0"/>
          <w:divBdr>
            <w:top w:val="none" w:sz="0" w:space="0" w:color="auto"/>
            <w:left w:val="none" w:sz="0" w:space="0" w:color="auto"/>
            <w:bottom w:val="none" w:sz="0" w:space="0" w:color="auto"/>
            <w:right w:val="none" w:sz="0" w:space="0" w:color="auto"/>
          </w:divBdr>
          <w:divsChild>
            <w:div w:id="667636710">
              <w:marLeft w:val="0"/>
              <w:marRight w:val="0"/>
              <w:marTop w:val="0"/>
              <w:marBottom w:val="0"/>
              <w:divBdr>
                <w:top w:val="none" w:sz="0" w:space="0" w:color="auto"/>
                <w:left w:val="none" w:sz="0" w:space="0" w:color="auto"/>
                <w:bottom w:val="none" w:sz="0" w:space="0" w:color="auto"/>
                <w:right w:val="none" w:sz="0" w:space="0" w:color="auto"/>
              </w:divBdr>
            </w:div>
          </w:divsChild>
        </w:div>
        <w:div w:id="854150004">
          <w:marLeft w:val="0"/>
          <w:marRight w:val="0"/>
          <w:marTop w:val="0"/>
          <w:marBottom w:val="0"/>
          <w:divBdr>
            <w:top w:val="none" w:sz="0" w:space="0" w:color="auto"/>
            <w:left w:val="none" w:sz="0" w:space="0" w:color="auto"/>
            <w:bottom w:val="none" w:sz="0" w:space="0" w:color="auto"/>
            <w:right w:val="none" w:sz="0" w:space="0" w:color="auto"/>
          </w:divBdr>
          <w:divsChild>
            <w:div w:id="789130681">
              <w:marLeft w:val="0"/>
              <w:marRight w:val="0"/>
              <w:marTop w:val="0"/>
              <w:marBottom w:val="0"/>
              <w:divBdr>
                <w:top w:val="none" w:sz="0" w:space="0" w:color="auto"/>
                <w:left w:val="none" w:sz="0" w:space="0" w:color="auto"/>
                <w:bottom w:val="none" w:sz="0" w:space="0" w:color="auto"/>
                <w:right w:val="none" w:sz="0" w:space="0" w:color="auto"/>
              </w:divBdr>
            </w:div>
          </w:divsChild>
        </w:div>
        <w:div w:id="859513420">
          <w:marLeft w:val="0"/>
          <w:marRight w:val="0"/>
          <w:marTop w:val="0"/>
          <w:marBottom w:val="0"/>
          <w:divBdr>
            <w:top w:val="none" w:sz="0" w:space="0" w:color="auto"/>
            <w:left w:val="none" w:sz="0" w:space="0" w:color="auto"/>
            <w:bottom w:val="none" w:sz="0" w:space="0" w:color="auto"/>
            <w:right w:val="none" w:sz="0" w:space="0" w:color="auto"/>
          </w:divBdr>
          <w:divsChild>
            <w:div w:id="1455370074">
              <w:marLeft w:val="0"/>
              <w:marRight w:val="0"/>
              <w:marTop w:val="0"/>
              <w:marBottom w:val="0"/>
              <w:divBdr>
                <w:top w:val="none" w:sz="0" w:space="0" w:color="auto"/>
                <w:left w:val="none" w:sz="0" w:space="0" w:color="auto"/>
                <w:bottom w:val="none" w:sz="0" w:space="0" w:color="auto"/>
                <w:right w:val="none" w:sz="0" w:space="0" w:color="auto"/>
              </w:divBdr>
            </w:div>
          </w:divsChild>
        </w:div>
        <w:div w:id="870531097">
          <w:marLeft w:val="0"/>
          <w:marRight w:val="0"/>
          <w:marTop w:val="0"/>
          <w:marBottom w:val="0"/>
          <w:divBdr>
            <w:top w:val="none" w:sz="0" w:space="0" w:color="auto"/>
            <w:left w:val="none" w:sz="0" w:space="0" w:color="auto"/>
            <w:bottom w:val="none" w:sz="0" w:space="0" w:color="auto"/>
            <w:right w:val="none" w:sz="0" w:space="0" w:color="auto"/>
          </w:divBdr>
          <w:divsChild>
            <w:div w:id="751660181">
              <w:marLeft w:val="0"/>
              <w:marRight w:val="0"/>
              <w:marTop w:val="0"/>
              <w:marBottom w:val="0"/>
              <w:divBdr>
                <w:top w:val="none" w:sz="0" w:space="0" w:color="auto"/>
                <w:left w:val="none" w:sz="0" w:space="0" w:color="auto"/>
                <w:bottom w:val="none" w:sz="0" w:space="0" w:color="auto"/>
                <w:right w:val="none" w:sz="0" w:space="0" w:color="auto"/>
              </w:divBdr>
            </w:div>
          </w:divsChild>
        </w:div>
        <w:div w:id="897014119">
          <w:marLeft w:val="0"/>
          <w:marRight w:val="0"/>
          <w:marTop w:val="0"/>
          <w:marBottom w:val="0"/>
          <w:divBdr>
            <w:top w:val="none" w:sz="0" w:space="0" w:color="auto"/>
            <w:left w:val="none" w:sz="0" w:space="0" w:color="auto"/>
            <w:bottom w:val="none" w:sz="0" w:space="0" w:color="auto"/>
            <w:right w:val="none" w:sz="0" w:space="0" w:color="auto"/>
          </w:divBdr>
          <w:divsChild>
            <w:div w:id="1906721364">
              <w:marLeft w:val="0"/>
              <w:marRight w:val="0"/>
              <w:marTop w:val="0"/>
              <w:marBottom w:val="0"/>
              <w:divBdr>
                <w:top w:val="none" w:sz="0" w:space="0" w:color="auto"/>
                <w:left w:val="none" w:sz="0" w:space="0" w:color="auto"/>
                <w:bottom w:val="none" w:sz="0" w:space="0" w:color="auto"/>
                <w:right w:val="none" w:sz="0" w:space="0" w:color="auto"/>
              </w:divBdr>
            </w:div>
          </w:divsChild>
        </w:div>
        <w:div w:id="909005854">
          <w:marLeft w:val="0"/>
          <w:marRight w:val="0"/>
          <w:marTop w:val="0"/>
          <w:marBottom w:val="0"/>
          <w:divBdr>
            <w:top w:val="none" w:sz="0" w:space="0" w:color="auto"/>
            <w:left w:val="none" w:sz="0" w:space="0" w:color="auto"/>
            <w:bottom w:val="none" w:sz="0" w:space="0" w:color="auto"/>
            <w:right w:val="none" w:sz="0" w:space="0" w:color="auto"/>
          </w:divBdr>
          <w:divsChild>
            <w:div w:id="153764173">
              <w:marLeft w:val="0"/>
              <w:marRight w:val="0"/>
              <w:marTop w:val="0"/>
              <w:marBottom w:val="0"/>
              <w:divBdr>
                <w:top w:val="none" w:sz="0" w:space="0" w:color="auto"/>
                <w:left w:val="none" w:sz="0" w:space="0" w:color="auto"/>
                <w:bottom w:val="none" w:sz="0" w:space="0" w:color="auto"/>
                <w:right w:val="none" w:sz="0" w:space="0" w:color="auto"/>
              </w:divBdr>
            </w:div>
          </w:divsChild>
        </w:div>
        <w:div w:id="929390221">
          <w:marLeft w:val="0"/>
          <w:marRight w:val="0"/>
          <w:marTop w:val="0"/>
          <w:marBottom w:val="0"/>
          <w:divBdr>
            <w:top w:val="none" w:sz="0" w:space="0" w:color="auto"/>
            <w:left w:val="none" w:sz="0" w:space="0" w:color="auto"/>
            <w:bottom w:val="none" w:sz="0" w:space="0" w:color="auto"/>
            <w:right w:val="none" w:sz="0" w:space="0" w:color="auto"/>
          </w:divBdr>
          <w:divsChild>
            <w:div w:id="1035694363">
              <w:marLeft w:val="0"/>
              <w:marRight w:val="0"/>
              <w:marTop w:val="0"/>
              <w:marBottom w:val="0"/>
              <w:divBdr>
                <w:top w:val="none" w:sz="0" w:space="0" w:color="auto"/>
                <w:left w:val="none" w:sz="0" w:space="0" w:color="auto"/>
                <w:bottom w:val="none" w:sz="0" w:space="0" w:color="auto"/>
                <w:right w:val="none" w:sz="0" w:space="0" w:color="auto"/>
              </w:divBdr>
            </w:div>
          </w:divsChild>
        </w:div>
        <w:div w:id="933434860">
          <w:marLeft w:val="0"/>
          <w:marRight w:val="0"/>
          <w:marTop w:val="0"/>
          <w:marBottom w:val="0"/>
          <w:divBdr>
            <w:top w:val="none" w:sz="0" w:space="0" w:color="auto"/>
            <w:left w:val="none" w:sz="0" w:space="0" w:color="auto"/>
            <w:bottom w:val="none" w:sz="0" w:space="0" w:color="auto"/>
            <w:right w:val="none" w:sz="0" w:space="0" w:color="auto"/>
          </w:divBdr>
          <w:divsChild>
            <w:div w:id="1351905740">
              <w:marLeft w:val="0"/>
              <w:marRight w:val="0"/>
              <w:marTop w:val="0"/>
              <w:marBottom w:val="0"/>
              <w:divBdr>
                <w:top w:val="none" w:sz="0" w:space="0" w:color="auto"/>
                <w:left w:val="none" w:sz="0" w:space="0" w:color="auto"/>
                <w:bottom w:val="none" w:sz="0" w:space="0" w:color="auto"/>
                <w:right w:val="none" w:sz="0" w:space="0" w:color="auto"/>
              </w:divBdr>
            </w:div>
          </w:divsChild>
        </w:div>
        <w:div w:id="957177491">
          <w:marLeft w:val="0"/>
          <w:marRight w:val="0"/>
          <w:marTop w:val="0"/>
          <w:marBottom w:val="0"/>
          <w:divBdr>
            <w:top w:val="none" w:sz="0" w:space="0" w:color="auto"/>
            <w:left w:val="none" w:sz="0" w:space="0" w:color="auto"/>
            <w:bottom w:val="none" w:sz="0" w:space="0" w:color="auto"/>
            <w:right w:val="none" w:sz="0" w:space="0" w:color="auto"/>
          </w:divBdr>
          <w:divsChild>
            <w:div w:id="589463225">
              <w:marLeft w:val="0"/>
              <w:marRight w:val="0"/>
              <w:marTop w:val="0"/>
              <w:marBottom w:val="0"/>
              <w:divBdr>
                <w:top w:val="none" w:sz="0" w:space="0" w:color="auto"/>
                <w:left w:val="none" w:sz="0" w:space="0" w:color="auto"/>
                <w:bottom w:val="none" w:sz="0" w:space="0" w:color="auto"/>
                <w:right w:val="none" w:sz="0" w:space="0" w:color="auto"/>
              </w:divBdr>
            </w:div>
          </w:divsChild>
        </w:div>
        <w:div w:id="980227886">
          <w:marLeft w:val="0"/>
          <w:marRight w:val="0"/>
          <w:marTop w:val="0"/>
          <w:marBottom w:val="0"/>
          <w:divBdr>
            <w:top w:val="none" w:sz="0" w:space="0" w:color="auto"/>
            <w:left w:val="none" w:sz="0" w:space="0" w:color="auto"/>
            <w:bottom w:val="none" w:sz="0" w:space="0" w:color="auto"/>
            <w:right w:val="none" w:sz="0" w:space="0" w:color="auto"/>
          </w:divBdr>
          <w:divsChild>
            <w:div w:id="200095833">
              <w:marLeft w:val="0"/>
              <w:marRight w:val="0"/>
              <w:marTop w:val="0"/>
              <w:marBottom w:val="0"/>
              <w:divBdr>
                <w:top w:val="none" w:sz="0" w:space="0" w:color="auto"/>
                <w:left w:val="none" w:sz="0" w:space="0" w:color="auto"/>
                <w:bottom w:val="none" w:sz="0" w:space="0" w:color="auto"/>
                <w:right w:val="none" w:sz="0" w:space="0" w:color="auto"/>
              </w:divBdr>
            </w:div>
          </w:divsChild>
        </w:div>
        <w:div w:id="989021905">
          <w:marLeft w:val="0"/>
          <w:marRight w:val="0"/>
          <w:marTop w:val="0"/>
          <w:marBottom w:val="0"/>
          <w:divBdr>
            <w:top w:val="none" w:sz="0" w:space="0" w:color="auto"/>
            <w:left w:val="none" w:sz="0" w:space="0" w:color="auto"/>
            <w:bottom w:val="none" w:sz="0" w:space="0" w:color="auto"/>
            <w:right w:val="none" w:sz="0" w:space="0" w:color="auto"/>
          </w:divBdr>
          <w:divsChild>
            <w:div w:id="1770345002">
              <w:marLeft w:val="0"/>
              <w:marRight w:val="0"/>
              <w:marTop w:val="0"/>
              <w:marBottom w:val="0"/>
              <w:divBdr>
                <w:top w:val="none" w:sz="0" w:space="0" w:color="auto"/>
                <w:left w:val="none" w:sz="0" w:space="0" w:color="auto"/>
                <w:bottom w:val="none" w:sz="0" w:space="0" w:color="auto"/>
                <w:right w:val="none" w:sz="0" w:space="0" w:color="auto"/>
              </w:divBdr>
            </w:div>
          </w:divsChild>
        </w:div>
        <w:div w:id="1001349763">
          <w:marLeft w:val="0"/>
          <w:marRight w:val="0"/>
          <w:marTop w:val="0"/>
          <w:marBottom w:val="0"/>
          <w:divBdr>
            <w:top w:val="none" w:sz="0" w:space="0" w:color="auto"/>
            <w:left w:val="none" w:sz="0" w:space="0" w:color="auto"/>
            <w:bottom w:val="none" w:sz="0" w:space="0" w:color="auto"/>
            <w:right w:val="none" w:sz="0" w:space="0" w:color="auto"/>
          </w:divBdr>
          <w:divsChild>
            <w:div w:id="1251161190">
              <w:marLeft w:val="0"/>
              <w:marRight w:val="0"/>
              <w:marTop w:val="0"/>
              <w:marBottom w:val="0"/>
              <w:divBdr>
                <w:top w:val="none" w:sz="0" w:space="0" w:color="auto"/>
                <w:left w:val="none" w:sz="0" w:space="0" w:color="auto"/>
                <w:bottom w:val="none" w:sz="0" w:space="0" w:color="auto"/>
                <w:right w:val="none" w:sz="0" w:space="0" w:color="auto"/>
              </w:divBdr>
            </w:div>
          </w:divsChild>
        </w:div>
        <w:div w:id="1036351985">
          <w:marLeft w:val="0"/>
          <w:marRight w:val="0"/>
          <w:marTop w:val="0"/>
          <w:marBottom w:val="0"/>
          <w:divBdr>
            <w:top w:val="none" w:sz="0" w:space="0" w:color="auto"/>
            <w:left w:val="none" w:sz="0" w:space="0" w:color="auto"/>
            <w:bottom w:val="none" w:sz="0" w:space="0" w:color="auto"/>
            <w:right w:val="none" w:sz="0" w:space="0" w:color="auto"/>
          </w:divBdr>
          <w:divsChild>
            <w:div w:id="1297636450">
              <w:marLeft w:val="0"/>
              <w:marRight w:val="0"/>
              <w:marTop w:val="0"/>
              <w:marBottom w:val="0"/>
              <w:divBdr>
                <w:top w:val="none" w:sz="0" w:space="0" w:color="auto"/>
                <w:left w:val="none" w:sz="0" w:space="0" w:color="auto"/>
                <w:bottom w:val="none" w:sz="0" w:space="0" w:color="auto"/>
                <w:right w:val="none" w:sz="0" w:space="0" w:color="auto"/>
              </w:divBdr>
            </w:div>
          </w:divsChild>
        </w:div>
        <w:div w:id="1045374479">
          <w:marLeft w:val="0"/>
          <w:marRight w:val="0"/>
          <w:marTop w:val="0"/>
          <w:marBottom w:val="0"/>
          <w:divBdr>
            <w:top w:val="none" w:sz="0" w:space="0" w:color="auto"/>
            <w:left w:val="none" w:sz="0" w:space="0" w:color="auto"/>
            <w:bottom w:val="none" w:sz="0" w:space="0" w:color="auto"/>
            <w:right w:val="none" w:sz="0" w:space="0" w:color="auto"/>
          </w:divBdr>
          <w:divsChild>
            <w:div w:id="689068190">
              <w:marLeft w:val="0"/>
              <w:marRight w:val="0"/>
              <w:marTop w:val="0"/>
              <w:marBottom w:val="0"/>
              <w:divBdr>
                <w:top w:val="none" w:sz="0" w:space="0" w:color="auto"/>
                <w:left w:val="none" w:sz="0" w:space="0" w:color="auto"/>
                <w:bottom w:val="none" w:sz="0" w:space="0" w:color="auto"/>
                <w:right w:val="none" w:sz="0" w:space="0" w:color="auto"/>
              </w:divBdr>
            </w:div>
          </w:divsChild>
        </w:div>
        <w:div w:id="1050958823">
          <w:marLeft w:val="0"/>
          <w:marRight w:val="0"/>
          <w:marTop w:val="0"/>
          <w:marBottom w:val="0"/>
          <w:divBdr>
            <w:top w:val="none" w:sz="0" w:space="0" w:color="auto"/>
            <w:left w:val="none" w:sz="0" w:space="0" w:color="auto"/>
            <w:bottom w:val="none" w:sz="0" w:space="0" w:color="auto"/>
            <w:right w:val="none" w:sz="0" w:space="0" w:color="auto"/>
          </w:divBdr>
          <w:divsChild>
            <w:div w:id="62487519">
              <w:marLeft w:val="0"/>
              <w:marRight w:val="0"/>
              <w:marTop w:val="0"/>
              <w:marBottom w:val="0"/>
              <w:divBdr>
                <w:top w:val="none" w:sz="0" w:space="0" w:color="auto"/>
                <w:left w:val="none" w:sz="0" w:space="0" w:color="auto"/>
                <w:bottom w:val="none" w:sz="0" w:space="0" w:color="auto"/>
                <w:right w:val="none" w:sz="0" w:space="0" w:color="auto"/>
              </w:divBdr>
            </w:div>
          </w:divsChild>
        </w:div>
        <w:div w:id="1069574649">
          <w:marLeft w:val="0"/>
          <w:marRight w:val="0"/>
          <w:marTop w:val="0"/>
          <w:marBottom w:val="0"/>
          <w:divBdr>
            <w:top w:val="none" w:sz="0" w:space="0" w:color="auto"/>
            <w:left w:val="none" w:sz="0" w:space="0" w:color="auto"/>
            <w:bottom w:val="none" w:sz="0" w:space="0" w:color="auto"/>
            <w:right w:val="none" w:sz="0" w:space="0" w:color="auto"/>
          </w:divBdr>
          <w:divsChild>
            <w:div w:id="1916238221">
              <w:marLeft w:val="0"/>
              <w:marRight w:val="0"/>
              <w:marTop w:val="0"/>
              <w:marBottom w:val="0"/>
              <w:divBdr>
                <w:top w:val="none" w:sz="0" w:space="0" w:color="auto"/>
                <w:left w:val="none" w:sz="0" w:space="0" w:color="auto"/>
                <w:bottom w:val="none" w:sz="0" w:space="0" w:color="auto"/>
                <w:right w:val="none" w:sz="0" w:space="0" w:color="auto"/>
              </w:divBdr>
            </w:div>
          </w:divsChild>
        </w:div>
        <w:div w:id="1071660083">
          <w:marLeft w:val="0"/>
          <w:marRight w:val="0"/>
          <w:marTop w:val="0"/>
          <w:marBottom w:val="0"/>
          <w:divBdr>
            <w:top w:val="none" w:sz="0" w:space="0" w:color="auto"/>
            <w:left w:val="none" w:sz="0" w:space="0" w:color="auto"/>
            <w:bottom w:val="none" w:sz="0" w:space="0" w:color="auto"/>
            <w:right w:val="none" w:sz="0" w:space="0" w:color="auto"/>
          </w:divBdr>
          <w:divsChild>
            <w:div w:id="1620868353">
              <w:marLeft w:val="0"/>
              <w:marRight w:val="0"/>
              <w:marTop w:val="0"/>
              <w:marBottom w:val="0"/>
              <w:divBdr>
                <w:top w:val="none" w:sz="0" w:space="0" w:color="auto"/>
                <w:left w:val="none" w:sz="0" w:space="0" w:color="auto"/>
                <w:bottom w:val="none" w:sz="0" w:space="0" w:color="auto"/>
                <w:right w:val="none" w:sz="0" w:space="0" w:color="auto"/>
              </w:divBdr>
            </w:div>
          </w:divsChild>
        </w:div>
        <w:div w:id="1113205412">
          <w:marLeft w:val="0"/>
          <w:marRight w:val="0"/>
          <w:marTop w:val="0"/>
          <w:marBottom w:val="0"/>
          <w:divBdr>
            <w:top w:val="none" w:sz="0" w:space="0" w:color="auto"/>
            <w:left w:val="none" w:sz="0" w:space="0" w:color="auto"/>
            <w:bottom w:val="none" w:sz="0" w:space="0" w:color="auto"/>
            <w:right w:val="none" w:sz="0" w:space="0" w:color="auto"/>
          </w:divBdr>
          <w:divsChild>
            <w:div w:id="1120951474">
              <w:marLeft w:val="0"/>
              <w:marRight w:val="0"/>
              <w:marTop w:val="0"/>
              <w:marBottom w:val="0"/>
              <w:divBdr>
                <w:top w:val="none" w:sz="0" w:space="0" w:color="auto"/>
                <w:left w:val="none" w:sz="0" w:space="0" w:color="auto"/>
                <w:bottom w:val="none" w:sz="0" w:space="0" w:color="auto"/>
                <w:right w:val="none" w:sz="0" w:space="0" w:color="auto"/>
              </w:divBdr>
            </w:div>
          </w:divsChild>
        </w:div>
        <w:div w:id="1175997716">
          <w:marLeft w:val="0"/>
          <w:marRight w:val="0"/>
          <w:marTop w:val="0"/>
          <w:marBottom w:val="0"/>
          <w:divBdr>
            <w:top w:val="none" w:sz="0" w:space="0" w:color="auto"/>
            <w:left w:val="none" w:sz="0" w:space="0" w:color="auto"/>
            <w:bottom w:val="none" w:sz="0" w:space="0" w:color="auto"/>
            <w:right w:val="none" w:sz="0" w:space="0" w:color="auto"/>
          </w:divBdr>
          <w:divsChild>
            <w:div w:id="558980621">
              <w:marLeft w:val="0"/>
              <w:marRight w:val="0"/>
              <w:marTop w:val="0"/>
              <w:marBottom w:val="0"/>
              <w:divBdr>
                <w:top w:val="none" w:sz="0" w:space="0" w:color="auto"/>
                <w:left w:val="none" w:sz="0" w:space="0" w:color="auto"/>
                <w:bottom w:val="none" w:sz="0" w:space="0" w:color="auto"/>
                <w:right w:val="none" w:sz="0" w:space="0" w:color="auto"/>
              </w:divBdr>
            </w:div>
          </w:divsChild>
        </w:div>
        <w:div w:id="1200244178">
          <w:marLeft w:val="0"/>
          <w:marRight w:val="0"/>
          <w:marTop w:val="0"/>
          <w:marBottom w:val="0"/>
          <w:divBdr>
            <w:top w:val="none" w:sz="0" w:space="0" w:color="auto"/>
            <w:left w:val="none" w:sz="0" w:space="0" w:color="auto"/>
            <w:bottom w:val="none" w:sz="0" w:space="0" w:color="auto"/>
            <w:right w:val="none" w:sz="0" w:space="0" w:color="auto"/>
          </w:divBdr>
          <w:divsChild>
            <w:div w:id="1784492027">
              <w:marLeft w:val="0"/>
              <w:marRight w:val="0"/>
              <w:marTop w:val="0"/>
              <w:marBottom w:val="0"/>
              <w:divBdr>
                <w:top w:val="none" w:sz="0" w:space="0" w:color="auto"/>
                <w:left w:val="none" w:sz="0" w:space="0" w:color="auto"/>
                <w:bottom w:val="none" w:sz="0" w:space="0" w:color="auto"/>
                <w:right w:val="none" w:sz="0" w:space="0" w:color="auto"/>
              </w:divBdr>
            </w:div>
          </w:divsChild>
        </w:div>
        <w:div w:id="1259287810">
          <w:marLeft w:val="0"/>
          <w:marRight w:val="0"/>
          <w:marTop w:val="0"/>
          <w:marBottom w:val="0"/>
          <w:divBdr>
            <w:top w:val="none" w:sz="0" w:space="0" w:color="auto"/>
            <w:left w:val="none" w:sz="0" w:space="0" w:color="auto"/>
            <w:bottom w:val="none" w:sz="0" w:space="0" w:color="auto"/>
            <w:right w:val="none" w:sz="0" w:space="0" w:color="auto"/>
          </w:divBdr>
          <w:divsChild>
            <w:div w:id="304970122">
              <w:marLeft w:val="0"/>
              <w:marRight w:val="0"/>
              <w:marTop w:val="0"/>
              <w:marBottom w:val="0"/>
              <w:divBdr>
                <w:top w:val="none" w:sz="0" w:space="0" w:color="auto"/>
                <w:left w:val="none" w:sz="0" w:space="0" w:color="auto"/>
                <w:bottom w:val="none" w:sz="0" w:space="0" w:color="auto"/>
                <w:right w:val="none" w:sz="0" w:space="0" w:color="auto"/>
              </w:divBdr>
            </w:div>
          </w:divsChild>
        </w:div>
        <w:div w:id="1285115525">
          <w:marLeft w:val="0"/>
          <w:marRight w:val="0"/>
          <w:marTop w:val="0"/>
          <w:marBottom w:val="0"/>
          <w:divBdr>
            <w:top w:val="none" w:sz="0" w:space="0" w:color="auto"/>
            <w:left w:val="none" w:sz="0" w:space="0" w:color="auto"/>
            <w:bottom w:val="none" w:sz="0" w:space="0" w:color="auto"/>
            <w:right w:val="none" w:sz="0" w:space="0" w:color="auto"/>
          </w:divBdr>
          <w:divsChild>
            <w:div w:id="363136789">
              <w:marLeft w:val="0"/>
              <w:marRight w:val="0"/>
              <w:marTop w:val="0"/>
              <w:marBottom w:val="0"/>
              <w:divBdr>
                <w:top w:val="none" w:sz="0" w:space="0" w:color="auto"/>
                <w:left w:val="none" w:sz="0" w:space="0" w:color="auto"/>
                <w:bottom w:val="none" w:sz="0" w:space="0" w:color="auto"/>
                <w:right w:val="none" w:sz="0" w:space="0" w:color="auto"/>
              </w:divBdr>
            </w:div>
          </w:divsChild>
        </w:div>
        <w:div w:id="1337416155">
          <w:marLeft w:val="0"/>
          <w:marRight w:val="0"/>
          <w:marTop w:val="0"/>
          <w:marBottom w:val="0"/>
          <w:divBdr>
            <w:top w:val="none" w:sz="0" w:space="0" w:color="auto"/>
            <w:left w:val="none" w:sz="0" w:space="0" w:color="auto"/>
            <w:bottom w:val="none" w:sz="0" w:space="0" w:color="auto"/>
            <w:right w:val="none" w:sz="0" w:space="0" w:color="auto"/>
          </w:divBdr>
          <w:divsChild>
            <w:div w:id="1432626654">
              <w:marLeft w:val="0"/>
              <w:marRight w:val="0"/>
              <w:marTop w:val="0"/>
              <w:marBottom w:val="0"/>
              <w:divBdr>
                <w:top w:val="none" w:sz="0" w:space="0" w:color="auto"/>
                <w:left w:val="none" w:sz="0" w:space="0" w:color="auto"/>
                <w:bottom w:val="none" w:sz="0" w:space="0" w:color="auto"/>
                <w:right w:val="none" w:sz="0" w:space="0" w:color="auto"/>
              </w:divBdr>
            </w:div>
          </w:divsChild>
        </w:div>
        <w:div w:id="1351297182">
          <w:marLeft w:val="0"/>
          <w:marRight w:val="0"/>
          <w:marTop w:val="0"/>
          <w:marBottom w:val="0"/>
          <w:divBdr>
            <w:top w:val="none" w:sz="0" w:space="0" w:color="auto"/>
            <w:left w:val="none" w:sz="0" w:space="0" w:color="auto"/>
            <w:bottom w:val="none" w:sz="0" w:space="0" w:color="auto"/>
            <w:right w:val="none" w:sz="0" w:space="0" w:color="auto"/>
          </w:divBdr>
          <w:divsChild>
            <w:div w:id="972058967">
              <w:marLeft w:val="0"/>
              <w:marRight w:val="0"/>
              <w:marTop w:val="0"/>
              <w:marBottom w:val="0"/>
              <w:divBdr>
                <w:top w:val="none" w:sz="0" w:space="0" w:color="auto"/>
                <w:left w:val="none" w:sz="0" w:space="0" w:color="auto"/>
                <w:bottom w:val="none" w:sz="0" w:space="0" w:color="auto"/>
                <w:right w:val="none" w:sz="0" w:space="0" w:color="auto"/>
              </w:divBdr>
            </w:div>
          </w:divsChild>
        </w:div>
        <w:div w:id="1453136059">
          <w:marLeft w:val="0"/>
          <w:marRight w:val="0"/>
          <w:marTop w:val="0"/>
          <w:marBottom w:val="0"/>
          <w:divBdr>
            <w:top w:val="none" w:sz="0" w:space="0" w:color="auto"/>
            <w:left w:val="none" w:sz="0" w:space="0" w:color="auto"/>
            <w:bottom w:val="none" w:sz="0" w:space="0" w:color="auto"/>
            <w:right w:val="none" w:sz="0" w:space="0" w:color="auto"/>
          </w:divBdr>
          <w:divsChild>
            <w:div w:id="1789199125">
              <w:marLeft w:val="0"/>
              <w:marRight w:val="0"/>
              <w:marTop w:val="0"/>
              <w:marBottom w:val="0"/>
              <w:divBdr>
                <w:top w:val="none" w:sz="0" w:space="0" w:color="auto"/>
                <w:left w:val="none" w:sz="0" w:space="0" w:color="auto"/>
                <w:bottom w:val="none" w:sz="0" w:space="0" w:color="auto"/>
                <w:right w:val="none" w:sz="0" w:space="0" w:color="auto"/>
              </w:divBdr>
            </w:div>
          </w:divsChild>
        </w:div>
        <w:div w:id="1464344821">
          <w:marLeft w:val="0"/>
          <w:marRight w:val="0"/>
          <w:marTop w:val="0"/>
          <w:marBottom w:val="0"/>
          <w:divBdr>
            <w:top w:val="none" w:sz="0" w:space="0" w:color="auto"/>
            <w:left w:val="none" w:sz="0" w:space="0" w:color="auto"/>
            <w:bottom w:val="none" w:sz="0" w:space="0" w:color="auto"/>
            <w:right w:val="none" w:sz="0" w:space="0" w:color="auto"/>
          </w:divBdr>
          <w:divsChild>
            <w:div w:id="1521814911">
              <w:marLeft w:val="0"/>
              <w:marRight w:val="0"/>
              <w:marTop w:val="0"/>
              <w:marBottom w:val="0"/>
              <w:divBdr>
                <w:top w:val="none" w:sz="0" w:space="0" w:color="auto"/>
                <w:left w:val="none" w:sz="0" w:space="0" w:color="auto"/>
                <w:bottom w:val="none" w:sz="0" w:space="0" w:color="auto"/>
                <w:right w:val="none" w:sz="0" w:space="0" w:color="auto"/>
              </w:divBdr>
            </w:div>
          </w:divsChild>
        </w:div>
        <w:div w:id="1466309707">
          <w:marLeft w:val="0"/>
          <w:marRight w:val="0"/>
          <w:marTop w:val="0"/>
          <w:marBottom w:val="0"/>
          <w:divBdr>
            <w:top w:val="none" w:sz="0" w:space="0" w:color="auto"/>
            <w:left w:val="none" w:sz="0" w:space="0" w:color="auto"/>
            <w:bottom w:val="none" w:sz="0" w:space="0" w:color="auto"/>
            <w:right w:val="none" w:sz="0" w:space="0" w:color="auto"/>
          </w:divBdr>
          <w:divsChild>
            <w:div w:id="1343318856">
              <w:marLeft w:val="0"/>
              <w:marRight w:val="0"/>
              <w:marTop w:val="0"/>
              <w:marBottom w:val="0"/>
              <w:divBdr>
                <w:top w:val="none" w:sz="0" w:space="0" w:color="auto"/>
                <w:left w:val="none" w:sz="0" w:space="0" w:color="auto"/>
                <w:bottom w:val="none" w:sz="0" w:space="0" w:color="auto"/>
                <w:right w:val="none" w:sz="0" w:space="0" w:color="auto"/>
              </w:divBdr>
            </w:div>
          </w:divsChild>
        </w:div>
        <w:div w:id="1539007004">
          <w:marLeft w:val="0"/>
          <w:marRight w:val="0"/>
          <w:marTop w:val="0"/>
          <w:marBottom w:val="0"/>
          <w:divBdr>
            <w:top w:val="none" w:sz="0" w:space="0" w:color="auto"/>
            <w:left w:val="none" w:sz="0" w:space="0" w:color="auto"/>
            <w:bottom w:val="none" w:sz="0" w:space="0" w:color="auto"/>
            <w:right w:val="none" w:sz="0" w:space="0" w:color="auto"/>
          </w:divBdr>
          <w:divsChild>
            <w:div w:id="1721055919">
              <w:marLeft w:val="0"/>
              <w:marRight w:val="0"/>
              <w:marTop w:val="0"/>
              <w:marBottom w:val="0"/>
              <w:divBdr>
                <w:top w:val="none" w:sz="0" w:space="0" w:color="auto"/>
                <w:left w:val="none" w:sz="0" w:space="0" w:color="auto"/>
                <w:bottom w:val="none" w:sz="0" w:space="0" w:color="auto"/>
                <w:right w:val="none" w:sz="0" w:space="0" w:color="auto"/>
              </w:divBdr>
            </w:div>
          </w:divsChild>
        </w:div>
        <w:div w:id="1563054378">
          <w:marLeft w:val="0"/>
          <w:marRight w:val="0"/>
          <w:marTop w:val="0"/>
          <w:marBottom w:val="0"/>
          <w:divBdr>
            <w:top w:val="none" w:sz="0" w:space="0" w:color="auto"/>
            <w:left w:val="none" w:sz="0" w:space="0" w:color="auto"/>
            <w:bottom w:val="none" w:sz="0" w:space="0" w:color="auto"/>
            <w:right w:val="none" w:sz="0" w:space="0" w:color="auto"/>
          </w:divBdr>
          <w:divsChild>
            <w:div w:id="1719283961">
              <w:marLeft w:val="0"/>
              <w:marRight w:val="0"/>
              <w:marTop w:val="0"/>
              <w:marBottom w:val="0"/>
              <w:divBdr>
                <w:top w:val="none" w:sz="0" w:space="0" w:color="auto"/>
                <w:left w:val="none" w:sz="0" w:space="0" w:color="auto"/>
                <w:bottom w:val="none" w:sz="0" w:space="0" w:color="auto"/>
                <w:right w:val="none" w:sz="0" w:space="0" w:color="auto"/>
              </w:divBdr>
            </w:div>
          </w:divsChild>
        </w:div>
        <w:div w:id="1612784589">
          <w:marLeft w:val="0"/>
          <w:marRight w:val="0"/>
          <w:marTop w:val="0"/>
          <w:marBottom w:val="0"/>
          <w:divBdr>
            <w:top w:val="none" w:sz="0" w:space="0" w:color="auto"/>
            <w:left w:val="none" w:sz="0" w:space="0" w:color="auto"/>
            <w:bottom w:val="none" w:sz="0" w:space="0" w:color="auto"/>
            <w:right w:val="none" w:sz="0" w:space="0" w:color="auto"/>
          </w:divBdr>
          <w:divsChild>
            <w:div w:id="480194679">
              <w:marLeft w:val="0"/>
              <w:marRight w:val="0"/>
              <w:marTop w:val="0"/>
              <w:marBottom w:val="0"/>
              <w:divBdr>
                <w:top w:val="none" w:sz="0" w:space="0" w:color="auto"/>
                <w:left w:val="none" w:sz="0" w:space="0" w:color="auto"/>
                <w:bottom w:val="none" w:sz="0" w:space="0" w:color="auto"/>
                <w:right w:val="none" w:sz="0" w:space="0" w:color="auto"/>
              </w:divBdr>
            </w:div>
          </w:divsChild>
        </w:div>
        <w:div w:id="1634171028">
          <w:marLeft w:val="0"/>
          <w:marRight w:val="0"/>
          <w:marTop w:val="0"/>
          <w:marBottom w:val="0"/>
          <w:divBdr>
            <w:top w:val="none" w:sz="0" w:space="0" w:color="auto"/>
            <w:left w:val="none" w:sz="0" w:space="0" w:color="auto"/>
            <w:bottom w:val="none" w:sz="0" w:space="0" w:color="auto"/>
            <w:right w:val="none" w:sz="0" w:space="0" w:color="auto"/>
          </w:divBdr>
          <w:divsChild>
            <w:div w:id="1394936805">
              <w:marLeft w:val="0"/>
              <w:marRight w:val="0"/>
              <w:marTop w:val="0"/>
              <w:marBottom w:val="0"/>
              <w:divBdr>
                <w:top w:val="none" w:sz="0" w:space="0" w:color="auto"/>
                <w:left w:val="none" w:sz="0" w:space="0" w:color="auto"/>
                <w:bottom w:val="none" w:sz="0" w:space="0" w:color="auto"/>
                <w:right w:val="none" w:sz="0" w:space="0" w:color="auto"/>
              </w:divBdr>
            </w:div>
          </w:divsChild>
        </w:div>
        <w:div w:id="1664702167">
          <w:marLeft w:val="0"/>
          <w:marRight w:val="0"/>
          <w:marTop w:val="0"/>
          <w:marBottom w:val="0"/>
          <w:divBdr>
            <w:top w:val="none" w:sz="0" w:space="0" w:color="auto"/>
            <w:left w:val="none" w:sz="0" w:space="0" w:color="auto"/>
            <w:bottom w:val="none" w:sz="0" w:space="0" w:color="auto"/>
            <w:right w:val="none" w:sz="0" w:space="0" w:color="auto"/>
          </w:divBdr>
          <w:divsChild>
            <w:div w:id="1271351100">
              <w:marLeft w:val="0"/>
              <w:marRight w:val="0"/>
              <w:marTop w:val="0"/>
              <w:marBottom w:val="0"/>
              <w:divBdr>
                <w:top w:val="none" w:sz="0" w:space="0" w:color="auto"/>
                <w:left w:val="none" w:sz="0" w:space="0" w:color="auto"/>
                <w:bottom w:val="none" w:sz="0" w:space="0" w:color="auto"/>
                <w:right w:val="none" w:sz="0" w:space="0" w:color="auto"/>
              </w:divBdr>
            </w:div>
          </w:divsChild>
        </w:div>
        <w:div w:id="1671329263">
          <w:marLeft w:val="0"/>
          <w:marRight w:val="0"/>
          <w:marTop w:val="0"/>
          <w:marBottom w:val="0"/>
          <w:divBdr>
            <w:top w:val="none" w:sz="0" w:space="0" w:color="auto"/>
            <w:left w:val="none" w:sz="0" w:space="0" w:color="auto"/>
            <w:bottom w:val="none" w:sz="0" w:space="0" w:color="auto"/>
            <w:right w:val="none" w:sz="0" w:space="0" w:color="auto"/>
          </w:divBdr>
          <w:divsChild>
            <w:div w:id="826478302">
              <w:marLeft w:val="0"/>
              <w:marRight w:val="0"/>
              <w:marTop w:val="0"/>
              <w:marBottom w:val="0"/>
              <w:divBdr>
                <w:top w:val="none" w:sz="0" w:space="0" w:color="auto"/>
                <w:left w:val="none" w:sz="0" w:space="0" w:color="auto"/>
                <w:bottom w:val="none" w:sz="0" w:space="0" w:color="auto"/>
                <w:right w:val="none" w:sz="0" w:space="0" w:color="auto"/>
              </w:divBdr>
            </w:div>
          </w:divsChild>
        </w:div>
        <w:div w:id="1693456599">
          <w:marLeft w:val="0"/>
          <w:marRight w:val="0"/>
          <w:marTop w:val="0"/>
          <w:marBottom w:val="0"/>
          <w:divBdr>
            <w:top w:val="none" w:sz="0" w:space="0" w:color="auto"/>
            <w:left w:val="none" w:sz="0" w:space="0" w:color="auto"/>
            <w:bottom w:val="none" w:sz="0" w:space="0" w:color="auto"/>
            <w:right w:val="none" w:sz="0" w:space="0" w:color="auto"/>
          </w:divBdr>
          <w:divsChild>
            <w:div w:id="2087993404">
              <w:marLeft w:val="0"/>
              <w:marRight w:val="0"/>
              <w:marTop w:val="0"/>
              <w:marBottom w:val="0"/>
              <w:divBdr>
                <w:top w:val="none" w:sz="0" w:space="0" w:color="auto"/>
                <w:left w:val="none" w:sz="0" w:space="0" w:color="auto"/>
                <w:bottom w:val="none" w:sz="0" w:space="0" w:color="auto"/>
                <w:right w:val="none" w:sz="0" w:space="0" w:color="auto"/>
              </w:divBdr>
            </w:div>
          </w:divsChild>
        </w:div>
        <w:div w:id="1722974165">
          <w:marLeft w:val="0"/>
          <w:marRight w:val="0"/>
          <w:marTop w:val="0"/>
          <w:marBottom w:val="0"/>
          <w:divBdr>
            <w:top w:val="none" w:sz="0" w:space="0" w:color="auto"/>
            <w:left w:val="none" w:sz="0" w:space="0" w:color="auto"/>
            <w:bottom w:val="none" w:sz="0" w:space="0" w:color="auto"/>
            <w:right w:val="none" w:sz="0" w:space="0" w:color="auto"/>
          </w:divBdr>
          <w:divsChild>
            <w:div w:id="233125828">
              <w:marLeft w:val="0"/>
              <w:marRight w:val="0"/>
              <w:marTop w:val="0"/>
              <w:marBottom w:val="0"/>
              <w:divBdr>
                <w:top w:val="none" w:sz="0" w:space="0" w:color="auto"/>
                <w:left w:val="none" w:sz="0" w:space="0" w:color="auto"/>
                <w:bottom w:val="none" w:sz="0" w:space="0" w:color="auto"/>
                <w:right w:val="none" w:sz="0" w:space="0" w:color="auto"/>
              </w:divBdr>
            </w:div>
          </w:divsChild>
        </w:div>
        <w:div w:id="1724523972">
          <w:marLeft w:val="0"/>
          <w:marRight w:val="0"/>
          <w:marTop w:val="0"/>
          <w:marBottom w:val="0"/>
          <w:divBdr>
            <w:top w:val="none" w:sz="0" w:space="0" w:color="auto"/>
            <w:left w:val="none" w:sz="0" w:space="0" w:color="auto"/>
            <w:bottom w:val="none" w:sz="0" w:space="0" w:color="auto"/>
            <w:right w:val="none" w:sz="0" w:space="0" w:color="auto"/>
          </w:divBdr>
          <w:divsChild>
            <w:div w:id="1727221411">
              <w:marLeft w:val="0"/>
              <w:marRight w:val="0"/>
              <w:marTop w:val="0"/>
              <w:marBottom w:val="0"/>
              <w:divBdr>
                <w:top w:val="none" w:sz="0" w:space="0" w:color="auto"/>
                <w:left w:val="none" w:sz="0" w:space="0" w:color="auto"/>
                <w:bottom w:val="none" w:sz="0" w:space="0" w:color="auto"/>
                <w:right w:val="none" w:sz="0" w:space="0" w:color="auto"/>
              </w:divBdr>
            </w:div>
          </w:divsChild>
        </w:div>
        <w:div w:id="1730348505">
          <w:marLeft w:val="0"/>
          <w:marRight w:val="0"/>
          <w:marTop w:val="0"/>
          <w:marBottom w:val="0"/>
          <w:divBdr>
            <w:top w:val="none" w:sz="0" w:space="0" w:color="auto"/>
            <w:left w:val="none" w:sz="0" w:space="0" w:color="auto"/>
            <w:bottom w:val="none" w:sz="0" w:space="0" w:color="auto"/>
            <w:right w:val="none" w:sz="0" w:space="0" w:color="auto"/>
          </w:divBdr>
          <w:divsChild>
            <w:div w:id="1518740248">
              <w:marLeft w:val="0"/>
              <w:marRight w:val="0"/>
              <w:marTop w:val="0"/>
              <w:marBottom w:val="0"/>
              <w:divBdr>
                <w:top w:val="none" w:sz="0" w:space="0" w:color="auto"/>
                <w:left w:val="none" w:sz="0" w:space="0" w:color="auto"/>
                <w:bottom w:val="none" w:sz="0" w:space="0" w:color="auto"/>
                <w:right w:val="none" w:sz="0" w:space="0" w:color="auto"/>
              </w:divBdr>
            </w:div>
          </w:divsChild>
        </w:div>
        <w:div w:id="1741951020">
          <w:marLeft w:val="0"/>
          <w:marRight w:val="0"/>
          <w:marTop w:val="0"/>
          <w:marBottom w:val="0"/>
          <w:divBdr>
            <w:top w:val="none" w:sz="0" w:space="0" w:color="auto"/>
            <w:left w:val="none" w:sz="0" w:space="0" w:color="auto"/>
            <w:bottom w:val="none" w:sz="0" w:space="0" w:color="auto"/>
            <w:right w:val="none" w:sz="0" w:space="0" w:color="auto"/>
          </w:divBdr>
          <w:divsChild>
            <w:div w:id="370540977">
              <w:marLeft w:val="0"/>
              <w:marRight w:val="0"/>
              <w:marTop w:val="0"/>
              <w:marBottom w:val="0"/>
              <w:divBdr>
                <w:top w:val="none" w:sz="0" w:space="0" w:color="auto"/>
                <w:left w:val="none" w:sz="0" w:space="0" w:color="auto"/>
                <w:bottom w:val="none" w:sz="0" w:space="0" w:color="auto"/>
                <w:right w:val="none" w:sz="0" w:space="0" w:color="auto"/>
              </w:divBdr>
            </w:div>
          </w:divsChild>
        </w:div>
        <w:div w:id="1773166267">
          <w:marLeft w:val="0"/>
          <w:marRight w:val="0"/>
          <w:marTop w:val="0"/>
          <w:marBottom w:val="0"/>
          <w:divBdr>
            <w:top w:val="none" w:sz="0" w:space="0" w:color="auto"/>
            <w:left w:val="none" w:sz="0" w:space="0" w:color="auto"/>
            <w:bottom w:val="none" w:sz="0" w:space="0" w:color="auto"/>
            <w:right w:val="none" w:sz="0" w:space="0" w:color="auto"/>
          </w:divBdr>
          <w:divsChild>
            <w:div w:id="321736482">
              <w:marLeft w:val="0"/>
              <w:marRight w:val="0"/>
              <w:marTop w:val="0"/>
              <w:marBottom w:val="0"/>
              <w:divBdr>
                <w:top w:val="none" w:sz="0" w:space="0" w:color="auto"/>
                <w:left w:val="none" w:sz="0" w:space="0" w:color="auto"/>
                <w:bottom w:val="none" w:sz="0" w:space="0" w:color="auto"/>
                <w:right w:val="none" w:sz="0" w:space="0" w:color="auto"/>
              </w:divBdr>
            </w:div>
          </w:divsChild>
        </w:div>
        <w:div w:id="1780565774">
          <w:marLeft w:val="0"/>
          <w:marRight w:val="0"/>
          <w:marTop w:val="0"/>
          <w:marBottom w:val="0"/>
          <w:divBdr>
            <w:top w:val="none" w:sz="0" w:space="0" w:color="auto"/>
            <w:left w:val="none" w:sz="0" w:space="0" w:color="auto"/>
            <w:bottom w:val="none" w:sz="0" w:space="0" w:color="auto"/>
            <w:right w:val="none" w:sz="0" w:space="0" w:color="auto"/>
          </w:divBdr>
          <w:divsChild>
            <w:div w:id="1049917538">
              <w:marLeft w:val="0"/>
              <w:marRight w:val="0"/>
              <w:marTop w:val="0"/>
              <w:marBottom w:val="0"/>
              <w:divBdr>
                <w:top w:val="none" w:sz="0" w:space="0" w:color="auto"/>
                <w:left w:val="none" w:sz="0" w:space="0" w:color="auto"/>
                <w:bottom w:val="none" w:sz="0" w:space="0" w:color="auto"/>
                <w:right w:val="none" w:sz="0" w:space="0" w:color="auto"/>
              </w:divBdr>
            </w:div>
          </w:divsChild>
        </w:div>
        <w:div w:id="1785618024">
          <w:marLeft w:val="0"/>
          <w:marRight w:val="0"/>
          <w:marTop w:val="0"/>
          <w:marBottom w:val="0"/>
          <w:divBdr>
            <w:top w:val="none" w:sz="0" w:space="0" w:color="auto"/>
            <w:left w:val="none" w:sz="0" w:space="0" w:color="auto"/>
            <w:bottom w:val="none" w:sz="0" w:space="0" w:color="auto"/>
            <w:right w:val="none" w:sz="0" w:space="0" w:color="auto"/>
          </w:divBdr>
          <w:divsChild>
            <w:div w:id="1328558887">
              <w:marLeft w:val="0"/>
              <w:marRight w:val="0"/>
              <w:marTop w:val="0"/>
              <w:marBottom w:val="0"/>
              <w:divBdr>
                <w:top w:val="none" w:sz="0" w:space="0" w:color="auto"/>
                <w:left w:val="none" w:sz="0" w:space="0" w:color="auto"/>
                <w:bottom w:val="none" w:sz="0" w:space="0" w:color="auto"/>
                <w:right w:val="none" w:sz="0" w:space="0" w:color="auto"/>
              </w:divBdr>
            </w:div>
          </w:divsChild>
        </w:div>
        <w:div w:id="1786148525">
          <w:marLeft w:val="0"/>
          <w:marRight w:val="0"/>
          <w:marTop w:val="0"/>
          <w:marBottom w:val="0"/>
          <w:divBdr>
            <w:top w:val="none" w:sz="0" w:space="0" w:color="auto"/>
            <w:left w:val="none" w:sz="0" w:space="0" w:color="auto"/>
            <w:bottom w:val="none" w:sz="0" w:space="0" w:color="auto"/>
            <w:right w:val="none" w:sz="0" w:space="0" w:color="auto"/>
          </w:divBdr>
          <w:divsChild>
            <w:div w:id="117266171">
              <w:marLeft w:val="0"/>
              <w:marRight w:val="0"/>
              <w:marTop w:val="0"/>
              <w:marBottom w:val="0"/>
              <w:divBdr>
                <w:top w:val="none" w:sz="0" w:space="0" w:color="auto"/>
                <w:left w:val="none" w:sz="0" w:space="0" w:color="auto"/>
                <w:bottom w:val="none" w:sz="0" w:space="0" w:color="auto"/>
                <w:right w:val="none" w:sz="0" w:space="0" w:color="auto"/>
              </w:divBdr>
            </w:div>
          </w:divsChild>
        </w:div>
        <w:div w:id="1820998965">
          <w:marLeft w:val="0"/>
          <w:marRight w:val="0"/>
          <w:marTop w:val="0"/>
          <w:marBottom w:val="0"/>
          <w:divBdr>
            <w:top w:val="none" w:sz="0" w:space="0" w:color="auto"/>
            <w:left w:val="none" w:sz="0" w:space="0" w:color="auto"/>
            <w:bottom w:val="none" w:sz="0" w:space="0" w:color="auto"/>
            <w:right w:val="none" w:sz="0" w:space="0" w:color="auto"/>
          </w:divBdr>
          <w:divsChild>
            <w:div w:id="270406640">
              <w:marLeft w:val="0"/>
              <w:marRight w:val="0"/>
              <w:marTop w:val="0"/>
              <w:marBottom w:val="0"/>
              <w:divBdr>
                <w:top w:val="none" w:sz="0" w:space="0" w:color="auto"/>
                <w:left w:val="none" w:sz="0" w:space="0" w:color="auto"/>
                <w:bottom w:val="none" w:sz="0" w:space="0" w:color="auto"/>
                <w:right w:val="none" w:sz="0" w:space="0" w:color="auto"/>
              </w:divBdr>
            </w:div>
          </w:divsChild>
        </w:div>
        <w:div w:id="1870876508">
          <w:marLeft w:val="0"/>
          <w:marRight w:val="0"/>
          <w:marTop w:val="0"/>
          <w:marBottom w:val="0"/>
          <w:divBdr>
            <w:top w:val="none" w:sz="0" w:space="0" w:color="auto"/>
            <w:left w:val="none" w:sz="0" w:space="0" w:color="auto"/>
            <w:bottom w:val="none" w:sz="0" w:space="0" w:color="auto"/>
            <w:right w:val="none" w:sz="0" w:space="0" w:color="auto"/>
          </w:divBdr>
          <w:divsChild>
            <w:div w:id="1298268446">
              <w:marLeft w:val="0"/>
              <w:marRight w:val="0"/>
              <w:marTop w:val="0"/>
              <w:marBottom w:val="0"/>
              <w:divBdr>
                <w:top w:val="none" w:sz="0" w:space="0" w:color="auto"/>
                <w:left w:val="none" w:sz="0" w:space="0" w:color="auto"/>
                <w:bottom w:val="none" w:sz="0" w:space="0" w:color="auto"/>
                <w:right w:val="none" w:sz="0" w:space="0" w:color="auto"/>
              </w:divBdr>
            </w:div>
          </w:divsChild>
        </w:div>
        <w:div w:id="1872566758">
          <w:marLeft w:val="0"/>
          <w:marRight w:val="0"/>
          <w:marTop w:val="0"/>
          <w:marBottom w:val="0"/>
          <w:divBdr>
            <w:top w:val="none" w:sz="0" w:space="0" w:color="auto"/>
            <w:left w:val="none" w:sz="0" w:space="0" w:color="auto"/>
            <w:bottom w:val="none" w:sz="0" w:space="0" w:color="auto"/>
            <w:right w:val="none" w:sz="0" w:space="0" w:color="auto"/>
          </w:divBdr>
          <w:divsChild>
            <w:div w:id="501624488">
              <w:marLeft w:val="0"/>
              <w:marRight w:val="0"/>
              <w:marTop w:val="0"/>
              <w:marBottom w:val="0"/>
              <w:divBdr>
                <w:top w:val="none" w:sz="0" w:space="0" w:color="auto"/>
                <w:left w:val="none" w:sz="0" w:space="0" w:color="auto"/>
                <w:bottom w:val="none" w:sz="0" w:space="0" w:color="auto"/>
                <w:right w:val="none" w:sz="0" w:space="0" w:color="auto"/>
              </w:divBdr>
            </w:div>
          </w:divsChild>
        </w:div>
        <w:div w:id="1876501404">
          <w:marLeft w:val="0"/>
          <w:marRight w:val="0"/>
          <w:marTop w:val="0"/>
          <w:marBottom w:val="0"/>
          <w:divBdr>
            <w:top w:val="none" w:sz="0" w:space="0" w:color="auto"/>
            <w:left w:val="none" w:sz="0" w:space="0" w:color="auto"/>
            <w:bottom w:val="none" w:sz="0" w:space="0" w:color="auto"/>
            <w:right w:val="none" w:sz="0" w:space="0" w:color="auto"/>
          </w:divBdr>
          <w:divsChild>
            <w:div w:id="229267995">
              <w:marLeft w:val="0"/>
              <w:marRight w:val="0"/>
              <w:marTop w:val="0"/>
              <w:marBottom w:val="0"/>
              <w:divBdr>
                <w:top w:val="none" w:sz="0" w:space="0" w:color="auto"/>
                <w:left w:val="none" w:sz="0" w:space="0" w:color="auto"/>
                <w:bottom w:val="none" w:sz="0" w:space="0" w:color="auto"/>
                <w:right w:val="none" w:sz="0" w:space="0" w:color="auto"/>
              </w:divBdr>
            </w:div>
          </w:divsChild>
        </w:div>
        <w:div w:id="1881235862">
          <w:marLeft w:val="0"/>
          <w:marRight w:val="0"/>
          <w:marTop w:val="0"/>
          <w:marBottom w:val="0"/>
          <w:divBdr>
            <w:top w:val="none" w:sz="0" w:space="0" w:color="auto"/>
            <w:left w:val="none" w:sz="0" w:space="0" w:color="auto"/>
            <w:bottom w:val="none" w:sz="0" w:space="0" w:color="auto"/>
            <w:right w:val="none" w:sz="0" w:space="0" w:color="auto"/>
          </w:divBdr>
          <w:divsChild>
            <w:div w:id="558563568">
              <w:marLeft w:val="0"/>
              <w:marRight w:val="0"/>
              <w:marTop w:val="0"/>
              <w:marBottom w:val="0"/>
              <w:divBdr>
                <w:top w:val="none" w:sz="0" w:space="0" w:color="auto"/>
                <w:left w:val="none" w:sz="0" w:space="0" w:color="auto"/>
                <w:bottom w:val="none" w:sz="0" w:space="0" w:color="auto"/>
                <w:right w:val="none" w:sz="0" w:space="0" w:color="auto"/>
              </w:divBdr>
            </w:div>
          </w:divsChild>
        </w:div>
        <w:div w:id="1895461465">
          <w:marLeft w:val="0"/>
          <w:marRight w:val="0"/>
          <w:marTop w:val="0"/>
          <w:marBottom w:val="0"/>
          <w:divBdr>
            <w:top w:val="none" w:sz="0" w:space="0" w:color="auto"/>
            <w:left w:val="none" w:sz="0" w:space="0" w:color="auto"/>
            <w:bottom w:val="none" w:sz="0" w:space="0" w:color="auto"/>
            <w:right w:val="none" w:sz="0" w:space="0" w:color="auto"/>
          </w:divBdr>
          <w:divsChild>
            <w:div w:id="787089535">
              <w:marLeft w:val="0"/>
              <w:marRight w:val="0"/>
              <w:marTop w:val="0"/>
              <w:marBottom w:val="0"/>
              <w:divBdr>
                <w:top w:val="none" w:sz="0" w:space="0" w:color="auto"/>
                <w:left w:val="none" w:sz="0" w:space="0" w:color="auto"/>
                <w:bottom w:val="none" w:sz="0" w:space="0" w:color="auto"/>
                <w:right w:val="none" w:sz="0" w:space="0" w:color="auto"/>
              </w:divBdr>
            </w:div>
          </w:divsChild>
        </w:div>
        <w:div w:id="1916166592">
          <w:marLeft w:val="0"/>
          <w:marRight w:val="0"/>
          <w:marTop w:val="0"/>
          <w:marBottom w:val="0"/>
          <w:divBdr>
            <w:top w:val="none" w:sz="0" w:space="0" w:color="auto"/>
            <w:left w:val="none" w:sz="0" w:space="0" w:color="auto"/>
            <w:bottom w:val="none" w:sz="0" w:space="0" w:color="auto"/>
            <w:right w:val="none" w:sz="0" w:space="0" w:color="auto"/>
          </w:divBdr>
          <w:divsChild>
            <w:div w:id="960955682">
              <w:marLeft w:val="0"/>
              <w:marRight w:val="0"/>
              <w:marTop w:val="0"/>
              <w:marBottom w:val="0"/>
              <w:divBdr>
                <w:top w:val="none" w:sz="0" w:space="0" w:color="auto"/>
                <w:left w:val="none" w:sz="0" w:space="0" w:color="auto"/>
                <w:bottom w:val="none" w:sz="0" w:space="0" w:color="auto"/>
                <w:right w:val="none" w:sz="0" w:space="0" w:color="auto"/>
              </w:divBdr>
            </w:div>
          </w:divsChild>
        </w:div>
        <w:div w:id="1936472333">
          <w:marLeft w:val="0"/>
          <w:marRight w:val="0"/>
          <w:marTop w:val="0"/>
          <w:marBottom w:val="0"/>
          <w:divBdr>
            <w:top w:val="none" w:sz="0" w:space="0" w:color="auto"/>
            <w:left w:val="none" w:sz="0" w:space="0" w:color="auto"/>
            <w:bottom w:val="none" w:sz="0" w:space="0" w:color="auto"/>
            <w:right w:val="none" w:sz="0" w:space="0" w:color="auto"/>
          </w:divBdr>
          <w:divsChild>
            <w:div w:id="2010787112">
              <w:marLeft w:val="0"/>
              <w:marRight w:val="0"/>
              <w:marTop w:val="0"/>
              <w:marBottom w:val="0"/>
              <w:divBdr>
                <w:top w:val="none" w:sz="0" w:space="0" w:color="auto"/>
                <w:left w:val="none" w:sz="0" w:space="0" w:color="auto"/>
                <w:bottom w:val="none" w:sz="0" w:space="0" w:color="auto"/>
                <w:right w:val="none" w:sz="0" w:space="0" w:color="auto"/>
              </w:divBdr>
            </w:div>
          </w:divsChild>
        </w:div>
        <w:div w:id="1937981410">
          <w:marLeft w:val="0"/>
          <w:marRight w:val="0"/>
          <w:marTop w:val="0"/>
          <w:marBottom w:val="0"/>
          <w:divBdr>
            <w:top w:val="none" w:sz="0" w:space="0" w:color="auto"/>
            <w:left w:val="none" w:sz="0" w:space="0" w:color="auto"/>
            <w:bottom w:val="none" w:sz="0" w:space="0" w:color="auto"/>
            <w:right w:val="none" w:sz="0" w:space="0" w:color="auto"/>
          </w:divBdr>
          <w:divsChild>
            <w:div w:id="1178303940">
              <w:marLeft w:val="0"/>
              <w:marRight w:val="0"/>
              <w:marTop w:val="0"/>
              <w:marBottom w:val="0"/>
              <w:divBdr>
                <w:top w:val="none" w:sz="0" w:space="0" w:color="auto"/>
                <w:left w:val="none" w:sz="0" w:space="0" w:color="auto"/>
                <w:bottom w:val="none" w:sz="0" w:space="0" w:color="auto"/>
                <w:right w:val="none" w:sz="0" w:space="0" w:color="auto"/>
              </w:divBdr>
            </w:div>
          </w:divsChild>
        </w:div>
        <w:div w:id="1944263601">
          <w:marLeft w:val="0"/>
          <w:marRight w:val="0"/>
          <w:marTop w:val="0"/>
          <w:marBottom w:val="0"/>
          <w:divBdr>
            <w:top w:val="none" w:sz="0" w:space="0" w:color="auto"/>
            <w:left w:val="none" w:sz="0" w:space="0" w:color="auto"/>
            <w:bottom w:val="none" w:sz="0" w:space="0" w:color="auto"/>
            <w:right w:val="none" w:sz="0" w:space="0" w:color="auto"/>
          </w:divBdr>
          <w:divsChild>
            <w:div w:id="1918128570">
              <w:marLeft w:val="0"/>
              <w:marRight w:val="0"/>
              <w:marTop w:val="0"/>
              <w:marBottom w:val="0"/>
              <w:divBdr>
                <w:top w:val="none" w:sz="0" w:space="0" w:color="auto"/>
                <w:left w:val="none" w:sz="0" w:space="0" w:color="auto"/>
                <w:bottom w:val="none" w:sz="0" w:space="0" w:color="auto"/>
                <w:right w:val="none" w:sz="0" w:space="0" w:color="auto"/>
              </w:divBdr>
            </w:div>
          </w:divsChild>
        </w:div>
        <w:div w:id="1954363449">
          <w:marLeft w:val="0"/>
          <w:marRight w:val="0"/>
          <w:marTop w:val="0"/>
          <w:marBottom w:val="0"/>
          <w:divBdr>
            <w:top w:val="none" w:sz="0" w:space="0" w:color="auto"/>
            <w:left w:val="none" w:sz="0" w:space="0" w:color="auto"/>
            <w:bottom w:val="none" w:sz="0" w:space="0" w:color="auto"/>
            <w:right w:val="none" w:sz="0" w:space="0" w:color="auto"/>
          </w:divBdr>
          <w:divsChild>
            <w:div w:id="869873901">
              <w:marLeft w:val="0"/>
              <w:marRight w:val="0"/>
              <w:marTop w:val="0"/>
              <w:marBottom w:val="0"/>
              <w:divBdr>
                <w:top w:val="none" w:sz="0" w:space="0" w:color="auto"/>
                <w:left w:val="none" w:sz="0" w:space="0" w:color="auto"/>
                <w:bottom w:val="none" w:sz="0" w:space="0" w:color="auto"/>
                <w:right w:val="none" w:sz="0" w:space="0" w:color="auto"/>
              </w:divBdr>
            </w:div>
          </w:divsChild>
        </w:div>
        <w:div w:id="2000382955">
          <w:marLeft w:val="0"/>
          <w:marRight w:val="0"/>
          <w:marTop w:val="0"/>
          <w:marBottom w:val="0"/>
          <w:divBdr>
            <w:top w:val="none" w:sz="0" w:space="0" w:color="auto"/>
            <w:left w:val="none" w:sz="0" w:space="0" w:color="auto"/>
            <w:bottom w:val="none" w:sz="0" w:space="0" w:color="auto"/>
            <w:right w:val="none" w:sz="0" w:space="0" w:color="auto"/>
          </w:divBdr>
          <w:divsChild>
            <w:div w:id="1470393772">
              <w:marLeft w:val="0"/>
              <w:marRight w:val="0"/>
              <w:marTop w:val="0"/>
              <w:marBottom w:val="0"/>
              <w:divBdr>
                <w:top w:val="none" w:sz="0" w:space="0" w:color="auto"/>
                <w:left w:val="none" w:sz="0" w:space="0" w:color="auto"/>
                <w:bottom w:val="none" w:sz="0" w:space="0" w:color="auto"/>
                <w:right w:val="none" w:sz="0" w:space="0" w:color="auto"/>
              </w:divBdr>
            </w:div>
          </w:divsChild>
        </w:div>
        <w:div w:id="2017658708">
          <w:marLeft w:val="0"/>
          <w:marRight w:val="0"/>
          <w:marTop w:val="0"/>
          <w:marBottom w:val="0"/>
          <w:divBdr>
            <w:top w:val="none" w:sz="0" w:space="0" w:color="auto"/>
            <w:left w:val="none" w:sz="0" w:space="0" w:color="auto"/>
            <w:bottom w:val="none" w:sz="0" w:space="0" w:color="auto"/>
            <w:right w:val="none" w:sz="0" w:space="0" w:color="auto"/>
          </w:divBdr>
          <w:divsChild>
            <w:div w:id="1686244443">
              <w:marLeft w:val="0"/>
              <w:marRight w:val="0"/>
              <w:marTop w:val="0"/>
              <w:marBottom w:val="0"/>
              <w:divBdr>
                <w:top w:val="none" w:sz="0" w:space="0" w:color="auto"/>
                <w:left w:val="none" w:sz="0" w:space="0" w:color="auto"/>
                <w:bottom w:val="none" w:sz="0" w:space="0" w:color="auto"/>
                <w:right w:val="none" w:sz="0" w:space="0" w:color="auto"/>
              </w:divBdr>
            </w:div>
          </w:divsChild>
        </w:div>
        <w:div w:id="2025399541">
          <w:marLeft w:val="0"/>
          <w:marRight w:val="0"/>
          <w:marTop w:val="0"/>
          <w:marBottom w:val="0"/>
          <w:divBdr>
            <w:top w:val="none" w:sz="0" w:space="0" w:color="auto"/>
            <w:left w:val="none" w:sz="0" w:space="0" w:color="auto"/>
            <w:bottom w:val="none" w:sz="0" w:space="0" w:color="auto"/>
            <w:right w:val="none" w:sz="0" w:space="0" w:color="auto"/>
          </w:divBdr>
          <w:divsChild>
            <w:div w:id="556277945">
              <w:marLeft w:val="0"/>
              <w:marRight w:val="0"/>
              <w:marTop w:val="0"/>
              <w:marBottom w:val="0"/>
              <w:divBdr>
                <w:top w:val="none" w:sz="0" w:space="0" w:color="auto"/>
                <w:left w:val="none" w:sz="0" w:space="0" w:color="auto"/>
                <w:bottom w:val="none" w:sz="0" w:space="0" w:color="auto"/>
                <w:right w:val="none" w:sz="0" w:space="0" w:color="auto"/>
              </w:divBdr>
            </w:div>
          </w:divsChild>
        </w:div>
        <w:div w:id="2030792846">
          <w:marLeft w:val="0"/>
          <w:marRight w:val="0"/>
          <w:marTop w:val="0"/>
          <w:marBottom w:val="0"/>
          <w:divBdr>
            <w:top w:val="none" w:sz="0" w:space="0" w:color="auto"/>
            <w:left w:val="none" w:sz="0" w:space="0" w:color="auto"/>
            <w:bottom w:val="none" w:sz="0" w:space="0" w:color="auto"/>
            <w:right w:val="none" w:sz="0" w:space="0" w:color="auto"/>
          </w:divBdr>
          <w:divsChild>
            <w:div w:id="1195114966">
              <w:marLeft w:val="0"/>
              <w:marRight w:val="0"/>
              <w:marTop w:val="0"/>
              <w:marBottom w:val="0"/>
              <w:divBdr>
                <w:top w:val="none" w:sz="0" w:space="0" w:color="auto"/>
                <w:left w:val="none" w:sz="0" w:space="0" w:color="auto"/>
                <w:bottom w:val="none" w:sz="0" w:space="0" w:color="auto"/>
                <w:right w:val="none" w:sz="0" w:space="0" w:color="auto"/>
              </w:divBdr>
            </w:div>
          </w:divsChild>
        </w:div>
        <w:div w:id="2058511458">
          <w:marLeft w:val="0"/>
          <w:marRight w:val="0"/>
          <w:marTop w:val="0"/>
          <w:marBottom w:val="0"/>
          <w:divBdr>
            <w:top w:val="none" w:sz="0" w:space="0" w:color="auto"/>
            <w:left w:val="none" w:sz="0" w:space="0" w:color="auto"/>
            <w:bottom w:val="none" w:sz="0" w:space="0" w:color="auto"/>
            <w:right w:val="none" w:sz="0" w:space="0" w:color="auto"/>
          </w:divBdr>
          <w:divsChild>
            <w:div w:id="1559126720">
              <w:marLeft w:val="0"/>
              <w:marRight w:val="0"/>
              <w:marTop w:val="0"/>
              <w:marBottom w:val="0"/>
              <w:divBdr>
                <w:top w:val="none" w:sz="0" w:space="0" w:color="auto"/>
                <w:left w:val="none" w:sz="0" w:space="0" w:color="auto"/>
                <w:bottom w:val="none" w:sz="0" w:space="0" w:color="auto"/>
                <w:right w:val="none" w:sz="0" w:space="0" w:color="auto"/>
              </w:divBdr>
            </w:div>
          </w:divsChild>
        </w:div>
        <w:div w:id="2085832985">
          <w:marLeft w:val="0"/>
          <w:marRight w:val="0"/>
          <w:marTop w:val="0"/>
          <w:marBottom w:val="0"/>
          <w:divBdr>
            <w:top w:val="none" w:sz="0" w:space="0" w:color="auto"/>
            <w:left w:val="none" w:sz="0" w:space="0" w:color="auto"/>
            <w:bottom w:val="none" w:sz="0" w:space="0" w:color="auto"/>
            <w:right w:val="none" w:sz="0" w:space="0" w:color="auto"/>
          </w:divBdr>
          <w:divsChild>
            <w:div w:id="339890462">
              <w:marLeft w:val="0"/>
              <w:marRight w:val="0"/>
              <w:marTop w:val="0"/>
              <w:marBottom w:val="0"/>
              <w:divBdr>
                <w:top w:val="none" w:sz="0" w:space="0" w:color="auto"/>
                <w:left w:val="none" w:sz="0" w:space="0" w:color="auto"/>
                <w:bottom w:val="none" w:sz="0" w:space="0" w:color="auto"/>
                <w:right w:val="none" w:sz="0" w:space="0" w:color="auto"/>
              </w:divBdr>
            </w:div>
          </w:divsChild>
        </w:div>
        <w:div w:id="2090347760">
          <w:marLeft w:val="0"/>
          <w:marRight w:val="0"/>
          <w:marTop w:val="0"/>
          <w:marBottom w:val="0"/>
          <w:divBdr>
            <w:top w:val="none" w:sz="0" w:space="0" w:color="auto"/>
            <w:left w:val="none" w:sz="0" w:space="0" w:color="auto"/>
            <w:bottom w:val="none" w:sz="0" w:space="0" w:color="auto"/>
            <w:right w:val="none" w:sz="0" w:space="0" w:color="auto"/>
          </w:divBdr>
          <w:divsChild>
            <w:div w:id="1897349685">
              <w:marLeft w:val="0"/>
              <w:marRight w:val="0"/>
              <w:marTop w:val="0"/>
              <w:marBottom w:val="0"/>
              <w:divBdr>
                <w:top w:val="none" w:sz="0" w:space="0" w:color="auto"/>
                <w:left w:val="none" w:sz="0" w:space="0" w:color="auto"/>
                <w:bottom w:val="none" w:sz="0" w:space="0" w:color="auto"/>
                <w:right w:val="none" w:sz="0" w:space="0" w:color="auto"/>
              </w:divBdr>
            </w:div>
          </w:divsChild>
        </w:div>
        <w:div w:id="2090887238">
          <w:marLeft w:val="0"/>
          <w:marRight w:val="0"/>
          <w:marTop w:val="0"/>
          <w:marBottom w:val="0"/>
          <w:divBdr>
            <w:top w:val="none" w:sz="0" w:space="0" w:color="auto"/>
            <w:left w:val="none" w:sz="0" w:space="0" w:color="auto"/>
            <w:bottom w:val="none" w:sz="0" w:space="0" w:color="auto"/>
            <w:right w:val="none" w:sz="0" w:space="0" w:color="auto"/>
          </w:divBdr>
          <w:divsChild>
            <w:div w:id="1644501527">
              <w:marLeft w:val="0"/>
              <w:marRight w:val="0"/>
              <w:marTop w:val="0"/>
              <w:marBottom w:val="0"/>
              <w:divBdr>
                <w:top w:val="none" w:sz="0" w:space="0" w:color="auto"/>
                <w:left w:val="none" w:sz="0" w:space="0" w:color="auto"/>
                <w:bottom w:val="none" w:sz="0" w:space="0" w:color="auto"/>
                <w:right w:val="none" w:sz="0" w:space="0" w:color="auto"/>
              </w:divBdr>
            </w:div>
          </w:divsChild>
        </w:div>
        <w:div w:id="2108959633">
          <w:marLeft w:val="0"/>
          <w:marRight w:val="0"/>
          <w:marTop w:val="0"/>
          <w:marBottom w:val="0"/>
          <w:divBdr>
            <w:top w:val="none" w:sz="0" w:space="0" w:color="auto"/>
            <w:left w:val="none" w:sz="0" w:space="0" w:color="auto"/>
            <w:bottom w:val="none" w:sz="0" w:space="0" w:color="auto"/>
            <w:right w:val="none" w:sz="0" w:space="0" w:color="auto"/>
          </w:divBdr>
          <w:divsChild>
            <w:div w:id="8517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4564">
      <w:bodyDiv w:val="1"/>
      <w:marLeft w:val="0"/>
      <w:marRight w:val="0"/>
      <w:marTop w:val="0"/>
      <w:marBottom w:val="0"/>
      <w:divBdr>
        <w:top w:val="none" w:sz="0" w:space="0" w:color="auto"/>
        <w:left w:val="none" w:sz="0" w:space="0" w:color="auto"/>
        <w:bottom w:val="none" w:sz="0" w:space="0" w:color="auto"/>
        <w:right w:val="none" w:sz="0" w:space="0" w:color="auto"/>
      </w:divBdr>
    </w:div>
    <w:div w:id="417990554">
      <w:bodyDiv w:val="1"/>
      <w:marLeft w:val="0"/>
      <w:marRight w:val="0"/>
      <w:marTop w:val="0"/>
      <w:marBottom w:val="0"/>
      <w:divBdr>
        <w:top w:val="none" w:sz="0" w:space="0" w:color="auto"/>
        <w:left w:val="none" w:sz="0" w:space="0" w:color="auto"/>
        <w:bottom w:val="none" w:sz="0" w:space="0" w:color="auto"/>
        <w:right w:val="none" w:sz="0" w:space="0" w:color="auto"/>
      </w:divBdr>
    </w:div>
    <w:div w:id="429395190">
      <w:bodyDiv w:val="1"/>
      <w:marLeft w:val="0"/>
      <w:marRight w:val="0"/>
      <w:marTop w:val="0"/>
      <w:marBottom w:val="0"/>
      <w:divBdr>
        <w:top w:val="none" w:sz="0" w:space="0" w:color="auto"/>
        <w:left w:val="none" w:sz="0" w:space="0" w:color="auto"/>
        <w:bottom w:val="none" w:sz="0" w:space="0" w:color="auto"/>
        <w:right w:val="none" w:sz="0" w:space="0" w:color="auto"/>
      </w:divBdr>
      <w:divsChild>
        <w:div w:id="1200820">
          <w:marLeft w:val="0"/>
          <w:marRight w:val="0"/>
          <w:marTop w:val="0"/>
          <w:marBottom w:val="0"/>
          <w:divBdr>
            <w:top w:val="none" w:sz="0" w:space="0" w:color="auto"/>
            <w:left w:val="none" w:sz="0" w:space="0" w:color="auto"/>
            <w:bottom w:val="none" w:sz="0" w:space="0" w:color="auto"/>
            <w:right w:val="none" w:sz="0" w:space="0" w:color="auto"/>
          </w:divBdr>
          <w:divsChild>
            <w:div w:id="1456948072">
              <w:marLeft w:val="0"/>
              <w:marRight w:val="0"/>
              <w:marTop w:val="0"/>
              <w:marBottom w:val="0"/>
              <w:divBdr>
                <w:top w:val="none" w:sz="0" w:space="0" w:color="auto"/>
                <w:left w:val="none" w:sz="0" w:space="0" w:color="auto"/>
                <w:bottom w:val="none" w:sz="0" w:space="0" w:color="auto"/>
                <w:right w:val="none" w:sz="0" w:space="0" w:color="auto"/>
              </w:divBdr>
            </w:div>
          </w:divsChild>
        </w:div>
        <w:div w:id="46758077">
          <w:marLeft w:val="0"/>
          <w:marRight w:val="0"/>
          <w:marTop w:val="0"/>
          <w:marBottom w:val="0"/>
          <w:divBdr>
            <w:top w:val="none" w:sz="0" w:space="0" w:color="auto"/>
            <w:left w:val="none" w:sz="0" w:space="0" w:color="auto"/>
            <w:bottom w:val="none" w:sz="0" w:space="0" w:color="auto"/>
            <w:right w:val="none" w:sz="0" w:space="0" w:color="auto"/>
          </w:divBdr>
          <w:divsChild>
            <w:div w:id="1814517129">
              <w:marLeft w:val="0"/>
              <w:marRight w:val="0"/>
              <w:marTop w:val="0"/>
              <w:marBottom w:val="0"/>
              <w:divBdr>
                <w:top w:val="none" w:sz="0" w:space="0" w:color="auto"/>
                <w:left w:val="none" w:sz="0" w:space="0" w:color="auto"/>
                <w:bottom w:val="none" w:sz="0" w:space="0" w:color="auto"/>
                <w:right w:val="none" w:sz="0" w:space="0" w:color="auto"/>
              </w:divBdr>
            </w:div>
          </w:divsChild>
        </w:div>
        <w:div w:id="47413371">
          <w:marLeft w:val="0"/>
          <w:marRight w:val="0"/>
          <w:marTop w:val="0"/>
          <w:marBottom w:val="0"/>
          <w:divBdr>
            <w:top w:val="none" w:sz="0" w:space="0" w:color="auto"/>
            <w:left w:val="none" w:sz="0" w:space="0" w:color="auto"/>
            <w:bottom w:val="none" w:sz="0" w:space="0" w:color="auto"/>
            <w:right w:val="none" w:sz="0" w:space="0" w:color="auto"/>
          </w:divBdr>
          <w:divsChild>
            <w:div w:id="436944490">
              <w:marLeft w:val="0"/>
              <w:marRight w:val="0"/>
              <w:marTop w:val="0"/>
              <w:marBottom w:val="0"/>
              <w:divBdr>
                <w:top w:val="none" w:sz="0" w:space="0" w:color="auto"/>
                <w:left w:val="none" w:sz="0" w:space="0" w:color="auto"/>
                <w:bottom w:val="none" w:sz="0" w:space="0" w:color="auto"/>
                <w:right w:val="none" w:sz="0" w:space="0" w:color="auto"/>
              </w:divBdr>
            </w:div>
          </w:divsChild>
        </w:div>
        <w:div w:id="50275912">
          <w:marLeft w:val="0"/>
          <w:marRight w:val="0"/>
          <w:marTop w:val="0"/>
          <w:marBottom w:val="0"/>
          <w:divBdr>
            <w:top w:val="none" w:sz="0" w:space="0" w:color="auto"/>
            <w:left w:val="none" w:sz="0" w:space="0" w:color="auto"/>
            <w:bottom w:val="none" w:sz="0" w:space="0" w:color="auto"/>
            <w:right w:val="none" w:sz="0" w:space="0" w:color="auto"/>
          </w:divBdr>
          <w:divsChild>
            <w:div w:id="1918589708">
              <w:marLeft w:val="0"/>
              <w:marRight w:val="0"/>
              <w:marTop w:val="0"/>
              <w:marBottom w:val="0"/>
              <w:divBdr>
                <w:top w:val="none" w:sz="0" w:space="0" w:color="auto"/>
                <w:left w:val="none" w:sz="0" w:space="0" w:color="auto"/>
                <w:bottom w:val="none" w:sz="0" w:space="0" w:color="auto"/>
                <w:right w:val="none" w:sz="0" w:space="0" w:color="auto"/>
              </w:divBdr>
            </w:div>
          </w:divsChild>
        </w:div>
        <w:div w:id="71508704">
          <w:marLeft w:val="0"/>
          <w:marRight w:val="0"/>
          <w:marTop w:val="0"/>
          <w:marBottom w:val="0"/>
          <w:divBdr>
            <w:top w:val="none" w:sz="0" w:space="0" w:color="auto"/>
            <w:left w:val="none" w:sz="0" w:space="0" w:color="auto"/>
            <w:bottom w:val="none" w:sz="0" w:space="0" w:color="auto"/>
            <w:right w:val="none" w:sz="0" w:space="0" w:color="auto"/>
          </w:divBdr>
          <w:divsChild>
            <w:div w:id="2038656365">
              <w:marLeft w:val="0"/>
              <w:marRight w:val="0"/>
              <w:marTop w:val="0"/>
              <w:marBottom w:val="0"/>
              <w:divBdr>
                <w:top w:val="none" w:sz="0" w:space="0" w:color="auto"/>
                <w:left w:val="none" w:sz="0" w:space="0" w:color="auto"/>
                <w:bottom w:val="none" w:sz="0" w:space="0" w:color="auto"/>
                <w:right w:val="none" w:sz="0" w:space="0" w:color="auto"/>
              </w:divBdr>
            </w:div>
          </w:divsChild>
        </w:div>
        <w:div w:id="72238884">
          <w:marLeft w:val="0"/>
          <w:marRight w:val="0"/>
          <w:marTop w:val="0"/>
          <w:marBottom w:val="0"/>
          <w:divBdr>
            <w:top w:val="none" w:sz="0" w:space="0" w:color="auto"/>
            <w:left w:val="none" w:sz="0" w:space="0" w:color="auto"/>
            <w:bottom w:val="none" w:sz="0" w:space="0" w:color="auto"/>
            <w:right w:val="none" w:sz="0" w:space="0" w:color="auto"/>
          </w:divBdr>
          <w:divsChild>
            <w:div w:id="570042307">
              <w:marLeft w:val="0"/>
              <w:marRight w:val="0"/>
              <w:marTop w:val="0"/>
              <w:marBottom w:val="0"/>
              <w:divBdr>
                <w:top w:val="none" w:sz="0" w:space="0" w:color="auto"/>
                <w:left w:val="none" w:sz="0" w:space="0" w:color="auto"/>
                <w:bottom w:val="none" w:sz="0" w:space="0" w:color="auto"/>
                <w:right w:val="none" w:sz="0" w:space="0" w:color="auto"/>
              </w:divBdr>
            </w:div>
          </w:divsChild>
        </w:div>
        <w:div w:id="77217003">
          <w:marLeft w:val="0"/>
          <w:marRight w:val="0"/>
          <w:marTop w:val="0"/>
          <w:marBottom w:val="0"/>
          <w:divBdr>
            <w:top w:val="none" w:sz="0" w:space="0" w:color="auto"/>
            <w:left w:val="none" w:sz="0" w:space="0" w:color="auto"/>
            <w:bottom w:val="none" w:sz="0" w:space="0" w:color="auto"/>
            <w:right w:val="none" w:sz="0" w:space="0" w:color="auto"/>
          </w:divBdr>
          <w:divsChild>
            <w:div w:id="480394434">
              <w:marLeft w:val="0"/>
              <w:marRight w:val="0"/>
              <w:marTop w:val="0"/>
              <w:marBottom w:val="0"/>
              <w:divBdr>
                <w:top w:val="none" w:sz="0" w:space="0" w:color="auto"/>
                <w:left w:val="none" w:sz="0" w:space="0" w:color="auto"/>
                <w:bottom w:val="none" w:sz="0" w:space="0" w:color="auto"/>
                <w:right w:val="none" w:sz="0" w:space="0" w:color="auto"/>
              </w:divBdr>
            </w:div>
          </w:divsChild>
        </w:div>
        <w:div w:id="125128679">
          <w:marLeft w:val="0"/>
          <w:marRight w:val="0"/>
          <w:marTop w:val="0"/>
          <w:marBottom w:val="0"/>
          <w:divBdr>
            <w:top w:val="none" w:sz="0" w:space="0" w:color="auto"/>
            <w:left w:val="none" w:sz="0" w:space="0" w:color="auto"/>
            <w:bottom w:val="none" w:sz="0" w:space="0" w:color="auto"/>
            <w:right w:val="none" w:sz="0" w:space="0" w:color="auto"/>
          </w:divBdr>
          <w:divsChild>
            <w:div w:id="828063422">
              <w:marLeft w:val="0"/>
              <w:marRight w:val="0"/>
              <w:marTop w:val="0"/>
              <w:marBottom w:val="0"/>
              <w:divBdr>
                <w:top w:val="none" w:sz="0" w:space="0" w:color="auto"/>
                <w:left w:val="none" w:sz="0" w:space="0" w:color="auto"/>
                <w:bottom w:val="none" w:sz="0" w:space="0" w:color="auto"/>
                <w:right w:val="none" w:sz="0" w:space="0" w:color="auto"/>
              </w:divBdr>
            </w:div>
          </w:divsChild>
        </w:div>
        <w:div w:id="135681670">
          <w:marLeft w:val="0"/>
          <w:marRight w:val="0"/>
          <w:marTop w:val="0"/>
          <w:marBottom w:val="0"/>
          <w:divBdr>
            <w:top w:val="none" w:sz="0" w:space="0" w:color="auto"/>
            <w:left w:val="none" w:sz="0" w:space="0" w:color="auto"/>
            <w:bottom w:val="none" w:sz="0" w:space="0" w:color="auto"/>
            <w:right w:val="none" w:sz="0" w:space="0" w:color="auto"/>
          </w:divBdr>
          <w:divsChild>
            <w:div w:id="436485037">
              <w:marLeft w:val="0"/>
              <w:marRight w:val="0"/>
              <w:marTop w:val="0"/>
              <w:marBottom w:val="0"/>
              <w:divBdr>
                <w:top w:val="none" w:sz="0" w:space="0" w:color="auto"/>
                <w:left w:val="none" w:sz="0" w:space="0" w:color="auto"/>
                <w:bottom w:val="none" w:sz="0" w:space="0" w:color="auto"/>
                <w:right w:val="none" w:sz="0" w:space="0" w:color="auto"/>
              </w:divBdr>
            </w:div>
          </w:divsChild>
        </w:div>
        <w:div w:id="139813291">
          <w:marLeft w:val="0"/>
          <w:marRight w:val="0"/>
          <w:marTop w:val="0"/>
          <w:marBottom w:val="0"/>
          <w:divBdr>
            <w:top w:val="none" w:sz="0" w:space="0" w:color="auto"/>
            <w:left w:val="none" w:sz="0" w:space="0" w:color="auto"/>
            <w:bottom w:val="none" w:sz="0" w:space="0" w:color="auto"/>
            <w:right w:val="none" w:sz="0" w:space="0" w:color="auto"/>
          </w:divBdr>
          <w:divsChild>
            <w:div w:id="737174495">
              <w:marLeft w:val="0"/>
              <w:marRight w:val="0"/>
              <w:marTop w:val="0"/>
              <w:marBottom w:val="0"/>
              <w:divBdr>
                <w:top w:val="none" w:sz="0" w:space="0" w:color="auto"/>
                <w:left w:val="none" w:sz="0" w:space="0" w:color="auto"/>
                <w:bottom w:val="none" w:sz="0" w:space="0" w:color="auto"/>
                <w:right w:val="none" w:sz="0" w:space="0" w:color="auto"/>
              </w:divBdr>
            </w:div>
          </w:divsChild>
        </w:div>
        <w:div w:id="143280961">
          <w:marLeft w:val="0"/>
          <w:marRight w:val="0"/>
          <w:marTop w:val="0"/>
          <w:marBottom w:val="0"/>
          <w:divBdr>
            <w:top w:val="none" w:sz="0" w:space="0" w:color="auto"/>
            <w:left w:val="none" w:sz="0" w:space="0" w:color="auto"/>
            <w:bottom w:val="none" w:sz="0" w:space="0" w:color="auto"/>
            <w:right w:val="none" w:sz="0" w:space="0" w:color="auto"/>
          </w:divBdr>
          <w:divsChild>
            <w:div w:id="1905338538">
              <w:marLeft w:val="0"/>
              <w:marRight w:val="0"/>
              <w:marTop w:val="0"/>
              <w:marBottom w:val="0"/>
              <w:divBdr>
                <w:top w:val="none" w:sz="0" w:space="0" w:color="auto"/>
                <w:left w:val="none" w:sz="0" w:space="0" w:color="auto"/>
                <w:bottom w:val="none" w:sz="0" w:space="0" w:color="auto"/>
                <w:right w:val="none" w:sz="0" w:space="0" w:color="auto"/>
              </w:divBdr>
            </w:div>
          </w:divsChild>
        </w:div>
        <w:div w:id="143550478">
          <w:marLeft w:val="0"/>
          <w:marRight w:val="0"/>
          <w:marTop w:val="0"/>
          <w:marBottom w:val="0"/>
          <w:divBdr>
            <w:top w:val="none" w:sz="0" w:space="0" w:color="auto"/>
            <w:left w:val="none" w:sz="0" w:space="0" w:color="auto"/>
            <w:bottom w:val="none" w:sz="0" w:space="0" w:color="auto"/>
            <w:right w:val="none" w:sz="0" w:space="0" w:color="auto"/>
          </w:divBdr>
          <w:divsChild>
            <w:div w:id="704328541">
              <w:marLeft w:val="0"/>
              <w:marRight w:val="0"/>
              <w:marTop w:val="0"/>
              <w:marBottom w:val="0"/>
              <w:divBdr>
                <w:top w:val="none" w:sz="0" w:space="0" w:color="auto"/>
                <w:left w:val="none" w:sz="0" w:space="0" w:color="auto"/>
                <w:bottom w:val="none" w:sz="0" w:space="0" w:color="auto"/>
                <w:right w:val="none" w:sz="0" w:space="0" w:color="auto"/>
              </w:divBdr>
            </w:div>
          </w:divsChild>
        </w:div>
        <w:div w:id="179513922">
          <w:marLeft w:val="0"/>
          <w:marRight w:val="0"/>
          <w:marTop w:val="0"/>
          <w:marBottom w:val="0"/>
          <w:divBdr>
            <w:top w:val="none" w:sz="0" w:space="0" w:color="auto"/>
            <w:left w:val="none" w:sz="0" w:space="0" w:color="auto"/>
            <w:bottom w:val="none" w:sz="0" w:space="0" w:color="auto"/>
            <w:right w:val="none" w:sz="0" w:space="0" w:color="auto"/>
          </w:divBdr>
          <w:divsChild>
            <w:div w:id="1272785957">
              <w:marLeft w:val="0"/>
              <w:marRight w:val="0"/>
              <w:marTop w:val="0"/>
              <w:marBottom w:val="0"/>
              <w:divBdr>
                <w:top w:val="none" w:sz="0" w:space="0" w:color="auto"/>
                <w:left w:val="none" w:sz="0" w:space="0" w:color="auto"/>
                <w:bottom w:val="none" w:sz="0" w:space="0" w:color="auto"/>
                <w:right w:val="none" w:sz="0" w:space="0" w:color="auto"/>
              </w:divBdr>
            </w:div>
          </w:divsChild>
        </w:div>
        <w:div w:id="192961703">
          <w:marLeft w:val="0"/>
          <w:marRight w:val="0"/>
          <w:marTop w:val="0"/>
          <w:marBottom w:val="0"/>
          <w:divBdr>
            <w:top w:val="none" w:sz="0" w:space="0" w:color="auto"/>
            <w:left w:val="none" w:sz="0" w:space="0" w:color="auto"/>
            <w:bottom w:val="none" w:sz="0" w:space="0" w:color="auto"/>
            <w:right w:val="none" w:sz="0" w:space="0" w:color="auto"/>
          </w:divBdr>
          <w:divsChild>
            <w:div w:id="1883980568">
              <w:marLeft w:val="0"/>
              <w:marRight w:val="0"/>
              <w:marTop w:val="0"/>
              <w:marBottom w:val="0"/>
              <w:divBdr>
                <w:top w:val="none" w:sz="0" w:space="0" w:color="auto"/>
                <w:left w:val="none" w:sz="0" w:space="0" w:color="auto"/>
                <w:bottom w:val="none" w:sz="0" w:space="0" w:color="auto"/>
                <w:right w:val="none" w:sz="0" w:space="0" w:color="auto"/>
              </w:divBdr>
            </w:div>
          </w:divsChild>
        </w:div>
        <w:div w:id="202719187">
          <w:marLeft w:val="0"/>
          <w:marRight w:val="0"/>
          <w:marTop w:val="0"/>
          <w:marBottom w:val="0"/>
          <w:divBdr>
            <w:top w:val="none" w:sz="0" w:space="0" w:color="auto"/>
            <w:left w:val="none" w:sz="0" w:space="0" w:color="auto"/>
            <w:bottom w:val="none" w:sz="0" w:space="0" w:color="auto"/>
            <w:right w:val="none" w:sz="0" w:space="0" w:color="auto"/>
          </w:divBdr>
          <w:divsChild>
            <w:div w:id="964041089">
              <w:marLeft w:val="0"/>
              <w:marRight w:val="0"/>
              <w:marTop w:val="0"/>
              <w:marBottom w:val="0"/>
              <w:divBdr>
                <w:top w:val="none" w:sz="0" w:space="0" w:color="auto"/>
                <w:left w:val="none" w:sz="0" w:space="0" w:color="auto"/>
                <w:bottom w:val="none" w:sz="0" w:space="0" w:color="auto"/>
                <w:right w:val="none" w:sz="0" w:space="0" w:color="auto"/>
              </w:divBdr>
            </w:div>
          </w:divsChild>
        </w:div>
        <w:div w:id="208423189">
          <w:marLeft w:val="0"/>
          <w:marRight w:val="0"/>
          <w:marTop w:val="0"/>
          <w:marBottom w:val="0"/>
          <w:divBdr>
            <w:top w:val="none" w:sz="0" w:space="0" w:color="auto"/>
            <w:left w:val="none" w:sz="0" w:space="0" w:color="auto"/>
            <w:bottom w:val="none" w:sz="0" w:space="0" w:color="auto"/>
            <w:right w:val="none" w:sz="0" w:space="0" w:color="auto"/>
          </w:divBdr>
          <w:divsChild>
            <w:div w:id="1202283857">
              <w:marLeft w:val="0"/>
              <w:marRight w:val="0"/>
              <w:marTop w:val="0"/>
              <w:marBottom w:val="0"/>
              <w:divBdr>
                <w:top w:val="none" w:sz="0" w:space="0" w:color="auto"/>
                <w:left w:val="none" w:sz="0" w:space="0" w:color="auto"/>
                <w:bottom w:val="none" w:sz="0" w:space="0" w:color="auto"/>
                <w:right w:val="none" w:sz="0" w:space="0" w:color="auto"/>
              </w:divBdr>
            </w:div>
          </w:divsChild>
        </w:div>
        <w:div w:id="226453484">
          <w:marLeft w:val="0"/>
          <w:marRight w:val="0"/>
          <w:marTop w:val="0"/>
          <w:marBottom w:val="0"/>
          <w:divBdr>
            <w:top w:val="none" w:sz="0" w:space="0" w:color="auto"/>
            <w:left w:val="none" w:sz="0" w:space="0" w:color="auto"/>
            <w:bottom w:val="none" w:sz="0" w:space="0" w:color="auto"/>
            <w:right w:val="none" w:sz="0" w:space="0" w:color="auto"/>
          </w:divBdr>
          <w:divsChild>
            <w:div w:id="613637120">
              <w:marLeft w:val="0"/>
              <w:marRight w:val="0"/>
              <w:marTop w:val="0"/>
              <w:marBottom w:val="0"/>
              <w:divBdr>
                <w:top w:val="none" w:sz="0" w:space="0" w:color="auto"/>
                <w:left w:val="none" w:sz="0" w:space="0" w:color="auto"/>
                <w:bottom w:val="none" w:sz="0" w:space="0" w:color="auto"/>
                <w:right w:val="none" w:sz="0" w:space="0" w:color="auto"/>
              </w:divBdr>
            </w:div>
          </w:divsChild>
        </w:div>
        <w:div w:id="287249331">
          <w:marLeft w:val="0"/>
          <w:marRight w:val="0"/>
          <w:marTop w:val="0"/>
          <w:marBottom w:val="0"/>
          <w:divBdr>
            <w:top w:val="none" w:sz="0" w:space="0" w:color="auto"/>
            <w:left w:val="none" w:sz="0" w:space="0" w:color="auto"/>
            <w:bottom w:val="none" w:sz="0" w:space="0" w:color="auto"/>
            <w:right w:val="none" w:sz="0" w:space="0" w:color="auto"/>
          </w:divBdr>
          <w:divsChild>
            <w:div w:id="1694115856">
              <w:marLeft w:val="0"/>
              <w:marRight w:val="0"/>
              <w:marTop w:val="0"/>
              <w:marBottom w:val="0"/>
              <w:divBdr>
                <w:top w:val="none" w:sz="0" w:space="0" w:color="auto"/>
                <w:left w:val="none" w:sz="0" w:space="0" w:color="auto"/>
                <w:bottom w:val="none" w:sz="0" w:space="0" w:color="auto"/>
                <w:right w:val="none" w:sz="0" w:space="0" w:color="auto"/>
              </w:divBdr>
            </w:div>
          </w:divsChild>
        </w:div>
        <w:div w:id="312835237">
          <w:marLeft w:val="0"/>
          <w:marRight w:val="0"/>
          <w:marTop w:val="0"/>
          <w:marBottom w:val="0"/>
          <w:divBdr>
            <w:top w:val="none" w:sz="0" w:space="0" w:color="auto"/>
            <w:left w:val="none" w:sz="0" w:space="0" w:color="auto"/>
            <w:bottom w:val="none" w:sz="0" w:space="0" w:color="auto"/>
            <w:right w:val="none" w:sz="0" w:space="0" w:color="auto"/>
          </w:divBdr>
          <w:divsChild>
            <w:div w:id="1330252818">
              <w:marLeft w:val="0"/>
              <w:marRight w:val="0"/>
              <w:marTop w:val="0"/>
              <w:marBottom w:val="0"/>
              <w:divBdr>
                <w:top w:val="none" w:sz="0" w:space="0" w:color="auto"/>
                <w:left w:val="none" w:sz="0" w:space="0" w:color="auto"/>
                <w:bottom w:val="none" w:sz="0" w:space="0" w:color="auto"/>
                <w:right w:val="none" w:sz="0" w:space="0" w:color="auto"/>
              </w:divBdr>
            </w:div>
          </w:divsChild>
        </w:div>
        <w:div w:id="337120139">
          <w:marLeft w:val="0"/>
          <w:marRight w:val="0"/>
          <w:marTop w:val="0"/>
          <w:marBottom w:val="0"/>
          <w:divBdr>
            <w:top w:val="none" w:sz="0" w:space="0" w:color="auto"/>
            <w:left w:val="none" w:sz="0" w:space="0" w:color="auto"/>
            <w:bottom w:val="none" w:sz="0" w:space="0" w:color="auto"/>
            <w:right w:val="none" w:sz="0" w:space="0" w:color="auto"/>
          </w:divBdr>
          <w:divsChild>
            <w:div w:id="30039928">
              <w:marLeft w:val="0"/>
              <w:marRight w:val="0"/>
              <w:marTop w:val="0"/>
              <w:marBottom w:val="0"/>
              <w:divBdr>
                <w:top w:val="none" w:sz="0" w:space="0" w:color="auto"/>
                <w:left w:val="none" w:sz="0" w:space="0" w:color="auto"/>
                <w:bottom w:val="none" w:sz="0" w:space="0" w:color="auto"/>
                <w:right w:val="none" w:sz="0" w:space="0" w:color="auto"/>
              </w:divBdr>
            </w:div>
          </w:divsChild>
        </w:div>
        <w:div w:id="353926560">
          <w:marLeft w:val="0"/>
          <w:marRight w:val="0"/>
          <w:marTop w:val="0"/>
          <w:marBottom w:val="0"/>
          <w:divBdr>
            <w:top w:val="none" w:sz="0" w:space="0" w:color="auto"/>
            <w:left w:val="none" w:sz="0" w:space="0" w:color="auto"/>
            <w:bottom w:val="none" w:sz="0" w:space="0" w:color="auto"/>
            <w:right w:val="none" w:sz="0" w:space="0" w:color="auto"/>
          </w:divBdr>
          <w:divsChild>
            <w:div w:id="258567970">
              <w:marLeft w:val="0"/>
              <w:marRight w:val="0"/>
              <w:marTop w:val="0"/>
              <w:marBottom w:val="0"/>
              <w:divBdr>
                <w:top w:val="none" w:sz="0" w:space="0" w:color="auto"/>
                <w:left w:val="none" w:sz="0" w:space="0" w:color="auto"/>
                <w:bottom w:val="none" w:sz="0" w:space="0" w:color="auto"/>
                <w:right w:val="none" w:sz="0" w:space="0" w:color="auto"/>
              </w:divBdr>
            </w:div>
          </w:divsChild>
        </w:div>
        <w:div w:id="369769606">
          <w:marLeft w:val="0"/>
          <w:marRight w:val="0"/>
          <w:marTop w:val="0"/>
          <w:marBottom w:val="0"/>
          <w:divBdr>
            <w:top w:val="none" w:sz="0" w:space="0" w:color="auto"/>
            <w:left w:val="none" w:sz="0" w:space="0" w:color="auto"/>
            <w:bottom w:val="none" w:sz="0" w:space="0" w:color="auto"/>
            <w:right w:val="none" w:sz="0" w:space="0" w:color="auto"/>
          </w:divBdr>
          <w:divsChild>
            <w:div w:id="224337479">
              <w:marLeft w:val="0"/>
              <w:marRight w:val="0"/>
              <w:marTop w:val="0"/>
              <w:marBottom w:val="0"/>
              <w:divBdr>
                <w:top w:val="none" w:sz="0" w:space="0" w:color="auto"/>
                <w:left w:val="none" w:sz="0" w:space="0" w:color="auto"/>
                <w:bottom w:val="none" w:sz="0" w:space="0" w:color="auto"/>
                <w:right w:val="none" w:sz="0" w:space="0" w:color="auto"/>
              </w:divBdr>
            </w:div>
          </w:divsChild>
        </w:div>
        <w:div w:id="377898096">
          <w:marLeft w:val="0"/>
          <w:marRight w:val="0"/>
          <w:marTop w:val="0"/>
          <w:marBottom w:val="0"/>
          <w:divBdr>
            <w:top w:val="none" w:sz="0" w:space="0" w:color="auto"/>
            <w:left w:val="none" w:sz="0" w:space="0" w:color="auto"/>
            <w:bottom w:val="none" w:sz="0" w:space="0" w:color="auto"/>
            <w:right w:val="none" w:sz="0" w:space="0" w:color="auto"/>
          </w:divBdr>
          <w:divsChild>
            <w:div w:id="122582799">
              <w:marLeft w:val="0"/>
              <w:marRight w:val="0"/>
              <w:marTop w:val="0"/>
              <w:marBottom w:val="0"/>
              <w:divBdr>
                <w:top w:val="none" w:sz="0" w:space="0" w:color="auto"/>
                <w:left w:val="none" w:sz="0" w:space="0" w:color="auto"/>
                <w:bottom w:val="none" w:sz="0" w:space="0" w:color="auto"/>
                <w:right w:val="none" w:sz="0" w:space="0" w:color="auto"/>
              </w:divBdr>
            </w:div>
          </w:divsChild>
        </w:div>
        <w:div w:id="379014786">
          <w:marLeft w:val="0"/>
          <w:marRight w:val="0"/>
          <w:marTop w:val="0"/>
          <w:marBottom w:val="0"/>
          <w:divBdr>
            <w:top w:val="none" w:sz="0" w:space="0" w:color="auto"/>
            <w:left w:val="none" w:sz="0" w:space="0" w:color="auto"/>
            <w:bottom w:val="none" w:sz="0" w:space="0" w:color="auto"/>
            <w:right w:val="none" w:sz="0" w:space="0" w:color="auto"/>
          </w:divBdr>
          <w:divsChild>
            <w:div w:id="1592738774">
              <w:marLeft w:val="0"/>
              <w:marRight w:val="0"/>
              <w:marTop w:val="0"/>
              <w:marBottom w:val="0"/>
              <w:divBdr>
                <w:top w:val="none" w:sz="0" w:space="0" w:color="auto"/>
                <w:left w:val="none" w:sz="0" w:space="0" w:color="auto"/>
                <w:bottom w:val="none" w:sz="0" w:space="0" w:color="auto"/>
                <w:right w:val="none" w:sz="0" w:space="0" w:color="auto"/>
              </w:divBdr>
            </w:div>
          </w:divsChild>
        </w:div>
        <w:div w:id="464392746">
          <w:marLeft w:val="0"/>
          <w:marRight w:val="0"/>
          <w:marTop w:val="0"/>
          <w:marBottom w:val="0"/>
          <w:divBdr>
            <w:top w:val="none" w:sz="0" w:space="0" w:color="auto"/>
            <w:left w:val="none" w:sz="0" w:space="0" w:color="auto"/>
            <w:bottom w:val="none" w:sz="0" w:space="0" w:color="auto"/>
            <w:right w:val="none" w:sz="0" w:space="0" w:color="auto"/>
          </w:divBdr>
          <w:divsChild>
            <w:div w:id="756561411">
              <w:marLeft w:val="0"/>
              <w:marRight w:val="0"/>
              <w:marTop w:val="0"/>
              <w:marBottom w:val="0"/>
              <w:divBdr>
                <w:top w:val="none" w:sz="0" w:space="0" w:color="auto"/>
                <w:left w:val="none" w:sz="0" w:space="0" w:color="auto"/>
                <w:bottom w:val="none" w:sz="0" w:space="0" w:color="auto"/>
                <w:right w:val="none" w:sz="0" w:space="0" w:color="auto"/>
              </w:divBdr>
            </w:div>
          </w:divsChild>
        </w:div>
        <w:div w:id="471363230">
          <w:marLeft w:val="0"/>
          <w:marRight w:val="0"/>
          <w:marTop w:val="0"/>
          <w:marBottom w:val="0"/>
          <w:divBdr>
            <w:top w:val="none" w:sz="0" w:space="0" w:color="auto"/>
            <w:left w:val="none" w:sz="0" w:space="0" w:color="auto"/>
            <w:bottom w:val="none" w:sz="0" w:space="0" w:color="auto"/>
            <w:right w:val="none" w:sz="0" w:space="0" w:color="auto"/>
          </w:divBdr>
          <w:divsChild>
            <w:div w:id="849296319">
              <w:marLeft w:val="0"/>
              <w:marRight w:val="0"/>
              <w:marTop w:val="0"/>
              <w:marBottom w:val="0"/>
              <w:divBdr>
                <w:top w:val="none" w:sz="0" w:space="0" w:color="auto"/>
                <w:left w:val="none" w:sz="0" w:space="0" w:color="auto"/>
                <w:bottom w:val="none" w:sz="0" w:space="0" w:color="auto"/>
                <w:right w:val="none" w:sz="0" w:space="0" w:color="auto"/>
              </w:divBdr>
            </w:div>
          </w:divsChild>
        </w:div>
        <w:div w:id="517936912">
          <w:marLeft w:val="0"/>
          <w:marRight w:val="0"/>
          <w:marTop w:val="0"/>
          <w:marBottom w:val="0"/>
          <w:divBdr>
            <w:top w:val="none" w:sz="0" w:space="0" w:color="auto"/>
            <w:left w:val="none" w:sz="0" w:space="0" w:color="auto"/>
            <w:bottom w:val="none" w:sz="0" w:space="0" w:color="auto"/>
            <w:right w:val="none" w:sz="0" w:space="0" w:color="auto"/>
          </w:divBdr>
          <w:divsChild>
            <w:div w:id="901480031">
              <w:marLeft w:val="0"/>
              <w:marRight w:val="0"/>
              <w:marTop w:val="0"/>
              <w:marBottom w:val="0"/>
              <w:divBdr>
                <w:top w:val="none" w:sz="0" w:space="0" w:color="auto"/>
                <w:left w:val="none" w:sz="0" w:space="0" w:color="auto"/>
                <w:bottom w:val="none" w:sz="0" w:space="0" w:color="auto"/>
                <w:right w:val="none" w:sz="0" w:space="0" w:color="auto"/>
              </w:divBdr>
            </w:div>
          </w:divsChild>
        </w:div>
        <w:div w:id="555625433">
          <w:marLeft w:val="0"/>
          <w:marRight w:val="0"/>
          <w:marTop w:val="0"/>
          <w:marBottom w:val="0"/>
          <w:divBdr>
            <w:top w:val="none" w:sz="0" w:space="0" w:color="auto"/>
            <w:left w:val="none" w:sz="0" w:space="0" w:color="auto"/>
            <w:bottom w:val="none" w:sz="0" w:space="0" w:color="auto"/>
            <w:right w:val="none" w:sz="0" w:space="0" w:color="auto"/>
          </w:divBdr>
          <w:divsChild>
            <w:div w:id="2123454825">
              <w:marLeft w:val="0"/>
              <w:marRight w:val="0"/>
              <w:marTop w:val="0"/>
              <w:marBottom w:val="0"/>
              <w:divBdr>
                <w:top w:val="none" w:sz="0" w:space="0" w:color="auto"/>
                <w:left w:val="none" w:sz="0" w:space="0" w:color="auto"/>
                <w:bottom w:val="none" w:sz="0" w:space="0" w:color="auto"/>
                <w:right w:val="none" w:sz="0" w:space="0" w:color="auto"/>
              </w:divBdr>
            </w:div>
          </w:divsChild>
        </w:div>
        <w:div w:id="555628591">
          <w:marLeft w:val="0"/>
          <w:marRight w:val="0"/>
          <w:marTop w:val="0"/>
          <w:marBottom w:val="0"/>
          <w:divBdr>
            <w:top w:val="none" w:sz="0" w:space="0" w:color="auto"/>
            <w:left w:val="none" w:sz="0" w:space="0" w:color="auto"/>
            <w:bottom w:val="none" w:sz="0" w:space="0" w:color="auto"/>
            <w:right w:val="none" w:sz="0" w:space="0" w:color="auto"/>
          </w:divBdr>
          <w:divsChild>
            <w:div w:id="1415784171">
              <w:marLeft w:val="0"/>
              <w:marRight w:val="0"/>
              <w:marTop w:val="0"/>
              <w:marBottom w:val="0"/>
              <w:divBdr>
                <w:top w:val="none" w:sz="0" w:space="0" w:color="auto"/>
                <w:left w:val="none" w:sz="0" w:space="0" w:color="auto"/>
                <w:bottom w:val="none" w:sz="0" w:space="0" w:color="auto"/>
                <w:right w:val="none" w:sz="0" w:space="0" w:color="auto"/>
              </w:divBdr>
            </w:div>
          </w:divsChild>
        </w:div>
        <w:div w:id="640623882">
          <w:marLeft w:val="0"/>
          <w:marRight w:val="0"/>
          <w:marTop w:val="0"/>
          <w:marBottom w:val="0"/>
          <w:divBdr>
            <w:top w:val="none" w:sz="0" w:space="0" w:color="auto"/>
            <w:left w:val="none" w:sz="0" w:space="0" w:color="auto"/>
            <w:bottom w:val="none" w:sz="0" w:space="0" w:color="auto"/>
            <w:right w:val="none" w:sz="0" w:space="0" w:color="auto"/>
          </w:divBdr>
          <w:divsChild>
            <w:div w:id="2057504743">
              <w:marLeft w:val="0"/>
              <w:marRight w:val="0"/>
              <w:marTop w:val="0"/>
              <w:marBottom w:val="0"/>
              <w:divBdr>
                <w:top w:val="none" w:sz="0" w:space="0" w:color="auto"/>
                <w:left w:val="none" w:sz="0" w:space="0" w:color="auto"/>
                <w:bottom w:val="none" w:sz="0" w:space="0" w:color="auto"/>
                <w:right w:val="none" w:sz="0" w:space="0" w:color="auto"/>
              </w:divBdr>
            </w:div>
          </w:divsChild>
        </w:div>
        <w:div w:id="764573422">
          <w:marLeft w:val="0"/>
          <w:marRight w:val="0"/>
          <w:marTop w:val="0"/>
          <w:marBottom w:val="0"/>
          <w:divBdr>
            <w:top w:val="none" w:sz="0" w:space="0" w:color="auto"/>
            <w:left w:val="none" w:sz="0" w:space="0" w:color="auto"/>
            <w:bottom w:val="none" w:sz="0" w:space="0" w:color="auto"/>
            <w:right w:val="none" w:sz="0" w:space="0" w:color="auto"/>
          </w:divBdr>
          <w:divsChild>
            <w:div w:id="1742169883">
              <w:marLeft w:val="0"/>
              <w:marRight w:val="0"/>
              <w:marTop w:val="0"/>
              <w:marBottom w:val="0"/>
              <w:divBdr>
                <w:top w:val="none" w:sz="0" w:space="0" w:color="auto"/>
                <w:left w:val="none" w:sz="0" w:space="0" w:color="auto"/>
                <w:bottom w:val="none" w:sz="0" w:space="0" w:color="auto"/>
                <w:right w:val="none" w:sz="0" w:space="0" w:color="auto"/>
              </w:divBdr>
            </w:div>
          </w:divsChild>
        </w:div>
        <w:div w:id="778140029">
          <w:marLeft w:val="0"/>
          <w:marRight w:val="0"/>
          <w:marTop w:val="0"/>
          <w:marBottom w:val="0"/>
          <w:divBdr>
            <w:top w:val="none" w:sz="0" w:space="0" w:color="auto"/>
            <w:left w:val="none" w:sz="0" w:space="0" w:color="auto"/>
            <w:bottom w:val="none" w:sz="0" w:space="0" w:color="auto"/>
            <w:right w:val="none" w:sz="0" w:space="0" w:color="auto"/>
          </w:divBdr>
          <w:divsChild>
            <w:div w:id="428233802">
              <w:marLeft w:val="0"/>
              <w:marRight w:val="0"/>
              <w:marTop w:val="0"/>
              <w:marBottom w:val="0"/>
              <w:divBdr>
                <w:top w:val="none" w:sz="0" w:space="0" w:color="auto"/>
                <w:left w:val="none" w:sz="0" w:space="0" w:color="auto"/>
                <w:bottom w:val="none" w:sz="0" w:space="0" w:color="auto"/>
                <w:right w:val="none" w:sz="0" w:space="0" w:color="auto"/>
              </w:divBdr>
            </w:div>
          </w:divsChild>
        </w:div>
        <w:div w:id="788354496">
          <w:marLeft w:val="0"/>
          <w:marRight w:val="0"/>
          <w:marTop w:val="0"/>
          <w:marBottom w:val="0"/>
          <w:divBdr>
            <w:top w:val="none" w:sz="0" w:space="0" w:color="auto"/>
            <w:left w:val="none" w:sz="0" w:space="0" w:color="auto"/>
            <w:bottom w:val="none" w:sz="0" w:space="0" w:color="auto"/>
            <w:right w:val="none" w:sz="0" w:space="0" w:color="auto"/>
          </w:divBdr>
          <w:divsChild>
            <w:div w:id="136384434">
              <w:marLeft w:val="0"/>
              <w:marRight w:val="0"/>
              <w:marTop w:val="0"/>
              <w:marBottom w:val="0"/>
              <w:divBdr>
                <w:top w:val="none" w:sz="0" w:space="0" w:color="auto"/>
                <w:left w:val="none" w:sz="0" w:space="0" w:color="auto"/>
                <w:bottom w:val="none" w:sz="0" w:space="0" w:color="auto"/>
                <w:right w:val="none" w:sz="0" w:space="0" w:color="auto"/>
              </w:divBdr>
            </w:div>
          </w:divsChild>
        </w:div>
        <w:div w:id="825433255">
          <w:marLeft w:val="0"/>
          <w:marRight w:val="0"/>
          <w:marTop w:val="0"/>
          <w:marBottom w:val="0"/>
          <w:divBdr>
            <w:top w:val="none" w:sz="0" w:space="0" w:color="auto"/>
            <w:left w:val="none" w:sz="0" w:space="0" w:color="auto"/>
            <w:bottom w:val="none" w:sz="0" w:space="0" w:color="auto"/>
            <w:right w:val="none" w:sz="0" w:space="0" w:color="auto"/>
          </w:divBdr>
          <w:divsChild>
            <w:div w:id="1956522555">
              <w:marLeft w:val="0"/>
              <w:marRight w:val="0"/>
              <w:marTop w:val="0"/>
              <w:marBottom w:val="0"/>
              <w:divBdr>
                <w:top w:val="none" w:sz="0" w:space="0" w:color="auto"/>
                <w:left w:val="none" w:sz="0" w:space="0" w:color="auto"/>
                <w:bottom w:val="none" w:sz="0" w:space="0" w:color="auto"/>
                <w:right w:val="none" w:sz="0" w:space="0" w:color="auto"/>
              </w:divBdr>
            </w:div>
          </w:divsChild>
        </w:div>
        <w:div w:id="835921068">
          <w:marLeft w:val="0"/>
          <w:marRight w:val="0"/>
          <w:marTop w:val="0"/>
          <w:marBottom w:val="0"/>
          <w:divBdr>
            <w:top w:val="none" w:sz="0" w:space="0" w:color="auto"/>
            <w:left w:val="none" w:sz="0" w:space="0" w:color="auto"/>
            <w:bottom w:val="none" w:sz="0" w:space="0" w:color="auto"/>
            <w:right w:val="none" w:sz="0" w:space="0" w:color="auto"/>
          </w:divBdr>
          <w:divsChild>
            <w:div w:id="1529223801">
              <w:marLeft w:val="0"/>
              <w:marRight w:val="0"/>
              <w:marTop w:val="0"/>
              <w:marBottom w:val="0"/>
              <w:divBdr>
                <w:top w:val="none" w:sz="0" w:space="0" w:color="auto"/>
                <w:left w:val="none" w:sz="0" w:space="0" w:color="auto"/>
                <w:bottom w:val="none" w:sz="0" w:space="0" w:color="auto"/>
                <w:right w:val="none" w:sz="0" w:space="0" w:color="auto"/>
              </w:divBdr>
            </w:div>
          </w:divsChild>
        </w:div>
        <w:div w:id="861548974">
          <w:marLeft w:val="0"/>
          <w:marRight w:val="0"/>
          <w:marTop w:val="0"/>
          <w:marBottom w:val="0"/>
          <w:divBdr>
            <w:top w:val="none" w:sz="0" w:space="0" w:color="auto"/>
            <w:left w:val="none" w:sz="0" w:space="0" w:color="auto"/>
            <w:bottom w:val="none" w:sz="0" w:space="0" w:color="auto"/>
            <w:right w:val="none" w:sz="0" w:space="0" w:color="auto"/>
          </w:divBdr>
          <w:divsChild>
            <w:div w:id="103812625">
              <w:marLeft w:val="0"/>
              <w:marRight w:val="0"/>
              <w:marTop w:val="0"/>
              <w:marBottom w:val="0"/>
              <w:divBdr>
                <w:top w:val="none" w:sz="0" w:space="0" w:color="auto"/>
                <w:left w:val="none" w:sz="0" w:space="0" w:color="auto"/>
                <w:bottom w:val="none" w:sz="0" w:space="0" w:color="auto"/>
                <w:right w:val="none" w:sz="0" w:space="0" w:color="auto"/>
              </w:divBdr>
            </w:div>
          </w:divsChild>
        </w:div>
        <w:div w:id="874075931">
          <w:marLeft w:val="0"/>
          <w:marRight w:val="0"/>
          <w:marTop w:val="0"/>
          <w:marBottom w:val="0"/>
          <w:divBdr>
            <w:top w:val="none" w:sz="0" w:space="0" w:color="auto"/>
            <w:left w:val="none" w:sz="0" w:space="0" w:color="auto"/>
            <w:bottom w:val="none" w:sz="0" w:space="0" w:color="auto"/>
            <w:right w:val="none" w:sz="0" w:space="0" w:color="auto"/>
          </w:divBdr>
          <w:divsChild>
            <w:div w:id="2038042353">
              <w:marLeft w:val="0"/>
              <w:marRight w:val="0"/>
              <w:marTop w:val="0"/>
              <w:marBottom w:val="0"/>
              <w:divBdr>
                <w:top w:val="none" w:sz="0" w:space="0" w:color="auto"/>
                <w:left w:val="none" w:sz="0" w:space="0" w:color="auto"/>
                <w:bottom w:val="none" w:sz="0" w:space="0" w:color="auto"/>
                <w:right w:val="none" w:sz="0" w:space="0" w:color="auto"/>
              </w:divBdr>
            </w:div>
          </w:divsChild>
        </w:div>
        <w:div w:id="896745014">
          <w:marLeft w:val="0"/>
          <w:marRight w:val="0"/>
          <w:marTop w:val="0"/>
          <w:marBottom w:val="0"/>
          <w:divBdr>
            <w:top w:val="none" w:sz="0" w:space="0" w:color="auto"/>
            <w:left w:val="none" w:sz="0" w:space="0" w:color="auto"/>
            <w:bottom w:val="none" w:sz="0" w:space="0" w:color="auto"/>
            <w:right w:val="none" w:sz="0" w:space="0" w:color="auto"/>
          </w:divBdr>
          <w:divsChild>
            <w:div w:id="2122067696">
              <w:marLeft w:val="0"/>
              <w:marRight w:val="0"/>
              <w:marTop w:val="0"/>
              <w:marBottom w:val="0"/>
              <w:divBdr>
                <w:top w:val="none" w:sz="0" w:space="0" w:color="auto"/>
                <w:left w:val="none" w:sz="0" w:space="0" w:color="auto"/>
                <w:bottom w:val="none" w:sz="0" w:space="0" w:color="auto"/>
                <w:right w:val="none" w:sz="0" w:space="0" w:color="auto"/>
              </w:divBdr>
            </w:div>
          </w:divsChild>
        </w:div>
        <w:div w:id="902327078">
          <w:marLeft w:val="0"/>
          <w:marRight w:val="0"/>
          <w:marTop w:val="0"/>
          <w:marBottom w:val="0"/>
          <w:divBdr>
            <w:top w:val="none" w:sz="0" w:space="0" w:color="auto"/>
            <w:left w:val="none" w:sz="0" w:space="0" w:color="auto"/>
            <w:bottom w:val="none" w:sz="0" w:space="0" w:color="auto"/>
            <w:right w:val="none" w:sz="0" w:space="0" w:color="auto"/>
          </w:divBdr>
          <w:divsChild>
            <w:div w:id="835339250">
              <w:marLeft w:val="0"/>
              <w:marRight w:val="0"/>
              <w:marTop w:val="0"/>
              <w:marBottom w:val="0"/>
              <w:divBdr>
                <w:top w:val="none" w:sz="0" w:space="0" w:color="auto"/>
                <w:left w:val="none" w:sz="0" w:space="0" w:color="auto"/>
                <w:bottom w:val="none" w:sz="0" w:space="0" w:color="auto"/>
                <w:right w:val="none" w:sz="0" w:space="0" w:color="auto"/>
              </w:divBdr>
            </w:div>
          </w:divsChild>
        </w:div>
        <w:div w:id="909389063">
          <w:marLeft w:val="0"/>
          <w:marRight w:val="0"/>
          <w:marTop w:val="0"/>
          <w:marBottom w:val="0"/>
          <w:divBdr>
            <w:top w:val="none" w:sz="0" w:space="0" w:color="auto"/>
            <w:left w:val="none" w:sz="0" w:space="0" w:color="auto"/>
            <w:bottom w:val="none" w:sz="0" w:space="0" w:color="auto"/>
            <w:right w:val="none" w:sz="0" w:space="0" w:color="auto"/>
          </w:divBdr>
          <w:divsChild>
            <w:div w:id="739406397">
              <w:marLeft w:val="0"/>
              <w:marRight w:val="0"/>
              <w:marTop w:val="0"/>
              <w:marBottom w:val="0"/>
              <w:divBdr>
                <w:top w:val="none" w:sz="0" w:space="0" w:color="auto"/>
                <w:left w:val="none" w:sz="0" w:space="0" w:color="auto"/>
                <w:bottom w:val="none" w:sz="0" w:space="0" w:color="auto"/>
                <w:right w:val="none" w:sz="0" w:space="0" w:color="auto"/>
              </w:divBdr>
            </w:div>
          </w:divsChild>
        </w:div>
        <w:div w:id="945577326">
          <w:marLeft w:val="0"/>
          <w:marRight w:val="0"/>
          <w:marTop w:val="0"/>
          <w:marBottom w:val="0"/>
          <w:divBdr>
            <w:top w:val="none" w:sz="0" w:space="0" w:color="auto"/>
            <w:left w:val="none" w:sz="0" w:space="0" w:color="auto"/>
            <w:bottom w:val="none" w:sz="0" w:space="0" w:color="auto"/>
            <w:right w:val="none" w:sz="0" w:space="0" w:color="auto"/>
          </w:divBdr>
          <w:divsChild>
            <w:div w:id="284115430">
              <w:marLeft w:val="0"/>
              <w:marRight w:val="0"/>
              <w:marTop w:val="0"/>
              <w:marBottom w:val="0"/>
              <w:divBdr>
                <w:top w:val="none" w:sz="0" w:space="0" w:color="auto"/>
                <w:left w:val="none" w:sz="0" w:space="0" w:color="auto"/>
                <w:bottom w:val="none" w:sz="0" w:space="0" w:color="auto"/>
                <w:right w:val="none" w:sz="0" w:space="0" w:color="auto"/>
              </w:divBdr>
            </w:div>
          </w:divsChild>
        </w:div>
        <w:div w:id="962418606">
          <w:marLeft w:val="0"/>
          <w:marRight w:val="0"/>
          <w:marTop w:val="0"/>
          <w:marBottom w:val="0"/>
          <w:divBdr>
            <w:top w:val="none" w:sz="0" w:space="0" w:color="auto"/>
            <w:left w:val="none" w:sz="0" w:space="0" w:color="auto"/>
            <w:bottom w:val="none" w:sz="0" w:space="0" w:color="auto"/>
            <w:right w:val="none" w:sz="0" w:space="0" w:color="auto"/>
          </w:divBdr>
          <w:divsChild>
            <w:div w:id="697001145">
              <w:marLeft w:val="0"/>
              <w:marRight w:val="0"/>
              <w:marTop w:val="0"/>
              <w:marBottom w:val="0"/>
              <w:divBdr>
                <w:top w:val="none" w:sz="0" w:space="0" w:color="auto"/>
                <w:left w:val="none" w:sz="0" w:space="0" w:color="auto"/>
                <w:bottom w:val="none" w:sz="0" w:space="0" w:color="auto"/>
                <w:right w:val="none" w:sz="0" w:space="0" w:color="auto"/>
              </w:divBdr>
            </w:div>
          </w:divsChild>
        </w:div>
        <w:div w:id="963073824">
          <w:marLeft w:val="0"/>
          <w:marRight w:val="0"/>
          <w:marTop w:val="0"/>
          <w:marBottom w:val="0"/>
          <w:divBdr>
            <w:top w:val="none" w:sz="0" w:space="0" w:color="auto"/>
            <w:left w:val="none" w:sz="0" w:space="0" w:color="auto"/>
            <w:bottom w:val="none" w:sz="0" w:space="0" w:color="auto"/>
            <w:right w:val="none" w:sz="0" w:space="0" w:color="auto"/>
          </w:divBdr>
          <w:divsChild>
            <w:div w:id="652871672">
              <w:marLeft w:val="0"/>
              <w:marRight w:val="0"/>
              <w:marTop w:val="0"/>
              <w:marBottom w:val="0"/>
              <w:divBdr>
                <w:top w:val="none" w:sz="0" w:space="0" w:color="auto"/>
                <w:left w:val="none" w:sz="0" w:space="0" w:color="auto"/>
                <w:bottom w:val="none" w:sz="0" w:space="0" w:color="auto"/>
                <w:right w:val="none" w:sz="0" w:space="0" w:color="auto"/>
              </w:divBdr>
            </w:div>
          </w:divsChild>
        </w:div>
        <w:div w:id="963462561">
          <w:marLeft w:val="0"/>
          <w:marRight w:val="0"/>
          <w:marTop w:val="0"/>
          <w:marBottom w:val="0"/>
          <w:divBdr>
            <w:top w:val="none" w:sz="0" w:space="0" w:color="auto"/>
            <w:left w:val="none" w:sz="0" w:space="0" w:color="auto"/>
            <w:bottom w:val="none" w:sz="0" w:space="0" w:color="auto"/>
            <w:right w:val="none" w:sz="0" w:space="0" w:color="auto"/>
          </w:divBdr>
          <w:divsChild>
            <w:div w:id="1664813051">
              <w:marLeft w:val="0"/>
              <w:marRight w:val="0"/>
              <w:marTop w:val="0"/>
              <w:marBottom w:val="0"/>
              <w:divBdr>
                <w:top w:val="none" w:sz="0" w:space="0" w:color="auto"/>
                <w:left w:val="none" w:sz="0" w:space="0" w:color="auto"/>
                <w:bottom w:val="none" w:sz="0" w:space="0" w:color="auto"/>
                <w:right w:val="none" w:sz="0" w:space="0" w:color="auto"/>
              </w:divBdr>
            </w:div>
          </w:divsChild>
        </w:div>
        <w:div w:id="969750507">
          <w:marLeft w:val="0"/>
          <w:marRight w:val="0"/>
          <w:marTop w:val="0"/>
          <w:marBottom w:val="0"/>
          <w:divBdr>
            <w:top w:val="none" w:sz="0" w:space="0" w:color="auto"/>
            <w:left w:val="none" w:sz="0" w:space="0" w:color="auto"/>
            <w:bottom w:val="none" w:sz="0" w:space="0" w:color="auto"/>
            <w:right w:val="none" w:sz="0" w:space="0" w:color="auto"/>
          </w:divBdr>
          <w:divsChild>
            <w:div w:id="1862550658">
              <w:marLeft w:val="0"/>
              <w:marRight w:val="0"/>
              <w:marTop w:val="0"/>
              <w:marBottom w:val="0"/>
              <w:divBdr>
                <w:top w:val="none" w:sz="0" w:space="0" w:color="auto"/>
                <w:left w:val="none" w:sz="0" w:space="0" w:color="auto"/>
                <w:bottom w:val="none" w:sz="0" w:space="0" w:color="auto"/>
                <w:right w:val="none" w:sz="0" w:space="0" w:color="auto"/>
              </w:divBdr>
            </w:div>
          </w:divsChild>
        </w:div>
        <w:div w:id="1013457543">
          <w:marLeft w:val="0"/>
          <w:marRight w:val="0"/>
          <w:marTop w:val="0"/>
          <w:marBottom w:val="0"/>
          <w:divBdr>
            <w:top w:val="none" w:sz="0" w:space="0" w:color="auto"/>
            <w:left w:val="none" w:sz="0" w:space="0" w:color="auto"/>
            <w:bottom w:val="none" w:sz="0" w:space="0" w:color="auto"/>
            <w:right w:val="none" w:sz="0" w:space="0" w:color="auto"/>
          </w:divBdr>
          <w:divsChild>
            <w:div w:id="486289553">
              <w:marLeft w:val="0"/>
              <w:marRight w:val="0"/>
              <w:marTop w:val="0"/>
              <w:marBottom w:val="0"/>
              <w:divBdr>
                <w:top w:val="none" w:sz="0" w:space="0" w:color="auto"/>
                <w:left w:val="none" w:sz="0" w:space="0" w:color="auto"/>
                <w:bottom w:val="none" w:sz="0" w:space="0" w:color="auto"/>
                <w:right w:val="none" w:sz="0" w:space="0" w:color="auto"/>
              </w:divBdr>
            </w:div>
          </w:divsChild>
        </w:div>
        <w:div w:id="1025785681">
          <w:marLeft w:val="0"/>
          <w:marRight w:val="0"/>
          <w:marTop w:val="0"/>
          <w:marBottom w:val="0"/>
          <w:divBdr>
            <w:top w:val="none" w:sz="0" w:space="0" w:color="auto"/>
            <w:left w:val="none" w:sz="0" w:space="0" w:color="auto"/>
            <w:bottom w:val="none" w:sz="0" w:space="0" w:color="auto"/>
            <w:right w:val="none" w:sz="0" w:space="0" w:color="auto"/>
          </w:divBdr>
          <w:divsChild>
            <w:div w:id="1282612267">
              <w:marLeft w:val="0"/>
              <w:marRight w:val="0"/>
              <w:marTop w:val="0"/>
              <w:marBottom w:val="0"/>
              <w:divBdr>
                <w:top w:val="none" w:sz="0" w:space="0" w:color="auto"/>
                <w:left w:val="none" w:sz="0" w:space="0" w:color="auto"/>
                <w:bottom w:val="none" w:sz="0" w:space="0" w:color="auto"/>
                <w:right w:val="none" w:sz="0" w:space="0" w:color="auto"/>
              </w:divBdr>
            </w:div>
          </w:divsChild>
        </w:div>
        <w:div w:id="1029910990">
          <w:marLeft w:val="0"/>
          <w:marRight w:val="0"/>
          <w:marTop w:val="0"/>
          <w:marBottom w:val="0"/>
          <w:divBdr>
            <w:top w:val="none" w:sz="0" w:space="0" w:color="auto"/>
            <w:left w:val="none" w:sz="0" w:space="0" w:color="auto"/>
            <w:bottom w:val="none" w:sz="0" w:space="0" w:color="auto"/>
            <w:right w:val="none" w:sz="0" w:space="0" w:color="auto"/>
          </w:divBdr>
          <w:divsChild>
            <w:div w:id="1783184690">
              <w:marLeft w:val="0"/>
              <w:marRight w:val="0"/>
              <w:marTop w:val="0"/>
              <w:marBottom w:val="0"/>
              <w:divBdr>
                <w:top w:val="none" w:sz="0" w:space="0" w:color="auto"/>
                <w:left w:val="none" w:sz="0" w:space="0" w:color="auto"/>
                <w:bottom w:val="none" w:sz="0" w:space="0" w:color="auto"/>
                <w:right w:val="none" w:sz="0" w:space="0" w:color="auto"/>
              </w:divBdr>
            </w:div>
          </w:divsChild>
        </w:div>
        <w:div w:id="1098448929">
          <w:marLeft w:val="0"/>
          <w:marRight w:val="0"/>
          <w:marTop w:val="0"/>
          <w:marBottom w:val="0"/>
          <w:divBdr>
            <w:top w:val="none" w:sz="0" w:space="0" w:color="auto"/>
            <w:left w:val="none" w:sz="0" w:space="0" w:color="auto"/>
            <w:bottom w:val="none" w:sz="0" w:space="0" w:color="auto"/>
            <w:right w:val="none" w:sz="0" w:space="0" w:color="auto"/>
          </w:divBdr>
          <w:divsChild>
            <w:div w:id="1615943501">
              <w:marLeft w:val="0"/>
              <w:marRight w:val="0"/>
              <w:marTop w:val="0"/>
              <w:marBottom w:val="0"/>
              <w:divBdr>
                <w:top w:val="none" w:sz="0" w:space="0" w:color="auto"/>
                <w:left w:val="none" w:sz="0" w:space="0" w:color="auto"/>
                <w:bottom w:val="none" w:sz="0" w:space="0" w:color="auto"/>
                <w:right w:val="none" w:sz="0" w:space="0" w:color="auto"/>
              </w:divBdr>
            </w:div>
          </w:divsChild>
        </w:div>
        <w:div w:id="1110591861">
          <w:marLeft w:val="0"/>
          <w:marRight w:val="0"/>
          <w:marTop w:val="0"/>
          <w:marBottom w:val="0"/>
          <w:divBdr>
            <w:top w:val="none" w:sz="0" w:space="0" w:color="auto"/>
            <w:left w:val="none" w:sz="0" w:space="0" w:color="auto"/>
            <w:bottom w:val="none" w:sz="0" w:space="0" w:color="auto"/>
            <w:right w:val="none" w:sz="0" w:space="0" w:color="auto"/>
          </w:divBdr>
          <w:divsChild>
            <w:div w:id="1245839842">
              <w:marLeft w:val="0"/>
              <w:marRight w:val="0"/>
              <w:marTop w:val="0"/>
              <w:marBottom w:val="0"/>
              <w:divBdr>
                <w:top w:val="none" w:sz="0" w:space="0" w:color="auto"/>
                <w:left w:val="none" w:sz="0" w:space="0" w:color="auto"/>
                <w:bottom w:val="none" w:sz="0" w:space="0" w:color="auto"/>
                <w:right w:val="none" w:sz="0" w:space="0" w:color="auto"/>
              </w:divBdr>
            </w:div>
          </w:divsChild>
        </w:div>
        <w:div w:id="1135753494">
          <w:marLeft w:val="0"/>
          <w:marRight w:val="0"/>
          <w:marTop w:val="0"/>
          <w:marBottom w:val="0"/>
          <w:divBdr>
            <w:top w:val="none" w:sz="0" w:space="0" w:color="auto"/>
            <w:left w:val="none" w:sz="0" w:space="0" w:color="auto"/>
            <w:bottom w:val="none" w:sz="0" w:space="0" w:color="auto"/>
            <w:right w:val="none" w:sz="0" w:space="0" w:color="auto"/>
          </w:divBdr>
          <w:divsChild>
            <w:div w:id="679163603">
              <w:marLeft w:val="0"/>
              <w:marRight w:val="0"/>
              <w:marTop w:val="0"/>
              <w:marBottom w:val="0"/>
              <w:divBdr>
                <w:top w:val="none" w:sz="0" w:space="0" w:color="auto"/>
                <w:left w:val="none" w:sz="0" w:space="0" w:color="auto"/>
                <w:bottom w:val="none" w:sz="0" w:space="0" w:color="auto"/>
                <w:right w:val="none" w:sz="0" w:space="0" w:color="auto"/>
              </w:divBdr>
            </w:div>
          </w:divsChild>
        </w:div>
        <w:div w:id="1149009824">
          <w:marLeft w:val="0"/>
          <w:marRight w:val="0"/>
          <w:marTop w:val="0"/>
          <w:marBottom w:val="0"/>
          <w:divBdr>
            <w:top w:val="none" w:sz="0" w:space="0" w:color="auto"/>
            <w:left w:val="none" w:sz="0" w:space="0" w:color="auto"/>
            <w:bottom w:val="none" w:sz="0" w:space="0" w:color="auto"/>
            <w:right w:val="none" w:sz="0" w:space="0" w:color="auto"/>
          </w:divBdr>
          <w:divsChild>
            <w:div w:id="131027592">
              <w:marLeft w:val="0"/>
              <w:marRight w:val="0"/>
              <w:marTop w:val="0"/>
              <w:marBottom w:val="0"/>
              <w:divBdr>
                <w:top w:val="none" w:sz="0" w:space="0" w:color="auto"/>
                <w:left w:val="none" w:sz="0" w:space="0" w:color="auto"/>
                <w:bottom w:val="none" w:sz="0" w:space="0" w:color="auto"/>
                <w:right w:val="none" w:sz="0" w:space="0" w:color="auto"/>
              </w:divBdr>
            </w:div>
          </w:divsChild>
        </w:div>
        <w:div w:id="1220363483">
          <w:marLeft w:val="0"/>
          <w:marRight w:val="0"/>
          <w:marTop w:val="0"/>
          <w:marBottom w:val="0"/>
          <w:divBdr>
            <w:top w:val="none" w:sz="0" w:space="0" w:color="auto"/>
            <w:left w:val="none" w:sz="0" w:space="0" w:color="auto"/>
            <w:bottom w:val="none" w:sz="0" w:space="0" w:color="auto"/>
            <w:right w:val="none" w:sz="0" w:space="0" w:color="auto"/>
          </w:divBdr>
          <w:divsChild>
            <w:div w:id="422803960">
              <w:marLeft w:val="0"/>
              <w:marRight w:val="0"/>
              <w:marTop w:val="0"/>
              <w:marBottom w:val="0"/>
              <w:divBdr>
                <w:top w:val="none" w:sz="0" w:space="0" w:color="auto"/>
                <w:left w:val="none" w:sz="0" w:space="0" w:color="auto"/>
                <w:bottom w:val="none" w:sz="0" w:space="0" w:color="auto"/>
                <w:right w:val="none" w:sz="0" w:space="0" w:color="auto"/>
              </w:divBdr>
            </w:div>
          </w:divsChild>
        </w:div>
        <w:div w:id="1233006250">
          <w:marLeft w:val="0"/>
          <w:marRight w:val="0"/>
          <w:marTop w:val="0"/>
          <w:marBottom w:val="0"/>
          <w:divBdr>
            <w:top w:val="none" w:sz="0" w:space="0" w:color="auto"/>
            <w:left w:val="none" w:sz="0" w:space="0" w:color="auto"/>
            <w:bottom w:val="none" w:sz="0" w:space="0" w:color="auto"/>
            <w:right w:val="none" w:sz="0" w:space="0" w:color="auto"/>
          </w:divBdr>
          <w:divsChild>
            <w:div w:id="571504256">
              <w:marLeft w:val="0"/>
              <w:marRight w:val="0"/>
              <w:marTop w:val="0"/>
              <w:marBottom w:val="0"/>
              <w:divBdr>
                <w:top w:val="none" w:sz="0" w:space="0" w:color="auto"/>
                <w:left w:val="none" w:sz="0" w:space="0" w:color="auto"/>
                <w:bottom w:val="none" w:sz="0" w:space="0" w:color="auto"/>
                <w:right w:val="none" w:sz="0" w:space="0" w:color="auto"/>
              </w:divBdr>
            </w:div>
          </w:divsChild>
        </w:div>
        <w:div w:id="1240948183">
          <w:marLeft w:val="0"/>
          <w:marRight w:val="0"/>
          <w:marTop w:val="0"/>
          <w:marBottom w:val="0"/>
          <w:divBdr>
            <w:top w:val="none" w:sz="0" w:space="0" w:color="auto"/>
            <w:left w:val="none" w:sz="0" w:space="0" w:color="auto"/>
            <w:bottom w:val="none" w:sz="0" w:space="0" w:color="auto"/>
            <w:right w:val="none" w:sz="0" w:space="0" w:color="auto"/>
          </w:divBdr>
          <w:divsChild>
            <w:div w:id="1397776913">
              <w:marLeft w:val="0"/>
              <w:marRight w:val="0"/>
              <w:marTop w:val="0"/>
              <w:marBottom w:val="0"/>
              <w:divBdr>
                <w:top w:val="none" w:sz="0" w:space="0" w:color="auto"/>
                <w:left w:val="none" w:sz="0" w:space="0" w:color="auto"/>
                <w:bottom w:val="none" w:sz="0" w:space="0" w:color="auto"/>
                <w:right w:val="none" w:sz="0" w:space="0" w:color="auto"/>
              </w:divBdr>
            </w:div>
          </w:divsChild>
        </w:div>
        <w:div w:id="1270509963">
          <w:marLeft w:val="0"/>
          <w:marRight w:val="0"/>
          <w:marTop w:val="0"/>
          <w:marBottom w:val="0"/>
          <w:divBdr>
            <w:top w:val="none" w:sz="0" w:space="0" w:color="auto"/>
            <w:left w:val="none" w:sz="0" w:space="0" w:color="auto"/>
            <w:bottom w:val="none" w:sz="0" w:space="0" w:color="auto"/>
            <w:right w:val="none" w:sz="0" w:space="0" w:color="auto"/>
          </w:divBdr>
          <w:divsChild>
            <w:div w:id="1421833353">
              <w:marLeft w:val="0"/>
              <w:marRight w:val="0"/>
              <w:marTop w:val="0"/>
              <w:marBottom w:val="0"/>
              <w:divBdr>
                <w:top w:val="none" w:sz="0" w:space="0" w:color="auto"/>
                <w:left w:val="none" w:sz="0" w:space="0" w:color="auto"/>
                <w:bottom w:val="none" w:sz="0" w:space="0" w:color="auto"/>
                <w:right w:val="none" w:sz="0" w:space="0" w:color="auto"/>
              </w:divBdr>
            </w:div>
          </w:divsChild>
        </w:div>
        <w:div w:id="1303149463">
          <w:marLeft w:val="0"/>
          <w:marRight w:val="0"/>
          <w:marTop w:val="0"/>
          <w:marBottom w:val="0"/>
          <w:divBdr>
            <w:top w:val="none" w:sz="0" w:space="0" w:color="auto"/>
            <w:left w:val="none" w:sz="0" w:space="0" w:color="auto"/>
            <w:bottom w:val="none" w:sz="0" w:space="0" w:color="auto"/>
            <w:right w:val="none" w:sz="0" w:space="0" w:color="auto"/>
          </w:divBdr>
          <w:divsChild>
            <w:div w:id="1624383719">
              <w:marLeft w:val="0"/>
              <w:marRight w:val="0"/>
              <w:marTop w:val="0"/>
              <w:marBottom w:val="0"/>
              <w:divBdr>
                <w:top w:val="none" w:sz="0" w:space="0" w:color="auto"/>
                <w:left w:val="none" w:sz="0" w:space="0" w:color="auto"/>
                <w:bottom w:val="none" w:sz="0" w:space="0" w:color="auto"/>
                <w:right w:val="none" w:sz="0" w:space="0" w:color="auto"/>
              </w:divBdr>
            </w:div>
          </w:divsChild>
        </w:div>
        <w:div w:id="1314675370">
          <w:marLeft w:val="0"/>
          <w:marRight w:val="0"/>
          <w:marTop w:val="0"/>
          <w:marBottom w:val="0"/>
          <w:divBdr>
            <w:top w:val="none" w:sz="0" w:space="0" w:color="auto"/>
            <w:left w:val="none" w:sz="0" w:space="0" w:color="auto"/>
            <w:bottom w:val="none" w:sz="0" w:space="0" w:color="auto"/>
            <w:right w:val="none" w:sz="0" w:space="0" w:color="auto"/>
          </w:divBdr>
          <w:divsChild>
            <w:div w:id="2045445903">
              <w:marLeft w:val="0"/>
              <w:marRight w:val="0"/>
              <w:marTop w:val="0"/>
              <w:marBottom w:val="0"/>
              <w:divBdr>
                <w:top w:val="none" w:sz="0" w:space="0" w:color="auto"/>
                <w:left w:val="none" w:sz="0" w:space="0" w:color="auto"/>
                <w:bottom w:val="none" w:sz="0" w:space="0" w:color="auto"/>
                <w:right w:val="none" w:sz="0" w:space="0" w:color="auto"/>
              </w:divBdr>
            </w:div>
          </w:divsChild>
        </w:div>
        <w:div w:id="1346399110">
          <w:marLeft w:val="0"/>
          <w:marRight w:val="0"/>
          <w:marTop w:val="0"/>
          <w:marBottom w:val="0"/>
          <w:divBdr>
            <w:top w:val="none" w:sz="0" w:space="0" w:color="auto"/>
            <w:left w:val="none" w:sz="0" w:space="0" w:color="auto"/>
            <w:bottom w:val="none" w:sz="0" w:space="0" w:color="auto"/>
            <w:right w:val="none" w:sz="0" w:space="0" w:color="auto"/>
          </w:divBdr>
          <w:divsChild>
            <w:div w:id="1304772568">
              <w:marLeft w:val="0"/>
              <w:marRight w:val="0"/>
              <w:marTop w:val="0"/>
              <w:marBottom w:val="0"/>
              <w:divBdr>
                <w:top w:val="none" w:sz="0" w:space="0" w:color="auto"/>
                <w:left w:val="none" w:sz="0" w:space="0" w:color="auto"/>
                <w:bottom w:val="none" w:sz="0" w:space="0" w:color="auto"/>
                <w:right w:val="none" w:sz="0" w:space="0" w:color="auto"/>
              </w:divBdr>
            </w:div>
          </w:divsChild>
        </w:div>
        <w:div w:id="1354380042">
          <w:marLeft w:val="0"/>
          <w:marRight w:val="0"/>
          <w:marTop w:val="0"/>
          <w:marBottom w:val="0"/>
          <w:divBdr>
            <w:top w:val="none" w:sz="0" w:space="0" w:color="auto"/>
            <w:left w:val="none" w:sz="0" w:space="0" w:color="auto"/>
            <w:bottom w:val="none" w:sz="0" w:space="0" w:color="auto"/>
            <w:right w:val="none" w:sz="0" w:space="0" w:color="auto"/>
          </w:divBdr>
          <w:divsChild>
            <w:div w:id="518011023">
              <w:marLeft w:val="0"/>
              <w:marRight w:val="0"/>
              <w:marTop w:val="0"/>
              <w:marBottom w:val="0"/>
              <w:divBdr>
                <w:top w:val="none" w:sz="0" w:space="0" w:color="auto"/>
                <w:left w:val="none" w:sz="0" w:space="0" w:color="auto"/>
                <w:bottom w:val="none" w:sz="0" w:space="0" w:color="auto"/>
                <w:right w:val="none" w:sz="0" w:space="0" w:color="auto"/>
              </w:divBdr>
            </w:div>
          </w:divsChild>
        </w:div>
        <w:div w:id="1365863968">
          <w:marLeft w:val="0"/>
          <w:marRight w:val="0"/>
          <w:marTop w:val="0"/>
          <w:marBottom w:val="0"/>
          <w:divBdr>
            <w:top w:val="none" w:sz="0" w:space="0" w:color="auto"/>
            <w:left w:val="none" w:sz="0" w:space="0" w:color="auto"/>
            <w:bottom w:val="none" w:sz="0" w:space="0" w:color="auto"/>
            <w:right w:val="none" w:sz="0" w:space="0" w:color="auto"/>
          </w:divBdr>
          <w:divsChild>
            <w:div w:id="1484466351">
              <w:marLeft w:val="0"/>
              <w:marRight w:val="0"/>
              <w:marTop w:val="0"/>
              <w:marBottom w:val="0"/>
              <w:divBdr>
                <w:top w:val="none" w:sz="0" w:space="0" w:color="auto"/>
                <w:left w:val="none" w:sz="0" w:space="0" w:color="auto"/>
                <w:bottom w:val="none" w:sz="0" w:space="0" w:color="auto"/>
                <w:right w:val="none" w:sz="0" w:space="0" w:color="auto"/>
              </w:divBdr>
            </w:div>
          </w:divsChild>
        </w:div>
        <w:div w:id="1366830568">
          <w:marLeft w:val="0"/>
          <w:marRight w:val="0"/>
          <w:marTop w:val="0"/>
          <w:marBottom w:val="0"/>
          <w:divBdr>
            <w:top w:val="none" w:sz="0" w:space="0" w:color="auto"/>
            <w:left w:val="none" w:sz="0" w:space="0" w:color="auto"/>
            <w:bottom w:val="none" w:sz="0" w:space="0" w:color="auto"/>
            <w:right w:val="none" w:sz="0" w:space="0" w:color="auto"/>
          </w:divBdr>
          <w:divsChild>
            <w:div w:id="1583418087">
              <w:marLeft w:val="0"/>
              <w:marRight w:val="0"/>
              <w:marTop w:val="0"/>
              <w:marBottom w:val="0"/>
              <w:divBdr>
                <w:top w:val="none" w:sz="0" w:space="0" w:color="auto"/>
                <w:left w:val="none" w:sz="0" w:space="0" w:color="auto"/>
                <w:bottom w:val="none" w:sz="0" w:space="0" w:color="auto"/>
                <w:right w:val="none" w:sz="0" w:space="0" w:color="auto"/>
              </w:divBdr>
            </w:div>
          </w:divsChild>
        </w:div>
        <w:div w:id="1400252257">
          <w:marLeft w:val="0"/>
          <w:marRight w:val="0"/>
          <w:marTop w:val="0"/>
          <w:marBottom w:val="0"/>
          <w:divBdr>
            <w:top w:val="none" w:sz="0" w:space="0" w:color="auto"/>
            <w:left w:val="none" w:sz="0" w:space="0" w:color="auto"/>
            <w:bottom w:val="none" w:sz="0" w:space="0" w:color="auto"/>
            <w:right w:val="none" w:sz="0" w:space="0" w:color="auto"/>
          </w:divBdr>
          <w:divsChild>
            <w:div w:id="751507209">
              <w:marLeft w:val="0"/>
              <w:marRight w:val="0"/>
              <w:marTop w:val="0"/>
              <w:marBottom w:val="0"/>
              <w:divBdr>
                <w:top w:val="none" w:sz="0" w:space="0" w:color="auto"/>
                <w:left w:val="none" w:sz="0" w:space="0" w:color="auto"/>
                <w:bottom w:val="none" w:sz="0" w:space="0" w:color="auto"/>
                <w:right w:val="none" w:sz="0" w:space="0" w:color="auto"/>
              </w:divBdr>
            </w:div>
          </w:divsChild>
        </w:div>
        <w:div w:id="1439981907">
          <w:marLeft w:val="0"/>
          <w:marRight w:val="0"/>
          <w:marTop w:val="0"/>
          <w:marBottom w:val="0"/>
          <w:divBdr>
            <w:top w:val="none" w:sz="0" w:space="0" w:color="auto"/>
            <w:left w:val="none" w:sz="0" w:space="0" w:color="auto"/>
            <w:bottom w:val="none" w:sz="0" w:space="0" w:color="auto"/>
            <w:right w:val="none" w:sz="0" w:space="0" w:color="auto"/>
          </w:divBdr>
          <w:divsChild>
            <w:div w:id="1399472228">
              <w:marLeft w:val="0"/>
              <w:marRight w:val="0"/>
              <w:marTop w:val="0"/>
              <w:marBottom w:val="0"/>
              <w:divBdr>
                <w:top w:val="none" w:sz="0" w:space="0" w:color="auto"/>
                <w:left w:val="none" w:sz="0" w:space="0" w:color="auto"/>
                <w:bottom w:val="none" w:sz="0" w:space="0" w:color="auto"/>
                <w:right w:val="none" w:sz="0" w:space="0" w:color="auto"/>
              </w:divBdr>
            </w:div>
          </w:divsChild>
        </w:div>
        <w:div w:id="1440754565">
          <w:marLeft w:val="0"/>
          <w:marRight w:val="0"/>
          <w:marTop w:val="0"/>
          <w:marBottom w:val="0"/>
          <w:divBdr>
            <w:top w:val="none" w:sz="0" w:space="0" w:color="auto"/>
            <w:left w:val="none" w:sz="0" w:space="0" w:color="auto"/>
            <w:bottom w:val="none" w:sz="0" w:space="0" w:color="auto"/>
            <w:right w:val="none" w:sz="0" w:space="0" w:color="auto"/>
          </w:divBdr>
          <w:divsChild>
            <w:div w:id="191306342">
              <w:marLeft w:val="0"/>
              <w:marRight w:val="0"/>
              <w:marTop w:val="0"/>
              <w:marBottom w:val="0"/>
              <w:divBdr>
                <w:top w:val="none" w:sz="0" w:space="0" w:color="auto"/>
                <w:left w:val="none" w:sz="0" w:space="0" w:color="auto"/>
                <w:bottom w:val="none" w:sz="0" w:space="0" w:color="auto"/>
                <w:right w:val="none" w:sz="0" w:space="0" w:color="auto"/>
              </w:divBdr>
            </w:div>
          </w:divsChild>
        </w:div>
        <w:div w:id="1462576353">
          <w:marLeft w:val="0"/>
          <w:marRight w:val="0"/>
          <w:marTop w:val="0"/>
          <w:marBottom w:val="0"/>
          <w:divBdr>
            <w:top w:val="none" w:sz="0" w:space="0" w:color="auto"/>
            <w:left w:val="none" w:sz="0" w:space="0" w:color="auto"/>
            <w:bottom w:val="none" w:sz="0" w:space="0" w:color="auto"/>
            <w:right w:val="none" w:sz="0" w:space="0" w:color="auto"/>
          </w:divBdr>
          <w:divsChild>
            <w:div w:id="398022337">
              <w:marLeft w:val="0"/>
              <w:marRight w:val="0"/>
              <w:marTop w:val="0"/>
              <w:marBottom w:val="0"/>
              <w:divBdr>
                <w:top w:val="none" w:sz="0" w:space="0" w:color="auto"/>
                <w:left w:val="none" w:sz="0" w:space="0" w:color="auto"/>
                <w:bottom w:val="none" w:sz="0" w:space="0" w:color="auto"/>
                <w:right w:val="none" w:sz="0" w:space="0" w:color="auto"/>
              </w:divBdr>
            </w:div>
          </w:divsChild>
        </w:div>
        <w:div w:id="1466392440">
          <w:marLeft w:val="0"/>
          <w:marRight w:val="0"/>
          <w:marTop w:val="0"/>
          <w:marBottom w:val="0"/>
          <w:divBdr>
            <w:top w:val="none" w:sz="0" w:space="0" w:color="auto"/>
            <w:left w:val="none" w:sz="0" w:space="0" w:color="auto"/>
            <w:bottom w:val="none" w:sz="0" w:space="0" w:color="auto"/>
            <w:right w:val="none" w:sz="0" w:space="0" w:color="auto"/>
          </w:divBdr>
          <w:divsChild>
            <w:div w:id="1109928682">
              <w:marLeft w:val="0"/>
              <w:marRight w:val="0"/>
              <w:marTop w:val="0"/>
              <w:marBottom w:val="0"/>
              <w:divBdr>
                <w:top w:val="none" w:sz="0" w:space="0" w:color="auto"/>
                <w:left w:val="none" w:sz="0" w:space="0" w:color="auto"/>
                <w:bottom w:val="none" w:sz="0" w:space="0" w:color="auto"/>
                <w:right w:val="none" w:sz="0" w:space="0" w:color="auto"/>
              </w:divBdr>
            </w:div>
          </w:divsChild>
        </w:div>
        <w:div w:id="1490055475">
          <w:marLeft w:val="0"/>
          <w:marRight w:val="0"/>
          <w:marTop w:val="0"/>
          <w:marBottom w:val="0"/>
          <w:divBdr>
            <w:top w:val="none" w:sz="0" w:space="0" w:color="auto"/>
            <w:left w:val="none" w:sz="0" w:space="0" w:color="auto"/>
            <w:bottom w:val="none" w:sz="0" w:space="0" w:color="auto"/>
            <w:right w:val="none" w:sz="0" w:space="0" w:color="auto"/>
          </w:divBdr>
          <w:divsChild>
            <w:div w:id="560603861">
              <w:marLeft w:val="0"/>
              <w:marRight w:val="0"/>
              <w:marTop w:val="0"/>
              <w:marBottom w:val="0"/>
              <w:divBdr>
                <w:top w:val="none" w:sz="0" w:space="0" w:color="auto"/>
                <w:left w:val="none" w:sz="0" w:space="0" w:color="auto"/>
                <w:bottom w:val="none" w:sz="0" w:space="0" w:color="auto"/>
                <w:right w:val="none" w:sz="0" w:space="0" w:color="auto"/>
              </w:divBdr>
            </w:div>
          </w:divsChild>
        </w:div>
        <w:div w:id="1496265203">
          <w:marLeft w:val="0"/>
          <w:marRight w:val="0"/>
          <w:marTop w:val="0"/>
          <w:marBottom w:val="0"/>
          <w:divBdr>
            <w:top w:val="none" w:sz="0" w:space="0" w:color="auto"/>
            <w:left w:val="none" w:sz="0" w:space="0" w:color="auto"/>
            <w:bottom w:val="none" w:sz="0" w:space="0" w:color="auto"/>
            <w:right w:val="none" w:sz="0" w:space="0" w:color="auto"/>
          </w:divBdr>
          <w:divsChild>
            <w:div w:id="1844472004">
              <w:marLeft w:val="0"/>
              <w:marRight w:val="0"/>
              <w:marTop w:val="0"/>
              <w:marBottom w:val="0"/>
              <w:divBdr>
                <w:top w:val="none" w:sz="0" w:space="0" w:color="auto"/>
                <w:left w:val="none" w:sz="0" w:space="0" w:color="auto"/>
                <w:bottom w:val="none" w:sz="0" w:space="0" w:color="auto"/>
                <w:right w:val="none" w:sz="0" w:space="0" w:color="auto"/>
              </w:divBdr>
            </w:div>
          </w:divsChild>
        </w:div>
        <w:div w:id="1500122276">
          <w:marLeft w:val="0"/>
          <w:marRight w:val="0"/>
          <w:marTop w:val="0"/>
          <w:marBottom w:val="0"/>
          <w:divBdr>
            <w:top w:val="none" w:sz="0" w:space="0" w:color="auto"/>
            <w:left w:val="none" w:sz="0" w:space="0" w:color="auto"/>
            <w:bottom w:val="none" w:sz="0" w:space="0" w:color="auto"/>
            <w:right w:val="none" w:sz="0" w:space="0" w:color="auto"/>
          </w:divBdr>
          <w:divsChild>
            <w:div w:id="752316476">
              <w:marLeft w:val="0"/>
              <w:marRight w:val="0"/>
              <w:marTop w:val="0"/>
              <w:marBottom w:val="0"/>
              <w:divBdr>
                <w:top w:val="none" w:sz="0" w:space="0" w:color="auto"/>
                <w:left w:val="none" w:sz="0" w:space="0" w:color="auto"/>
                <w:bottom w:val="none" w:sz="0" w:space="0" w:color="auto"/>
                <w:right w:val="none" w:sz="0" w:space="0" w:color="auto"/>
              </w:divBdr>
            </w:div>
          </w:divsChild>
        </w:div>
        <w:div w:id="1519125652">
          <w:marLeft w:val="0"/>
          <w:marRight w:val="0"/>
          <w:marTop w:val="0"/>
          <w:marBottom w:val="0"/>
          <w:divBdr>
            <w:top w:val="none" w:sz="0" w:space="0" w:color="auto"/>
            <w:left w:val="none" w:sz="0" w:space="0" w:color="auto"/>
            <w:bottom w:val="none" w:sz="0" w:space="0" w:color="auto"/>
            <w:right w:val="none" w:sz="0" w:space="0" w:color="auto"/>
          </w:divBdr>
          <w:divsChild>
            <w:div w:id="1510020420">
              <w:marLeft w:val="0"/>
              <w:marRight w:val="0"/>
              <w:marTop w:val="0"/>
              <w:marBottom w:val="0"/>
              <w:divBdr>
                <w:top w:val="none" w:sz="0" w:space="0" w:color="auto"/>
                <w:left w:val="none" w:sz="0" w:space="0" w:color="auto"/>
                <w:bottom w:val="none" w:sz="0" w:space="0" w:color="auto"/>
                <w:right w:val="none" w:sz="0" w:space="0" w:color="auto"/>
              </w:divBdr>
            </w:div>
          </w:divsChild>
        </w:div>
        <w:div w:id="1563054779">
          <w:marLeft w:val="0"/>
          <w:marRight w:val="0"/>
          <w:marTop w:val="0"/>
          <w:marBottom w:val="0"/>
          <w:divBdr>
            <w:top w:val="none" w:sz="0" w:space="0" w:color="auto"/>
            <w:left w:val="none" w:sz="0" w:space="0" w:color="auto"/>
            <w:bottom w:val="none" w:sz="0" w:space="0" w:color="auto"/>
            <w:right w:val="none" w:sz="0" w:space="0" w:color="auto"/>
          </w:divBdr>
          <w:divsChild>
            <w:div w:id="277378789">
              <w:marLeft w:val="0"/>
              <w:marRight w:val="0"/>
              <w:marTop w:val="0"/>
              <w:marBottom w:val="0"/>
              <w:divBdr>
                <w:top w:val="none" w:sz="0" w:space="0" w:color="auto"/>
                <w:left w:val="none" w:sz="0" w:space="0" w:color="auto"/>
                <w:bottom w:val="none" w:sz="0" w:space="0" w:color="auto"/>
                <w:right w:val="none" w:sz="0" w:space="0" w:color="auto"/>
              </w:divBdr>
            </w:div>
          </w:divsChild>
        </w:div>
        <w:div w:id="1564634521">
          <w:marLeft w:val="0"/>
          <w:marRight w:val="0"/>
          <w:marTop w:val="0"/>
          <w:marBottom w:val="0"/>
          <w:divBdr>
            <w:top w:val="none" w:sz="0" w:space="0" w:color="auto"/>
            <w:left w:val="none" w:sz="0" w:space="0" w:color="auto"/>
            <w:bottom w:val="none" w:sz="0" w:space="0" w:color="auto"/>
            <w:right w:val="none" w:sz="0" w:space="0" w:color="auto"/>
          </w:divBdr>
          <w:divsChild>
            <w:div w:id="509103375">
              <w:marLeft w:val="0"/>
              <w:marRight w:val="0"/>
              <w:marTop w:val="0"/>
              <w:marBottom w:val="0"/>
              <w:divBdr>
                <w:top w:val="none" w:sz="0" w:space="0" w:color="auto"/>
                <w:left w:val="none" w:sz="0" w:space="0" w:color="auto"/>
                <w:bottom w:val="none" w:sz="0" w:space="0" w:color="auto"/>
                <w:right w:val="none" w:sz="0" w:space="0" w:color="auto"/>
              </w:divBdr>
            </w:div>
          </w:divsChild>
        </w:div>
        <w:div w:id="1573470856">
          <w:marLeft w:val="0"/>
          <w:marRight w:val="0"/>
          <w:marTop w:val="0"/>
          <w:marBottom w:val="0"/>
          <w:divBdr>
            <w:top w:val="none" w:sz="0" w:space="0" w:color="auto"/>
            <w:left w:val="none" w:sz="0" w:space="0" w:color="auto"/>
            <w:bottom w:val="none" w:sz="0" w:space="0" w:color="auto"/>
            <w:right w:val="none" w:sz="0" w:space="0" w:color="auto"/>
          </w:divBdr>
          <w:divsChild>
            <w:div w:id="534463148">
              <w:marLeft w:val="0"/>
              <w:marRight w:val="0"/>
              <w:marTop w:val="0"/>
              <w:marBottom w:val="0"/>
              <w:divBdr>
                <w:top w:val="none" w:sz="0" w:space="0" w:color="auto"/>
                <w:left w:val="none" w:sz="0" w:space="0" w:color="auto"/>
                <w:bottom w:val="none" w:sz="0" w:space="0" w:color="auto"/>
                <w:right w:val="none" w:sz="0" w:space="0" w:color="auto"/>
              </w:divBdr>
            </w:div>
          </w:divsChild>
        </w:div>
        <w:div w:id="1577276776">
          <w:marLeft w:val="0"/>
          <w:marRight w:val="0"/>
          <w:marTop w:val="0"/>
          <w:marBottom w:val="0"/>
          <w:divBdr>
            <w:top w:val="none" w:sz="0" w:space="0" w:color="auto"/>
            <w:left w:val="none" w:sz="0" w:space="0" w:color="auto"/>
            <w:bottom w:val="none" w:sz="0" w:space="0" w:color="auto"/>
            <w:right w:val="none" w:sz="0" w:space="0" w:color="auto"/>
          </w:divBdr>
          <w:divsChild>
            <w:div w:id="1987510942">
              <w:marLeft w:val="0"/>
              <w:marRight w:val="0"/>
              <w:marTop w:val="0"/>
              <w:marBottom w:val="0"/>
              <w:divBdr>
                <w:top w:val="none" w:sz="0" w:space="0" w:color="auto"/>
                <w:left w:val="none" w:sz="0" w:space="0" w:color="auto"/>
                <w:bottom w:val="none" w:sz="0" w:space="0" w:color="auto"/>
                <w:right w:val="none" w:sz="0" w:space="0" w:color="auto"/>
              </w:divBdr>
            </w:div>
          </w:divsChild>
        </w:div>
        <w:div w:id="1586377414">
          <w:marLeft w:val="0"/>
          <w:marRight w:val="0"/>
          <w:marTop w:val="0"/>
          <w:marBottom w:val="0"/>
          <w:divBdr>
            <w:top w:val="none" w:sz="0" w:space="0" w:color="auto"/>
            <w:left w:val="none" w:sz="0" w:space="0" w:color="auto"/>
            <w:bottom w:val="none" w:sz="0" w:space="0" w:color="auto"/>
            <w:right w:val="none" w:sz="0" w:space="0" w:color="auto"/>
          </w:divBdr>
          <w:divsChild>
            <w:div w:id="575945030">
              <w:marLeft w:val="0"/>
              <w:marRight w:val="0"/>
              <w:marTop w:val="0"/>
              <w:marBottom w:val="0"/>
              <w:divBdr>
                <w:top w:val="none" w:sz="0" w:space="0" w:color="auto"/>
                <w:left w:val="none" w:sz="0" w:space="0" w:color="auto"/>
                <w:bottom w:val="none" w:sz="0" w:space="0" w:color="auto"/>
                <w:right w:val="none" w:sz="0" w:space="0" w:color="auto"/>
              </w:divBdr>
            </w:div>
          </w:divsChild>
        </w:div>
        <w:div w:id="1616062037">
          <w:marLeft w:val="0"/>
          <w:marRight w:val="0"/>
          <w:marTop w:val="0"/>
          <w:marBottom w:val="0"/>
          <w:divBdr>
            <w:top w:val="none" w:sz="0" w:space="0" w:color="auto"/>
            <w:left w:val="none" w:sz="0" w:space="0" w:color="auto"/>
            <w:bottom w:val="none" w:sz="0" w:space="0" w:color="auto"/>
            <w:right w:val="none" w:sz="0" w:space="0" w:color="auto"/>
          </w:divBdr>
          <w:divsChild>
            <w:div w:id="1019695966">
              <w:marLeft w:val="0"/>
              <w:marRight w:val="0"/>
              <w:marTop w:val="0"/>
              <w:marBottom w:val="0"/>
              <w:divBdr>
                <w:top w:val="none" w:sz="0" w:space="0" w:color="auto"/>
                <w:left w:val="none" w:sz="0" w:space="0" w:color="auto"/>
                <w:bottom w:val="none" w:sz="0" w:space="0" w:color="auto"/>
                <w:right w:val="none" w:sz="0" w:space="0" w:color="auto"/>
              </w:divBdr>
            </w:div>
          </w:divsChild>
        </w:div>
        <w:div w:id="1641423287">
          <w:marLeft w:val="0"/>
          <w:marRight w:val="0"/>
          <w:marTop w:val="0"/>
          <w:marBottom w:val="0"/>
          <w:divBdr>
            <w:top w:val="none" w:sz="0" w:space="0" w:color="auto"/>
            <w:left w:val="none" w:sz="0" w:space="0" w:color="auto"/>
            <w:bottom w:val="none" w:sz="0" w:space="0" w:color="auto"/>
            <w:right w:val="none" w:sz="0" w:space="0" w:color="auto"/>
          </w:divBdr>
          <w:divsChild>
            <w:div w:id="1360158315">
              <w:marLeft w:val="0"/>
              <w:marRight w:val="0"/>
              <w:marTop w:val="0"/>
              <w:marBottom w:val="0"/>
              <w:divBdr>
                <w:top w:val="none" w:sz="0" w:space="0" w:color="auto"/>
                <w:left w:val="none" w:sz="0" w:space="0" w:color="auto"/>
                <w:bottom w:val="none" w:sz="0" w:space="0" w:color="auto"/>
                <w:right w:val="none" w:sz="0" w:space="0" w:color="auto"/>
              </w:divBdr>
            </w:div>
          </w:divsChild>
        </w:div>
        <w:div w:id="1652324688">
          <w:marLeft w:val="0"/>
          <w:marRight w:val="0"/>
          <w:marTop w:val="0"/>
          <w:marBottom w:val="0"/>
          <w:divBdr>
            <w:top w:val="none" w:sz="0" w:space="0" w:color="auto"/>
            <w:left w:val="none" w:sz="0" w:space="0" w:color="auto"/>
            <w:bottom w:val="none" w:sz="0" w:space="0" w:color="auto"/>
            <w:right w:val="none" w:sz="0" w:space="0" w:color="auto"/>
          </w:divBdr>
          <w:divsChild>
            <w:div w:id="781731994">
              <w:marLeft w:val="0"/>
              <w:marRight w:val="0"/>
              <w:marTop w:val="0"/>
              <w:marBottom w:val="0"/>
              <w:divBdr>
                <w:top w:val="none" w:sz="0" w:space="0" w:color="auto"/>
                <w:left w:val="none" w:sz="0" w:space="0" w:color="auto"/>
                <w:bottom w:val="none" w:sz="0" w:space="0" w:color="auto"/>
                <w:right w:val="none" w:sz="0" w:space="0" w:color="auto"/>
              </w:divBdr>
            </w:div>
          </w:divsChild>
        </w:div>
        <w:div w:id="1684749188">
          <w:marLeft w:val="0"/>
          <w:marRight w:val="0"/>
          <w:marTop w:val="0"/>
          <w:marBottom w:val="0"/>
          <w:divBdr>
            <w:top w:val="none" w:sz="0" w:space="0" w:color="auto"/>
            <w:left w:val="none" w:sz="0" w:space="0" w:color="auto"/>
            <w:bottom w:val="none" w:sz="0" w:space="0" w:color="auto"/>
            <w:right w:val="none" w:sz="0" w:space="0" w:color="auto"/>
          </w:divBdr>
          <w:divsChild>
            <w:div w:id="1253511659">
              <w:marLeft w:val="0"/>
              <w:marRight w:val="0"/>
              <w:marTop w:val="0"/>
              <w:marBottom w:val="0"/>
              <w:divBdr>
                <w:top w:val="none" w:sz="0" w:space="0" w:color="auto"/>
                <w:left w:val="none" w:sz="0" w:space="0" w:color="auto"/>
                <w:bottom w:val="none" w:sz="0" w:space="0" w:color="auto"/>
                <w:right w:val="none" w:sz="0" w:space="0" w:color="auto"/>
              </w:divBdr>
            </w:div>
          </w:divsChild>
        </w:div>
        <w:div w:id="1692222185">
          <w:marLeft w:val="0"/>
          <w:marRight w:val="0"/>
          <w:marTop w:val="0"/>
          <w:marBottom w:val="0"/>
          <w:divBdr>
            <w:top w:val="none" w:sz="0" w:space="0" w:color="auto"/>
            <w:left w:val="none" w:sz="0" w:space="0" w:color="auto"/>
            <w:bottom w:val="none" w:sz="0" w:space="0" w:color="auto"/>
            <w:right w:val="none" w:sz="0" w:space="0" w:color="auto"/>
          </w:divBdr>
          <w:divsChild>
            <w:div w:id="1268270661">
              <w:marLeft w:val="0"/>
              <w:marRight w:val="0"/>
              <w:marTop w:val="0"/>
              <w:marBottom w:val="0"/>
              <w:divBdr>
                <w:top w:val="none" w:sz="0" w:space="0" w:color="auto"/>
                <w:left w:val="none" w:sz="0" w:space="0" w:color="auto"/>
                <w:bottom w:val="none" w:sz="0" w:space="0" w:color="auto"/>
                <w:right w:val="none" w:sz="0" w:space="0" w:color="auto"/>
              </w:divBdr>
            </w:div>
          </w:divsChild>
        </w:div>
        <w:div w:id="1700355816">
          <w:marLeft w:val="0"/>
          <w:marRight w:val="0"/>
          <w:marTop w:val="0"/>
          <w:marBottom w:val="0"/>
          <w:divBdr>
            <w:top w:val="none" w:sz="0" w:space="0" w:color="auto"/>
            <w:left w:val="none" w:sz="0" w:space="0" w:color="auto"/>
            <w:bottom w:val="none" w:sz="0" w:space="0" w:color="auto"/>
            <w:right w:val="none" w:sz="0" w:space="0" w:color="auto"/>
          </w:divBdr>
          <w:divsChild>
            <w:div w:id="2126078458">
              <w:marLeft w:val="0"/>
              <w:marRight w:val="0"/>
              <w:marTop w:val="0"/>
              <w:marBottom w:val="0"/>
              <w:divBdr>
                <w:top w:val="none" w:sz="0" w:space="0" w:color="auto"/>
                <w:left w:val="none" w:sz="0" w:space="0" w:color="auto"/>
                <w:bottom w:val="none" w:sz="0" w:space="0" w:color="auto"/>
                <w:right w:val="none" w:sz="0" w:space="0" w:color="auto"/>
              </w:divBdr>
            </w:div>
          </w:divsChild>
        </w:div>
        <w:div w:id="1706520300">
          <w:marLeft w:val="0"/>
          <w:marRight w:val="0"/>
          <w:marTop w:val="0"/>
          <w:marBottom w:val="0"/>
          <w:divBdr>
            <w:top w:val="none" w:sz="0" w:space="0" w:color="auto"/>
            <w:left w:val="none" w:sz="0" w:space="0" w:color="auto"/>
            <w:bottom w:val="none" w:sz="0" w:space="0" w:color="auto"/>
            <w:right w:val="none" w:sz="0" w:space="0" w:color="auto"/>
          </w:divBdr>
          <w:divsChild>
            <w:div w:id="671183789">
              <w:marLeft w:val="0"/>
              <w:marRight w:val="0"/>
              <w:marTop w:val="0"/>
              <w:marBottom w:val="0"/>
              <w:divBdr>
                <w:top w:val="none" w:sz="0" w:space="0" w:color="auto"/>
                <w:left w:val="none" w:sz="0" w:space="0" w:color="auto"/>
                <w:bottom w:val="none" w:sz="0" w:space="0" w:color="auto"/>
                <w:right w:val="none" w:sz="0" w:space="0" w:color="auto"/>
              </w:divBdr>
            </w:div>
          </w:divsChild>
        </w:div>
        <w:div w:id="1735659505">
          <w:marLeft w:val="0"/>
          <w:marRight w:val="0"/>
          <w:marTop w:val="0"/>
          <w:marBottom w:val="0"/>
          <w:divBdr>
            <w:top w:val="none" w:sz="0" w:space="0" w:color="auto"/>
            <w:left w:val="none" w:sz="0" w:space="0" w:color="auto"/>
            <w:bottom w:val="none" w:sz="0" w:space="0" w:color="auto"/>
            <w:right w:val="none" w:sz="0" w:space="0" w:color="auto"/>
          </w:divBdr>
          <w:divsChild>
            <w:div w:id="1377311231">
              <w:marLeft w:val="0"/>
              <w:marRight w:val="0"/>
              <w:marTop w:val="0"/>
              <w:marBottom w:val="0"/>
              <w:divBdr>
                <w:top w:val="none" w:sz="0" w:space="0" w:color="auto"/>
                <w:left w:val="none" w:sz="0" w:space="0" w:color="auto"/>
                <w:bottom w:val="none" w:sz="0" w:space="0" w:color="auto"/>
                <w:right w:val="none" w:sz="0" w:space="0" w:color="auto"/>
              </w:divBdr>
            </w:div>
          </w:divsChild>
        </w:div>
        <w:div w:id="1749965054">
          <w:marLeft w:val="0"/>
          <w:marRight w:val="0"/>
          <w:marTop w:val="0"/>
          <w:marBottom w:val="0"/>
          <w:divBdr>
            <w:top w:val="none" w:sz="0" w:space="0" w:color="auto"/>
            <w:left w:val="none" w:sz="0" w:space="0" w:color="auto"/>
            <w:bottom w:val="none" w:sz="0" w:space="0" w:color="auto"/>
            <w:right w:val="none" w:sz="0" w:space="0" w:color="auto"/>
          </w:divBdr>
          <w:divsChild>
            <w:div w:id="1218593059">
              <w:marLeft w:val="0"/>
              <w:marRight w:val="0"/>
              <w:marTop w:val="0"/>
              <w:marBottom w:val="0"/>
              <w:divBdr>
                <w:top w:val="none" w:sz="0" w:space="0" w:color="auto"/>
                <w:left w:val="none" w:sz="0" w:space="0" w:color="auto"/>
                <w:bottom w:val="none" w:sz="0" w:space="0" w:color="auto"/>
                <w:right w:val="none" w:sz="0" w:space="0" w:color="auto"/>
              </w:divBdr>
            </w:div>
          </w:divsChild>
        </w:div>
        <w:div w:id="1762212626">
          <w:marLeft w:val="0"/>
          <w:marRight w:val="0"/>
          <w:marTop w:val="0"/>
          <w:marBottom w:val="0"/>
          <w:divBdr>
            <w:top w:val="none" w:sz="0" w:space="0" w:color="auto"/>
            <w:left w:val="none" w:sz="0" w:space="0" w:color="auto"/>
            <w:bottom w:val="none" w:sz="0" w:space="0" w:color="auto"/>
            <w:right w:val="none" w:sz="0" w:space="0" w:color="auto"/>
          </w:divBdr>
          <w:divsChild>
            <w:div w:id="1822111607">
              <w:marLeft w:val="0"/>
              <w:marRight w:val="0"/>
              <w:marTop w:val="0"/>
              <w:marBottom w:val="0"/>
              <w:divBdr>
                <w:top w:val="none" w:sz="0" w:space="0" w:color="auto"/>
                <w:left w:val="none" w:sz="0" w:space="0" w:color="auto"/>
                <w:bottom w:val="none" w:sz="0" w:space="0" w:color="auto"/>
                <w:right w:val="none" w:sz="0" w:space="0" w:color="auto"/>
              </w:divBdr>
            </w:div>
          </w:divsChild>
        </w:div>
        <w:div w:id="1795102661">
          <w:marLeft w:val="0"/>
          <w:marRight w:val="0"/>
          <w:marTop w:val="0"/>
          <w:marBottom w:val="0"/>
          <w:divBdr>
            <w:top w:val="none" w:sz="0" w:space="0" w:color="auto"/>
            <w:left w:val="none" w:sz="0" w:space="0" w:color="auto"/>
            <w:bottom w:val="none" w:sz="0" w:space="0" w:color="auto"/>
            <w:right w:val="none" w:sz="0" w:space="0" w:color="auto"/>
          </w:divBdr>
          <w:divsChild>
            <w:div w:id="288784122">
              <w:marLeft w:val="0"/>
              <w:marRight w:val="0"/>
              <w:marTop w:val="0"/>
              <w:marBottom w:val="0"/>
              <w:divBdr>
                <w:top w:val="none" w:sz="0" w:space="0" w:color="auto"/>
                <w:left w:val="none" w:sz="0" w:space="0" w:color="auto"/>
                <w:bottom w:val="none" w:sz="0" w:space="0" w:color="auto"/>
                <w:right w:val="none" w:sz="0" w:space="0" w:color="auto"/>
              </w:divBdr>
            </w:div>
          </w:divsChild>
        </w:div>
        <w:div w:id="1817989002">
          <w:marLeft w:val="0"/>
          <w:marRight w:val="0"/>
          <w:marTop w:val="0"/>
          <w:marBottom w:val="0"/>
          <w:divBdr>
            <w:top w:val="none" w:sz="0" w:space="0" w:color="auto"/>
            <w:left w:val="none" w:sz="0" w:space="0" w:color="auto"/>
            <w:bottom w:val="none" w:sz="0" w:space="0" w:color="auto"/>
            <w:right w:val="none" w:sz="0" w:space="0" w:color="auto"/>
          </w:divBdr>
          <w:divsChild>
            <w:div w:id="1651665970">
              <w:marLeft w:val="0"/>
              <w:marRight w:val="0"/>
              <w:marTop w:val="0"/>
              <w:marBottom w:val="0"/>
              <w:divBdr>
                <w:top w:val="none" w:sz="0" w:space="0" w:color="auto"/>
                <w:left w:val="none" w:sz="0" w:space="0" w:color="auto"/>
                <w:bottom w:val="none" w:sz="0" w:space="0" w:color="auto"/>
                <w:right w:val="none" w:sz="0" w:space="0" w:color="auto"/>
              </w:divBdr>
            </w:div>
          </w:divsChild>
        </w:div>
        <w:div w:id="1868374687">
          <w:marLeft w:val="0"/>
          <w:marRight w:val="0"/>
          <w:marTop w:val="0"/>
          <w:marBottom w:val="0"/>
          <w:divBdr>
            <w:top w:val="none" w:sz="0" w:space="0" w:color="auto"/>
            <w:left w:val="none" w:sz="0" w:space="0" w:color="auto"/>
            <w:bottom w:val="none" w:sz="0" w:space="0" w:color="auto"/>
            <w:right w:val="none" w:sz="0" w:space="0" w:color="auto"/>
          </w:divBdr>
          <w:divsChild>
            <w:div w:id="520162978">
              <w:marLeft w:val="0"/>
              <w:marRight w:val="0"/>
              <w:marTop w:val="0"/>
              <w:marBottom w:val="0"/>
              <w:divBdr>
                <w:top w:val="none" w:sz="0" w:space="0" w:color="auto"/>
                <w:left w:val="none" w:sz="0" w:space="0" w:color="auto"/>
                <w:bottom w:val="none" w:sz="0" w:space="0" w:color="auto"/>
                <w:right w:val="none" w:sz="0" w:space="0" w:color="auto"/>
              </w:divBdr>
            </w:div>
          </w:divsChild>
        </w:div>
        <w:div w:id="1884444276">
          <w:marLeft w:val="0"/>
          <w:marRight w:val="0"/>
          <w:marTop w:val="0"/>
          <w:marBottom w:val="0"/>
          <w:divBdr>
            <w:top w:val="none" w:sz="0" w:space="0" w:color="auto"/>
            <w:left w:val="none" w:sz="0" w:space="0" w:color="auto"/>
            <w:bottom w:val="none" w:sz="0" w:space="0" w:color="auto"/>
            <w:right w:val="none" w:sz="0" w:space="0" w:color="auto"/>
          </w:divBdr>
          <w:divsChild>
            <w:div w:id="1285232798">
              <w:marLeft w:val="0"/>
              <w:marRight w:val="0"/>
              <w:marTop w:val="0"/>
              <w:marBottom w:val="0"/>
              <w:divBdr>
                <w:top w:val="none" w:sz="0" w:space="0" w:color="auto"/>
                <w:left w:val="none" w:sz="0" w:space="0" w:color="auto"/>
                <w:bottom w:val="none" w:sz="0" w:space="0" w:color="auto"/>
                <w:right w:val="none" w:sz="0" w:space="0" w:color="auto"/>
              </w:divBdr>
            </w:div>
          </w:divsChild>
        </w:div>
        <w:div w:id="1892185102">
          <w:marLeft w:val="0"/>
          <w:marRight w:val="0"/>
          <w:marTop w:val="0"/>
          <w:marBottom w:val="0"/>
          <w:divBdr>
            <w:top w:val="none" w:sz="0" w:space="0" w:color="auto"/>
            <w:left w:val="none" w:sz="0" w:space="0" w:color="auto"/>
            <w:bottom w:val="none" w:sz="0" w:space="0" w:color="auto"/>
            <w:right w:val="none" w:sz="0" w:space="0" w:color="auto"/>
          </w:divBdr>
          <w:divsChild>
            <w:div w:id="1204247114">
              <w:marLeft w:val="0"/>
              <w:marRight w:val="0"/>
              <w:marTop w:val="0"/>
              <w:marBottom w:val="0"/>
              <w:divBdr>
                <w:top w:val="none" w:sz="0" w:space="0" w:color="auto"/>
                <w:left w:val="none" w:sz="0" w:space="0" w:color="auto"/>
                <w:bottom w:val="none" w:sz="0" w:space="0" w:color="auto"/>
                <w:right w:val="none" w:sz="0" w:space="0" w:color="auto"/>
              </w:divBdr>
            </w:div>
          </w:divsChild>
        </w:div>
        <w:div w:id="1927153825">
          <w:marLeft w:val="0"/>
          <w:marRight w:val="0"/>
          <w:marTop w:val="0"/>
          <w:marBottom w:val="0"/>
          <w:divBdr>
            <w:top w:val="none" w:sz="0" w:space="0" w:color="auto"/>
            <w:left w:val="none" w:sz="0" w:space="0" w:color="auto"/>
            <w:bottom w:val="none" w:sz="0" w:space="0" w:color="auto"/>
            <w:right w:val="none" w:sz="0" w:space="0" w:color="auto"/>
          </w:divBdr>
          <w:divsChild>
            <w:div w:id="11881287">
              <w:marLeft w:val="0"/>
              <w:marRight w:val="0"/>
              <w:marTop w:val="0"/>
              <w:marBottom w:val="0"/>
              <w:divBdr>
                <w:top w:val="none" w:sz="0" w:space="0" w:color="auto"/>
                <w:left w:val="none" w:sz="0" w:space="0" w:color="auto"/>
                <w:bottom w:val="none" w:sz="0" w:space="0" w:color="auto"/>
                <w:right w:val="none" w:sz="0" w:space="0" w:color="auto"/>
              </w:divBdr>
            </w:div>
          </w:divsChild>
        </w:div>
        <w:div w:id="1935626766">
          <w:marLeft w:val="0"/>
          <w:marRight w:val="0"/>
          <w:marTop w:val="0"/>
          <w:marBottom w:val="0"/>
          <w:divBdr>
            <w:top w:val="none" w:sz="0" w:space="0" w:color="auto"/>
            <w:left w:val="none" w:sz="0" w:space="0" w:color="auto"/>
            <w:bottom w:val="none" w:sz="0" w:space="0" w:color="auto"/>
            <w:right w:val="none" w:sz="0" w:space="0" w:color="auto"/>
          </w:divBdr>
          <w:divsChild>
            <w:div w:id="562644146">
              <w:marLeft w:val="0"/>
              <w:marRight w:val="0"/>
              <w:marTop w:val="0"/>
              <w:marBottom w:val="0"/>
              <w:divBdr>
                <w:top w:val="none" w:sz="0" w:space="0" w:color="auto"/>
                <w:left w:val="none" w:sz="0" w:space="0" w:color="auto"/>
                <w:bottom w:val="none" w:sz="0" w:space="0" w:color="auto"/>
                <w:right w:val="none" w:sz="0" w:space="0" w:color="auto"/>
              </w:divBdr>
            </w:div>
          </w:divsChild>
        </w:div>
        <w:div w:id="1964461529">
          <w:marLeft w:val="0"/>
          <w:marRight w:val="0"/>
          <w:marTop w:val="0"/>
          <w:marBottom w:val="0"/>
          <w:divBdr>
            <w:top w:val="none" w:sz="0" w:space="0" w:color="auto"/>
            <w:left w:val="none" w:sz="0" w:space="0" w:color="auto"/>
            <w:bottom w:val="none" w:sz="0" w:space="0" w:color="auto"/>
            <w:right w:val="none" w:sz="0" w:space="0" w:color="auto"/>
          </w:divBdr>
          <w:divsChild>
            <w:div w:id="1116296781">
              <w:marLeft w:val="0"/>
              <w:marRight w:val="0"/>
              <w:marTop w:val="0"/>
              <w:marBottom w:val="0"/>
              <w:divBdr>
                <w:top w:val="none" w:sz="0" w:space="0" w:color="auto"/>
                <w:left w:val="none" w:sz="0" w:space="0" w:color="auto"/>
                <w:bottom w:val="none" w:sz="0" w:space="0" w:color="auto"/>
                <w:right w:val="none" w:sz="0" w:space="0" w:color="auto"/>
              </w:divBdr>
            </w:div>
          </w:divsChild>
        </w:div>
        <w:div w:id="1969630190">
          <w:marLeft w:val="0"/>
          <w:marRight w:val="0"/>
          <w:marTop w:val="0"/>
          <w:marBottom w:val="0"/>
          <w:divBdr>
            <w:top w:val="none" w:sz="0" w:space="0" w:color="auto"/>
            <w:left w:val="none" w:sz="0" w:space="0" w:color="auto"/>
            <w:bottom w:val="none" w:sz="0" w:space="0" w:color="auto"/>
            <w:right w:val="none" w:sz="0" w:space="0" w:color="auto"/>
          </w:divBdr>
          <w:divsChild>
            <w:div w:id="2050759958">
              <w:marLeft w:val="0"/>
              <w:marRight w:val="0"/>
              <w:marTop w:val="0"/>
              <w:marBottom w:val="0"/>
              <w:divBdr>
                <w:top w:val="none" w:sz="0" w:space="0" w:color="auto"/>
                <w:left w:val="none" w:sz="0" w:space="0" w:color="auto"/>
                <w:bottom w:val="none" w:sz="0" w:space="0" w:color="auto"/>
                <w:right w:val="none" w:sz="0" w:space="0" w:color="auto"/>
              </w:divBdr>
            </w:div>
          </w:divsChild>
        </w:div>
        <w:div w:id="1974020343">
          <w:marLeft w:val="0"/>
          <w:marRight w:val="0"/>
          <w:marTop w:val="0"/>
          <w:marBottom w:val="0"/>
          <w:divBdr>
            <w:top w:val="none" w:sz="0" w:space="0" w:color="auto"/>
            <w:left w:val="none" w:sz="0" w:space="0" w:color="auto"/>
            <w:bottom w:val="none" w:sz="0" w:space="0" w:color="auto"/>
            <w:right w:val="none" w:sz="0" w:space="0" w:color="auto"/>
          </w:divBdr>
          <w:divsChild>
            <w:div w:id="1426346733">
              <w:marLeft w:val="0"/>
              <w:marRight w:val="0"/>
              <w:marTop w:val="0"/>
              <w:marBottom w:val="0"/>
              <w:divBdr>
                <w:top w:val="none" w:sz="0" w:space="0" w:color="auto"/>
                <w:left w:val="none" w:sz="0" w:space="0" w:color="auto"/>
                <w:bottom w:val="none" w:sz="0" w:space="0" w:color="auto"/>
                <w:right w:val="none" w:sz="0" w:space="0" w:color="auto"/>
              </w:divBdr>
            </w:div>
          </w:divsChild>
        </w:div>
        <w:div w:id="1986548175">
          <w:marLeft w:val="0"/>
          <w:marRight w:val="0"/>
          <w:marTop w:val="0"/>
          <w:marBottom w:val="0"/>
          <w:divBdr>
            <w:top w:val="none" w:sz="0" w:space="0" w:color="auto"/>
            <w:left w:val="none" w:sz="0" w:space="0" w:color="auto"/>
            <w:bottom w:val="none" w:sz="0" w:space="0" w:color="auto"/>
            <w:right w:val="none" w:sz="0" w:space="0" w:color="auto"/>
          </w:divBdr>
          <w:divsChild>
            <w:div w:id="1940603101">
              <w:marLeft w:val="0"/>
              <w:marRight w:val="0"/>
              <w:marTop w:val="0"/>
              <w:marBottom w:val="0"/>
              <w:divBdr>
                <w:top w:val="none" w:sz="0" w:space="0" w:color="auto"/>
                <w:left w:val="none" w:sz="0" w:space="0" w:color="auto"/>
                <w:bottom w:val="none" w:sz="0" w:space="0" w:color="auto"/>
                <w:right w:val="none" w:sz="0" w:space="0" w:color="auto"/>
              </w:divBdr>
            </w:div>
          </w:divsChild>
        </w:div>
        <w:div w:id="2016180501">
          <w:marLeft w:val="0"/>
          <w:marRight w:val="0"/>
          <w:marTop w:val="0"/>
          <w:marBottom w:val="0"/>
          <w:divBdr>
            <w:top w:val="none" w:sz="0" w:space="0" w:color="auto"/>
            <w:left w:val="none" w:sz="0" w:space="0" w:color="auto"/>
            <w:bottom w:val="none" w:sz="0" w:space="0" w:color="auto"/>
            <w:right w:val="none" w:sz="0" w:space="0" w:color="auto"/>
          </w:divBdr>
          <w:divsChild>
            <w:div w:id="179203216">
              <w:marLeft w:val="0"/>
              <w:marRight w:val="0"/>
              <w:marTop w:val="0"/>
              <w:marBottom w:val="0"/>
              <w:divBdr>
                <w:top w:val="none" w:sz="0" w:space="0" w:color="auto"/>
                <w:left w:val="none" w:sz="0" w:space="0" w:color="auto"/>
                <w:bottom w:val="none" w:sz="0" w:space="0" w:color="auto"/>
                <w:right w:val="none" w:sz="0" w:space="0" w:color="auto"/>
              </w:divBdr>
            </w:div>
          </w:divsChild>
        </w:div>
        <w:div w:id="2021469049">
          <w:marLeft w:val="0"/>
          <w:marRight w:val="0"/>
          <w:marTop w:val="0"/>
          <w:marBottom w:val="0"/>
          <w:divBdr>
            <w:top w:val="none" w:sz="0" w:space="0" w:color="auto"/>
            <w:left w:val="none" w:sz="0" w:space="0" w:color="auto"/>
            <w:bottom w:val="none" w:sz="0" w:space="0" w:color="auto"/>
            <w:right w:val="none" w:sz="0" w:space="0" w:color="auto"/>
          </w:divBdr>
          <w:divsChild>
            <w:div w:id="1664972021">
              <w:marLeft w:val="0"/>
              <w:marRight w:val="0"/>
              <w:marTop w:val="0"/>
              <w:marBottom w:val="0"/>
              <w:divBdr>
                <w:top w:val="none" w:sz="0" w:space="0" w:color="auto"/>
                <w:left w:val="none" w:sz="0" w:space="0" w:color="auto"/>
                <w:bottom w:val="none" w:sz="0" w:space="0" w:color="auto"/>
                <w:right w:val="none" w:sz="0" w:space="0" w:color="auto"/>
              </w:divBdr>
            </w:div>
          </w:divsChild>
        </w:div>
        <w:div w:id="2036035487">
          <w:marLeft w:val="0"/>
          <w:marRight w:val="0"/>
          <w:marTop w:val="0"/>
          <w:marBottom w:val="0"/>
          <w:divBdr>
            <w:top w:val="none" w:sz="0" w:space="0" w:color="auto"/>
            <w:left w:val="none" w:sz="0" w:space="0" w:color="auto"/>
            <w:bottom w:val="none" w:sz="0" w:space="0" w:color="auto"/>
            <w:right w:val="none" w:sz="0" w:space="0" w:color="auto"/>
          </w:divBdr>
          <w:divsChild>
            <w:div w:id="1022323783">
              <w:marLeft w:val="0"/>
              <w:marRight w:val="0"/>
              <w:marTop w:val="0"/>
              <w:marBottom w:val="0"/>
              <w:divBdr>
                <w:top w:val="none" w:sz="0" w:space="0" w:color="auto"/>
                <w:left w:val="none" w:sz="0" w:space="0" w:color="auto"/>
                <w:bottom w:val="none" w:sz="0" w:space="0" w:color="auto"/>
                <w:right w:val="none" w:sz="0" w:space="0" w:color="auto"/>
              </w:divBdr>
            </w:div>
          </w:divsChild>
        </w:div>
        <w:div w:id="2039426912">
          <w:marLeft w:val="0"/>
          <w:marRight w:val="0"/>
          <w:marTop w:val="0"/>
          <w:marBottom w:val="0"/>
          <w:divBdr>
            <w:top w:val="none" w:sz="0" w:space="0" w:color="auto"/>
            <w:left w:val="none" w:sz="0" w:space="0" w:color="auto"/>
            <w:bottom w:val="none" w:sz="0" w:space="0" w:color="auto"/>
            <w:right w:val="none" w:sz="0" w:space="0" w:color="auto"/>
          </w:divBdr>
          <w:divsChild>
            <w:div w:id="1717586315">
              <w:marLeft w:val="0"/>
              <w:marRight w:val="0"/>
              <w:marTop w:val="0"/>
              <w:marBottom w:val="0"/>
              <w:divBdr>
                <w:top w:val="none" w:sz="0" w:space="0" w:color="auto"/>
                <w:left w:val="none" w:sz="0" w:space="0" w:color="auto"/>
                <w:bottom w:val="none" w:sz="0" w:space="0" w:color="auto"/>
                <w:right w:val="none" w:sz="0" w:space="0" w:color="auto"/>
              </w:divBdr>
            </w:div>
          </w:divsChild>
        </w:div>
        <w:div w:id="2064481999">
          <w:marLeft w:val="0"/>
          <w:marRight w:val="0"/>
          <w:marTop w:val="0"/>
          <w:marBottom w:val="0"/>
          <w:divBdr>
            <w:top w:val="none" w:sz="0" w:space="0" w:color="auto"/>
            <w:left w:val="none" w:sz="0" w:space="0" w:color="auto"/>
            <w:bottom w:val="none" w:sz="0" w:space="0" w:color="auto"/>
            <w:right w:val="none" w:sz="0" w:space="0" w:color="auto"/>
          </w:divBdr>
          <w:divsChild>
            <w:div w:id="1864635073">
              <w:marLeft w:val="0"/>
              <w:marRight w:val="0"/>
              <w:marTop w:val="0"/>
              <w:marBottom w:val="0"/>
              <w:divBdr>
                <w:top w:val="none" w:sz="0" w:space="0" w:color="auto"/>
                <w:left w:val="none" w:sz="0" w:space="0" w:color="auto"/>
                <w:bottom w:val="none" w:sz="0" w:space="0" w:color="auto"/>
                <w:right w:val="none" w:sz="0" w:space="0" w:color="auto"/>
              </w:divBdr>
            </w:div>
          </w:divsChild>
        </w:div>
        <w:div w:id="2066638602">
          <w:marLeft w:val="0"/>
          <w:marRight w:val="0"/>
          <w:marTop w:val="0"/>
          <w:marBottom w:val="0"/>
          <w:divBdr>
            <w:top w:val="none" w:sz="0" w:space="0" w:color="auto"/>
            <w:left w:val="none" w:sz="0" w:space="0" w:color="auto"/>
            <w:bottom w:val="none" w:sz="0" w:space="0" w:color="auto"/>
            <w:right w:val="none" w:sz="0" w:space="0" w:color="auto"/>
          </w:divBdr>
          <w:divsChild>
            <w:div w:id="1521966173">
              <w:marLeft w:val="0"/>
              <w:marRight w:val="0"/>
              <w:marTop w:val="0"/>
              <w:marBottom w:val="0"/>
              <w:divBdr>
                <w:top w:val="none" w:sz="0" w:space="0" w:color="auto"/>
                <w:left w:val="none" w:sz="0" w:space="0" w:color="auto"/>
                <w:bottom w:val="none" w:sz="0" w:space="0" w:color="auto"/>
                <w:right w:val="none" w:sz="0" w:space="0" w:color="auto"/>
              </w:divBdr>
            </w:div>
          </w:divsChild>
        </w:div>
        <w:div w:id="2104261250">
          <w:marLeft w:val="0"/>
          <w:marRight w:val="0"/>
          <w:marTop w:val="0"/>
          <w:marBottom w:val="0"/>
          <w:divBdr>
            <w:top w:val="none" w:sz="0" w:space="0" w:color="auto"/>
            <w:left w:val="none" w:sz="0" w:space="0" w:color="auto"/>
            <w:bottom w:val="none" w:sz="0" w:space="0" w:color="auto"/>
            <w:right w:val="none" w:sz="0" w:space="0" w:color="auto"/>
          </w:divBdr>
          <w:divsChild>
            <w:div w:id="1597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58683">
      <w:bodyDiv w:val="1"/>
      <w:marLeft w:val="0"/>
      <w:marRight w:val="0"/>
      <w:marTop w:val="0"/>
      <w:marBottom w:val="0"/>
      <w:divBdr>
        <w:top w:val="none" w:sz="0" w:space="0" w:color="auto"/>
        <w:left w:val="none" w:sz="0" w:space="0" w:color="auto"/>
        <w:bottom w:val="none" w:sz="0" w:space="0" w:color="auto"/>
        <w:right w:val="none" w:sz="0" w:space="0" w:color="auto"/>
      </w:divBdr>
    </w:div>
    <w:div w:id="448550976">
      <w:bodyDiv w:val="1"/>
      <w:marLeft w:val="0"/>
      <w:marRight w:val="0"/>
      <w:marTop w:val="0"/>
      <w:marBottom w:val="0"/>
      <w:divBdr>
        <w:top w:val="none" w:sz="0" w:space="0" w:color="auto"/>
        <w:left w:val="none" w:sz="0" w:space="0" w:color="auto"/>
        <w:bottom w:val="none" w:sz="0" w:space="0" w:color="auto"/>
        <w:right w:val="none" w:sz="0" w:space="0" w:color="auto"/>
      </w:divBdr>
      <w:divsChild>
        <w:div w:id="2979703">
          <w:marLeft w:val="0"/>
          <w:marRight w:val="0"/>
          <w:marTop w:val="0"/>
          <w:marBottom w:val="0"/>
          <w:divBdr>
            <w:top w:val="none" w:sz="0" w:space="0" w:color="auto"/>
            <w:left w:val="none" w:sz="0" w:space="0" w:color="auto"/>
            <w:bottom w:val="none" w:sz="0" w:space="0" w:color="auto"/>
            <w:right w:val="none" w:sz="0" w:space="0" w:color="auto"/>
          </w:divBdr>
          <w:divsChild>
            <w:div w:id="1314866981">
              <w:marLeft w:val="0"/>
              <w:marRight w:val="0"/>
              <w:marTop w:val="0"/>
              <w:marBottom w:val="0"/>
              <w:divBdr>
                <w:top w:val="none" w:sz="0" w:space="0" w:color="auto"/>
                <w:left w:val="none" w:sz="0" w:space="0" w:color="auto"/>
                <w:bottom w:val="none" w:sz="0" w:space="0" w:color="auto"/>
                <w:right w:val="none" w:sz="0" w:space="0" w:color="auto"/>
              </w:divBdr>
            </w:div>
          </w:divsChild>
        </w:div>
        <w:div w:id="19357601">
          <w:marLeft w:val="0"/>
          <w:marRight w:val="0"/>
          <w:marTop w:val="0"/>
          <w:marBottom w:val="0"/>
          <w:divBdr>
            <w:top w:val="none" w:sz="0" w:space="0" w:color="auto"/>
            <w:left w:val="none" w:sz="0" w:space="0" w:color="auto"/>
            <w:bottom w:val="none" w:sz="0" w:space="0" w:color="auto"/>
            <w:right w:val="none" w:sz="0" w:space="0" w:color="auto"/>
          </w:divBdr>
          <w:divsChild>
            <w:div w:id="670107969">
              <w:marLeft w:val="0"/>
              <w:marRight w:val="0"/>
              <w:marTop w:val="0"/>
              <w:marBottom w:val="0"/>
              <w:divBdr>
                <w:top w:val="none" w:sz="0" w:space="0" w:color="auto"/>
                <w:left w:val="none" w:sz="0" w:space="0" w:color="auto"/>
                <w:bottom w:val="none" w:sz="0" w:space="0" w:color="auto"/>
                <w:right w:val="none" w:sz="0" w:space="0" w:color="auto"/>
              </w:divBdr>
            </w:div>
          </w:divsChild>
        </w:div>
        <w:div w:id="21172996">
          <w:marLeft w:val="0"/>
          <w:marRight w:val="0"/>
          <w:marTop w:val="0"/>
          <w:marBottom w:val="0"/>
          <w:divBdr>
            <w:top w:val="none" w:sz="0" w:space="0" w:color="auto"/>
            <w:left w:val="none" w:sz="0" w:space="0" w:color="auto"/>
            <w:bottom w:val="none" w:sz="0" w:space="0" w:color="auto"/>
            <w:right w:val="none" w:sz="0" w:space="0" w:color="auto"/>
          </w:divBdr>
          <w:divsChild>
            <w:div w:id="1651711161">
              <w:marLeft w:val="0"/>
              <w:marRight w:val="0"/>
              <w:marTop w:val="0"/>
              <w:marBottom w:val="0"/>
              <w:divBdr>
                <w:top w:val="none" w:sz="0" w:space="0" w:color="auto"/>
                <w:left w:val="none" w:sz="0" w:space="0" w:color="auto"/>
                <w:bottom w:val="none" w:sz="0" w:space="0" w:color="auto"/>
                <w:right w:val="none" w:sz="0" w:space="0" w:color="auto"/>
              </w:divBdr>
            </w:div>
          </w:divsChild>
        </w:div>
        <w:div w:id="71006156">
          <w:marLeft w:val="0"/>
          <w:marRight w:val="0"/>
          <w:marTop w:val="0"/>
          <w:marBottom w:val="0"/>
          <w:divBdr>
            <w:top w:val="none" w:sz="0" w:space="0" w:color="auto"/>
            <w:left w:val="none" w:sz="0" w:space="0" w:color="auto"/>
            <w:bottom w:val="none" w:sz="0" w:space="0" w:color="auto"/>
            <w:right w:val="none" w:sz="0" w:space="0" w:color="auto"/>
          </w:divBdr>
          <w:divsChild>
            <w:div w:id="165558696">
              <w:marLeft w:val="0"/>
              <w:marRight w:val="0"/>
              <w:marTop w:val="0"/>
              <w:marBottom w:val="0"/>
              <w:divBdr>
                <w:top w:val="none" w:sz="0" w:space="0" w:color="auto"/>
                <w:left w:val="none" w:sz="0" w:space="0" w:color="auto"/>
                <w:bottom w:val="none" w:sz="0" w:space="0" w:color="auto"/>
                <w:right w:val="none" w:sz="0" w:space="0" w:color="auto"/>
              </w:divBdr>
            </w:div>
          </w:divsChild>
        </w:div>
        <w:div w:id="99574164">
          <w:marLeft w:val="0"/>
          <w:marRight w:val="0"/>
          <w:marTop w:val="0"/>
          <w:marBottom w:val="0"/>
          <w:divBdr>
            <w:top w:val="none" w:sz="0" w:space="0" w:color="auto"/>
            <w:left w:val="none" w:sz="0" w:space="0" w:color="auto"/>
            <w:bottom w:val="none" w:sz="0" w:space="0" w:color="auto"/>
            <w:right w:val="none" w:sz="0" w:space="0" w:color="auto"/>
          </w:divBdr>
          <w:divsChild>
            <w:div w:id="837498160">
              <w:marLeft w:val="0"/>
              <w:marRight w:val="0"/>
              <w:marTop w:val="0"/>
              <w:marBottom w:val="0"/>
              <w:divBdr>
                <w:top w:val="none" w:sz="0" w:space="0" w:color="auto"/>
                <w:left w:val="none" w:sz="0" w:space="0" w:color="auto"/>
                <w:bottom w:val="none" w:sz="0" w:space="0" w:color="auto"/>
                <w:right w:val="none" w:sz="0" w:space="0" w:color="auto"/>
              </w:divBdr>
            </w:div>
          </w:divsChild>
        </w:div>
        <w:div w:id="126244070">
          <w:marLeft w:val="0"/>
          <w:marRight w:val="0"/>
          <w:marTop w:val="0"/>
          <w:marBottom w:val="0"/>
          <w:divBdr>
            <w:top w:val="none" w:sz="0" w:space="0" w:color="auto"/>
            <w:left w:val="none" w:sz="0" w:space="0" w:color="auto"/>
            <w:bottom w:val="none" w:sz="0" w:space="0" w:color="auto"/>
            <w:right w:val="none" w:sz="0" w:space="0" w:color="auto"/>
          </w:divBdr>
          <w:divsChild>
            <w:div w:id="134836138">
              <w:marLeft w:val="0"/>
              <w:marRight w:val="0"/>
              <w:marTop w:val="0"/>
              <w:marBottom w:val="0"/>
              <w:divBdr>
                <w:top w:val="none" w:sz="0" w:space="0" w:color="auto"/>
                <w:left w:val="none" w:sz="0" w:space="0" w:color="auto"/>
                <w:bottom w:val="none" w:sz="0" w:space="0" w:color="auto"/>
                <w:right w:val="none" w:sz="0" w:space="0" w:color="auto"/>
              </w:divBdr>
            </w:div>
          </w:divsChild>
        </w:div>
        <w:div w:id="148983739">
          <w:marLeft w:val="0"/>
          <w:marRight w:val="0"/>
          <w:marTop w:val="0"/>
          <w:marBottom w:val="0"/>
          <w:divBdr>
            <w:top w:val="none" w:sz="0" w:space="0" w:color="auto"/>
            <w:left w:val="none" w:sz="0" w:space="0" w:color="auto"/>
            <w:bottom w:val="none" w:sz="0" w:space="0" w:color="auto"/>
            <w:right w:val="none" w:sz="0" w:space="0" w:color="auto"/>
          </w:divBdr>
          <w:divsChild>
            <w:div w:id="2077311498">
              <w:marLeft w:val="0"/>
              <w:marRight w:val="0"/>
              <w:marTop w:val="0"/>
              <w:marBottom w:val="0"/>
              <w:divBdr>
                <w:top w:val="none" w:sz="0" w:space="0" w:color="auto"/>
                <w:left w:val="none" w:sz="0" w:space="0" w:color="auto"/>
                <w:bottom w:val="none" w:sz="0" w:space="0" w:color="auto"/>
                <w:right w:val="none" w:sz="0" w:space="0" w:color="auto"/>
              </w:divBdr>
            </w:div>
          </w:divsChild>
        </w:div>
        <w:div w:id="156462054">
          <w:marLeft w:val="0"/>
          <w:marRight w:val="0"/>
          <w:marTop w:val="0"/>
          <w:marBottom w:val="0"/>
          <w:divBdr>
            <w:top w:val="none" w:sz="0" w:space="0" w:color="auto"/>
            <w:left w:val="none" w:sz="0" w:space="0" w:color="auto"/>
            <w:bottom w:val="none" w:sz="0" w:space="0" w:color="auto"/>
            <w:right w:val="none" w:sz="0" w:space="0" w:color="auto"/>
          </w:divBdr>
          <w:divsChild>
            <w:div w:id="675034159">
              <w:marLeft w:val="0"/>
              <w:marRight w:val="0"/>
              <w:marTop w:val="0"/>
              <w:marBottom w:val="0"/>
              <w:divBdr>
                <w:top w:val="none" w:sz="0" w:space="0" w:color="auto"/>
                <w:left w:val="none" w:sz="0" w:space="0" w:color="auto"/>
                <w:bottom w:val="none" w:sz="0" w:space="0" w:color="auto"/>
                <w:right w:val="none" w:sz="0" w:space="0" w:color="auto"/>
              </w:divBdr>
            </w:div>
          </w:divsChild>
        </w:div>
        <w:div w:id="166216941">
          <w:marLeft w:val="0"/>
          <w:marRight w:val="0"/>
          <w:marTop w:val="0"/>
          <w:marBottom w:val="0"/>
          <w:divBdr>
            <w:top w:val="none" w:sz="0" w:space="0" w:color="auto"/>
            <w:left w:val="none" w:sz="0" w:space="0" w:color="auto"/>
            <w:bottom w:val="none" w:sz="0" w:space="0" w:color="auto"/>
            <w:right w:val="none" w:sz="0" w:space="0" w:color="auto"/>
          </w:divBdr>
          <w:divsChild>
            <w:div w:id="845898556">
              <w:marLeft w:val="0"/>
              <w:marRight w:val="0"/>
              <w:marTop w:val="0"/>
              <w:marBottom w:val="0"/>
              <w:divBdr>
                <w:top w:val="none" w:sz="0" w:space="0" w:color="auto"/>
                <w:left w:val="none" w:sz="0" w:space="0" w:color="auto"/>
                <w:bottom w:val="none" w:sz="0" w:space="0" w:color="auto"/>
                <w:right w:val="none" w:sz="0" w:space="0" w:color="auto"/>
              </w:divBdr>
            </w:div>
          </w:divsChild>
        </w:div>
        <w:div w:id="215941430">
          <w:marLeft w:val="0"/>
          <w:marRight w:val="0"/>
          <w:marTop w:val="0"/>
          <w:marBottom w:val="0"/>
          <w:divBdr>
            <w:top w:val="none" w:sz="0" w:space="0" w:color="auto"/>
            <w:left w:val="none" w:sz="0" w:space="0" w:color="auto"/>
            <w:bottom w:val="none" w:sz="0" w:space="0" w:color="auto"/>
            <w:right w:val="none" w:sz="0" w:space="0" w:color="auto"/>
          </w:divBdr>
          <w:divsChild>
            <w:div w:id="324869175">
              <w:marLeft w:val="0"/>
              <w:marRight w:val="0"/>
              <w:marTop w:val="0"/>
              <w:marBottom w:val="0"/>
              <w:divBdr>
                <w:top w:val="none" w:sz="0" w:space="0" w:color="auto"/>
                <w:left w:val="none" w:sz="0" w:space="0" w:color="auto"/>
                <w:bottom w:val="none" w:sz="0" w:space="0" w:color="auto"/>
                <w:right w:val="none" w:sz="0" w:space="0" w:color="auto"/>
              </w:divBdr>
            </w:div>
          </w:divsChild>
        </w:div>
        <w:div w:id="250162477">
          <w:marLeft w:val="0"/>
          <w:marRight w:val="0"/>
          <w:marTop w:val="0"/>
          <w:marBottom w:val="0"/>
          <w:divBdr>
            <w:top w:val="none" w:sz="0" w:space="0" w:color="auto"/>
            <w:left w:val="none" w:sz="0" w:space="0" w:color="auto"/>
            <w:bottom w:val="none" w:sz="0" w:space="0" w:color="auto"/>
            <w:right w:val="none" w:sz="0" w:space="0" w:color="auto"/>
          </w:divBdr>
          <w:divsChild>
            <w:div w:id="591475329">
              <w:marLeft w:val="0"/>
              <w:marRight w:val="0"/>
              <w:marTop w:val="0"/>
              <w:marBottom w:val="0"/>
              <w:divBdr>
                <w:top w:val="none" w:sz="0" w:space="0" w:color="auto"/>
                <w:left w:val="none" w:sz="0" w:space="0" w:color="auto"/>
                <w:bottom w:val="none" w:sz="0" w:space="0" w:color="auto"/>
                <w:right w:val="none" w:sz="0" w:space="0" w:color="auto"/>
              </w:divBdr>
            </w:div>
          </w:divsChild>
        </w:div>
        <w:div w:id="258299023">
          <w:marLeft w:val="0"/>
          <w:marRight w:val="0"/>
          <w:marTop w:val="0"/>
          <w:marBottom w:val="0"/>
          <w:divBdr>
            <w:top w:val="none" w:sz="0" w:space="0" w:color="auto"/>
            <w:left w:val="none" w:sz="0" w:space="0" w:color="auto"/>
            <w:bottom w:val="none" w:sz="0" w:space="0" w:color="auto"/>
            <w:right w:val="none" w:sz="0" w:space="0" w:color="auto"/>
          </w:divBdr>
          <w:divsChild>
            <w:div w:id="1957641367">
              <w:marLeft w:val="0"/>
              <w:marRight w:val="0"/>
              <w:marTop w:val="0"/>
              <w:marBottom w:val="0"/>
              <w:divBdr>
                <w:top w:val="none" w:sz="0" w:space="0" w:color="auto"/>
                <w:left w:val="none" w:sz="0" w:space="0" w:color="auto"/>
                <w:bottom w:val="none" w:sz="0" w:space="0" w:color="auto"/>
                <w:right w:val="none" w:sz="0" w:space="0" w:color="auto"/>
              </w:divBdr>
            </w:div>
          </w:divsChild>
        </w:div>
        <w:div w:id="268198470">
          <w:marLeft w:val="0"/>
          <w:marRight w:val="0"/>
          <w:marTop w:val="0"/>
          <w:marBottom w:val="0"/>
          <w:divBdr>
            <w:top w:val="none" w:sz="0" w:space="0" w:color="auto"/>
            <w:left w:val="none" w:sz="0" w:space="0" w:color="auto"/>
            <w:bottom w:val="none" w:sz="0" w:space="0" w:color="auto"/>
            <w:right w:val="none" w:sz="0" w:space="0" w:color="auto"/>
          </w:divBdr>
          <w:divsChild>
            <w:div w:id="952519666">
              <w:marLeft w:val="0"/>
              <w:marRight w:val="0"/>
              <w:marTop w:val="0"/>
              <w:marBottom w:val="0"/>
              <w:divBdr>
                <w:top w:val="none" w:sz="0" w:space="0" w:color="auto"/>
                <w:left w:val="none" w:sz="0" w:space="0" w:color="auto"/>
                <w:bottom w:val="none" w:sz="0" w:space="0" w:color="auto"/>
                <w:right w:val="none" w:sz="0" w:space="0" w:color="auto"/>
              </w:divBdr>
            </w:div>
          </w:divsChild>
        </w:div>
        <w:div w:id="273707499">
          <w:marLeft w:val="0"/>
          <w:marRight w:val="0"/>
          <w:marTop w:val="0"/>
          <w:marBottom w:val="0"/>
          <w:divBdr>
            <w:top w:val="none" w:sz="0" w:space="0" w:color="auto"/>
            <w:left w:val="none" w:sz="0" w:space="0" w:color="auto"/>
            <w:bottom w:val="none" w:sz="0" w:space="0" w:color="auto"/>
            <w:right w:val="none" w:sz="0" w:space="0" w:color="auto"/>
          </w:divBdr>
          <w:divsChild>
            <w:div w:id="1067843761">
              <w:marLeft w:val="0"/>
              <w:marRight w:val="0"/>
              <w:marTop w:val="0"/>
              <w:marBottom w:val="0"/>
              <w:divBdr>
                <w:top w:val="none" w:sz="0" w:space="0" w:color="auto"/>
                <w:left w:val="none" w:sz="0" w:space="0" w:color="auto"/>
                <w:bottom w:val="none" w:sz="0" w:space="0" w:color="auto"/>
                <w:right w:val="none" w:sz="0" w:space="0" w:color="auto"/>
              </w:divBdr>
            </w:div>
          </w:divsChild>
        </w:div>
        <w:div w:id="303388422">
          <w:marLeft w:val="0"/>
          <w:marRight w:val="0"/>
          <w:marTop w:val="0"/>
          <w:marBottom w:val="0"/>
          <w:divBdr>
            <w:top w:val="none" w:sz="0" w:space="0" w:color="auto"/>
            <w:left w:val="none" w:sz="0" w:space="0" w:color="auto"/>
            <w:bottom w:val="none" w:sz="0" w:space="0" w:color="auto"/>
            <w:right w:val="none" w:sz="0" w:space="0" w:color="auto"/>
          </w:divBdr>
          <w:divsChild>
            <w:div w:id="523058197">
              <w:marLeft w:val="0"/>
              <w:marRight w:val="0"/>
              <w:marTop w:val="0"/>
              <w:marBottom w:val="0"/>
              <w:divBdr>
                <w:top w:val="none" w:sz="0" w:space="0" w:color="auto"/>
                <w:left w:val="none" w:sz="0" w:space="0" w:color="auto"/>
                <w:bottom w:val="none" w:sz="0" w:space="0" w:color="auto"/>
                <w:right w:val="none" w:sz="0" w:space="0" w:color="auto"/>
              </w:divBdr>
            </w:div>
          </w:divsChild>
        </w:div>
        <w:div w:id="323238025">
          <w:marLeft w:val="0"/>
          <w:marRight w:val="0"/>
          <w:marTop w:val="0"/>
          <w:marBottom w:val="0"/>
          <w:divBdr>
            <w:top w:val="none" w:sz="0" w:space="0" w:color="auto"/>
            <w:left w:val="none" w:sz="0" w:space="0" w:color="auto"/>
            <w:bottom w:val="none" w:sz="0" w:space="0" w:color="auto"/>
            <w:right w:val="none" w:sz="0" w:space="0" w:color="auto"/>
          </w:divBdr>
          <w:divsChild>
            <w:div w:id="844589354">
              <w:marLeft w:val="0"/>
              <w:marRight w:val="0"/>
              <w:marTop w:val="0"/>
              <w:marBottom w:val="0"/>
              <w:divBdr>
                <w:top w:val="none" w:sz="0" w:space="0" w:color="auto"/>
                <w:left w:val="none" w:sz="0" w:space="0" w:color="auto"/>
                <w:bottom w:val="none" w:sz="0" w:space="0" w:color="auto"/>
                <w:right w:val="none" w:sz="0" w:space="0" w:color="auto"/>
              </w:divBdr>
            </w:div>
          </w:divsChild>
        </w:div>
        <w:div w:id="330763117">
          <w:marLeft w:val="0"/>
          <w:marRight w:val="0"/>
          <w:marTop w:val="0"/>
          <w:marBottom w:val="0"/>
          <w:divBdr>
            <w:top w:val="none" w:sz="0" w:space="0" w:color="auto"/>
            <w:left w:val="none" w:sz="0" w:space="0" w:color="auto"/>
            <w:bottom w:val="none" w:sz="0" w:space="0" w:color="auto"/>
            <w:right w:val="none" w:sz="0" w:space="0" w:color="auto"/>
          </w:divBdr>
          <w:divsChild>
            <w:div w:id="1578516038">
              <w:marLeft w:val="0"/>
              <w:marRight w:val="0"/>
              <w:marTop w:val="0"/>
              <w:marBottom w:val="0"/>
              <w:divBdr>
                <w:top w:val="none" w:sz="0" w:space="0" w:color="auto"/>
                <w:left w:val="none" w:sz="0" w:space="0" w:color="auto"/>
                <w:bottom w:val="none" w:sz="0" w:space="0" w:color="auto"/>
                <w:right w:val="none" w:sz="0" w:space="0" w:color="auto"/>
              </w:divBdr>
            </w:div>
          </w:divsChild>
        </w:div>
        <w:div w:id="346565799">
          <w:marLeft w:val="0"/>
          <w:marRight w:val="0"/>
          <w:marTop w:val="0"/>
          <w:marBottom w:val="0"/>
          <w:divBdr>
            <w:top w:val="none" w:sz="0" w:space="0" w:color="auto"/>
            <w:left w:val="none" w:sz="0" w:space="0" w:color="auto"/>
            <w:bottom w:val="none" w:sz="0" w:space="0" w:color="auto"/>
            <w:right w:val="none" w:sz="0" w:space="0" w:color="auto"/>
          </w:divBdr>
          <w:divsChild>
            <w:div w:id="1717125739">
              <w:marLeft w:val="0"/>
              <w:marRight w:val="0"/>
              <w:marTop w:val="0"/>
              <w:marBottom w:val="0"/>
              <w:divBdr>
                <w:top w:val="none" w:sz="0" w:space="0" w:color="auto"/>
                <w:left w:val="none" w:sz="0" w:space="0" w:color="auto"/>
                <w:bottom w:val="none" w:sz="0" w:space="0" w:color="auto"/>
                <w:right w:val="none" w:sz="0" w:space="0" w:color="auto"/>
              </w:divBdr>
            </w:div>
          </w:divsChild>
        </w:div>
        <w:div w:id="361320931">
          <w:marLeft w:val="0"/>
          <w:marRight w:val="0"/>
          <w:marTop w:val="0"/>
          <w:marBottom w:val="0"/>
          <w:divBdr>
            <w:top w:val="none" w:sz="0" w:space="0" w:color="auto"/>
            <w:left w:val="none" w:sz="0" w:space="0" w:color="auto"/>
            <w:bottom w:val="none" w:sz="0" w:space="0" w:color="auto"/>
            <w:right w:val="none" w:sz="0" w:space="0" w:color="auto"/>
          </w:divBdr>
          <w:divsChild>
            <w:div w:id="1041325350">
              <w:marLeft w:val="0"/>
              <w:marRight w:val="0"/>
              <w:marTop w:val="0"/>
              <w:marBottom w:val="0"/>
              <w:divBdr>
                <w:top w:val="none" w:sz="0" w:space="0" w:color="auto"/>
                <w:left w:val="none" w:sz="0" w:space="0" w:color="auto"/>
                <w:bottom w:val="none" w:sz="0" w:space="0" w:color="auto"/>
                <w:right w:val="none" w:sz="0" w:space="0" w:color="auto"/>
              </w:divBdr>
            </w:div>
          </w:divsChild>
        </w:div>
        <w:div w:id="374159732">
          <w:marLeft w:val="0"/>
          <w:marRight w:val="0"/>
          <w:marTop w:val="0"/>
          <w:marBottom w:val="0"/>
          <w:divBdr>
            <w:top w:val="none" w:sz="0" w:space="0" w:color="auto"/>
            <w:left w:val="none" w:sz="0" w:space="0" w:color="auto"/>
            <w:bottom w:val="none" w:sz="0" w:space="0" w:color="auto"/>
            <w:right w:val="none" w:sz="0" w:space="0" w:color="auto"/>
          </w:divBdr>
          <w:divsChild>
            <w:div w:id="9726984">
              <w:marLeft w:val="0"/>
              <w:marRight w:val="0"/>
              <w:marTop w:val="0"/>
              <w:marBottom w:val="0"/>
              <w:divBdr>
                <w:top w:val="none" w:sz="0" w:space="0" w:color="auto"/>
                <w:left w:val="none" w:sz="0" w:space="0" w:color="auto"/>
                <w:bottom w:val="none" w:sz="0" w:space="0" w:color="auto"/>
                <w:right w:val="none" w:sz="0" w:space="0" w:color="auto"/>
              </w:divBdr>
            </w:div>
          </w:divsChild>
        </w:div>
        <w:div w:id="385952976">
          <w:marLeft w:val="0"/>
          <w:marRight w:val="0"/>
          <w:marTop w:val="0"/>
          <w:marBottom w:val="0"/>
          <w:divBdr>
            <w:top w:val="none" w:sz="0" w:space="0" w:color="auto"/>
            <w:left w:val="none" w:sz="0" w:space="0" w:color="auto"/>
            <w:bottom w:val="none" w:sz="0" w:space="0" w:color="auto"/>
            <w:right w:val="none" w:sz="0" w:space="0" w:color="auto"/>
          </w:divBdr>
          <w:divsChild>
            <w:div w:id="1475023964">
              <w:marLeft w:val="0"/>
              <w:marRight w:val="0"/>
              <w:marTop w:val="0"/>
              <w:marBottom w:val="0"/>
              <w:divBdr>
                <w:top w:val="none" w:sz="0" w:space="0" w:color="auto"/>
                <w:left w:val="none" w:sz="0" w:space="0" w:color="auto"/>
                <w:bottom w:val="none" w:sz="0" w:space="0" w:color="auto"/>
                <w:right w:val="none" w:sz="0" w:space="0" w:color="auto"/>
              </w:divBdr>
            </w:div>
          </w:divsChild>
        </w:div>
        <w:div w:id="398481217">
          <w:marLeft w:val="0"/>
          <w:marRight w:val="0"/>
          <w:marTop w:val="0"/>
          <w:marBottom w:val="0"/>
          <w:divBdr>
            <w:top w:val="none" w:sz="0" w:space="0" w:color="auto"/>
            <w:left w:val="none" w:sz="0" w:space="0" w:color="auto"/>
            <w:bottom w:val="none" w:sz="0" w:space="0" w:color="auto"/>
            <w:right w:val="none" w:sz="0" w:space="0" w:color="auto"/>
          </w:divBdr>
          <w:divsChild>
            <w:div w:id="458764912">
              <w:marLeft w:val="0"/>
              <w:marRight w:val="0"/>
              <w:marTop w:val="0"/>
              <w:marBottom w:val="0"/>
              <w:divBdr>
                <w:top w:val="none" w:sz="0" w:space="0" w:color="auto"/>
                <w:left w:val="none" w:sz="0" w:space="0" w:color="auto"/>
                <w:bottom w:val="none" w:sz="0" w:space="0" w:color="auto"/>
                <w:right w:val="none" w:sz="0" w:space="0" w:color="auto"/>
              </w:divBdr>
            </w:div>
          </w:divsChild>
        </w:div>
        <w:div w:id="402413739">
          <w:marLeft w:val="0"/>
          <w:marRight w:val="0"/>
          <w:marTop w:val="0"/>
          <w:marBottom w:val="0"/>
          <w:divBdr>
            <w:top w:val="none" w:sz="0" w:space="0" w:color="auto"/>
            <w:left w:val="none" w:sz="0" w:space="0" w:color="auto"/>
            <w:bottom w:val="none" w:sz="0" w:space="0" w:color="auto"/>
            <w:right w:val="none" w:sz="0" w:space="0" w:color="auto"/>
          </w:divBdr>
          <w:divsChild>
            <w:div w:id="1070924444">
              <w:marLeft w:val="0"/>
              <w:marRight w:val="0"/>
              <w:marTop w:val="0"/>
              <w:marBottom w:val="0"/>
              <w:divBdr>
                <w:top w:val="none" w:sz="0" w:space="0" w:color="auto"/>
                <w:left w:val="none" w:sz="0" w:space="0" w:color="auto"/>
                <w:bottom w:val="none" w:sz="0" w:space="0" w:color="auto"/>
                <w:right w:val="none" w:sz="0" w:space="0" w:color="auto"/>
              </w:divBdr>
            </w:div>
          </w:divsChild>
        </w:div>
        <w:div w:id="410588288">
          <w:marLeft w:val="0"/>
          <w:marRight w:val="0"/>
          <w:marTop w:val="0"/>
          <w:marBottom w:val="0"/>
          <w:divBdr>
            <w:top w:val="none" w:sz="0" w:space="0" w:color="auto"/>
            <w:left w:val="none" w:sz="0" w:space="0" w:color="auto"/>
            <w:bottom w:val="none" w:sz="0" w:space="0" w:color="auto"/>
            <w:right w:val="none" w:sz="0" w:space="0" w:color="auto"/>
          </w:divBdr>
          <w:divsChild>
            <w:div w:id="2120828597">
              <w:marLeft w:val="0"/>
              <w:marRight w:val="0"/>
              <w:marTop w:val="0"/>
              <w:marBottom w:val="0"/>
              <w:divBdr>
                <w:top w:val="none" w:sz="0" w:space="0" w:color="auto"/>
                <w:left w:val="none" w:sz="0" w:space="0" w:color="auto"/>
                <w:bottom w:val="none" w:sz="0" w:space="0" w:color="auto"/>
                <w:right w:val="none" w:sz="0" w:space="0" w:color="auto"/>
              </w:divBdr>
            </w:div>
          </w:divsChild>
        </w:div>
        <w:div w:id="431052343">
          <w:marLeft w:val="0"/>
          <w:marRight w:val="0"/>
          <w:marTop w:val="0"/>
          <w:marBottom w:val="0"/>
          <w:divBdr>
            <w:top w:val="none" w:sz="0" w:space="0" w:color="auto"/>
            <w:left w:val="none" w:sz="0" w:space="0" w:color="auto"/>
            <w:bottom w:val="none" w:sz="0" w:space="0" w:color="auto"/>
            <w:right w:val="none" w:sz="0" w:space="0" w:color="auto"/>
          </w:divBdr>
          <w:divsChild>
            <w:div w:id="759983102">
              <w:marLeft w:val="0"/>
              <w:marRight w:val="0"/>
              <w:marTop w:val="0"/>
              <w:marBottom w:val="0"/>
              <w:divBdr>
                <w:top w:val="none" w:sz="0" w:space="0" w:color="auto"/>
                <w:left w:val="none" w:sz="0" w:space="0" w:color="auto"/>
                <w:bottom w:val="none" w:sz="0" w:space="0" w:color="auto"/>
                <w:right w:val="none" w:sz="0" w:space="0" w:color="auto"/>
              </w:divBdr>
            </w:div>
          </w:divsChild>
        </w:div>
        <w:div w:id="433986997">
          <w:marLeft w:val="0"/>
          <w:marRight w:val="0"/>
          <w:marTop w:val="0"/>
          <w:marBottom w:val="0"/>
          <w:divBdr>
            <w:top w:val="none" w:sz="0" w:space="0" w:color="auto"/>
            <w:left w:val="none" w:sz="0" w:space="0" w:color="auto"/>
            <w:bottom w:val="none" w:sz="0" w:space="0" w:color="auto"/>
            <w:right w:val="none" w:sz="0" w:space="0" w:color="auto"/>
          </w:divBdr>
          <w:divsChild>
            <w:div w:id="229998465">
              <w:marLeft w:val="0"/>
              <w:marRight w:val="0"/>
              <w:marTop w:val="0"/>
              <w:marBottom w:val="0"/>
              <w:divBdr>
                <w:top w:val="none" w:sz="0" w:space="0" w:color="auto"/>
                <w:left w:val="none" w:sz="0" w:space="0" w:color="auto"/>
                <w:bottom w:val="none" w:sz="0" w:space="0" w:color="auto"/>
                <w:right w:val="none" w:sz="0" w:space="0" w:color="auto"/>
              </w:divBdr>
            </w:div>
          </w:divsChild>
        </w:div>
        <w:div w:id="437720834">
          <w:marLeft w:val="0"/>
          <w:marRight w:val="0"/>
          <w:marTop w:val="0"/>
          <w:marBottom w:val="0"/>
          <w:divBdr>
            <w:top w:val="none" w:sz="0" w:space="0" w:color="auto"/>
            <w:left w:val="none" w:sz="0" w:space="0" w:color="auto"/>
            <w:bottom w:val="none" w:sz="0" w:space="0" w:color="auto"/>
            <w:right w:val="none" w:sz="0" w:space="0" w:color="auto"/>
          </w:divBdr>
          <w:divsChild>
            <w:div w:id="1912084275">
              <w:marLeft w:val="0"/>
              <w:marRight w:val="0"/>
              <w:marTop w:val="0"/>
              <w:marBottom w:val="0"/>
              <w:divBdr>
                <w:top w:val="none" w:sz="0" w:space="0" w:color="auto"/>
                <w:left w:val="none" w:sz="0" w:space="0" w:color="auto"/>
                <w:bottom w:val="none" w:sz="0" w:space="0" w:color="auto"/>
                <w:right w:val="none" w:sz="0" w:space="0" w:color="auto"/>
              </w:divBdr>
            </w:div>
          </w:divsChild>
        </w:div>
        <w:div w:id="464927433">
          <w:marLeft w:val="0"/>
          <w:marRight w:val="0"/>
          <w:marTop w:val="0"/>
          <w:marBottom w:val="0"/>
          <w:divBdr>
            <w:top w:val="none" w:sz="0" w:space="0" w:color="auto"/>
            <w:left w:val="none" w:sz="0" w:space="0" w:color="auto"/>
            <w:bottom w:val="none" w:sz="0" w:space="0" w:color="auto"/>
            <w:right w:val="none" w:sz="0" w:space="0" w:color="auto"/>
          </w:divBdr>
          <w:divsChild>
            <w:div w:id="459807463">
              <w:marLeft w:val="0"/>
              <w:marRight w:val="0"/>
              <w:marTop w:val="0"/>
              <w:marBottom w:val="0"/>
              <w:divBdr>
                <w:top w:val="none" w:sz="0" w:space="0" w:color="auto"/>
                <w:left w:val="none" w:sz="0" w:space="0" w:color="auto"/>
                <w:bottom w:val="none" w:sz="0" w:space="0" w:color="auto"/>
                <w:right w:val="none" w:sz="0" w:space="0" w:color="auto"/>
              </w:divBdr>
            </w:div>
          </w:divsChild>
        </w:div>
        <w:div w:id="470173034">
          <w:marLeft w:val="0"/>
          <w:marRight w:val="0"/>
          <w:marTop w:val="0"/>
          <w:marBottom w:val="0"/>
          <w:divBdr>
            <w:top w:val="none" w:sz="0" w:space="0" w:color="auto"/>
            <w:left w:val="none" w:sz="0" w:space="0" w:color="auto"/>
            <w:bottom w:val="none" w:sz="0" w:space="0" w:color="auto"/>
            <w:right w:val="none" w:sz="0" w:space="0" w:color="auto"/>
          </w:divBdr>
          <w:divsChild>
            <w:div w:id="2101098027">
              <w:marLeft w:val="0"/>
              <w:marRight w:val="0"/>
              <w:marTop w:val="0"/>
              <w:marBottom w:val="0"/>
              <w:divBdr>
                <w:top w:val="none" w:sz="0" w:space="0" w:color="auto"/>
                <w:left w:val="none" w:sz="0" w:space="0" w:color="auto"/>
                <w:bottom w:val="none" w:sz="0" w:space="0" w:color="auto"/>
                <w:right w:val="none" w:sz="0" w:space="0" w:color="auto"/>
              </w:divBdr>
            </w:div>
          </w:divsChild>
        </w:div>
        <w:div w:id="482939547">
          <w:marLeft w:val="0"/>
          <w:marRight w:val="0"/>
          <w:marTop w:val="0"/>
          <w:marBottom w:val="0"/>
          <w:divBdr>
            <w:top w:val="none" w:sz="0" w:space="0" w:color="auto"/>
            <w:left w:val="none" w:sz="0" w:space="0" w:color="auto"/>
            <w:bottom w:val="none" w:sz="0" w:space="0" w:color="auto"/>
            <w:right w:val="none" w:sz="0" w:space="0" w:color="auto"/>
          </w:divBdr>
          <w:divsChild>
            <w:div w:id="2129472169">
              <w:marLeft w:val="0"/>
              <w:marRight w:val="0"/>
              <w:marTop w:val="0"/>
              <w:marBottom w:val="0"/>
              <w:divBdr>
                <w:top w:val="none" w:sz="0" w:space="0" w:color="auto"/>
                <w:left w:val="none" w:sz="0" w:space="0" w:color="auto"/>
                <w:bottom w:val="none" w:sz="0" w:space="0" w:color="auto"/>
                <w:right w:val="none" w:sz="0" w:space="0" w:color="auto"/>
              </w:divBdr>
            </w:div>
          </w:divsChild>
        </w:div>
        <w:div w:id="488256469">
          <w:marLeft w:val="0"/>
          <w:marRight w:val="0"/>
          <w:marTop w:val="0"/>
          <w:marBottom w:val="0"/>
          <w:divBdr>
            <w:top w:val="none" w:sz="0" w:space="0" w:color="auto"/>
            <w:left w:val="none" w:sz="0" w:space="0" w:color="auto"/>
            <w:bottom w:val="none" w:sz="0" w:space="0" w:color="auto"/>
            <w:right w:val="none" w:sz="0" w:space="0" w:color="auto"/>
          </w:divBdr>
          <w:divsChild>
            <w:div w:id="1916892666">
              <w:marLeft w:val="0"/>
              <w:marRight w:val="0"/>
              <w:marTop w:val="0"/>
              <w:marBottom w:val="0"/>
              <w:divBdr>
                <w:top w:val="none" w:sz="0" w:space="0" w:color="auto"/>
                <w:left w:val="none" w:sz="0" w:space="0" w:color="auto"/>
                <w:bottom w:val="none" w:sz="0" w:space="0" w:color="auto"/>
                <w:right w:val="none" w:sz="0" w:space="0" w:color="auto"/>
              </w:divBdr>
            </w:div>
          </w:divsChild>
        </w:div>
        <w:div w:id="496649636">
          <w:marLeft w:val="0"/>
          <w:marRight w:val="0"/>
          <w:marTop w:val="0"/>
          <w:marBottom w:val="0"/>
          <w:divBdr>
            <w:top w:val="none" w:sz="0" w:space="0" w:color="auto"/>
            <w:left w:val="none" w:sz="0" w:space="0" w:color="auto"/>
            <w:bottom w:val="none" w:sz="0" w:space="0" w:color="auto"/>
            <w:right w:val="none" w:sz="0" w:space="0" w:color="auto"/>
          </w:divBdr>
          <w:divsChild>
            <w:div w:id="974413374">
              <w:marLeft w:val="0"/>
              <w:marRight w:val="0"/>
              <w:marTop w:val="0"/>
              <w:marBottom w:val="0"/>
              <w:divBdr>
                <w:top w:val="none" w:sz="0" w:space="0" w:color="auto"/>
                <w:left w:val="none" w:sz="0" w:space="0" w:color="auto"/>
                <w:bottom w:val="none" w:sz="0" w:space="0" w:color="auto"/>
                <w:right w:val="none" w:sz="0" w:space="0" w:color="auto"/>
              </w:divBdr>
            </w:div>
          </w:divsChild>
        </w:div>
        <w:div w:id="502360400">
          <w:marLeft w:val="0"/>
          <w:marRight w:val="0"/>
          <w:marTop w:val="0"/>
          <w:marBottom w:val="0"/>
          <w:divBdr>
            <w:top w:val="none" w:sz="0" w:space="0" w:color="auto"/>
            <w:left w:val="none" w:sz="0" w:space="0" w:color="auto"/>
            <w:bottom w:val="none" w:sz="0" w:space="0" w:color="auto"/>
            <w:right w:val="none" w:sz="0" w:space="0" w:color="auto"/>
          </w:divBdr>
          <w:divsChild>
            <w:div w:id="113792961">
              <w:marLeft w:val="0"/>
              <w:marRight w:val="0"/>
              <w:marTop w:val="0"/>
              <w:marBottom w:val="0"/>
              <w:divBdr>
                <w:top w:val="none" w:sz="0" w:space="0" w:color="auto"/>
                <w:left w:val="none" w:sz="0" w:space="0" w:color="auto"/>
                <w:bottom w:val="none" w:sz="0" w:space="0" w:color="auto"/>
                <w:right w:val="none" w:sz="0" w:space="0" w:color="auto"/>
              </w:divBdr>
            </w:div>
          </w:divsChild>
        </w:div>
        <w:div w:id="512305771">
          <w:marLeft w:val="0"/>
          <w:marRight w:val="0"/>
          <w:marTop w:val="0"/>
          <w:marBottom w:val="0"/>
          <w:divBdr>
            <w:top w:val="none" w:sz="0" w:space="0" w:color="auto"/>
            <w:left w:val="none" w:sz="0" w:space="0" w:color="auto"/>
            <w:bottom w:val="none" w:sz="0" w:space="0" w:color="auto"/>
            <w:right w:val="none" w:sz="0" w:space="0" w:color="auto"/>
          </w:divBdr>
          <w:divsChild>
            <w:div w:id="1174688928">
              <w:marLeft w:val="0"/>
              <w:marRight w:val="0"/>
              <w:marTop w:val="0"/>
              <w:marBottom w:val="0"/>
              <w:divBdr>
                <w:top w:val="none" w:sz="0" w:space="0" w:color="auto"/>
                <w:left w:val="none" w:sz="0" w:space="0" w:color="auto"/>
                <w:bottom w:val="none" w:sz="0" w:space="0" w:color="auto"/>
                <w:right w:val="none" w:sz="0" w:space="0" w:color="auto"/>
              </w:divBdr>
            </w:div>
          </w:divsChild>
        </w:div>
        <w:div w:id="523402080">
          <w:marLeft w:val="0"/>
          <w:marRight w:val="0"/>
          <w:marTop w:val="0"/>
          <w:marBottom w:val="0"/>
          <w:divBdr>
            <w:top w:val="none" w:sz="0" w:space="0" w:color="auto"/>
            <w:left w:val="none" w:sz="0" w:space="0" w:color="auto"/>
            <w:bottom w:val="none" w:sz="0" w:space="0" w:color="auto"/>
            <w:right w:val="none" w:sz="0" w:space="0" w:color="auto"/>
          </w:divBdr>
          <w:divsChild>
            <w:div w:id="1089424587">
              <w:marLeft w:val="0"/>
              <w:marRight w:val="0"/>
              <w:marTop w:val="0"/>
              <w:marBottom w:val="0"/>
              <w:divBdr>
                <w:top w:val="none" w:sz="0" w:space="0" w:color="auto"/>
                <w:left w:val="none" w:sz="0" w:space="0" w:color="auto"/>
                <w:bottom w:val="none" w:sz="0" w:space="0" w:color="auto"/>
                <w:right w:val="none" w:sz="0" w:space="0" w:color="auto"/>
              </w:divBdr>
            </w:div>
          </w:divsChild>
        </w:div>
        <w:div w:id="538932992">
          <w:marLeft w:val="0"/>
          <w:marRight w:val="0"/>
          <w:marTop w:val="0"/>
          <w:marBottom w:val="0"/>
          <w:divBdr>
            <w:top w:val="none" w:sz="0" w:space="0" w:color="auto"/>
            <w:left w:val="none" w:sz="0" w:space="0" w:color="auto"/>
            <w:bottom w:val="none" w:sz="0" w:space="0" w:color="auto"/>
            <w:right w:val="none" w:sz="0" w:space="0" w:color="auto"/>
          </w:divBdr>
          <w:divsChild>
            <w:div w:id="1731492887">
              <w:marLeft w:val="0"/>
              <w:marRight w:val="0"/>
              <w:marTop w:val="0"/>
              <w:marBottom w:val="0"/>
              <w:divBdr>
                <w:top w:val="none" w:sz="0" w:space="0" w:color="auto"/>
                <w:left w:val="none" w:sz="0" w:space="0" w:color="auto"/>
                <w:bottom w:val="none" w:sz="0" w:space="0" w:color="auto"/>
                <w:right w:val="none" w:sz="0" w:space="0" w:color="auto"/>
              </w:divBdr>
            </w:div>
          </w:divsChild>
        </w:div>
        <w:div w:id="553782220">
          <w:marLeft w:val="0"/>
          <w:marRight w:val="0"/>
          <w:marTop w:val="0"/>
          <w:marBottom w:val="0"/>
          <w:divBdr>
            <w:top w:val="none" w:sz="0" w:space="0" w:color="auto"/>
            <w:left w:val="none" w:sz="0" w:space="0" w:color="auto"/>
            <w:bottom w:val="none" w:sz="0" w:space="0" w:color="auto"/>
            <w:right w:val="none" w:sz="0" w:space="0" w:color="auto"/>
          </w:divBdr>
          <w:divsChild>
            <w:div w:id="1898978317">
              <w:marLeft w:val="0"/>
              <w:marRight w:val="0"/>
              <w:marTop w:val="0"/>
              <w:marBottom w:val="0"/>
              <w:divBdr>
                <w:top w:val="none" w:sz="0" w:space="0" w:color="auto"/>
                <w:left w:val="none" w:sz="0" w:space="0" w:color="auto"/>
                <w:bottom w:val="none" w:sz="0" w:space="0" w:color="auto"/>
                <w:right w:val="none" w:sz="0" w:space="0" w:color="auto"/>
              </w:divBdr>
            </w:div>
          </w:divsChild>
        </w:div>
        <w:div w:id="555162850">
          <w:marLeft w:val="0"/>
          <w:marRight w:val="0"/>
          <w:marTop w:val="0"/>
          <w:marBottom w:val="0"/>
          <w:divBdr>
            <w:top w:val="none" w:sz="0" w:space="0" w:color="auto"/>
            <w:left w:val="none" w:sz="0" w:space="0" w:color="auto"/>
            <w:bottom w:val="none" w:sz="0" w:space="0" w:color="auto"/>
            <w:right w:val="none" w:sz="0" w:space="0" w:color="auto"/>
          </w:divBdr>
          <w:divsChild>
            <w:div w:id="1701004444">
              <w:marLeft w:val="0"/>
              <w:marRight w:val="0"/>
              <w:marTop w:val="0"/>
              <w:marBottom w:val="0"/>
              <w:divBdr>
                <w:top w:val="none" w:sz="0" w:space="0" w:color="auto"/>
                <w:left w:val="none" w:sz="0" w:space="0" w:color="auto"/>
                <w:bottom w:val="none" w:sz="0" w:space="0" w:color="auto"/>
                <w:right w:val="none" w:sz="0" w:space="0" w:color="auto"/>
              </w:divBdr>
            </w:div>
          </w:divsChild>
        </w:div>
        <w:div w:id="615791849">
          <w:marLeft w:val="0"/>
          <w:marRight w:val="0"/>
          <w:marTop w:val="0"/>
          <w:marBottom w:val="0"/>
          <w:divBdr>
            <w:top w:val="none" w:sz="0" w:space="0" w:color="auto"/>
            <w:left w:val="none" w:sz="0" w:space="0" w:color="auto"/>
            <w:bottom w:val="none" w:sz="0" w:space="0" w:color="auto"/>
            <w:right w:val="none" w:sz="0" w:space="0" w:color="auto"/>
          </w:divBdr>
          <w:divsChild>
            <w:div w:id="1558127870">
              <w:marLeft w:val="0"/>
              <w:marRight w:val="0"/>
              <w:marTop w:val="0"/>
              <w:marBottom w:val="0"/>
              <w:divBdr>
                <w:top w:val="none" w:sz="0" w:space="0" w:color="auto"/>
                <w:left w:val="none" w:sz="0" w:space="0" w:color="auto"/>
                <w:bottom w:val="none" w:sz="0" w:space="0" w:color="auto"/>
                <w:right w:val="none" w:sz="0" w:space="0" w:color="auto"/>
              </w:divBdr>
            </w:div>
          </w:divsChild>
        </w:div>
        <w:div w:id="645090420">
          <w:marLeft w:val="0"/>
          <w:marRight w:val="0"/>
          <w:marTop w:val="0"/>
          <w:marBottom w:val="0"/>
          <w:divBdr>
            <w:top w:val="none" w:sz="0" w:space="0" w:color="auto"/>
            <w:left w:val="none" w:sz="0" w:space="0" w:color="auto"/>
            <w:bottom w:val="none" w:sz="0" w:space="0" w:color="auto"/>
            <w:right w:val="none" w:sz="0" w:space="0" w:color="auto"/>
          </w:divBdr>
          <w:divsChild>
            <w:div w:id="1497577944">
              <w:marLeft w:val="0"/>
              <w:marRight w:val="0"/>
              <w:marTop w:val="0"/>
              <w:marBottom w:val="0"/>
              <w:divBdr>
                <w:top w:val="none" w:sz="0" w:space="0" w:color="auto"/>
                <w:left w:val="none" w:sz="0" w:space="0" w:color="auto"/>
                <w:bottom w:val="none" w:sz="0" w:space="0" w:color="auto"/>
                <w:right w:val="none" w:sz="0" w:space="0" w:color="auto"/>
              </w:divBdr>
            </w:div>
          </w:divsChild>
        </w:div>
        <w:div w:id="685905414">
          <w:marLeft w:val="0"/>
          <w:marRight w:val="0"/>
          <w:marTop w:val="0"/>
          <w:marBottom w:val="0"/>
          <w:divBdr>
            <w:top w:val="none" w:sz="0" w:space="0" w:color="auto"/>
            <w:left w:val="none" w:sz="0" w:space="0" w:color="auto"/>
            <w:bottom w:val="none" w:sz="0" w:space="0" w:color="auto"/>
            <w:right w:val="none" w:sz="0" w:space="0" w:color="auto"/>
          </w:divBdr>
          <w:divsChild>
            <w:div w:id="1401564955">
              <w:marLeft w:val="0"/>
              <w:marRight w:val="0"/>
              <w:marTop w:val="0"/>
              <w:marBottom w:val="0"/>
              <w:divBdr>
                <w:top w:val="none" w:sz="0" w:space="0" w:color="auto"/>
                <w:left w:val="none" w:sz="0" w:space="0" w:color="auto"/>
                <w:bottom w:val="none" w:sz="0" w:space="0" w:color="auto"/>
                <w:right w:val="none" w:sz="0" w:space="0" w:color="auto"/>
              </w:divBdr>
            </w:div>
          </w:divsChild>
        </w:div>
        <w:div w:id="705645418">
          <w:marLeft w:val="0"/>
          <w:marRight w:val="0"/>
          <w:marTop w:val="0"/>
          <w:marBottom w:val="0"/>
          <w:divBdr>
            <w:top w:val="none" w:sz="0" w:space="0" w:color="auto"/>
            <w:left w:val="none" w:sz="0" w:space="0" w:color="auto"/>
            <w:bottom w:val="none" w:sz="0" w:space="0" w:color="auto"/>
            <w:right w:val="none" w:sz="0" w:space="0" w:color="auto"/>
          </w:divBdr>
          <w:divsChild>
            <w:div w:id="1861817176">
              <w:marLeft w:val="0"/>
              <w:marRight w:val="0"/>
              <w:marTop w:val="0"/>
              <w:marBottom w:val="0"/>
              <w:divBdr>
                <w:top w:val="none" w:sz="0" w:space="0" w:color="auto"/>
                <w:left w:val="none" w:sz="0" w:space="0" w:color="auto"/>
                <w:bottom w:val="none" w:sz="0" w:space="0" w:color="auto"/>
                <w:right w:val="none" w:sz="0" w:space="0" w:color="auto"/>
              </w:divBdr>
            </w:div>
          </w:divsChild>
        </w:div>
        <w:div w:id="724912366">
          <w:marLeft w:val="0"/>
          <w:marRight w:val="0"/>
          <w:marTop w:val="0"/>
          <w:marBottom w:val="0"/>
          <w:divBdr>
            <w:top w:val="none" w:sz="0" w:space="0" w:color="auto"/>
            <w:left w:val="none" w:sz="0" w:space="0" w:color="auto"/>
            <w:bottom w:val="none" w:sz="0" w:space="0" w:color="auto"/>
            <w:right w:val="none" w:sz="0" w:space="0" w:color="auto"/>
          </w:divBdr>
          <w:divsChild>
            <w:div w:id="2130512537">
              <w:marLeft w:val="0"/>
              <w:marRight w:val="0"/>
              <w:marTop w:val="0"/>
              <w:marBottom w:val="0"/>
              <w:divBdr>
                <w:top w:val="none" w:sz="0" w:space="0" w:color="auto"/>
                <w:left w:val="none" w:sz="0" w:space="0" w:color="auto"/>
                <w:bottom w:val="none" w:sz="0" w:space="0" w:color="auto"/>
                <w:right w:val="none" w:sz="0" w:space="0" w:color="auto"/>
              </w:divBdr>
            </w:div>
          </w:divsChild>
        </w:div>
        <w:div w:id="760760082">
          <w:marLeft w:val="0"/>
          <w:marRight w:val="0"/>
          <w:marTop w:val="0"/>
          <w:marBottom w:val="0"/>
          <w:divBdr>
            <w:top w:val="none" w:sz="0" w:space="0" w:color="auto"/>
            <w:left w:val="none" w:sz="0" w:space="0" w:color="auto"/>
            <w:bottom w:val="none" w:sz="0" w:space="0" w:color="auto"/>
            <w:right w:val="none" w:sz="0" w:space="0" w:color="auto"/>
          </w:divBdr>
          <w:divsChild>
            <w:div w:id="884754431">
              <w:marLeft w:val="0"/>
              <w:marRight w:val="0"/>
              <w:marTop w:val="0"/>
              <w:marBottom w:val="0"/>
              <w:divBdr>
                <w:top w:val="none" w:sz="0" w:space="0" w:color="auto"/>
                <w:left w:val="none" w:sz="0" w:space="0" w:color="auto"/>
                <w:bottom w:val="none" w:sz="0" w:space="0" w:color="auto"/>
                <w:right w:val="none" w:sz="0" w:space="0" w:color="auto"/>
              </w:divBdr>
            </w:div>
          </w:divsChild>
        </w:div>
        <w:div w:id="801920125">
          <w:marLeft w:val="0"/>
          <w:marRight w:val="0"/>
          <w:marTop w:val="0"/>
          <w:marBottom w:val="0"/>
          <w:divBdr>
            <w:top w:val="none" w:sz="0" w:space="0" w:color="auto"/>
            <w:left w:val="none" w:sz="0" w:space="0" w:color="auto"/>
            <w:bottom w:val="none" w:sz="0" w:space="0" w:color="auto"/>
            <w:right w:val="none" w:sz="0" w:space="0" w:color="auto"/>
          </w:divBdr>
          <w:divsChild>
            <w:div w:id="158741559">
              <w:marLeft w:val="0"/>
              <w:marRight w:val="0"/>
              <w:marTop w:val="0"/>
              <w:marBottom w:val="0"/>
              <w:divBdr>
                <w:top w:val="none" w:sz="0" w:space="0" w:color="auto"/>
                <w:left w:val="none" w:sz="0" w:space="0" w:color="auto"/>
                <w:bottom w:val="none" w:sz="0" w:space="0" w:color="auto"/>
                <w:right w:val="none" w:sz="0" w:space="0" w:color="auto"/>
              </w:divBdr>
            </w:div>
          </w:divsChild>
        </w:div>
        <w:div w:id="802960746">
          <w:marLeft w:val="0"/>
          <w:marRight w:val="0"/>
          <w:marTop w:val="0"/>
          <w:marBottom w:val="0"/>
          <w:divBdr>
            <w:top w:val="none" w:sz="0" w:space="0" w:color="auto"/>
            <w:left w:val="none" w:sz="0" w:space="0" w:color="auto"/>
            <w:bottom w:val="none" w:sz="0" w:space="0" w:color="auto"/>
            <w:right w:val="none" w:sz="0" w:space="0" w:color="auto"/>
          </w:divBdr>
          <w:divsChild>
            <w:div w:id="2008894754">
              <w:marLeft w:val="0"/>
              <w:marRight w:val="0"/>
              <w:marTop w:val="0"/>
              <w:marBottom w:val="0"/>
              <w:divBdr>
                <w:top w:val="none" w:sz="0" w:space="0" w:color="auto"/>
                <w:left w:val="none" w:sz="0" w:space="0" w:color="auto"/>
                <w:bottom w:val="none" w:sz="0" w:space="0" w:color="auto"/>
                <w:right w:val="none" w:sz="0" w:space="0" w:color="auto"/>
              </w:divBdr>
            </w:div>
          </w:divsChild>
        </w:div>
        <w:div w:id="826019112">
          <w:marLeft w:val="0"/>
          <w:marRight w:val="0"/>
          <w:marTop w:val="0"/>
          <w:marBottom w:val="0"/>
          <w:divBdr>
            <w:top w:val="none" w:sz="0" w:space="0" w:color="auto"/>
            <w:left w:val="none" w:sz="0" w:space="0" w:color="auto"/>
            <w:bottom w:val="none" w:sz="0" w:space="0" w:color="auto"/>
            <w:right w:val="none" w:sz="0" w:space="0" w:color="auto"/>
          </w:divBdr>
          <w:divsChild>
            <w:div w:id="1330713052">
              <w:marLeft w:val="0"/>
              <w:marRight w:val="0"/>
              <w:marTop w:val="0"/>
              <w:marBottom w:val="0"/>
              <w:divBdr>
                <w:top w:val="none" w:sz="0" w:space="0" w:color="auto"/>
                <w:left w:val="none" w:sz="0" w:space="0" w:color="auto"/>
                <w:bottom w:val="none" w:sz="0" w:space="0" w:color="auto"/>
                <w:right w:val="none" w:sz="0" w:space="0" w:color="auto"/>
              </w:divBdr>
            </w:div>
          </w:divsChild>
        </w:div>
        <w:div w:id="861937677">
          <w:marLeft w:val="0"/>
          <w:marRight w:val="0"/>
          <w:marTop w:val="0"/>
          <w:marBottom w:val="0"/>
          <w:divBdr>
            <w:top w:val="none" w:sz="0" w:space="0" w:color="auto"/>
            <w:left w:val="none" w:sz="0" w:space="0" w:color="auto"/>
            <w:bottom w:val="none" w:sz="0" w:space="0" w:color="auto"/>
            <w:right w:val="none" w:sz="0" w:space="0" w:color="auto"/>
          </w:divBdr>
          <w:divsChild>
            <w:div w:id="489953239">
              <w:marLeft w:val="0"/>
              <w:marRight w:val="0"/>
              <w:marTop w:val="0"/>
              <w:marBottom w:val="0"/>
              <w:divBdr>
                <w:top w:val="none" w:sz="0" w:space="0" w:color="auto"/>
                <w:left w:val="none" w:sz="0" w:space="0" w:color="auto"/>
                <w:bottom w:val="none" w:sz="0" w:space="0" w:color="auto"/>
                <w:right w:val="none" w:sz="0" w:space="0" w:color="auto"/>
              </w:divBdr>
            </w:div>
          </w:divsChild>
        </w:div>
        <w:div w:id="862323535">
          <w:marLeft w:val="0"/>
          <w:marRight w:val="0"/>
          <w:marTop w:val="0"/>
          <w:marBottom w:val="0"/>
          <w:divBdr>
            <w:top w:val="none" w:sz="0" w:space="0" w:color="auto"/>
            <w:left w:val="none" w:sz="0" w:space="0" w:color="auto"/>
            <w:bottom w:val="none" w:sz="0" w:space="0" w:color="auto"/>
            <w:right w:val="none" w:sz="0" w:space="0" w:color="auto"/>
          </w:divBdr>
          <w:divsChild>
            <w:div w:id="1462729671">
              <w:marLeft w:val="0"/>
              <w:marRight w:val="0"/>
              <w:marTop w:val="0"/>
              <w:marBottom w:val="0"/>
              <w:divBdr>
                <w:top w:val="none" w:sz="0" w:space="0" w:color="auto"/>
                <w:left w:val="none" w:sz="0" w:space="0" w:color="auto"/>
                <w:bottom w:val="none" w:sz="0" w:space="0" w:color="auto"/>
                <w:right w:val="none" w:sz="0" w:space="0" w:color="auto"/>
              </w:divBdr>
            </w:div>
          </w:divsChild>
        </w:div>
        <w:div w:id="865143664">
          <w:marLeft w:val="0"/>
          <w:marRight w:val="0"/>
          <w:marTop w:val="0"/>
          <w:marBottom w:val="0"/>
          <w:divBdr>
            <w:top w:val="none" w:sz="0" w:space="0" w:color="auto"/>
            <w:left w:val="none" w:sz="0" w:space="0" w:color="auto"/>
            <w:bottom w:val="none" w:sz="0" w:space="0" w:color="auto"/>
            <w:right w:val="none" w:sz="0" w:space="0" w:color="auto"/>
          </w:divBdr>
          <w:divsChild>
            <w:div w:id="1053961891">
              <w:marLeft w:val="0"/>
              <w:marRight w:val="0"/>
              <w:marTop w:val="0"/>
              <w:marBottom w:val="0"/>
              <w:divBdr>
                <w:top w:val="none" w:sz="0" w:space="0" w:color="auto"/>
                <w:left w:val="none" w:sz="0" w:space="0" w:color="auto"/>
                <w:bottom w:val="none" w:sz="0" w:space="0" w:color="auto"/>
                <w:right w:val="none" w:sz="0" w:space="0" w:color="auto"/>
              </w:divBdr>
            </w:div>
          </w:divsChild>
        </w:div>
        <w:div w:id="884289650">
          <w:marLeft w:val="0"/>
          <w:marRight w:val="0"/>
          <w:marTop w:val="0"/>
          <w:marBottom w:val="0"/>
          <w:divBdr>
            <w:top w:val="none" w:sz="0" w:space="0" w:color="auto"/>
            <w:left w:val="none" w:sz="0" w:space="0" w:color="auto"/>
            <w:bottom w:val="none" w:sz="0" w:space="0" w:color="auto"/>
            <w:right w:val="none" w:sz="0" w:space="0" w:color="auto"/>
          </w:divBdr>
          <w:divsChild>
            <w:div w:id="1673028823">
              <w:marLeft w:val="0"/>
              <w:marRight w:val="0"/>
              <w:marTop w:val="0"/>
              <w:marBottom w:val="0"/>
              <w:divBdr>
                <w:top w:val="none" w:sz="0" w:space="0" w:color="auto"/>
                <w:left w:val="none" w:sz="0" w:space="0" w:color="auto"/>
                <w:bottom w:val="none" w:sz="0" w:space="0" w:color="auto"/>
                <w:right w:val="none" w:sz="0" w:space="0" w:color="auto"/>
              </w:divBdr>
            </w:div>
          </w:divsChild>
        </w:div>
        <w:div w:id="894467749">
          <w:marLeft w:val="0"/>
          <w:marRight w:val="0"/>
          <w:marTop w:val="0"/>
          <w:marBottom w:val="0"/>
          <w:divBdr>
            <w:top w:val="none" w:sz="0" w:space="0" w:color="auto"/>
            <w:left w:val="none" w:sz="0" w:space="0" w:color="auto"/>
            <w:bottom w:val="none" w:sz="0" w:space="0" w:color="auto"/>
            <w:right w:val="none" w:sz="0" w:space="0" w:color="auto"/>
          </w:divBdr>
          <w:divsChild>
            <w:div w:id="1477144362">
              <w:marLeft w:val="0"/>
              <w:marRight w:val="0"/>
              <w:marTop w:val="0"/>
              <w:marBottom w:val="0"/>
              <w:divBdr>
                <w:top w:val="none" w:sz="0" w:space="0" w:color="auto"/>
                <w:left w:val="none" w:sz="0" w:space="0" w:color="auto"/>
                <w:bottom w:val="none" w:sz="0" w:space="0" w:color="auto"/>
                <w:right w:val="none" w:sz="0" w:space="0" w:color="auto"/>
              </w:divBdr>
            </w:div>
          </w:divsChild>
        </w:div>
        <w:div w:id="934482257">
          <w:marLeft w:val="0"/>
          <w:marRight w:val="0"/>
          <w:marTop w:val="0"/>
          <w:marBottom w:val="0"/>
          <w:divBdr>
            <w:top w:val="none" w:sz="0" w:space="0" w:color="auto"/>
            <w:left w:val="none" w:sz="0" w:space="0" w:color="auto"/>
            <w:bottom w:val="none" w:sz="0" w:space="0" w:color="auto"/>
            <w:right w:val="none" w:sz="0" w:space="0" w:color="auto"/>
          </w:divBdr>
          <w:divsChild>
            <w:div w:id="951283164">
              <w:marLeft w:val="0"/>
              <w:marRight w:val="0"/>
              <w:marTop w:val="0"/>
              <w:marBottom w:val="0"/>
              <w:divBdr>
                <w:top w:val="none" w:sz="0" w:space="0" w:color="auto"/>
                <w:left w:val="none" w:sz="0" w:space="0" w:color="auto"/>
                <w:bottom w:val="none" w:sz="0" w:space="0" w:color="auto"/>
                <w:right w:val="none" w:sz="0" w:space="0" w:color="auto"/>
              </w:divBdr>
            </w:div>
          </w:divsChild>
        </w:div>
        <w:div w:id="950665917">
          <w:marLeft w:val="0"/>
          <w:marRight w:val="0"/>
          <w:marTop w:val="0"/>
          <w:marBottom w:val="0"/>
          <w:divBdr>
            <w:top w:val="none" w:sz="0" w:space="0" w:color="auto"/>
            <w:left w:val="none" w:sz="0" w:space="0" w:color="auto"/>
            <w:bottom w:val="none" w:sz="0" w:space="0" w:color="auto"/>
            <w:right w:val="none" w:sz="0" w:space="0" w:color="auto"/>
          </w:divBdr>
          <w:divsChild>
            <w:div w:id="2118064988">
              <w:marLeft w:val="0"/>
              <w:marRight w:val="0"/>
              <w:marTop w:val="0"/>
              <w:marBottom w:val="0"/>
              <w:divBdr>
                <w:top w:val="none" w:sz="0" w:space="0" w:color="auto"/>
                <w:left w:val="none" w:sz="0" w:space="0" w:color="auto"/>
                <w:bottom w:val="none" w:sz="0" w:space="0" w:color="auto"/>
                <w:right w:val="none" w:sz="0" w:space="0" w:color="auto"/>
              </w:divBdr>
            </w:div>
          </w:divsChild>
        </w:div>
        <w:div w:id="1003704779">
          <w:marLeft w:val="0"/>
          <w:marRight w:val="0"/>
          <w:marTop w:val="0"/>
          <w:marBottom w:val="0"/>
          <w:divBdr>
            <w:top w:val="none" w:sz="0" w:space="0" w:color="auto"/>
            <w:left w:val="none" w:sz="0" w:space="0" w:color="auto"/>
            <w:bottom w:val="none" w:sz="0" w:space="0" w:color="auto"/>
            <w:right w:val="none" w:sz="0" w:space="0" w:color="auto"/>
          </w:divBdr>
          <w:divsChild>
            <w:div w:id="1875001673">
              <w:marLeft w:val="0"/>
              <w:marRight w:val="0"/>
              <w:marTop w:val="0"/>
              <w:marBottom w:val="0"/>
              <w:divBdr>
                <w:top w:val="none" w:sz="0" w:space="0" w:color="auto"/>
                <w:left w:val="none" w:sz="0" w:space="0" w:color="auto"/>
                <w:bottom w:val="none" w:sz="0" w:space="0" w:color="auto"/>
                <w:right w:val="none" w:sz="0" w:space="0" w:color="auto"/>
              </w:divBdr>
            </w:div>
          </w:divsChild>
        </w:div>
        <w:div w:id="1021323999">
          <w:marLeft w:val="0"/>
          <w:marRight w:val="0"/>
          <w:marTop w:val="0"/>
          <w:marBottom w:val="0"/>
          <w:divBdr>
            <w:top w:val="none" w:sz="0" w:space="0" w:color="auto"/>
            <w:left w:val="none" w:sz="0" w:space="0" w:color="auto"/>
            <w:bottom w:val="none" w:sz="0" w:space="0" w:color="auto"/>
            <w:right w:val="none" w:sz="0" w:space="0" w:color="auto"/>
          </w:divBdr>
          <w:divsChild>
            <w:div w:id="1467040434">
              <w:marLeft w:val="0"/>
              <w:marRight w:val="0"/>
              <w:marTop w:val="0"/>
              <w:marBottom w:val="0"/>
              <w:divBdr>
                <w:top w:val="none" w:sz="0" w:space="0" w:color="auto"/>
                <w:left w:val="none" w:sz="0" w:space="0" w:color="auto"/>
                <w:bottom w:val="none" w:sz="0" w:space="0" w:color="auto"/>
                <w:right w:val="none" w:sz="0" w:space="0" w:color="auto"/>
              </w:divBdr>
            </w:div>
          </w:divsChild>
        </w:div>
        <w:div w:id="1116872545">
          <w:marLeft w:val="0"/>
          <w:marRight w:val="0"/>
          <w:marTop w:val="0"/>
          <w:marBottom w:val="0"/>
          <w:divBdr>
            <w:top w:val="none" w:sz="0" w:space="0" w:color="auto"/>
            <w:left w:val="none" w:sz="0" w:space="0" w:color="auto"/>
            <w:bottom w:val="none" w:sz="0" w:space="0" w:color="auto"/>
            <w:right w:val="none" w:sz="0" w:space="0" w:color="auto"/>
          </w:divBdr>
          <w:divsChild>
            <w:div w:id="1584102887">
              <w:marLeft w:val="0"/>
              <w:marRight w:val="0"/>
              <w:marTop w:val="0"/>
              <w:marBottom w:val="0"/>
              <w:divBdr>
                <w:top w:val="none" w:sz="0" w:space="0" w:color="auto"/>
                <w:left w:val="none" w:sz="0" w:space="0" w:color="auto"/>
                <w:bottom w:val="none" w:sz="0" w:space="0" w:color="auto"/>
                <w:right w:val="none" w:sz="0" w:space="0" w:color="auto"/>
              </w:divBdr>
            </w:div>
          </w:divsChild>
        </w:div>
        <w:div w:id="1129204442">
          <w:marLeft w:val="0"/>
          <w:marRight w:val="0"/>
          <w:marTop w:val="0"/>
          <w:marBottom w:val="0"/>
          <w:divBdr>
            <w:top w:val="none" w:sz="0" w:space="0" w:color="auto"/>
            <w:left w:val="none" w:sz="0" w:space="0" w:color="auto"/>
            <w:bottom w:val="none" w:sz="0" w:space="0" w:color="auto"/>
            <w:right w:val="none" w:sz="0" w:space="0" w:color="auto"/>
          </w:divBdr>
          <w:divsChild>
            <w:div w:id="502664064">
              <w:marLeft w:val="0"/>
              <w:marRight w:val="0"/>
              <w:marTop w:val="0"/>
              <w:marBottom w:val="0"/>
              <w:divBdr>
                <w:top w:val="none" w:sz="0" w:space="0" w:color="auto"/>
                <w:left w:val="none" w:sz="0" w:space="0" w:color="auto"/>
                <w:bottom w:val="none" w:sz="0" w:space="0" w:color="auto"/>
                <w:right w:val="none" w:sz="0" w:space="0" w:color="auto"/>
              </w:divBdr>
            </w:div>
          </w:divsChild>
        </w:div>
        <w:div w:id="1145396260">
          <w:marLeft w:val="0"/>
          <w:marRight w:val="0"/>
          <w:marTop w:val="0"/>
          <w:marBottom w:val="0"/>
          <w:divBdr>
            <w:top w:val="none" w:sz="0" w:space="0" w:color="auto"/>
            <w:left w:val="none" w:sz="0" w:space="0" w:color="auto"/>
            <w:bottom w:val="none" w:sz="0" w:space="0" w:color="auto"/>
            <w:right w:val="none" w:sz="0" w:space="0" w:color="auto"/>
          </w:divBdr>
          <w:divsChild>
            <w:div w:id="1169979322">
              <w:marLeft w:val="0"/>
              <w:marRight w:val="0"/>
              <w:marTop w:val="0"/>
              <w:marBottom w:val="0"/>
              <w:divBdr>
                <w:top w:val="none" w:sz="0" w:space="0" w:color="auto"/>
                <w:left w:val="none" w:sz="0" w:space="0" w:color="auto"/>
                <w:bottom w:val="none" w:sz="0" w:space="0" w:color="auto"/>
                <w:right w:val="none" w:sz="0" w:space="0" w:color="auto"/>
              </w:divBdr>
            </w:div>
          </w:divsChild>
        </w:div>
        <w:div w:id="1201360818">
          <w:marLeft w:val="0"/>
          <w:marRight w:val="0"/>
          <w:marTop w:val="0"/>
          <w:marBottom w:val="0"/>
          <w:divBdr>
            <w:top w:val="none" w:sz="0" w:space="0" w:color="auto"/>
            <w:left w:val="none" w:sz="0" w:space="0" w:color="auto"/>
            <w:bottom w:val="none" w:sz="0" w:space="0" w:color="auto"/>
            <w:right w:val="none" w:sz="0" w:space="0" w:color="auto"/>
          </w:divBdr>
          <w:divsChild>
            <w:div w:id="1026710219">
              <w:marLeft w:val="0"/>
              <w:marRight w:val="0"/>
              <w:marTop w:val="0"/>
              <w:marBottom w:val="0"/>
              <w:divBdr>
                <w:top w:val="none" w:sz="0" w:space="0" w:color="auto"/>
                <w:left w:val="none" w:sz="0" w:space="0" w:color="auto"/>
                <w:bottom w:val="none" w:sz="0" w:space="0" w:color="auto"/>
                <w:right w:val="none" w:sz="0" w:space="0" w:color="auto"/>
              </w:divBdr>
            </w:div>
          </w:divsChild>
        </w:div>
        <w:div w:id="1268854854">
          <w:marLeft w:val="0"/>
          <w:marRight w:val="0"/>
          <w:marTop w:val="0"/>
          <w:marBottom w:val="0"/>
          <w:divBdr>
            <w:top w:val="none" w:sz="0" w:space="0" w:color="auto"/>
            <w:left w:val="none" w:sz="0" w:space="0" w:color="auto"/>
            <w:bottom w:val="none" w:sz="0" w:space="0" w:color="auto"/>
            <w:right w:val="none" w:sz="0" w:space="0" w:color="auto"/>
          </w:divBdr>
          <w:divsChild>
            <w:div w:id="1136340770">
              <w:marLeft w:val="0"/>
              <w:marRight w:val="0"/>
              <w:marTop w:val="0"/>
              <w:marBottom w:val="0"/>
              <w:divBdr>
                <w:top w:val="none" w:sz="0" w:space="0" w:color="auto"/>
                <w:left w:val="none" w:sz="0" w:space="0" w:color="auto"/>
                <w:bottom w:val="none" w:sz="0" w:space="0" w:color="auto"/>
                <w:right w:val="none" w:sz="0" w:space="0" w:color="auto"/>
              </w:divBdr>
            </w:div>
          </w:divsChild>
        </w:div>
        <w:div w:id="1289235635">
          <w:marLeft w:val="0"/>
          <w:marRight w:val="0"/>
          <w:marTop w:val="0"/>
          <w:marBottom w:val="0"/>
          <w:divBdr>
            <w:top w:val="none" w:sz="0" w:space="0" w:color="auto"/>
            <w:left w:val="none" w:sz="0" w:space="0" w:color="auto"/>
            <w:bottom w:val="none" w:sz="0" w:space="0" w:color="auto"/>
            <w:right w:val="none" w:sz="0" w:space="0" w:color="auto"/>
          </w:divBdr>
          <w:divsChild>
            <w:div w:id="471795604">
              <w:marLeft w:val="0"/>
              <w:marRight w:val="0"/>
              <w:marTop w:val="0"/>
              <w:marBottom w:val="0"/>
              <w:divBdr>
                <w:top w:val="none" w:sz="0" w:space="0" w:color="auto"/>
                <w:left w:val="none" w:sz="0" w:space="0" w:color="auto"/>
                <w:bottom w:val="none" w:sz="0" w:space="0" w:color="auto"/>
                <w:right w:val="none" w:sz="0" w:space="0" w:color="auto"/>
              </w:divBdr>
            </w:div>
          </w:divsChild>
        </w:div>
        <w:div w:id="1311859692">
          <w:marLeft w:val="0"/>
          <w:marRight w:val="0"/>
          <w:marTop w:val="0"/>
          <w:marBottom w:val="0"/>
          <w:divBdr>
            <w:top w:val="none" w:sz="0" w:space="0" w:color="auto"/>
            <w:left w:val="none" w:sz="0" w:space="0" w:color="auto"/>
            <w:bottom w:val="none" w:sz="0" w:space="0" w:color="auto"/>
            <w:right w:val="none" w:sz="0" w:space="0" w:color="auto"/>
          </w:divBdr>
          <w:divsChild>
            <w:div w:id="269747636">
              <w:marLeft w:val="0"/>
              <w:marRight w:val="0"/>
              <w:marTop w:val="0"/>
              <w:marBottom w:val="0"/>
              <w:divBdr>
                <w:top w:val="none" w:sz="0" w:space="0" w:color="auto"/>
                <w:left w:val="none" w:sz="0" w:space="0" w:color="auto"/>
                <w:bottom w:val="none" w:sz="0" w:space="0" w:color="auto"/>
                <w:right w:val="none" w:sz="0" w:space="0" w:color="auto"/>
              </w:divBdr>
            </w:div>
          </w:divsChild>
        </w:div>
        <w:div w:id="1381006124">
          <w:marLeft w:val="0"/>
          <w:marRight w:val="0"/>
          <w:marTop w:val="0"/>
          <w:marBottom w:val="0"/>
          <w:divBdr>
            <w:top w:val="none" w:sz="0" w:space="0" w:color="auto"/>
            <w:left w:val="none" w:sz="0" w:space="0" w:color="auto"/>
            <w:bottom w:val="none" w:sz="0" w:space="0" w:color="auto"/>
            <w:right w:val="none" w:sz="0" w:space="0" w:color="auto"/>
          </w:divBdr>
          <w:divsChild>
            <w:div w:id="1600522776">
              <w:marLeft w:val="0"/>
              <w:marRight w:val="0"/>
              <w:marTop w:val="0"/>
              <w:marBottom w:val="0"/>
              <w:divBdr>
                <w:top w:val="none" w:sz="0" w:space="0" w:color="auto"/>
                <w:left w:val="none" w:sz="0" w:space="0" w:color="auto"/>
                <w:bottom w:val="none" w:sz="0" w:space="0" w:color="auto"/>
                <w:right w:val="none" w:sz="0" w:space="0" w:color="auto"/>
              </w:divBdr>
            </w:div>
          </w:divsChild>
        </w:div>
        <w:div w:id="1408185965">
          <w:marLeft w:val="0"/>
          <w:marRight w:val="0"/>
          <w:marTop w:val="0"/>
          <w:marBottom w:val="0"/>
          <w:divBdr>
            <w:top w:val="none" w:sz="0" w:space="0" w:color="auto"/>
            <w:left w:val="none" w:sz="0" w:space="0" w:color="auto"/>
            <w:bottom w:val="none" w:sz="0" w:space="0" w:color="auto"/>
            <w:right w:val="none" w:sz="0" w:space="0" w:color="auto"/>
          </w:divBdr>
          <w:divsChild>
            <w:div w:id="743806">
              <w:marLeft w:val="0"/>
              <w:marRight w:val="0"/>
              <w:marTop w:val="0"/>
              <w:marBottom w:val="0"/>
              <w:divBdr>
                <w:top w:val="none" w:sz="0" w:space="0" w:color="auto"/>
                <w:left w:val="none" w:sz="0" w:space="0" w:color="auto"/>
                <w:bottom w:val="none" w:sz="0" w:space="0" w:color="auto"/>
                <w:right w:val="none" w:sz="0" w:space="0" w:color="auto"/>
              </w:divBdr>
            </w:div>
          </w:divsChild>
        </w:div>
        <w:div w:id="1448157174">
          <w:marLeft w:val="0"/>
          <w:marRight w:val="0"/>
          <w:marTop w:val="0"/>
          <w:marBottom w:val="0"/>
          <w:divBdr>
            <w:top w:val="none" w:sz="0" w:space="0" w:color="auto"/>
            <w:left w:val="none" w:sz="0" w:space="0" w:color="auto"/>
            <w:bottom w:val="none" w:sz="0" w:space="0" w:color="auto"/>
            <w:right w:val="none" w:sz="0" w:space="0" w:color="auto"/>
          </w:divBdr>
          <w:divsChild>
            <w:div w:id="1011293725">
              <w:marLeft w:val="0"/>
              <w:marRight w:val="0"/>
              <w:marTop w:val="0"/>
              <w:marBottom w:val="0"/>
              <w:divBdr>
                <w:top w:val="none" w:sz="0" w:space="0" w:color="auto"/>
                <w:left w:val="none" w:sz="0" w:space="0" w:color="auto"/>
                <w:bottom w:val="none" w:sz="0" w:space="0" w:color="auto"/>
                <w:right w:val="none" w:sz="0" w:space="0" w:color="auto"/>
              </w:divBdr>
            </w:div>
          </w:divsChild>
        </w:div>
        <w:div w:id="1469007645">
          <w:marLeft w:val="0"/>
          <w:marRight w:val="0"/>
          <w:marTop w:val="0"/>
          <w:marBottom w:val="0"/>
          <w:divBdr>
            <w:top w:val="none" w:sz="0" w:space="0" w:color="auto"/>
            <w:left w:val="none" w:sz="0" w:space="0" w:color="auto"/>
            <w:bottom w:val="none" w:sz="0" w:space="0" w:color="auto"/>
            <w:right w:val="none" w:sz="0" w:space="0" w:color="auto"/>
          </w:divBdr>
          <w:divsChild>
            <w:div w:id="700866262">
              <w:marLeft w:val="0"/>
              <w:marRight w:val="0"/>
              <w:marTop w:val="0"/>
              <w:marBottom w:val="0"/>
              <w:divBdr>
                <w:top w:val="none" w:sz="0" w:space="0" w:color="auto"/>
                <w:left w:val="none" w:sz="0" w:space="0" w:color="auto"/>
                <w:bottom w:val="none" w:sz="0" w:space="0" w:color="auto"/>
                <w:right w:val="none" w:sz="0" w:space="0" w:color="auto"/>
              </w:divBdr>
            </w:div>
          </w:divsChild>
        </w:div>
        <w:div w:id="1471480446">
          <w:marLeft w:val="0"/>
          <w:marRight w:val="0"/>
          <w:marTop w:val="0"/>
          <w:marBottom w:val="0"/>
          <w:divBdr>
            <w:top w:val="none" w:sz="0" w:space="0" w:color="auto"/>
            <w:left w:val="none" w:sz="0" w:space="0" w:color="auto"/>
            <w:bottom w:val="none" w:sz="0" w:space="0" w:color="auto"/>
            <w:right w:val="none" w:sz="0" w:space="0" w:color="auto"/>
          </w:divBdr>
          <w:divsChild>
            <w:div w:id="1019431243">
              <w:marLeft w:val="0"/>
              <w:marRight w:val="0"/>
              <w:marTop w:val="0"/>
              <w:marBottom w:val="0"/>
              <w:divBdr>
                <w:top w:val="none" w:sz="0" w:space="0" w:color="auto"/>
                <w:left w:val="none" w:sz="0" w:space="0" w:color="auto"/>
                <w:bottom w:val="none" w:sz="0" w:space="0" w:color="auto"/>
                <w:right w:val="none" w:sz="0" w:space="0" w:color="auto"/>
              </w:divBdr>
            </w:div>
          </w:divsChild>
        </w:div>
        <w:div w:id="1477458160">
          <w:marLeft w:val="0"/>
          <w:marRight w:val="0"/>
          <w:marTop w:val="0"/>
          <w:marBottom w:val="0"/>
          <w:divBdr>
            <w:top w:val="none" w:sz="0" w:space="0" w:color="auto"/>
            <w:left w:val="none" w:sz="0" w:space="0" w:color="auto"/>
            <w:bottom w:val="none" w:sz="0" w:space="0" w:color="auto"/>
            <w:right w:val="none" w:sz="0" w:space="0" w:color="auto"/>
          </w:divBdr>
          <w:divsChild>
            <w:div w:id="280381697">
              <w:marLeft w:val="0"/>
              <w:marRight w:val="0"/>
              <w:marTop w:val="0"/>
              <w:marBottom w:val="0"/>
              <w:divBdr>
                <w:top w:val="none" w:sz="0" w:space="0" w:color="auto"/>
                <w:left w:val="none" w:sz="0" w:space="0" w:color="auto"/>
                <w:bottom w:val="none" w:sz="0" w:space="0" w:color="auto"/>
                <w:right w:val="none" w:sz="0" w:space="0" w:color="auto"/>
              </w:divBdr>
            </w:div>
          </w:divsChild>
        </w:div>
        <w:div w:id="1499543525">
          <w:marLeft w:val="0"/>
          <w:marRight w:val="0"/>
          <w:marTop w:val="0"/>
          <w:marBottom w:val="0"/>
          <w:divBdr>
            <w:top w:val="none" w:sz="0" w:space="0" w:color="auto"/>
            <w:left w:val="none" w:sz="0" w:space="0" w:color="auto"/>
            <w:bottom w:val="none" w:sz="0" w:space="0" w:color="auto"/>
            <w:right w:val="none" w:sz="0" w:space="0" w:color="auto"/>
          </w:divBdr>
          <w:divsChild>
            <w:div w:id="570627880">
              <w:marLeft w:val="0"/>
              <w:marRight w:val="0"/>
              <w:marTop w:val="0"/>
              <w:marBottom w:val="0"/>
              <w:divBdr>
                <w:top w:val="none" w:sz="0" w:space="0" w:color="auto"/>
                <w:left w:val="none" w:sz="0" w:space="0" w:color="auto"/>
                <w:bottom w:val="none" w:sz="0" w:space="0" w:color="auto"/>
                <w:right w:val="none" w:sz="0" w:space="0" w:color="auto"/>
              </w:divBdr>
            </w:div>
          </w:divsChild>
        </w:div>
        <w:div w:id="1512640607">
          <w:marLeft w:val="0"/>
          <w:marRight w:val="0"/>
          <w:marTop w:val="0"/>
          <w:marBottom w:val="0"/>
          <w:divBdr>
            <w:top w:val="none" w:sz="0" w:space="0" w:color="auto"/>
            <w:left w:val="none" w:sz="0" w:space="0" w:color="auto"/>
            <w:bottom w:val="none" w:sz="0" w:space="0" w:color="auto"/>
            <w:right w:val="none" w:sz="0" w:space="0" w:color="auto"/>
          </w:divBdr>
          <w:divsChild>
            <w:div w:id="1355303643">
              <w:marLeft w:val="0"/>
              <w:marRight w:val="0"/>
              <w:marTop w:val="0"/>
              <w:marBottom w:val="0"/>
              <w:divBdr>
                <w:top w:val="none" w:sz="0" w:space="0" w:color="auto"/>
                <w:left w:val="none" w:sz="0" w:space="0" w:color="auto"/>
                <w:bottom w:val="none" w:sz="0" w:space="0" w:color="auto"/>
                <w:right w:val="none" w:sz="0" w:space="0" w:color="auto"/>
              </w:divBdr>
            </w:div>
          </w:divsChild>
        </w:div>
        <w:div w:id="1525708740">
          <w:marLeft w:val="0"/>
          <w:marRight w:val="0"/>
          <w:marTop w:val="0"/>
          <w:marBottom w:val="0"/>
          <w:divBdr>
            <w:top w:val="none" w:sz="0" w:space="0" w:color="auto"/>
            <w:left w:val="none" w:sz="0" w:space="0" w:color="auto"/>
            <w:bottom w:val="none" w:sz="0" w:space="0" w:color="auto"/>
            <w:right w:val="none" w:sz="0" w:space="0" w:color="auto"/>
          </w:divBdr>
          <w:divsChild>
            <w:div w:id="331762786">
              <w:marLeft w:val="0"/>
              <w:marRight w:val="0"/>
              <w:marTop w:val="0"/>
              <w:marBottom w:val="0"/>
              <w:divBdr>
                <w:top w:val="none" w:sz="0" w:space="0" w:color="auto"/>
                <w:left w:val="none" w:sz="0" w:space="0" w:color="auto"/>
                <w:bottom w:val="none" w:sz="0" w:space="0" w:color="auto"/>
                <w:right w:val="none" w:sz="0" w:space="0" w:color="auto"/>
              </w:divBdr>
            </w:div>
          </w:divsChild>
        </w:div>
        <w:div w:id="1563520753">
          <w:marLeft w:val="0"/>
          <w:marRight w:val="0"/>
          <w:marTop w:val="0"/>
          <w:marBottom w:val="0"/>
          <w:divBdr>
            <w:top w:val="none" w:sz="0" w:space="0" w:color="auto"/>
            <w:left w:val="none" w:sz="0" w:space="0" w:color="auto"/>
            <w:bottom w:val="none" w:sz="0" w:space="0" w:color="auto"/>
            <w:right w:val="none" w:sz="0" w:space="0" w:color="auto"/>
          </w:divBdr>
          <w:divsChild>
            <w:div w:id="472403656">
              <w:marLeft w:val="0"/>
              <w:marRight w:val="0"/>
              <w:marTop w:val="0"/>
              <w:marBottom w:val="0"/>
              <w:divBdr>
                <w:top w:val="none" w:sz="0" w:space="0" w:color="auto"/>
                <w:left w:val="none" w:sz="0" w:space="0" w:color="auto"/>
                <w:bottom w:val="none" w:sz="0" w:space="0" w:color="auto"/>
                <w:right w:val="none" w:sz="0" w:space="0" w:color="auto"/>
              </w:divBdr>
            </w:div>
          </w:divsChild>
        </w:div>
        <w:div w:id="1571501319">
          <w:marLeft w:val="0"/>
          <w:marRight w:val="0"/>
          <w:marTop w:val="0"/>
          <w:marBottom w:val="0"/>
          <w:divBdr>
            <w:top w:val="none" w:sz="0" w:space="0" w:color="auto"/>
            <w:left w:val="none" w:sz="0" w:space="0" w:color="auto"/>
            <w:bottom w:val="none" w:sz="0" w:space="0" w:color="auto"/>
            <w:right w:val="none" w:sz="0" w:space="0" w:color="auto"/>
          </w:divBdr>
          <w:divsChild>
            <w:div w:id="640768232">
              <w:marLeft w:val="0"/>
              <w:marRight w:val="0"/>
              <w:marTop w:val="0"/>
              <w:marBottom w:val="0"/>
              <w:divBdr>
                <w:top w:val="none" w:sz="0" w:space="0" w:color="auto"/>
                <w:left w:val="none" w:sz="0" w:space="0" w:color="auto"/>
                <w:bottom w:val="none" w:sz="0" w:space="0" w:color="auto"/>
                <w:right w:val="none" w:sz="0" w:space="0" w:color="auto"/>
              </w:divBdr>
            </w:div>
          </w:divsChild>
        </w:div>
        <w:div w:id="1572041380">
          <w:marLeft w:val="0"/>
          <w:marRight w:val="0"/>
          <w:marTop w:val="0"/>
          <w:marBottom w:val="0"/>
          <w:divBdr>
            <w:top w:val="none" w:sz="0" w:space="0" w:color="auto"/>
            <w:left w:val="none" w:sz="0" w:space="0" w:color="auto"/>
            <w:bottom w:val="none" w:sz="0" w:space="0" w:color="auto"/>
            <w:right w:val="none" w:sz="0" w:space="0" w:color="auto"/>
          </w:divBdr>
          <w:divsChild>
            <w:div w:id="173616757">
              <w:marLeft w:val="0"/>
              <w:marRight w:val="0"/>
              <w:marTop w:val="0"/>
              <w:marBottom w:val="0"/>
              <w:divBdr>
                <w:top w:val="none" w:sz="0" w:space="0" w:color="auto"/>
                <w:left w:val="none" w:sz="0" w:space="0" w:color="auto"/>
                <w:bottom w:val="none" w:sz="0" w:space="0" w:color="auto"/>
                <w:right w:val="none" w:sz="0" w:space="0" w:color="auto"/>
              </w:divBdr>
            </w:div>
          </w:divsChild>
        </w:div>
        <w:div w:id="1601645038">
          <w:marLeft w:val="0"/>
          <w:marRight w:val="0"/>
          <w:marTop w:val="0"/>
          <w:marBottom w:val="0"/>
          <w:divBdr>
            <w:top w:val="none" w:sz="0" w:space="0" w:color="auto"/>
            <w:left w:val="none" w:sz="0" w:space="0" w:color="auto"/>
            <w:bottom w:val="none" w:sz="0" w:space="0" w:color="auto"/>
            <w:right w:val="none" w:sz="0" w:space="0" w:color="auto"/>
          </w:divBdr>
          <w:divsChild>
            <w:div w:id="1829713689">
              <w:marLeft w:val="0"/>
              <w:marRight w:val="0"/>
              <w:marTop w:val="0"/>
              <w:marBottom w:val="0"/>
              <w:divBdr>
                <w:top w:val="none" w:sz="0" w:space="0" w:color="auto"/>
                <w:left w:val="none" w:sz="0" w:space="0" w:color="auto"/>
                <w:bottom w:val="none" w:sz="0" w:space="0" w:color="auto"/>
                <w:right w:val="none" w:sz="0" w:space="0" w:color="auto"/>
              </w:divBdr>
            </w:div>
          </w:divsChild>
        </w:div>
        <w:div w:id="1611429817">
          <w:marLeft w:val="0"/>
          <w:marRight w:val="0"/>
          <w:marTop w:val="0"/>
          <w:marBottom w:val="0"/>
          <w:divBdr>
            <w:top w:val="none" w:sz="0" w:space="0" w:color="auto"/>
            <w:left w:val="none" w:sz="0" w:space="0" w:color="auto"/>
            <w:bottom w:val="none" w:sz="0" w:space="0" w:color="auto"/>
            <w:right w:val="none" w:sz="0" w:space="0" w:color="auto"/>
          </w:divBdr>
          <w:divsChild>
            <w:div w:id="757873020">
              <w:marLeft w:val="0"/>
              <w:marRight w:val="0"/>
              <w:marTop w:val="0"/>
              <w:marBottom w:val="0"/>
              <w:divBdr>
                <w:top w:val="none" w:sz="0" w:space="0" w:color="auto"/>
                <w:left w:val="none" w:sz="0" w:space="0" w:color="auto"/>
                <w:bottom w:val="none" w:sz="0" w:space="0" w:color="auto"/>
                <w:right w:val="none" w:sz="0" w:space="0" w:color="auto"/>
              </w:divBdr>
            </w:div>
          </w:divsChild>
        </w:div>
        <w:div w:id="1628001309">
          <w:marLeft w:val="0"/>
          <w:marRight w:val="0"/>
          <w:marTop w:val="0"/>
          <w:marBottom w:val="0"/>
          <w:divBdr>
            <w:top w:val="none" w:sz="0" w:space="0" w:color="auto"/>
            <w:left w:val="none" w:sz="0" w:space="0" w:color="auto"/>
            <w:bottom w:val="none" w:sz="0" w:space="0" w:color="auto"/>
            <w:right w:val="none" w:sz="0" w:space="0" w:color="auto"/>
          </w:divBdr>
          <w:divsChild>
            <w:div w:id="1011881911">
              <w:marLeft w:val="0"/>
              <w:marRight w:val="0"/>
              <w:marTop w:val="0"/>
              <w:marBottom w:val="0"/>
              <w:divBdr>
                <w:top w:val="none" w:sz="0" w:space="0" w:color="auto"/>
                <w:left w:val="none" w:sz="0" w:space="0" w:color="auto"/>
                <w:bottom w:val="none" w:sz="0" w:space="0" w:color="auto"/>
                <w:right w:val="none" w:sz="0" w:space="0" w:color="auto"/>
              </w:divBdr>
            </w:div>
          </w:divsChild>
        </w:div>
        <w:div w:id="1646081543">
          <w:marLeft w:val="0"/>
          <w:marRight w:val="0"/>
          <w:marTop w:val="0"/>
          <w:marBottom w:val="0"/>
          <w:divBdr>
            <w:top w:val="none" w:sz="0" w:space="0" w:color="auto"/>
            <w:left w:val="none" w:sz="0" w:space="0" w:color="auto"/>
            <w:bottom w:val="none" w:sz="0" w:space="0" w:color="auto"/>
            <w:right w:val="none" w:sz="0" w:space="0" w:color="auto"/>
          </w:divBdr>
          <w:divsChild>
            <w:div w:id="1057315562">
              <w:marLeft w:val="0"/>
              <w:marRight w:val="0"/>
              <w:marTop w:val="0"/>
              <w:marBottom w:val="0"/>
              <w:divBdr>
                <w:top w:val="none" w:sz="0" w:space="0" w:color="auto"/>
                <w:left w:val="none" w:sz="0" w:space="0" w:color="auto"/>
                <w:bottom w:val="none" w:sz="0" w:space="0" w:color="auto"/>
                <w:right w:val="none" w:sz="0" w:space="0" w:color="auto"/>
              </w:divBdr>
            </w:div>
          </w:divsChild>
        </w:div>
        <w:div w:id="1660692737">
          <w:marLeft w:val="0"/>
          <w:marRight w:val="0"/>
          <w:marTop w:val="0"/>
          <w:marBottom w:val="0"/>
          <w:divBdr>
            <w:top w:val="none" w:sz="0" w:space="0" w:color="auto"/>
            <w:left w:val="none" w:sz="0" w:space="0" w:color="auto"/>
            <w:bottom w:val="none" w:sz="0" w:space="0" w:color="auto"/>
            <w:right w:val="none" w:sz="0" w:space="0" w:color="auto"/>
          </w:divBdr>
          <w:divsChild>
            <w:div w:id="694115530">
              <w:marLeft w:val="0"/>
              <w:marRight w:val="0"/>
              <w:marTop w:val="0"/>
              <w:marBottom w:val="0"/>
              <w:divBdr>
                <w:top w:val="none" w:sz="0" w:space="0" w:color="auto"/>
                <w:left w:val="none" w:sz="0" w:space="0" w:color="auto"/>
                <w:bottom w:val="none" w:sz="0" w:space="0" w:color="auto"/>
                <w:right w:val="none" w:sz="0" w:space="0" w:color="auto"/>
              </w:divBdr>
            </w:div>
          </w:divsChild>
        </w:div>
        <w:div w:id="1701083389">
          <w:marLeft w:val="0"/>
          <w:marRight w:val="0"/>
          <w:marTop w:val="0"/>
          <w:marBottom w:val="0"/>
          <w:divBdr>
            <w:top w:val="none" w:sz="0" w:space="0" w:color="auto"/>
            <w:left w:val="none" w:sz="0" w:space="0" w:color="auto"/>
            <w:bottom w:val="none" w:sz="0" w:space="0" w:color="auto"/>
            <w:right w:val="none" w:sz="0" w:space="0" w:color="auto"/>
          </w:divBdr>
          <w:divsChild>
            <w:div w:id="867765218">
              <w:marLeft w:val="0"/>
              <w:marRight w:val="0"/>
              <w:marTop w:val="0"/>
              <w:marBottom w:val="0"/>
              <w:divBdr>
                <w:top w:val="none" w:sz="0" w:space="0" w:color="auto"/>
                <w:left w:val="none" w:sz="0" w:space="0" w:color="auto"/>
                <w:bottom w:val="none" w:sz="0" w:space="0" w:color="auto"/>
                <w:right w:val="none" w:sz="0" w:space="0" w:color="auto"/>
              </w:divBdr>
            </w:div>
          </w:divsChild>
        </w:div>
        <w:div w:id="1771047789">
          <w:marLeft w:val="0"/>
          <w:marRight w:val="0"/>
          <w:marTop w:val="0"/>
          <w:marBottom w:val="0"/>
          <w:divBdr>
            <w:top w:val="none" w:sz="0" w:space="0" w:color="auto"/>
            <w:left w:val="none" w:sz="0" w:space="0" w:color="auto"/>
            <w:bottom w:val="none" w:sz="0" w:space="0" w:color="auto"/>
            <w:right w:val="none" w:sz="0" w:space="0" w:color="auto"/>
          </w:divBdr>
          <w:divsChild>
            <w:div w:id="125858827">
              <w:marLeft w:val="0"/>
              <w:marRight w:val="0"/>
              <w:marTop w:val="0"/>
              <w:marBottom w:val="0"/>
              <w:divBdr>
                <w:top w:val="none" w:sz="0" w:space="0" w:color="auto"/>
                <w:left w:val="none" w:sz="0" w:space="0" w:color="auto"/>
                <w:bottom w:val="none" w:sz="0" w:space="0" w:color="auto"/>
                <w:right w:val="none" w:sz="0" w:space="0" w:color="auto"/>
              </w:divBdr>
            </w:div>
          </w:divsChild>
        </w:div>
        <w:div w:id="1776439027">
          <w:marLeft w:val="0"/>
          <w:marRight w:val="0"/>
          <w:marTop w:val="0"/>
          <w:marBottom w:val="0"/>
          <w:divBdr>
            <w:top w:val="none" w:sz="0" w:space="0" w:color="auto"/>
            <w:left w:val="none" w:sz="0" w:space="0" w:color="auto"/>
            <w:bottom w:val="none" w:sz="0" w:space="0" w:color="auto"/>
            <w:right w:val="none" w:sz="0" w:space="0" w:color="auto"/>
          </w:divBdr>
          <w:divsChild>
            <w:div w:id="1856116407">
              <w:marLeft w:val="0"/>
              <w:marRight w:val="0"/>
              <w:marTop w:val="0"/>
              <w:marBottom w:val="0"/>
              <w:divBdr>
                <w:top w:val="none" w:sz="0" w:space="0" w:color="auto"/>
                <w:left w:val="none" w:sz="0" w:space="0" w:color="auto"/>
                <w:bottom w:val="none" w:sz="0" w:space="0" w:color="auto"/>
                <w:right w:val="none" w:sz="0" w:space="0" w:color="auto"/>
              </w:divBdr>
            </w:div>
          </w:divsChild>
        </w:div>
        <w:div w:id="1781682772">
          <w:marLeft w:val="0"/>
          <w:marRight w:val="0"/>
          <w:marTop w:val="0"/>
          <w:marBottom w:val="0"/>
          <w:divBdr>
            <w:top w:val="none" w:sz="0" w:space="0" w:color="auto"/>
            <w:left w:val="none" w:sz="0" w:space="0" w:color="auto"/>
            <w:bottom w:val="none" w:sz="0" w:space="0" w:color="auto"/>
            <w:right w:val="none" w:sz="0" w:space="0" w:color="auto"/>
          </w:divBdr>
          <w:divsChild>
            <w:div w:id="557908217">
              <w:marLeft w:val="0"/>
              <w:marRight w:val="0"/>
              <w:marTop w:val="0"/>
              <w:marBottom w:val="0"/>
              <w:divBdr>
                <w:top w:val="none" w:sz="0" w:space="0" w:color="auto"/>
                <w:left w:val="none" w:sz="0" w:space="0" w:color="auto"/>
                <w:bottom w:val="none" w:sz="0" w:space="0" w:color="auto"/>
                <w:right w:val="none" w:sz="0" w:space="0" w:color="auto"/>
              </w:divBdr>
            </w:div>
          </w:divsChild>
        </w:div>
        <w:div w:id="1792364062">
          <w:marLeft w:val="0"/>
          <w:marRight w:val="0"/>
          <w:marTop w:val="0"/>
          <w:marBottom w:val="0"/>
          <w:divBdr>
            <w:top w:val="none" w:sz="0" w:space="0" w:color="auto"/>
            <w:left w:val="none" w:sz="0" w:space="0" w:color="auto"/>
            <w:bottom w:val="none" w:sz="0" w:space="0" w:color="auto"/>
            <w:right w:val="none" w:sz="0" w:space="0" w:color="auto"/>
          </w:divBdr>
          <w:divsChild>
            <w:div w:id="1942838718">
              <w:marLeft w:val="0"/>
              <w:marRight w:val="0"/>
              <w:marTop w:val="0"/>
              <w:marBottom w:val="0"/>
              <w:divBdr>
                <w:top w:val="none" w:sz="0" w:space="0" w:color="auto"/>
                <w:left w:val="none" w:sz="0" w:space="0" w:color="auto"/>
                <w:bottom w:val="none" w:sz="0" w:space="0" w:color="auto"/>
                <w:right w:val="none" w:sz="0" w:space="0" w:color="auto"/>
              </w:divBdr>
            </w:div>
          </w:divsChild>
        </w:div>
        <w:div w:id="1799562774">
          <w:marLeft w:val="0"/>
          <w:marRight w:val="0"/>
          <w:marTop w:val="0"/>
          <w:marBottom w:val="0"/>
          <w:divBdr>
            <w:top w:val="none" w:sz="0" w:space="0" w:color="auto"/>
            <w:left w:val="none" w:sz="0" w:space="0" w:color="auto"/>
            <w:bottom w:val="none" w:sz="0" w:space="0" w:color="auto"/>
            <w:right w:val="none" w:sz="0" w:space="0" w:color="auto"/>
          </w:divBdr>
          <w:divsChild>
            <w:div w:id="820198697">
              <w:marLeft w:val="0"/>
              <w:marRight w:val="0"/>
              <w:marTop w:val="0"/>
              <w:marBottom w:val="0"/>
              <w:divBdr>
                <w:top w:val="none" w:sz="0" w:space="0" w:color="auto"/>
                <w:left w:val="none" w:sz="0" w:space="0" w:color="auto"/>
                <w:bottom w:val="none" w:sz="0" w:space="0" w:color="auto"/>
                <w:right w:val="none" w:sz="0" w:space="0" w:color="auto"/>
              </w:divBdr>
            </w:div>
          </w:divsChild>
        </w:div>
        <w:div w:id="1858929386">
          <w:marLeft w:val="0"/>
          <w:marRight w:val="0"/>
          <w:marTop w:val="0"/>
          <w:marBottom w:val="0"/>
          <w:divBdr>
            <w:top w:val="none" w:sz="0" w:space="0" w:color="auto"/>
            <w:left w:val="none" w:sz="0" w:space="0" w:color="auto"/>
            <w:bottom w:val="none" w:sz="0" w:space="0" w:color="auto"/>
            <w:right w:val="none" w:sz="0" w:space="0" w:color="auto"/>
          </w:divBdr>
          <w:divsChild>
            <w:div w:id="1204714808">
              <w:marLeft w:val="0"/>
              <w:marRight w:val="0"/>
              <w:marTop w:val="0"/>
              <w:marBottom w:val="0"/>
              <w:divBdr>
                <w:top w:val="none" w:sz="0" w:space="0" w:color="auto"/>
                <w:left w:val="none" w:sz="0" w:space="0" w:color="auto"/>
                <w:bottom w:val="none" w:sz="0" w:space="0" w:color="auto"/>
                <w:right w:val="none" w:sz="0" w:space="0" w:color="auto"/>
              </w:divBdr>
            </w:div>
          </w:divsChild>
        </w:div>
        <w:div w:id="1870869802">
          <w:marLeft w:val="0"/>
          <w:marRight w:val="0"/>
          <w:marTop w:val="0"/>
          <w:marBottom w:val="0"/>
          <w:divBdr>
            <w:top w:val="none" w:sz="0" w:space="0" w:color="auto"/>
            <w:left w:val="none" w:sz="0" w:space="0" w:color="auto"/>
            <w:bottom w:val="none" w:sz="0" w:space="0" w:color="auto"/>
            <w:right w:val="none" w:sz="0" w:space="0" w:color="auto"/>
          </w:divBdr>
          <w:divsChild>
            <w:div w:id="366107567">
              <w:marLeft w:val="0"/>
              <w:marRight w:val="0"/>
              <w:marTop w:val="0"/>
              <w:marBottom w:val="0"/>
              <w:divBdr>
                <w:top w:val="none" w:sz="0" w:space="0" w:color="auto"/>
                <w:left w:val="none" w:sz="0" w:space="0" w:color="auto"/>
                <w:bottom w:val="none" w:sz="0" w:space="0" w:color="auto"/>
                <w:right w:val="none" w:sz="0" w:space="0" w:color="auto"/>
              </w:divBdr>
            </w:div>
          </w:divsChild>
        </w:div>
        <w:div w:id="1900240100">
          <w:marLeft w:val="0"/>
          <w:marRight w:val="0"/>
          <w:marTop w:val="0"/>
          <w:marBottom w:val="0"/>
          <w:divBdr>
            <w:top w:val="none" w:sz="0" w:space="0" w:color="auto"/>
            <w:left w:val="none" w:sz="0" w:space="0" w:color="auto"/>
            <w:bottom w:val="none" w:sz="0" w:space="0" w:color="auto"/>
            <w:right w:val="none" w:sz="0" w:space="0" w:color="auto"/>
          </w:divBdr>
          <w:divsChild>
            <w:div w:id="1566451584">
              <w:marLeft w:val="0"/>
              <w:marRight w:val="0"/>
              <w:marTop w:val="0"/>
              <w:marBottom w:val="0"/>
              <w:divBdr>
                <w:top w:val="none" w:sz="0" w:space="0" w:color="auto"/>
                <w:left w:val="none" w:sz="0" w:space="0" w:color="auto"/>
                <w:bottom w:val="none" w:sz="0" w:space="0" w:color="auto"/>
                <w:right w:val="none" w:sz="0" w:space="0" w:color="auto"/>
              </w:divBdr>
            </w:div>
          </w:divsChild>
        </w:div>
        <w:div w:id="1952739963">
          <w:marLeft w:val="0"/>
          <w:marRight w:val="0"/>
          <w:marTop w:val="0"/>
          <w:marBottom w:val="0"/>
          <w:divBdr>
            <w:top w:val="none" w:sz="0" w:space="0" w:color="auto"/>
            <w:left w:val="none" w:sz="0" w:space="0" w:color="auto"/>
            <w:bottom w:val="none" w:sz="0" w:space="0" w:color="auto"/>
            <w:right w:val="none" w:sz="0" w:space="0" w:color="auto"/>
          </w:divBdr>
          <w:divsChild>
            <w:div w:id="1715693735">
              <w:marLeft w:val="0"/>
              <w:marRight w:val="0"/>
              <w:marTop w:val="0"/>
              <w:marBottom w:val="0"/>
              <w:divBdr>
                <w:top w:val="none" w:sz="0" w:space="0" w:color="auto"/>
                <w:left w:val="none" w:sz="0" w:space="0" w:color="auto"/>
                <w:bottom w:val="none" w:sz="0" w:space="0" w:color="auto"/>
                <w:right w:val="none" w:sz="0" w:space="0" w:color="auto"/>
              </w:divBdr>
            </w:div>
          </w:divsChild>
        </w:div>
        <w:div w:id="1954818713">
          <w:marLeft w:val="0"/>
          <w:marRight w:val="0"/>
          <w:marTop w:val="0"/>
          <w:marBottom w:val="0"/>
          <w:divBdr>
            <w:top w:val="none" w:sz="0" w:space="0" w:color="auto"/>
            <w:left w:val="none" w:sz="0" w:space="0" w:color="auto"/>
            <w:bottom w:val="none" w:sz="0" w:space="0" w:color="auto"/>
            <w:right w:val="none" w:sz="0" w:space="0" w:color="auto"/>
          </w:divBdr>
          <w:divsChild>
            <w:div w:id="897130588">
              <w:marLeft w:val="0"/>
              <w:marRight w:val="0"/>
              <w:marTop w:val="0"/>
              <w:marBottom w:val="0"/>
              <w:divBdr>
                <w:top w:val="none" w:sz="0" w:space="0" w:color="auto"/>
                <w:left w:val="none" w:sz="0" w:space="0" w:color="auto"/>
                <w:bottom w:val="none" w:sz="0" w:space="0" w:color="auto"/>
                <w:right w:val="none" w:sz="0" w:space="0" w:color="auto"/>
              </w:divBdr>
            </w:div>
          </w:divsChild>
        </w:div>
        <w:div w:id="2007130694">
          <w:marLeft w:val="0"/>
          <w:marRight w:val="0"/>
          <w:marTop w:val="0"/>
          <w:marBottom w:val="0"/>
          <w:divBdr>
            <w:top w:val="none" w:sz="0" w:space="0" w:color="auto"/>
            <w:left w:val="none" w:sz="0" w:space="0" w:color="auto"/>
            <w:bottom w:val="none" w:sz="0" w:space="0" w:color="auto"/>
            <w:right w:val="none" w:sz="0" w:space="0" w:color="auto"/>
          </w:divBdr>
          <w:divsChild>
            <w:div w:id="1819415610">
              <w:marLeft w:val="0"/>
              <w:marRight w:val="0"/>
              <w:marTop w:val="0"/>
              <w:marBottom w:val="0"/>
              <w:divBdr>
                <w:top w:val="none" w:sz="0" w:space="0" w:color="auto"/>
                <w:left w:val="none" w:sz="0" w:space="0" w:color="auto"/>
                <w:bottom w:val="none" w:sz="0" w:space="0" w:color="auto"/>
                <w:right w:val="none" w:sz="0" w:space="0" w:color="auto"/>
              </w:divBdr>
            </w:div>
          </w:divsChild>
        </w:div>
        <w:div w:id="2013993724">
          <w:marLeft w:val="0"/>
          <w:marRight w:val="0"/>
          <w:marTop w:val="0"/>
          <w:marBottom w:val="0"/>
          <w:divBdr>
            <w:top w:val="none" w:sz="0" w:space="0" w:color="auto"/>
            <w:left w:val="none" w:sz="0" w:space="0" w:color="auto"/>
            <w:bottom w:val="none" w:sz="0" w:space="0" w:color="auto"/>
            <w:right w:val="none" w:sz="0" w:space="0" w:color="auto"/>
          </w:divBdr>
          <w:divsChild>
            <w:div w:id="413866522">
              <w:marLeft w:val="0"/>
              <w:marRight w:val="0"/>
              <w:marTop w:val="0"/>
              <w:marBottom w:val="0"/>
              <w:divBdr>
                <w:top w:val="none" w:sz="0" w:space="0" w:color="auto"/>
                <w:left w:val="none" w:sz="0" w:space="0" w:color="auto"/>
                <w:bottom w:val="none" w:sz="0" w:space="0" w:color="auto"/>
                <w:right w:val="none" w:sz="0" w:space="0" w:color="auto"/>
              </w:divBdr>
            </w:div>
          </w:divsChild>
        </w:div>
        <w:div w:id="2014722113">
          <w:marLeft w:val="0"/>
          <w:marRight w:val="0"/>
          <w:marTop w:val="0"/>
          <w:marBottom w:val="0"/>
          <w:divBdr>
            <w:top w:val="none" w:sz="0" w:space="0" w:color="auto"/>
            <w:left w:val="none" w:sz="0" w:space="0" w:color="auto"/>
            <w:bottom w:val="none" w:sz="0" w:space="0" w:color="auto"/>
            <w:right w:val="none" w:sz="0" w:space="0" w:color="auto"/>
          </w:divBdr>
          <w:divsChild>
            <w:div w:id="557934726">
              <w:marLeft w:val="0"/>
              <w:marRight w:val="0"/>
              <w:marTop w:val="0"/>
              <w:marBottom w:val="0"/>
              <w:divBdr>
                <w:top w:val="none" w:sz="0" w:space="0" w:color="auto"/>
                <w:left w:val="none" w:sz="0" w:space="0" w:color="auto"/>
                <w:bottom w:val="none" w:sz="0" w:space="0" w:color="auto"/>
                <w:right w:val="none" w:sz="0" w:space="0" w:color="auto"/>
              </w:divBdr>
            </w:div>
          </w:divsChild>
        </w:div>
        <w:div w:id="2022580226">
          <w:marLeft w:val="0"/>
          <w:marRight w:val="0"/>
          <w:marTop w:val="0"/>
          <w:marBottom w:val="0"/>
          <w:divBdr>
            <w:top w:val="none" w:sz="0" w:space="0" w:color="auto"/>
            <w:left w:val="none" w:sz="0" w:space="0" w:color="auto"/>
            <w:bottom w:val="none" w:sz="0" w:space="0" w:color="auto"/>
            <w:right w:val="none" w:sz="0" w:space="0" w:color="auto"/>
          </w:divBdr>
          <w:divsChild>
            <w:div w:id="1320886527">
              <w:marLeft w:val="0"/>
              <w:marRight w:val="0"/>
              <w:marTop w:val="0"/>
              <w:marBottom w:val="0"/>
              <w:divBdr>
                <w:top w:val="none" w:sz="0" w:space="0" w:color="auto"/>
                <w:left w:val="none" w:sz="0" w:space="0" w:color="auto"/>
                <w:bottom w:val="none" w:sz="0" w:space="0" w:color="auto"/>
                <w:right w:val="none" w:sz="0" w:space="0" w:color="auto"/>
              </w:divBdr>
            </w:div>
          </w:divsChild>
        </w:div>
        <w:div w:id="2044551482">
          <w:marLeft w:val="0"/>
          <w:marRight w:val="0"/>
          <w:marTop w:val="0"/>
          <w:marBottom w:val="0"/>
          <w:divBdr>
            <w:top w:val="none" w:sz="0" w:space="0" w:color="auto"/>
            <w:left w:val="none" w:sz="0" w:space="0" w:color="auto"/>
            <w:bottom w:val="none" w:sz="0" w:space="0" w:color="auto"/>
            <w:right w:val="none" w:sz="0" w:space="0" w:color="auto"/>
          </w:divBdr>
          <w:divsChild>
            <w:div w:id="745148710">
              <w:marLeft w:val="0"/>
              <w:marRight w:val="0"/>
              <w:marTop w:val="0"/>
              <w:marBottom w:val="0"/>
              <w:divBdr>
                <w:top w:val="none" w:sz="0" w:space="0" w:color="auto"/>
                <w:left w:val="none" w:sz="0" w:space="0" w:color="auto"/>
                <w:bottom w:val="none" w:sz="0" w:space="0" w:color="auto"/>
                <w:right w:val="none" w:sz="0" w:space="0" w:color="auto"/>
              </w:divBdr>
            </w:div>
          </w:divsChild>
        </w:div>
        <w:div w:id="2054231012">
          <w:marLeft w:val="0"/>
          <w:marRight w:val="0"/>
          <w:marTop w:val="0"/>
          <w:marBottom w:val="0"/>
          <w:divBdr>
            <w:top w:val="none" w:sz="0" w:space="0" w:color="auto"/>
            <w:left w:val="none" w:sz="0" w:space="0" w:color="auto"/>
            <w:bottom w:val="none" w:sz="0" w:space="0" w:color="auto"/>
            <w:right w:val="none" w:sz="0" w:space="0" w:color="auto"/>
          </w:divBdr>
          <w:divsChild>
            <w:div w:id="201939387">
              <w:marLeft w:val="0"/>
              <w:marRight w:val="0"/>
              <w:marTop w:val="0"/>
              <w:marBottom w:val="0"/>
              <w:divBdr>
                <w:top w:val="none" w:sz="0" w:space="0" w:color="auto"/>
                <w:left w:val="none" w:sz="0" w:space="0" w:color="auto"/>
                <w:bottom w:val="none" w:sz="0" w:space="0" w:color="auto"/>
                <w:right w:val="none" w:sz="0" w:space="0" w:color="auto"/>
              </w:divBdr>
            </w:div>
          </w:divsChild>
        </w:div>
        <w:div w:id="2075003674">
          <w:marLeft w:val="0"/>
          <w:marRight w:val="0"/>
          <w:marTop w:val="0"/>
          <w:marBottom w:val="0"/>
          <w:divBdr>
            <w:top w:val="none" w:sz="0" w:space="0" w:color="auto"/>
            <w:left w:val="none" w:sz="0" w:space="0" w:color="auto"/>
            <w:bottom w:val="none" w:sz="0" w:space="0" w:color="auto"/>
            <w:right w:val="none" w:sz="0" w:space="0" w:color="auto"/>
          </w:divBdr>
          <w:divsChild>
            <w:div w:id="2116628496">
              <w:marLeft w:val="0"/>
              <w:marRight w:val="0"/>
              <w:marTop w:val="0"/>
              <w:marBottom w:val="0"/>
              <w:divBdr>
                <w:top w:val="none" w:sz="0" w:space="0" w:color="auto"/>
                <w:left w:val="none" w:sz="0" w:space="0" w:color="auto"/>
                <w:bottom w:val="none" w:sz="0" w:space="0" w:color="auto"/>
                <w:right w:val="none" w:sz="0" w:space="0" w:color="auto"/>
              </w:divBdr>
            </w:div>
          </w:divsChild>
        </w:div>
        <w:div w:id="2086881263">
          <w:marLeft w:val="0"/>
          <w:marRight w:val="0"/>
          <w:marTop w:val="0"/>
          <w:marBottom w:val="0"/>
          <w:divBdr>
            <w:top w:val="none" w:sz="0" w:space="0" w:color="auto"/>
            <w:left w:val="none" w:sz="0" w:space="0" w:color="auto"/>
            <w:bottom w:val="none" w:sz="0" w:space="0" w:color="auto"/>
            <w:right w:val="none" w:sz="0" w:space="0" w:color="auto"/>
          </w:divBdr>
          <w:divsChild>
            <w:div w:id="447241479">
              <w:marLeft w:val="0"/>
              <w:marRight w:val="0"/>
              <w:marTop w:val="0"/>
              <w:marBottom w:val="0"/>
              <w:divBdr>
                <w:top w:val="none" w:sz="0" w:space="0" w:color="auto"/>
                <w:left w:val="none" w:sz="0" w:space="0" w:color="auto"/>
                <w:bottom w:val="none" w:sz="0" w:space="0" w:color="auto"/>
                <w:right w:val="none" w:sz="0" w:space="0" w:color="auto"/>
              </w:divBdr>
            </w:div>
          </w:divsChild>
        </w:div>
        <w:div w:id="2100178481">
          <w:marLeft w:val="0"/>
          <w:marRight w:val="0"/>
          <w:marTop w:val="0"/>
          <w:marBottom w:val="0"/>
          <w:divBdr>
            <w:top w:val="none" w:sz="0" w:space="0" w:color="auto"/>
            <w:left w:val="none" w:sz="0" w:space="0" w:color="auto"/>
            <w:bottom w:val="none" w:sz="0" w:space="0" w:color="auto"/>
            <w:right w:val="none" w:sz="0" w:space="0" w:color="auto"/>
          </w:divBdr>
          <w:divsChild>
            <w:div w:id="1344818141">
              <w:marLeft w:val="0"/>
              <w:marRight w:val="0"/>
              <w:marTop w:val="0"/>
              <w:marBottom w:val="0"/>
              <w:divBdr>
                <w:top w:val="none" w:sz="0" w:space="0" w:color="auto"/>
                <w:left w:val="none" w:sz="0" w:space="0" w:color="auto"/>
                <w:bottom w:val="none" w:sz="0" w:space="0" w:color="auto"/>
                <w:right w:val="none" w:sz="0" w:space="0" w:color="auto"/>
              </w:divBdr>
            </w:div>
          </w:divsChild>
        </w:div>
        <w:div w:id="2124222174">
          <w:marLeft w:val="0"/>
          <w:marRight w:val="0"/>
          <w:marTop w:val="0"/>
          <w:marBottom w:val="0"/>
          <w:divBdr>
            <w:top w:val="none" w:sz="0" w:space="0" w:color="auto"/>
            <w:left w:val="none" w:sz="0" w:space="0" w:color="auto"/>
            <w:bottom w:val="none" w:sz="0" w:space="0" w:color="auto"/>
            <w:right w:val="none" w:sz="0" w:space="0" w:color="auto"/>
          </w:divBdr>
          <w:divsChild>
            <w:div w:id="40636497">
              <w:marLeft w:val="0"/>
              <w:marRight w:val="0"/>
              <w:marTop w:val="0"/>
              <w:marBottom w:val="0"/>
              <w:divBdr>
                <w:top w:val="none" w:sz="0" w:space="0" w:color="auto"/>
                <w:left w:val="none" w:sz="0" w:space="0" w:color="auto"/>
                <w:bottom w:val="none" w:sz="0" w:space="0" w:color="auto"/>
                <w:right w:val="none" w:sz="0" w:space="0" w:color="auto"/>
              </w:divBdr>
            </w:div>
          </w:divsChild>
        </w:div>
        <w:div w:id="2124961768">
          <w:marLeft w:val="0"/>
          <w:marRight w:val="0"/>
          <w:marTop w:val="0"/>
          <w:marBottom w:val="0"/>
          <w:divBdr>
            <w:top w:val="none" w:sz="0" w:space="0" w:color="auto"/>
            <w:left w:val="none" w:sz="0" w:space="0" w:color="auto"/>
            <w:bottom w:val="none" w:sz="0" w:space="0" w:color="auto"/>
            <w:right w:val="none" w:sz="0" w:space="0" w:color="auto"/>
          </w:divBdr>
          <w:divsChild>
            <w:div w:id="1968117718">
              <w:marLeft w:val="0"/>
              <w:marRight w:val="0"/>
              <w:marTop w:val="0"/>
              <w:marBottom w:val="0"/>
              <w:divBdr>
                <w:top w:val="none" w:sz="0" w:space="0" w:color="auto"/>
                <w:left w:val="none" w:sz="0" w:space="0" w:color="auto"/>
                <w:bottom w:val="none" w:sz="0" w:space="0" w:color="auto"/>
                <w:right w:val="none" w:sz="0" w:space="0" w:color="auto"/>
              </w:divBdr>
            </w:div>
          </w:divsChild>
        </w:div>
        <w:div w:id="2125029915">
          <w:marLeft w:val="0"/>
          <w:marRight w:val="0"/>
          <w:marTop w:val="0"/>
          <w:marBottom w:val="0"/>
          <w:divBdr>
            <w:top w:val="none" w:sz="0" w:space="0" w:color="auto"/>
            <w:left w:val="none" w:sz="0" w:space="0" w:color="auto"/>
            <w:bottom w:val="none" w:sz="0" w:space="0" w:color="auto"/>
            <w:right w:val="none" w:sz="0" w:space="0" w:color="auto"/>
          </w:divBdr>
          <w:divsChild>
            <w:div w:id="2121756122">
              <w:marLeft w:val="0"/>
              <w:marRight w:val="0"/>
              <w:marTop w:val="0"/>
              <w:marBottom w:val="0"/>
              <w:divBdr>
                <w:top w:val="none" w:sz="0" w:space="0" w:color="auto"/>
                <w:left w:val="none" w:sz="0" w:space="0" w:color="auto"/>
                <w:bottom w:val="none" w:sz="0" w:space="0" w:color="auto"/>
                <w:right w:val="none" w:sz="0" w:space="0" w:color="auto"/>
              </w:divBdr>
            </w:div>
          </w:divsChild>
        </w:div>
        <w:div w:id="2130195740">
          <w:marLeft w:val="0"/>
          <w:marRight w:val="0"/>
          <w:marTop w:val="0"/>
          <w:marBottom w:val="0"/>
          <w:divBdr>
            <w:top w:val="none" w:sz="0" w:space="0" w:color="auto"/>
            <w:left w:val="none" w:sz="0" w:space="0" w:color="auto"/>
            <w:bottom w:val="none" w:sz="0" w:space="0" w:color="auto"/>
            <w:right w:val="none" w:sz="0" w:space="0" w:color="auto"/>
          </w:divBdr>
          <w:divsChild>
            <w:div w:id="14924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68930">
      <w:bodyDiv w:val="1"/>
      <w:marLeft w:val="0"/>
      <w:marRight w:val="0"/>
      <w:marTop w:val="0"/>
      <w:marBottom w:val="0"/>
      <w:divBdr>
        <w:top w:val="none" w:sz="0" w:space="0" w:color="auto"/>
        <w:left w:val="none" w:sz="0" w:space="0" w:color="auto"/>
        <w:bottom w:val="none" w:sz="0" w:space="0" w:color="auto"/>
        <w:right w:val="none" w:sz="0" w:space="0" w:color="auto"/>
      </w:divBdr>
    </w:div>
    <w:div w:id="455876796">
      <w:bodyDiv w:val="1"/>
      <w:marLeft w:val="0"/>
      <w:marRight w:val="0"/>
      <w:marTop w:val="0"/>
      <w:marBottom w:val="0"/>
      <w:divBdr>
        <w:top w:val="none" w:sz="0" w:space="0" w:color="auto"/>
        <w:left w:val="none" w:sz="0" w:space="0" w:color="auto"/>
        <w:bottom w:val="none" w:sz="0" w:space="0" w:color="auto"/>
        <w:right w:val="none" w:sz="0" w:space="0" w:color="auto"/>
      </w:divBdr>
    </w:div>
    <w:div w:id="467087166">
      <w:bodyDiv w:val="1"/>
      <w:marLeft w:val="0"/>
      <w:marRight w:val="0"/>
      <w:marTop w:val="0"/>
      <w:marBottom w:val="0"/>
      <w:divBdr>
        <w:top w:val="none" w:sz="0" w:space="0" w:color="auto"/>
        <w:left w:val="none" w:sz="0" w:space="0" w:color="auto"/>
        <w:bottom w:val="none" w:sz="0" w:space="0" w:color="auto"/>
        <w:right w:val="none" w:sz="0" w:space="0" w:color="auto"/>
      </w:divBdr>
    </w:div>
    <w:div w:id="513615043">
      <w:bodyDiv w:val="1"/>
      <w:marLeft w:val="0"/>
      <w:marRight w:val="0"/>
      <w:marTop w:val="0"/>
      <w:marBottom w:val="0"/>
      <w:divBdr>
        <w:top w:val="none" w:sz="0" w:space="0" w:color="auto"/>
        <w:left w:val="none" w:sz="0" w:space="0" w:color="auto"/>
        <w:bottom w:val="none" w:sz="0" w:space="0" w:color="auto"/>
        <w:right w:val="none" w:sz="0" w:space="0" w:color="auto"/>
      </w:divBdr>
    </w:div>
    <w:div w:id="517239320">
      <w:bodyDiv w:val="1"/>
      <w:marLeft w:val="0"/>
      <w:marRight w:val="0"/>
      <w:marTop w:val="0"/>
      <w:marBottom w:val="0"/>
      <w:divBdr>
        <w:top w:val="none" w:sz="0" w:space="0" w:color="auto"/>
        <w:left w:val="none" w:sz="0" w:space="0" w:color="auto"/>
        <w:bottom w:val="none" w:sz="0" w:space="0" w:color="auto"/>
        <w:right w:val="none" w:sz="0" w:space="0" w:color="auto"/>
      </w:divBdr>
    </w:div>
    <w:div w:id="531187691">
      <w:bodyDiv w:val="1"/>
      <w:marLeft w:val="0"/>
      <w:marRight w:val="0"/>
      <w:marTop w:val="0"/>
      <w:marBottom w:val="0"/>
      <w:divBdr>
        <w:top w:val="none" w:sz="0" w:space="0" w:color="auto"/>
        <w:left w:val="none" w:sz="0" w:space="0" w:color="auto"/>
        <w:bottom w:val="none" w:sz="0" w:space="0" w:color="auto"/>
        <w:right w:val="none" w:sz="0" w:space="0" w:color="auto"/>
      </w:divBdr>
    </w:div>
    <w:div w:id="550187912">
      <w:bodyDiv w:val="1"/>
      <w:marLeft w:val="0"/>
      <w:marRight w:val="0"/>
      <w:marTop w:val="0"/>
      <w:marBottom w:val="0"/>
      <w:divBdr>
        <w:top w:val="none" w:sz="0" w:space="0" w:color="auto"/>
        <w:left w:val="none" w:sz="0" w:space="0" w:color="auto"/>
        <w:bottom w:val="none" w:sz="0" w:space="0" w:color="auto"/>
        <w:right w:val="none" w:sz="0" w:space="0" w:color="auto"/>
      </w:divBdr>
    </w:div>
    <w:div w:id="557211319">
      <w:bodyDiv w:val="1"/>
      <w:marLeft w:val="0"/>
      <w:marRight w:val="0"/>
      <w:marTop w:val="0"/>
      <w:marBottom w:val="0"/>
      <w:divBdr>
        <w:top w:val="none" w:sz="0" w:space="0" w:color="auto"/>
        <w:left w:val="none" w:sz="0" w:space="0" w:color="auto"/>
        <w:bottom w:val="none" w:sz="0" w:space="0" w:color="auto"/>
        <w:right w:val="none" w:sz="0" w:space="0" w:color="auto"/>
      </w:divBdr>
    </w:div>
    <w:div w:id="558782802">
      <w:bodyDiv w:val="1"/>
      <w:marLeft w:val="0"/>
      <w:marRight w:val="0"/>
      <w:marTop w:val="0"/>
      <w:marBottom w:val="0"/>
      <w:divBdr>
        <w:top w:val="none" w:sz="0" w:space="0" w:color="auto"/>
        <w:left w:val="none" w:sz="0" w:space="0" w:color="auto"/>
        <w:bottom w:val="none" w:sz="0" w:space="0" w:color="auto"/>
        <w:right w:val="none" w:sz="0" w:space="0" w:color="auto"/>
      </w:divBdr>
    </w:div>
    <w:div w:id="567611987">
      <w:bodyDiv w:val="1"/>
      <w:marLeft w:val="0"/>
      <w:marRight w:val="0"/>
      <w:marTop w:val="0"/>
      <w:marBottom w:val="0"/>
      <w:divBdr>
        <w:top w:val="none" w:sz="0" w:space="0" w:color="auto"/>
        <w:left w:val="none" w:sz="0" w:space="0" w:color="auto"/>
        <w:bottom w:val="none" w:sz="0" w:space="0" w:color="auto"/>
        <w:right w:val="none" w:sz="0" w:space="0" w:color="auto"/>
      </w:divBdr>
    </w:div>
    <w:div w:id="581062255">
      <w:bodyDiv w:val="1"/>
      <w:marLeft w:val="0"/>
      <w:marRight w:val="0"/>
      <w:marTop w:val="0"/>
      <w:marBottom w:val="0"/>
      <w:divBdr>
        <w:top w:val="none" w:sz="0" w:space="0" w:color="auto"/>
        <w:left w:val="none" w:sz="0" w:space="0" w:color="auto"/>
        <w:bottom w:val="none" w:sz="0" w:space="0" w:color="auto"/>
        <w:right w:val="none" w:sz="0" w:space="0" w:color="auto"/>
      </w:divBdr>
    </w:div>
    <w:div w:id="618805448">
      <w:bodyDiv w:val="1"/>
      <w:marLeft w:val="0"/>
      <w:marRight w:val="0"/>
      <w:marTop w:val="0"/>
      <w:marBottom w:val="0"/>
      <w:divBdr>
        <w:top w:val="none" w:sz="0" w:space="0" w:color="auto"/>
        <w:left w:val="none" w:sz="0" w:space="0" w:color="auto"/>
        <w:bottom w:val="none" w:sz="0" w:space="0" w:color="auto"/>
        <w:right w:val="none" w:sz="0" w:space="0" w:color="auto"/>
      </w:divBdr>
    </w:div>
    <w:div w:id="636035141">
      <w:bodyDiv w:val="1"/>
      <w:marLeft w:val="0"/>
      <w:marRight w:val="0"/>
      <w:marTop w:val="0"/>
      <w:marBottom w:val="0"/>
      <w:divBdr>
        <w:top w:val="none" w:sz="0" w:space="0" w:color="auto"/>
        <w:left w:val="none" w:sz="0" w:space="0" w:color="auto"/>
        <w:bottom w:val="none" w:sz="0" w:space="0" w:color="auto"/>
        <w:right w:val="none" w:sz="0" w:space="0" w:color="auto"/>
      </w:divBdr>
      <w:divsChild>
        <w:div w:id="77561328">
          <w:marLeft w:val="0"/>
          <w:marRight w:val="0"/>
          <w:marTop w:val="0"/>
          <w:marBottom w:val="0"/>
          <w:divBdr>
            <w:top w:val="none" w:sz="0" w:space="0" w:color="auto"/>
            <w:left w:val="none" w:sz="0" w:space="0" w:color="auto"/>
            <w:bottom w:val="none" w:sz="0" w:space="0" w:color="auto"/>
            <w:right w:val="none" w:sz="0" w:space="0" w:color="auto"/>
          </w:divBdr>
          <w:divsChild>
            <w:div w:id="203297817">
              <w:marLeft w:val="0"/>
              <w:marRight w:val="0"/>
              <w:marTop w:val="0"/>
              <w:marBottom w:val="0"/>
              <w:divBdr>
                <w:top w:val="none" w:sz="0" w:space="0" w:color="auto"/>
                <w:left w:val="none" w:sz="0" w:space="0" w:color="auto"/>
                <w:bottom w:val="none" w:sz="0" w:space="0" w:color="auto"/>
                <w:right w:val="none" w:sz="0" w:space="0" w:color="auto"/>
              </w:divBdr>
            </w:div>
          </w:divsChild>
        </w:div>
        <w:div w:id="93022061">
          <w:marLeft w:val="0"/>
          <w:marRight w:val="0"/>
          <w:marTop w:val="0"/>
          <w:marBottom w:val="0"/>
          <w:divBdr>
            <w:top w:val="none" w:sz="0" w:space="0" w:color="auto"/>
            <w:left w:val="none" w:sz="0" w:space="0" w:color="auto"/>
            <w:bottom w:val="none" w:sz="0" w:space="0" w:color="auto"/>
            <w:right w:val="none" w:sz="0" w:space="0" w:color="auto"/>
          </w:divBdr>
          <w:divsChild>
            <w:div w:id="2123332093">
              <w:marLeft w:val="0"/>
              <w:marRight w:val="0"/>
              <w:marTop w:val="0"/>
              <w:marBottom w:val="0"/>
              <w:divBdr>
                <w:top w:val="none" w:sz="0" w:space="0" w:color="auto"/>
                <w:left w:val="none" w:sz="0" w:space="0" w:color="auto"/>
                <w:bottom w:val="none" w:sz="0" w:space="0" w:color="auto"/>
                <w:right w:val="none" w:sz="0" w:space="0" w:color="auto"/>
              </w:divBdr>
            </w:div>
          </w:divsChild>
        </w:div>
        <w:div w:id="96677447">
          <w:marLeft w:val="0"/>
          <w:marRight w:val="0"/>
          <w:marTop w:val="0"/>
          <w:marBottom w:val="0"/>
          <w:divBdr>
            <w:top w:val="none" w:sz="0" w:space="0" w:color="auto"/>
            <w:left w:val="none" w:sz="0" w:space="0" w:color="auto"/>
            <w:bottom w:val="none" w:sz="0" w:space="0" w:color="auto"/>
            <w:right w:val="none" w:sz="0" w:space="0" w:color="auto"/>
          </w:divBdr>
          <w:divsChild>
            <w:div w:id="1306620472">
              <w:marLeft w:val="0"/>
              <w:marRight w:val="0"/>
              <w:marTop w:val="0"/>
              <w:marBottom w:val="0"/>
              <w:divBdr>
                <w:top w:val="none" w:sz="0" w:space="0" w:color="auto"/>
                <w:left w:val="none" w:sz="0" w:space="0" w:color="auto"/>
                <w:bottom w:val="none" w:sz="0" w:space="0" w:color="auto"/>
                <w:right w:val="none" w:sz="0" w:space="0" w:color="auto"/>
              </w:divBdr>
            </w:div>
          </w:divsChild>
        </w:div>
        <w:div w:id="119230526">
          <w:marLeft w:val="0"/>
          <w:marRight w:val="0"/>
          <w:marTop w:val="0"/>
          <w:marBottom w:val="0"/>
          <w:divBdr>
            <w:top w:val="none" w:sz="0" w:space="0" w:color="auto"/>
            <w:left w:val="none" w:sz="0" w:space="0" w:color="auto"/>
            <w:bottom w:val="none" w:sz="0" w:space="0" w:color="auto"/>
            <w:right w:val="none" w:sz="0" w:space="0" w:color="auto"/>
          </w:divBdr>
          <w:divsChild>
            <w:div w:id="532152620">
              <w:marLeft w:val="0"/>
              <w:marRight w:val="0"/>
              <w:marTop w:val="0"/>
              <w:marBottom w:val="0"/>
              <w:divBdr>
                <w:top w:val="none" w:sz="0" w:space="0" w:color="auto"/>
                <w:left w:val="none" w:sz="0" w:space="0" w:color="auto"/>
                <w:bottom w:val="none" w:sz="0" w:space="0" w:color="auto"/>
                <w:right w:val="none" w:sz="0" w:space="0" w:color="auto"/>
              </w:divBdr>
            </w:div>
          </w:divsChild>
        </w:div>
        <w:div w:id="128406618">
          <w:marLeft w:val="0"/>
          <w:marRight w:val="0"/>
          <w:marTop w:val="0"/>
          <w:marBottom w:val="0"/>
          <w:divBdr>
            <w:top w:val="none" w:sz="0" w:space="0" w:color="auto"/>
            <w:left w:val="none" w:sz="0" w:space="0" w:color="auto"/>
            <w:bottom w:val="none" w:sz="0" w:space="0" w:color="auto"/>
            <w:right w:val="none" w:sz="0" w:space="0" w:color="auto"/>
          </w:divBdr>
          <w:divsChild>
            <w:div w:id="1082527261">
              <w:marLeft w:val="0"/>
              <w:marRight w:val="0"/>
              <w:marTop w:val="0"/>
              <w:marBottom w:val="0"/>
              <w:divBdr>
                <w:top w:val="none" w:sz="0" w:space="0" w:color="auto"/>
                <w:left w:val="none" w:sz="0" w:space="0" w:color="auto"/>
                <w:bottom w:val="none" w:sz="0" w:space="0" w:color="auto"/>
                <w:right w:val="none" w:sz="0" w:space="0" w:color="auto"/>
              </w:divBdr>
            </w:div>
          </w:divsChild>
        </w:div>
        <w:div w:id="143132511">
          <w:marLeft w:val="0"/>
          <w:marRight w:val="0"/>
          <w:marTop w:val="0"/>
          <w:marBottom w:val="0"/>
          <w:divBdr>
            <w:top w:val="none" w:sz="0" w:space="0" w:color="auto"/>
            <w:left w:val="none" w:sz="0" w:space="0" w:color="auto"/>
            <w:bottom w:val="none" w:sz="0" w:space="0" w:color="auto"/>
            <w:right w:val="none" w:sz="0" w:space="0" w:color="auto"/>
          </w:divBdr>
          <w:divsChild>
            <w:div w:id="1887909291">
              <w:marLeft w:val="0"/>
              <w:marRight w:val="0"/>
              <w:marTop w:val="0"/>
              <w:marBottom w:val="0"/>
              <w:divBdr>
                <w:top w:val="none" w:sz="0" w:space="0" w:color="auto"/>
                <w:left w:val="none" w:sz="0" w:space="0" w:color="auto"/>
                <w:bottom w:val="none" w:sz="0" w:space="0" w:color="auto"/>
                <w:right w:val="none" w:sz="0" w:space="0" w:color="auto"/>
              </w:divBdr>
            </w:div>
          </w:divsChild>
        </w:div>
        <w:div w:id="155345074">
          <w:marLeft w:val="0"/>
          <w:marRight w:val="0"/>
          <w:marTop w:val="0"/>
          <w:marBottom w:val="0"/>
          <w:divBdr>
            <w:top w:val="none" w:sz="0" w:space="0" w:color="auto"/>
            <w:left w:val="none" w:sz="0" w:space="0" w:color="auto"/>
            <w:bottom w:val="none" w:sz="0" w:space="0" w:color="auto"/>
            <w:right w:val="none" w:sz="0" w:space="0" w:color="auto"/>
          </w:divBdr>
          <w:divsChild>
            <w:div w:id="1074546256">
              <w:marLeft w:val="0"/>
              <w:marRight w:val="0"/>
              <w:marTop w:val="0"/>
              <w:marBottom w:val="0"/>
              <w:divBdr>
                <w:top w:val="none" w:sz="0" w:space="0" w:color="auto"/>
                <w:left w:val="none" w:sz="0" w:space="0" w:color="auto"/>
                <w:bottom w:val="none" w:sz="0" w:space="0" w:color="auto"/>
                <w:right w:val="none" w:sz="0" w:space="0" w:color="auto"/>
              </w:divBdr>
            </w:div>
          </w:divsChild>
        </w:div>
        <w:div w:id="189951935">
          <w:marLeft w:val="0"/>
          <w:marRight w:val="0"/>
          <w:marTop w:val="0"/>
          <w:marBottom w:val="0"/>
          <w:divBdr>
            <w:top w:val="none" w:sz="0" w:space="0" w:color="auto"/>
            <w:left w:val="none" w:sz="0" w:space="0" w:color="auto"/>
            <w:bottom w:val="none" w:sz="0" w:space="0" w:color="auto"/>
            <w:right w:val="none" w:sz="0" w:space="0" w:color="auto"/>
          </w:divBdr>
          <w:divsChild>
            <w:div w:id="1088500770">
              <w:marLeft w:val="0"/>
              <w:marRight w:val="0"/>
              <w:marTop w:val="0"/>
              <w:marBottom w:val="0"/>
              <w:divBdr>
                <w:top w:val="none" w:sz="0" w:space="0" w:color="auto"/>
                <w:left w:val="none" w:sz="0" w:space="0" w:color="auto"/>
                <w:bottom w:val="none" w:sz="0" w:space="0" w:color="auto"/>
                <w:right w:val="none" w:sz="0" w:space="0" w:color="auto"/>
              </w:divBdr>
            </w:div>
          </w:divsChild>
        </w:div>
        <w:div w:id="220987415">
          <w:marLeft w:val="0"/>
          <w:marRight w:val="0"/>
          <w:marTop w:val="0"/>
          <w:marBottom w:val="0"/>
          <w:divBdr>
            <w:top w:val="none" w:sz="0" w:space="0" w:color="auto"/>
            <w:left w:val="none" w:sz="0" w:space="0" w:color="auto"/>
            <w:bottom w:val="none" w:sz="0" w:space="0" w:color="auto"/>
            <w:right w:val="none" w:sz="0" w:space="0" w:color="auto"/>
          </w:divBdr>
          <w:divsChild>
            <w:div w:id="2000689294">
              <w:marLeft w:val="0"/>
              <w:marRight w:val="0"/>
              <w:marTop w:val="0"/>
              <w:marBottom w:val="0"/>
              <w:divBdr>
                <w:top w:val="none" w:sz="0" w:space="0" w:color="auto"/>
                <w:left w:val="none" w:sz="0" w:space="0" w:color="auto"/>
                <w:bottom w:val="none" w:sz="0" w:space="0" w:color="auto"/>
                <w:right w:val="none" w:sz="0" w:space="0" w:color="auto"/>
              </w:divBdr>
            </w:div>
          </w:divsChild>
        </w:div>
        <w:div w:id="238946870">
          <w:marLeft w:val="0"/>
          <w:marRight w:val="0"/>
          <w:marTop w:val="0"/>
          <w:marBottom w:val="0"/>
          <w:divBdr>
            <w:top w:val="none" w:sz="0" w:space="0" w:color="auto"/>
            <w:left w:val="none" w:sz="0" w:space="0" w:color="auto"/>
            <w:bottom w:val="none" w:sz="0" w:space="0" w:color="auto"/>
            <w:right w:val="none" w:sz="0" w:space="0" w:color="auto"/>
          </w:divBdr>
          <w:divsChild>
            <w:div w:id="1250428935">
              <w:marLeft w:val="0"/>
              <w:marRight w:val="0"/>
              <w:marTop w:val="0"/>
              <w:marBottom w:val="0"/>
              <w:divBdr>
                <w:top w:val="none" w:sz="0" w:space="0" w:color="auto"/>
                <w:left w:val="none" w:sz="0" w:space="0" w:color="auto"/>
                <w:bottom w:val="none" w:sz="0" w:space="0" w:color="auto"/>
                <w:right w:val="none" w:sz="0" w:space="0" w:color="auto"/>
              </w:divBdr>
            </w:div>
          </w:divsChild>
        </w:div>
        <w:div w:id="288513471">
          <w:marLeft w:val="0"/>
          <w:marRight w:val="0"/>
          <w:marTop w:val="0"/>
          <w:marBottom w:val="0"/>
          <w:divBdr>
            <w:top w:val="none" w:sz="0" w:space="0" w:color="auto"/>
            <w:left w:val="none" w:sz="0" w:space="0" w:color="auto"/>
            <w:bottom w:val="none" w:sz="0" w:space="0" w:color="auto"/>
            <w:right w:val="none" w:sz="0" w:space="0" w:color="auto"/>
          </w:divBdr>
          <w:divsChild>
            <w:div w:id="1169180397">
              <w:marLeft w:val="0"/>
              <w:marRight w:val="0"/>
              <w:marTop w:val="0"/>
              <w:marBottom w:val="0"/>
              <w:divBdr>
                <w:top w:val="none" w:sz="0" w:space="0" w:color="auto"/>
                <w:left w:val="none" w:sz="0" w:space="0" w:color="auto"/>
                <w:bottom w:val="none" w:sz="0" w:space="0" w:color="auto"/>
                <w:right w:val="none" w:sz="0" w:space="0" w:color="auto"/>
              </w:divBdr>
            </w:div>
          </w:divsChild>
        </w:div>
        <w:div w:id="300579521">
          <w:marLeft w:val="0"/>
          <w:marRight w:val="0"/>
          <w:marTop w:val="0"/>
          <w:marBottom w:val="0"/>
          <w:divBdr>
            <w:top w:val="none" w:sz="0" w:space="0" w:color="auto"/>
            <w:left w:val="none" w:sz="0" w:space="0" w:color="auto"/>
            <w:bottom w:val="none" w:sz="0" w:space="0" w:color="auto"/>
            <w:right w:val="none" w:sz="0" w:space="0" w:color="auto"/>
          </w:divBdr>
          <w:divsChild>
            <w:div w:id="753432772">
              <w:marLeft w:val="0"/>
              <w:marRight w:val="0"/>
              <w:marTop w:val="0"/>
              <w:marBottom w:val="0"/>
              <w:divBdr>
                <w:top w:val="none" w:sz="0" w:space="0" w:color="auto"/>
                <w:left w:val="none" w:sz="0" w:space="0" w:color="auto"/>
                <w:bottom w:val="none" w:sz="0" w:space="0" w:color="auto"/>
                <w:right w:val="none" w:sz="0" w:space="0" w:color="auto"/>
              </w:divBdr>
            </w:div>
          </w:divsChild>
        </w:div>
        <w:div w:id="301233351">
          <w:marLeft w:val="0"/>
          <w:marRight w:val="0"/>
          <w:marTop w:val="0"/>
          <w:marBottom w:val="0"/>
          <w:divBdr>
            <w:top w:val="none" w:sz="0" w:space="0" w:color="auto"/>
            <w:left w:val="none" w:sz="0" w:space="0" w:color="auto"/>
            <w:bottom w:val="none" w:sz="0" w:space="0" w:color="auto"/>
            <w:right w:val="none" w:sz="0" w:space="0" w:color="auto"/>
          </w:divBdr>
          <w:divsChild>
            <w:div w:id="1061295269">
              <w:marLeft w:val="0"/>
              <w:marRight w:val="0"/>
              <w:marTop w:val="0"/>
              <w:marBottom w:val="0"/>
              <w:divBdr>
                <w:top w:val="none" w:sz="0" w:space="0" w:color="auto"/>
                <w:left w:val="none" w:sz="0" w:space="0" w:color="auto"/>
                <w:bottom w:val="none" w:sz="0" w:space="0" w:color="auto"/>
                <w:right w:val="none" w:sz="0" w:space="0" w:color="auto"/>
              </w:divBdr>
            </w:div>
          </w:divsChild>
        </w:div>
        <w:div w:id="318115075">
          <w:marLeft w:val="0"/>
          <w:marRight w:val="0"/>
          <w:marTop w:val="0"/>
          <w:marBottom w:val="0"/>
          <w:divBdr>
            <w:top w:val="none" w:sz="0" w:space="0" w:color="auto"/>
            <w:left w:val="none" w:sz="0" w:space="0" w:color="auto"/>
            <w:bottom w:val="none" w:sz="0" w:space="0" w:color="auto"/>
            <w:right w:val="none" w:sz="0" w:space="0" w:color="auto"/>
          </w:divBdr>
          <w:divsChild>
            <w:div w:id="148714737">
              <w:marLeft w:val="0"/>
              <w:marRight w:val="0"/>
              <w:marTop w:val="0"/>
              <w:marBottom w:val="0"/>
              <w:divBdr>
                <w:top w:val="none" w:sz="0" w:space="0" w:color="auto"/>
                <w:left w:val="none" w:sz="0" w:space="0" w:color="auto"/>
                <w:bottom w:val="none" w:sz="0" w:space="0" w:color="auto"/>
                <w:right w:val="none" w:sz="0" w:space="0" w:color="auto"/>
              </w:divBdr>
            </w:div>
          </w:divsChild>
        </w:div>
        <w:div w:id="348534084">
          <w:marLeft w:val="0"/>
          <w:marRight w:val="0"/>
          <w:marTop w:val="0"/>
          <w:marBottom w:val="0"/>
          <w:divBdr>
            <w:top w:val="none" w:sz="0" w:space="0" w:color="auto"/>
            <w:left w:val="none" w:sz="0" w:space="0" w:color="auto"/>
            <w:bottom w:val="none" w:sz="0" w:space="0" w:color="auto"/>
            <w:right w:val="none" w:sz="0" w:space="0" w:color="auto"/>
          </w:divBdr>
          <w:divsChild>
            <w:div w:id="1166359273">
              <w:marLeft w:val="0"/>
              <w:marRight w:val="0"/>
              <w:marTop w:val="0"/>
              <w:marBottom w:val="0"/>
              <w:divBdr>
                <w:top w:val="none" w:sz="0" w:space="0" w:color="auto"/>
                <w:left w:val="none" w:sz="0" w:space="0" w:color="auto"/>
                <w:bottom w:val="none" w:sz="0" w:space="0" w:color="auto"/>
                <w:right w:val="none" w:sz="0" w:space="0" w:color="auto"/>
              </w:divBdr>
            </w:div>
          </w:divsChild>
        </w:div>
        <w:div w:id="375012681">
          <w:marLeft w:val="0"/>
          <w:marRight w:val="0"/>
          <w:marTop w:val="0"/>
          <w:marBottom w:val="0"/>
          <w:divBdr>
            <w:top w:val="none" w:sz="0" w:space="0" w:color="auto"/>
            <w:left w:val="none" w:sz="0" w:space="0" w:color="auto"/>
            <w:bottom w:val="none" w:sz="0" w:space="0" w:color="auto"/>
            <w:right w:val="none" w:sz="0" w:space="0" w:color="auto"/>
          </w:divBdr>
          <w:divsChild>
            <w:div w:id="1757703603">
              <w:marLeft w:val="0"/>
              <w:marRight w:val="0"/>
              <w:marTop w:val="0"/>
              <w:marBottom w:val="0"/>
              <w:divBdr>
                <w:top w:val="none" w:sz="0" w:space="0" w:color="auto"/>
                <w:left w:val="none" w:sz="0" w:space="0" w:color="auto"/>
                <w:bottom w:val="none" w:sz="0" w:space="0" w:color="auto"/>
                <w:right w:val="none" w:sz="0" w:space="0" w:color="auto"/>
              </w:divBdr>
            </w:div>
          </w:divsChild>
        </w:div>
        <w:div w:id="402410796">
          <w:marLeft w:val="0"/>
          <w:marRight w:val="0"/>
          <w:marTop w:val="0"/>
          <w:marBottom w:val="0"/>
          <w:divBdr>
            <w:top w:val="none" w:sz="0" w:space="0" w:color="auto"/>
            <w:left w:val="none" w:sz="0" w:space="0" w:color="auto"/>
            <w:bottom w:val="none" w:sz="0" w:space="0" w:color="auto"/>
            <w:right w:val="none" w:sz="0" w:space="0" w:color="auto"/>
          </w:divBdr>
          <w:divsChild>
            <w:div w:id="41054363">
              <w:marLeft w:val="0"/>
              <w:marRight w:val="0"/>
              <w:marTop w:val="0"/>
              <w:marBottom w:val="0"/>
              <w:divBdr>
                <w:top w:val="none" w:sz="0" w:space="0" w:color="auto"/>
                <w:left w:val="none" w:sz="0" w:space="0" w:color="auto"/>
                <w:bottom w:val="none" w:sz="0" w:space="0" w:color="auto"/>
                <w:right w:val="none" w:sz="0" w:space="0" w:color="auto"/>
              </w:divBdr>
            </w:div>
          </w:divsChild>
        </w:div>
        <w:div w:id="443772061">
          <w:marLeft w:val="0"/>
          <w:marRight w:val="0"/>
          <w:marTop w:val="0"/>
          <w:marBottom w:val="0"/>
          <w:divBdr>
            <w:top w:val="none" w:sz="0" w:space="0" w:color="auto"/>
            <w:left w:val="none" w:sz="0" w:space="0" w:color="auto"/>
            <w:bottom w:val="none" w:sz="0" w:space="0" w:color="auto"/>
            <w:right w:val="none" w:sz="0" w:space="0" w:color="auto"/>
          </w:divBdr>
          <w:divsChild>
            <w:div w:id="1995182609">
              <w:marLeft w:val="0"/>
              <w:marRight w:val="0"/>
              <w:marTop w:val="0"/>
              <w:marBottom w:val="0"/>
              <w:divBdr>
                <w:top w:val="none" w:sz="0" w:space="0" w:color="auto"/>
                <w:left w:val="none" w:sz="0" w:space="0" w:color="auto"/>
                <w:bottom w:val="none" w:sz="0" w:space="0" w:color="auto"/>
                <w:right w:val="none" w:sz="0" w:space="0" w:color="auto"/>
              </w:divBdr>
            </w:div>
          </w:divsChild>
        </w:div>
        <w:div w:id="455370932">
          <w:marLeft w:val="0"/>
          <w:marRight w:val="0"/>
          <w:marTop w:val="0"/>
          <w:marBottom w:val="0"/>
          <w:divBdr>
            <w:top w:val="none" w:sz="0" w:space="0" w:color="auto"/>
            <w:left w:val="none" w:sz="0" w:space="0" w:color="auto"/>
            <w:bottom w:val="none" w:sz="0" w:space="0" w:color="auto"/>
            <w:right w:val="none" w:sz="0" w:space="0" w:color="auto"/>
          </w:divBdr>
          <w:divsChild>
            <w:div w:id="659045224">
              <w:marLeft w:val="0"/>
              <w:marRight w:val="0"/>
              <w:marTop w:val="0"/>
              <w:marBottom w:val="0"/>
              <w:divBdr>
                <w:top w:val="none" w:sz="0" w:space="0" w:color="auto"/>
                <w:left w:val="none" w:sz="0" w:space="0" w:color="auto"/>
                <w:bottom w:val="none" w:sz="0" w:space="0" w:color="auto"/>
                <w:right w:val="none" w:sz="0" w:space="0" w:color="auto"/>
              </w:divBdr>
            </w:div>
          </w:divsChild>
        </w:div>
        <w:div w:id="535509331">
          <w:marLeft w:val="0"/>
          <w:marRight w:val="0"/>
          <w:marTop w:val="0"/>
          <w:marBottom w:val="0"/>
          <w:divBdr>
            <w:top w:val="none" w:sz="0" w:space="0" w:color="auto"/>
            <w:left w:val="none" w:sz="0" w:space="0" w:color="auto"/>
            <w:bottom w:val="none" w:sz="0" w:space="0" w:color="auto"/>
            <w:right w:val="none" w:sz="0" w:space="0" w:color="auto"/>
          </w:divBdr>
          <w:divsChild>
            <w:div w:id="675501680">
              <w:marLeft w:val="0"/>
              <w:marRight w:val="0"/>
              <w:marTop w:val="0"/>
              <w:marBottom w:val="0"/>
              <w:divBdr>
                <w:top w:val="none" w:sz="0" w:space="0" w:color="auto"/>
                <w:left w:val="none" w:sz="0" w:space="0" w:color="auto"/>
                <w:bottom w:val="none" w:sz="0" w:space="0" w:color="auto"/>
                <w:right w:val="none" w:sz="0" w:space="0" w:color="auto"/>
              </w:divBdr>
            </w:div>
          </w:divsChild>
        </w:div>
        <w:div w:id="539317362">
          <w:marLeft w:val="0"/>
          <w:marRight w:val="0"/>
          <w:marTop w:val="0"/>
          <w:marBottom w:val="0"/>
          <w:divBdr>
            <w:top w:val="none" w:sz="0" w:space="0" w:color="auto"/>
            <w:left w:val="none" w:sz="0" w:space="0" w:color="auto"/>
            <w:bottom w:val="none" w:sz="0" w:space="0" w:color="auto"/>
            <w:right w:val="none" w:sz="0" w:space="0" w:color="auto"/>
          </w:divBdr>
          <w:divsChild>
            <w:div w:id="2099397374">
              <w:marLeft w:val="0"/>
              <w:marRight w:val="0"/>
              <w:marTop w:val="0"/>
              <w:marBottom w:val="0"/>
              <w:divBdr>
                <w:top w:val="none" w:sz="0" w:space="0" w:color="auto"/>
                <w:left w:val="none" w:sz="0" w:space="0" w:color="auto"/>
                <w:bottom w:val="none" w:sz="0" w:space="0" w:color="auto"/>
                <w:right w:val="none" w:sz="0" w:space="0" w:color="auto"/>
              </w:divBdr>
            </w:div>
          </w:divsChild>
        </w:div>
        <w:div w:id="560598259">
          <w:marLeft w:val="0"/>
          <w:marRight w:val="0"/>
          <w:marTop w:val="0"/>
          <w:marBottom w:val="0"/>
          <w:divBdr>
            <w:top w:val="none" w:sz="0" w:space="0" w:color="auto"/>
            <w:left w:val="none" w:sz="0" w:space="0" w:color="auto"/>
            <w:bottom w:val="none" w:sz="0" w:space="0" w:color="auto"/>
            <w:right w:val="none" w:sz="0" w:space="0" w:color="auto"/>
          </w:divBdr>
          <w:divsChild>
            <w:div w:id="1457986613">
              <w:marLeft w:val="0"/>
              <w:marRight w:val="0"/>
              <w:marTop w:val="0"/>
              <w:marBottom w:val="0"/>
              <w:divBdr>
                <w:top w:val="none" w:sz="0" w:space="0" w:color="auto"/>
                <w:left w:val="none" w:sz="0" w:space="0" w:color="auto"/>
                <w:bottom w:val="none" w:sz="0" w:space="0" w:color="auto"/>
                <w:right w:val="none" w:sz="0" w:space="0" w:color="auto"/>
              </w:divBdr>
            </w:div>
          </w:divsChild>
        </w:div>
        <w:div w:id="562183387">
          <w:marLeft w:val="0"/>
          <w:marRight w:val="0"/>
          <w:marTop w:val="0"/>
          <w:marBottom w:val="0"/>
          <w:divBdr>
            <w:top w:val="none" w:sz="0" w:space="0" w:color="auto"/>
            <w:left w:val="none" w:sz="0" w:space="0" w:color="auto"/>
            <w:bottom w:val="none" w:sz="0" w:space="0" w:color="auto"/>
            <w:right w:val="none" w:sz="0" w:space="0" w:color="auto"/>
          </w:divBdr>
          <w:divsChild>
            <w:div w:id="1049066485">
              <w:marLeft w:val="0"/>
              <w:marRight w:val="0"/>
              <w:marTop w:val="0"/>
              <w:marBottom w:val="0"/>
              <w:divBdr>
                <w:top w:val="none" w:sz="0" w:space="0" w:color="auto"/>
                <w:left w:val="none" w:sz="0" w:space="0" w:color="auto"/>
                <w:bottom w:val="none" w:sz="0" w:space="0" w:color="auto"/>
                <w:right w:val="none" w:sz="0" w:space="0" w:color="auto"/>
              </w:divBdr>
            </w:div>
          </w:divsChild>
        </w:div>
        <w:div w:id="610667807">
          <w:marLeft w:val="0"/>
          <w:marRight w:val="0"/>
          <w:marTop w:val="0"/>
          <w:marBottom w:val="0"/>
          <w:divBdr>
            <w:top w:val="none" w:sz="0" w:space="0" w:color="auto"/>
            <w:left w:val="none" w:sz="0" w:space="0" w:color="auto"/>
            <w:bottom w:val="none" w:sz="0" w:space="0" w:color="auto"/>
            <w:right w:val="none" w:sz="0" w:space="0" w:color="auto"/>
          </w:divBdr>
          <w:divsChild>
            <w:div w:id="2042785040">
              <w:marLeft w:val="0"/>
              <w:marRight w:val="0"/>
              <w:marTop w:val="0"/>
              <w:marBottom w:val="0"/>
              <w:divBdr>
                <w:top w:val="none" w:sz="0" w:space="0" w:color="auto"/>
                <w:left w:val="none" w:sz="0" w:space="0" w:color="auto"/>
                <w:bottom w:val="none" w:sz="0" w:space="0" w:color="auto"/>
                <w:right w:val="none" w:sz="0" w:space="0" w:color="auto"/>
              </w:divBdr>
            </w:div>
          </w:divsChild>
        </w:div>
        <w:div w:id="612590227">
          <w:marLeft w:val="0"/>
          <w:marRight w:val="0"/>
          <w:marTop w:val="0"/>
          <w:marBottom w:val="0"/>
          <w:divBdr>
            <w:top w:val="none" w:sz="0" w:space="0" w:color="auto"/>
            <w:left w:val="none" w:sz="0" w:space="0" w:color="auto"/>
            <w:bottom w:val="none" w:sz="0" w:space="0" w:color="auto"/>
            <w:right w:val="none" w:sz="0" w:space="0" w:color="auto"/>
          </w:divBdr>
          <w:divsChild>
            <w:div w:id="1098940032">
              <w:marLeft w:val="0"/>
              <w:marRight w:val="0"/>
              <w:marTop w:val="0"/>
              <w:marBottom w:val="0"/>
              <w:divBdr>
                <w:top w:val="none" w:sz="0" w:space="0" w:color="auto"/>
                <w:left w:val="none" w:sz="0" w:space="0" w:color="auto"/>
                <w:bottom w:val="none" w:sz="0" w:space="0" w:color="auto"/>
                <w:right w:val="none" w:sz="0" w:space="0" w:color="auto"/>
              </w:divBdr>
            </w:div>
          </w:divsChild>
        </w:div>
        <w:div w:id="620258769">
          <w:marLeft w:val="0"/>
          <w:marRight w:val="0"/>
          <w:marTop w:val="0"/>
          <w:marBottom w:val="0"/>
          <w:divBdr>
            <w:top w:val="none" w:sz="0" w:space="0" w:color="auto"/>
            <w:left w:val="none" w:sz="0" w:space="0" w:color="auto"/>
            <w:bottom w:val="none" w:sz="0" w:space="0" w:color="auto"/>
            <w:right w:val="none" w:sz="0" w:space="0" w:color="auto"/>
          </w:divBdr>
          <w:divsChild>
            <w:div w:id="1535583963">
              <w:marLeft w:val="0"/>
              <w:marRight w:val="0"/>
              <w:marTop w:val="0"/>
              <w:marBottom w:val="0"/>
              <w:divBdr>
                <w:top w:val="none" w:sz="0" w:space="0" w:color="auto"/>
                <w:left w:val="none" w:sz="0" w:space="0" w:color="auto"/>
                <w:bottom w:val="none" w:sz="0" w:space="0" w:color="auto"/>
                <w:right w:val="none" w:sz="0" w:space="0" w:color="auto"/>
              </w:divBdr>
            </w:div>
          </w:divsChild>
        </w:div>
        <w:div w:id="621620229">
          <w:marLeft w:val="0"/>
          <w:marRight w:val="0"/>
          <w:marTop w:val="0"/>
          <w:marBottom w:val="0"/>
          <w:divBdr>
            <w:top w:val="none" w:sz="0" w:space="0" w:color="auto"/>
            <w:left w:val="none" w:sz="0" w:space="0" w:color="auto"/>
            <w:bottom w:val="none" w:sz="0" w:space="0" w:color="auto"/>
            <w:right w:val="none" w:sz="0" w:space="0" w:color="auto"/>
          </w:divBdr>
          <w:divsChild>
            <w:div w:id="893279429">
              <w:marLeft w:val="0"/>
              <w:marRight w:val="0"/>
              <w:marTop w:val="0"/>
              <w:marBottom w:val="0"/>
              <w:divBdr>
                <w:top w:val="none" w:sz="0" w:space="0" w:color="auto"/>
                <w:left w:val="none" w:sz="0" w:space="0" w:color="auto"/>
                <w:bottom w:val="none" w:sz="0" w:space="0" w:color="auto"/>
                <w:right w:val="none" w:sz="0" w:space="0" w:color="auto"/>
              </w:divBdr>
            </w:div>
          </w:divsChild>
        </w:div>
        <w:div w:id="663554718">
          <w:marLeft w:val="0"/>
          <w:marRight w:val="0"/>
          <w:marTop w:val="0"/>
          <w:marBottom w:val="0"/>
          <w:divBdr>
            <w:top w:val="none" w:sz="0" w:space="0" w:color="auto"/>
            <w:left w:val="none" w:sz="0" w:space="0" w:color="auto"/>
            <w:bottom w:val="none" w:sz="0" w:space="0" w:color="auto"/>
            <w:right w:val="none" w:sz="0" w:space="0" w:color="auto"/>
          </w:divBdr>
          <w:divsChild>
            <w:div w:id="1501507164">
              <w:marLeft w:val="0"/>
              <w:marRight w:val="0"/>
              <w:marTop w:val="0"/>
              <w:marBottom w:val="0"/>
              <w:divBdr>
                <w:top w:val="none" w:sz="0" w:space="0" w:color="auto"/>
                <w:left w:val="none" w:sz="0" w:space="0" w:color="auto"/>
                <w:bottom w:val="none" w:sz="0" w:space="0" w:color="auto"/>
                <w:right w:val="none" w:sz="0" w:space="0" w:color="auto"/>
              </w:divBdr>
            </w:div>
          </w:divsChild>
        </w:div>
        <w:div w:id="703291162">
          <w:marLeft w:val="0"/>
          <w:marRight w:val="0"/>
          <w:marTop w:val="0"/>
          <w:marBottom w:val="0"/>
          <w:divBdr>
            <w:top w:val="none" w:sz="0" w:space="0" w:color="auto"/>
            <w:left w:val="none" w:sz="0" w:space="0" w:color="auto"/>
            <w:bottom w:val="none" w:sz="0" w:space="0" w:color="auto"/>
            <w:right w:val="none" w:sz="0" w:space="0" w:color="auto"/>
          </w:divBdr>
          <w:divsChild>
            <w:div w:id="337272970">
              <w:marLeft w:val="0"/>
              <w:marRight w:val="0"/>
              <w:marTop w:val="0"/>
              <w:marBottom w:val="0"/>
              <w:divBdr>
                <w:top w:val="none" w:sz="0" w:space="0" w:color="auto"/>
                <w:left w:val="none" w:sz="0" w:space="0" w:color="auto"/>
                <w:bottom w:val="none" w:sz="0" w:space="0" w:color="auto"/>
                <w:right w:val="none" w:sz="0" w:space="0" w:color="auto"/>
              </w:divBdr>
            </w:div>
          </w:divsChild>
        </w:div>
        <w:div w:id="714547480">
          <w:marLeft w:val="0"/>
          <w:marRight w:val="0"/>
          <w:marTop w:val="0"/>
          <w:marBottom w:val="0"/>
          <w:divBdr>
            <w:top w:val="none" w:sz="0" w:space="0" w:color="auto"/>
            <w:left w:val="none" w:sz="0" w:space="0" w:color="auto"/>
            <w:bottom w:val="none" w:sz="0" w:space="0" w:color="auto"/>
            <w:right w:val="none" w:sz="0" w:space="0" w:color="auto"/>
          </w:divBdr>
          <w:divsChild>
            <w:div w:id="395862010">
              <w:marLeft w:val="0"/>
              <w:marRight w:val="0"/>
              <w:marTop w:val="0"/>
              <w:marBottom w:val="0"/>
              <w:divBdr>
                <w:top w:val="none" w:sz="0" w:space="0" w:color="auto"/>
                <w:left w:val="none" w:sz="0" w:space="0" w:color="auto"/>
                <w:bottom w:val="none" w:sz="0" w:space="0" w:color="auto"/>
                <w:right w:val="none" w:sz="0" w:space="0" w:color="auto"/>
              </w:divBdr>
            </w:div>
          </w:divsChild>
        </w:div>
        <w:div w:id="727998950">
          <w:marLeft w:val="0"/>
          <w:marRight w:val="0"/>
          <w:marTop w:val="0"/>
          <w:marBottom w:val="0"/>
          <w:divBdr>
            <w:top w:val="none" w:sz="0" w:space="0" w:color="auto"/>
            <w:left w:val="none" w:sz="0" w:space="0" w:color="auto"/>
            <w:bottom w:val="none" w:sz="0" w:space="0" w:color="auto"/>
            <w:right w:val="none" w:sz="0" w:space="0" w:color="auto"/>
          </w:divBdr>
          <w:divsChild>
            <w:div w:id="1710914740">
              <w:marLeft w:val="0"/>
              <w:marRight w:val="0"/>
              <w:marTop w:val="0"/>
              <w:marBottom w:val="0"/>
              <w:divBdr>
                <w:top w:val="none" w:sz="0" w:space="0" w:color="auto"/>
                <w:left w:val="none" w:sz="0" w:space="0" w:color="auto"/>
                <w:bottom w:val="none" w:sz="0" w:space="0" w:color="auto"/>
                <w:right w:val="none" w:sz="0" w:space="0" w:color="auto"/>
              </w:divBdr>
            </w:div>
          </w:divsChild>
        </w:div>
        <w:div w:id="735784277">
          <w:marLeft w:val="0"/>
          <w:marRight w:val="0"/>
          <w:marTop w:val="0"/>
          <w:marBottom w:val="0"/>
          <w:divBdr>
            <w:top w:val="none" w:sz="0" w:space="0" w:color="auto"/>
            <w:left w:val="none" w:sz="0" w:space="0" w:color="auto"/>
            <w:bottom w:val="none" w:sz="0" w:space="0" w:color="auto"/>
            <w:right w:val="none" w:sz="0" w:space="0" w:color="auto"/>
          </w:divBdr>
          <w:divsChild>
            <w:div w:id="1636183221">
              <w:marLeft w:val="0"/>
              <w:marRight w:val="0"/>
              <w:marTop w:val="0"/>
              <w:marBottom w:val="0"/>
              <w:divBdr>
                <w:top w:val="none" w:sz="0" w:space="0" w:color="auto"/>
                <w:left w:val="none" w:sz="0" w:space="0" w:color="auto"/>
                <w:bottom w:val="none" w:sz="0" w:space="0" w:color="auto"/>
                <w:right w:val="none" w:sz="0" w:space="0" w:color="auto"/>
              </w:divBdr>
            </w:div>
          </w:divsChild>
        </w:div>
        <w:div w:id="749932846">
          <w:marLeft w:val="0"/>
          <w:marRight w:val="0"/>
          <w:marTop w:val="0"/>
          <w:marBottom w:val="0"/>
          <w:divBdr>
            <w:top w:val="none" w:sz="0" w:space="0" w:color="auto"/>
            <w:left w:val="none" w:sz="0" w:space="0" w:color="auto"/>
            <w:bottom w:val="none" w:sz="0" w:space="0" w:color="auto"/>
            <w:right w:val="none" w:sz="0" w:space="0" w:color="auto"/>
          </w:divBdr>
          <w:divsChild>
            <w:div w:id="1922256275">
              <w:marLeft w:val="0"/>
              <w:marRight w:val="0"/>
              <w:marTop w:val="0"/>
              <w:marBottom w:val="0"/>
              <w:divBdr>
                <w:top w:val="none" w:sz="0" w:space="0" w:color="auto"/>
                <w:left w:val="none" w:sz="0" w:space="0" w:color="auto"/>
                <w:bottom w:val="none" w:sz="0" w:space="0" w:color="auto"/>
                <w:right w:val="none" w:sz="0" w:space="0" w:color="auto"/>
              </w:divBdr>
            </w:div>
          </w:divsChild>
        </w:div>
        <w:div w:id="816188648">
          <w:marLeft w:val="0"/>
          <w:marRight w:val="0"/>
          <w:marTop w:val="0"/>
          <w:marBottom w:val="0"/>
          <w:divBdr>
            <w:top w:val="none" w:sz="0" w:space="0" w:color="auto"/>
            <w:left w:val="none" w:sz="0" w:space="0" w:color="auto"/>
            <w:bottom w:val="none" w:sz="0" w:space="0" w:color="auto"/>
            <w:right w:val="none" w:sz="0" w:space="0" w:color="auto"/>
          </w:divBdr>
          <w:divsChild>
            <w:div w:id="9068465">
              <w:marLeft w:val="0"/>
              <w:marRight w:val="0"/>
              <w:marTop w:val="0"/>
              <w:marBottom w:val="0"/>
              <w:divBdr>
                <w:top w:val="none" w:sz="0" w:space="0" w:color="auto"/>
                <w:left w:val="none" w:sz="0" w:space="0" w:color="auto"/>
                <w:bottom w:val="none" w:sz="0" w:space="0" w:color="auto"/>
                <w:right w:val="none" w:sz="0" w:space="0" w:color="auto"/>
              </w:divBdr>
            </w:div>
          </w:divsChild>
        </w:div>
        <w:div w:id="838497942">
          <w:marLeft w:val="0"/>
          <w:marRight w:val="0"/>
          <w:marTop w:val="0"/>
          <w:marBottom w:val="0"/>
          <w:divBdr>
            <w:top w:val="none" w:sz="0" w:space="0" w:color="auto"/>
            <w:left w:val="none" w:sz="0" w:space="0" w:color="auto"/>
            <w:bottom w:val="none" w:sz="0" w:space="0" w:color="auto"/>
            <w:right w:val="none" w:sz="0" w:space="0" w:color="auto"/>
          </w:divBdr>
          <w:divsChild>
            <w:div w:id="1020669906">
              <w:marLeft w:val="0"/>
              <w:marRight w:val="0"/>
              <w:marTop w:val="0"/>
              <w:marBottom w:val="0"/>
              <w:divBdr>
                <w:top w:val="none" w:sz="0" w:space="0" w:color="auto"/>
                <w:left w:val="none" w:sz="0" w:space="0" w:color="auto"/>
                <w:bottom w:val="none" w:sz="0" w:space="0" w:color="auto"/>
                <w:right w:val="none" w:sz="0" w:space="0" w:color="auto"/>
              </w:divBdr>
            </w:div>
          </w:divsChild>
        </w:div>
        <w:div w:id="839660100">
          <w:marLeft w:val="0"/>
          <w:marRight w:val="0"/>
          <w:marTop w:val="0"/>
          <w:marBottom w:val="0"/>
          <w:divBdr>
            <w:top w:val="none" w:sz="0" w:space="0" w:color="auto"/>
            <w:left w:val="none" w:sz="0" w:space="0" w:color="auto"/>
            <w:bottom w:val="none" w:sz="0" w:space="0" w:color="auto"/>
            <w:right w:val="none" w:sz="0" w:space="0" w:color="auto"/>
          </w:divBdr>
          <w:divsChild>
            <w:div w:id="665669642">
              <w:marLeft w:val="0"/>
              <w:marRight w:val="0"/>
              <w:marTop w:val="0"/>
              <w:marBottom w:val="0"/>
              <w:divBdr>
                <w:top w:val="none" w:sz="0" w:space="0" w:color="auto"/>
                <w:left w:val="none" w:sz="0" w:space="0" w:color="auto"/>
                <w:bottom w:val="none" w:sz="0" w:space="0" w:color="auto"/>
                <w:right w:val="none" w:sz="0" w:space="0" w:color="auto"/>
              </w:divBdr>
            </w:div>
          </w:divsChild>
        </w:div>
        <w:div w:id="842477773">
          <w:marLeft w:val="0"/>
          <w:marRight w:val="0"/>
          <w:marTop w:val="0"/>
          <w:marBottom w:val="0"/>
          <w:divBdr>
            <w:top w:val="none" w:sz="0" w:space="0" w:color="auto"/>
            <w:left w:val="none" w:sz="0" w:space="0" w:color="auto"/>
            <w:bottom w:val="none" w:sz="0" w:space="0" w:color="auto"/>
            <w:right w:val="none" w:sz="0" w:space="0" w:color="auto"/>
          </w:divBdr>
          <w:divsChild>
            <w:div w:id="1433549656">
              <w:marLeft w:val="0"/>
              <w:marRight w:val="0"/>
              <w:marTop w:val="0"/>
              <w:marBottom w:val="0"/>
              <w:divBdr>
                <w:top w:val="none" w:sz="0" w:space="0" w:color="auto"/>
                <w:left w:val="none" w:sz="0" w:space="0" w:color="auto"/>
                <w:bottom w:val="none" w:sz="0" w:space="0" w:color="auto"/>
                <w:right w:val="none" w:sz="0" w:space="0" w:color="auto"/>
              </w:divBdr>
            </w:div>
          </w:divsChild>
        </w:div>
        <w:div w:id="854730369">
          <w:marLeft w:val="0"/>
          <w:marRight w:val="0"/>
          <w:marTop w:val="0"/>
          <w:marBottom w:val="0"/>
          <w:divBdr>
            <w:top w:val="none" w:sz="0" w:space="0" w:color="auto"/>
            <w:left w:val="none" w:sz="0" w:space="0" w:color="auto"/>
            <w:bottom w:val="none" w:sz="0" w:space="0" w:color="auto"/>
            <w:right w:val="none" w:sz="0" w:space="0" w:color="auto"/>
          </w:divBdr>
          <w:divsChild>
            <w:div w:id="1145928560">
              <w:marLeft w:val="0"/>
              <w:marRight w:val="0"/>
              <w:marTop w:val="0"/>
              <w:marBottom w:val="0"/>
              <w:divBdr>
                <w:top w:val="none" w:sz="0" w:space="0" w:color="auto"/>
                <w:left w:val="none" w:sz="0" w:space="0" w:color="auto"/>
                <w:bottom w:val="none" w:sz="0" w:space="0" w:color="auto"/>
                <w:right w:val="none" w:sz="0" w:space="0" w:color="auto"/>
              </w:divBdr>
            </w:div>
          </w:divsChild>
        </w:div>
        <w:div w:id="885147467">
          <w:marLeft w:val="0"/>
          <w:marRight w:val="0"/>
          <w:marTop w:val="0"/>
          <w:marBottom w:val="0"/>
          <w:divBdr>
            <w:top w:val="none" w:sz="0" w:space="0" w:color="auto"/>
            <w:left w:val="none" w:sz="0" w:space="0" w:color="auto"/>
            <w:bottom w:val="none" w:sz="0" w:space="0" w:color="auto"/>
            <w:right w:val="none" w:sz="0" w:space="0" w:color="auto"/>
          </w:divBdr>
          <w:divsChild>
            <w:div w:id="88551876">
              <w:marLeft w:val="0"/>
              <w:marRight w:val="0"/>
              <w:marTop w:val="0"/>
              <w:marBottom w:val="0"/>
              <w:divBdr>
                <w:top w:val="none" w:sz="0" w:space="0" w:color="auto"/>
                <w:left w:val="none" w:sz="0" w:space="0" w:color="auto"/>
                <w:bottom w:val="none" w:sz="0" w:space="0" w:color="auto"/>
                <w:right w:val="none" w:sz="0" w:space="0" w:color="auto"/>
              </w:divBdr>
            </w:div>
          </w:divsChild>
        </w:div>
        <w:div w:id="885992696">
          <w:marLeft w:val="0"/>
          <w:marRight w:val="0"/>
          <w:marTop w:val="0"/>
          <w:marBottom w:val="0"/>
          <w:divBdr>
            <w:top w:val="none" w:sz="0" w:space="0" w:color="auto"/>
            <w:left w:val="none" w:sz="0" w:space="0" w:color="auto"/>
            <w:bottom w:val="none" w:sz="0" w:space="0" w:color="auto"/>
            <w:right w:val="none" w:sz="0" w:space="0" w:color="auto"/>
          </w:divBdr>
          <w:divsChild>
            <w:div w:id="1787580386">
              <w:marLeft w:val="0"/>
              <w:marRight w:val="0"/>
              <w:marTop w:val="0"/>
              <w:marBottom w:val="0"/>
              <w:divBdr>
                <w:top w:val="none" w:sz="0" w:space="0" w:color="auto"/>
                <w:left w:val="none" w:sz="0" w:space="0" w:color="auto"/>
                <w:bottom w:val="none" w:sz="0" w:space="0" w:color="auto"/>
                <w:right w:val="none" w:sz="0" w:space="0" w:color="auto"/>
              </w:divBdr>
            </w:div>
          </w:divsChild>
        </w:div>
        <w:div w:id="888103755">
          <w:marLeft w:val="0"/>
          <w:marRight w:val="0"/>
          <w:marTop w:val="0"/>
          <w:marBottom w:val="0"/>
          <w:divBdr>
            <w:top w:val="none" w:sz="0" w:space="0" w:color="auto"/>
            <w:left w:val="none" w:sz="0" w:space="0" w:color="auto"/>
            <w:bottom w:val="none" w:sz="0" w:space="0" w:color="auto"/>
            <w:right w:val="none" w:sz="0" w:space="0" w:color="auto"/>
          </w:divBdr>
          <w:divsChild>
            <w:div w:id="532768116">
              <w:marLeft w:val="0"/>
              <w:marRight w:val="0"/>
              <w:marTop w:val="0"/>
              <w:marBottom w:val="0"/>
              <w:divBdr>
                <w:top w:val="none" w:sz="0" w:space="0" w:color="auto"/>
                <w:left w:val="none" w:sz="0" w:space="0" w:color="auto"/>
                <w:bottom w:val="none" w:sz="0" w:space="0" w:color="auto"/>
                <w:right w:val="none" w:sz="0" w:space="0" w:color="auto"/>
              </w:divBdr>
            </w:div>
          </w:divsChild>
        </w:div>
        <w:div w:id="897932530">
          <w:marLeft w:val="0"/>
          <w:marRight w:val="0"/>
          <w:marTop w:val="0"/>
          <w:marBottom w:val="0"/>
          <w:divBdr>
            <w:top w:val="none" w:sz="0" w:space="0" w:color="auto"/>
            <w:left w:val="none" w:sz="0" w:space="0" w:color="auto"/>
            <w:bottom w:val="none" w:sz="0" w:space="0" w:color="auto"/>
            <w:right w:val="none" w:sz="0" w:space="0" w:color="auto"/>
          </w:divBdr>
          <w:divsChild>
            <w:div w:id="2081366480">
              <w:marLeft w:val="0"/>
              <w:marRight w:val="0"/>
              <w:marTop w:val="0"/>
              <w:marBottom w:val="0"/>
              <w:divBdr>
                <w:top w:val="none" w:sz="0" w:space="0" w:color="auto"/>
                <w:left w:val="none" w:sz="0" w:space="0" w:color="auto"/>
                <w:bottom w:val="none" w:sz="0" w:space="0" w:color="auto"/>
                <w:right w:val="none" w:sz="0" w:space="0" w:color="auto"/>
              </w:divBdr>
            </w:div>
          </w:divsChild>
        </w:div>
        <w:div w:id="938298038">
          <w:marLeft w:val="0"/>
          <w:marRight w:val="0"/>
          <w:marTop w:val="0"/>
          <w:marBottom w:val="0"/>
          <w:divBdr>
            <w:top w:val="none" w:sz="0" w:space="0" w:color="auto"/>
            <w:left w:val="none" w:sz="0" w:space="0" w:color="auto"/>
            <w:bottom w:val="none" w:sz="0" w:space="0" w:color="auto"/>
            <w:right w:val="none" w:sz="0" w:space="0" w:color="auto"/>
          </w:divBdr>
          <w:divsChild>
            <w:div w:id="326128931">
              <w:marLeft w:val="0"/>
              <w:marRight w:val="0"/>
              <w:marTop w:val="0"/>
              <w:marBottom w:val="0"/>
              <w:divBdr>
                <w:top w:val="none" w:sz="0" w:space="0" w:color="auto"/>
                <w:left w:val="none" w:sz="0" w:space="0" w:color="auto"/>
                <w:bottom w:val="none" w:sz="0" w:space="0" w:color="auto"/>
                <w:right w:val="none" w:sz="0" w:space="0" w:color="auto"/>
              </w:divBdr>
            </w:div>
          </w:divsChild>
        </w:div>
        <w:div w:id="959916565">
          <w:marLeft w:val="0"/>
          <w:marRight w:val="0"/>
          <w:marTop w:val="0"/>
          <w:marBottom w:val="0"/>
          <w:divBdr>
            <w:top w:val="none" w:sz="0" w:space="0" w:color="auto"/>
            <w:left w:val="none" w:sz="0" w:space="0" w:color="auto"/>
            <w:bottom w:val="none" w:sz="0" w:space="0" w:color="auto"/>
            <w:right w:val="none" w:sz="0" w:space="0" w:color="auto"/>
          </w:divBdr>
          <w:divsChild>
            <w:div w:id="883105275">
              <w:marLeft w:val="0"/>
              <w:marRight w:val="0"/>
              <w:marTop w:val="0"/>
              <w:marBottom w:val="0"/>
              <w:divBdr>
                <w:top w:val="none" w:sz="0" w:space="0" w:color="auto"/>
                <w:left w:val="none" w:sz="0" w:space="0" w:color="auto"/>
                <w:bottom w:val="none" w:sz="0" w:space="0" w:color="auto"/>
                <w:right w:val="none" w:sz="0" w:space="0" w:color="auto"/>
              </w:divBdr>
            </w:div>
          </w:divsChild>
        </w:div>
        <w:div w:id="969238810">
          <w:marLeft w:val="0"/>
          <w:marRight w:val="0"/>
          <w:marTop w:val="0"/>
          <w:marBottom w:val="0"/>
          <w:divBdr>
            <w:top w:val="none" w:sz="0" w:space="0" w:color="auto"/>
            <w:left w:val="none" w:sz="0" w:space="0" w:color="auto"/>
            <w:bottom w:val="none" w:sz="0" w:space="0" w:color="auto"/>
            <w:right w:val="none" w:sz="0" w:space="0" w:color="auto"/>
          </w:divBdr>
          <w:divsChild>
            <w:div w:id="1521042451">
              <w:marLeft w:val="0"/>
              <w:marRight w:val="0"/>
              <w:marTop w:val="0"/>
              <w:marBottom w:val="0"/>
              <w:divBdr>
                <w:top w:val="none" w:sz="0" w:space="0" w:color="auto"/>
                <w:left w:val="none" w:sz="0" w:space="0" w:color="auto"/>
                <w:bottom w:val="none" w:sz="0" w:space="0" w:color="auto"/>
                <w:right w:val="none" w:sz="0" w:space="0" w:color="auto"/>
              </w:divBdr>
            </w:div>
          </w:divsChild>
        </w:div>
        <w:div w:id="971251645">
          <w:marLeft w:val="0"/>
          <w:marRight w:val="0"/>
          <w:marTop w:val="0"/>
          <w:marBottom w:val="0"/>
          <w:divBdr>
            <w:top w:val="none" w:sz="0" w:space="0" w:color="auto"/>
            <w:left w:val="none" w:sz="0" w:space="0" w:color="auto"/>
            <w:bottom w:val="none" w:sz="0" w:space="0" w:color="auto"/>
            <w:right w:val="none" w:sz="0" w:space="0" w:color="auto"/>
          </w:divBdr>
          <w:divsChild>
            <w:div w:id="701977417">
              <w:marLeft w:val="0"/>
              <w:marRight w:val="0"/>
              <w:marTop w:val="0"/>
              <w:marBottom w:val="0"/>
              <w:divBdr>
                <w:top w:val="none" w:sz="0" w:space="0" w:color="auto"/>
                <w:left w:val="none" w:sz="0" w:space="0" w:color="auto"/>
                <w:bottom w:val="none" w:sz="0" w:space="0" w:color="auto"/>
                <w:right w:val="none" w:sz="0" w:space="0" w:color="auto"/>
              </w:divBdr>
            </w:div>
          </w:divsChild>
        </w:div>
        <w:div w:id="971595243">
          <w:marLeft w:val="0"/>
          <w:marRight w:val="0"/>
          <w:marTop w:val="0"/>
          <w:marBottom w:val="0"/>
          <w:divBdr>
            <w:top w:val="none" w:sz="0" w:space="0" w:color="auto"/>
            <w:left w:val="none" w:sz="0" w:space="0" w:color="auto"/>
            <w:bottom w:val="none" w:sz="0" w:space="0" w:color="auto"/>
            <w:right w:val="none" w:sz="0" w:space="0" w:color="auto"/>
          </w:divBdr>
          <w:divsChild>
            <w:div w:id="1553156613">
              <w:marLeft w:val="0"/>
              <w:marRight w:val="0"/>
              <w:marTop w:val="0"/>
              <w:marBottom w:val="0"/>
              <w:divBdr>
                <w:top w:val="none" w:sz="0" w:space="0" w:color="auto"/>
                <w:left w:val="none" w:sz="0" w:space="0" w:color="auto"/>
                <w:bottom w:val="none" w:sz="0" w:space="0" w:color="auto"/>
                <w:right w:val="none" w:sz="0" w:space="0" w:color="auto"/>
              </w:divBdr>
            </w:div>
          </w:divsChild>
        </w:div>
        <w:div w:id="978918663">
          <w:marLeft w:val="0"/>
          <w:marRight w:val="0"/>
          <w:marTop w:val="0"/>
          <w:marBottom w:val="0"/>
          <w:divBdr>
            <w:top w:val="none" w:sz="0" w:space="0" w:color="auto"/>
            <w:left w:val="none" w:sz="0" w:space="0" w:color="auto"/>
            <w:bottom w:val="none" w:sz="0" w:space="0" w:color="auto"/>
            <w:right w:val="none" w:sz="0" w:space="0" w:color="auto"/>
          </w:divBdr>
          <w:divsChild>
            <w:div w:id="735083387">
              <w:marLeft w:val="0"/>
              <w:marRight w:val="0"/>
              <w:marTop w:val="0"/>
              <w:marBottom w:val="0"/>
              <w:divBdr>
                <w:top w:val="none" w:sz="0" w:space="0" w:color="auto"/>
                <w:left w:val="none" w:sz="0" w:space="0" w:color="auto"/>
                <w:bottom w:val="none" w:sz="0" w:space="0" w:color="auto"/>
                <w:right w:val="none" w:sz="0" w:space="0" w:color="auto"/>
              </w:divBdr>
            </w:div>
          </w:divsChild>
        </w:div>
        <w:div w:id="1036740061">
          <w:marLeft w:val="0"/>
          <w:marRight w:val="0"/>
          <w:marTop w:val="0"/>
          <w:marBottom w:val="0"/>
          <w:divBdr>
            <w:top w:val="none" w:sz="0" w:space="0" w:color="auto"/>
            <w:left w:val="none" w:sz="0" w:space="0" w:color="auto"/>
            <w:bottom w:val="none" w:sz="0" w:space="0" w:color="auto"/>
            <w:right w:val="none" w:sz="0" w:space="0" w:color="auto"/>
          </w:divBdr>
          <w:divsChild>
            <w:div w:id="577592792">
              <w:marLeft w:val="0"/>
              <w:marRight w:val="0"/>
              <w:marTop w:val="0"/>
              <w:marBottom w:val="0"/>
              <w:divBdr>
                <w:top w:val="none" w:sz="0" w:space="0" w:color="auto"/>
                <w:left w:val="none" w:sz="0" w:space="0" w:color="auto"/>
                <w:bottom w:val="none" w:sz="0" w:space="0" w:color="auto"/>
                <w:right w:val="none" w:sz="0" w:space="0" w:color="auto"/>
              </w:divBdr>
            </w:div>
          </w:divsChild>
        </w:div>
        <w:div w:id="1052774278">
          <w:marLeft w:val="0"/>
          <w:marRight w:val="0"/>
          <w:marTop w:val="0"/>
          <w:marBottom w:val="0"/>
          <w:divBdr>
            <w:top w:val="none" w:sz="0" w:space="0" w:color="auto"/>
            <w:left w:val="none" w:sz="0" w:space="0" w:color="auto"/>
            <w:bottom w:val="none" w:sz="0" w:space="0" w:color="auto"/>
            <w:right w:val="none" w:sz="0" w:space="0" w:color="auto"/>
          </w:divBdr>
          <w:divsChild>
            <w:div w:id="478502296">
              <w:marLeft w:val="0"/>
              <w:marRight w:val="0"/>
              <w:marTop w:val="0"/>
              <w:marBottom w:val="0"/>
              <w:divBdr>
                <w:top w:val="none" w:sz="0" w:space="0" w:color="auto"/>
                <w:left w:val="none" w:sz="0" w:space="0" w:color="auto"/>
                <w:bottom w:val="none" w:sz="0" w:space="0" w:color="auto"/>
                <w:right w:val="none" w:sz="0" w:space="0" w:color="auto"/>
              </w:divBdr>
            </w:div>
          </w:divsChild>
        </w:div>
        <w:div w:id="1054425452">
          <w:marLeft w:val="0"/>
          <w:marRight w:val="0"/>
          <w:marTop w:val="0"/>
          <w:marBottom w:val="0"/>
          <w:divBdr>
            <w:top w:val="none" w:sz="0" w:space="0" w:color="auto"/>
            <w:left w:val="none" w:sz="0" w:space="0" w:color="auto"/>
            <w:bottom w:val="none" w:sz="0" w:space="0" w:color="auto"/>
            <w:right w:val="none" w:sz="0" w:space="0" w:color="auto"/>
          </w:divBdr>
          <w:divsChild>
            <w:div w:id="1028944829">
              <w:marLeft w:val="0"/>
              <w:marRight w:val="0"/>
              <w:marTop w:val="0"/>
              <w:marBottom w:val="0"/>
              <w:divBdr>
                <w:top w:val="none" w:sz="0" w:space="0" w:color="auto"/>
                <w:left w:val="none" w:sz="0" w:space="0" w:color="auto"/>
                <w:bottom w:val="none" w:sz="0" w:space="0" w:color="auto"/>
                <w:right w:val="none" w:sz="0" w:space="0" w:color="auto"/>
              </w:divBdr>
            </w:div>
          </w:divsChild>
        </w:div>
        <w:div w:id="1104230212">
          <w:marLeft w:val="0"/>
          <w:marRight w:val="0"/>
          <w:marTop w:val="0"/>
          <w:marBottom w:val="0"/>
          <w:divBdr>
            <w:top w:val="none" w:sz="0" w:space="0" w:color="auto"/>
            <w:left w:val="none" w:sz="0" w:space="0" w:color="auto"/>
            <w:bottom w:val="none" w:sz="0" w:space="0" w:color="auto"/>
            <w:right w:val="none" w:sz="0" w:space="0" w:color="auto"/>
          </w:divBdr>
          <w:divsChild>
            <w:div w:id="1795755531">
              <w:marLeft w:val="0"/>
              <w:marRight w:val="0"/>
              <w:marTop w:val="0"/>
              <w:marBottom w:val="0"/>
              <w:divBdr>
                <w:top w:val="none" w:sz="0" w:space="0" w:color="auto"/>
                <w:left w:val="none" w:sz="0" w:space="0" w:color="auto"/>
                <w:bottom w:val="none" w:sz="0" w:space="0" w:color="auto"/>
                <w:right w:val="none" w:sz="0" w:space="0" w:color="auto"/>
              </w:divBdr>
            </w:div>
          </w:divsChild>
        </w:div>
        <w:div w:id="1123303584">
          <w:marLeft w:val="0"/>
          <w:marRight w:val="0"/>
          <w:marTop w:val="0"/>
          <w:marBottom w:val="0"/>
          <w:divBdr>
            <w:top w:val="none" w:sz="0" w:space="0" w:color="auto"/>
            <w:left w:val="none" w:sz="0" w:space="0" w:color="auto"/>
            <w:bottom w:val="none" w:sz="0" w:space="0" w:color="auto"/>
            <w:right w:val="none" w:sz="0" w:space="0" w:color="auto"/>
          </w:divBdr>
          <w:divsChild>
            <w:div w:id="850413358">
              <w:marLeft w:val="0"/>
              <w:marRight w:val="0"/>
              <w:marTop w:val="0"/>
              <w:marBottom w:val="0"/>
              <w:divBdr>
                <w:top w:val="none" w:sz="0" w:space="0" w:color="auto"/>
                <w:left w:val="none" w:sz="0" w:space="0" w:color="auto"/>
                <w:bottom w:val="none" w:sz="0" w:space="0" w:color="auto"/>
                <w:right w:val="none" w:sz="0" w:space="0" w:color="auto"/>
              </w:divBdr>
            </w:div>
          </w:divsChild>
        </w:div>
        <w:div w:id="1130707194">
          <w:marLeft w:val="0"/>
          <w:marRight w:val="0"/>
          <w:marTop w:val="0"/>
          <w:marBottom w:val="0"/>
          <w:divBdr>
            <w:top w:val="none" w:sz="0" w:space="0" w:color="auto"/>
            <w:left w:val="none" w:sz="0" w:space="0" w:color="auto"/>
            <w:bottom w:val="none" w:sz="0" w:space="0" w:color="auto"/>
            <w:right w:val="none" w:sz="0" w:space="0" w:color="auto"/>
          </w:divBdr>
          <w:divsChild>
            <w:div w:id="1036197245">
              <w:marLeft w:val="0"/>
              <w:marRight w:val="0"/>
              <w:marTop w:val="0"/>
              <w:marBottom w:val="0"/>
              <w:divBdr>
                <w:top w:val="none" w:sz="0" w:space="0" w:color="auto"/>
                <w:left w:val="none" w:sz="0" w:space="0" w:color="auto"/>
                <w:bottom w:val="none" w:sz="0" w:space="0" w:color="auto"/>
                <w:right w:val="none" w:sz="0" w:space="0" w:color="auto"/>
              </w:divBdr>
            </w:div>
          </w:divsChild>
        </w:div>
        <w:div w:id="1148789097">
          <w:marLeft w:val="0"/>
          <w:marRight w:val="0"/>
          <w:marTop w:val="0"/>
          <w:marBottom w:val="0"/>
          <w:divBdr>
            <w:top w:val="none" w:sz="0" w:space="0" w:color="auto"/>
            <w:left w:val="none" w:sz="0" w:space="0" w:color="auto"/>
            <w:bottom w:val="none" w:sz="0" w:space="0" w:color="auto"/>
            <w:right w:val="none" w:sz="0" w:space="0" w:color="auto"/>
          </w:divBdr>
          <w:divsChild>
            <w:div w:id="2052806387">
              <w:marLeft w:val="0"/>
              <w:marRight w:val="0"/>
              <w:marTop w:val="0"/>
              <w:marBottom w:val="0"/>
              <w:divBdr>
                <w:top w:val="none" w:sz="0" w:space="0" w:color="auto"/>
                <w:left w:val="none" w:sz="0" w:space="0" w:color="auto"/>
                <w:bottom w:val="none" w:sz="0" w:space="0" w:color="auto"/>
                <w:right w:val="none" w:sz="0" w:space="0" w:color="auto"/>
              </w:divBdr>
            </w:div>
          </w:divsChild>
        </w:div>
        <w:div w:id="1182888951">
          <w:marLeft w:val="0"/>
          <w:marRight w:val="0"/>
          <w:marTop w:val="0"/>
          <w:marBottom w:val="0"/>
          <w:divBdr>
            <w:top w:val="none" w:sz="0" w:space="0" w:color="auto"/>
            <w:left w:val="none" w:sz="0" w:space="0" w:color="auto"/>
            <w:bottom w:val="none" w:sz="0" w:space="0" w:color="auto"/>
            <w:right w:val="none" w:sz="0" w:space="0" w:color="auto"/>
          </w:divBdr>
          <w:divsChild>
            <w:div w:id="1012991515">
              <w:marLeft w:val="0"/>
              <w:marRight w:val="0"/>
              <w:marTop w:val="0"/>
              <w:marBottom w:val="0"/>
              <w:divBdr>
                <w:top w:val="none" w:sz="0" w:space="0" w:color="auto"/>
                <w:left w:val="none" w:sz="0" w:space="0" w:color="auto"/>
                <w:bottom w:val="none" w:sz="0" w:space="0" w:color="auto"/>
                <w:right w:val="none" w:sz="0" w:space="0" w:color="auto"/>
              </w:divBdr>
            </w:div>
          </w:divsChild>
        </w:div>
        <w:div w:id="1189217937">
          <w:marLeft w:val="0"/>
          <w:marRight w:val="0"/>
          <w:marTop w:val="0"/>
          <w:marBottom w:val="0"/>
          <w:divBdr>
            <w:top w:val="none" w:sz="0" w:space="0" w:color="auto"/>
            <w:left w:val="none" w:sz="0" w:space="0" w:color="auto"/>
            <w:bottom w:val="none" w:sz="0" w:space="0" w:color="auto"/>
            <w:right w:val="none" w:sz="0" w:space="0" w:color="auto"/>
          </w:divBdr>
          <w:divsChild>
            <w:div w:id="1098066408">
              <w:marLeft w:val="0"/>
              <w:marRight w:val="0"/>
              <w:marTop w:val="0"/>
              <w:marBottom w:val="0"/>
              <w:divBdr>
                <w:top w:val="none" w:sz="0" w:space="0" w:color="auto"/>
                <w:left w:val="none" w:sz="0" w:space="0" w:color="auto"/>
                <w:bottom w:val="none" w:sz="0" w:space="0" w:color="auto"/>
                <w:right w:val="none" w:sz="0" w:space="0" w:color="auto"/>
              </w:divBdr>
            </w:div>
          </w:divsChild>
        </w:div>
        <w:div w:id="1210604470">
          <w:marLeft w:val="0"/>
          <w:marRight w:val="0"/>
          <w:marTop w:val="0"/>
          <w:marBottom w:val="0"/>
          <w:divBdr>
            <w:top w:val="none" w:sz="0" w:space="0" w:color="auto"/>
            <w:left w:val="none" w:sz="0" w:space="0" w:color="auto"/>
            <w:bottom w:val="none" w:sz="0" w:space="0" w:color="auto"/>
            <w:right w:val="none" w:sz="0" w:space="0" w:color="auto"/>
          </w:divBdr>
          <w:divsChild>
            <w:div w:id="1772506960">
              <w:marLeft w:val="0"/>
              <w:marRight w:val="0"/>
              <w:marTop w:val="0"/>
              <w:marBottom w:val="0"/>
              <w:divBdr>
                <w:top w:val="none" w:sz="0" w:space="0" w:color="auto"/>
                <w:left w:val="none" w:sz="0" w:space="0" w:color="auto"/>
                <w:bottom w:val="none" w:sz="0" w:space="0" w:color="auto"/>
                <w:right w:val="none" w:sz="0" w:space="0" w:color="auto"/>
              </w:divBdr>
            </w:div>
          </w:divsChild>
        </w:div>
        <w:div w:id="1218397876">
          <w:marLeft w:val="0"/>
          <w:marRight w:val="0"/>
          <w:marTop w:val="0"/>
          <w:marBottom w:val="0"/>
          <w:divBdr>
            <w:top w:val="none" w:sz="0" w:space="0" w:color="auto"/>
            <w:left w:val="none" w:sz="0" w:space="0" w:color="auto"/>
            <w:bottom w:val="none" w:sz="0" w:space="0" w:color="auto"/>
            <w:right w:val="none" w:sz="0" w:space="0" w:color="auto"/>
          </w:divBdr>
          <w:divsChild>
            <w:div w:id="550195384">
              <w:marLeft w:val="0"/>
              <w:marRight w:val="0"/>
              <w:marTop w:val="0"/>
              <w:marBottom w:val="0"/>
              <w:divBdr>
                <w:top w:val="none" w:sz="0" w:space="0" w:color="auto"/>
                <w:left w:val="none" w:sz="0" w:space="0" w:color="auto"/>
                <w:bottom w:val="none" w:sz="0" w:space="0" w:color="auto"/>
                <w:right w:val="none" w:sz="0" w:space="0" w:color="auto"/>
              </w:divBdr>
            </w:div>
          </w:divsChild>
        </w:div>
        <w:div w:id="1238252147">
          <w:marLeft w:val="0"/>
          <w:marRight w:val="0"/>
          <w:marTop w:val="0"/>
          <w:marBottom w:val="0"/>
          <w:divBdr>
            <w:top w:val="none" w:sz="0" w:space="0" w:color="auto"/>
            <w:left w:val="none" w:sz="0" w:space="0" w:color="auto"/>
            <w:bottom w:val="none" w:sz="0" w:space="0" w:color="auto"/>
            <w:right w:val="none" w:sz="0" w:space="0" w:color="auto"/>
          </w:divBdr>
          <w:divsChild>
            <w:div w:id="1744795184">
              <w:marLeft w:val="0"/>
              <w:marRight w:val="0"/>
              <w:marTop w:val="0"/>
              <w:marBottom w:val="0"/>
              <w:divBdr>
                <w:top w:val="none" w:sz="0" w:space="0" w:color="auto"/>
                <w:left w:val="none" w:sz="0" w:space="0" w:color="auto"/>
                <w:bottom w:val="none" w:sz="0" w:space="0" w:color="auto"/>
                <w:right w:val="none" w:sz="0" w:space="0" w:color="auto"/>
              </w:divBdr>
            </w:div>
          </w:divsChild>
        </w:div>
        <w:div w:id="1292662953">
          <w:marLeft w:val="0"/>
          <w:marRight w:val="0"/>
          <w:marTop w:val="0"/>
          <w:marBottom w:val="0"/>
          <w:divBdr>
            <w:top w:val="none" w:sz="0" w:space="0" w:color="auto"/>
            <w:left w:val="none" w:sz="0" w:space="0" w:color="auto"/>
            <w:bottom w:val="none" w:sz="0" w:space="0" w:color="auto"/>
            <w:right w:val="none" w:sz="0" w:space="0" w:color="auto"/>
          </w:divBdr>
          <w:divsChild>
            <w:div w:id="516965626">
              <w:marLeft w:val="0"/>
              <w:marRight w:val="0"/>
              <w:marTop w:val="0"/>
              <w:marBottom w:val="0"/>
              <w:divBdr>
                <w:top w:val="none" w:sz="0" w:space="0" w:color="auto"/>
                <w:left w:val="none" w:sz="0" w:space="0" w:color="auto"/>
                <w:bottom w:val="none" w:sz="0" w:space="0" w:color="auto"/>
                <w:right w:val="none" w:sz="0" w:space="0" w:color="auto"/>
              </w:divBdr>
            </w:div>
          </w:divsChild>
        </w:div>
        <w:div w:id="1294486204">
          <w:marLeft w:val="0"/>
          <w:marRight w:val="0"/>
          <w:marTop w:val="0"/>
          <w:marBottom w:val="0"/>
          <w:divBdr>
            <w:top w:val="none" w:sz="0" w:space="0" w:color="auto"/>
            <w:left w:val="none" w:sz="0" w:space="0" w:color="auto"/>
            <w:bottom w:val="none" w:sz="0" w:space="0" w:color="auto"/>
            <w:right w:val="none" w:sz="0" w:space="0" w:color="auto"/>
          </w:divBdr>
          <w:divsChild>
            <w:div w:id="1830093749">
              <w:marLeft w:val="0"/>
              <w:marRight w:val="0"/>
              <w:marTop w:val="0"/>
              <w:marBottom w:val="0"/>
              <w:divBdr>
                <w:top w:val="none" w:sz="0" w:space="0" w:color="auto"/>
                <w:left w:val="none" w:sz="0" w:space="0" w:color="auto"/>
                <w:bottom w:val="none" w:sz="0" w:space="0" w:color="auto"/>
                <w:right w:val="none" w:sz="0" w:space="0" w:color="auto"/>
              </w:divBdr>
            </w:div>
          </w:divsChild>
        </w:div>
        <w:div w:id="1301423436">
          <w:marLeft w:val="0"/>
          <w:marRight w:val="0"/>
          <w:marTop w:val="0"/>
          <w:marBottom w:val="0"/>
          <w:divBdr>
            <w:top w:val="none" w:sz="0" w:space="0" w:color="auto"/>
            <w:left w:val="none" w:sz="0" w:space="0" w:color="auto"/>
            <w:bottom w:val="none" w:sz="0" w:space="0" w:color="auto"/>
            <w:right w:val="none" w:sz="0" w:space="0" w:color="auto"/>
          </w:divBdr>
          <w:divsChild>
            <w:div w:id="1309479796">
              <w:marLeft w:val="0"/>
              <w:marRight w:val="0"/>
              <w:marTop w:val="0"/>
              <w:marBottom w:val="0"/>
              <w:divBdr>
                <w:top w:val="none" w:sz="0" w:space="0" w:color="auto"/>
                <w:left w:val="none" w:sz="0" w:space="0" w:color="auto"/>
                <w:bottom w:val="none" w:sz="0" w:space="0" w:color="auto"/>
                <w:right w:val="none" w:sz="0" w:space="0" w:color="auto"/>
              </w:divBdr>
            </w:div>
          </w:divsChild>
        </w:div>
        <w:div w:id="1301687919">
          <w:marLeft w:val="0"/>
          <w:marRight w:val="0"/>
          <w:marTop w:val="0"/>
          <w:marBottom w:val="0"/>
          <w:divBdr>
            <w:top w:val="none" w:sz="0" w:space="0" w:color="auto"/>
            <w:left w:val="none" w:sz="0" w:space="0" w:color="auto"/>
            <w:bottom w:val="none" w:sz="0" w:space="0" w:color="auto"/>
            <w:right w:val="none" w:sz="0" w:space="0" w:color="auto"/>
          </w:divBdr>
          <w:divsChild>
            <w:div w:id="1015108182">
              <w:marLeft w:val="0"/>
              <w:marRight w:val="0"/>
              <w:marTop w:val="0"/>
              <w:marBottom w:val="0"/>
              <w:divBdr>
                <w:top w:val="none" w:sz="0" w:space="0" w:color="auto"/>
                <w:left w:val="none" w:sz="0" w:space="0" w:color="auto"/>
                <w:bottom w:val="none" w:sz="0" w:space="0" w:color="auto"/>
                <w:right w:val="none" w:sz="0" w:space="0" w:color="auto"/>
              </w:divBdr>
            </w:div>
          </w:divsChild>
        </w:div>
        <w:div w:id="1333874056">
          <w:marLeft w:val="0"/>
          <w:marRight w:val="0"/>
          <w:marTop w:val="0"/>
          <w:marBottom w:val="0"/>
          <w:divBdr>
            <w:top w:val="none" w:sz="0" w:space="0" w:color="auto"/>
            <w:left w:val="none" w:sz="0" w:space="0" w:color="auto"/>
            <w:bottom w:val="none" w:sz="0" w:space="0" w:color="auto"/>
            <w:right w:val="none" w:sz="0" w:space="0" w:color="auto"/>
          </w:divBdr>
          <w:divsChild>
            <w:div w:id="484664653">
              <w:marLeft w:val="0"/>
              <w:marRight w:val="0"/>
              <w:marTop w:val="0"/>
              <w:marBottom w:val="0"/>
              <w:divBdr>
                <w:top w:val="none" w:sz="0" w:space="0" w:color="auto"/>
                <w:left w:val="none" w:sz="0" w:space="0" w:color="auto"/>
                <w:bottom w:val="none" w:sz="0" w:space="0" w:color="auto"/>
                <w:right w:val="none" w:sz="0" w:space="0" w:color="auto"/>
              </w:divBdr>
            </w:div>
          </w:divsChild>
        </w:div>
        <w:div w:id="1349061035">
          <w:marLeft w:val="0"/>
          <w:marRight w:val="0"/>
          <w:marTop w:val="0"/>
          <w:marBottom w:val="0"/>
          <w:divBdr>
            <w:top w:val="none" w:sz="0" w:space="0" w:color="auto"/>
            <w:left w:val="none" w:sz="0" w:space="0" w:color="auto"/>
            <w:bottom w:val="none" w:sz="0" w:space="0" w:color="auto"/>
            <w:right w:val="none" w:sz="0" w:space="0" w:color="auto"/>
          </w:divBdr>
          <w:divsChild>
            <w:div w:id="1886795975">
              <w:marLeft w:val="0"/>
              <w:marRight w:val="0"/>
              <w:marTop w:val="0"/>
              <w:marBottom w:val="0"/>
              <w:divBdr>
                <w:top w:val="none" w:sz="0" w:space="0" w:color="auto"/>
                <w:left w:val="none" w:sz="0" w:space="0" w:color="auto"/>
                <w:bottom w:val="none" w:sz="0" w:space="0" w:color="auto"/>
                <w:right w:val="none" w:sz="0" w:space="0" w:color="auto"/>
              </w:divBdr>
            </w:div>
          </w:divsChild>
        </w:div>
        <w:div w:id="1360665529">
          <w:marLeft w:val="0"/>
          <w:marRight w:val="0"/>
          <w:marTop w:val="0"/>
          <w:marBottom w:val="0"/>
          <w:divBdr>
            <w:top w:val="none" w:sz="0" w:space="0" w:color="auto"/>
            <w:left w:val="none" w:sz="0" w:space="0" w:color="auto"/>
            <w:bottom w:val="none" w:sz="0" w:space="0" w:color="auto"/>
            <w:right w:val="none" w:sz="0" w:space="0" w:color="auto"/>
          </w:divBdr>
          <w:divsChild>
            <w:div w:id="1526746580">
              <w:marLeft w:val="0"/>
              <w:marRight w:val="0"/>
              <w:marTop w:val="0"/>
              <w:marBottom w:val="0"/>
              <w:divBdr>
                <w:top w:val="none" w:sz="0" w:space="0" w:color="auto"/>
                <w:left w:val="none" w:sz="0" w:space="0" w:color="auto"/>
                <w:bottom w:val="none" w:sz="0" w:space="0" w:color="auto"/>
                <w:right w:val="none" w:sz="0" w:space="0" w:color="auto"/>
              </w:divBdr>
            </w:div>
          </w:divsChild>
        </w:div>
        <w:div w:id="1368408984">
          <w:marLeft w:val="0"/>
          <w:marRight w:val="0"/>
          <w:marTop w:val="0"/>
          <w:marBottom w:val="0"/>
          <w:divBdr>
            <w:top w:val="none" w:sz="0" w:space="0" w:color="auto"/>
            <w:left w:val="none" w:sz="0" w:space="0" w:color="auto"/>
            <w:bottom w:val="none" w:sz="0" w:space="0" w:color="auto"/>
            <w:right w:val="none" w:sz="0" w:space="0" w:color="auto"/>
          </w:divBdr>
          <w:divsChild>
            <w:div w:id="682170362">
              <w:marLeft w:val="0"/>
              <w:marRight w:val="0"/>
              <w:marTop w:val="0"/>
              <w:marBottom w:val="0"/>
              <w:divBdr>
                <w:top w:val="none" w:sz="0" w:space="0" w:color="auto"/>
                <w:left w:val="none" w:sz="0" w:space="0" w:color="auto"/>
                <w:bottom w:val="none" w:sz="0" w:space="0" w:color="auto"/>
                <w:right w:val="none" w:sz="0" w:space="0" w:color="auto"/>
              </w:divBdr>
            </w:div>
          </w:divsChild>
        </w:div>
        <w:div w:id="1410153456">
          <w:marLeft w:val="0"/>
          <w:marRight w:val="0"/>
          <w:marTop w:val="0"/>
          <w:marBottom w:val="0"/>
          <w:divBdr>
            <w:top w:val="none" w:sz="0" w:space="0" w:color="auto"/>
            <w:left w:val="none" w:sz="0" w:space="0" w:color="auto"/>
            <w:bottom w:val="none" w:sz="0" w:space="0" w:color="auto"/>
            <w:right w:val="none" w:sz="0" w:space="0" w:color="auto"/>
          </w:divBdr>
          <w:divsChild>
            <w:div w:id="1722754840">
              <w:marLeft w:val="0"/>
              <w:marRight w:val="0"/>
              <w:marTop w:val="0"/>
              <w:marBottom w:val="0"/>
              <w:divBdr>
                <w:top w:val="none" w:sz="0" w:space="0" w:color="auto"/>
                <w:left w:val="none" w:sz="0" w:space="0" w:color="auto"/>
                <w:bottom w:val="none" w:sz="0" w:space="0" w:color="auto"/>
                <w:right w:val="none" w:sz="0" w:space="0" w:color="auto"/>
              </w:divBdr>
            </w:div>
          </w:divsChild>
        </w:div>
        <w:div w:id="1426346201">
          <w:marLeft w:val="0"/>
          <w:marRight w:val="0"/>
          <w:marTop w:val="0"/>
          <w:marBottom w:val="0"/>
          <w:divBdr>
            <w:top w:val="none" w:sz="0" w:space="0" w:color="auto"/>
            <w:left w:val="none" w:sz="0" w:space="0" w:color="auto"/>
            <w:bottom w:val="none" w:sz="0" w:space="0" w:color="auto"/>
            <w:right w:val="none" w:sz="0" w:space="0" w:color="auto"/>
          </w:divBdr>
          <w:divsChild>
            <w:div w:id="570623732">
              <w:marLeft w:val="0"/>
              <w:marRight w:val="0"/>
              <w:marTop w:val="0"/>
              <w:marBottom w:val="0"/>
              <w:divBdr>
                <w:top w:val="none" w:sz="0" w:space="0" w:color="auto"/>
                <w:left w:val="none" w:sz="0" w:space="0" w:color="auto"/>
                <w:bottom w:val="none" w:sz="0" w:space="0" w:color="auto"/>
                <w:right w:val="none" w:sz="0" w:space="0" w:color="auto"/>
              </w:divBdr>
            </w:div>
          </w:divsChild>
        </w:div>
        <w:div w:id="1444304599">
          <w:marLeft w:val="0"/>
          <w:marRight w:val="0"/>
          <w:marTop w:val="0"/>
          <w:marBottom w:val="0"/>
          <w:divBdr>
            <w:top w:val="none" w:sz="0" w:space="0" w:color="auto"/>
            <w:left w:val="none" w:sz="0" w:space="0" w:color="auto"/>
            <w:bottom w:val="none" w:sz="0" w:space="0" w:color="auto"/>
            <w:right w:val="none" w:sz="0" w:space="0" w:color="auto"/>
          </w:divBdr>
          <w:divsChild>
            <w:div w:id="979847959">
              <w:marLeft w:val="0"/>
              <w:marRight w:val="0"/>
              <w:marTop w:val="0"/>
              <w:marBottom w:val="0"/>
              <w:divBdr>
                <w:top w:val="none" w:sz="0" w:space="0" w:color="auto"/>
                <w:left w:val="none" w:sz="0" w:space="0" w:color="auto"/>
                <w:bottom w:val="none" w:sz="0" w:space="0" w:color="auto"/>
                <w:right w:val="none" w:sz="0" w:space="0" w:color="auto"/>
              </w:divBdr>
            </w:div>
          </w:divsChild>
        </w:div>
        <w:div w:id="1448352118">
          <w:marLeft w:val="0"/>
          <w:marRight w:val="0"/>
          <w:marTop w:val="0"/>
          <w:marBottom w:val="0"/>
          <w:divBdr>
            <w:top w:val="none" w:sz="0" w:space="0" w:color="auto"/>
            <w:left w:val="none" w:sz="0" w:space="0" w:color="auto"/>
            <w:bottom w:val="none" w:sz="0" w:space="0" w:color="auto"/>
            <w:right w:val="none" w:sz="0" w:space="0" w:color="auto"/>
          </w:divBdr>
          <w:divsChild>
            <w:div w:id="149175409">
              <w:marLeft w:val="0"/>
              <w:marRight w:val="0"/>
              <w:marTop w:val="0"/>
              <w:marBottom w:val="0"/>
              <w:divBdr>
                <w:top w:val="none" w:sz="0" w:space="0" w:color="auto"/>
                <w:left w:val="none" w:sz="0" w:space="0" w:color="auto"/>
                <w:bottom w:val="none" w:sz="0" w:space="0" w:color="auto"/>
                <w:right w:val="none" w:sz="0" w:space="0" w:color="auto"/>
              </w:divBdr>
            </w:div>
          </w:divsChild>
        </w:div>
        <w:div w:id="1450706141">
          <w:marLeft w:val="0"/>
          <w:marRight w:val="0"/>
          <w:marTop w:val="0"/>
          <w:marBottom w:val="0"/>
          <w:divBdr>
            <w:top w:val="none" w:sz="0" w:space="0" w:color="auto"/>
            <w:left w:val="none" w:sz="0" w:space="0" w:color="auto"/>
            <w:bottom w:val="none" w:sz="0" w:space="0" w:color="auto"/>
            <w:right w:val="none" w:sz="0" w:space="0" w:color="auto"/>
          </w:divBdr>
          <w:divsChild>
            <w:div w:id="1418557190">
              <w:marLeft w:val="0"/>
              <w:marRight w:val="0"/>
              <w:marTop w:val="0"/>
              <w:marBottom w:val="0"/>
              <w:divBdr>
                <w:top w:val="none" w:sz="0" w:space="0" w:color="auto"/>
                <w:left w:val="none" w:sz="0" w:space="0" w:color="auto"/>
                <w:bottom w:val="none" w:sz="0" w:space="0" w:color="auto"/>
                <w:right w:val="none" w:sz="0" w:space="0" w:color="auto"/>
              </w:divBdr>
            </w:div>
          </w:divsChild>
        </w:div>
        <w:div w:id="1481189299">
          <w:marLeft w:val="0"/>
          <w:marRight w:val="0"/>
          <w:marTop w:val="0"/>
          <w:marBottom w:val="0"/>
          <w:divBdr>
            <w:top w:val="none" w:sz="0" w:space="0" w:color="auto"/>
            <w:left w:val="none" w:sz="0" w:space="0" w:color="auto"/>
            <w:bottom w:val="none" w:sz="0" w:space="0" w:color="auto"/>
            <w:right w:val="none" w:sz="0" w:space="0" w:color="auto"/>
          </w:divBdr>
          <w:divsChild>
            <w:div w:id="1938902511">
              <w:marLeft w:val="0"/>
              <w:marRight w:val="0"/>
              <w:marTop w:val="0"/>
              <w:marBottom w:val="0"/>
              <w:divBdr>
                <w:top w:val="none" w:sz="0" w:space="0" w:color="auto"/>
                <w:left w:val="none" w:sz="0" w:space="0" w:color="auto"/>
                <w:bottom w:val="none" w:sz="0" w:space="0" w:color="auto"/>
                <w:right w:val="none" w:sz="0" w:space="0" w:color="auto"/>
              </w:divBdr>
            </w:div>
          </w:divsChild>
        </w:div>
        <w:div w:id="1481925824">
          <w:marLeft w:val="0"/>
          <w:marRight w:val="0"/>
          <w:marTop w:val="0"/>
          <w:marBottom w:val="0"/>
          <w:divBdr>
            <w:top w:val="none" w:sz="0" w:space="0" w:color="auto"/>
            <w:left w:val="none" w:sz="0" w:space="0" w:color="auto"/>
            <w:bottom w:val="none" w:sz="0" w:space="0" w:color="auto"/>
            <w:right w:val="none" w:sz="0" w:space="0" w:color="auto"/>
          </w:divBdr>
          <w:divsChild>
            <w:div w:id="1709794350">
              <w:marLeft w:val="0"/>
              <w:marRight w:val="0"/>
              <w:marTop w:val="0"/>
              <w:marBottom w:val="0"/>
              <w:divBdr>
                <w:top w:val="none" w:sz="0" w:space="0" w:color="auto"/>
                <w:left w:val="none" w:sz="0" w:space="0" w:color="auto"/>
                <w:bottom w:val="none" w:sz="0" w:space="0" w:color="auto"/>
                <w:right w:val="none" w:sz="0" w:space="0" w:color="auto"/>
              </w:divBdr>
            </w:div>
          </w:divsChild>
        </w:div>
        <w:div w:id="1486892097">
          <w:marLeft w:val="0"/>
          <w:marRight w:val="0"/>
          <w:marTop w:val="0"/>
          <w:marBottom w:val="0"/>
          <w:divBdr>
            <w:top w:val="none" w:sz="0" w:space="0" w:color="auto"/>
            <w:left w:val="none" w:sz="0" w:space="0" w:color="auto"/>
            <w:bottom w:val="none" w:sz="0" w:space="0" w:color="auto"/>
            <w:right w:val="none" w:sz="0" w:space="0" w:color="auto"/>
          </w:divBdr>
          <w:divsChild>
            <w:div w:id="492255725">
              <w:marLeft w:val="0"/>
              <w:marRight w:val="0"/>
              <w:marTop w:val="0"/>
              <w:marBottom w:val="0"/>
              <w:divBdr>
                <w:top w:val="none" w:sz="0" w:space="0" w:color="auto"/>
                <w:left w:val="none" w:sz="0" w:space="0" w:color="auto"/>
                <w:bottom w:val="none" w:sz="0" w:space="0" w:color="auto"/>
                <w:right w:val="none" w:sz="0" w:space="0" w:color="auto"/>
              </w:divBdr>
            </w:div>
          </w:divsChild>
        </w:div>
        <w:div w:id="1548225942">
          <w:marLeft w:val="0"/>
          <w:marRight w:val="0"/>
          <w:marTop w:val="0"/>
          <w:marBottom w:val="0"/>
          <w:divBdr>
            <w:top w:val="none" w:sz="0" w:space="0" w:color="auto"/>
            <w:left w:val="none" w:sz="0" w:space="0" w:color="auto"/>
            <w:bottom w:val="none" w:sz="0" w:space="0" w:color="auto"/>
            <w:right w:val="none" w:sz="0" w:space="0" w:color="auto"/>
          </w:divBdr>
          <w:divsChild>
            <w:div w:id="1162351710">
              <w:marLeft w:val="0"/>
              <w:marRight w:val="0"/>
              <w:marTop w:val="0"/>
              <w:marBottom w:val="0"/>
              <w:divBdr>
                <w:top w:val="none" w:sz="0" w:space="0" w:color="auto"/>
                <w:left w:val="none" w:sz="0" w:space="0" w:color="auto"/>
                <w:bottom w:val="none" w:sz="0" w:space="0" w:color="auto"/>
                <w:right w:val="none" w:sz="0" w:space="0" w:color="auto"/>
              </w:divBdr>
            </w:div>
          </w:divsChild>
        </w:div>
        <w:div w:id="1552884183">
          <w:marLeft w:val="0"/>
          <w:marRight w:val="0"/>
          <w:marTop w:val="0"/>
          <w:marBottom w:val="0"/>
          <w:divBdr>
            <w:top w:val="none" w:sz="0" w:space="0" w:color="auto"/>
            <w:left w:val="none" w:sz="0" w:space="0" w:color="auto"/>
            <w:bottom w:val="none" w:sz="0" w:space="0" w:color="auto"/>
            <w:right w:val="none" w:sz="0" w:space="0" w:color="auto"/>
          </w:divBdr>
          <w:divsChild>
            <w:div w:id="539441665">
              <w:marLeft w:val="0"/>
              <w:marRight w:val="0"/>
              <w:marTop w:val="0"/>
              <w:marBottom w:val="0"/>
              <w:divBdr>
                <w:top w:val="none" w:sz="0" w:space="0" w:color="auto"/>
                <w:left w:val="none" w:sz="0" w:space="0" w:color="auto"/>
                <w:bottom w:val="none" w:sz="0" w:space="0" w:color="auto"/>
                <w:right w:val="none" w:sz="0" w:space="0" w:color="auto"/>
              </w:divBdr>
            </w:div>
          </w:divsChild>
        </w:div>
        <w:div w:id="1599564178">
          <w:marLeft w:val="0"/>
          <w:marRight w:val="0"/>
          <w:marTop w:val="0"/>
          <w:marBottom w:val="0"/>
          <w:divBdr>
            <w:top w:val="none" w:sz="0" w:space="0" w:color="auto"/>
            <w:left w:val="none" w:sz="0" w:space="0" w:color="auto"/>
            <w:bottom w:val="none" w:sz="0" w:space="0" w:color="auto"/>
            <w:right w:val="none" w:sz="0" w:space="0" w:color="auto"/>
          </w:divBdr>
          <w:divsChild>
            <w:div w:id="1815364215">
              <w:marLeft w:val="0"/>
              <w:marRight w:val="0"/>
              <w:marTop w:val="0"/>
              <w:marBottom w:val="0"/>
              <w:divBdr>
                <w:top w:val="none" w:sz="0" w:space="0" w:color="auto"/>
                <w:left w:val="none" w:sz="0" w:space="0" w:color="auto"/>
                <w:bottom w:val="none" w:sz="0" w:space="0" w:color="auto"/>
                <w:right w:val="none" w:sz="0" w:space="0" w:color="auto"/>
              </w:divBdr>
            </w:div>
          </w:divsChild>
        </w:div>
        <w:div w:id="1602376603">
          <w:marLeft w:val="0"/>
          <w:marRight w:val="0"/>
          <w:marTop w:val="0"/>
          <w:marBottom w:val="0"/>
          <w:divBdr>
            <w:top w:val="none" w:sz="0" w:space="0" w:color="auto"/>
            <w:left w:val="none" w:sz="0" w:space="0" w:color="auto"/>
            <w:bottom w:val="none" w:sz="0" w:space="0" w:color="auto"/>
            <w:right w:val="none" w:sz="0" w:space="0" w:color="auto"/>
          </w:divBdr>
          <w:divsChild>
            <w:div w:id="592012561">
              <w:marLeft w:val="0"/>
              <w:marRight w:val="0"/>
              <w:marTop w:val="0"/>
              <w:marBottom w:val="0"/>
              <w:divBdr>
                <w:top w:val="none" w:sz="0" w:space="0" w:color="auto"/>
                <w:left w:val="none" w:sz="0" w:space="0" w:color="auto"/>
                <w:bottom w:val="none" w:sz="0" w:space="0" w:color="auto"/>
                <w:right w:val="none" w:sz="0" w:space="0" w:color="auto"/>
              </w:divBdr>
            </w:div>
          </w:divsChild>
        </w:div>
        <w:div w:id="1608847209">
          <w:marLeft w:val="0"/>
          <w:marRight w:val="0"/>
          <w:marTop w:val="0"/>
          <w:marBottom w:val="0"/>
          <w:divBdr>
            <w:top w:val="none" w:sz="0" w:space="0" w:color="auto"/>
            <w:left w:val="none" w:sz="0" w:space="0" w:color="auto"/>
            <w:bottom w:val="none" w:sz="0" w:space="0" w:color="auto"/>
            <w:right w:val="none" w:sz="0" w:space="0" w:color="auto"/>
          </w:divBdr>
          <w:divsChild>
            <w:div w:id="1566524950">
              <w:marLeft w:val="0"/>
              <w:marRight w:val="0"/>
              <w:marTop w:val="0"/>
              <w:marBottom w:val="0"/>
              <w:divBdr>
                <w:top w:val="none" w:sz="0" w:space="0" w:color="auto"/>
                <w:left w:val="none" w:sz="0" w:space="0" w:color="auto"/>
                <w:bottom w:val="none" w:sz="0" w:space="0" w:color="auto"/>
                <w:right w:val="none" w:sz="0" w:space="0" w:color="auto"/>
              </w:divBdr>
            </w:div>
          </w:divsChild>
        </w:div>
        <w:div w:id="1628009524">
          <w:marLeft w:val="0"/>
          <w:marRight w:val="0"/>
          <w:marTop w:val="0"/>
          <w:marBottom w:val="0"/>
          <w:divBdr>
            <w:top w:val="none" w:sz="0" w:space="0" w:color="auto"/>
            <w:left w:val="none" w:sz="0" w:space="0" w:color="auto"/>
            <w:bottom w:val="none" w:sz="0" w:space="0" w:color="auto"/>
            <w:right w:val="none" w:sz="0" w:space="0" w:color="auto"/>
          </w:divBdr>
          <w:divsChild>
            <w:div w:id="697704106">
              <w:marLeft w:val="0"/>
              <w:marRight w:val="0"/>
              <w:marTop w:val="0"/>
              <w:marBottom w:val="0"/>
              <w:divBdr>
                <w:top w:val="none" w:sz="0" w:space="0" w:color="auto"/>
                <w:left w:val="none" w:sz="0" w:space="0" w:color="auto"/>
                <w:bottom w:val="none" w:sz="0" w:space="0" w:color="auto"/>
                <w:right w:val="none" w:sz="0" w:space="0" w:color="auto"/>
              </w:divBdr>
            </w:div>
          </w:divsChild>
        </w:div>
        <w:div w:id="1633245152">
          <w:marLeft w:val="0"/>
          <w:marRight w:val="0"/>
          <w:marTop w:val="0"/>
          <w:marBottom w:val="0"/>
          <w:divBdr>
            <w:top w:val="none" w:sz="0" w:space="0" w:color="auto"/>
            <w:left w:val="none" w:sz="0" w:space="0" w:color="auto"/>
            <w:bottom w:val="none" w:sz="0" w:space="0" w:color="auto"/>
            <w:right w:val="none" w:sz="0" w:space="0" w:color="auto"/>
          </w:divBdr>
          <w:divsChild>
            <w:div w:id="322590348">
              <w:marLeft w:val="0"/>
              <w:marRight w:val="0"/>
              <w:marTop w:val="0"/>
              <w:marBottom w:val="0"/>
              <w:divBdr>
                <w:top w:val="none" w:sz="0" w:space="0" w:color="auto"/>
                <w:left w:val="none" w:sz="0" w:space="0" w:color="auto"/>
                <w:bottom w:val="none" w:sz="0" w:space="0" w:color="auto"/>
                <w:right w:val="none" w:sz="0" w:space="0" w:color="auto"/>
              </w:divBdr>
            </w:div>
          </w:divsChild>
        </w:div>
        <w:div w:id="1647127214">
          <w:marLeft w:val="0"/>
          <w:marRight w:val="0"/>
          <w:marTop w:val="0"/>
          <w:marBottom w:val="0"/>
          <w:divBdr>
            <w:top w:val="none" w:sz="0" w:space="0" w:color="auto"/>
            <w:left w:val="none" w:sz="0" w:space="0" w:color="auto"/>
            <w:bottom w:val="none" w:sz="0" w:space="0" w:color="auto"/>
            <w:right w:val="none" w:sz="0" w:space="0" w:color="auto"/>
          </w:divBdr>
          <w:divsChild>
            <w:div w:id="379865409">
              <w:marLeft w:val="0"/>
              <w:marRight w:val="0"/>
              <w:marTop w:val="0"/>
              <w:marBottom w:val="0"/>
              <w:divBdr>
                <w:top w:val="none" w:sz="0" w:space="0" w:color="auto"/>
                <w:left w:val="none" w:sz="0" w:space="0" w:color="auto"/>
                <w:bottom w:val="none" w:sz="0" w:space="0" w:color="auto"/>
                <w:right w:val="none" w:sz="0" w:space="0" w:color="auto"/>
              </w:divBdr>
            </w:div>
          </w:divsChild>
        </w:div>
        <w:div w:id="1654943522">
          <w:marLeft w:val="0"/>
          <w:marRight w:val="0"/>
          <w:marTop w:val="0"/>
          <w:marBottom w:val="0"/>
          <w:divBdr>
            <w:top w:val="none" w:sz="0" w:space="0" w:color="auto"/>
            <w:left w:val="none" w:sz="0" w:space="0" w:color="auto"/>
            <w:bottom w:val="none" w:sz="0" w:space="0" w:color="auto"/>
            <w:right w:val="none" w:sz="0" w:space="0" w:color="auto"/>
          </w:divBdr>
          <w:divsChild>
            <w:div w:id="290789083">
              <w:marLeft w:val="0"/>
              <w:marRight w:val="0"/>
              <w:marTop w:val="0"/>
              <w:marBottom w:val="0"/>
              <w:divBdr>
                <w:top w:val="none" w:sz="0" w:space="0" w:color="auto"/>
                <w:left w:val="none" w:sz="0" w:space="0" w:color="auto"/>
                <w:bottom w:val="none" w:sz="0" w:space="0" w:color="auto"/>
                <w:right w:val="none" w:sz="0" w:space="0" w:color="auto"/>
              </w:divBdr>
            </w:div>
          </w:divsChild>
        </w:div>
        <w:div w:id="1698234465">
          <w:marLeft w:val="0"/>
          <w:marRight w:val="0"/>
          <w:marTop w:val="0"/>
          <w:marBottom w:val="0"/>
          <w:divBdr>
            <w:top w:val="none" w:sz="0" w:space="0" w:color="auto"/>
            <w:left w:val="none" w:sz="0" w:space="0" w:color="auto"/>
            <w:bottom w:val="none" w:sz="0" w:space="0" w:color="auto"/>
            <w:right w:val="none" w:sz="0" w:space="0" w:color="auto"/>
          </w:divBdr>
          <w:divsChild>
            <w:div w:id="2103450321">
              <w:marLeft w:val="0"/>
              <w:marRight w:val="0"/>
              <w:marTop w:val="0"/>
              <w:marBottom w:val="0"/>
              <w:divBdr>
                <w:top w:val="none" w:sz="0" w:space="0" w:color="auto"/>
                <w:left w:val="none" w:sz="0" w:space="0" w:color="auto"/>
                <w:bottom w:val="none" w:sz="0" w:space="0" w:color="auto"/>
                <w:right w:val="none" w:sz="0" w:space="0" w:color="auto"/>
              </w:divBdr>
            </w:div>
          </w:divsChild>
        </w:div>
        <w:div w:id="1725834887">
          <w:marLeft w:val="0"/>
          <w:marRight w:val="0"/>
          <w:marTop w:val="0"/>
          <w:marBottom w:val="0"/>
          <w:divBdr>
            <w:top w:val="none" w:sz="0" w:space="0" w:color="auto"/>
            <w:left w:val="none" w:sz="0" w:space="0" w:color="auto"/>
            <w:bottom w:val="none" w:sz="0" w:space="0" w:color="auto"/>
            <w:right w:val="none" w:sz="0" w:space="0" w:color="auto"/>
          </w:divBdr>
          <w:divsChild>
            <w:div w:id="916131253">
              <w:marLeft w:val="0"/>
              <w:marRight w:val="0"/>
              <w:marTop w:val="0"/>
              <w:marBottom w:val="0"/>
              <w:divBdr>
                <w:top w:val="none" w:sz="0" w:space="0" w:color="auto"/>
                <w:left w:val="none" w:sz="0" w:space="0" w:color="auto"/>
                <w:bottom w:val="none" w:sz="0" w:space="0" w:color="auto"/>
                <w:right w:val="none" w:sz="0" w:space="0" w:color="auto"/>
              </w:divBdr>
            </w:div>
          </w:divsChild>
        </w:div>
        <w:div w:id="1730611308">
          <w:marLeft w:val="0"/>
          <w:marRight w:val="0"/>
          <w:marTop w:val="0"/>
          <w:marBottom w:val="0"/>
          <w:divBdr>
            <w:top w:val="none" w:sz="0" w:space="0" w:color="auto"/>
            <w:left w:val="none" w:sz="0" w:space="0" w:color="auto"/>
            <w:bottom w:val="none" w:sz="0" w:space="0" w:color="auto"/>
            <w:right w:val="none" w:sz="0" w:space="0" w:color="auto"/>
          </w:divBdr>
          <w:divsChild>
            <w:div w:id="808742065">
              <w:marLeft w:val="0"/>
              <w:marRight w:val="0"/>
              <w:marTop w:val="0"/>
              <w:marBottom w:val="0"/>
              <w:divBdr>
                <w:top w:val="none" w:sz="0" w:space="0" w:color="auto"/>
                <w:left w:val="none" w:sz="0" w:space="0" w:color="auto"/>
                <w:bottom w:val="none" w:sz="0" w:space="0" w:color="auto"/>
                <w:right w:val="none" w:sz="0" w:space="0" w:color="auto"/>
              </w:divBdr>
            </w:div>
          </w:divsChild>
        </w:div>
        <w:div w:id="1735010582">
          <w:marLeft w:val="0"/>
          <w:marRight w:val="0"/>
          <w:marTop w:val="0"/>
          <w:marBottom w:val="0"/>
          <w:divBdr>
            <w:top w:val="none" w:sz="0" w:space="0" w:color="auto"/>
            <w:left w:val="none" w:sz="0" w:space="0" w:color="auto"/>
            <w:bottom w:val="none" w:sz="0" w:space="0" w:color="auto"/>
            <w:right w:val="none" w:sz="0" w:space="0" w:color="auto"/>
          </w:divBdr>
          <w:divsChild>
            <w:div w:id="1989286726">
              <w:marLeft w:val="0"/>
              <w:marRight w:val="0"/>
              <w:marTop w:val="0"/>
              <w:marBottom w:val="0"/>
              <w:divBdr>
                <w:top w:val="none" w:sz="0" w:space="0" w:color="auto"/>
                <w:left w:val="none" w:sz="0" w:space="0" w:color="auto"/>
                <w:bottom w:val="none" w:sz="0" w:space="0" w:color="auto"/>
                <w:right w:val="none" w:sz="0" w:space="0" w:color="auto"/>
              </w:divBdr>
            </w:div>
          </w:divsChild>
        </w:div>
        <w:div w:id="1750081446">
          <w:marLeft w:val="0"/>
          <w:marRight w:val="0"/>
          <w:marTop w:val="0"/>
          <w:marBottom w:val="0"/>
          <w:divBdr>
            <w:top w:val="none" w:sz="0" w:space="0" w:color="auto"/>
            <w:left w:val="none" w:sz="0" w:space="0" w:color="auto"/>
            <w:bottom w:val="none" w:sz="0" w:space="0" w:color="auto"/>
            <w:right w:val="none" w:sz="0" w:space="0" w:color="auto"/>
          </w:divBdr>
          <w:divsChild>
            <w:div w:id="518666276">
              <w:marLeft w:val="0"/>
              <w:marRight w:val="0"/>
              <w:marTop w:val="0"/>
              <w:marBottom w:val="0"/>
              <w:divBdr>
                <w:top w:val="none" w:sz="0" w:space="0" w:color="auto"/>
                <w:left w:val="none" w:sz="0" w:space="0" w:color="auto"/>
                <w:bottom w:val="none" w:sz="0" w:space="0" w:color="auto"/>
                <w:right w:val="none" w:sz="0" w:space="0" w:color="auto"/>
              </w:divBdr>
            </w:div>
          </w:divsChild>
        </w:div>
        <w:div w:id="1817188055">
          <w:marLeft w:val="0"/>
          <w:marRight w:val="0"/>
          <w:marTop w:val="0"/>
          <w:marBottom w:val="0"/>
          <w:divBdr>
            <w:top w:val="none" w:sz="0" w:space="0" w:color="auto"/>
            <w:left w:val="none" w:sz="0" w:space="0" w:color="auto"/>
            <w:bottom w:val="none" w:sz="0" w:space="0" w:color="auto"/>
            <w:right w:val="none" w:sz="0" w:space="0" w:color="auto"/>
          </w:divBdr>
          <w:divsChild>
            <w:div w:id="144398979">
              <w:marLeft w:val="0"/>
              <w:marRight w:val="0"/>
              <w:marTop w:val="0"/>
              <w:marBottom w:val="0"/>
              <w:divBdr>
                <w:top w:val="none" w:sz="0" w:space="0" w:color="auto"/>
                <w:left w:val="none" w:sz="0" w:space="0" w:color="auto"/>
                <w:bottom w:val="none" w:sz="0" w:space="0" w:color="auto"/>
                <w:right w:val="none" w:sz="0" w:space="0" w:color="auto"/>
              </w:divBdr>
            </w:div>
          </w:divsChild>
        </w:div>
        <w:div w:id="1817575619">
          <w:marLeft w:val="0"/>
          <w:marRight w:val="0"/>
          <w:marTop w:val="0"/>
          <w:marBottom w:val="0"/>
          <w:divBdr>
            <w:top w:val="none" w:sz="0" w:space="0" w:color="auto"/>
            <w:left w:val="none" w:sz="0" w:space="0" w:color="auto"/>
            <w:bottom w:val="none" w:sz="0" w:space="0" w:color="auto"/>
            <w:right w:val="none" w:sz="0" w:space="0" w:color="auto"/>
          </w:divBdr>
          <w:divsChild>
            <w:div w:id="1031340969">
              <w:marLeft w:val="0"/>
              <w:marRight w:val="0"/>
              <w:marTop w:val="0"/>
              <w:marBottom w:val="0"/>
              <w:divBdr>
                <w:top w:val="none" w:sz="0" w:space="0" w:color="auto"/>
                <w:left w:val="none" w:sz="0" w:space="0" w:color="auto"/>
                <w:bottom w:val="none" w:sz="0" w:space="0" w:color="auto"/>
                <w:right w:val="none" w:sz="0" w:space="0" w:color="auto"/>
              </w:divBdr>
            </w:div>
          </w:divsChild>
        </w:div>
        <w:div w:id="1854806759">
          <w:marLeft w:val="0"/>
          <w:marRight w:val="0"/>
          <w:marTop w:val="0"/>
          <w:marBottom w:val="0"/>
          <w:divBdr>
            <w:top w:val="none" w:sz="0" w:space="0" w:color="auto"/>
            <w:left w:val="none" w:sz="0" w:space="0" w:color="auto"/>
            <w:bottom w:val="none" w:sz="0" w:space="0" w:color="auto"/>
            <w:right w:val="none" w:sz="0" w:space="0" w:color="auto"/>
          </w:divBdr>
          <w:divsChild>
            <w:div w:id="1114011209">
              <w:marLeft w:val="0"/>
              <w:marRight w:val="0"/>
              <w:marTop w:val="0"/>
              <w:marBottom w:val="0"/>
              <w:divBdr>
                <w:top w:val="none" w:sz="0" w:space="0" w:color="auto"/>
                <w:left w:val="none" w:sz="0" w:space="0" w:color="auto"/>
                <w:bottom w:val="none" w:sz="0" w:space="0" w:color="auto"/>
                <w:right w:val="none" w:sz="0" w:space="0" w:color="auto"/>
              </w:divBdr>
            </w:div>
          </w:divsChild>
        </w:div>
        <w:div w:id="1861582548">
          <w:marLeft w:val="0"/>
          <w:marRight w:val="0"/>
          <w:marTop w:val="0"/>
          <w:marBottom w:val="0"/>
          <w:divBdr>
            <w:top w:val="none" w:sz="0" w:space="0" w:color="auto"/>
            <w:left w:val="none" w:sz="0" w:space="0" w:color="auto"/>
            <w:bottom w:val="none" w:sz="0" w:space="0" w:color="auto"/>
            <w:right w:val="none" w:sz="0" w:space="0" w:color="auto"/>
          </w:divBdr>
          <w:divsChild>
            <w:div w:id="2023244267">
              <w:marLeft w:val="0"/>
              <w:marRight w:val="0"/>
              <w:marTop w:val="0"/>
              <w:marBottom w:val="0"/>
              <w:divBdr>
                <w:top w:val="none" w:sz="0" w:space="0" w:color="auto"/>
                <w:left w:val="none" w:sz="0" w:space="0" w:color="auto"/>
                <w:bottom w:val="none" w:sz="0" w:space="0" w:color="auto"/>
                <w:right w:val="none" w:sz="0" w:space="0" w:color="auto"/>
              </w:divBdr>
            </w:div>
          </w:divsChild>
        </w:div>
        <w:div w:id="1882741642">
          <w:marLeft w:val="0"/>
          <w:marRight w:val="0"/>
          <w:marTop w:val="0"/>
          <w:marBottom w:val="0"/>
          <w:divBdr>
            <w:top w:val="none" w:sz="0" w:space="0" w:color="auto"/>
            <w:left w:val="none" w:sz="0" w:space="0" w:color="auto"/>
            <w:bottom w:val="none" w:sz="0" w:space="0" w:color="auto"/>
            <w:right w:val="none" w:sz="0" w:space="0" w:color="auto"/>
          </w:divBdr>
          <w:divsChild>
            <w:div w:id="1281373934">
              <w:marLeft w:val="0"/>
              <w:marRight w:val="0"/>
              <w:marTop w:val="0"/>
              <w:marBottom w:val="0"/>
              <w:divBdr>
                <w:top w:val="none" w:sz="0" w:space="0" w:color="auto"/>
                <w:left w:val="none" w:sz="0" w:space="0" w:color="auto"/>
                <w:bottom w:val="none" w:sz="0" w:space="0" w:color="auto"/>
                <w:right w:val="none" w:sz="0" w:space="0" w:color="auto"/>
              </w:divBdr>
            </w:div>
          </w:divsChild>
        </w:div>
        <w:div w:id="1931085282">
          <w:marLeft w:val="0"/>
          <w:marRight w:val="0"/>
          <w:marTop w:val="0"/>
          <w:marBottom w:val="0"/>
          <w:divBdr>
            <w:top w:val="none" w:sz="0" w:space="0" w:color="auto"/>
            <w:left w:val="none" w:sz="0" w:space="0" w:color="auto"/>
            <w:bottom w:val="none" w:sz="0" w:space="0" w:color="auto"/>
            <w:right w:val="none" w:sz="0" w:space="0" w:color="auto"/>
          </w:divBdr>
          <w:divsChild>
            <w:div w:id="1986736117">
              <w:marLeft w:val="0"/>
              <w:marRight w:val="0"/>
              <w:marTop w:val="0"/>
              <w:marBottom w:val="0"/>
              <w:divBdr>
                <w:top w:val="none" w:sz="0" w:space="0" w:color="auto"/>
                <w:left w:val="none" w:sz="0" w:space="0" w:color="auto"/>
                <w:bottom w:val="none" w:sz="0" w:space="0" w:color="auto"/>
                <w:right w:val="none" w:sz="0" w:space="0" w:color="auto"/>
              </w:divBdr>
            </w:div>
          </w:divsChild>
        </w:div>
        <w:div w:id="1949654481">
          <w:marLeft w:val="0"/>
          <w:marRight w:val="0"/>
          <w:marTop w:val="0"/>
          <w:marBottom w:val="0"/>
          <w:divBdr>
            <w:top w:val="none" w:sz="0" w:space="0" w:color="auto"/>
            <w:left w:val="none" w:sz="0" w:space="0" w:color="auto"/>
            <w:bottom w:val="none" w:sz="0" w:space="0" w:color="auto"/>
            <w:right w:val="none" w:sz="0" w:space="0" w:color="auto"/>
          </w:divBdr>
          <w:divsChild>
            <w:div w:id="1309286448">
              <w:marLeft w:val="0"/>
              <w:marRight w:val="0"/>
              <w:marTop w:val="0"/>
              <w:marBottom w:val="0"/>
              <w:divBdr>
                <w:top w:val="none" w:sz="0" w:space="0" w:color="auto"/>
                <w:left w:val="none" w:sz="0" w:space="0" w:color="auto"/>
                <w:bottom w:val="none" w:sz="0" w:space="0" w:color="auto"/>
                <w:right w:val="none" w:sz="0" w:space="0" w:color="auto"/>
              </w:divBdr>
            </w:div>
          </w:divsChild>
        </w:div>
        <w:div w:id="1951160653">
          <w:marLeft w:val="0"/>
          <w:marRight w:val="0"/>
          <w:marTop w:val="0"/>
          <w:marBottom w:val="0"/>
          <w:divBdr>
            <w:top w:val="none" w:sz="0" w:space="0" w:color="auto"/>
            <w:left w:val="none" w:sz="0" w:space="0" w:color="auto"/>
            <w:bottom w:val="none" w:sz="0" w:space="0" w:color="auto"/>
            <w:right w:val="none" w:sz="0" w:space="0" w:color="auto"/>
          </w:divBdr>
          <w:divsChild>
            <w:div w:id="1820145217">
              <w:marLeft w:val="0"/>
              <w:marRight w:val="0"/>
              <w:marTop w:val="0"/>
              <w:marBottom w:val="0"/>
              <w:divBdr>
                <w:top w:val="none" w:sz="0" w:space="0" w:color="auto"/>
                <w:left w:val="none" w:sz="0" w:space="0" w:color="auto"/>
                <w:bottom w:val="none" w:sz="0" w:space="0" w:color="auto"/>
                <w:right w:val="none" w:sz="0" w:space="0" w:color="auto"/>
              </w:divBdr>
            </w:div>
          </w:divsChild>
        </w:div>
        <w:div w:id="1962178887">
          <w:marLeft w:val="0"/>
          <w:marRight w:val="0"/>
          <w:marTop w:val="0"/>
          <w:marBottom w:val="0"/>
          <w:divBdr>
            <w:top w:val="none" w:sz="0" w:space="0" w:color="auto"/>
            <w:left w:val="none" w:sz="0" w:space="0" w:color="auto"/>
            <w:bottom w:val="none" w:sz="0" w:space="0" w:color="auto"/>
            <w:right w:val="none" w:sz="0" w:space="0" w:color="auto"/>
          </w:divBdr>
          <w:divsChild>
            <w:div w:id="497383619">
              <w:marLeft w:val="0"/>
              <w:marRight w:val="0"/>
              <w:marTop w:val="0"/>
              <w:marBottom w:val="0"/>
              <w:divBdr>
                <w:top w:val="none" w:sz="0" w:space="0" w:color="auto"/>
                <w:left w:val="none" w:sz="0" w:space="0" w:color="auto"/>
                <w:bottom w:val="none" w:sz="0" w:space="0" w:color="auto"/>
                <w:right w:val="none" w:sz="0" w:space="0" w:color="auto"/>
              </w:divBdr>
            </w:div>
          </w:divsChild>
        </w:div>
        <w:div w:id="1982464778">
          <w:marLeft w:val="0"/>
          <w:marRight w:val="0"/>
          <w:marTop w:val="0"/>
          <w:marBottom w:val="0"/>
          <w:divBdr>
            <w:top w:val="none" w:sz="0" w:space="0" w:color="auto"/>
            <w:left w:val="none" w:sz="0" w:space="0" w:color="auto"/>
            <w:bottom w:val="none" w:sz="0" w:space="0" w:color="auto"/>
            <w:right w:val="none" w:sz="0" w:space="0" w:color="auto"/>
          </w:divBdr>
          <w:divsChild>
            <w:div w:id="345182602">
              <w:marLeft w:val="0"/>
              <w:marRight w:val="0"/>
              <w:marTop w:val="0"/>
              <w:marBottom w:val="0"/>
              <w:divBdr>
                <w:top w:val="none" w:sz="0" w:space="0" w:color="auto"/>
                <w:left w:val="none" w:sz="0" w:space="0" w:color="auto"/>
                <w:bottom w:val="none" w:sz="0" w:space="0" w:color="auto"/>
                <w:right w:val="none" w:sz="0" w:space="0" w:color="auto"/>
              </w:divBdr>
            </w:div>
          </w:divsChild>
        </w:div>
        <w:div w:id="2018725493">
          <w:marLeft w:val="0"/>
          <w:marRight w:val="0"/>
          <w:marTop w:val="0"/>
          <w:marBottom w:val="0"/>
          <w:divBdr>
            <w:top w:val="none" w:sz="0" w:space="0" w:color="auto"/>
            <w:left w:val="none" w:sz="0" w:space="0" w:color="auto"/>
            <w:bottom w:val="none" w:sz="0" w:space="0" w:color="auto"/>
            <w:right w:val="none" w:sz="0" w:space="0" w:color="auto"/>
          </w:divBdr>
          <w:divsChild>
            <w:div w:id="845048826">
              <w:marLeft w:val="0"/>
              <w:marRight w:val="0"/>
              <w:marTop w:val="0"/>
              <w:marBottom w:val="0"/>
              <w:divBdr>
                <w:top w:val="none" w:sz="0" w:space="0" w:color="auto"/>
                <w:left w:val="none" w:sz="0" w:space="0" w:color="auto"/>
                <w:bottom w:val="none" w:sz="0" w:space="0" w:color="auto"/>
                <w:right w:val="none" w:sz="0" w:space="0" w:color="auto"/>
              </w:divBdr>
            </w:div>
          </w:divsChild>
        </w:div>
        <w:div w:id="2048137951">
          <w:marLeft w:val="0"/>
          <w:marRight w:val="0"/>
          <w:marTop w:val="0"/>
          <w:marBottom w:val="0"/>
          <w:divBdr>
            <w:top w:val="none" w:sz="0" w:space="0" w:color="auto"/>
            <w:left w:val="none" w:sz="0" w:space="0" w:color="auto"/>
            <w:bottom w:val="none" w:sz="0" w:space="0" w:color="auto"/>
            <w:right w:val="none" w:sz="0" w:space="0" w:color="auto"/>
          </w:divBdr>
          <w:divsChild>
            <w:div w:id="1469859508">
              <w:marLeft w:val="0"/>
              <w:marRight w:val="0"/>
              <w:marTop w:val="0"/>
              <w:marBottom w:val="0"/>
              <w:divBdr>
                <w:top w:val="none" w:sz="0" w:space="0" w:color="auto"/>
                <w:left w:val="none" w:sz="0" w:space="0" w:color="auto"/>
                <w:bottom w:val="none" w:sz="0" w:space="0" w:color="auto"/>
                <w:right w:val="none" w:sz="0" w:space="0" w:color="auto"/>
              </w:divBdr>
            </w:div>
          </w:divsChild>
        </w:div>
        <w:div w:id="2056003295">
          <w:marLeft w:val="0"/>
          <w:marRight w:val="0"/>
          <w:marTop w:val="0"/>
          <w:marBottom w:val="0"/>
          <w:divBdr>
            <w:top w:val="none" w:sz="0" w:space="0" w:color="auto"/>
            <w:left w:val="none" w:sz="0" w:space="0" w:color="auto"/>
            <w:bottom w:val="none" w:sz="0" w:space="0" w:color="auto"/>
            <w:right w:val="none" w:sz="0" w:space="0" w:color="auto"/>
          </w:divBdr>
          <w:divsChild>
            <w:div w:id="527571172">
              <w:marLeft w:val="0"/>
              <w:marRight w:val="0"/>
              <w:marTop w:val="0"/>
              <w:marBottom w:val="0"/>
              <w:divBdr>
                <w:top w:val="none" w:sz="0" w:space="0" w:color="auto"/>
                <w:left w:val="none" w:sz="0" w:space="0" w:color="auto"/>
                <w:bottom w:val="none" w:sz="0" w:space="0" w:color="auto"/>
                <w:right w:val="none" w:sz="0" w:space="0" w:color="auto"/>
              </w:divBdr>
            </w:div>
          </w:divsChild>
        </w:div>
        <w:div w:id="2133401533">
          <w:marLeft w:val="0"/>
          <w:marRight w:val="0"/>
          <w:marTop w:val="0"/>
          <w:marBottom w:val="0"/>
          <w:divBdr>
            <w:top w:val="none" w:sz="0" w:space="0" w:color="auto"/>
            <w:left w:val="none" w:sz="0" w:space="0" w:color="auto"/>
            <w:bottom w:val="none" w:sz="0" w:space="0" w:color="auto"/>
            <w:right w:val="none" w:sz="0" w:space="0" w:color="auto"/>
          </w:divBdr>
          <w:divsChild>
            <w:div w:id="20487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62674">
      <w:bodyDiv w:val="1"/>
      <w:marLeft w:val="0"/>
      <w:marRight w:val="0"/>
      <w:marTop w:val="0"/>
      <w:marBottom w:val="0"/>
      <w:divBdr>
        <w:top w:val="none" w:sz="0" w:space="0" w:color="auto"/>
        <w:left w:val="none" w:sz="0" w:space="0" w:color="auto"/>
        <w:bottom w:val="none" w:sz="0" w:space="0" w:color="auto"/>
        <w:right w:val="none" w:sz="0" w:space="0" w:color="auto"/>
      </w:divBdr>
    </w:div>
    <w:div w:id="688990353">
      <w:bodyDiv w:val="1"/>
      <w:marLeft w:val="0"/>
      <w:marRight w:val="0"/>
      <w:marTop w:val="0"/>
      <w:marBottom w:val="0"/>
      <w:divBdr>
        <w:top w:val="none" w:sz="0" w:space="0" w:color="auto"/>
        <w:left w:val="none" w:sz="0" w:space="0" w:color="auto"/>
        <w:bottom w:val="none" w:sz="0" w:space="0" w:color="auto"/>
        <w:right w:val="none" w:sz="0" w:space="0" w:color="auto"/>
      </w:divBdr>
    </w:div>
    <w:div w:id="689180275">
      <w:bodyDiv w:val="1"/>
      <w:marLeft w:val="0"/>
      <w:marRight w:val="0"/>
      <w:marTop w:val="0"/>
      <w:marBottom w:val="0"/>
      <w:divBdr>
        <w:top w:val="none" w:sz="0" w:space="0" w:color="auto"/>
        <w:left w:val="none" w:sz="0" w:space="0" w:color="auto"/>
        <w:bottom w:val="none" w:sz="0" w:space="0" w:color="auto"/>
        <w:right w:val="none" w:sz="0" w:space="0" w:color="auto"/>
      </w:divBdr>
    </w:div>
    <w:div w:id="690448049">
      <w:bodyDiv w:val="1"/>
      <w:marLeft w:val="0"/>
      <w:marRight w:val="0"/>
      <w:marTop w:val="0"/>
      <w:marBottom w:val="0"/>
      <w:divBdr>
        <w:top w:val="none" w:sz="0" w:space="0" w:color="auto"/>
        <w:left w:val="none" w:sz="0" w:space="0" w:color="auto"/>
        <w:bottom w:val="none" w:sz="0" w:space="0" w:color="auto"/>
        <w:right w:val="none" w:sz="0" w:space="0" w:color="auto"/>
      </w:divBdr>
    </w:div>
    <w:div w:id="710761894">
      <w:bodyDiv w:val="1"/>
      <w:marLeft w:val="0"/>
      <w:marRight w:val="0"/>
      <w:marTop w:val="0"/>
      <w:marBottom w:val="0"/>
      <w:divBdr>
        <w:top w:val="none" w:sz="0" w:space="0" w:color="auto"/>
        <w:left w:val="none" w:sz="0" w:space="0" w:color="auto"/>
        <w:bottom w:val="none" w:sz="0" w:space="0" w:color="auto"/>
        <w:right w:val="none" w:sz="0" w:space="0" w:color="auto"/>
      </w:divBdr>
    </w:div>
    <w:div w:id="715861178">
      <w:bodyDiv w:val="1"/>
      <w:marLeft w:val="0"/>
      <w:marRight w:val="0"/>
      <w:marTop w:val="0"/>
      <w:marBottom w:val="0"/>
      <w:divBdr>
        <w:top w:val="none" w:sz="0" w:space="0" w:color="auto"/>
        <w:left w:val="none" w:sz="0" w:space="0" w:color="auto"/>
        <w:bottom w:val="none" w:sz="0" w:space="0" w:color="auto"/>
        <w:right w:val="none" w:sz="0" w:space="0" w:color="auto"/>
      </w:divBdr>
    </w:div>
    <w:div w:id="752043013">
      <w:bodyDiv w:val="1"/>
      <w:marLeft w:val="0"/>
      <w:marRight w:val="0"/>
      <w:marTop w:val="0"/>
      <w:marBottom w:val="0"/>
      <w:divBdr>
        <w:top w:val="none" w:sz="0" w:space="0" w:color="auto"/>
        <w:left w:val="none" w:sz="0" w:space="0" w:color="auto"/>
        <w:bottom w:val="none" w:sz="0" w:space="0" w:color="auto"/>
        <w:right w:val="none" w:sz="0" w:space="0" w:color="auto"/>
      </w:divBdr>
    </w:div>
    <w:div w:id="766317106">
      <w:bodyDiv w:val="1"/>
      <w:marLeft w:val="0"/>
      <w:marRight w:val="0"/>
      <w:marTop w:val="0"/>
      <w:marBottom w:val="0"/>
      <w:divBdr>
        <w:top w:val="none" w:sz="0" w:space="0" w:color="auto"/>
        <w:left w:val="none" w:sz="0" w:space="0" w:color="auto"/>
        <w:bottom w:val="none" w:sz="0" w:space="0" w:color="auto"/>
        <w:right w:val="none" w:sz="0" w:space="0" w:color="auto"/>
      </w:divBdr>
    </w:div>
    <w:div w:id="768279609">
      <w:bodyDiv w:val="1"/>
      <w:marLeft w:val="0"/>
      <w:marRight w:val="0"/>
      <w:marTop w:val="0"/>
      <w:marBottom w:val="0"/>
      <w:divBdr>
        <w:top w:val="none" w:sz="0" w:space="0" w:color="auto"/>
        <w:left w:val="none" w:sz="0" w:space="0" w:color="auto"/>
        <w:bottom w:val="none" w:sz="0" w:space="0" w:color="auto"/>
        <w:right w:val="none" w:sz="0" w:space="0" w:color="auto"/>
      </w:divBdr>
    </w:div>
    <w:div w:id="775057152">
      <w:bodyDiv w:val="1"/>
      <w:marLeft w:val="0"/>
      <w:marRight w:val="0"/>
      <w:marTop w:val="0"/>
      <w:marBottom w:val="0"/>
      <w:divBdr>
        <w:top w:val="none" w:sz="0" w:space="0" w:color="auto"/>
        <w:left w:val="none" w:sz="0" w:space="0" w:color="auto"/>
        <w:bottom w:val="none" w:sz="0" w:space="0" w:color="auto"/>
        <w:right w:val="none" w:sz="0" w:space="0" w:color="auto"/>
      </w:divBdr>
    </w:div>
    <w:div w:id="778990133">
      <w:bodyDiv w:val="1"/>
      <w:marLeft w:val="0"/>
      <w:marRight w:val="0"/>
      <w:marTop w:val="0"/>
      <w:marBottom w:val="0"/>
      <w:divBdr>
        <w:top w:val="none" w:sz="0" w:space="0" w:color="auto"/>
        <w:left w:val="none" w:sz="0" w:space="0" w:color="auto"/>
        <w:bottom w:val="none" w:sz="0" w:space="0" w:color="auto"/>
        <w:right w:val="none" w:sz="0" w:space="0" w:color="auto"/>
      </w:divBdr>
    </w:div>
    <w:div w:id="786898189">
      <w:bodyDiv w:val="1"/>
      <w:marLeft w:val="0"/>
      <w:marRight w:val="0"/>
      <w:marTop w:val="0"/>
      <w:marBottom w:val="0"/>
      <w:divBdr>
        <w:top w:val="none" w:sz="0" w:space="0" w:color="auto"/>
        <w:left w:val="none" w:sz="0" w:space="0" w:color="auto"/>
        <w:bottom w:val="none" w:sz="0" w:space="0" w:color="auto"/>
        <w:right w:val="none" w:sz="0" w:space="0" w:color="auto"/>
      </w:divBdr>
    </w:div>
    <w:div w:id="805857514">
      <w:bodyDiv w:val="1"/>
      <w:marLeft w:val="0"/>
      <w:marRight w:val="0"/>
      <w:marTop w:val="0"/>
      <w:marBottom w:val="0"/>
      <w:divBdr>
        <w:top w:val="none" w:sz="0" w:space="0" w:color="auto"/>
        <w:left w:val="none" w:sz="0" w:space="0" w:color="auto"/>
        <w:bottom w:val="none" w:sz="0" w:space="0" w:color="auto"/>
        <w:right w:val="none" w:sz="0" w:space="0" w:color="auto"/>
      </w:divBdr>
    </w:div>
    <w:div w:id="833180395">
      <w:bodyDiv w:val="1"/>
      <w:marLeft w:val="0"/>
      <w:marRight w:val="0"/>
      <w:marTop w:val="0"/>
      <w:marBottom w:val="0"/>
      <w:divBdr>
        <w:top w:val="none" w:sz="0" w:space="0" w:color="auto"/>
        <w:left w:val="none" w:sz="0" w:space="0" w:color="auto"/>
        <w:bottom w:val="none" w:sz="0" w:space="0" w:color="auto"/>
        <w:right w:val="none" w:sz="0" w:space="0" w:color="auto"/>
      </w:divBdr>
    </w:div>
    <w:div w:id="854031834">
      <w:bodyDiv w:val="1"/>
      <w:marLeft w:val="0"/>
      <w:marRight w:val="0"/>
      <w:marTop w:val="0"/>
      <w:marBottom w:val="0"/>
      <w:divBdr>
        <w:top w:val="none" w:sz="0" w:space="0" w:color="auto"/>
        <w:left w:val="none" w:sz="0" w:space="0" w:color="auto"/>
        <w:bottom w:val="none" w:sz="0" w:space="0" w:color="auto"/>
        <w:right w:val="none" w:sz="0" w:space="0" w:color="auto"/>
      </w:divBdr>
    </w:div>
    <w:div w:id="884947140">
      <w:bodyDiv w:val="1"/>
      <w:marLeft w:val="0"/>
      <w:marRight w:val="0"/>
      <w:marTop w:val="0"/>
      <w:marBottom w:val="0"/>
      <w:divBdr>
        <w:top w:val="none" w:sz="0" w:space="0" w:color="auto"/>
        <w:left w:val="none" w:sz="0" w:space="0" w:color="auto"/>
        <w:bottom w:val="none" w:sz="0" w:space="0" w:color="auto"/>
        <w:right w:val="none" w:sz="0" w:space="0" w:color="auto"/>
      </w:divBdr>
    </w:div>
    <w:div w:id="890535405">
      <w:bodyDiv w:val="1"/>
      <w:marLeft w:val="0"/>
      <w:marRight w:val="0"/>
      <w:marTop w:val="0"/>
      <w:marBottom w:val="0"/>
      <w:divBdr>
        <w:top w:val="none" w:sz="0" w:space="0" w:color="auto"/>
        <w:left w:val="none" w:sz="0" w:space="0" w:color="auto"/>
        <w:bottom w:val="none" w:sz="0" w:space="0" w:color="auto"/>
        <w:right w:val="none" w:sz="0" w:space="0" w:color="auto"/>
      </w:divBdr>
    </w:div>
    <w:div w:id="929432056">
      <w:bodyDiv w:val="1"/>
      <w:marLeft w:val="0"/>
      <w:marRight w:val="0"/>
      <w:marTop w:val="0"/>
      <w:marBottom w:val="0"/>
      <w:divBdr>
        <w:top w:val="none" w:sz="0" w:space="0" w:color="auto"/>
        <w:left w:val="none" w:sz="0" w:space="0" w:color="auto"/>
        <w:bottom w:val="none" w:sz="0" w:space="0" w:color="auto"/>
        <w:right w:val="none" w:sz="0" w:space="0" w:color="auto"/>
      </w:divBdr>
      <w:divsChild>
        <w:div w:id="1709984227">
          <w:marLeft w:val="0"/>
          <w:marRight w:val="0"/>
          <w:marTop w:val="0"/>
          <w:marBottom w:val="0"/>
          <w:divBdr>
            <w:top w:val="none" w:sz="0" w:space="0" w:color="auto"/>
            <w:left w:val="none" w:sz="0" w:space="0" w:color="auto"/>
            <w:bottom w:val="none" w:sz="0" w:space="0" w:color="auto"/>
            <w:right w:val="none" w:sz="0" w:space="0" w:color="auto"/>
          </w:divBdr>
          <w:divsChild>
            <w:div w:id="943344965">
              <w:marLeft w:val="0"/>
              <w:marRight w:val="0"/>
              <w:marTop w:val="0"/>
              <w:marBottom w:val="0"/>
              <w:divBdr>
                <w:top w:val="none" w:sz="0" w:space="0" w:color="auto"/>
                <w:left w:val="none" w:sz="0" w:space="0" w:color="auto"/>
                <w:bottom w:val="none" w:sz="0" w:space="0" w:color="auto"/>
                <w:right w:val="none" w:sz="0" w:space="0" w:color="auto"/>
              </w:divBdr>
              <w:divsChild>
                <w:div w:id="2017611986">
                  <w:marLeft w:val="0"/>
                  <w:marRight w:val="0"/>
                  <w:marTop w:val="0"/>
                  <w:marBottom w:val="0"/>
                  <w:divBdr>
                    <w:top w:val="none" w:sz="0" w:space="0" w:color="auto"/>
                    <w:left w:val="none" w:sz="0" w:space="0" w:color="auto"/>
                    <w:bottom w:val="none" w:sz="0" w:space="0" w:color="auto"/>
                    <w:right w:val="none" w:sz="0" w:space="0" w:color="auto"/>
                  </w:divBdr>
                  <w:divsChild>
                    <w:div w:id="77537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033370">
      <w:bodyDiv w:val="1"/>
      <w:marLeft w:val="0"/>
      <w:marRight w:val="0"/>
      <w:marTop w:val="0"/>
      <w:marBottom w:val="0"/>
      <w:divBdr>
        <w:top w:val="none" w:sz="0" w:space="0" w:color="auto"/>
        <w:left w:val="none" w:sz="0" w:space="0" w:color="auto"/>
        <w:bottom w:val="none" w:sz="0" w:space="0" w:color="auto"/>
        <w:right w:val="none" w:sz="0" w:space="0" w:color="auto"/>
      </w:divBdr>
      <w:divsChild>
        <w:div w:id="157116054">
          <w:marLeft w:val="0"/>
          <w:marRight w:val="0"/>
          <w:marTop w:val="0"/>
          <w:marBottom w:val="0"/>
          <w:divBdr>
            <w:top w:val="none" w:sz="0" w:space="0" w:color="auto"/>
            <w:left w:val="none" w:sz="0" w:space="0" w:color="auto"/>
            <w:bottom w:val="none" w:sz="0" w:space="0" w:color="auto"/>
            <w:right w:val="none" w:sz="0" w:space="0" w:color="auto"/>
          </w:divBdr>
          <w:divsChild>
            <w:div w:id="1199200075">
              <w:marLeft w:val="0"/>
              <w:marRight w:val="0"/>
              <w:marTop w:val="0"/>
              <w:marBottom w:val="0"/>
              <w:divBdr>
                <w:top w:val="none" w:sz="0" w:space="0" w:color="auto"/>
                <w:left w:val="none" w:sz="0" w:space="0" w:color="auto"/>
                <w:bottom w:val="none" w:sz="0" w:space="0" w:color="auto"/>
                <w:right w:val="none" w:sz="0" w:space="0" w:color="auto"/>
              </w:divBdr>
              <w:divsChild>
                <w:div w:id="5872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56420">
      <w:bodyDiv w:val="1"/>
      <w:marLeft w:val="0"/>
      <w:marRight w:val="0"/>
      <w:marTop w:val="0"/>
      <w:marBottom w:val="0"/>
      <w:divBdr>
        <w:top w:val="none" w:sz="0" w:space="0" w:color="auto"/>
        <w:left w:val="none" w:sz="0" w:space="0" w:color="auto"/>
        <w:bottom w:val="none" w:sz="0" w:space="0" w:color="auto"/>
        <w:right w:val="none" w:sz="0" w:space="0" w:color="auto"/>
      </w:divBdr>
      <w:divsChild>
        <w:div w:id="239364611">
          <w:marLeft w:val="0"/>
          <w:marRight w:val="0"/>
          <w:marTop w:val="0"/>
          <w:marBottom w:val="0"/>
          <w:divBdr>
            <w:top w:val="none" w:sz="0" w:space="0" w:color="auto"/>
            <w:left w:val="none" w:sz="0" w:space="0" w:color="auto"/>
            <w:bottom w:val="none" w:sz="0" w:space="0" w:color="auto"/>
            <w:right w:val="none" w:sz="0" w:space="0" w:color="auto"/>
          </w:divBdr>
        </w:div>
        <w:div w:id="435296042">
          <w:marLeft w:val="0"/>
          <w:marRight w:val="0"/>
          <w:marTop w:val="0"/>
          <w:marBottom w:val="0"/>
          <w:divBdr>
            <w:top w:val="none" w:sz="0" w:space="0" w:color="auto"/>
            <w:left w:val="none" w:sz="0" w:space="0" w:color="auto"/>
            <w:bottom w:val="none" w:sz="0" w:space="0" w:color="auto"/>
            <w:right w:val="none" w:sz="0" w:space="0" w:color="auto"/>
          </w:divBdr>
        </w:div>
        <w:div w:id="731656180">
          <w:marLeft w:val="0"/>
          <w:marRight w:val="0"/>
          <w:marTop w:val="0"/>
          <w:marBottom w:val="0"/>
          <w:divBdr>
            <w:top w:val="none" w:sz="0" w:space="0" w:color="auto"/>
            <w:left w:val="none" w:sz="0" w:space="0" w:color="auto"/>
            <w:bottom w:val="none" w:sz="0" w:space="0" w:color="auto"/>
            <w:right w:val="none" w:sz="0" w:space="0" w:color="auto"/>
          </w:divBdr>
        </w:div>
        <w:div w:id="1035157647">
          <w:marLeft w:val="0"/>
          <w:marRight w:val="0"/>
          <w:marTop w:val="0"/>
          <w:marBottom w:val="0"/>
          <w:divBdr>
            <w:top w:val="none" w:sz="0" w:space="0" w:color="auto"/>
            <w:left w:val="none" w:sz="0" w:space="0" w:color="auto"/>
            <w:bottom w:val="none" w:sz="0" w:space="0" w:color="auto"/>
            <w:right w:val="none" w:sz="0" w:space="0" w:color="auto"/>
          </w:divBdr>
        </w:div>
        <w:div w:id="1508640666">
          <w:marLeft w:val="0"/>
          <w:marRight w:val="0"/>
          <w:marTop w:val="0"/>
          <w:marBottom w:val="0"/>
          <w:divBdr>
            <w:top w:val="none" w:sz="0" w:space="0" w:color="auto"/>
            <w:left w:val="none" w:sz="0" w:space="0" w:color="auto"/>
            <w:bottom w:val="none" w:sz="0" w:space="0" w:color="auto"/>
            <w:right w:val="none" w:sz="0" w:space="0" w:color="auto"/>
          </w:divBdr>
        </w:div>
      </w:divsChild>
    </w:div>
    <w:div w:id="974867938">
      <w:bodyDiv w:val="1"/>
      <w:marLeft w:val="0"/>
      <w:marRight w:val="0"/>
      <w:marTop w:val="0"/>
      <w:marBottom w:val="0"/>
      <w:divBdr>
        <w:top w:val="none" w:sz="0" w:space="0" w:color="auto"/>
        <w:left w:val="none" w:sz="0" w:space="0" w:color="auto"/>
        <w:bottom w:val="none" w:sz="0" w:space="0" w:color="auto"/>
        <w:right w:val="none" w:sz="0" w:space="0" w:color="auto"/>
      </w:divBdr>
    </w:div>
    <w:div w:id="1020274719">
      <w:bodyDiv w:val="1"/>
      <w:marLeft w:val="0"/>
      <w:marRight w:val="0"/>
      <w:marTop w:val="0"/>
      <w:marBottom w:val="0"/>
      <w:divBdr>
        <w:top w:val="none" w:sz="0" w:space="0" w:color="auto"/>
        <w:left w:val="none" w:sz="0" w:space="0" w:color="auto"/>
        <w:bottom w:val="none" w:sz="0" w:space="0" w:color="auto"/>
        <w:right w:val="none" w:sz="0" w:space="0" w:color="auto"/>
      </w:divBdr>
      <w:divsChild>
        <w:div w:id="714356522">
          <w:marLeft w:val="0"/>
          <w:marRight w:val="0"/>
          <w:marTop w:val="0"/>
          <w:marBottom w:val="0"/>
          <w:divBdr>
            <w:top w:val="none" w:sz="0" w:space="0" w:color="auto"/>
            <w:left w:val="none" w:sz="0" w:space="0" w:color="auto"/>
            <w:bottom w:val="none" w:sz="0" w:space="0" w:color="auto"/>
            <w:right w:val="none" w:sz="0" w:space="0" w:color="auto"/>
          </w:divBdr>
        </w:div>
        <w:div w:id="1607424788">
          <w:marLeft w:val="0"/>
          <w:marRight w:val="0"/>
          <w:marTop w:val="0"/>
          <w:marBottom w:val="0"/>
          <w:divBdr>
            <w:top w:val="none" w:sz="0" w:space="0" w:color="auto"/>
            <w:left w:val="none" w:sz="0" w:space="0" w:color="auto"/>
            <w:bottom w:val="none" w:sz="0" w:space="0" w:color="auto"/>
            <w:right w:val="none" w:sz="0" w:space="0" w:color="auto"/>
          </w:divBdr>
        </w:div>
      </w:divsChild>
    </w:div>
    <w:div w:id="1021083221">
      <w:bodyDiv w:val="1"/>
      <w:marLeft w:val="0"/>
      <w:marRight w:val="0"/>
      <w:marTop w:val="0"/>
      <w:marBottom w:val="0"/>
      <w:divBdr>
        <w:top w:val="none" w:sz="0" w:space="0" w:color="auto"/>
        <w:left w:val="none" w:sz="0" w:space="0" w:color="auto"/>
        <w:bottom w:val="none" w:sz="0" w:space="0" w:color="auto"/>
        <w:right w:val="none" w:sz="0" w:space="0" w:color="auto"/>
      </w:divBdr>
    </w:div>
    <w:div w:id="1039549365">
      <w:bodyDiv w:val="1"/>
      <w:marLeft w:val="0"/>
      <w:marRight w:val="0"/>
      <w:marTop w:val="0"/>
      <w:marBottom w:val="0"/>
      <w:divBdr>
        <w:top w:val="none" w:sz="0" w:space="0" w:color="auto"/>
        <w:left w:val="none" w:sz="0" w:space="0" w:color="auto"/>
        <w:bottom w:val="none" w:sz="0" w:space="0" w:color="auto"/>
        <w:right w:val="none" w:sz="0" w:space="0" w:color="auto"/>
      </w:divBdr>
    </w:div>
    <w:div w:id="1043675941">
      <w:bodyDiv w:val="1"/>
      <w:marLeft w:val="0"/>
      <w:marRight w:val="0"/>
      <w:marTop w:val="0"/>
      <w:marBottom w:val="0"/>
      <w:divBdr>
        <w:top w:val="none" w:sz="0" w:space="0" w:color="auto"/>
        <w:left w:val="none" w:sz="0" w:space="0" w:color="auto"/>
        <w:bottom w:val="none" w:sz="0" w:space="0" w:color="auto"/>
        <w:right w:val="none" w:sz="0" w:space="0" w:color="auto"/>
      </w:divBdr>
    </w:div>
    <w:div w:id="1049037757">
      <w:bodyDiv w:val="1"/>
      <w:marLeft w:val="0"/>
      <w:marRight w:val="0"/>
      <w:marTop w:val="0"/>
      <w:marBottom w:val="0"/>
      <w:divBdr>
        <w:top w:val="none" w:sz="0" w:space="0" w:color="auto"/>
        <w:left w:val="none" w:sz="0" w:space="0" w:color="auto"/>
        <w:bottom w:val="none" w:sz="0" w:space="0" w:color="auto"/>
        <w:right w:val="none" w:sz="0" w:space="0" w:color="auto"/>
      </w:divBdr>
    </w:div>
    <w:div w:id="1049454813">
      <w:bodyDiv w:val="1"/>
      <w:marLeft w:val="0"/>
      <w:marRight w:val="0"/>
      <w:marTop w:val="0"/>
      <w:marBottom w:val="0"/>
      <w:divBdr>
        <w:top w:val="none" w:sz="0" w:space="0" w:color="auto"/>
        <w:left w:val="none" w:sz="0" w:space="0" w:color="auto"/>
        <w:bottom w:val="none" w:sz="0" w:space="0" w:color="auto"/>
        <w:right w:val="none" w:sz="0" w:space="0" w:color="auto"/>
      </w:divBdr>
    </w:div>
    <w:div w:id="1053506131">
      <w:bodyDiv w:val="1"/>
      <w:marLeft w:val="0"/>
      <w:marRight w:val="0"/>
      <w:marTop w:val="0"/>
      <w:marBottom w:val="0"/>
      <w:divBdr>
        <w:top w:val="none" w:sz="0" w:space="0" w:color="auto"/>
        <w:left w:val="none" w:sz="0" w:space="0" w:color="auto"/>
        <w:bottom w:val="none" w:sz="0" w:space="0" w:color="auto"/>
        <w:right w:val="none" w:sz="0" w:space="0" w:color="auto"/>
      </w:divBdr>
    </w:div>
    <w:div w:id="1071537658">
      <w:bodyDiv w:val="1"/>
      <w:marLeft w:val="0"/>
      <w:marRight w:val="0"/>
      <w:marTop w:val="0"/>
      <w:marBottom w:val="0"/>
      <w:divBdr>
        <w:top w:val="none" w:sz="0" w:space="0" w:color="auto"/>
        <w:left w:val="none" w:sz="0" w:space="0" w:color="auto"/>
        <w:bottom w:val="none" w:sz="0" w:space="0" w:color="auto"/>
        <w:right w:val="none" w:sz="0" w:space="0" w:color="auto"/>
      </w:divBdr>
    </w:div>
    <w:div w:id="1072389865">
      <w:bodyDiv w:val="1"/>
      <w:marLeft w:val="0"/>
      <w:marRight w:val="0"/>
      <w:marTop w:val="0"/>
      <w:marBottom w:val="0"/>
      <w:divBdr>
        <w:top w:val="none" w:sz="0" w:space="0" w:color="auto"/>
        <w:left w:val="none" w:sz="0" w:space="0" w:color="auto"/>
        <w:bottom w:val="none" w:sz="0" w:space="0" w:color="auto"/>
        <w:right w:val="none" w:sz="0" w:space="0" w:color="auto"/>
      </w:divBdr>
    </w:div>
    <w:div w:id="1192960125">
      <w:bodyDiv w:val="1"/>
      <w:marLeft w:val="0"/>
      <w:marRight w:val="0"/>
      <w:marTop w:val="0"/>
      <w:marBottom w:val="0"/>
      <w:divBdr>
        <w:top w:val="none" w:sz="0" w:space="0" w:color="auto"/>
        <w:left w:val="none" w:sz="0" w:space="0" w:color="auto"/>
        <w:bottom w:val="none" w:sz="0" w:space="0" w:color="auto"/>
        <w:right w:val="none" w:sz="0" w:space="0" w:color="auto"/>
      </w:divBdr>
      <w:divsChild>
        <w:div w:id="23555957">
          <w:marLeft w:val="0"/>
          <w:marRight w:val="0"/>
          <w:marTop w:val="0"/>
          <w:marBottom w:val="0"/>
          <w:divBdr>
            <w:top w:val="none" w:sz="0" w:space="0" w:color="auto"/>
            <w:left w:val="none" w:sz="0" w:space="0" w:color="auto"/>
            <w:bottom w:val="none" w:sz="0" w:space="0" w:color="auto"/>
            <w:right w:val="none" w:sz="0" w:space="0" w:color="auto"/>
          </w:divBdr>
          <w:divsChild>
            <w:div w:id="1427775807">
              <w:marLeft w:val="0"/>
              <w:marRight w:val="0"/>
              <w:marTop w:val="0"/>
              <w:marBottom w:val="0"/>
              <w:divBdr>
                <w:top w:val="none" w:sz="0" w:space="0" w:color="auto"/>
                <w:left w:val="none" w:sz="0" w:space="0" w:color="auto"/>
                <w:bottom w:val="none" w:sz="0" w:space="0" w:color="auto"/>
                <w:right w:val="none" w:sz="0" w:space="0" w:color="auto"/>
              </w:divBdr>
            </w:div>
          </w:divsChild>
        </w:div>
        <w:div w:id="50202640">
          <w:marLeft w:val="0"/>
          <w:marRight w:val="0"/>
          <w:marTop w:val="0"/>
          <w:marBottom w:val="0"/>
          <w:divBdr>
            <w:top w:val="none" w:sz="0" w:space="0" w:color="auto"/>
            <w:left w:val="none" w:sz="0" w:space="0" w:color="auto"/>
            <w:bottom w:val="none" w:sz="0" w:space="0" w:color="auto"/>
            <w:right w:val="none" w:sz="0" w:space="0" w:color="auto"/>
          </w:divBdr>
          <w:divsChild>
            <w:div w:id="1700010283">
              <w:marLeft w:val="0"/>
              <w:marRight w:val="0"/>
              <w:marTop w:val="0"/>
              <w:marBottom w:val="0"/>
              <w:divBdr>
                <w:top w:val="none" w:sz="0" w:space="0" w:color="auto"/>
                <w:left w:val="none" w:sz="0" w:space="0" w:color="auto"/>
                <w:bottom w:val="none" w:sz="0" w:space="0" w:color="auto"/>
                <w:right w:val="none" w:sz="0" w:space="0" w:color="auto"/>
              </w:divBdr>
            </w:div>
          </w:divsChild>
        </w:div>
        <w:div w:id="72748833">
          <w:marLeft w:val="0"/>
          <w:marRight w:val="0"/>
          <w:marTop w:val="0"/>
          <w:marBottom w:val="0"/>
          <w:divBdr>
            <w:top w:val="none" w:sz="0" w:space="0" w:color="auto"/>
            <w:left w:val="none" w:sz="0" w:space="0" w:color="auto"/>
            <w:bottom w:val="none" w:sz="0" w:space="0" w:color="auto"/>
            <w:right w:val="none" w:sz="0" w:space="0" w:color="auto"/>
          </w:divBdr>
          <w:divsChild>
            <w:div w:id="1065296465">
              <w:marLeft w:val="0"/>
              <w:marRight w:val="0"/>
              <w:marTop w:val="0"/>
              <w:marBottom w:val="0"/>
              <w:divBdr>
                <w:top w:val="none" w:sz="0" w:space="0" w:color="auto"/>
                <w:left w:val="none" w:sz="0" w:space="0" w:color="auto"/>
                <w:bottom w:val="none" w:sz="0" w:space="0" w:color="auto"/>
                <w:right w:val="none" w:sz="0" w:space="0" w:color="auto"/>
              </w:divBdr>
            </w:div>
          </w:divsChild>
        </w:div>
        <w:div w:id="101532124">
          <w:marLeft w:val="0"/>
          <w:marRight w:val="0"/>
          <w:marTop w:val="0"/>
          <w:marBottom w:val="0"/>
          <w:divBdr>
            <w:top w:val="none" w:sz="0" w:space="0" w:color="auto"/>
            <w:left w:val="none" w:sz="0" w:space="0" w:color="auto"/>
            <w:bottom w:val="none" w:sz="0" w:space="0" w:color="auto"/>
            <w:right w:val="none" w:sz="0" w:space="0" w:color="auto"/>
          </w:divBdr>
          <w:divsChild>
            <w:div w:id="636761939">
              <w:marLeft w:val="0"/>
              <w:marRight w:val="0"/>
              <w:marTop w:val="0"/>
              <w:marBottom w:val="0"/>
              <w:divBdr>
                <w:top w:val="none" w:sz="0" w:space="0" w:color="auto"/>
                <w:left w:val="none" w:sz="0" w:space="0" w:color="auto"/>
                <w:bottom w:val="none" w:sz="0" w:space="0" w:color="auto"/>
                <w:right w:val="none" w:sz="0" w:space="0" w:color="auto"/>
              </w:divBdr>
            </w:div>
          </w:divsChild>
        </w:div>
        <w:div w:id="123473353">
          <w:marLeft w:val="0"/>
          <w:marRight w:val="0"/>
          <w:marTop w:val="0"/>
          <w:marBottom w:val="0"/>
          <w:divBdr>
            <w:top w:val="none" w:sz="0" w:space="0" w:color="auto"/>
            <w:left w:val="none" w:sz="0" w:space="0" w:color="auto"/>
            <w:bottom w:val="none" w:sz="0" w:space="0" w:color="auto"/>
            <w:right w:val="none" w:sz="0" w:space="0" w:color="auto"/>
          </w:divBdr>
          <w:divsChild>
            <w:div w:id="141890101">
              <w:marLeft w:val="0"/>
              <w:marRight w:val="0"/>
              <w:marTop w:val="0"/>
              <w:marBottom w:val="0"/>
              <w:divBdr>
                <w:top w:val="none" w:sz="0" w:space="0" w:color="auto"/>
                <w:left w:val="none" w:sz="0" w:space="0" w:color="auto"/>
                <w:bottom w:val="none" w:sz="0" w:space="0" w:color="auto"/>
                <w:right w:val="none" w:sz="0" w:space="0" w:color="auto"/>
              </w:divBdr>
            </w:div>
          </w:divsChild>
        </w:div>
        <w:div w:id="139228955">
          <w:marLeft w:val="0"/>
          <w:marRight w:val="0"/>
          <w:marTop w:val="0"/>
          <w:marBottom w:val="0"/>
          <w:divBdr>
            <w:top w:val="none" w:sz="0" w:space="0" w:color="auto"/>
            <w:left w:val="none" w:sz="0" w:space="0" w:color="auto"/>
            <w:bottom w:val="none" w:sz="0" w:space="0" w:color="auto"/>
            <w:right w:val="none" w:sz="0" w:space="0" w:color="auto"/>
          </w:divBdr>
          <w:divsChild>
            <w:div w:id="929587454">
              <w:marLeft w:val="0"/>
              <w:marRight w:val="0"/>
              <w:marTop w:val="0"/>
              <w:marBottom w:val="0"/>
              <w:divBdr>
                <w:top w:val="none" w:sz="0" w:space="0" w:color="auto"/>
                <w:left w:val="none" w:sz="0" w:space="0" w:color="auto"/>
                <w:bottom w:val="none" w:sz="0" w:space="0" w:color="auto"/>
                <w:right w:val="none" w:sz="0" w:space="0" w:color="auto"/>
              </w:divBdr>
            </w:div>
          </w:divsChild>
        </w:div>
        <w:div w:id="161432068">
          <w:marLeft w:val="0"/>
          <w:marRight w:val="0"/>
          <w:marTop w:val="0"/>
          <w:marBottom w:val="0"/>
          <w:divBdr>
            <w:top w:val="none" w:sz="0" w:space="0" w:color="auto"/>
            <w:left w:val="none" w:sz="0" w:space="0" w:color="auto"/>
            <w:bottom w:val="none" w:sz="0" w:space="0" w:color="auto"/>
            <w:right w:val="none" w:sz="0" w:space="0" w:color="auto"/>
          </w:divBdr>
          <w:divsChild>
            <w:div w:id="1274097007">
              <w:marLeft w:val="0"/>
              <w:marRight w:val="0"/>
              <w:marTop w:val="0"/>
              <w:marBottom w:val="0"/>
              <w:divBdr>
                <w:top w:val="none" w:sz="0" w:space="0" w:color="auto"/>
                <w:left w:val="none" w:sz="0" w:space="0" w:color="auto"/>
                <w:bottom w:val="none" w:sz="0" w:space="0" w:color="auto"/>
                <w:right w:val="none" w:sz="0" w:space="0" w:color="auto"/>
              </w:divBdr>
            </w:div>
          </w:divsChild>
        </w:div>
        <w:div w:id="181091918">
          <w:marLeft w:val="0"/>
          <w:marRight w:val="0"/>
          <w:marTop w:val="0"/>
          <w:marBottom w:val="0"/>
          <w:divBdr>
            <w:top w:val="none" w:sz="0" w:space="0" w:color="auto"/>
            <w:left w:val="none" w:sz="0" w:space="0" w:color="auto"/>
            <w:bottom w:val="none" w:sz="0" w:space="0" w:color="auto"/>
            <w:right w:val="none" w:sz="0" w:space="0" w:color="auto"/>
          </w:divBdr>
          <w:divsChild>
            <w:div w:id="1539271631">
              <w:marLeft w:val="0"/>
              <w:marRight w:val="0"/>
              <w:marTop w:val="0"/>
              <w:marBottom w:val="0"/>
              <w:divBdr>
                <w:top w:val="none" w:sz="0" w:space="0" w:color="auto"/>
                <w:left w:val="none" w:sz="0" w:space="0" w:color="auto"/>
                <w:bottom w:val="none" w:sz="0" w:space="0" w:color="auto"/>
                <w:right w:val="none" w:sz="0" w:space="0" w:color="auto"/>
              </w:divBdr>
            </w:div>
          </w:divsChild>
        </w:div>
        <w:div w:id="185945191">
          <w:marLeft w:val="0"/>
          <w:marRight w:val="0"/>
          <w:marTop w:val="0"/>
          <w:marBottom w:val="0"/>
          <w:divBdr>
            <w:top w:val="none" w:sz="0" w:space="0" w:color="auto"/>
            <w:left w:val="none" w:sz="0" w:space="0" w:color="auto"/>
            <w:bottom w:val="none" w:sz="0" w:space="0" w:color="auto"/>
            <w:right w:val="none" w:sz="0" w:space="0" w:color="auto"/>
          </w:divBdr>
          <w:divsChild>
            <w:div w:id="1984388883">
              <w:marLeft w:val="0"/>
              <w:marRight w:val="0"/>
              <w:marTop w:val="0"/>
              <w:marBottom w:val="0"/>
              <w:divBdr>
                <w:top w:val="none" w:sz="0" w:space="0" w:color="auto"/>
                <w:left w:val="none" w:sz="0" w:space="0" w:color="auto"/>
                <w:bottom w:val="none" w:sz="0" w:space="0" w:color="auto"/>
                <w:right w:val="none" w:sz="0" w:space="0" w:color="auto"/>
              </w:divBdr>
            </w:div>
          </w:divsChild>
        </w:div>
        <w:div w:id="192116121">
          <w:marLeft w:val="0"/>
          <w:marRight w:val="0"/>
          <w:marTop w:val="0"/>
          <w:marBottom w:val="0"/>
          <w:divBdr>
            <w:top w:val="none" w:sz="0" w:space="0" w:color="auto"/>
            <w:left w:val="none" w:sz="0" w:space="0" w:color="auto"/>
            <w:bottom w:val="none" w:sz="0" w:space="0" w:color="auto"/>
            <w:right w:val="none" w:sz="0" w:space="0" w:color="auto"/>
          </w:divBdr>
          <w:divsChild>
            <w:div w:id="697774844">
              <w:marLeft w:val="0"/>
              <w:marRight w:val="0"/>
              <w:marTop w:val="0"/>
              <w:marBottom w:val="0"/>
              <w:divBdr>
                <w:top w:val="none" w:sz="0" w:space="0" w:color="auto"/>
                <w:left w:val="none" w:sz="0" w:space="0" w:color="auto"/>
                <w:bottom w:val="none" w:sz="0" w:space="0" w:color="auto"/>
                <w:right w:val="none" w:sz="0" w:space="0" w:color="auto"/>
              </w:divBdr>
            </w:div>
          </w:divsChild>
        </w:div>
        <w:div w:id="197860809">
          <w:marLeft w:val="0"/>
          <w:marRight w:val="0"/>
          <w:marTop w:val="0"/>
          <w:marBottom w:val="0"/>
          <w:divBdr>
            <w:top w:val="none" w:sz="0" w:space="0" w:color="auto"/>
            <w:left w:val="none" w:sz="0" w:space="0" w:color="auto"/>
            <w:bottom w:val="none" w:sz="0" w:space="0" w:color="auto"/>
            <w:right w:val="none" w:sz="0" w:space="0" w:color="auto"/>
          </w:divBdr>
          <w:divsChild>
            <w:div w:id="1260335208">
              <w:marLeft w:val="0"/>
              <w:marRight w:val="0"/>
              <w:marTop w:val="0"/>
              <w:marBottom w:val="0"/>
              <w:divBdr>
                <w:top w:val="none" w:sz="0" w:space="0" w:color="auto"/>
                <w:left w:val="none" w:sz="0" w:space="0" w:color="auto"/>
                <w:bottom w:val="none" w:sz="0" w:space="0" w:color="auto"/>
                <w:right w:val="none" w:sz="0" w:space="0" w:color="auto"/>
              </w:divBdr>
            </w:div>
          </w:divsChild>
        </w:div>
        <w:div w:id="227305338">
          <w:marLeft w:val="0"/>
          <w:marRight w:val="0"/>
          <w:marTop w:val="0"/>
          <w:marBottom w:val="0"/>
          <w:divBdr>
            <w:top w:val="none" w:sz="0" w:space="0" w:color="auto"/>
            <w:left w:val="none" w:sz="0" w:space="0" w:color="auto"/>
            <w:bottom w:val="none" w:sz="0" w:space="0" w:color="auto"/>
            <w:right w:val="none" w:sz="0" w:space="0" w:color="auto"/>
          </w:divBdr>
          <w:divsChild>
            <w:div w:id="71706360">
              <w:marLeft w:val="0"/>
              <w:marRight w:val="0"/>
              <w:marTop w:val="0"/>
              <w:marBottom w:val="0"/>
              <w:divBdr>
                <w:top w:val="none" w:sz="0" w:space="0" w:color="auto"/>
                <w:left w:val="none" w:sz="0" w:space="0" w:color="auto"/>
                <w:bottom w:val="none" w:sz="0" w:space="0" w:color="auto"/>
                <w:right w:val="none" w:sz="0" w:space="0" w:color="auto"/>
              </w:divBdr>
            </w:div>
          </w:divsChild>
        </w:div>
        <w:div w:id="232934230">
          <w:marLeft w:val="0"/>
          <w:marRight w:val="0"/>
          <w:marTop w:val="0"/>
          <w:marBottom w:val="0"/>
          <w:divBdr>
            <w:top w:val="none" w:sz="0" w:space="0" w:color="auto"/>
            <w:left w:val="none" w:sz="0" w:space="0" w:color="auto"/>
            <w:bottom w:val="none" w:sz="0" w:space="0" w:color="auto"/>
            <w:right w:val="none" w:sz="0" w:space="0" w:color="auto"/>
          </w:divBdr>
          <w:divsChild>
            <w:div w:id="1465344801">
              <w:marLeft w:val="0"/>
              <w:marRight w:val="0"/>
              <w:marTop w:val="0"/>
              <w:marBottom w:val="0"/>
              <w:divBdr>
                <w:top w:val="none" w:sz="0" w:space="0" w:color="auto"/>
                <w:left w:val="none" w:sz="0" w:space="0" w:color="auto"/>
                <w:bottom w:val="none" w:sz="0" w:space="0" w:color="auto"/>
                <w:right w:val="none" w:sz="0" w:space="0" w:color="auto"/>
              </w:divBdr>
            </w:div>
          </w:divsChild>
        </w:div>
        <w:div w:id="283850161">
          <w:marLeft w:val="0"/>
          <w:marRight w:val="0"/>
          <w:marTop w:val="0"/>
          <w:marBottom w:val="0"/>
          <w:divBdr>
            <w:top w:val="none" w:sz="0" w:space="0" w:color="auto"/>
            <w:left w:val="none" w:sz="0" w:space="0" w:color="auto"/>
            <w:bottom w:val="none" w:sz="0" w:space="0" w:color="auto"/>
            <w:right w:val="none" w:sz="0" w:space="0" w:color="auto"/>
          </w:divBdr>
          <w:divsChild>
            <w:div w:id="936908372">
              <w:marLeft w:val="0"/>
              <w:marRight w:val="0"/>
              <w:marTop w:val="0"/>
              <w:marBottom w:val="0"/>
              <w:divBdr>
                <w:top w:val="none" w:sz="0" w:space="0" w:color="auto"/>
                <w:left w:val="none" w:sz="0" w:space="0" w:color="auto"/>
                <w:bottom w:val="none" w:sz="0" w:space="0" w:color="auto"/>
                <w:right w:val="none" w:sz="0" w:space="0" w:color="auto"/>
              </w:divBdr>
            </w:div>
          </w:divsChild>
        </w:div>
        <w:div w:id="314535850">
          <w:marLeft w:val="0"/>
          <w:marRight w:val="0"/>
          <w:marTop w:val="0"/>
          <w:marBottom w:val="0"/>
          <w:divBdr>
            <w:top w:val="none" w:sz="0" w:space="0" w:color="auto"/>
            <w:left w:val="none" w:sz="0" w:space="0" w:color="auto"/>
            <w:bottom w:val="none" w:sz="0" w:space="0" w:color="auto"/>
            <w:right w:val="none" w:sz="0" w:space="0" w:color="auto"/>
          </w:divBdr>
          <w:divsChild>
            <w:div w:id="903183389">
              <w:marLeft w:val="0"/>
              <w:marRight w:val="0"/>
              <w:marTop w:val="0"/>
              <w:marBottom w:val="0"/>
              <w:divBdr>
                <w:top w:val="none" w:sz="0" w:space="0" w:color="auto"/>
                <w:left w:val="none" w:sz="0" w:space="0" w:color="auto"/>
                <w:bottom w:val="none" w:sz="0" w:space="0" w:color="auto"/>
                <w:right w:val="none" w:sz="0" w:space="0" w:color="auto"/>
              </w:divBdr>
            </w:div>
          </w:divsChild>
        </w:div>
        <w:div w:id="354573042">
          <w:marLeft w:val="0"/>
          <w:marRight w:val="0"/>
          <w:marTop w:val="0"/>
          <w:marBottom w:val="0"/>
          <w:divBdr>
            <w:top w:val="none" w:sz="0" w:space="0" w:color="auto"/>
            <w:left w:val="none" w:sz="0" w:space="0" w:color="auto"/>
            <w:bottom w:val="none" w:sz="0" w:space="0" w:color="auto"/>
            <w:right w:val="none" w:sz="0" w:space="0" w:color="auto"/>
          </w:divBdr>
          <w:divsChild>
            <w:div w:id="359819188">
              <w:marLeft w:val="0"/>
              <w:marRight w:val="0"/>
              <w:marTop w:val="0"/>
              <w:marBottom w:val="0"/>
              <w:divBdr>
                <w:top w:val="none" w:sz="0" w:space="0" w:color="auto"/>
                <w:left w:val="none" w:sz="0" w:space="0" w:color="auto"/>
                <w:bottom w:val="none" w:sz="0" w:space="0" w:color="auto"/>
                <w:right w:val="none" w:sz="0" w:space="0" w:color="auto"/>
              </w:divBdr>
            </w:div>
          </w:divsChild>
        </w:div>
        <w:div w:id="406997935">
          <w:marLeft w:val="0"/>
          <w:marRight w:val="0"/>
          <w:marTop w:val="0"/>
          <w:marBottom w:val="0"/>
          <w:divBdr>
            <w:top w:val="none" w:sz="0" w:space="0" w:color="auto"/>
            <w:left w:val="none" w:sz="0" w:space="0" w:color="auto"/>
            <w:bottom w:val="none" w:sz="0" w:space="0" w:color="auto"/>
            <w:right w:val="none" w:sz="0" w:space="0" w:color="auto"/>
          </w:divBdr>
          <w:divsChild>
            <w:div w:id="2010869461">
              <w:marLeft w:val="0"/>
              <w:marRight w:val="0"/>
              <w:marTop w:val="0"/>
              <w:marBottom w:val="0"/>
              <w:divBdr>
                <w:top w:val="none" w:sz="0" w:space="0" w:color="auto"/>
                <w:left w:val="none" w:sz="0" w:space="0" w:color="auto"/>
                <w:bottom w:val="none" w:sz="0" w:space="0" w:color="auto"/>
                <w:right w:val="none" w:sz="0" w:space="0" w:color="auto"/>
              </w:divBdr>
            </w:div>
          </w:divsChild>
        </w:div>
        <w:div w:id="411120988">
          <w:marLeft w:val="0"/>
          <w:marRight w:val="0"/>
          <w:marTop w:val="0"/>
          <w:marBottom w:val="0"/>
          <w:divBdr>
            <w:top w:val="none" w:sz="0" w:space="0" w:color="auto"/>
            <w:left w:val="none" w:sz="0" w:space="0" w:color="auto"/>
            <w:bottom w:val="none" w:sz="0" w:space="0" w:color="auto"/>
            <w:right w:val="none" w:sz="0" w:space="0" w:color="auto"/>
          </w:divBdr>
          <w:divsChild>
            <w:div w:id="1328440217">
              <w:marLeft w:val="0"/>
              <w:marRight w:val="0"/>
              <w:marTop w:val="0"/>
              <w:marBottom w:val="0"/>
              <w:divBdr>
                <w:top w:val="none" w:sz="0" w:space="0" w:color="auto"/>
                <w:left w:val="none" w:sz="0" w:space="0" w:color="auto"/>
                <w:bottom w:val="none" w:sz="0" w:space="0" w:color="auto"/>
                <w:right w:val="none" w:sz="0" w:space="0" w:color="auto"/>
              </w:divBdr>
            </w:div>
          </w:divsChild>
        </w:div>
        <w:div w:id="418866113">
          <w:marLeft w:val="0"/>
          <w:marRight w:val="0"/>
          <w:marTop w:val="0"/>
          <w:marBottom w:val="0"/>
          <w:divBdr>
            <w:top w:val="none" w:sz="0" w:space="0" w:color="auto"/>
            <w:left w:val="none" w:sz="0" w:space="0" w:color="auto"/>
            <w:bottom w:val="none" w:sz="0" w:space="0" w:color="auto"/>
            <w:right w:val="none" w:sz="0" w:space="0" w:color="auto"/>
          </w:divBdr>
          <w:divsChild>
            <w:div w:id="870728743">
              <w:marLeft w:val="0"/>
              <w:marRight w:val="0"/>
              <w:marTop w:val="0"/>
              <w:marBottom w:val="0"/>
              <w:divBdr>
                <w:top w:val="none" w:sz="0" w:space="0" w:color="auto"/>
                <w:left w:val="none" w:sz="0" w:space="0" w:color="auto"/>
                <w:bottom w:val="none" w:sz="0" w:space="0" w:color="auto"/>
                <w:right w:val="none" w:sz="0" w:space="0" w:color="auto"/>
              </w:divBdr>
            </w:div>
          </w:divsChild>
        </w:div>
        <w:div w:id="420181104">
          <w:marLeft w:val="0"/>
          <w:marRight w:val="0"/>
          <w:marTop w:val="0"/>
          <w:marBottom w:val="0"/>
          <w:divBdr>
            <w:top w:val="none" w:sz="0" w:space="0" w:color="auto"/>
            <w:left w:val="none" w:sz="0" w:space="0" w:color="auto"/>
            <w:bottom w:val="none" w:sz="0" w:space="0" w:color="auto"/>
            <w:right w:val="none" w:sz="0" w:space="0" w:color="auto"/>
          </w:divBdr>
          <w:divsChild>
            <w:div w:id="19741317">
              <w:marLeft w:val="0"/>
              <w:marRight w:val="0"/>
              <w:marTop w:val="0"/>
              <w:marBottom w:val="0"/>
              <w:divBdr>
                <w:top w:val="none" w:sz="0" w:space="0" w:color="auto"/>
                <w:left w:val="none" w:sz="0" w:space="0" w:color="auto"/>
                <w:bottom w:val="none" w:sz="0" w:space="0" w:color="auto"/>
                <w:right w:val="none" w:sz="0" w:space="0" w:color="auto"/>
              </w:divBdr>
            </w:div>
          </w:divsChild>
        </w:div>
        <w:div w:id="473565539">
          <w:marLeft w:val="0"/>
          <w:marRight w:val="0"/>
          <w:marTop w:val="0"/>
          <w:marBottom w:val="0"/>
          <w:divBdr>
            <w:top w:val="none" w:sz="0" w:space="0" w:color="auto"/>
            <w:left w:val="none" w:sz="0" w:space="0" w:color="auto"/>
            <w:bottom w:val="none" w:sz="0" w:space="0" w:color="auto"/>
            <w:right w:val="none" w:sz="0" w:space="0" w:color="auto"/>
          </w:divBdr>
          <w:divsChild>
            <w:div w:id="602111589">
              <w:marLeft w:val="0"/>
              <w:marRight w:val="0"/>
              <w:marTop w:val="0"/>
              <w:marBottom w:val="0"/>
              <w:divBdr>
                <w:top w:val="none" w:sz="0" w:space="0" w:color="auto"/>
                <w:left w:val="none" w:sz="0" w:space="0" w:color="auto"/>
                <w:bottom w:val="none" w:sz="0" w:space="0" w:color="auto"/>
                <w:right w:val="none" w:sz="0" w:space="0" w:color="auto"/>
              </w:divBdr>
            </w:div>
          </w:divsChild>
        </w:div>
        <w:div w:id="473840911">
          <w:marLeft w:val="0"/>
          <w:marRight w:val="0"/>
          <w:marTop w:val="0"/>
          <w:marBottom w:val="0"/>
          <w:divBdr>
            <w:top w:val="none" w:sz="0" w:space="0" w:color="auto"/>
            <w:left w:val="none" w:sz="0" w:space="0" w:color="auto"/>
            <w:bottom w:val="none" w:sz="0" w:space="0" w:color="auto"/>
            <w:right w:val="none" w:sz="0" w:space="0" w:color="auto"/>
          </w:divBdr>
          <w:divsChild>
            <w:div w:id="667513965">
              <w:marLeft w:val="0"/>
              <w:marRight w:val="0"/>
              <w:marTop w:val="0"/>
              <w:marBottom w:val="0"/>
              <w:divBdr>
                <w:top w:val="none" w:sz="0" w:space="0" w:color="auto"/>
                <w:left w:val="none" w:sz="0" w:space="0" w:color="auto"/>
                <w:bottom w:val="none" w:sz="0" w:space="0" w:color="auto"/>
                <w:right w:val="none" w:sz="0" w:space="0" w:color="auto"/>
              </w:divBdr>
            </w:div>
          </w:divsChild>
        </w:div>
        <w:div w:id="523136352">
          <w:marLeft w:val="0"/>
          <w:marRight w:val="0"/>
          <w:marTop w:val="0"/>
          <w:marBottom w:val="0"/>
          <w:divBdr>
            <w:top w:val="none" w:sz="0" w:space="0" w:color="auto"/>
            <w:left w:val="none" w:sz="0" w:space="0" w:color="auto"/>
            <w:bottom w:val="none" w:sz="0" w:space="0" w:color="auto"/>
            <w:right w:val="none" w:sz="0" w:space="0" w:color="auto"/>
          </w:divBdr>
          <w:divsChild>
            <w:div w:id="521894801">
              <w:marLeft w:val="0"/>
              <w:marRight w:val="0"/>
              <w:marTop w:val="0"/>
              <w:marBottom w:val="0"/>
              <w:divBdr>
                <w:top w:val="none" w:sz="0" w:space="0" w:color="auto"/>
                <w:left w:val="none" w:sz="0" w:space="0" w:color="auto"/>
                <w:bottom w:val="none" w:sz="0" w:space="0" w:color="auto"/>
                <w:right w:val="none" w:sz="0" w:space="0" w:color="auto"/>
              </w:divBdr>
            </w:div>
          </w:divsChild>
        </w:div>
        <w:div w:id="539974894">
          <w:marLeft w:val="0"/>
          <w:marRight w:val="0"/>
          <w:marTop w:val="0"/>
          <w:marBottom w:val="0"/>
          <w:divBdr>
            <w:top w:val="none" w:sz="0" w:space="0" w:color="auto"/>
            <w:left w:val="none" w:sz="0" w:space="0" w:color="auto"/>
            <w:bottom w:val="none" w:sz="0" w:space="0" w:color="auto"/>
            <w:right w:val="none" w:sz="0" w:space="0" w:color="auto"/>
          </w:divBdr>
          <w:divsChild>
            <w:div w:id="1285115670">
              <w:marLeft w:val="0"/>
              <w:marRight w:val="0"/>
              <w:marTop w:val="0"/>
              <w:marBottom w:val="0"/>
              <w:divBdr>
                <w:top w:val="none" w:sz="0" w:space="0" w:color="auto"/>
                <w:left w:val="none" w:sz="0" w:space="0" w:color="auto"/>
                <w:bottom w:val="none" w:sz="0" w:space="0" w:color="auto"/>
                <w:right w:val="none" w:sz="0" w:space="0" w:color="auto"/>
              </w:divBdr>
            </w:div>
          </w:divsChild>
        </w:div>
        <w:div w:id="549001317">
          <w:marLeft w:val="0"/>
          <w:marRight w:val="0"/>
          <w:marTop w:val="0"/>
          <w:marBottom w:val="0"/>
          <w:divBdr>
            <w:top w:val="none" w:sz="0" w:space="0" w:color="auto"/>
            <w:left w:val="none" w:sz="0" w:space="0" w:color="auto"/>
            <w:bottom w:val="none" w:sz="0" w:space="0" w:color="auto"/>
            <w:right w:val="none" w:sz="0" w:space="0" w:color="auto"/>
          </w:divBdr>
          <w:divsChild>
            <w:div w:id="93600256">
              <w:marLeft w:val="0"/>
              <w:marRight w:val="0"/>
              <w:marTop w:val="0"/>
              <w:marBottom w:val="0"/>
              <w:divBdr>
                <w:top w:val="none" w:sz="0" w:space="0" w:color="auto"/>
                <w:left w:val="none" w:sz="0" w:space="0" w:color="auto"/>
                <w:bottom w:val="none" w:sz="0" w:space="0" w:color="auto"/>
                <w:right w:val="none" w:sz="0" w:space="0" w:color="auto"/>
              </w:divBdr>
            </w:div>
          </w:divsChild>
        </w:div>
        <w:div w:id="569775600">
          <w:marLeft w:val="0"/>
          <w:marRight w:val="0"/>
          <w:marTop w:val="0"/>
          <w:marBottom w:val="0"/>
          <w:divBdr>
            <w:top w:val="none" w:sz="0" w:space="0" w:color="auto"/>
            <w:left w:val="none" w:sz="0" w:space="0" w:color="auto"/>
            <w:bottom w:val="none" w:sz="0" w:space="0" w:color="auto"/>
            <w:right w:val="none" w:sz="0" w:space="0" w:color="auto"/>
          </w:divBdr>
          <w:divsChild>
            <w:div w:id="229997891">
              <w:marLeft w:val="0"/>
              <w:marRight w:val="0"/>
              <w:marTop w:val="0"/>
              <w:marBottom w:val="0"/>
              <w:divBdr>
                <w:top w:val="none" w:sz="0" w:space="0" w:color="auto"/>
                <w:left w:val="none" w:sz="0" w:space="0" w:color="auto"/>
                <w:bottom w:val="none" w:sz="0" w:space="0" w:color="auto"/>
                <w:right w:val="none" w:sz="0" w:space="0" w:color="auto"/>
              </w:divBdr>
            </w:div>
          </w:divsChild>
        </w:div>
        <w:div w:id="589965920">
          <w:marLeft w:val="0"/>
          <w:marRight w:val="0"/>
          <w:marTop w:val="0"/>
          <w:marBottom w:val="0"/>
          <w:divBdr>
            <w:top w:val="none" w:sz="0" w:space="0" w:color="auto"/>
            <w:left w:val="none" w:sz="0" w:space="0" w:color="auto"/>
            <w:bottom w:val="none" w:sz="0" w:space="0" w:color="auto"/>
            <w:right w:val="none" w:sz="0" w:space="0" w:color="auto"/>
          </w:divBdr>
          <w:divsChild>
            <w:div w:id="2075539744">
              <w:marLeft w:val="0"/>
              <w:marRight w:val="0"/>
              <w:marTop w:val="0"/>
              <w:marBottom w:val="0"/>
              <w:divBdr>
                <w:top w:val="none" w:sz="0" w:space="0" w:color="auto"/>
                <w:left w:val="none" w:sz="0" w:space="0" w:color="auto"/>
                <w:bottom w:val="none" w:sz="0" w:space="0" w:color="auto"/>
                <w:right w:val="none" w:sz="0" w:space="0" w:color="auto"/>
              </w:divBdr>
            </w:div>
          </w:divsChild>
        </w:div>
        <w:div w:id="639193356">
          <w:marLeft w:val="0"/>
          <w:marRight w:val="0"/>
          <w:marTop w:val="0"/>
          <w:marBottom w:val="0"/>
          <w:divBdr>
            <w:top w:val="none" w:sz="0" w:space="0" w:color="auto"/>
            <w:left w:val="none" w:sz="0" w:space="0" w:color="auto"/>
            <w:bottom w:val="none" w:sz="0" w:space="0" w:color="auto"/>
            <w:right w:val="none" w:sz="0" w:space="0" w:color="auto"/>
          </w:divBdr>
          <w:divsChild>
            <w:div w:id="241111993">
              <w:marLeft w:val="0"/>
              <w:marRight w:val="0"/>
              <w:marTop w:val="0"/>
              <w:marBottom w:val="0"/>
              <w:divBdr>
                <w:top w:val="none" w:sz="0" w:space="0" w:color="auto"/>
                <w:left w:val="none" w:sz="0" w:space="0" w:color="auto"/>
                <w:bottom w:val="none" w:sz="0" w:space="0" w:color="auto"/>
                <w:right w:val="none" w:sz="0" w:space="0" w:color="auto"/>
              </w:divBdr>
            </w:div>
          </w:divsChild>
        </w:div>
        <w:div w:id="646788607">
          <w:marLeft w:val="0"/>
          <w:marRight w:val="0"/>
          <w:marTop w:val="0"/>
          <w:marBottom w:val="0"/>
          <w:divBdr>
            <w:top w:val="none" w:sz="0" w:space="0" w:color="auto"/>
            <w:left w:val="none" w:sz="0" w:space="0" w:color="auto"/>
            <w:bottom w:val="none" w:sz="0" w:space="0" w:color="auto"/>
            <w:right w:val="none" w:sz="0" w:space="0" w:color="auto"/>
          </w:divBdr>
          <w:divsChild>
            <w:div w:id="2041778972">
              <w:marLeft w:val="0"/>
              <w:marRight w:val="0"/>
              <w:marTop w:val="0"/>
              <w:marBottom w:val="0"/>
              <w:divBdr>
                <w:top w:val="none" w:sz="0" w:space="0" w:color="auto"/>
                <w:left w:val="none" w:sz="0" w:space="0" w:color="auto"/>
                <w:bottom w:val="none" w:sz="0" w:space="0" w:color="auto"/>
                <w:right w:val="none" w:sz="0" w:space="0" w:color="auto"/>
              </w:divBdr>
            </w:div>
          </w:divsChild>
        </w:div>
        <w:div w:id="683097401">
          <w:marLeft w:val="0"/>
          <w:marRight w:val="0"/>
          <w:marTop w:val="0"/>
          <w:marBottom w:val="0"/>
          <w:divBdr>
            <w:top w:val="none" w:sz="0" w:space="0" w:color="auto"/>
            <w:left w:val="none" w:sz="0" w:space="0" w:color="auto"/>
            <w:bottom w:val="none" w:sz="0" w:space="0" w:color="auto"/>
            <w:right w:val="none" w:sz="0" w:space="0" w:color="auto"/>
          </w:divBdr>
          <w:divsChild>
            <w:div w:id="371422654">
              <w:marLeft w:val="0"/>
              <w:marRight w:val="0"/>
              <w:marTop w:val="0"/>
              <w:marBottom w:val="0"/>
              <w:divBdr>
                <w:top w:val="none" w:sz="0" w:space="0" w:color="auto"/>
                <w:left w:val="none" w:sz="0" w:space="0" w:color="auto"/>
                <w:bottom w:val="none" w:sz="0" w:space="0" w:color="auto"/>
                <w:right w:val="none" w:sz="0" w:space="0" w:color="auto"/>
              </w:divBdr>
            </w:div>
          </w:divsChild>
        </w:div>
        <w:div w:id="684331092">
          <w:marLeft w:val="0"/>
          <w:marRight w:val="0"/>
          <w:marTop w:val="0"/>
          <w:marBottom w:val="0"/>
          <w:divBdr>
            <w:top w:val="none" w:sz="0" w:space="0" w:color="auto"/>
            <w:left w:val="none" w:sz="0" w:space="0" w:color="auto"/>
            <w:bottom w:val="none" w:sz="0" w:space="0" w:color="auto"/>
            <w:right w:val="none" w:sz="0" w:space="0" w:color="auto"/>
          </w:divBdr>
          <w:divsChild>
            <w:div w:id="1862280195">
              <w:marLeft w:val="0"/>
              <w:marRight w:val="0"/>
              <w:marTop w:val="0"/>
              <w:marBottom w:val="0"/>
              <w:divBdr>
                <w:top w:val="none" w:sz="0" w:space="0" w:color="auto"/>
                <w:left w:val="none" w:sz="0" w:space="0" w:color="auto"/>
                <w:bottom w:val="none" w:sz="0" w:space="0" w:color="auto"/>
                <w:right w:val="none" w:sz="0" w:space="0" w:color="auto"/>
              </w:divBdr>
            </w:div>
          </w:divsChild>
        </w:div>
        <w:div w:id="690954705">
          <w:marLeft w:val="0"/>
          <w:marRight w:val="0"/>
          <w:marTop w:val="0"/>
          <w:marBottom w:val="0"/>
          <w:divBdr>
            <w:top w:val="none" w:sz="0" w:space="0" w:color="auto"/>
            <w:left w:val="none" w:sz="0" w:space="0" w:color="auto"/>
            <w:bottom w:val="none" w:sz="0" w:space="0" w:color="auto"/>
            <w:right w:val="none" w:sz="0" w:space="0" w:color="auto"/>
          </w:divBdr>
          <w:divsChild>
            <w:div w:id="372465892">
              <w:marLeft w:val="0"/>
              <w:marRight w:val="0"/>
              <w:marTop w:val="0"/>
              <w:marBottom w:val="0"/>
              <w:divBdr>
                <w:top w:val="none" w:sz="0" w:space="0" w:color="auto"/>
                <w:left w:val="none" w:sz="0" w:space="0" w:color="auto"/>
                <w:bottom w:val="none" w:sz="0" w:space="0" w:color="auto"/>
                <w:right w:val="none" w:sz="0" w:space="0" w:color="auto"/>
              </w:divBdr>
            </w:div>
          </w:divsChild>
        </w:div>
        <w:div w:id="696200195">
          <w:marLeft w:val="0"/>
          <w:marRight w:val="0"/>
          <w:marTop w:val="0"/>
          <w:marBottom w:val="0"/>
          <w:divBdr>
            <w:top w:val="none" w:sz="0" w:space="0" w:color="auto"/>
            <w:left w:val="none" w:sz="0" w:space="0" w:color="auto"/>
            <w:bottom w:val="none" w:sz="0" w:space="0" w:color="auto"/>
            <w:right w:val="none" w:sz="0" w:space="0" w:color="auto"/>
          </w:divBdr>
          <w:divsChild>
            <w:div w:id="193931278">
              <w:marLeft w:val="0"/>
              <w:marRight w:val="0"/>
              <w:marTop w:val="0"/>
              <w:marBottom w:val="0"/>
              <w:divBdr>
                <w:top w:val="none" w:sz="0" w:space="0" w:color="auto"/>
                <w:left w:val="none" w:sz="0" w:space="0" w:color="auto"/>
                <w:bottom w:val="none" w:sz="0" w:space="0" w:color="auto"/>
                <w:right w:val="none" w:sz="0" w:space="0" w:color="auto"/>
              </w:divBdr>
            </w:div>
          </w:divsChild>
        </w:div>
        <w:div w:id="733162416">
          <w:marLeft w:val="0"/>
          <w:marRight w:val="0"/>
          <w:marTop w:val="0"/>
          <w:marBottom w:val="0"/>
          <w:divBdr>
            <w:top w:val="none" w:sz="0" w:space="0" w:color="auto"/>
            <w:left w:val="none" w:sz="0" w:space="0" w:color="auto"/>
            <w:bottom w:val="none" w:sz="0" w:space="0" w:color="auto"/>
            <w:right w:val="none" w:sz="0" w:space="0" w:color="auto"/>
          </w:divBdr>
          <w:divsChild>
            <w:div w:id="493498279">
              <w:marLeft w:val="0"/>
              <w:marRight w:val="0"/>
              <w:marTop w:val="0"/>
              <w:marBottom w:val="0"/>
              <w:divBdr>
                <w:top w:val="none" w:sz="0" w:space="0" w:color="auto"/>
                <w:left w:val="none" w:sz="0" w:space="0" w:color="auto"/>
                <w:bottom w:val="none" w:sz="0" w:space="0" w:color="auto"/>
                <w:right w:val="none" w:sz="0" w:space="0" w:color="auto"/>
              </w:divBdr>
            </w:div>
          </w:divsChild>
        </w:div>
        <w:div w:id="773090146">
          <w:marLeft w:val="0"/>
          <w:marRight w:val="0"/>
          <w:marTop w:val="0"/>
          <w:marBottom w:val="0"/>
          <w:divBdr>
            <w:top w:val="none" w:sz="0" w:space="0" w:color="auto"/>
            <w:left w:val="none" w:sz="0" w:space="0" w:color="auto"/>
            <w:bottom w:val="none" w:sz="0" w:space="0" w:color="auto"/>
            <w:right w:val="none" w:sz="0" w:space="0" w:color="auto"/>
          </w:divBdr>
          <w:divsChild>
            <w:div w:id="1840383061">
              <w:marLeft w:val="0"/>
              <w:marRight w:val="0"/>
              <w:marTop w:val="0"/>
              <w:marBottom w:val="0"/>
              <w:divBdr>
                <w:top w:val="none" w:sz="0" w:space="0" w:color="auto"/>
                <w:left w:val="none" w:sz="0" w:space="0" w:color="auto"/>
                <w:bottom w:val="none" w:sz="0" w:space="0" w:color="auto"/>
                <w:right w:val="none" w:sz="0" w:space="0" w:color="auto"/>
              </w:divBdr>
            </w:div>
          </w:divsChild>
        </w:div>
        <w:div w:id="774251461">
          <w:marLeft w:val="0"/>
          <w:marRight w:val="0"/>
          <w:marTop w:val="0"/>
          <w:marBottom w:val="0"/>
          <w:divBdr>
            <w:top w:val="none" w:sz="0" w:space="0" w:color="auto"/>
            <w:left w:val="none" w:sz="0" w:space="0" w:color="auto"/>
            <w:bottom w:val="none" w:sz="0" w:space="0" w:color="auto"/>
            <w:right w:val="none" w:sz="0" w:space="0" w:color="auto"/>
          </w:divBdr>
          <w:divsChild>
            <w:div w:id="826359283">
              <w:marLeft w:val="0"/>
              <w:marRight w:val="0"/>
              <w:marTop w:val="0"/>
              <w:marBottom w:val="0"/>
              <w:divBdr>
                <w:top w:val="none" w:sz="0" w:space="0" w:color="auto"/>
                <w:left w:val="none" w:sz="0" w:space="0" w:color="auto"/>
                <w:bottom w:val="none" w:sz="0" w:space="0" w:color="auto"/>
                <w:right w:val="none" w:sz="0" w:space="0" w:color="auto"/>
              </w:divBdr>
            </w:div>
          </w:divsChild>
        </w:div>
        <w:div w:id="791094278">
          <w:marLeft w:val="0"/>
          <w:marRight w:val="0"/>
          <w:marTop w:val="0"/>
          <w:marBottom w:val="0"/>
          <w:divBdr>
            <w:top w:val="none" w:sz="0" w:space="0" w:color="auto"/>
            <w:left w:val="none" w:sz="0" w:space="0" w:color="auto"/>
            <w:bottom w:val="none" w:sz="0" w:space="0" w:color="auto"/>
            <w:right w:val="none" w:sz="0" w:space="0" w:color="auto"/>
          </w:divBdr>
          <w:divsChild>
            <w:div w:id="30112798">
              <w:marLeft w:val="0"/>
              <w:marRight w:val="0"/>
              <w:marTop w:val="0"/>
              <w:marBottom w:val="0"/>
              <w:divBdr>
                <w:top w:val="none" w:sz="0" w:space="0" w:color="auto"/>
                <w:left w:val="none" w:sz="0" w:space="0" w:color="auto"/>
                <w:bottom w:val="none" w:sz="0" w:space="0" w:color="auto"/>
                <w:right w:val="none" w:sz="0" w:space="0" w:color="auto"/>
              </w:divBdr>
            </w:div>
          </w:divsChild>
        </w:div>
        <w:div w:id="793057465">
          <w:marLeft w:val="0"/>
          <w:marRight w:val="0"/>
          <w:marTop w:val="0"/>
          <w:marBottom w:val="0"/>
          <w:divBdr>
            <w:top w:val="none" w:sz="0" w:space="0" w:color="auto"/>
            <w:left w:val="none" w:sz="0" w:space="0" w:color="auto"/>
            <w:bottom w:val="none" w:sz="0" w:space="0" w:color="auto"/>
            <w:right w:val="none" w:sz="0" w:space="0" w:color="auto"/>
          </w:divBdr>
          <w:divsChild>
            <w:div w:id="716275095">
              <w:marLeft w:val="0"/>
              <w:marRight w:val="0"/>
              <w:marTop w:val="0"/>
              <w:marBottom w:val="0"/>
              <w:divBdr>
                <w:top w:val="none" w:sz="0" w:space="0" w:color="auto"/>
                <w:left w:val="none" w:sz="0" w:space="0" w:color="auto"/>
                <w:bottom w:val="none" w:sz="0" w:space="0" w:color="auto"/>
                <w:right w:val="none" w:sz="0" w:space="0" w:color="auto"/>
              </w:divBdr>
            </w:div>
          </w:divsChild>
        </w:div>
        <w:div w:id="798690788">
          <w:marLeft w:val="0"/>
          <w:marRight w:val="0"/>
          <w:marTop w:val="0"/>
          <w:marBottom w:val="0"/>
          <w:divBdr>
            <w:top w:val="none" w:sz="0" w:space="0" w:color="auto"/>
            <w:left w:val="none" w:sz="0" w:space="0" w:color="auto"/>
            <w:bottom w:val="none" w:sz="0" w:space="0" w:color="auto"/>
            <w:right w:val="none" w:sz="0" w:space="0" w:color="auto"/>
          </w:divBdr>
          <w:divsChild>
            <w:div w:id="123666947">
              <w:marLeft w:val="0"/>
              <w:marRight w:val="0"/>
              <w:marTop w:val="0"/>
              <w:marBottom w:val="0"/>
              <w:divBdr>
                <w:top w:val="none" w:sz="0" w:space="0" w:color="auto"/>
                <w:left w:val="none" w:sz="0" w:space="0" w:color="auto"/>
                <w:bottom w:val="none" w:sz="0" w:space="0" w:color="auto"/>
                <w:right w:val="none" w:sz="0" w:space="0" w:color="auto"/>
              </w:divBdr>
            </w:div>
          </w:divsChild>
        </w:div>
        <w:div w:id="818616636">
          <w:marLeft w:val="0"/>
          <w:marRight w:val="0"/>
          <w:marTop w:val="0"/>
          <w:marBottom w:val="0"/>
          <w:divBdr>
            <w:top w:val="none" w:sz="0" w:space="0" w:color="auto"/>
            <w:left w:val="none" w:sz="0" w:space="0" w:color="auto"/>
            <w:bottom w:val="none" w:sz="0" w:space="0" w:color="auto"/>
            <w:right w:val="none" w:sz="0" w:space="0" w:color="auto"/>
          </w:divBdr>
          <w:divsChild>
            <w:div w:id="1028527270">
              <w:marLeft w:val="0"/>
              <w:marRight w:val="0"/>
              <w:marTop w:val="0"/>
              <w:marBottom w:val="0"/>
              <w:divBdr>
                <w:top w:val="none" w:sz="0" w:space="0" w:color="auto"/>
                <w:left w:val="none" w:sz="0" w:space="0" w:color="auto"/>
                <w:bottom w:val="none" w:sz="0" w:space="0" w:color="auto"/>
                <w:right w:val="none" w:sz="0" w:space="0" w:color="auto"/>
              </w:divBdr>
            </w:div>
          </w:divsChild>
        </w:div>
        <w:div w:id="823157851">
          <w:marLeft w:val="0"/>
          <w:marRight w:val="0"/>
          <w:marTop w:val="0"/>
          <w:marBottom w:val="0"/>
          <w:divBdr>
            <w:top w:val="none" w:sz="0" w:space="0" w:color="auto"/>
            <w:left w:val="none" w:sz="0" w:space="0" w:color="auto"/>
            <w:bottom w:val="none" w:sz="0" w:space="0" w:color="auto"/>
            <w:right w:val="none" w:sz="0" w:space="0" w:color="auto"/>
          </w:divBdr>
          <w:divsChild>
            <w:div w:id="1140924246">
              <w:marLeft w:val="0"/>
              <w:marRight w:val="0"/>
              <w:marTop w:val="0"/>
              <w:marBottom w:val="0"/>
              <w:divBdr>
                <w:top w:val="none" w:sz="0" w:space="0" w:color="auto"/>
                <w:left w:val="none" w:sz="0" w:space="0" w:color="auto"/>
                <w:bottom w:val="none" w:sz="0" w:space="0" w:color="auto"/>
                <w:right w:val="none" w:sz="0" w:space="0" w:color="auto"/>
              </w:divBdr>
            </w:div>
          </w:divsChild>
        </w:div>
        <w:div w:id="850418105">
          <w:marLeft w:val="0"/>
          <w:marRight w:val="0"/>
          <w:marTop w:val="0"/>
          <w:marBottom w:val="0"/>
          <w:divBdr>
            <w:top w:val="none" w:sz="0" w:space="0" w:color="auto"/>
            <w:left w:val="none" w:sz="0" w:space="0" w:color="auto"/>
            <w:bottom w:val="none" w:sz="0" w:space="0" w:color="auto"/>
            <w:right w:val="none" w:sz="0" w:space="0" w:color="auto"/>
          </w:divBdr>
          <w:divsChild>
            <w:div w:id="681321869">
              <w:marLeft w:val="0"/>
              <w:marRight w:val="0"/>
              <w:marTop w:val="0"/>
              <w:marBottom w:val="0"/>
              <w:divBdr>
                <w:top w:val="none" w:sz="0" w:space="0" w:color="auto"/>
                <w:left w:val="none" w:sz="0" w:space="0" w:color="auto"/>
                <w:bottom w:val="none" w:sz="0" w:space="0" w:color="auto"/>
                <w:right w:val="none" w:sz="0" w:space="0" w:color="auto"/>
              </w:divBdr>
            </w:div>
          </w:divsChild>
        </w:div>
        <w:div w:id="906380136">
          <w:marLeft w:val="0"/>
          <w:marRight w:val="0"/>
          <w:marTop w:val="0"/>
          <w:marBottom w:val="0"/>
          <w:divBdr>
            <w:top w:val="none" w:sz="0" w:space="0" w:color="auto"/>
            <w:left w:val="none" w:sz="0" w:space="0" w:color="auto"/>
            <w:bottom w:val="none" w:sz="0" w:space="0" w:color="auto"/>
            <w:right w:val="none" w:sz="0" w:space="0" w:color="auto"/>
          </w:divBdr>
          <w:divsChild>
            <w:div w:id="926767542">
              <w:marLeft w:val="0"/>
              <w:marRight w:val="0"/>
              <w:marTop w:val="0"/>
              <w:marBottom w:val="0"/>
              <w:divBdr>
                <w:top w:val="none" w:sz="0" w:space="0" w:color="auto"/>
                <w:left w:val="none" w:sz="0" w:space="0" w:color="auto"/>
                <w:bottom w:val="none" w:sz="0" w:space="0" w:color="auto"/>
                <w:right w:val="none" w:sz="0" w:space="0" w:color="auto"/>
              </w:divBdr>
            </w:div>
          </w:divsChild>
        </w:div>
        <w:div w:id="921182045">
          <w:marLeft w:val="0"/>
          <w:marRight w:val="0"/>
          <w:marTop w:val="0"/>
          <w:marBottom w:val="0"/>
          <w:divBdr>
            <w:top w:val="none" w:sz="0" w:space="0" w:color="auto"/>
            <w:left w:val="none" w:sz="0" w:space="0" w:color="auto"/>
            <w:bottom w:val="none" w:sz="0" w:space="0" w:color="auto"/>
            <w:right w:val="none" w:sz="0" w:space="0" w:color="auto"/>
          </w:divBdr>
          <w:divsChild>
            <w:div w:id="2002544745">
              <w:marLeft w:val="0"/>
              <w:marRight w:val="0"/>
              <w:marTop w:val="0"/>
              <w:marBottom w:val="0"/>
              <w:divBdr>
                <w:top w:val="none" w:sz="0" w:space="0" w:color="auto"/>
                <w:left w:val="none" w:sz="0" w:space="0" w:color="auto"/>
                <w:bottom w:val="none" w:sz="0" w:space="0" w:color="auto"/>
                <w:right w:val="none" w:sz="0" w:space="0" w:color="auto"/>
              </w:divBdr>
            </w:div>
          </w:divsChild>
        </w:div>
        <w:div w:id="965237359">
          <w:marLeft w:val="0"/>
          <w:marRight w:val="0"/>
          <w:marTop w:val="0"/>
          <w:marBottom w:val="0"/>
          <w:divBdr>
            <w:top w:val="none" w:sz="0" w:space="0" w:color="auto"/>
            <w:left w:val="none" w:sz="0" w:space="0" w:color="auto"/>
            <w:bottom w:val="none" w:sz="0" w:space="0" w:color="auto"/>
            <w:right w:val="none" w:sz="0" w:space="0" w:color="auto"/>
          </w:divBdr>
          <w:divsChild>
            <w:div w:id="1666129593">
              <w:marLeft w:val="0"/>
              <w:marRight w:val="0"/>
              <w:marTop w:val="0"/>
              <w:marBottom w:val="0"/>
              <w:divBdr>
                <w:top w:val="none" w:sz="0" w:space="0" w:color="auto"/>
                <w:left w:val="none" w:sz="0" w:space="0" w:color="auto"/>
                <w:bottom w:val="none" w:sz="0" w:space="0" w:color="auto"/>
                <w:right w:val="none" w:sz="0" w:space="0" w:color="auto"/>
              </w:divBdr>
            </w:div>
          </w:divsChild>
        </w:div>
        <w:div w:id="1039666391">
          <w:marLeft w:val="0"/>
          <w:marRight w:val="0"/>
          <w:marTop w:val="0"/>
          <w:marBottom w:val="0"/>
          <w:divBdr>
            <w:top w:val="none" w:sz="0" w:space="0" w:color="auto"/>
            <w:left w:val="none" w:sz="0" w:space="0" w:color="auto"/>
            <w:bottom w:val="none" w:sz="0" w:space="0" w:color="auto"/>
            <w:right w:val="none" w:sz="0" w:space="0" w:color="auto"/>
          </w:divBdr>
          <w:divsChild>
            <w:div w:id="865944566">
              <w:marLeft w:val="0"/>
              <w:marRight w:val="0"/>
              <w:marTop w:val="0"/>
              <w:marBottom w:val="0"/>
              <w:divBdr>
                <w:top w:val="none" w:sz="0" w:space="0" w:color="auto"/>
                <w:left w:val="none" w:sz="0" w:space="0" w:color="auto"/>
                <w:bottom w:val="none" w:sz="0" w:space="0" w:color="auto"/>
                <w:right w:val="none" w:sz="0" w:space="0" w:color="auto"/>
              </w:divBdr>
            </w:div>
          </w:divsChild>
        </w:div>
        <w:div w:id="1047804247">
          <w:marLeft w:val="0"/>
          <w:marRight w:val="0"/>
          <w:marTop w:val="0"/>
          <w:marBottom w:val="0"/>
          <w:divBdr>
            <w:top w:val="none" w:sz="0" w:space="0" w:color="auto"/>
            <w:left w:val="none" w:sz="0" w:space="0" w:color="auto"/>
            <w:bottom w:val="none" w:sz="0" w:space="0" w:color="auto"/>
            <w:right w:val="none" w:sz="0" w:space="0" w:color="auto"/>
          </w:divBdr>
          <w:divsChild>
            <w:div w:id="426313123">
              <w:marLeft w:val="0"/>
              <w:marRight w:val="0"/>
              <w:marTop w:val="0"/>
              <w:marBottom w:val="0"/>
              <w:divBdr>
                <w:top w:val="none" w:sz="0" w:space="0" w:color="auto"/>
                <w:left w:val="none" w:sz="0" w:space="0" w:color="auto"/>
                <w:bottom w:val="none" w:sz="0" w:space="0" w:color="auto"/>
                <w:right w:val="none" w:sz="0" w:space="0" w:color="auto"/>
              </w:divBdr>
            </w:div>
          </w:divsChild>
        </w:div>
        <w:div w:id="1055011287">
          <w:marLeft w:val="0"/>
          <w:marRight w:val="0"/>
          <w:marTop w:val="0"/>
          <w:marBottom w:val="0"/>
          <w:divBdr>
            <w:top w:val="none" w:sz="0" w:space="0" w:color="auto"/>
            <w:left w:val="none" w:sz="0" w:space="0" w:color="auto"/>
            <w:bottom w:val="none" w:sz="0" w:space="0" w:color="auto"/>
            <w:right w:val="none" w:sz="0" w:space="0" w:color="auto"/>
          </w:divBdr>
          <w:divsChild>
            <w:div w:id="2137798381">
              <w:marLeft w:val="0"/>
              <w:marRight w:val="0"/>
              <w:marTop w:val="0"/>
              <w:marBottom w:val="0"/>
              <w:divBdr>
                <w:top w:val="none" w:sz="0" w:space="0" w:color="auto"/>
                <w:left w:val="none" w:sz="0" w:space="0" w:color="auto"/>
                <w:bottom w:val="none" w:sz="0" w:space="0" w:color="auto"/>
                <w:right w:val="none" w:sz="0" w:space="0" w:color="auto"/>
              </w:divBdr>
            </w:div>
          </w:divsChild>
        </w:div>
        <w:div w:id="1084571354">
          <w:marLeft w:val="0"/>
          <w:marRight w:val="0"/>
          <w:marTop w:val="0"/>
          <w:marBottom w:val="0"/>
          <w:divBdr>
            <w:top w:val="none" w:sz="0" w:space="0" w:color="auto"/>
            <w:left w:val="none" w:sz="0" w:space="0" w:color="auto"/>
            <w:bottom w:val="none" w:sz="0" w:space="0" w:color="auto"/>
            <w:right w:val="none" w:sz="0" w:space="0" w:color="auto"/>
          </w:divBdr>
          <w:divsChild>
            <w:div w:id="883756642">
              <w:marLeft w:val="0"/>
              <w:marRight w:val="0"/>
              <w:marTop w:val="0"/>
              <w:marBottom w:val="0"/>
              <w:divBdr>
                <w:top w:val="none" w:sz="0" w:space="0" w:color="auto"/>
                <w:left w:val="none" w:sz="0" w:space="0" w:color="auto"/>
                <w:bottom w:val="none" w:sz="0" w:space="0" w:color="auto"/>
                <w:right w:val="none" w:sz="0" w:space="0" w:color="auto"/>
              </w:divBdr>
            </w:div>
          </w:divsChild>
        </w:div>
        <w:div w:id="1085761302">
          <w:marLeft w:val="0"/>
          <w:marRight w:val="0"/>
          <w:marTop w:val="0"/>
          <w:marBottom w:val="0"/>
          <w:divBdr>
            <w:top w:val="none" w:sz="0" w:space="0" w:color="auto"/>
            <w:left w:val="none" w:sz="0" w:space="0" w:color="auto"/>
            <w:bottom w:val="none" w:sz="0" w:space="0" w:color="auto"/>
            <w:right w:val="none" w:sz="0" w:space="0" w:color="auto"/>
          </w:divBdr>
          <w:divsChild>
            <w:div w:id="633144635">
              <w:marLeft w:val="0"/>
              <w:marRight w:val="0"/>
              <w:marTop w:val="0"/>
              <w:marBottom w:val="0"/>
              <w:divBdr>
                <w:top w:val="none" w:sz="0" w:space="0" w:color="auto"/>
                <w:left w:val="none" w:sz="0" w:space="0" w:color="auto"/>
                <w:bottom w:val="none" w:sz="0" w:space="0" w:color="auto"/>
                <w:right w:val="none" w:sz="0" w:space="0" w:color="auto"/>
              </w:divBdr>
            </w:div>
          </w:divsChild>
        </w:div>
        <w:div w:id="1106199140">
          <w:marLeft w:val="0"/>
          <w:marRight w:val="0"/>
          <w:marTop w:val="0"/>
          <w:marBottom w:val="0"/>
          <w:divBdr>
            <w:top w:val="none" w:sz="0" w:space="0" w:color="auto"/>
            <w:left w:val="none" w:sz="0" w:space="0" w:color="auto"/>
            <w:bottom w:val="none" w:sz="0" w:space="0" w:color="auto"/>
            <w:right w:val="none" w:sz="0" w:space="0" w:color="auto"/>
          </w:divBdr>
          <w:divsChild>
            <w:div w:id="1215504678">
              <w:marLeft w:val="0"/>
              <w:marRight w:val="0"/>
              <w:marTop w:val="0"/>
              <w:marBottom w:val="0"/>
              <w:divBdr>
                <w:top w:val="none" w:sz="0" w:space="0" w:color="auto"/>
                <w:left w:val="none" w:sz="0" w:space="0" w:color="auto"/>
                <w:bottom w:val="none" w:sz="0" w:space="0" w:color="auto"/>
                <w:right w:val="none" w:sz="0" w:space="0" w:color="auto"/>
              </w:divBdr>
            </w:div>
          </w:divsChild>
        </w:div>
        <w:div w:id="1108351046">
          <w:marLeft w:val="0"/>
          <w:marRight w:val="0"/>
          <w:marTop w:val="0"/>
          <w:marBottom w:val="0"/>
          <w:divBdr>
            <w:top w:val="none" w:sz="0" w:space="0" w:color="auto"/>
            <w:left w:val="none" w:sz="0" w:space="0" w:color="auto"/>
            <w:bottom w:val="none" w:sz="0" w:space="0" w:color="auto"/>
            <w:right w:val="none" w:sz="0" w:space="0" w:color="auto"/>
          </w:divBdr>
          <w:divsChild>
            <w:div w:id="859975748">
              <w:marLeft w:val="0"/>
              <w:marRight w:val="0"/>
              <w:marTop w:val="0"/>
              <w:marBottom w:val="0"/>
              <w:divBdr>
                <w:top w:val="none" w:sz="0" w:space="0" w:color="auto"/>
                <w:left w:val="none" w:sz="0" w:space="0" w:color="auto"/>
                <w:bottom w:val="none" w:sz="0" w:space="0" w:color="auto"/>
                <w:right w:val="none" w:sz="0" w:space="0" w:color="auto"/>
              </w:divBdr>
            </w:div>
          </w:divsChild>
        </w:div>
        <w:div w:id="1120370230">
          <w:marLeft w:val="0"/>
          <w:marRight w:val="0"/>
          <w:marTop w:val="0"/>
          <w:marBottom w:val="0"/>
          <w:divBdr>
            <w:top w:val="none" w:sz="0" w:space="0" w:color="auto"/>
            <w:left w:val="none" w:sz="0" w:space="0" w:color="auto"/>
            <w:bottom w:val="none" w:sz="0" w:space="0" w:color="auto"/>
            <w:right w:val="none" w:sz="0" w:space="0" w:color="auto"/>
          </w:divBdr>
          <w:divsChild>
            <w:div w:id="1657956047">
              <w:marLeft w:val="0"/>
              <w:marRight w:val="0"/>
              <w:marTop w:val="0"/>
              <w:marBottom w:val="0"/>
              <w:divBdr>
                <w:top w:val="none" w:sz="0" w:space="0" w:color="auto"/>
                <w:left w:val="none" w:sz="0" w:space="0" w:color="auto"/>
                <w:bottom w:val="none" w:sz="0" w:space="0" w:color="auto"/>
                <w:right w:val="none" w:sz="0" w:space="0" w:color="auto"/>
              </w:divBdr>
            </w:div>
          </w:divsChild>
        </w:div>
        <w:div w:id="1160074253">
          <w:marLeft w:val="0"/>
          <w:marRight w:val="0"/>
          <w:marTop w:val="0"/>
          <w:marBottom w:val="0"/>
          <w:divBdr>
            <w:top w:val="none" w:sz="0" w:space="0" w:color="auto"/>
            <w:left w:val="none" w:sz="0" w:space="0" w:color="auto"/>
            <w:bottom w:val="none" w:sz="0" w:space="0" w:color="auto"/>
            <w:right w:val="none" w:sz="0" w:space="0" w:color="auto"/>
          </w:divBdr>
          <w:divsChild>
            <w:div w:id="104661868">
              <w:marLeft w:val="0"/>
              <w:marRight w:val="0"/>
              <w:marTop w:val="0"/>
              <w:marBottom w:val="0"/>
              <w:divBdr>
                <w:top w:val="none" w:sz="0" w:space="0" w:color="auto"/>
                <w:left w:val="none" w:sz="0" w:space="0" w:color="auto"/>
                <w:bottom w:val="none" w:sz="0" w:space="0" w:color="auto"/>
                <w:right w:val="none" w:sz="0" w:space="0" w:color="auto"/>
              </w:divBdr>
            </w:div>
          </w:divsChild>
        </w:div>
        <w:div w:id="1204054467">
          <w:marLeft w:val="0"/>
          <w:marRight w:val="0"/>
          <w:marTop w:val="0"/>
          <w:marBottom w:val="0"/>
          <w:divBdr>
            <w:top w:val="none" w:sz="0" w:space="0" w:color="auto"/>
            <w:left w:val="none" w:sz="0" w:space="0" w:color="auto"/>
            <w:bottom w:val="none" w:sz="0" w:space="0" w:color="auto"/>
            <w:right w:val="none" w:sz="0" w:space="0" w:color="auto"/>
          </w:divBdr>
          <w:divsChild>
            <w:div w:id="1823081074">
              <w:marLeft w:val="0"/>
              <w:marRight w:val="0"/>
              <w:marTop w:val="0"/>
              <w:marBottom w:val="0"/>
              <w:divBdr>
                <w:top w:val="none" w:sz="0" w:space="0" w:color="auto"/>
                <w:left w:val="none" w:sz="0" w:space="0" w:color="auto"/>
                <w:bottom w:val="none" w:sz="0" w:space="0" w:color="auto"/>
                <w:right w:val="none" w:sz="0" w:space="0" w:color="auto"/>
              </w:divBdr>
            </w:div>
          </w:divsChild>
        </w:div>
        <w:div w:id="1208369486">
          <w:marLeft w:val="0"/>
          <w:marRight w:val="0"/>
          <w:marTop w:val="0"/>
          <w:marBottom w:val="0"/>
          <w:divBdr>
            <w:top w:val="none" w:sz="0" w:space="0" w:color="auto"/>
            <w:left w:val="none" w:sz="0" w:space="0" w:color="auto"/>
            <w:bottom w:val="none" w:sz="0" w:space="0" w:color="auto"/>
            <w:right w:val="none" w:sz="0" w:space="0" w:color="auto"/>
          </w:divBdr>
          <w:divsChild>
            <w:div w:id="69885764">
              <w:marLeft w:val="0"/>
              <w:marRight w:val="0"/>
              <w:marTop w:val="0"/>
              <w:marBottom w:val="0"/>
              <w:divBdr>
                <w:top w:val="none" w:sz="0" w:space="0" w:color="auto"/>
                <w:left w:val="none" w:sz="0" w:space="0" w:color="auto"/>
                <w:bottom w:val="none" w:sz="0" w:space="0" w:color="auto"/>
                <w:right w:val="none" w:sz="0" w:space="0" w:color="auto"/>
              </w:divBdr>
            </w:div>
          </w:divsChild>
        </w:div>
        <w:div w:id="1208449353">
          <w:marLeft w:val="0"/>
          <w:marRight w:val="0"/>
          <w:marTop w:val="0"/>
          <w:marBottom w:val="0"/>
          <w:divBdr>
            <w:top w:val="none" w:sz="0" w:space="0" w:color="auto"/>
            <w:left w:val="none" w:sz="0" w:space="0" w:color="auto"/>
            <w:bottom w:val="none" w:sz="0" w:space="0" w:color="auto"/>
            <w:right w:val="none" w:sz="0" w:space="0" w:color="auto"/>
          </w:divBdr>
          <w:divsChild>
            <w:div w:id="1525678082">
              <w:marLeft w:val="0"/>
              <w:marRight w:val="0"/>
              <w:marTop w:val="0"/>
              <w:marBottom w:val="0"/>
              <w:divBdr>
                <w:top w:val="none" w:sz="0" w:space="0" w:color="auto"/>
                <w:left w:val="none" w:sz="0" w:space="0" w:color="auto"/>
                <w:bottom w:val="none" w:sz="0" w:space="0" w:color="auto"/>
                <w:right w:val="none" w:sz="0" w:space="0" w:color="auto"/>
              </w:divBdr>
            </w:div>
          </w:divsChild>
        </w:div>
        <w:div w:id="1229808253">
          <w:marLeft w:val="0"/>
          <w:marRight w:val="0"/>
          <w:marTop w:val="0"/>
          <w:marBottom w:val="0"/>
          <w:divBdr>
            <w:top w:val="none" w:sz="0" w:space="0" w:color="auto"/>
            <w:left w:val="none" w:sz="0" w:space="0" w:color="auto"/>
            <w:bottom w:val="none" w:sz="0" w:space="0" w:color="auto"/>
            <w:right w:val="none" w:sz="0" w:space="0" w:color="auto"/>
          </w:divBdr>
          <w:divsChild>
            <w:div w:id="1963882176">
              <w:marLeft w:val="0"/>
              <w:marRight w:val="0"/>
              <w:marTop w:val="0"/>
              <w:marBottom w:val="0"/>
              <w:divBdr>
                <w:top w:val="none" w:sz="0" w:space="0" w:color="auto"/>
                <w:left w:val="none" w:sz="0" w:space="0" w:color="auto"/>
                <w:bottom w:val="none" w:sz="0" w:space="0" w:color="auto"/>
                <w:right w:val="none" w:sz="0" w:space="0" w:color="auto"/>
              </w:divBdr>
            </w:div>
          </w:divsChild>
        </w:div>
        <w:div w:id="1309551334">
          <w:marLeft w:val="0"/>
          <w:marRight w:val="0"/>
          <w:marTop w:val="0"/>
          <w:marBottom w:val="0"/>
          <w:divBdr>
            <w:top w:val="none" w:sz="0" w:space="0" w:color="auto"/>
            <w:left w:val="none" w:sz="0" w:space="0" w:color="auto"/>
            <w:bottom w:val="none" w:sz="0" w:space="0" w:color="auto"/>
            <w:right w:val="none" w:sz="0" w:space="0" w:color="auto"/>
          </w:divBdr>
          <w:divsChild>
            <w:div w:id="844562601">
              <w:marLeft w:val="0"/>
              <w:marRight w:val="0"/>
              <w:marTop w:val="0"/>
              <w:marBottom w:val="0"/>
              <w:divBdr>
                <w:top w:val="none" w:sz="0" w:space="0" w:color="auto"/>
                <w:left w:val="none" w:sz="0" w:space="0" w:color="auto"/>
                <w:bottom w:val="none" w:sz="0" w:space="0" w:color="auto"/>
                <w:right w:val="none" w:sz="0" w:space="0" w:color="auto"/>
              </w:divBdr>
            </w:div>
          </w:divsChild>
        </w:div>
        <w:div w:id="1320573098">
          <w:marLeft w:val="0"/>
          <w:marRight w:val="0"/>
          <w:marTop w:val="0"/>
          <w:marBottom w:val="0"/>
          <w:divBdr>
            <w:top w:val="none" w:sz="0" w:space="0" w:color="auto"/>
            <w:left w:val="none" w:sz="0" w:space="0" w:color="auto"/>
            <w:bottom w:val="none" w:sz="0" w:space="0" w:color="auto"/>
            <w:right w:val="none" w:sz="0" w:space="0" w:color="auto"/>
          </w:divBdr>
          <w:divsChild>
            <w:div w:id="1021466816">
              <w:marLeft w:val="0"/>
              <w:marRight w:val="0"/>
              <w:marTop w:val="0"/>
              <w:marBottom w:val="0"/>
              <w:divBdr>
                <w:top w:val="none" w:sz="0" w:space="0" w:color="auto"/>
                <w:left w:val="none" w:sz="0" w:space="0" w:color="auto"/>
                <w:bottom w:val="none" w:sz="0" w:space="0" w:color="auto"/>
                <w:right w:val="none" w:sz="0" w:space="0" w:color="auto"/>
              </w:divBdr>
            </w:div>
          </w:divsChild>
        </w:div>
        <w:div w:id="1321276640">
          <w:marLeft w:val="0"/>
          <w:marRight w:val="0"/>
          <w:marTop w:val="0"/>
          <w:marBottom w:val="0"/>
          <w:divBdr>
            <w:top w:val="none" w:sz="0" w:space="0" w:color="auto"/>
            <w:left w:val="none" w:sz="0" w:space="0" w:color="auto"/>
            <w:bottom w:val="none" w:sz="0" w:space="0" w:color="auto"/>
            <w:right w:val="none" w:sz="0" w:space="0" w:color="auto"/>
          </w:divBdr>
          <w:divsChild>
            <w:div w:id="1398237704">
              <w:marLeft w:val="0"/>
              <w:marRight w:val="0"/>
              <w:marTop w:val="0"/>
              <w:marBottom w:val="0"/>
              <w:divBdr>
                <w:top w:val="none" w:sz="0" w:space="0" w:color="auto"/>
                <w:left w:val="none" w:sz="0" w:space="0" w:color="auto"/>
                <w:bottom w:val="none" w:sz="0" w:space="0" w:color="auto"/>
                <w:right w:val="none" w:sz="0" w:space="0" w:color="auto"/>
              </w:divBdr>
            </w:div>
          </w:divsChild>
        </w:div>
        <w:div w:id="1347561543">
          <w:marLeft w:val="0"/>
          <w:marRight w:val="0"/>
          <w:marTop w:val="0"/>
          <w:marBottom w:val="0"/>
          <w:divBdr>
            <w:top w:val="none" w:sz="0" w:space="0" w:color="auto"/>
            <w:left w:val="none" w:sz="0" w:space="0" w:color="auto"/>
            <w:bottom w:val="none" w:sz="0" w:space="0" w:color="auto"/>
            <w:right w:val="none" w:sz="0" w:space="0" w:color="auto"/>
          </w:divBdr>
          <w:divsChild>
            <w:div w:id="1051998057">
              <w:marLeft w:val="0"/>
              <w:marRight w:val="0"/>
              <w:marTop w:val="0"/>
              <w:marBottom w:val="0"/>
              <w:divBdr>
                <w:top w:val="none" w:sz="0" w:space="0" w:color="auto"/>
                <w:left w:val="none" w:sz="0" w:space="0" w:color="auto"/>
                <w:bottom w:val="none" w:sz="0" w:space="0" w:color="auto"/>
                <w:right w:val="none" w:sz="0" w:space="0" w:color="auto"/>
              </w:divBdr>
            </w:div>
          </w:divsChild>
        </w:div>
        <w:div w:id="1385368486">
          <w:marLeft w:val="0"/>
          <w:marRight w:val="0"/>
          <w:marTop w:val="0"/>
          <w:marBottom w:val="0"/>
          <w:divBdr>
            <w:top w:val="none" w:sz="0" w:space="0" w:color="auto"/>
            <w:left w:val="none" w:sz="0" w:space="0" w:color="auto"/>
            <w:bottom w:val="none" w:sz="0" w:space="0" w:color="auto"/>
            <w:right w:val="none" w:sz="0" w:space="0" w:color="auto"/>
          </w:divBdr>
          <w:divsChild>
            <w:div w:id="176576927">
              <w:marLeft w:val="0"/>
              <w:marRight w:val="0"/>
              <w:marTop w:val="0"/>
              <w:marBottom w:val="0"/>
              <w:divBdr>
                <w:top w:val="none" w:sz="0" w:space="0" w:color="auto"/>
                <w:left w:val="none" w:sz="0" w:space="0" w:color="auto"/>
                <w:bottom w:val="none" w:sz="0" w:space="0" w:color="auto"/>
                <w:right w:val="none" w:sz="0" w:space="0" w:color="auto"/>
              </w:divBdr>
            </w:div>
          </w:divsChild>
        </w:div>
        <w:div w:id="1418939222">
          <w:marLeft w:val="0"/>
          <w:marRight w:val="0"/>
          <w:marTop w:val="0"/>
          <w:marBottom w:val="0"/>
          <w:divBdr>
            <w:top w:val="none" w:sz="0" w:space="0" w:color="auto"/>
            <w:left w:val="none" w:sz="0" w:space="0" w:color="auto"/>
            <w:bottom w:val="none" w:sz="0" w:space="0" w:color="auto"/>
            <w:right w:val="none" w:sz="0" w:space="0" w:color="auto"/>
          </w:divBdr>
          <w:divsChild>
            <w:div w:id="288127227">
              <w:marLeft w:val="0"/>
              <w:marRight w:val="0"/>
              <w:marTop w:val="0"/>
              <w:marBottom w:val="0"/>
              <w:divBdr>
                <w:top w:val="none" w:sz="0" w:space="0" w:color="auto"/>
                <w:left w:val="none" w:sz="0" w:space="0" w:color="auto"/>
                <w:bottom w:val="none" w:sz="0" w:space="0" w:color="auto"/>
                <w:right w:val="none" w:sz="0" w:space="0" w:color="auto"/>
              </w:divBdr>
            </w:div>
          </w:divsChild>
        </w:div>
        <w:div w:id="1429807255">
          <w:marLeft w:val="0"/>
          <w:marRight w:val="0"/>
          <w:marTop w:val="0"/>
          <w:marBottom w:val="0"/>
          <w:divBdr>
            <w:top w:val="none" w:sz="0" w:space="0" w:color="auto"/>
            <w:left w:val="none" w:sz="0" w:space="0" w:color="auto"/>
            <w:bottom w:val="none" w:sz="0" w:space="0" w:color="auto"/>
            <w:right w:val="none" w:sz="0" w:space="0" w:color="auto"/>
          </w:divBdr>
          <w:divsChild>
            <w:div w:id="1571378074">
              <w:marLeft w:val="0"/>
              <w:marRight w:val="0"/>
              <w:marTop w:val="0"/>
              <w:marBottom w:val="0"/>
              <w:divBdr>
                <w:top w:val="none" w:sz="0" w:space="0" w:color="auto"/>
                <w:left w:val="none" w:sz="0" w:space="0" w:color="auto"/>
                <w:bottom w:val="none" w:sz="0" w:space="0" w:color="auto"/>
                <w:right w:val="none" w:sz="0" w:space="0" w:color="auto"/>
              </w:divBdr>
            </w:div>
          </w:divsChild>
        </w:div>
        <w:div w:id="1438713383">
          <w:marLeft w:val="0"/>
          <w:marRight w:val="0"/>
          <w:marTop w:val="0"/>
          <w:marBottom w:val="0"/>
          <w:divBdr>
            <w:top w:val="none" w:sz="0" w:space="0" w:color="auto"/>
            <w:left w:val="none" w:sz="0" w:space="0" w:color="auto"/>
            <w:bottom w:val="none" w:sz="0" w:space="0" w:color="auto"/>
            <w:right w:val="none" w:sz="0" w:space="0" w:color="auto"/>
          </w:divBdr>
          <w:divsChild>
            <w:div w:id="1407413905">
              <w:marLeft w:val="0"/>
              <w:marRight w:val="0"/>
              <w:marTop w:val="0"/>
              <w:marBottom w:val="0"/>
              <w:divBdr>
                <w:top w:val="none" w:sz="0" w:space="0" w:color="auto"/>
                <w:left w:val="none" w:sz="0" w:space="0" w:color="auto"/>
                <w:bottom w:val="none" w:sz="0" w:space="0" w:color="auto"/>
                <w:right w:val="none" w:sz="0" w:space="0" w:color="auto"/>
              </w:divBdr>
            </w:div>
          </w:divsChild>
        </w:div>
        <w:div w:id="1439793100">
          <w:marLeft w:val="0"/>
          <w:marRight w:val="0"/>
          <w:marTop w:val="0"/>
          <w:marBottom w:val="0"/>
          <w:divBdr>
            <w:top w:val="none" w:sz="0" w:space="0" w:color="auto"/>
            <w:left w:val="none" w:sz="0" w:space="0" w:color="auto"/>
            <w:bottom w:val="none" w:sz="0" w:space="0" w:color="auto"/>
            <w:right w:val="none" w:sz="0" w:space="0" w:color="auto"/>
          </w:divBdr>
          <w:divsChild>
            <w:div w:id="401636796">
              <w:marLeft w:val="0"/>
              <w:marRight w:val="0"/>
              <w:marTop w:val="0"/>
              <w:marBottom w:val="0"/>
              <w:divBdr>
                <w:top w:val="none" w:sz="0" w:space="0" w:color="auto"/>
                <w:left w:val="none" w:sz="0" w:space="0" w:color="auto"/>
                <w:bottom w:val="none" w:sz="0" w:space="0" w:color="auto"/>
                <w:right w:val="none" w:sz="0" w:space="0" w:color="auto"/>
              </w:divBdr>
            </w:div>
          </w:divsChild>
        </w:div>
        <w:div w:id="1448506872">
          <w:marLeft w:val="0"/>
          <w:marRight w:val="0"/>
          <w:marTop w:val="0"/>
          <w:marBottom w:val="0"/>
          <w:divBdr>
            <w:top w:val="none" w:sz="0" w:space="0" w:color="auto"/>
            <w:left w:val="none" w:sz="0" w:space="0" w:color="auto"/>
            <w:bottom w:val="none" w:sz="0" w:space="0" w:color="auto"/>
            <w:right w:val="none" w:sz="0" w:space="0" w:color="auto"/>
          </w:divBdr>
          <w:divsChild>
            <w:div w:id="1287613873">
              <w:marLeft w:val="0"/>
              <w:marRight w:val="0"/>
              <w:marTop w:val="0"/>
              <w:marBottom w:val="0"/>
              <w:divBdr>
                <w:top w:val="none" w:sz="0" w:space="0" w:color="auto"/>
                <w:left w:val="none" w:sz="0" w:space="0" w:color="auto"/>
                <w:bottom w:val="none" w:sz="0" w:space="0" w:color="auto"/>
                <w:right w:val="none" w:sz="0" w:space="0" w:color="auto"/>
              </w:divBdr>
            </w:div>
          </w:divsChild>
        </w:div>
        <w:div w:id="1480920854">
          <w:marLeft w:val="0"/>
          <w:marRight w:val="0"/>
          <w:marTop w:val="0"/>
          <w:marBottom w:val="0"/>
          <w:divBdr>
            <w:top w:val="none" w:sz="0" w:space="0" w:color="auto"/>
            <w:left w:val="none" w:sz="0" w:space="0" w:color="auto"/>
            <w:bottom w:val="none" w:sz="0" w:space="0" w:color="auto"/>
            <w:right w:val="none" w:sz="0" w:space="0" w:color="auto"/>
          </w:divBdr>
          <w:divsChild>
            <w:div w:id="554435343">
              <w:marLeft w:val="0"/>
              <w:marRight w:val="0"/>
              <w:marTop w:val="0"/>
              <w:marBottom w:val="0"/>
              <w:divBdr>
                <w:top w:val="none" w:sz="0" w:space="0" w:color="auto"/>
                <w:left w:val="none" w:sz="0" w:space="0" w:color="auto"/>
                <w:bottom w:val="none" w:sz="0" w:space="0" w:color="auto"/>
                <w:right w:val="none" w:sz="0" w:space="0" w:color="auto"/>
              </w:divBdr>
            </w:div>
          </w:divsChild>
        </w:div>
        <w:div w:id="1481924530">
          <w:marLeft w:val="0"/>
          <w:marRight w:val="0"/>
          <w:marTop w:val="0"/>
          <w:marBottom w:val="0"/>
          <w:divBdr>
            <w:top w:val="none" w:sz="0" w:space="0" w:color="auto"/>
            <w:left w:val="none" w:sz="0" w:space="0" w:color="auto"/>
            <w:bottom w:val="none" w:sz="0" w:space="0" w:color="auto"/>
            <w:right w:val="none" w:sz="0" w:space="0" w:color="auto"/>
          </w:divBdr>
          <w:divsChild>
            <w:div w:id="1181092573">
              <w:marLeft w:val="0"/>
              <w:marRight w:val="0"/>
              <w:marTop w:val="0"/>
              <w:marBottom w:val="0"/>
              <w:divBdr>
                <w:top w:val="none" w:sz="0" w:space="0" w:color="auto"/>
                <w:left w:val="none" w:sz="0" w:space="0" w:color="auto"/>
                <w:bottom w:val="none" w:sz="0" w:space="0" w:color="auto"/>
                <w:right w:val="none" w:sz="0" w:space="0" w:color="auto"/>
              </w:divBdr>
            </w:div>
          </w:divsChild>
        </w:div>
        <w:div w:id="1487160715">
          <w:marLeft w:val="0"/>
          <w:marRight w:val="0"/>
          <w:marTop w:val="0"/>
          <w:marBottom w:val="0"/>
          <w:divBdr>
            <w:top w:val="none" w:sz="0" w:space="0" w:color="auto"/>
            <w:left w:val="none" w:sz="0" w:space="0" w:color="auto"/>
            <w:bottom w:val="none" w:sz="0" w:space="0" w:color="auto"/>
            <w:right w:val="none" w:sz="0" w:space="0" w:color="auto"/>
          </w:divBdr>
          <w:divsChild>
            <w:div w:id="141778736">
              <w:marLeft w:val="0"/>
              <w:marRight w:val="0"/>
              <w:marTop w:val="0"/>
              <w:marBottom w:val="0"/>
              <w:divBdr>
                <w:top w:val="none" w:sz="0" w:space="0" w:color="auto"/>
                <w:left w:val="none" w:sz="0" w:space="0" w:color="auto"/>
                <w:bottom w:val="none" w:sz="0" w:space="0" w:color="auto"/>
                <w:right w:val="none" w:sz="0" w:space="0" w:color="auto"/>
              </w:divBdr>
            </w:div>
          </w:divsChild>
        </w:div>
        <w:div w:id="1536112591">
          <w:marLeft w:val="0"/>
          <w:marRight w:val="0"/>
          <w:marTop w:val="0"/>
          <w:marBottom w:val="0"/>
          <w:divBdr>
            <w:top w:val="none" w:sz="0" w:space="0" w:color="auto"/>
            <w:left w:val="none" w:sz="0" w:space="0" w:color="auto"/>
            <w:bottom w:val="none" w:sz="0" w:space="0" w:color="auto"/>
            <w:right w:val="none" w:sz="0" w:space="0" w:color="auto"/>
          </w:divBdr>
          <w:divsChild>
            <w:div w:id="711271602">
              <w:marLeft w:val="0"/>
              <w:marRight w:val="0"/>
              <w:marTop w:val="0"/>
              <w:marBottom w:val="0"/>
              <w:divBdr>
                <w:top w:val="none" w:sz="0" w:space="0" w:color="auto"/>
                <w:left w:val="none" w:sz="0" w:space="0" w:color="auto"/>
                <w:bottom w:val="none" w:sz="0" w:space="0" w:color="auto"/>
                <w:right w:val="none" w:sz="0" w:space="0" w:color="auto"/>
              </w:divBdr>
            </w:div>
          </w:divsChild>
        </w:div>
        <w:div w:id="1542017572">
          <w:marLeft w:val="0"/>
          <w:marRight w:val="0"/>
          <w:marTop w:val="0"/>
          <w:marBottom w:val="0"/>
          <w:divBdr>
            <w:top w:val="none" w:sz="0" w:space="0" w:color="auto"/>
            <w:left w:val="none" w:sz="0" w:space="0" w:color="auto"/>
            <w:bottom w:val="none" w:sz="0" w:space="0" w:color="auto"/>
            <w:right w:val="none" w:sz="0" w:space="0" w:color="auto"/>
          </w:divBdr>
          <w:divsChild>
            <w:div w:id="1347707326">
              <w:marLeft w:val="0"/>
              <w:marRight w:val="0"/>
              <w:marTop w:val="0"/>
              <w:marBottom w:val="0"/>
              <w:divBdr>
                <w:top w:val="none" w:sz="0" w:space="0" w:color="auto"/>
                <w:left w:val="none" w:sz="0" w:space="0" w:color="auto"/>
                <w:bottom w:val="none" w:sz="0" w:space="0" w:color="auto"/>
                <w:right w:val="none" w:sz="0" w:space="0" w:color="auto"/>
              </w:divBdr>
            </w:div>
          </w:divsChild>
        </w:div>
        <w:div w:id="1550725091">
          <w:marLeft w:val="0"/>
          <w:marRight w:val="0"/>
          <w:marTop w:val="0"/>
          <w:marBottom w:val="0"/>
          <w:divBdr>
            <w:top w:val="none" w:sz="0" w:space="0" w:color="auto"/>
            <w:left w:val="none" w:sz="0" w:space="0" w:color="auto"/>
            <w:bottom w:val="none" w:sz="0" w:space="0" w:color="auto"/>
            <w:right w:val="none" w:sz="0" w:space="0" w:color="auto"/>
          </w:divBdr>
          <w:divsChild>
            <w:div w:id="235866288">
              <w:marLeft w:val="0"/>
              <w:marRight w:val="0"/>
              <w:marTop w:val="0"/>
              <w:marBottom w:val="0"/>
              <w:divBdr>
                <w:top w:val="none" w:sz="0" w:space="0" w:color="auto"/>
                <w:left w:val="none" w:sz="0" w:space="0" w:color="auto"/>
                <w:bottom w:val="none" w:sz="0" w:space="0" w:color="auto"/>
                <w:right w:val="none" w:sz="0" w:space="0" w:color="auto"/>
              </w:divBdr>
            </w:div>
          </w:divsChild>
        </w:div>
        <w:div w:id="1574730091">
          <w:marLeft w:val="0"/>
          <w:marRight w:val="0"/>
          <w:marTop w:val="0"/>
          <w:marBottom w:val="0"/>
          <w:divBdr>
            <w:top w:val="none" w:sz="0" w:space="0" w:color="auto"/>
            <w:left w:val="none" w:sz="0" w:space="0" w:color="auto"/>
            <w:bottom w:val="none" w:sz="0" w:space="0" w:color="auto"/>
            <w:right w:val="none" w:sz="0" w:space="0" w:color="auto"/>
          </w:divBdr>
          <w:divsChild>
            <w:div w:id="849099883">
              <w:marLeft w:val="0"/>
              <w:marRight w:val="0"/>
              <w:marTop w:val="0"/>
              <w:marBottom w:val="0"/>
              <w:divBdr>
                <w:top w:val="none" w:sz="0" w:space="0" w:color="auto"/>
                <w:left w:val="none" w:sz="0" w:space="0" w:color="auto"/>
                <w:bottom w:val="none" w:sz="0" w:space="0" w:color="auto"/>
                <w:right w:val="none" w:sz="0" w:space="0" w:color="auto"/>
              </w:divBdr>
            </w:div>
          </w:divsChild>
        </w:div>
        <w:div w:id="1597710809">
          <w:marLeft w:val="0"/>
          <w:marRight w:val="0"/>
          <w:marTop w:val="0"/>
          <w:marBottom w:val="0"/>
          <w:divBdr>
            <w:top w:val="none" w:sz="0" w:space="0" w:color="auto"/>
            <w:left w:val="none" w:sz="0" w:space="0" w:color="auto"/>
            <w:bottom w:val="none" w:sz="0" w:space="0" w:color="auto"/>
            <w:right w:val="none" w:sz="0" w:space="0" w:color="auto"/>
          </w:divBdr>
          <w:divsChild>
            <w:div w:id="1770344990">
              <w:marLeft w:val="0"/>
              <w:marRight w:val="0"/>
              <w:marTop w:val="0"/>
              <w:marBottom w:val="0"/>
              <w:divBdr>
                <w:top w:val="none" w:sz="0" w:space="0" w:color="auto"/>
                <w:left w:val="none" w:sz="0" w:space="0" w:color="auto"/>
                <w:bottom w:val="none" w:sz="0" w:space="0" w:color="auto"/>
                <w:right w:val="none" w:sz="0" w:space="0" w:color="auto"/>
              </w:divBdr>
            </w:div>
          </w:divsChild>
        </w:div>
        <w:div w:id="1614630458">
          <w:marLeft w:val="0"/>
          <w:marRight w:val="0"/>
          <w:marTop w:val="0"/>
          <w:marBottom w:val="0"/>
          <w:divBdr>
            <w:top w:val="none" w:sz="0" w:space="0" w:color="auto"/>
            <w:left w:val="none" w:sz="0" w:space="0" w:color="auto"/>
            <w:bottom w:val="none" w:sz="0" w:space="0" w:color="auto"/>
            <w:right w:val="none" w:sz="0" w:space="0" w:color="auto"/>
          </w:divBdr>
          <w:divsChild>
            <w:div w:id="1698238327">
              <w:marLeft w:val="0"/>
              <w:marRight w:val="0"/>
              <w:marTop w:val="0"/>
              <w:marBottom w:val="0"/>
              <w:divBdr>
                <w:top w:val="none" w:sz="0" w:space="0" w:color="auto"/>
                <w:left w:val="none" w:sz="0" w:space="0" w:color="auto"/>
                <w:bottom w:val="none" w:sz="0" w:space="0" w:color="auto"/>
                <w:right w:val="none" w:sz="0" w:space="0" w:color="auto"/>
              </w:divBdr>
            </w:div>
          </w:divsChild>
        </w:div>
        <w:div w:id="1630043387">
          <w:marLeft w:val="0"/>
          <w:marRight w:val="0"/>
          <w:marTop w:val="0"/>
          <w:marBottom w:val="0"/>
          <w:divBdr>
            <w:top w:val="none" w:sz="0" w:space="0" w:color="auto"/>
            <w:left w:val="none" w:sz="0" w:space="0" w:color="auto"/>
            <w:bottom w:val="none" w:sz="0" w:space="0" w:color="auto"/>
            <w:right w:val="none" w:sz="0" w:space="0" w:color="auto"/>
          </w:divBdr>
          <w:divsChild>
            <w:div w:id="214632214">
              <w:marLeft w:val="0"/>
              <w:marRight w:val="0"/>
              <w:marTop w:val="0"/>
              <w:marBottom w:val="0"/>
              <w:divBdr>
                <w:top w:val="none" w:sz="0" w:space="0" w:color="auto"/>
                <w:left w:val="none" w:sz="0" w:space="0" w:color="auto"/>
                <w:bottom w:val="none" w:sz="0" w:space="0" w:color="auto"/>
                <w:right w:val="none" w:sz="0" w:space="0" w:color="auto"/>
              </w:divBdr>
            </w:div>
          </w:divsChild>
        </w:div>
        <w:div w:id="1644581025">
          <w:marLeft w:val="0"/>
          <w:marRight w:val="0"/>
          <w:marTop w:val="0"/>
          <w:marBottom w:val="0"/>
          <w:divBdr>
            <w:top w:val="none" w:sz="0" w:space="0" w:color="auto"/>
            <w:left w:val="none" w:sz="0" w:space="0" w:color="auto"/>
            <w:bottom w:val="none" w:sz="0" w:space="0" w:color="auto"/>
            <w:right w:val="none" w:sz="0" w:space="0" w:color="auto"/>
          </w:divBdr>
          <w:divsChild>
            <w:div w:id="1892765337">
              <w:marLeft w:val="0"/>
              <w:marRight w:val="0"/>
              <w:marTop w:val="0"/>
              <w:marBottom w:val="0"/>
              <w:divBdr>
                <w:top w:val="none" w:sz="0" w:space="0" w:color="auto"/>
                <w:left w:val="none" w:sz="0" w:space="0" w:color="auto"/>
                <w:bottom w:val="none" w:sz="0" w:space="0" w:color="auto"/>
                <w:right w:val="none" w:sz="0" w:space="0" w:color="auto"/>
              </w:divBdr>
            </w:div>
          </w:divsChild>
        </w:div>
        <w:div w:id="1664964229">
          <w:marLeft w:val="0"/>
          <w:marRight w:val="0"/>
          <w:marTop w:val="0"/>
          <w:marBottom w:val="0"/>
          <w:divBdr>
            <w:top w:val="none" w:sz="0" w:space="0" w:color="auto"/>
            <w:left w:val="none" w:sz="0" w:space="0" w:color="auto"/>
            <w:bottom w:val="none" w:sz="0" w:space="0" w:color="auto"/>
            <w:right w:val="none" w:sz="0" w:space="0" w:color="auto"/>
          </w:divBdr>
          <w:divsChild>
            <w:div w:id="1034117463">
              <w:marLeft w:val="0"/>
              <w:marRight w:val="0"/>
              <w:marTop w:val="0"/>
              <w:marBottom w:val="0"/>
              <w:divBdr>
                <w:top w:val="none" w:sz="0" w:space="0" w:color="auto"/>
                <w:left w:val="none" w:sz="0" w:space="0" w:color="auto"/>
                <w:bottom w:val="none" w:sz="0" w:space="0" w:color="auto"/>
                <w:right w:val="none" w:sz="0" w:space="0" w:color="auto"/>
              </w:divBdr>
            </w:div>
          </w:divsChild>
        </w:div>
        <w:div w:id="1670139294">
          <w:marLeft w:val="0"/>
          <w:marRight w:val="0"/>
          <w:marTop w:val="0"/>
          <w:marBottom w:val="0"/>
          <w:divBdr>
            <w:top w:val="none" w:sz="0" w:space="0" w:color="auto"/>
            <w:left w:val="none" w:sz="0" w:space="0" w:color="auto"/>
            <w:bottom w:val="none" w:sz="0" w:space="0" w:color="auto"/>
            <w:right w:val="none" w:sz="0" w:space="0" w:color="auto"/>
          </w:divBdr>
          <w:divsChild>
            <w:div w:id="1442605740">
              <w:marLeft w:val="0"/>
              <w:marRight w:val="0"/>
              <w:marTop w:val="0"/>
              <w:marBottom w:val="0"/>
              <w:divBdr>
                <w:top w:val="none" w:sz="0" w:space="0" w:color="auto"/>
                <w:left w:val="none" w:sz="0" w:space="0" w:color="auto"/>
                <w:bottom w:val="none" w:sz="0" w:space="0" w:color="auto"/>
                <w:right w:val="none" w:sz="0" w:space="0" w:color="auto"/>
              </w:divBdr>
            </w:div>
          </w:divsChild>
        </w:div>
        <w:div w:id="1671790251">
          <w:marLeft w:val="0"/>
          <w:marRight w:val="0"/>
          <w:marTop w:val="0"/>
          <w:marBottom w:val="0"/>
          <w:divBdr>
            <w:top w:val="none" w:sz="0" w:space="0" w:color="auto"/>
            <w:left w:val="none" w:sz="0" w:space="0" w:color="auto"/>
            <w:bottom w:val="none" w:sz="0" w:space="0" w:color="auto"/>
            <w:right w:val="none" w:sz="0" w:space="0" w:color="auto"/>
          </w:divBdr>
          <w:divsChild>
            <w:div w:id="1081754011">
              <w:marLeft w:val="0"/>
              <w:marRight w:val="0"/>
              <w:marTop w:val="0"/>
              <w:marBottom w:val="0"/>
              <w:divBdr>
                <w:top w:val="none" w:sz="0" w:space="0" w:color="auto"/>
                <w:left w:val="none" w:sz="0" w:space="0" w:color="auto"/>
                <w:bottom w:val="none" w:sz="0" w:space="0" w:color="auto"/>
                <w:right w:val="none" w:sz="0" w:space="0" w:color="auto"/>
              </w:divBdr>
            </w:div>
          </w:divsChild>
        </w:div>
        <w:div w:id="1690906279">
          <w:marLeft w:val="0"/>
          <w:marRight w:val="0"/>
          <w:marTop w:val="0"/>
          <w:marBottom w:val="0"/>
          <w:divBdr>
            <w:top w:val="none" w:sz="0" w:space="0" w:color="auto"/>
            <w:left w:val="none" w:sz="0" w:space="0" w:color="auto"/>
            <w:bottom w:val="none" w:sz="0" w:space="0" w:color="auto"/>
            <w:right w:val="none" w:sz="0" w:space="0" w:color="auto"/>
          </w:divBdr>
          <w:divsChild>
            <w:div w:id="2017687673">
              <w:marLeft w:val="0"/>
              <w:marRight w:val="0"/>
              <w:marTop w:val="0"/>
              <w:marBottom w:val="0"/>
              <w:divBdr>
                <w:top w:val="none" w:sz="0" w:space="0" w:color="auto"/>
                <w:left w:val="none" w:sz="0" w:space="0" w:color="auto"/>
                <w:bottom w:val="none" w:sz="0" w:space="0" w:color="auto"/>
                <w:right w:val="none" w:sz="0" w:space="0" w:color="auto"/>
              </w:divBdr>
            </w:div>
          </w:divsChild>
        </w:div>
        <w:div w:id="1785539308">
          <w:marLeft w:val="0"/>
          <w:marRight w:val="0"/>
          <w:marTop w:val="0"/>
          <w:marBottom w:val="0"/>
          <w:divBdr>
            <w:top w:val="none" w:sz="0" w:space="0" w:color="auto"/>
            <w:left w:val="none" w:sz="0" w:space="0" w:color="auto"/>
            <w:bottom w:val="none" w:sz="0" w:space="0" w:color="auto"/>
            <w:right w:val="none" w:sz="0" w:space="0" w:color="auto"/>
          </w:divBdr>
          <w:divsChild>
            <w:div w:id="375471621">
              <w:marLeft w:val="0"/>
              <w:marRight w:val="0"/>
              <w:marTop w:val="0"/>
              <w:marBottom w:val="0"/>
              <w:divBdr>
                <w:top w:val="none" w:sz="0" w:space="0" w:color="auto"/>
                <w:left w:val="none" w:sz="0" w:space="0" w:color="auto"/>
                <w:bottom w:val="none" w:sz="0" w:space="0" w:color="auto"/>
                <w:right w:val="none" w:sz="0" w:space="0" w:color="auto"/>
              </w:divBdr>
            </w:div>
          </w:divsChild>
        </w:div>
        <w:div w:id="1792213227">
          <w:marLeft w:val="0"/>
          <w:marRight w:val="0"/>
          <w:marTop w:val="0"/>
          <w:marBottom w:val="0"/>
          <w:divBdr>
            <w:top w:val="none" w:sz="0" w:space="0" w:color="auto"/>
            <w:left w:val="none" w:sz="0" w:space="0" w:color="auto"/>
            <w:bottom w:val="none" w:sz="0" w:space="0" w:color="auto"/>
            <w:right w:val="none" w:sz="0" w:space="0" w:color="auto"/>
          </w:divBdr>
          <w:divsChild>
            <w:div w:id="1136336307">
              <w:marLeft w:val="0"/>
              <w:marRight w:val="0"/>
              <w:marTop w:val="0"/>
              <w:marBottom w:val="0"/>
              <w:divBdr>
                <w:top w:val="none" w:sz="0" w:space="0" w:color="auto"/>
                <w:left w:val="none" w:sz="0" w:space="0" w:color="auto"/>
                <w:bottom w:val="none" w:sz="0" w:space="0" w:color="auto"/>
                <w:right w:val="none" w:sz="0" w:space="0" w:color="auto"/>
              </w:divBdr>
            </w:div>
          </w:divsChild>
        </w:div>
        <w:div w:id="1799953250">
          <w:marLeft w:val="0"/>
          <w:marRight w:val="0"/>
          <w:marTop w:val="0"/>
          <w:marBottom w:val="0"/>
          <w:divBdr>
            <w:top w:val="none" w:sz="0" w:space="0" w:color="auto"/>
            <w:left w:val="none" w:sz="0" w:space="0" w:color="auto"/>
            <w:bottom w:val="none" w:sz="0" w:space="0" w:color="auto"/>
            <w:right w:val="none" w:sz="0" w:space="0" w:color="auto"/>
          </w:divBdr>
          <w:divsChild>
            <w:div w:id="274363072">
              <w:marLeft w:val="0"/>
              <w:marRight w:val="0"/>
              <w:marTop w:val="0"/>
              <w:marBottom w:val="0"/>
              <w:divBdr>
                <w:top w:val="none" w:sz="0" w:space="0" w:color="auto"/>
                <w:left w:val="none" w:sz="0" w:space="0" w:color="auto"/>
                <w:bottom w:val="none" w:sz="0" w:space="0" w:color="auto"/>
                <w:right w:val="none" w:sz="0" w:space="0" w:color="auto"/>
              </w:divBdr>
            </w:div>
          </w:divsChild>
        </w:div>
        <w:div w:id="1813522268">
          <w:marLeft w:val="0"/>
          <w:marRight w:val="0"/>
          <w:marTop w:val="0"/>
          <w:marBottom w:val="0"/>
          <w:divBdr>
            <w:top w:val="none" w:sz="0" w:space="0" w:color="auto"/>
            <w:left w:val="none" w:sz="0" w:space="0" w:color="auto"/>
            <w:bottom w:val="none" w:sz="0" w:space="0" w:color="auto"/>
            <w:right w:val="none" w:sz="0" w:space="0" w:color="auto"/>
          </w:divBdr>
          <w:divsChild>
            <w:div w:id="40442274">
              <w:marLeft w:val="0"/>
              <w:marRight w:val="0"/>
              <w:marTop w:val="0"/>
              <w:marBottom w:val="0"/>
              <w:divBdr>
                <w:top w:val="none" w:sz="0" w:space="0" w:color="auto"/>
                <w:left w:val="none" w:sz="0" w:space="0" w:color="auto"/>
                <w:bottom w:val="none" w:sz="0" w:space="0" w:color="auto"/>
                <w:right w:val="none" w:sz="0" w:space="0" w:color="auto"/>
              </w:divBdr>
            </w:div>
          </w:divsChild>
        </w:div>
        <w:div w:id="1835949568">
          <w:marLeft w:val="0"/>
          <w:marRight w:val="0"/>
          <w:marTop w:val="0"/>
          <w:marBottom w:val="0"/>
          <w:divBdr>
            <w:top w:val="none" w:sz="0" w:space="0" w:color="auto"/>
            <w:left w:val="none" w:sz="0" w:space="0" w:color="auto"/>
            <w:bottom w:val="none" w:sz="0" w:space="0" w:color="auto"/>
            <w:right w:val="none" w:sz="0" w:space="0" w:color="auto"/>
          </w:divBdr>
          <w:divsChild>
            <w:div w:id="218899805">
              <w:marLeft w:val="0"/>
              <w:marRight w:val="0"/>
              <w:marTop w:val="0"/>
              <w:marBottom w:val="0"/>
              <w:divBdr>
                <w:top w:val="none" w:sz="0" w:space="0" w:color="auto"/>
                <w:left w:val="none" w:sz="0" w:space="0" w:color="auto"/>
                <w:bottom w:val="none" w:sz="0" w:space="0" w:color="auto"/>
                <w:right w:val="none" w:sz="0" w:space="0" w:color="auto"/>
              </w:divBdr>
            </w:div>
          </w:divsChild>
        </w:div>
        <w:div w:id="1839538820">
          <w:marLeft w:val="0"/>
          <w:marRight w:val="0"/>
          <w:marTop w:val="0"/>
          <w:marBottom w:val="0"/>
          <w:divBdr>
            <w:top w:val="none" w:sz="0" w:space="0" w:color="auto"/>
            <w:left w:val="none" w:sz="0" w:space="0" w:color="auto"/>
            <w:bottom w:val="none" w:sz="0" w:space="0" w:color="auto"/>
            <w:right w:val="none" w:sz="0" w:space="0" w:color="auto"/>
          </w:divBdr>
          <w:divsChild>
            <w:div w:id="827787978">
              <w:marLeft w:val="0"/>
              <w:marRight w:val="0"/>
              <w:marTop w:val="0"/>
              <w:marBottom w:val="0"/>
              <w:divBdr>
                <w:top w:val="none" w:sz="0" w:space="0" w:color="auto"/>
                <w:left w:val="none" w:sz="0" w:space="0" w:color="auto"/>
                <w:bottom w:val="none" w:sz="0" w:space="0" w:color="auto"/>
                <w:right w:val="none" w:sz="0" w:space="0" w:color="auto"/>
              </w:divBdr>
            </w:div>
          </w:divsChild>
        </w:div>
        <w:div w:id="1846550505">
          <w:marLeft w:val="0"/>
          <w:marRight w:val="0"/>
          <w:marTop w:val="0"/>
          <w:marBottom w:val="0"/>
          <w:divBdr>
            <w:top w:val="none" w:sz="0" w:space="0" w:color="auto"/>
            <w:left w:val="none" w:sz="0" w:space="0" w:color="auto"/>
            <w:bottom w:val="none" w:sz="0" w:space="0" w:color="auto"/>
            <w:right w:val="none" w:sz="0" w:space="0" w:color="auto"/>
          </w:divBdr>
          <w:divsChild>
            <w:div w:id="1067416567">
              <w:marLeft w:val="0"/>
              <w:marRight w:val="0"/>
              <w:marTop w:val="0"/>
              <w:marBottom w:val="0"/>
              <w:divBdr>
                <w:top w:val="none" w:sz="0" w:space="0" w:color="auto"/>
                <w:left w:val="none" w:sz="0" w:space="0" w:color="auto"/>
                <w:bottom w:val="none" w:sz="0" w:space="0" w:color="auto"/>
                <w:right w:val="none" w:sz="0" w:space="0" w:color="auto"/>
              </w:divBdr>
            </w:div>
          </w:divsChild>
        </w:div>
        <w:div w:id="1871608897">
          <w:marLeft w:val="0"/>
          <w:marRight w:val="0"/>
          <w:marTop w:val="0"/>
          <w:marBottom w:val="0"/>
          <w:divBdr>
            <w:top w:val="none" w:sz="0" w:space="0" w:color="auto"/>
            <w:left w:val="none" w:sz="0" w:space="0" w:color="auto"/>
            <w:bottom w:val="none" w:sz="0" w:space="0" w:color="auto"/>
            <w:right w:val="none" w:sz="0" w:space="0" w:color="auto"/>
          </w:divBdr>
          <w:divsChild>
            <w:div w:id="1488285720">
              <w:marLeft w:val="0"/>
              <w:marRight w:val="0"/>
              <w:marTop w:val="0"/>
              <w:marBottom w:val="0"/>
              <w:divBdr>
                <w:top w:val="none" w:sz="0" w:space="0" w:color="auto"/>
                <w:left w:val="none" w:sz="0" w:space="0" w:color="auto"/>
                <w:bottom w:val="none" w:sz="0" w:space="0" w:color="auto"/>
                <w:right w:val="none" w:sz="0" w:space="0" w:color="auto"/>
              </w:divBdr>
            </w:div>
          </w:divsChild>
        </w:div>
        <w:div w:id="1872569038">
          <w:marLeft w:val="0"/>
          <w:marRight w:val="0"/>
          <w:marTop w:val="0"/>
          <w:marBottom w:val="0"/>
          <w:divBdr>
            <w:top w:val="none" w:sz="0" w:space="0" w:color="auto"/>
            <w:left w:val="none" w:sz="0" w:space="0" w:color="auto"/>
            <w:bottom w:val="none" w:sz="0" w:space="0" w:color="auto"/>
            <w:right w:val="none" w:sz="0" w:space="0" w:color="auto"/>
          </w:divBdr>
          <w:divsChild>
            <w:div w:id="1870725927">
              <w:marLeft w:val="0"/>
              <w:marRight w:val="0"/>
              <w:marTop w:val="0"/>
              <w:marBottom w:val="0"/>
              <w:divBdr>
                <w:top w:val="none" w:sz="0" w:space="0" w:color="auto"/>
                <w:left w:val="none" w:sz="0" w:space="0" w:color="auto"/>
                <w:bottom w:val="none" w:sz="0" w:space="0" w:color="auto"/>
                <w:right w:val="none" w:sz="0" w:space="0" w:color="auto"/>
              </w:divBdr>
            </w:div>
          </w:divsChild>
        </w:div>
        <w:div w:id="1879312359">
          <w:marLeft w:val="0"/>
          <w:marRight w:val="0"/>
          <w:marTop w:val="0"/>
          <w:marBottom w:val="0"/>
          <w:divBdr>
            <w:top w:val="none" w:sz="0" w:space="0" w:color="auto"/>
            <w:left w:val="none" w:sz="0" w:space="0" w:color="auto"/>
            <w:bottom w:val="none" w:sz="0" w:space="0" w:color="auto"/>
            <w:right w:val="none" w:sz="0" w:space="0" w:color="auto"/>
          </w:divBdr>
          <w:divsChild>
            <w:div w:id="334190421">
              <w:marLeft w:val="0"/>
              <w:marRight w:val="0"/>
              <w:marTop w:val="0"/>
              <w:marBottom w:val="0"/>
              <w:divBdr>
                <w:top w:val="none" w:sz="0" w:space="0" w:color="auto"/>
                <w:left w:val="none" w:sz="0" w:space="0" w:color="auto"/>
                <w:bottom w:val="none" w:sz="0" w:space="0" w:color="auto"/>
                <w:right w:val="none" w:sz="0" w:space="0" w:color="auto"/>
              </w:divBdr>
            </w:div>
          </w:divsChild>
        </w:div>
        <w:div w:id="1883135015">
          <w:marLeft w:val="0"/>
          <w:marRight w:val="0"/>
          <w:marTop w:val="0"/>
          <w:marBottom w:val="0"/>
          <w:divBdr>
            <w:top w:val="none" w:sz="0" w:space="0" w:color="auto"/>
            <w:left w:val="none" w:sz="0" w:space="0" w:color="auto"/>
            <w:bottom w:val="none" w:sz="0" w:space="0" w:color="auto"/>
            <w:right w:val="none" w:sz="0" w:space="0" w:color="auto"/>
          </w:divBdr>
          <w:divsChild>
            <w:div w:id="117145091">
              <w:marLeft w:val="0"/>
              <w:marRight w:val="0"/>
              <w:marTop w:val="0"/>
              <w:marBottom w:val="0"/>
              <w:divBdr>
                <w:top w:val="none" w:sz="0" w:space="0" w:color="auto"/>
                <w:left w:val="none" w:sz="0" w:space="0" w:color="auto"/>
                <w:bottom w:val="none" w:sz="0" w:space="0" w:color="auto"/>
                <w:right w:val="none" w:sz="0" w:space="0" w:color="auto"/>
              </w:divBdr>
            </w:div>
          </w:divsChild>
        </w:div>
        <w:div w:id="1902131188">
          <w:marLeft w:val="0"/>
          <w:marRight w:val="0"/>
          <w:marTop w:val="0"/>
          <w:marBottom w:val="0"/>
          <w:divBdr>
            <w:top w:val="none" w:sz="0" w:space="0" w:color="auto"/>
            <w:left w:val="none" w:sz="0" w:space="0" w:color="auto"/>
            <w:bottom w:val="none" w:sz="0" w:space="0" w:color="auto"/>
            <w:right w:val="none" w:sz="0" w:space="0" w:color="auto"/>
          </w:divBdr>
          <w:divsChild>
            <w:div w:id="320037294">
              <w:marLeft w:val="0"/>
              <w:marRight w:val="0"/>
              <w:marTop w:val="0"/>
              <w:marBottom w:val="0"/>
              <w:divBdr>
                <w:top w:val="none" w:sz="0" w:space="0" w:color="auto"/>
                <w:left w:val="none" w:sz="0" w:space="0" w:color="auto"/>
                <w:bottom w:val="none" w:sz="0" w:space="0" w:color="auto"/>
                <w:right w:val="none" w:sz="0" w:space="0" w:color="auto"/>
              </w:divBdr>
            </w:div>
          </w:divsChild>
        </w:div>
        <w:div w:id="1902522326">
          <w:marLeft w:val="0"/>
          <w:marRight w:val="0"/>
          <w:marTop w:val="0"/>
          <w:marBottom w:val="0"/>
          <w:divBdr>
            <w:top w:val="none" w:sz="0" w:space="0" w:color="auto"/>
            <w:left w:val="none" w:sz="0" w:space="0" w:color="auto"/>
            <w:bottom w:val="none" w:sz="0" w:space="0" w:color="auto"/>
            <w:right w:val="none" w:sz="0" w:space="0" w:color="auto"/>
          </w:divBdr>
          <w:divsChild>
            <w:div w:id="865485191">
              <w:marLeft w:val="0"/>
              <w:marRight w:val="0"/>
              <w:marTop w:val="0"/>
              <w:marBottom w:val="0"/>
              <w:divBdr>
                <w:top w:val="none" w:sz="0" w:space="0" w:color="auto"/>
                <w:left w:val="none" w:sz="0" w:space="0" w:color="auto"/>
                <w:bottom w:val="none" w:sz="0" w:space="0" w:color="auto"/>
                <w:right w:val="none" w:sz="0" w:space="0" w:color="auto"/>
              </w:divBdr>
            </w:div>
          </w:divsChild>
        </w:div>
        <w:div w:id="1908612146">
          <w:marLeft w:val="0"/>
          <w:marRight w:val="0"/>
          <w:marTop w:val="0"/>
          <w:marBottom w:val="0"/>
          <w:divBdr>
            <w:top w:val="none" w:sz="0" w:space="0" w:color="auto"/>
            <w:left w:val="none" w:sz="0" w:space="0" w:color="auto"/>
            <w:bottom w:val="none" w:sz="0" w:space="0" w:color="auto"/>
            <w:right w:val="none" w:sz="0" w:space="0" w:color="auto"/>
          </w:divBdr>
          <w:divsChild>
            <w:div w:id="1780023706">
              <w:marLeft w:val="0"/>
              <w:marRight w:val="0"/>
              <w:marTop w:val="0"/>
              <w:marBottom w:val="0"/>
              <w:divBdr>
                <w:top w:val="none" w:sz="0" w:space="0" w:color="auto"/>
                <w:left w:val="none" w:sz="0" w:space="0" w:color="auto"/>
                <w:bottom w:val="none" w:sz="0" w:space="0" w:color="auto"/>
                <w:right w:val="none" w:sz="0" w:space="0" w:color="auto"/>
              </w:divBdr>
            </w:div>
          </w:divsChild>
        </w:div>
        <w:div w:id="1910652696">
          <w:marLeft w:val="0"/>
          <w:marRight w:val="0"/>
          <w:marTop w:val="0"/>
          <w:marBottom w:val="0"/>
          <w:divBdr>
            <w:top w:val="none" w:sz="0" w:space="0" w:color="auto"/>
            <w:left w:val="none" w:sz="0" w:space="0" w:color="auto"/>
            <w:bottom w:val="none" w:sz="0" w:space="0" w:color="auto"/>
            <w:right w:val="none" w:sz="0" w:space="0" w:color="auto"/>
          </w:divBdr>
          <w:divsChild>
            <w:div w:id="1283802607">
              <w:marLeft w:val="0"/>
              <w:marRight w:val="0"/>
              <w:marTop w:val="0"/>
              <w:marBottom w:val="0"/>
              <w:divBdr>
                <w:top w:val="none" w:sz="0" w:space="0" w:color="auto"/>
                <w:left w:val="none" w:sz="0" w:space="0" w:color="auto"/>
                <w:bottom w:val="none" w:sz="0" w:space="0" w:color="auto"/>
                <w:right w:val="none" w:sz="0" w:space="0" w:color="auto"/>
              </w:divBdr>
            </w:div>
          </w:divsChild>
        </w:div>
        <w:div w:id="1912542388">
          <w:marLeft w:val="0"/>
          <w:marRight w:val="0"/>
          <w:marTop w:val="0"/>
          <w:marBottom w:val="0"/>
          <w:divBdr>
            <w:top w:val="none" w:sz="0" w:space="0" w:color="auto"/>
            <w:left w:val="none" w:sz="0" w:space="0" w:color="auto"/>
            <w:bottom w:val="none" w:sz="0" w:space="0" w:color="auto"/>
            <w:right w:val="none" w:sz="0" w:space="0" w:color="auto"/>
          </w:divBdr>
          <w:divsChild>
            <w:div w:id="638996498">
              <w:marLeft w:val="0"/>
              <w:marRight w:val="0"/>
              <w:marTop w:val="0"/>
              <w:marBottom w:val="0"/>
              <w:divBdr>
                <w:top w:val="none" w:sz="0" w:space="0" w:color="auto"/>
                <w:left w:val="none" w:sz="0" w:space="0" w:color="auto"/>
                <w:bottom w:val="none" w:sz="0" w:space="0" w:color="auto"/>
                <w:right w:val="none" w:sz="0" w:space="0" w:color="auto"/>
              </w:divBdr>
            </w:div>
          </w:divsChild>
        </w:div>
        <w:div w:id="1920406907">
          <w:marLeft w:val="0"/>
          <w:marRight w:val="0"/>
          <w:marTop w:val="0"/>
          <w:marBottom w:val="0"/>
          <w:divBdr>
            <w:top w:val="none" w:sz="0" w:space="0" w:color="auto"/>
            <w:left w:val="none" w:sz="0" w:space="0" w:color="auto"/>
            <w:bottom w:val="none" w:sz="0" w:space="0" w:color="auto"/>
            <w:right w:val="none" w:sz="0" w:space="0" w:color="auto"/>
          </w:divBdr>
          <w:divsChild>
            <w:div w:id="1520584785">
              <w:marLeft w:val="0"/>
              <w:marRight w:val="0"/>
              <w:marTop w:val="0"/>
              <w:marBottom w:val="0"/>
              <w:divBdr>
                <w:top w:val="none" w:sz="0" w:space="0" w:color="auto"/>
                <w:left w:val="none" w:sz="0" w:space="0" w:color="auto"/>
                <w:bottom w:val="none" w:sz="0" w:space="0" w:color="auto"/>
                <w:right w:val="none" w:sz="0" w:space="0" w:color="auto"/>
              </w:divBdr>
            </w:div>
          </w:divsChild>
        </w:div>
        <w:div w:id="1992445038">
          <w:marLeft w:val="0"/>
          <w:marRight w:val="0"/>
          <w:marTop w:val="0"/>
          <w:marBottom w:val="0"/>
          <w:divBdr>
            <w:top w:val="none" w:sz="0" w:space="0" w:color="auto"/>
            <w:left w:val="none" w:sz="0" w:space="0" w:color="auto"/>
            <w:bottom w:val="none" w:sz="0" w:space="0" w:color="auto"/>
            <w:right w:val="none" w:sz="0" w:space="0" w:color="auto"/>
          </w:divBdr>
          <w:divsChild>
            <w:div w:id="1552687112">
              <w:marLeft w:val="0"/>
              <w:marRight w:val="0"/>
              <w:marTop w:val="0"/>
              <w:marBottom w:val="0"/>
              <w:divBdr>
                <w:top w:val="none" w:sz="0" w:space="0" w:color="auto"/>
                <w:left w:val="none" w:sz="0" w:space="0" w:color="auto"/>
                <w:bottom w:val="none" w:sz="0" w:space="0" w:color="auto"/>
                <w:right w:val="none" w:sz="0" w:space="0" w:color="auto"/>
              </w:divBdr>
            </w:div>
          </w:divsChild>
        </w:div>
        <w:div w:id="1998150843">
          <w:marLeft w:val="0"/>
          <w:marRight w:val="0"/>
          <w:marTop w:val="0"/>
          <w:marBottom w:val="0"/>
          <w:divBdr>
            <w:top w:val="none" w:sz="0" w:space="0" w:color="auto"/>
            <w:left w:val="none" w:sz="0" w:space="0" w:color="auto"/>
            <w:bottom w:val="none" w:sz="0" w:space="0" w:color="auto"/>
            <w:right w:val="none" w:sz="0" w:space="0" w:color="auto"/>
          </w:divBdr>
          <w:divsChild>
            <w:div w:id="214321020">
              <w:marLeft w:val="0"/>
              <w:marRight w:val="0"/>
              <w:marTop w:val="0"/>
              <w:marBottom w:val="0"/>
              <w:divBdr>
                <w:top w:val="none" w:sz="0" w:space="0" w:color="auto"/>
                <w:left w:val="none" w:sz="0" w:space="0" w:color="auto"/>
                <w:bottom w:val="none" w:sz="0" w:space="0" w:color="auto"/>
                <w:right w:val="none" w:sz="0" w:space="0" w:color="auto"/>
              </w:divBdr>
            </w:div>
          </w:divsChild>
        </w:div>
        <w:div w:id="2005625329">
          <w:marLeft w:val="0"/>
          <w:marRight w:val="0"/>
          <w:marTop w:val="0"/>
          <w:marBottom w:val="0"/>
          <w:divBdr>
            <w:top w:val="none" w:sz="0" w:space="0" w:color="auto"/>
            <w:left w:val="none" w:sz="0" w:space="0" w:color="auto"/>
            <w:bottom w:val="none" w:sz="0" w:space="0" w:color="auto"/>
            <w:right w:val="none" w:sz="0" w:space="0" w:color="auto"/>
          </w:divBdr>
          <w:divsChild>
            <w:div w:id="668022094">
              <w:marLeft w:val="0"/>
              <w:marRight w:val="0"/>
              <w:marTop w:val="0"/>
              <w:marBottom w:val="0"/>
              <w:divBdr>
                <w:top w:val="none" w:sz="0" w:space="0" w:color="auto"/>
                <w:left w:val="none" w:sz="0" w:space="0" w:color="auto"/>
                <w:bottom w:val="none" w:sz="0" w:space="0" w:color="auto"/>
                <w:right w:val="none" w:sz="0" w:space="0" w:color="auto"/>
              </w:divBdr>
            </w:div>
          </w:divsChild>
        </w:div>
        <w:div w:id="2057776468">
          <w:marLeft w:val="0"/>
          <w:marRight w:val="0"/>
          <w:marTop w:val="0"/>
          <w:marBottom w:val="0"/>
          <w:divBdr>
            <w:top w:val="none" w:sz="0" w:space="0" w:color="auto"/>
            <w:left w:val="none" w:sz="0" w:space="0" w:color="auto"/>
            <w:bottom w:val="none" w:sz="0" w:space="0" w:color="auto"/>
            <w:right w:val="none" w:sz="0" w:space="0" w:color="auto"/>
          </w:divBdr>
          <w:divsChild>
            <w:div w:id="6144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40358">
      <w:bodyDiv w:val="1"/>
      <w:marLeft w:val="0"/>
      <w:marRight w:val="0"/>
      <w:marTop w:val="0"/>
      <w:marBottom w:val="0"/>
      <w:divBdr>
        <w:top w:val="none" w:sz="0" w:space="0" w:color="auto"/>
        <w:left w:val="none" w:sz="0" w:space="0" w:color="auto"/>
        <w:bottom w:val="none" w:sz="0" w:space="0" w:color="auto"/>
        <w:right w:val="none" w:sz="0" w:space="0" w:color="auto"/>
      </w:divBdr>
    </w:div>
    <w:div w:id="1212620566">
      <w:bodyDiv w:val="1"/>
      <w:marLeft w:val="0"/>
      <w:marRight w:val="0"/>
      <w:marTop w:val="0"/>
      <w:marBottom w:val="0"/>
      <w:divBdr>
        <w:top w:val="none" w:sz="0" w:space="0" w:color="auto"/>
        <w:left w:val="none" w:sz="0" w:space="0" w:color="auto"/>
        <w:bottom w:val="none" w:sz="0" w:space="0" w:color="auto"/>
        <w:right w:val="none" w:sz="0" w:space="0" w:color="auto"/>
      </w:divBdr>
    </w:div>
    <w:div w:id="1240869587">
      <w:bodyDiv w:val="1"/>
      <w:marLeft w:val="0"/>
      <w:marRight w:val="0"/>
      <w:marTop w:val="0"/>
      <w:marBottom w:val="0"/>
      <w:divBdr>
        <w:top w:val="none" w:sz="0" w:space="0" w:color="auto"/>
        <w:left w:val="none" w:sz="0" w:space="0" w:color="auto"/>
        <w:bottom w:val="none" w:sz="0" w:space="0" w:color="auto"/>
        <w:right w:val="none" w:sz="0" w:space="0" w:color="auto"/>
      </w:divBdr>
    </w:div>
    <w:div w:id="1248152110">
      <w:bodyDiv w:val="1"/>
      <w:marLeft w:val="0"/>
      <w:marRight w:val="0"/>
      <w:marTop w:val="0"/>
      <w:marBottom w:val="0"/>
      <w:divBdr>
        <w:top w:val="none" w:sz="0" w:space="0" w:color="auto"/>
        <w:left w:val="none" w:sz="0" w:space="0" w:color="auto"/>
        <w:bottom w:val="none" w:sz="0" w:space="0" w:color="auto"/>
        <w:right w:val="none" w:sz="0" w:space="0" w:color="auto"/>
      </w:divBdr>
    </w:div>
    <w:div w:id="1256015400">
      <w:bodyDiv w:val="1"/>
      <w:marLeft w:val="0"/>
      <w:marRight w:val="0"/>
      <w:marTop w:val="0"/>
      <w:marBottom w:val="0"/>
      <w:divBdr>
        <w:top w:val="none" w:sz="0" w:space="0" w:color="auto"/>
        <w:left w:val="none" w:sz="0" w:space="0" w:color="auto"/>
        <w:bottom w:val="none" w:sz="0" w:space="0" w:color="auto"/>
        <w:right w:val="none" w:sz="0" w:space="0" w:color="auto"/>
      </w:divBdr>
    </w:div>
    <w:div w:id="1275361157">
      <w:bodyDiv w:val="1"/>
      <w:marLeft w:val="0"/>
      <w:marRight w:val="0"/>
      <w:marTop w:val="0"/>
      <w:marBottom w:val="0"/>
      <w:divBdr>
        <w:top w:val="none" w:sz="0" w:space="0" w:color="auto"/>
        <w:left w:val="none" w:sz="0" w:space="0" w:color="auto"/>
        <w:bottom w:val="none" w:sz="0" w:space="0" w:color="auto"/>
        <w:right w:val="none" w:sz="0" w:space="0" w:color="auto"/>
      </w:divBdr>
      <w:divsChild>
        <w:div w:id="257057894">
          <w:marLeft w:val="0"/>
          <w:marRight w:val="0"/>
          <w:marTop w:val="0"/>
          <w:marBottom w:val="0"/>
          <w:divBdr>
            <w:top w:val="none" w:sz="0" w:space="0" w:color="auto"/>
            <w:left w:val="none" w:sz="0" w:space="0" w:color="auto"/>
            <w:bottom w:val="none" w:sz="0" w:space="0" w:color="auto"/>
            <w:right w:val="none" w:sz="0" w:space="0" w:color="auto"/>
          </w:divBdr>
        </w:div>
        <w:div w:id="734159099">
          <w:marLeft w:val="0"/>
          <w:marRight w:val="0"/>
          <w:marTop w:val="0"/>
          <w:marBottom w:val="0"/>
          <w:divBdr>
            <w:top w:val="none" w:sz="0" w:space="0" w:color="auto"/>
            <w:left w:val="none" w:sz="0" w:space="0" w:color="auto"/>
            <w:bottom w:val="none" w:sz="0" w:space="0" w:color="auto"/>
            <w:right w:val="none" w:sz="0" w:space="0" w:color="auto"/>
          </w:divBdr>
        </w:div>
      </w:divsChild>
    </w:div>
    <w:div w:id="1303149616">
      <w:bodyDiv w:val="1"/>
      <w:marLeft w:val="0"/>
      <w:marRight w:val="0"/>
      <w:marTop w:val="0"/>
      <w:marBottom w:val="0"/>
      <w:divBdr>
        <w:top w:val="none" w:sz="0" w:space="0" w:color="auto"/>
        <w:left w:val="none" w:sz="0" w:space="0" w:color="auto"/>
        <w:bottom w:val="none" w:sz="0" w:space="0" w:color="auto"/>
        <w:right w:val="none" w:sz="0" w:space="0" w:color="auto"/>
      </w:divBdr>
    </w:div>
    <w:div w:id="1329557511">
      <w:bodyDiv w:val="1"/>
      <w:marLeft w:val="0"/>
      <w:marRight w:val="0"/>
      <w:marTop w:val="0"/>
      <w:marBottom w:val="0"/>
      <w:divBdr>
        <w:top w:val="none" w:sz="0" w:space="0" w:color="auto"/>
        <w:left w:val="none" w:sz="0" w:space="0" w:color="auto"/>
        <w:bottom w:val="none" w:sz="0" w:space="0" w:color="auto"/>
        <w:right w:val="none" w:sz="0" w:space="0" w:color="auto"/>
      </w:divBdr>
    </w:div>
    <w:div w:id="1349022320">
      <w:bodyDiv w:val="1"/>
      <w:marLeft w:val="0"/>
      <w:marRight w:val="0"/>
      <w:marTop w:val="0"/>
      <w:marBottom w:val="0"/>
      <w:divBdr>
        <w:top w:val="none" w:sz="0" w:space="0" w:color="auto"/>
        <w:left w:val="none" w:sz="0" w:space="0" w:color="auto"/>
        <w:bottom w:val="none" w:sz="0" w:space="0" w:color="auto"/>
        <w:right w:val="none" w:sz="0" w:space="0" w:color="auto"/>
      </w:divBdr>
    </w:div>
    <w:div w:id="1368064716">
      <w:bodyDiv w:val="1"/>
      <w:marLeft w:val="0"/>
      <w:marRight w:val="0"/>
      <w:marTop w:val="0"/>
      <w:marBottom w:val="0"/>
      <w:divBdr>
        <w:top w:val="none" w:sz="0" w:space="0" w:color="auto"/>
        <w:left w:val="none" w:sz="0" w:space="0" w:color="auto"/>
        <w:bottom w:val="none" w:sz="0" w:space="0" w:color="auto"/>
        <w:right w:val="none" w:sz="0" w:space="0" w:color="auto"/>
      </w:divBdr>
    </w:div>
    <w:div w:id="1452362510">
      <w:bodyDiv w:val="1"/>
      <w:marLeft w:val="0"/>
      <w:marRight w:val="0"/>
      <w:marTop w:val="0"/>
      <w:marBottom w:val="0"/>
      <w:divBdr>
        <w:top w:val="none" w:sz="0" w:space="0" w:color="auto"/>
        <w:left w:val="none" w:sz="0" w:space="0" w:color="auto"/>
        <w:bottom w:val="none" w:sz="0" w:space="0" w:color="auto"/>
        <w:right w:val="none" w:sz="0" w:space="0" w:color="auto"/>
      </w:divBdr>
    </w:div>
    <w:div w:id="1465153664">
      <w:bodyDiv w:val="1"/>
      <w:marLeft w:val="0"/>
      <w:marRight w:val="0"/>
      <w:marTop w:val="0"/>
      <w:marBottom w:val="0"/>
      <w:divBdr>
        <w:top w:val="none" w:sz="0" w:space="0" w:color="auto"/>
        <w:left w:val="none" w:sz="0" w:space="0" w:color="auto"/>
        <w:bottom w:val="none" w:sz="0" w:space="0" w:color="auto"/>
        <w:right w:val="none" w:sz="0" w:space="0" w:color="auto"/>
      </w:divBdr>
    </w:div>
    <w:div w:id="1474909322">
      <w:bodyDiv w:val="1"/>
      <w:marLeft w:val="0"/>
      <w:marRight w:val="0"/>
      <w:marTop w:val="0"/>
      <w:marBottom w:val="0"/>
      <w:divBdr>
        <w:top w:val="none" w:sz="0" w:space="0" w:color="auto"/>
        <w:left w:val="none" w:sz="0" w:space="0" w:color="auto"/>
        <w:bottom w:val="none" w:sz="0" w:space="0" w:color="auto"/>
        <w:right w:val="none" w:sz="0" w:space="0" w:color="auto"/>
      </w:divBdr>
    </w:div>
    <w:div w:id="1475752744">
      <w:bodyDiv w:val="1"/>
      <w:marLeft w:val="0"/>
      <w:marRight w:val="0"/>
      <w:marTop w:val="0"/>
      <w:marBottom w:val="0"/>
      <w:divBdr>
        <w:top w:val="none" w:sz="0" w:space="0" w:color="auto"/>
        <w:left w:val="none" w:sz="0" w:space="0" w:color="auto"/>
        <w:bottom w:val="none" w:sz="0" w:space="0" w:color="auto"/>
        <w:right w:val="none" w:sz="0" w:space="0" w:color="auto"/>
      </w:divBdr>
    </w:div>
    <w:div w:id="1477407824">
      <w:bodyDiv w:val="1"/>
      <w:marLeft w:val="0"/>
      <w:marRight w:val="0"/>
      <w:marTop w:val="0"/>
      <w:marBottom w:val="0"/>
      <w:divBdr>
        <w:top w:val="none" w:sz="0" w:space="0" w:color="auto"/>
        <w:left w:val="none" w:sz="0" w:space="0" w:color="auto"/>
        <w:bottom w:val="none" w:sz="0" w:space="0" w:color="auto"/>
        <w:right w:val="none" w:sz="0" w:space="0" w:color="auto"/>
      </w:divBdr>
    </w:div>
    <w:div w:id="1499727697">
      <w:bodyDiv w:val="1"/>
      <w:marLeft w:val="0"/>
      <w:marRight w:val="0"/>
      <w:marTop w:val="0"/>
      <w:marBottom w:val="0"/>
      <w:divBdr>
        <w:top w:val="none" w:sz="0" w:space="0" w:color="auto"/>
        <w:left w:val="none" w:sz="0" w:space="0" w:color="auto"/>
        <w:bottom w:val="none" w:sz="0" w:space="0" w:color="auto"/>
        <w:right w:val="none" w:sz="0" w:space="0" w:color="auto"/>
      </w:divBdr>
      <w:divsChild>
        <w:div w:id="183326868">
          <w:marLeft w:val="0"/>
          <w:marRight w:val="0"/>
          <w:marTop w:val="0"/>
          <w:marBottom w:val="0"/>
          <w:divBdr>
            <w:top w:val="none" w:sz="0" w:space="0" w:color="auto"/>
            <w:left w:val="none" w:sz="0" w:space="0" w:color="auto"/>
            <w:bottom w:val="none" w:sz="0" w:space="0" w:color="auto"/>
            <w:right w:val="none" w:sz="0" w:space="0" w:color="auto"/>
          </w:divBdr>
          <w:divsChild>
            <w:div w:id="768475923">
              <w:marLeft w:val="0"/>
              <w:marRight w:val="0"/>
              <w:marTop w:val="0"/>
              <w:marBottom w:val="0"/>
              <w:divBdr>
                <w:top w:val="none" w:sz="0" w:space="0" w:color="auto"/>
                <w:left w:val="none" w:sz="0" w:space="0" w:color="auto"/>
                <w:bottom w:val="none" w:sz="0" w:space="0" w:color="auto"/>
                <w:right w:val="none" w:sz="0" w:space="0" w:color="auto"/>
              </w:divBdr>
              <w:divsChild>
                <w:div w:id="1065297744">
                  <w:marLeft w:val="0"/>
                  <w:marRight w:val="0"/>
                  <w:marTop w:val="0"/>
                  <w:marBottom w:val="0"/>
                  <w:divBdr>
                    <w:top w:val="none" w:sz="0" w:space="0" w:color="auto"/>
                    <w:left w:val="none" w:sz="0" w:space="0" w:color="auto"/>
                    <w:bottom w:val="none" w:sz="0" w:space="0" w:color="auto"/>
                    <w:right w:val="none" w:sz="0" w:space="0" w:color="auto"/>
                  </w:divBdr>
                  <w:divsChild>
                    <w:div w:id="4367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52889">
      <w:bodyDiv w:val="1"/>
      <w:marLeft w:val="0"/>
      <w:marRight w:val="0"/>
      <w:marTop w:val="0"/>
      <w:marBottom w:val="0"/>
      <w:divBdr>
        <w:top w:val="none" w:sz="0" w:space="0" w:color="auto"/>
        <w:left w:val="none" w:sz="0" w:space="0" w:color="auto"/>
        <w:bottom w:val="none" w:sz="0" w:space="0" w:color="auto"/>
        <w:right w:val="none" w:sz="0" w:space="0" w:color="auto"/>
      </w:divBdr>
    </w:div>
    <w:div w:id="1509055879">
      <w:bodyDiv w:val="1"/>
      <w:marLeft w:val="0"/>
      <w:marRight w:val="0"/>
      <w:marTop w:val="0"/>
      <w:marBottom w:val="0"/>
      <w:divBdr>
        <w:top w:val="none" w:sz="0" w:space="0" w:color="auto"/>
        <w:left w:val="none" w:sz="0" w:space="0" w:color="auto"/>
        <w:bottom w:val="none" w:sz="0" w:space="0" w:color="auto"/>
        <w:right w:val="none" w:sz="0" w:space="0" w:color="auto"/>
      </w:divBdr>
    </w:div>
    <w:div w:id="1558469335">
      <w:bodyDiv w:val="1"/>
      <w:marLeft w:val="0"/>
      <w:marRight w:val="0"/>
      <w:marTop w:val="0"/>
      <w:marBottom w:val="0"/>
      <w:divBdr>
        <w:top w:val="none" w:sz="0" w:space="0" w:color="auto"/>
        <w:left w:val="none" w:sz="0" w:space="0" w:color="auto"/>
        <w:bottom w:val="none" w:sz="0" w:space="0" w:color="auto"/>
        <w:right w:val="none" w:sz="0" w:space="0" w:color="auto"/>
      </w:divBdr>
    </w:div>
    <w:div w:id="1559853128">
      <w:bodyDiv w:val="1"/>
      <w:marLeft w:val="0"/>
      <w:marRight w:val="0"/>
      <w:marTop w:val="0"/>
      <w:marBottom w:val="0"/>
      <w:divBdr>
        <w:top w:val="none" w:sz="0" w:space="0" w:color="auto"/>
        <w:left w:val="none" w:sz="0" w:space="0" w:color="auto"/>
        <w:bottom w:val="none" w:sz="0" w:space="0" w:color="auto"/>
        <w:right w:val="none" w:sz="0" w:space="0" w:color="auto"/>
      </w:divBdr>
    </w:div>
    <w:div w:id="1581985373">
      <w:bodyDiv w:val="1"/>
      <w:marLeft w:val="0"/>
      <w:marRight w:val="0"/>
      <w:marTop w:val="0"/>
      <w:marBottom w:val="0"/>
      <w:divBdr>
        <w:top w:val="none" w:sz="0" w:space="0" w:color="auto"/>
        <w:left w:val="none" w:sz="0" w:space="0" w:color="auto"/>
        <w:bottom w:val="none" w:sz="0" w:space="0" w:color="auto"/>
        <w:right w:val="none" w:sz="0" w:space="0" w:color="auto"/>
      </w:divBdr>
      <w:divsChild>
        <w:div w:id="15616398">
          <w:marLeft w:val="0"/>
          <w:marRight w:val="0"/>
          <w:marTop w:val="0"/>
          <w:marBottom w:val="150"/>
          <w:divBdr>
            <w:top w:val="none" w:sz="0" w:space="0" w:color="auto"/>
            <w:left w:val="none" w:sz="0" w:space="0" w:color="auto"/>
            <w:bottom w:val="none" w:sz="0" w:space="0" w:color="auto"/>
            <w:right w:val="none" w:sz="0" w:space="0" w:color="auto"/>
          </w:divBdr>
          <w:divsChild>
            <w:div w:id="1992638028">
              <w:marLeft w:val="0"/>
              <w:marRight w:val="0"/>
              <w:marTop w:val="0"/>
              <w:marBottom w:val="0"/>
              <w:divBdr>
                <w:top w:val="none" w:sz="0" w:space="0" w:color="auto"/>
                <w:left w:val="none" w:sz="0" w:space="0" w:color="auto"/>
                <w:bottom w:val="none" w:sz="0" w:space="0" w:color="auto"/>
                <w:right w:val="none" w:sz="0" w:space="0" w:color="auto"/>
              </w:divBdr>
              <w:divsChild>
                <w:div w:id="2143451411">
                  <w:marLeft w:val="0"/>
                  <w:marRight w:val="0"/>
                  <w:marTop w:val="0"/>
                  <w:marBottom w:val="0"/>
                  <w:divBdr>
                    <w:top w:val="none" w:sz="0" w:space="0" w:color="auto"/>
                    <w:left w:val="none" w:sz="0" w:space="0" w:color="auto"/>
                    <w:bottom w:val="none" w:sz="0" w:space="0" w:color="auto"/>
                    <w:right w:val="none" w:sz="0" w:space="0" w:color="auto"/>
                  </w:divBdr>
                  <w:divsChild>
                    <w:div w:id="20032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73966">
          <w:marLeft w:val="0"/>
          <w:marRight w:val="0"/>
          <w:marTop w:val="0"/>
          <w:marBottom w:val="0"/>
          <w:divBdr>
            <w:top w:val="none" w:sz="0" w:space="0" w:color="auto"/>
            <w:left w:val="none" w:sz="0" w:space="0" w:color="auto"/>
            <w:bottom w:val="none" w:sz="0" w:space="0" w:color="auto"/>
            <w:right w:val="none" w:sz="0" w:space="0" w:color="auto"/>
          </w:divBdr>
          <w:divsChild>
            <w:div w:id="4507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3231">
      <w:bodyDiv w:val="1"/>
      <w:marLeft w:val="0"/>
      <w:marRight w:val="0"/>
      <w:marTop w:val="0"/>
      <w:marBottom w:val="0"/>
      <w:divBdr>
        <w:top w:val="none" w:sz="0" w:space="0" w:color="auto"/>
        <w:left w:val="none" w:sz="0" w:space="0" w:color="auto"/>
        <w:bottom w:val="none" w:sz="0" w:space="0" w:color="auto"/>
        <w:right w:val="none" w:sz="0" w:space="0" w:color="auto"/>
      </w:divBdr>
    </w:div>
    <w:div w:id="1603681807">
      <w:bodyDiv w:val="1"/>
      <w:marLeft w:val="0"/>
      <w:marRight w:val="0"/>
      <w:marTop w:val="0"/>
      <w:marBottom w:val="0"/>
      <w:divBdr>
        <w:top w:val="none" w:sz="0" w:space="0" w:color="auto"/>
        <w:left w:val="none" w:sz="0" w:space="0" w:color="auto"/>
        <w:bottom w:val="none" w:sz="0" w:space="0" w:color="auto"/>
        <w:right w:val="none" w:sz="0" w:space="0" w:color="auto"/>
      </w:divBdr>
      <w:divsChild>
        <w:div w:id="501165234">
          <w:marLeft w:val="0"/>
          <w:marRight w:val="0"/>
          <w:marTop w:val="0"/>
          <w:marBottom w:val="0"/>
          <w:divBdr>
            <w:top w:val="none" w:sz="0" w:space="0" w:color="auto"/>
            <w:left w:val="none" w:sz="0" w:space="0" w:color="auto"/>
            <w:bottom w:val="none" w:sz="0" w:space="0" w:color="auto"/>
            <w:right w:val="none" w:sz="0" w:space="0" w:color="auto"/>
          </w:divBdr>
        </w:div>
        <w:div w:id="890075600">
          <w:marLeft w:val="0"/>
          <w:marRight w:val="0"/>
          <w:marTop w:val="0"/>
          <w:marBottom w:val="0"/>
          <w:divBdr>
            <w:top w:val="none" w:sz="0" w:space="0" w:color="auto"/>
            <w:left w:val="none" w:sz="0" w:space="0" w:color="auto"/>
            <w:bottom w:val="none" w:sz="0" w:space="0" w:color="auto"/>
            <w:right w:val="none" w:sz="0" w:space="0" w:color="auto"/>
          </w:divBdr>
        </w:div>
        <w:div w:id="1759788808">
          <w:marLeft w:val="0"/>
          <w:marRight w:val="0"/>
          <w:marTop w:val="0"/>
          <w:marBottom w:val="0"/>
          <w:divBdr>
            <w:top w:val="none" w:sz="0" w:space="0" w:color="auto"/>
            <w:left w:val="none" w:sz="0" w:space="0" w:color="auto"/>
            <w:bottom w:val="none" w:sz="0" w:space="0" w:color="auto"/>
            <w:right w:val="none" w:sz="0" w:space="0" w:color="auto"/>
          </w:divBdr>
        </w:div>
      </w:divsChild>
    </w:div>
    <w:div w:id="1604262601">
      <w:bodyDiv w:val="1"/>
      <w:marLeft w:val="0"/>
      <w:marRight w:val="0"/>
      <w:marTop w:val="0"/>
      <w:marBottom w:val="0"/>
      <w:divBdr>
        <w:top w:val="none" w:sz="0" w:space="0" w:color="auto"/>
        <w:left w:val="none" w:sz="0" w:space="0" w:color="auto"/>
        <w:bottom w:val="none" w:sz="0" w:space="0" w:color="auto"/>
        <w:right w:val="none" w:sz="0" w:space="0" w:color="auto"/>
      </w:divBdr>
    </w:div>
    <w:div w:id="1621647517">
      <w:bodyDiv w:val="1"/>
      <w:marLeft w:val="0"/>
      <w:marRight w:val="0"/>
      <w:marTop w:val="0"/>
      <w:marBottom w:val="0"/>
      <w:divBdr>
        <w:top w:val="none" w:sz="0" w:space="0" w:color="auto"/>
        <w:left w:val="none" w:sz="0" w:space="0" w:color="auto"/>
        <w:bottom w:val="none" w:sz="0" w:space="0" w:color="auto"/>
        <w:right w:val="none" w:sz="0" w:space="0" w:color="auto"/>
      </w:divBdr>
    </w:div>
    <w:div w:id="1624269411">
      <w:bodyDiv w:val="1"/>
      <w:marLeft w:val="0"/>
      <w:marRight w:val="0"/>
      <w:marTop w:val="0"/>
      <w:marBottom w:val="0"/>
      <w:divBdr>
        <w:top w:val="none" w:sz="0" w:space="0" w:color="auto"/>
        <w:left w:val="none" w:sz="0" w:space="0" w:color="auto"/>
        <w:bottom w:val="none" w:sz="0" w:space="0" w:color="auto"/>
        <w:right w:val="none" w:sz="0" w:space="0" w:color="auto"/>
      </w:divBdr>
    </w:div>
    <w:div w:id="1670597454">
      <w:bodyDiv w:val="1"/>
      <w:marLeft w:val="0"/>
      <w:marRight w:val="0"/>
      <w:marTop w:val="0"/>
      <w:marBottom w:val="0"/>
      <w:divBdr>
        <w:top w:val="none" w:sz="0" w:space="0" w:color="auto"/>
        <w:left w:val="none" w:sz="0" w:space="0" w:color="auto"/>
        <w:bottom w:val="none" w:sz="0" w:space="0" w:color="auto"/>
        <w:right w:val="none" w:sz="0" w:space="0" w:color="auto"/>
      </w:divBdr>
    </w:div>
    <w:div w:id="1690326696">
      <w:bodyDiv w:val="1"/>
      <w:marLeft w:val="0"/>
      <w:marRight w:val="0"/>
      <w:marTop w:val="0"/>
      <w:marBottom w:val="0"/>
      <w:divBdr>
        <w:top w:val="none" w:sz="0" w:space="0" w:color="auto"/>
        <w:left w:val="none" w:sz="0" w:space="0" w:color="auto"/>
        <w:bottom w:val="none" w:sz="0" w:space="0" w:color="auto"/>
        <w:right w:val="none" w:sz="0" w:space="0" w:color="auto"/>
      </w:divBdr>
    </w:div>
    <w:div w:id="1698770133">
      <w:bodyDiv w:val="1"/>
      <w:marLeft w:val="0"/>
      <w:marRight w:val="0"/>
      <w:marTop w:val="0"/>
      <w:marBottom w:val="0"/>
      <w:divBdr>
        <w:top w:val="none" w:sz="0" w:space="0" w:color="auto"/>
        <w:left w:val="none" w:sz="0" w:space="0" w:color="auto"/>
        <w:bottom w:val="none" w:sz="0" w:space="0" w:color="auto"/>
        <w:right w:val="none" w:sz="0" w:space="0" w:color="auto"/>
      </w:divBdr>
      <w:divsChild>
        <w:div w:id="11500305">
          <w:marLeft w:val="0"/>
          <w:marRight w:val="0"/>
          <w:marTop w:val="0"/>
          <w:marBottom w:val="0"/>
          <w:divBdr>
            <w:top w:val="none" w:sz="0" w:space="0" w:color="auto"/>
            <w:left w:val="none" w:sz="0" w:space="0" w:color="auto"/>
            <w:bottom w:val="none" w:sz="0" w:space="0" w:color="auto"/>
            <w:right w:val="none" w:sz="0" w:space="0" w:color="auto"/>
          </w:divBdr>
        </w:div>
        <w:div w:id="188956298">
          <w:marLeft w:val="0"/>
          <w:marRight w:val="0"/>
          <w:marTop w:val="0"/>
          <w:marBottom w:val="0"/>
          <w:divBdr>
            <w:top w:val="none" w:sz="0" w:space="0" w:color="auto"/>
            <w:left w:val="none" w:sz="0" w:space="0" w:color="auto"/>
            <w:bottom w:val="none" w:sz="0" w:space="0" w:color="auto"/>
            <w:right w:val="none" w:sz="0" w:space="0" w:color="auto"/>
          </w:divBdr>
        </w:div>
        <w:div w:id="1623802047">
          <w:marLeft w:val="0"/>
          <w:marRight w:val="0"/>
          <w:marTop w:val="0"/>
          <w:marBottom w:val="0"/>
          <w:divBdr>
            <w:top w:val="none" w:sz="0" w:space="0" w:color="auto"/>
            <w:left w:val="none" w:sz="0" w:space="0" w:color="auto"/>
            <w:bottom w:val="none" w:sz="0" w:space="0" w:color="auto"/>
            <w:right w:val="none" w:sz="0" w:space="0" w:color="auto"/>
          </w:divBdr>
        </w:div>
        <w:div w:id="1631747848">
          <w:marLeft w:val="0"/>
          <w:marRight w:val="0"/>
          <w:marTop w:val="0"/>
          <w:marBottom w:val="0"/>
          <w:divBdr>
            <w:top w:val="none" w:sz="0" w:space="0" w:color="auto"/>
            <w:left w:val="none" w:sz="0" w:space="0" w:color="auto"/>
            <w:bottom w:val="none" w:sz="0" w:space="0" w:color="auto"/>
            <w:right w:val="none" w:sz="0" w:space="0" w:color="auto"/>
          </w:divBdr>
        </w:div>
        <w:div w:id="1668705197">
          <w:marLeft w:val="0"/>
          <w:marRight w:val="0"/>
          <w:marTop w:val="0"/>
          <w:marBottom w:val="0"/>
          <w:divBdr>
            <w:top w:val="none" w:sz="0" w:space="0" w:color="auto"/>
            <w:left w:val="none" w:sz="0" w:space="0" w:color="auto"/>
            <w:bottom w:val="none" w:sz="0" w:space="0" w:color="auto"/>
            <w:right w:val="none" w:sz="0" w:space="0" w:color="auto"/>
          </w:divBdr>
        </w:div>
      </w:divsChild>
    </w:div>
    <w:div w:id="1706786735">
      <w:bodyDiv w:val="1"/>
      <w:marLeft w:val="0"/>
      <w:marRight w:val="0"/>
      <w:marTop w:val="0"/>
      <w:marBottom w:val="0"/>
      <w:divBdr>
        <w:top w:val="none" w:sz="0" w:space="0" w:color="auto"/>
        <w:left w:val="none" w:sz="0" w:space="0" w:color="auto"/>
        <w:bottom w:val="none" w:sz="0" w:space="0" w:color="auto"/>
        <w:right w:val="none" w:sz="0" w:space="0" w:color="auto"/>
      </w:divBdr>
    </w:div>
    <w:div w:id="1707946787">
      <w:bodyDiv w:val="1"/>
      <w:marLeft w:val="0"/>
      <w:marRight w:val="0"/>
      <w:marTop w:val="0"/>
      <w:marBottom w:val="0"/>
      <w:divBdr>
        <w:top w:val="none" w:sz="0" w:space="0" w:color="auto"/>
        <w:left w:val="none" w:sz="0" w:space="0" w:color="auto"/>
        <w:bottom w:val="none" w:sz="0" w:space="0" w:color="auto"/>
        <w:right w:val="none" w:sz="0" w:space="0" w:color="auto"/>
      </w:divBdr>
    </w:div>
    <w:div w:id="1715278216">
      <w:bodyDiv w:val="1"/>
      <w:marLeft w:val="0"/>
      <w:marRight w:val="0"/>
      <w:marTop w:val="0"/>
      <w:marBottom w:val="0"/>
      <w:divBdr>
        <w:top w:val="none" w:sz="0" w:space="0" w:color="auto"/>
        <w:left w:val="none" w:sz="0" w:space="0" w:color="auto"/>
        <w:bottom w:val="none" w:sz="0" w:space="0" w:color="auto"/>
        <w:right w:val="none" w:sz="0" w:space="0" w:color="auto"/>
      </w:divBdr>
      <w:divsChild>
        <w:div w:id="365525440">
          <w:marLeft w:val="0"/>
          <w:marRight w:val="0"/>
          <w:marTop w:val="0"/>
          <w:marBottom w:val="0"/>
          <w:divBdr>
            <w:top w:val="none" w:sz="0" w:space="0" w:color="auto"/>
            <w:left w:val="none" w:sz="0" w:space="0" w:color="auto"/>
            <w:bottom w:val="none" w:sz="0" w:space="0" w:color="auto"/>
            <w:right w:val="none" w:sz="0" w:space="0" w:color="auto"/>
          </w:divBdr>
        </w:div>
        <w:div w:id="919101427">
          <w:marLeft w:val="0"/>
          <w:marRight w:val="0"/>
          <w:marTop w:val="0"/>
          <w:marBottom w:val="0"/>
          <w:divBdr>
            <w:top w:val="none" w:sz="0" w:space="0" w:color="auto"/>
            <w:left w:val="none" w:sz="0" w:space="0" w:color="auto"/>
            <w:bottom w:val="none" w:sz="0" w:space="0" w:color="auto"/>
            <w:right w:val="none" w:sz="0" w:space="0" w:color="auto"/>
          </w:divBdr>
        </w:div>
        <w:div w:id="1954558864">
          <w:marLeft w:val="0"/>
          <w:marRight w:val="0"/>
          <w:marTop w:val="0"/>
          <w:marBottom w:val="0"/>
          <w:divBdr>
            <w:top w:val="none" w:sz="0" w:space="0" w:color="auto"/>
            <w:left w:val="none" w:sz="0" w:space="0" w:color="auto"/>
            <w:bottom w:val="none" w:sz="0" w:space="0" w:color="auto"/>
            <w:right w:val="none" w:sz="0" w:space="0" w:color="auto"/>
          </w:divBdr>
        </w:div>
        <w:div w:id="2005863408">
          <w:marLeft w:val="0"/>
          <w:marRight w:val="0"/>
          <w:marTop w:val="0"/>
          <w:marBottom w:val="0"/>
          <w:divBdr>
            <w:top w:val="none" w:sz="0" w:space="0" w:color="auto"/>
            <w:left w:val="none" w:sz="0" w:space="0" w:color="auto"/>
            <w:bottom w:val="none" w:sz="0" w:space="0" w:color="auto"/>
            <w:right w:val="none" w:sz="0" w:space="0" w:color="auto"/>
          </w:divBdr>
        </w:div>
        <w:div w:id="2027175016">
          <w:marLeft w:val="0"/>
          <w:marRight w:val="0"/>
          <w:marTop w:val="0"/>
          <w:marBottom w:val="0"/>
          <w:divBdr>
            <w:top w:val="none" w:sz="0" w:space="0" w:color="auto"/>
            <w:left w:val="none" w:sz="0" w:space="0" w:color="auto"/>
            <w:bottom w:val="none" w:sz="0" w:space="0" w:color="auto"/>
            <w:right w:val="none" w:sz="0" w:space="0" w:color="auto"/>
          </w:divBdr>
        </w:div>
      </w:divsChild>
    </w:div>
    <w:div w:id="1732999172">
      <w:bodyDiv w:val="1"/>
      <w:marLeft w:val="0"/>
      <w:marRight w:val="0"/>
      <w:marTop w:val="0"/>
      <w:marBottom w:val="0"/>
      <w:divBdr>
        <w:top w:val="none" w:sz="0" w:space="0" w:color="auto"/>
        <w:left w:val="none" w:sz="0" w:space="0" w:color="auto"/>
        <w:bottom w:val="none" w:sz="0" w:space="0" w:color="auto"/>
        <w:right w:val="none" w:sz="0" w:space="0" w:color="auto"/>
      </w:divBdr>
    </w:div>
    <w:div w:id="1756704428">
      <w:bodyDiv w:val="1"/>
      <w:marLeft w:val="0"/>
      <w:marRight w:val="0"/>
      <w:marTop w:val="0"/>
      <w:marBottom w:val="0"/>
      <w:divBdr>
        <w:top w:val="none" w:sz="0" w:space="0" w:color="auto"/>
        <w:left w:val="none" w:sz="0" w:space="0" w:color="auto"/>
        <w:bottom w:val="none" w:sz="0" w:space="0" w:color="auto"/>
        <w:right w:val="none" w:sz="0" w:space="0" w:color="auto"/>
      </w:divBdr>
    </w:div>
    <w:div w:id="1777600001">
      <w:bodyDiv w:val="1"/>
      <w:marLeft w:val="0"/>
      <w:marRight w:val="0"/>
      <w:marTop w:val="0"/>
      <w:marBottom w:val="0"/>
      <w:divBdr>
        <w:top w:val="none" w:sz="0" w:space="0" w:color="auto"/>
        <w:left w:val="none" w:sz="0" w:space="0" w:color="auto"/>
        <w:bottom w:val="none" w:sz="0" w:space="0" w:color="auto"/>
        <w:right w:val="none" w:sz="0" w:space="0" w:color="auto"/>
      </w:divBdr>
    </w:div>
    <w:div w:id="1797987912">
      <w:bodyDiv w:val="1"/>
      <w:marLeft w:val="0"/>
      <w:marRight w:val="0"/>
      <w:marTop w:val="0"/>
      <w:marBottom w:val="0"/>
      <w:divBdr>
        <w:top w:val="none" w:sz="0" w:space="0" w:color="auto"/>
        <w:left w:val="none" w:sz="0" w:space="0" w:color="auto"/>
        <w:bottom w:val="none" w:sz="0" w:space="0" w:color="auto"/>
        <w:right w:val="none" w:sz="0" w:space="0" w:color="auto"/>
      </w:divBdr>
    </w:div>
    <w:div w:id="1814591053">
      <w:bodyDiv w:val="1"/>
      <w:marLeft w:val="0"/>
      <w:marRight w:val="0"/>
      <w:marTop w:val="0"/>
      <w:marBottom w:val="0"/>
      <w:divBdr>
        <w:top w:val="none" w:sz="0" w:space="0" w:color="auto"/>
        <w:left w:val="none" w:sz="0" w:space="0" w:color="auto"/>
        <w:bottom w:val="none" w:sz="0" w:space="0" w:color="auto"/>
        <w:right w:val="none" w:sz="0" w:space="0" w:color="auto"/>
      </w:divBdr>
      <w:divsChild>
        <w:div w:id="198054919">
          <w:marLeft w:val="0"/>
          <w:marRight w:val="0"/>
          <w:marTop w:val="0"/>
          <w:marBottom w:val="0"/>
          <w:divBdr>
            <w:top w:val="none" w:sz="0" w:space="0" w:color="auto"/>
            <w:left w:val="none" w:sz="0" w:space="0" w:color="auto"/>
            <w:bottom w:val="none" w:sz="0" w:space="0" w:color="auto"/>
            <w:right w:val="none" w:sz="0" w:space="0" w:color="auto"/>
          </w:divBdr>
          <w:divsChild>
            <w:div w:id="1080952239">
              <w:marLeft w:val="0"/>
              <w:marRight w:val="0"/>
              <w:marTop w:val="0"/>
              <w:marBottom w:val="0"/>
              <w:divBdr>
                <w:top w:val="none" w:sz="0" w:space="0" w:color="auto"/>
                <w:left w:val="none" w:sz="0" w:space="0" w:color="auto"/>
                <w:bottom w:val="none" w:sz="0" w:space="0" w:color="auto"/>
                <w:right w:val="none" w:sz="0" w:space="0" w:color="auto"/>
              </w:divBdr>
            </w:div>
          </w:divsChild>
        </w:div>
        <w:div w:id="342438945">
          <w:marLeft w:val="0"/>
          <w:marRight w:val="0"/>
          <w:marTop w:val="0"/>
          <w:marBottom w:val="0"/>
          <w:divBdr>
            <w:top w:val="none" w:sz="0" w:space="0" w:color="auto"/>
            <w:left w:val="none" w:sz="0" w:space="0" w:color="auto"/>
            <w:bottom w:val="none" w:sz="0" w:space="0" w:color="auto"/>
            <w:right w:val="none" w:sz="0" w:space="0" w:color="auto"/>
          </w:divBdr>
          <w:divsChild>
            <w:div w:id="203761140">
              <w:marLeft w:val="0"/>
              <w:marRight w:val="0"/>
              <w:marTop w:val="0"/>
              <w:marBottom w:val="0"/>
              <w:divBdr>
                <w:top w:val="none" w:sz="0" w:space="0" w:color="auto"/>
                <w:left w:val="none" w:sz="0" w:space="0" w:color="auto"/>
                <w:bottom w:val="none" w:sz="0" w:space="0" w:color="auto"/>
                <w:right w:val="none" w:sz="0" w:space="0" w:color="auto"/>
              </w:divBdr>
            </w:div>
          </w:divsChild>
        </w:div>
        <w:div w:id="574821286">
          <w:marLeft w:val="0"/>
          <w:marRight w:val="0"/>
          <w:marTop w:val="0"/>
          <w:marBottom w:val="0"/>
          <w:divBdr>
            <w:top w:val="none" w:sz="0" w:space="0" w:color="auto"/>
            <w:left w:val="none" w:sz="0" w:space="0" w:color="auto"/>
            <w:bottom w:val="none" w:sz="0" w:space="0" w:color="auto"/>
            <w:right w:val="none" w:sz="0" w:space="0" w:color="auto"/>
          </w:divBdr>
          <w:divsChild>
            <w:div w:id="1192113477">
              <w:marLeft w:val="0"/>
              <w:marRight w:val="0"/>
              <w:marTop w:val="0"/>
              <w:marBottom w:val="0"/>
              <w:divBdr>
                <w:top w:val="none" w:sz="0" w:space="0" w:color="auto"/>
                <w:left w:val="none" w:sz="0" w:space="0" w:color="auto"/>
                <w:bottom w:val="none" w:sz="0" w:space="0" w:color="auto"/>
                <w:right w:val="none" w:sz="0" w:space="0" w:color="auto"/>
              </w:divBdr>
            </w:div>
          </w:divsChild>
        </w:div>
        <w:div w:id="587035177">
          <w:marLeft w:val="0"/>
          <w:marRight w:val="0"/>
          <w:marTop w:val="0"/>
          <w:marBottom w:val="0"/>
          <w:divBdr>
            <w:top w:val="none" w:sz="0" w:space="0" w:color="auto"/>
            <w:left w:val="none" w:sz="0" w:space="0" w:color="auto"/>
            <w:bottom w:val="none" w:sz="0" w:space="0" w:color="auto"/>
            <w:right w:val="none" w:sz="0" w:space="0" w:color="auto"/>
          </w:divBdr>
          <w:divsChild>
            <w:div w:id="1464541384">
              <w:marLeft w:val="0"/>
              <w:marRight w:val="0"/>
              <w:marTop w:val="0"/>
              <w:marBottom w:val="0"/>
              <w:divBdr>
                <w:top w:val="none" w:sz="0" w:space="0" w:color="auto"/>
                <w:left w:val="none" w:sz="0" w:space="0" w:color="auto"/>
                <w:bottom w:val="none" w:sz="0" w:space="0" w:color="auto"/>
                <w:right w:val="none" w:sz="0" w:space="0" w:color="auto"/>
              </w:divBdr>
            </w:div>
          </w:divsChild>
        </w:div>
        <w:div w:id="625354475">
          <w:marLeft w:val="0"/>
          <w:marRight w:val="0"/>
          <w:marTop w:val="0"/>
          <w:marBottom w:val="0"/>
          <w:divBdr>
            <w:top w:val="none" w:sz="0" w:space="0" w:color="auto"/>
            <w:left w:val="none" w:sz="0" w:space="0" w:color="auto"/>
            <w:bottom w:val="none" w:sz="0" w:space="0" w:color="auto"/>
            <w:right w:val="none" w:sz="0" w:space="0" w:color="auto"/>
          </w:divBdr>
          <w:divsChild>
            <w:div w:id="1373073664">
              <w:marLeft w:val="0"/>
              <w:marRight w:val="0"/>
              <w:marTop w:val="0"/>
              <w:marBottom w:val="0"/>
              <w:divBdr>
                <w:top w:val="none" w:sz="0" w:space="0" w:color="auto"/>
                <w:left w:val="none" w:sz="0" w:space="0" w:color="auto"/>
                <w:bottom w:val="none" w:sz="0" w:space="0" w:color="auto"/>
                <w:right w:val="none" w:sz="0" w:space="0" w:color="auto"/>
              </w:divBdr>
            </w:div>
          </w:divsChild>
        </w:div>
        <w:div w:id="674381029">
          <w:marLeft w:val="0"/>
          <w:marRight w:val="0"/>
          <w:marTop w:val="0"/>
          <w:marBottom w:val="0"/>
          <w:divBdr>
            <w:top w:val="none" w:sz="0" w:space="0" w:color="auto"/>
            <w:left w:val="none" w:sz="0" w:space="0" w:color="auto"/>
            <w:bottom w:val="none" w:sz="0" w:space="0" w:color="auto"/>
            <w:right w:val="none" w:sz="0" w:space="0" w:color="auto"/>
          </w:divBdr>
          <w:divsChild>
            <w:div w:id="1799448224">
              <w:marLeft w:val="0"/>
              <w:marRight w:val="0"/>
              <w:marTop w:val="0"/>
              <w:marBottom w:val="0"/>
              <w:divBdr>
                <w:top w:val="none" w:sz="0" w:space="0" w:color="auto"/>
                <w:left w:val="none" w:sz="0" w:space="0" w:color="auto"/>
                <w:bottom w:val="none" w:sz="0" w:space="0" w:color="auto"/>
                <w:right w:val="none" w:sz="0" w:space="0" w:color="auto"/>
              </w:divBdr>
            </w:div>
          </w:divsChild>
        </w:div>
        <w:div w:id="737020799">
          <w:marLeft w:val="0"/>
          <w:marRight w:val="0"/>
          <w:marTop w:val="0"/>
          <w:marBottom w:val="0"/>
          <w:divBdr>
            <w:top w:val="none" w:sz="0" w:space="0" w:color="auto"/>
            <w:left w:val="none" w:sz="0" w:space="0" w:color="auto"/>
            <w:bottom w:val="none" w:sz="0" w:space="0" w:color="auto"/>
            <w:right w:val="none" w:sz="0" w:space="0" w:color="auto"/>
          </w:divBdr>
          <w:divsChild>
            <w:div w:id="1647663715">
              <w:marLeft w:val="0"/>
              <w:marRight w:val="0"/>
              <w:marTop w:val="0"/>
              <w:marBottom w:val="0"/>
              <w:divBdr>
                <w:top w:val="none" w:sz="0" w:space="0" w:color="auto"/>
                <w:left w:val="none" w:sz="0" w:space="0" w:color="auto"/>
                <w:bottom w:val="none" w:sz="0" w:space="0" w:color="auto"/>
                <w:right w:val="none" w:sz="0" w:space="0" w:color="auto"/>
              </w:divBdr>
            </w:div>
          </w:divsChild>
        </w:div>
        <w:div w:id="1295864921">
          <w:marLeft w:val="0"/>
          <w:marRight w:val="0"/>
          <w:marTop w:val="0"/>
          <w:marBottom w:val="0"/>
          <w:divBdr>
            <w:top w:val="none" w:sz="0" w:space="0" w:color="auto"/>
            <w:left w:val="none" w:sz="0" w:space="0" w:color="auto"/>
            <w:bottom w:val="none" w:sz="0" w:space="0" w:color="auto"/>
            <w:right w:val="none" w:sz="0" w:space="0" w:color="auto"/>
          </w:divBdr>
          <w:divsChild>
            <w:div w:id="1559322039">
              <w:marLeft w:val="0"/>
              <w:marRight w:val="0"/>
              <w:marTop w:val="0"/>
              <w:marBottom w:val="0"/>
              <w:divBdr>
                <w:top w:val="none" w:sz="0" w:space="0" w:color="auto"/>
                <w:left w:val="none" w:sz="0" w:space="0" w:color="auto"/>
                <w:bottom w:val="none" w:sz="0" w:space="0" w:color="auto"/>
                <w:right w:val="none" w:sz="0" w:space="0" w:color="auto"/>
              </w:divBdr>
            </w:div>
          </w:divsChild>
        </w:div>
        <w:div w:id="1425228667">
          <w:marLeft w:val="0"/>
          <w:marRight w:val="0"/>
          <w:marTop w:val="0"/>
          <w:marBottom w:val="0"/>
          <w:divBdr>
            <w:top w:val="none" w:sz="0" w:space="0" w:color="auto"/>
            <w:left w:val="none" w:sz="0" w:space="0" w:color="auto"/>
            <w:bottom w:val="none" w:sz="0" w:space="0" w:color="auto"/>
            <w:right w:val="none" w:sz="0" w:space="0" w:color="auto"/>
          </w:divBdr>
          <w:divsChild>
            <w:div w:id="990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2365">
      <w:bodyDiv w:val="1"/>
      <w:marLeft w:val="0"/>
      <w:marRight w:val="0"/>
      <w:marTop w:val="0"/>
      <w:marBottom w:val="0"/>
      <w:divBdr>
        <w:top w:val="none" w:sz="0" w:space="0" w:color="auto"/>
        <w:left w:val="none" w:sz="0" w:space="0" w:color="auto"/>
        <w:bottom w:val="none" w:sz="0" w:space="0" w:color="auto"/>
        <w:right w:val="none" w:sz="0" w:space="0" w:color="auto"/>
      </w:divBdr>
    </w:div>
    <w:div w:id="1901667063">
      <w:bodyDiv w:val="1"/>
      <w:marLeft w:val="0"/>
      <w:marRight w:val="0"/>
      <w:marTop w:val="0"/>
      <w:marBottom w:val="0"/>
      <w:divBdr>
        <w:top w:val="none" w:sz="0" w:space="0" w:color="auto"/>
        <w:left w:val="none" w:sz="0" w:space="0" w:color="auto"/>
        <w:bottom w:val="none" w:sz="0" w:space="0" w:color="auto"/>
        <w:right w:val="none" w:sz="0" w:space="0" w:color="auto"/>
      </w:divBdr>
      <w:divsChild>
        <w:div w:id="322779723">
          <w:marLeft w:val="0"/>
          <w:marRight w:val="0"/>
          <w:marTop w:val="0"/>
          <w:marBottom w:val="0"/>
          <w:divBdr>
            <w:top w:val="none" w:sz="0" w:space="0" w:color="auto"/>
            <w:left w:val="none" w:sz="0" w:space="0" w:color="auto"/>
            <w:bottom w:val="none" w:sz="0" w:space="0" w:color="auto"/>
            <w:right w:val="none" w:sz="0" w:space="0" w:color="auto"/>
          </w:divBdr>
        </w:div>
        <w:div w:id="626088438">
          <w:marLeft w:val="0"/>
          <w:marRight w:val="0"/>
          <w:marTop w:val="0"/>
          <w:marBottom w:val="0"/>
          <w:divBdr>
            <w:top w:val="none" w:sz="0" w:space="0" w:color="auto"/>
            <w:left w:val="none" w:sz="0" w:space="0" w:color="auto"/>
            <w:bottom w:val="none" w:sz="0" w:space="0" w:color="auto"/>
            <w:right w:val="none" w:sz="0" w:space="0" w:color="auto"/>
          </w:divBdr>
        </w:div>
        <w:div w:id="902065924">
          <w:marLeft w:val="0"/>
          <w:marRight w:val="0"/>
          <w:marTop w:val="0"/>
          <w:marBottom w:val="0"/>
          <w:divBdr>
            <w:top w:val="none" w:sz="0" w:space="0" w:color="auto"/>
            <w:left w:val="none" w:sz="0" w:space="0" w:color="auto"/>
            <w:bottom w:val="none" w:sz="0" w:space="0" w:color="auto"/>
            <w:right w:val="none" w:sz="0" w:space="0" w:color="auto"/>
          </w:divBdr>
        </w:div>
        <w:div w:id="1640379589">
          <w:marLeft w:val="0"/>
          <w:marRight w:val="0"/>
          <w:marTop w:val="0"/>
          <w:marBottom w:val="0"/>
          <w:divBdr>
            <w:top w:val="none" w:sz="0" w:space="0" w:color="auto"/>
            <w:left w:val="none" w:sz="0" w:space="0" w:color="auto"/>
            <w:bottom w:val="none" w:sz="0" w:space="0" w:color="auto"/>
            <w:right w:val="none" w:sz="0" w:space="0" w:color="auto"/>
          </w:divBdr>
        </w:div>
        <w:div w:id="2078895290">
          <w:marLeft w:val="0"/>
          <w:marRight w:val="0"/>
          <w:marTop w:val="0"/>
          <w:marBottom w:val="0"/>
          <w:divBdr>
            <w:top w:val="none" w:sz="0" w:space="0" w:color="auto"/>
            <w:left w:val="none" w:sz="0" w:space="0" w:color="auto"/>
            <w:bottom w:val="none" w:sz="0" w:space="0" w:color="auto"/>
            <w:right w:val="none" w:sz="0" w:space="0" w:color="auto"/>
          </w:divBdr>
        </w:div>
      </w:divsChild>
    </w:div>
    <w:div w:id="1921139225">
      <w:bodyDiv w:val="1"/>
      <w:marLeft w:val="0"/>
      <w:marRight w:val="0"/>
      <w:marTop w:val="0"/>
      <w:marBottom w:val="0"/>
      <w:divBdr>
        <w:top w:val="none" w:sz="0" w:space="0" w:color="auto"/>
        <w:left w:val="none" w:sz="0" w:space="0" w:color="auto"/>
        <w:bottom w:val="none" w:sz="0" w:space="0" w:color="auto"/>
        <w:right w:val="none" w:sz="0" w:space="0" w:color="auto"/>
      </w:divBdr>
    </w:div>
    <w:div w:id="1933657589">
      <w:bodyDiv w:val="1"/>
      <w:marLeft w:val="0"/>
      <w:marRight w:val="0"/>
      <w:marTop w:val="0"/>
      <w:marBottom w:val="0"/>
      <w:divBdr>
        <w:top w:val="none" w:sz="0" w:space="0" w:color="auto"/>
        <w:left w:val="none" w:sz="0" w:space="0" w:color="auto"/>
        <w:bottom w:val="none" w:sz="0" w:space="0" w:color="auto"/>
        <w:right w:val="none" w:sz="0" w:space="0" w:color="auto"/>
      </w:divBdr>
    </w:div>
    <w:div w:id="1941789175">
      <w:bodyDiv w:val="1"/>
      <w:marLeft w:val="0"/>
      <w:marRight w:val="0"/>
      <w:marTop w:val="0"/>
      <w:marBottom w:val="0"/>
      <w:divBdr>
        <w:top w:val="none" w:sz="0" w:space="0" w:color="auto"/>
        <w:left w:val="none" w:sz="0" w:space="0" w:color="auto"/>
        <w:bottom w:val="none" w:sz="0" w:space="0" w:color="auto"/>
        <w:right w:val="none" w:sz="0" w:space="0" w:color="auto"/>
      </w:divBdr>
    </w:div>
    <w:div w:id="1953202153">
      <w:bodyDiv w:val="1"/>
      <w:marLeft w:val="0"/>
      <w:marRight w:val="0"/>
      <w:marTop w:val="0"/>
      <w:marBottom w:val="0"/>
      <w:divBdr>
        <w:top w:val="none" w:sz="0" w:space="0" w:color="auto"/>
        <w:left w:val="none" w:sz="0" w:space="0" w:color="auto"/>
        <w:bottom w:val="none" w:sz="0" w:space="0" w:color="auto"/>
        <w:right w:val="none" w:sz="0" w:space="0" w:color="auto"/>
      </w:divBdr>
    </w:div>
    <w:div w:id="1963069566">
      <w:bodyDiv w:val="1"/>
      <w:marLeft w:val="0"/>
      <w:marRight w:val="0"/>
      <w:marTop w:val="0"/>
      <w:marBottom w:val="0"/>
      <w:divBdr>
        <w:top w:val="none" w:sz="0" w:space="0" w:color="auto"/>
        <w:left w:val="none" w:sz="0" w:space="0" w:color="auto"/>
        <w:bottom w:val="none" w:sz="0" w:space="0" w:color="auto"/>
        <w:right w:val="none" w:sz="0" w:space="0" w:color="auto"/>
      </w:divBdr>
    </w:div>
    <w:div w:id="1989363733">
      <w:bodyDiv w:val="1"/>
      <w:marLeft w:val="0"/>
      <w:marRight w:val="0"/>
      <w:marTop w:val="0"/>
      <w:marBottom w:val="0"/>
      <w:divBdr>
        <w:top w:val="none" w:sz="0" w:space="0" w:color="auto"/>
        <w:left w:val="none" w:sz="0" w:space="0" w:color="auto"/>
        <w:bottom w:val="none" w:sz="0" w:space="0" w:color="auto"/>
        <w:right w:val="none" w:sz="0" w:space="0" w:color="auto"/>
      </w:divBdr>
    </w:div>
    <w:div w:id="1991712183">
      <w:bodyDiv w:val="1"/>
      <w:marLeft w:val="0"/>
      <w:marRight w:val="0"/>
      <w:marTop w:val="0"/>
      <w:marBottom w:val="0"/>
      <w:divBdr>
        <w:top w:val="none" w:sz="0" w:space="0" w:color="auto"/>
        <w:left w:val="none" w:sz="0" w:space="0" w:color="auto"/>
        <w:bottom w:val="none" w:sz="0" w:space="0" w:color="auto"/>
        <w:right w:val="none" w:sz="0" w:space="0" w:color="auto"/>
      </w:divBdr>
    </w:div>
    <w:div w:id="2000963820">
      <w:bodyDiv w:val="1"/>
      <w:marLeft w:val="0"/>
      <w:marRight w:val="0"/>
      <w:marTop w:val="0"/>
      <w:marBottom w:val="0"/>
      <w:divBdr>
        <w:top w:val="none" w:sz="0" w:space="0" w:color="auto"/>
        <w:left w:val="none" w:sz="0" w:space="0" w:color="auto"/>
        <w:bottom w:val="none" w:sz="0" w:space="0" w:color="auto"/>
        <w:right w:val="none" w:sz="0" w:space="0" w:color="auto"/>
      </w:divBdr>
      <w:divsChild>
        <w:div w:id="394935964">
          <w:marLeft w:val="0"/>
          <w:marRight w:val="0"/>
          <w:marTop w:val="0"/>
          <w:marBottom w:val="0"/>
          <w:divBdr>
            <w:top w:val="none" w:sz="0" w:space="0" w:color="auto"/>
            <w:left w:val="none" w:sz="0" w:space="0" w:color="auto"/>
            <w:bottom w:val="none" w:sz="0" w:space="0" w:color="auto"/>
            <w:right w:val="none" w:sz="0" w:space="0" w:color="auto"/>
          </w:divBdr>
        </w:div>
        <w:div w:id="482356980">
          <w:marLeft w:val="0"/>
          <w:marRight w:val="0"/>
          <w:marTop w:val="0"/>
          <w:marBottom w:val="0"/>
          <w:divBdr>
            <w:top w:val="none" w:sz="0" w:space="0" w:color="auto"/>
            <w:left w:val="none" w:sz="0" w:space="0" w:color="auto"/>
            <w:bottom w:val="none" w:sz="0" w:space="0" w:color="auto"/>
            <w:right w:val="none" w:sz="0" w:space="0" w:color="auto"/>
          </w:divBdr>
        </w:div>
        <w:div w:id="815218504">
          <w:marLeft w:val="0"/>
          <w:marRight w:val="0"/>
          <w:marTop w:val="0"/>
          <w:marBottom w:val="0"/>
          <w:divBdr>
            <w:top w:val="none" w:sz="0" w:space="0" w:color="auto"/>
            <w:left w:val="none" w:sz="0" w:space="0" w:color="auto"/>
            <w:bottom w:val="none" w:sz="0" w:space="0" w:color="auto"/>
            <w:right w:val="none" w:sz="0" w:space="0" w:color="auto"/>
          </w:divBdr>
        </w:div>
        <w:div w:id="1266498422">
          <w:marLeft w:val="0"/>
          <w:marRight w:val="0"/>
          <w:marTop w:val="0"/>
          <w:marBottom w:val="0"/>
          <w:divBdr>
            <w:top w:val="none" w:sz="0" w:space="0" w:color="auto"/>
            <w:left w:val="none" w:sz="0" w:space="0" w:color="auto"/>
            <w:bottom w:val="none" w:sz="0" w:space="0" w:color="auto"/>
            <w:right w:val="none" w:sz="0" w:space="0" w:color="auto"/>
          </w:divBdr>
        </w:div>
        <w:div w:id="1332488073">
          <w:marLeft w:val="0"/>
          <w:marRight w:val="0"/>
          <w:marTop w:val="0"/>
          <w:marBottom w:val="0"/>
          <w:divBdr>
            <w:top w:val="none" w:sz="0" w:space="0" w:color="auto"/>
            <w:left w:val="none" w:sz="0" w:space="0" w:color="auto"/>
            <w:bottom w:val="none" w:sz="0" w:space="0" w:color="auto"/>
            <w:right w:val="none" w:sz="0" w:space="0" w:color="auto"/>
          </w:divBdr>
        </w:div>
        <w:div w:id="1417289450">
          <w:marLeft w:val="0"/>
          <w:marRight w:val="0"/>
          <w:marTop w:val="0"/>
          <w:marBottom w:val="0"/>
          <w:divBdr>
            <w:top w:val="none" w:sz="0" w:space="0" w:color="auto"/>
            <w:left w:val="none" w:sz="0" w:space="0" w:color="auto"/>
            <w:bottom w:val="none" w:sz="0" w:space="0" w:color="auto"/>
            <w:right w:val="none" w:sz="0" w:space="0" w:color="auto"/>
          </w:divBdr>
        </w:div>
        <w:div w:id="1662587210">
          <w:marLeft w:val="0"/>
          <w:marRight w:val="0"/>
          <w:marTop w:val="0"/>
          <w:marBottom w:val="0"/>
          <w:divBdr>
            <w:top w:val="none" w:sz="0" w:space="0" w:color="auto"/>
            <w:left w:val="none" w:sz="0" w:space="0" w:color="auto"/>
            <w:bottom w:val="none" w:sz="0" w:space="0" w:color="auto"/>
            <w:right w:val="none" w:sz="0" w:space="0" w:color="auto"/>
          </w:divBdr>
        </w:div>
      </w:divsChild>
    </w:div>
    <w:div w:id="2025014479">
      <w:bodyDiv w:val="1"/>
      <w:marLeft w:val="0"/>
      <w:marRight w:val="0"/>
      <w:marTop w:val="0"/>
      <w:marBottom w:val="0"/>
      <w:divBdr>
        <w:top w:val="none" w:sz="0" w:space="0" w:color="auto"/>
        <w:left w:val="none" w:sz="0" w:space="0" w:color="auto"/>
        <w:bottom w:val="none" w:sz="0" w:space="0" w:color="auto"/>
        <w:right w:val="none" w:sz="0" w:space="0" w:color="auto"/>
      </w:divBdr>
    </w:div>
    <w:div w:id="2051567729">
      <w:bodyDiv w:val="1"/>
      <w:marLeft w:val="0"/>
      <w:marRight w:val="0"/>
      <w:marTop w:val="0"/>
      <w:marBottom w:val="0"/>
      <w:divBdr>
        <w:top w:val="none" w:sz="0" w:space="0" w:color="auto"/>
        <w:left w:val="none" w:sz="0" w:space="0" w:color="auto"/>
        <w:bottom w:val="none" w:sz="0" w:space="0" w:color="auto"/>
        <w:right w:val="none" w:sz="0" w:space="0" w:color="auto"/>
      </w:divBdr>
    </w:div>
    <w:div w:id="2055426606">
      <w:bodyDiv w:val="1"/>
      <w:marLeft w:val="0"/>
      <w:marRight w:val="0"/>
      <w:marTop w:val="0"/>
      <w:marBottom w:val="0"/>
      <w:divBdr>
        <w:top w:val="none" w:sz="0" w:space="0" w:color="auto"/>
        <w:left w:val="none" w:sz="0" w:space="0" w:color="auto"/>
        <w:bottom w:val="none" w:sz="0" w:space="0" w:color="auto"/>
        <w:right w:val="none" w:sz="0" w:space="0" w:color="auto"/>
      </w:divBdr>
    </w:div>
    <w:div w:id="2092850018">
      <w:bodyDiv w:val="1"/>
      <w:marLeft w:val="0"/>
      <w:marRight w:val="0"/>
      <w:marTop w:val="0"/>
      <w:marBottom w:val="0"/>
      <w:divBdr>
        <w:top w:val="none" w:sz="0" w:space="0" w:color="auto"/>
        <w:left w:val="none" w:sz="0" w:space="0" w:color="auto"/>
        <w:bottom w:val="none" w:sz="0" w:space="0" w:color="auto"/>
        <w:right w:val="none" w:sz="0" w:space="0" w:color="auto"/>
      </w:divBdr>
    </w:div>
    <w:div w:id="2097557561">
      <w:bodyDiv w:val="1"/>
      <w:marLeft w:val="0"/>
      <w:marRight w:val="0"/>
      <w:marTop w:val="0"/>
      <w:marBottom w:val="0"/>
      <w:divBdr>
        <w:top w:val="none" w:sz="0" w:space="0" w:color="auto"/>
        <w:left w:val="none" w:sz="0" w:space="0" w:color="auto"/>
        <w:bottom w:val="none" w:sz="0" w:space="0" w:color="auto"/>
        <w:right w:val="none" w:sz="0" w:space="0" w:color="auto"/>
      </w:divBdr>
    </w:div>
    <w:div w:id="2109541552">
      <w:bodyDiv w:val="1"/>
      <w:marLeft w:val="0"/>
      <w:marRight w:val="0"/>
      <w:marTop w:val="0"/>
      <w:marBottom w:val="0"/>
      <w:divBdr>
        <w:top w:val="none" w:sz="0" w:space="0" w:color="auto"/>
        <w:left w:val="none" w:sz="0" w:space="0" w:color="auto"/>
        <w:bottom w:val="none" w:sz="0" w:space="0" w:color="auto"/>
        <w:right w:val="none" w:sz="0" w:space="0" w:color="auto"/>
      </w:divBdr>
    </w:div>
    <w:div w:id="2132550491">
      <w:bodyDiv w:val="1"/>
      <w:marLeft w:val="0"/>
      <w:marRight w:val="0"/>
      <w:marTop w:val="0"/>
      <w:marBottom w:val="0"/>
      <w:divBdr>
        <w:top w:val="none" w:sz="0" w:space="0" w:color="auto"/>
        <w:left w:val="none" w:sz="0" w:space="0" w:color="auto"/>
        <w:bottom w:val="none" w:sz="0" w:space="0" w:color="auto"/>
        <w:right w:val="none" w:sz="0" w:space="0" w:color="auto"/>
      </w:divBdr>
    </w:div>
    <w:div w:id="213267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99" Type="http://schemas.openxmlformats.org/officeDocument/2006/relationships/hyperlink" Target="https://www.epa.gov/sites/default/files/2014-05/documents/sensible_steps.pdf" TargetMode="External"/><Relationship Id="rId21" Type="http://schemas.openxmlformats.org/officeDocument/2006/relationships/hyperlink" Target="https://www.mass.gov/orgs/childhood-lead-poisoning-prevention-program" TargetMode="External"/><Relationship Id="rId63" Type="http://schemas.openxmlformats.org/officeDocument/2006/relationships/hyperlink" Target="https://www.mass.gov/doc/massevip-workplace-charging-requirements/download" TargetMode="External"/><Relationship Id="rId159" Type="http://schemas.openxmlformats.org/officeDocument/2006/relationships/hyperlink" Target="https://www.astm.org/e2018-15.html" TargetMode="External"/><Relationship Id="rId324" Type="http://schemas.openxmlformats.org/officeDocument/2006/relationships/hyperlink" Target="https://www.mass.gov/doc/massdep-best-management-practices-reducing-diesel-pollution-at-schools/download" TargetMode="External"/><Relationship Id="rId366" Type="http://schemas.openxmlformats.org/officeDocument/2006/relationships/hyperlink" Target="https://www.mass.gov/orgs/childhood-lead-poisoning-prevention-program" TargetMode="External"/><Relationship Id="rId170" Type="http://schemas.openxmlformats.org/officeDocument/2006/relationships/hyperlink" Target="https://www.eversource.com/content/residential/save-money-energy/clean-energy-options/geothermal-energy" TargetMode="External"/><Relationship Id="rId226" Type="http://schemas.openxmlformats.org/officeDocument/2006/relationships/hyperlink" Target="https://www.mass.gov/how-to/massdep-reduce-reuse-repair-micro-grant" TargetMode="External"/><Relationship Id="rId268" Type="http://schemas.openxmlformats.org/officeDocument/2006/relationships/hyperlink" Target="https://www.mass.gov/info-details/mvp-20" TargetMode="External"/><Relationship Id="rId32" Type="http://schemas.openxmlformats.org/officeDocument/2006/relationships/hyperlink" Target="https://www.mass.gov/orgs/environmental-toxicology-program" TargetMode="External"/><Relationship Id="rId74" Type="http://schemas.openxmlformats.org/officeDocument/2006/relationships/hyperlink" Target="https://www.mass.gov/doc/pws-active-sources-and-contacts-spreadsheet-rev-november-2024/download" TargetMode="External"/><Relationship Id="rId128" Type="http://schemas.openxmlformats.org/officeDocument/2006/relationships/image" Target="media/image37.png"/><Relationship Id="rId335" Type="http://schemas.openxmlformats.org/officeDocument/2006/relationships/hyperlink" Target="https://www.mass.gov/info-details/drinking-water-quality-data" TargetMode="External"/><Relationship Id="rId377" Type="http://schemas.openxmlformats.org/officeDocument/2006/relationships/hyperlink" Target="https://www.cdc.gov/healthyschools/foodallergies/toolkit.htm" TargetMode="External"/><Relationship Id="rId5" Type="http://schemas.openxmlformats.org/officeDocument/2006/relationships/numbering" Target="numbering.xml"/><Relationship Id="rId181" Type="http://schemas.openxmlformats.org/officeDocument/2006/relationships/hyperlink" Target="https://newbuildings.org/resource/decarbonization-roadmap-guide-for-school-building-decision-makers/" TargetMode="External"/><Relationship Id="rId237" Type="http://schemas.openxmlformats.org/officeDocument/2006/relationships/hyperlink" Target="https://afdc.energy.gov/laws/search" TargetMode="External"/><Relationship Id="rId279" Type="http://schemas.openxmlformats.org/officeDocument/2006/relationships/hyperlink" Target="https://www.epa.gov/indoor-air-quality-iaq/preventing-spread-respiratory-viruses-public-indoor-spaces" TargetMode="External"/><Relationship Id="rId43" Type="http://schemas.openxmlformats.org/officeDocument/2006/relationships/hyperlink" Target="https://www.mass.gov/doc/strategic-plan-for-asthma-in-massachusetts-2022-2026/download" TargetMode="External"/><Relationship Id="rId139" Type="http://schemas.openxmlformats.org/officeDocument/2006/relationships/hyperlink" Target="https://www.massschoolbuildings.org/programs/repair_program" TargetMode="External"/><Relationship Id="rId290" Type="http://schemas.openxmlformats.org/officeDocument/2006/relationships/hyperlink" Target="https://www.epa.gov/sites/default/files/2014-05/documents/sensible_steps.pdf" TargetMode="External"/><Relationship Id="rId304" Type="http://schemas.openxmlformats.org/officeDocument/2006/relationships/hyperlink" Target="https://www.epa.gov/pcbs/steps-safe-pcb-abatement-activities" TargetMode="External"/><Relationship Id="rId346" Type="http://schemas.openxmlformats.org/officeDocument/2006/relationships/hyperlink" Target="https://www.atsdr.cdc.gov/pfas/health-effects/index.html" TargetMode="External"/><Relationship Id="rId388" Type="http://schemas.openxmlformats.org/officeDocument/2006/relationships/fontTable" Target="fontTable.xml"/><Relationship Id="rId85" Type="http://schemas.openxmlformats.org/officeDocument/2006/relationships/image" Target="media/image10.jpg"/><Relationship Id="rId150" Type="http://schemas.openxmlformats.org/officeDocument/2006/relationships/hyperlink" Target="https://www.masssave.com/en/business/programs-and-services/solutions-by-sector/education-k12" TargetMode="External"/><Relationship Id="rId192" Type="http://schemas.openxmlformats.org/officeDocument/2006/relationships/hyperlink" Target="https://www.mass.gov/massachusetts-water-conservation-standards" TargetMode="External"/><Relationship Id="rId206" Type="http://schemas.openxmlformats.org/officeDocument/2006/relationships/hyperlink" Target="https://www.epa.gov/watersense/product-search" TargetMode="External"/><Relationship Id="rId248" Type="http://schemas.openxmlformats.org/officeDocument/2006/relationships/hyperlink" Target="https://www.epa.gov/system/files/documents/2024-04/2024-chdv-grants-nofo-2024-04.pdf" TargetMode="External"/><Relationship Id="rId12" Type="http://schemas.openxmlformats.org/officeDocument/2006/relationships/header" Target="header1.xml"/><Relationship Id="rId108" Type="http://schemas.openxmlformats.org/officeDocument/2006/relationships/hyperlink" Target="https://profiles.doe.mass.edu/statereport/gradrates.aspx" TargetMode="External"/><Relationship Id="rId315" Type="http://schemas.openxmlformats.org/officeDocument/2006/relationships/hyperlink" Target="https://www.epa.gov/sites/default/files/2016-03/documents/practical_actions_for_reducing_exposure_to_pcbs_in_schools_and_other_buildings.pdf" TargetMode="External"/><Relationship Id="rId357" Type="http://schemas.openxmlformats.org/officeDocument/2006/relationships/hyperlink" Target="https://www.mass.gov/info-details/integrated-pest-management-ipm-six-step-approach" TargetMode="External"/><Relationship Id="rId54" Type="http://schemas.openxmlformats.org/officeDocument/2006/relationships/footer" Target="footer2.xml"/><Relationship Id="rId96" Type="http://schemas.openxmlformats.org/officeDocument/2006/relationships/image" Target="media/image17.png"/><Relationship Id="rId161" Type="http://schemas.openxmlformats.org/officeDocument/2006/relationships/hyperlink" Target="https://www.mass.gov/doc/prf74-energy-climate-action-and-facility-advisory-services/download" TargetMode="External"/><Relationship Id="rId217" Type="http://schemas.openxmlformats.org/officeDocument/2006/relationships/hyperlink" Target="https://cswd.net/wp-content/uploads/Sharing-Tables-Guidance-for-Schools-2016.pdf" TargetMode="External"/><Relationship Id="rId259" Type="http://schemas.openxmlformats.org/officeDocument/2006/relationships/hyperlink" Target="https://afdc.energy.gov/fuels/electricity-stations" TargetMode="External"/><Relationship Id="rId23" Type="http://schemas.openxmlformats.org/officeDocument/2006/relationships/hyperlink" Target="https://www.mass.gov/orgs/food-protection-program" TargetMode="External"/><Relationship Id="rId119" Type="http://schemas.openxmlformats.org/officeDocument/2006/relationships/image" Target="media/image31.png"/><Relationship Id="rId270" Type="http://schemas.openxmlformats.org/officeDocument/2006/relationships/hyperlink" Target="https://www.climateresilientschoolsma.org/" TargetMode="External"/><Relationship Id="rId326" Type="http://schemas.openxmlformats.org/officeDocument/2006/relationships/hyperlink" Target="https://www.mass.gov/doc/engine-idling-guidance-for-school-bus-drivers/download" TargetMode="External"/><Relationship Id="rId65" Type="http://schemas.openxmlformats.org/officeDocument/2006/relationships/hyperlink" Target="https://www.mass.gov/info-details/massachusetts-climate-change-assessment" TargetMode="External"/><Relationship Id="rId130" Type="http://schemas.openxmlformats.org/officeDocument/2006/relationships/image" Target="media/image38.png"/><Relationship Id="rId368" Type="http://schemas.openxmlformats.org/officeDocument/2006/relationships/hyperlink" Target="https://www.mass.gov/info-details/artificial-turf-fields" TargetMode="External"/><Relationship Id="rId172" Type="http://schemas.openxmlformats.org/officeDocument/2006/relationships/hyperlink" Target="https://www.eversource.com/content/residential/save-money-energy/clean-energy-options/geothermal-energy" TargetMode="External"/><Relationship Id="rId228" Type="http://schemas.openxmlformats.org/officeDocument/2006/relationships/hyperlink" Target="https://www.wbur.org/news/2023/04/18/beverly-electric-school-bus-summer-grid" TargetMode="External"/><Relationship Id="rId281" Type="http://schemas.openxmlformats.org/officeDocument/2006/relationships/hyperlink" Target="https://www.epa.gov/indoor-air-quality-iaq/ventilation-and-respiratory-viruses" TargetMode="External"/><Relationship Id="rId337" Type="http://schemas.openxmlformats.org/officeDocument/2006/relationships/hyperlink" Target="https://leadandcoppercontrolact.donahue-institute.org/LCCA_Framework_4.26.18/story_html5.html" TargetMode="External"/><Relationship Id="rId34" Type="http://schemas.openxmlformats.org/officeDocument/2006/relationships/hyperlink" Target="https://www.mass.gov/orgs/indoor-air-quality-program" TargetMode="External"/><Relationship Id="rId76" Type="http://schemas.openxmlformats.org/officeDocument/2006/relationships/hyperlink" Target="https://www.mass.gov/doc/pws-active-sources-and-contacts-spreadsheet-rev-november-2024/download" TargetMode="External"/><Relationship Id="rId141" Type="http://schemas.openxmlformats.org/officeDocument/2006/relationships/hyperlink" Target="https://www.mass.gov/info-details/green-communities-grants" TargetMode="External"/><Relationship Id="rId379" Type="http://schemas.openxmlformats.org/officeDocument/2006/relationships/hyperlink" Target="https://www.cdc.gov/healthyschools/foodallergies/pdf/20_316712-A_FA_guide_508tag.pdf" TargetMode="External"/><Relationship Id="rId7" Type="http://schemas.openxmlformats.org/officeDocument/2006/relationships/settings" Target="settings.xml"/><Relationship Id="rId183" Type="http://schemas.openxmlformats.org/officeDocument/2006/relationships/hyperlink" Target="https://rmi.org/insight/hvac-choices-for-student-health-and-learning/" TargetMode="External"/><Relationship Id="rId239" Type="http://schemas.openxmlformats.org/officeDocument/2006/relationships/hyperlink" Target="https://dep.nj.gov/stopthesoot/electric-school-bus-program/" TargetMode="External"/><Relationship Id="rId250" Type="http://schemas.openxmlformats.org/officeDocument/2006/relationships/hyperlink" Target="https://electricschoolbusinitiative.org/step-step-guide-school-bus-electrification" TargetMode="External"/><Relationship Id="rId292" Type="http://schemas.openxmlformats.org/officeDocument/2006/relationships/hyperlink" Target="https://www.bostonpublicschools.org/Page/8810" TargetMode="External"/><Relationship Id="rId306" Type="http://schemas.openxmlformats.org/officeDocument/2006/relationships/hyperlink" Target="https://www.epa.gov/pcbs/polychlorinated-biphenyl-pcb-containing-fluorescent-light-ballasts-flbs-school-buildings" TargetMode="External"/><Relationship Id="rId45" Type="http://schemas.openxmlformats.org/officeDocument/2006/relationships/hyperlink" Target="https://matracking.ehs.state.ma.us/Health-Data/Asthma" TargetMode="External"/><Relationship Id="rId87" Type="http://schemas.openxmlformats.org/officeDocument/2006/relationships/image" Target="media/image12.png"/><Relationship Id="rId110" Type="http://schemas.openxmlformats.org/officeDocument/2006/relationships/hyperlink" Target="https://healthdatatool.mass.gov/" TargetMode="External"/><Relationship Id="rId348" Type="http://schemas.openxmlformats.org/officeDocument/2006/relationships/hyperlink" Target="https://www.epa.gov/pfas/our-current-understanding-human-health-and-environmental-risks-pfas" TargetMode="External"/><Relationship Id="rId152" Type="http://schemas.openxmlformats.org/officeDocument/2006/relationships/header" Target="header10.xml"/><Relationship Id="rId194" Type="http://schemas.openxmlformats.org/officeDocument/2006/relationships/hyperlink" Target="https://www.epa.gov/watersense/product-search" TargetMode="External"/><Relationship Id="rId208" Type="http://schemas.openxmlformats.org/officeDocument/2006/relationships/hyperlink" Target="https://www.fns.usda.gov/cn/updated-offer-vs-serve-guidance-nslp-and-sbp-beginning-sy2015-16" TargetMode="External"/><Relationship Id="rId261" Type="http://schemas.openxmlformats.org/officeDocument/2006/relationships/hyperlink" Target="https://www.mass.gov/municipal-vulnerability-preparedness-mvp-program" TargetMode="External"/><Relationship Id="rId14" Type="http://schemas.openxmlformats.org/officeDocument/2006/relationships/footer" Target="footer1.xml"/><Relationship Id="rId56" Type="http://schemas.openxmlformats.org/officeDocument/2006/relationships/image" Target="media/image4.png"/><Relationship Id="rId317" Type="http://schemas.openxmlformats.org/officeDocument/2006/relationships/hyperlink" Target="https://standards.aarst.org/" TargetMode="External"/><Relationship Id="rId359" Type="http://schemas.openxmlformats.org/officeDocument/2006/relationships/hyperlink" Target="https://www.mass.gov/doc/fac110/download" TargetMode="External"/><Relationship Id="rId98" Type="http://schemas.openxmlformats.org/officeDocument/2006/relationships/image" Target="media/image19.jpg"/><Relationship Id="rId121" Type="http://schemas.openxmlformats.org/officeDocument/2006/relationships/image" Target="media/image33.png"/><Relationship Id="rId163" Type="http://schemas.openxmlformats.org/officeDocument/2006/relationships/hyperlink" Target="https://www.boston.gov/departments/environment/berdo" TargetMode="External"/><Relationship Id="rId219" Type="http://schemas.openxmlformats.org/officeDocument/2006/relationships/hyperlink" Target="https://fns-prod.azureedge.us/sites/default/files/cn/SP41_CACFP13_SFSP15_2016os.pdf" TargetMode="External"/><Relationship Id="rId370" Type="http://schemas.openxmlformats.org/officeDocument/2006/relationships/hyperlink" Target="https://www.uml.edu/research/lowell-center/athletic-playing-fields/" TargetMode="External"/><Relationship Id="rId230" Type="http://schemas.openxmlformats.org/officeDocument/2006/relationships/hyperlink" Target="https://www.epa.gov/cleanschoolbus" TargetMode="External"/><Relationship Id="rId25" Type="http://schemas.openxmlformats.org/officeDocument/2006/relationships/hyperlink" Target="https://www.mass.gov/orgs/occupational-health-surveillance-program" TargetMode="External"/><Relationship Id="rId67" Type="http://schemas.openxmlformats.org/officeDocument/2006/relationships/hyperlink" Target="https://www.mass.gov/municipal-vulnerability-preparedness-mvp-program" TargetMode="External"/><Relationship Id="rId272" Type="http://schemas.openxmlformats.org/officeDocument/2006/relationships/hyperlink" Target="https://www.mapc.org/planning101/extreme-heat-air-quality-in-schools/" TargetMode="External"/><Relationship Id="rId328" Type="http://schemas.openxmlformats.org/officeDocument/2006/relationships/hyperlink" Target="https://www.airnow.gov/air-quality-flag-program/schools/" TargetMode="External"/><Relationship Id="rId132" Type="http://schemas.openxmlformats.org/officeDocument/2006/relationships/image" Target="media/image39.png"/><Relationship Id="rId174" Type="http://schemas.openxmlformats.org/officeDocument/2006/relationships/hyperlink" Target="https://store.accuristech.com/ashrae/standards/guideline-36-2021-high-performance-sequences-of-operation-for-hvac-systems?product_id=2229690" TargetMode="External"/><Relationship Id="rId381" Type="http://schemas.openxmlformats.org/officeDocument/2006/relationships/hyperlink" Target="https://islandpress.org/books/schools-heal" TargetMode="External"/><Relationship Id="rId241" Type="http://schemas.openxmlformats.org/officeDocument/2006/relationships/hyperlink" Target="https://www.epa.gov/system/files/documents/2024-09/420b24044.pdf" TargetMode="External"/><Relationship Id="rId36" Type="http://schemas.openxmlformats.org/officeDocument/2006/relationships/hyperlink" Target="https://matracking.ehs.state.ma.us/" TargetMode="External"/><Relationship Id="rId283" Type="http://schemas.openxmlformats.org/officeDocument/2006/relationships/hyperlink" Target="https://www.mass.gov/info-details/asbestos-in-schools" TargetMode="External"/><Relationship Id="rId339" Type="http://schemas.openxmlformats.org/officeDocument/2006/relationships/hyperlink" Target="https://www.mass.gov/guides/sampling-for-lead-and-copper-at-schools-and-childcare-facilities" TargetMode="External"/><Relationship Id="rId78" Type="http://schemas.openxmlformats.org/officeDocument/2006/relationships/header" Target="header7.xml"/><Relationship Id="rId101" Type="http://schemas.openxmlformats.org/officeDocument/2006/relationships/hyperlink" Target="https://dphanalytics.hhs.mass.gov/ibmcognos/bi/?perspective=authoring&amp;pathRef=.public_folders%2FMEPHTN%2Fcommunity%2Fcommunity-profile&amp;id=iF8CC8B1BD4B94EDE809A67D916529C98&amp;closeWindowOnLastView=true&amp;ui_appbar=false&amp;ui_navbar=false&amp;objRef=iF8CC8B1BD4B94EDE809A67D916529C98&amp;action=run&amp;format=HTML&amp;cmPropStr=%7B%22id%22%3A%22iF8CC8B1BD4B94EDE809A67D916529C98%22%2C%22type%22%3A%22report%22%2C%22defaultName%22%3A%22community-profile%22%2C%22permissions%22%3A%5B%22execute%22%2C%22read%22%2C%22traverse%22%5D%7D" TargetMode="External"/><Relationship Id="rId143" Type="http://schemas.openxmlformats.org/officeDocument/2006/relationships/hyperlink" Target="https://www.mass.gov/info-details/school-water-improvement-grants-program" TargetMode="External"/><Relationship Id="rId185" Type="http://schemas.openxmlformats.org/officeDocument/2006/relationships/hyperlink" Target="https://www.mass.gov/info-details/wastewater-energy-recovery" TargetMode="External"/><Relationship Id="rId350" Type="http://schemas.openxmlformats.org/officeDocument/2006/relationships/hyperlink" Target="https://www.epa.gov/pfas/pfas-resources-data-and-tools" TargetMode="External"/><Relationship Id="rId9" Type="http://schemas.openxmlformats.org/officeDocument/2006/relationships/footnotes" Target="footnotes.xml"/><Relationship Id="rId210" Type="http://schemas.openxmlformats.org/officeDocument/2006/relationships/hyperlink" Target="https://thegreenteam.org/" TargetMode="External"/><Relationship Id="rId252" Type="http://schemas.openxmlformats.org/officeDocument/2006/relationships/hyperlink" Target="https://afdc.energy.gov/laws/state" TargetMode="External"/><Relationship Id="rId294" Type="http://schemas.openxmlformats.org/officeDocument/2006/relationships/hyperlink" Target="https://www.mass.gov/doc/asthma-and-your-environment-english/download" TargetMode="External"/><Relationship Id="rId308" Type="http://schemas.openxmlformats.org/officeDocument/2006/relationships/hyperlink" Target="https://www.epa.gov/pcbs/steps-safe-renovation-and-repair-activities" TargetMode="External"/><Relationship Id="rId47" Type="http://schemas.openxmlformats.org/officeDocument/2006/relationships/hyperlink" Target="https://www.mass.gov/orgs/community-health-equity-initiative" TargetMode="External"/><Relationship Id="rId89" Type="http://schemas.openxmlformats.org/officeDocument/2006/relationships/image" Target="media/image14.png"/><Relationship Id="rId112" Type="http://schemas.openxmlformats.org/officeDocument/2006/relationships/hyperlink" Target="https://healthdatatool.mass.gov/" TargetMode="External"/><Relationship Id="rId154" Type="http://schemas.openxmlformats.org/officeDocument/2006/relationships/header" Target="header12.xml"/><Relationship Id="rId361" Type="http://schemas.openxmlformats.org/officeDocument/2006/relationships/hyperlink" Target="https://www.mass.gov/environmentally-preferable-products-epp-procurement-program" TargetMode="External"/><Relationship Id="rId196" Type="http://schemas.openxmlformats.org/officeDocument/2006/relationships/hyperlink" Target="https://lookforwatersense.epa.gov/pros/" TargetMode="External"/><Relationship Id="rId200" Type="http://schemas.openxmlformats.org/officeDocument/2006/relationships/hyperlink" Target="https://www.mass.gov/massachusetts-water-conservation-standards" TargetMode="External"/><Relationship Id="rId382" Type="http://schemas.openxmlformats.org/officeDocument/2006/relationships/hyperlink" Target="https://www.massschoolbuildings.org/sites/default/files/edit-contentfiles/About_Us/Roundtables/Designer/Handouts.pdf" TargetMode="External"/><Relationship Id="rId16" Type="http://schemas.openxmlformats.org/officeDocument/2006/relationships/header" Target="header4.xml"/><Relationship Id="rId221" Type="http://schemas.openxmlformats.org/officeDocument/2006/relationships/hyperlink" Target="https://recyclingworksma.com/" TargetMode="External"/><Relationship Id="rId242" Type="http://schemas.openxmlformats.org/officeDocument/2006/relationships/hyperlink" Target="https://www.epa.gov/system/files/documents/2024-04/2024-chdv-grants-nofo-2024-04.pdf" TargetMode="External"/><Relationship Id="rId263" Type="http://schemas.openxmlformats.org/officeDocument/2006/relationships/hyperlink" Target="https://www.mass.gov/info-details/esi-goals-storage-target" TargetMode="External"/><Relationship Id="rId284" Type="http://schemas.openxmlformats.org/officeDocument/2006/relationships/hyperlink" Target="mailto:DLSfeedback@MassMail.State.MA.US" TargetMode="External"/><Relationship Id="rId319" Type="http://schemas.openxmlformats.org/officeDocument/2006/relationships/hyperlink" Target="https://neep.org/sites/default/files/media-files/NE%20CHPS%20v4.0%20Clean%20Final%20Draft%20May%202022.pdf" TargetMode="External"/><Relationship Id="rId37" Type="http://schemas.openxmlformats.org/officeDocument/2006/relationships/hyperlink" Target="https://www.mass.gov/orgs/population-health-information-tool" TargetMode="External"/><Relationship Id="rId58" Type="http://schemas.openxmlformats.org/officeDocument/2006/relationships/image" Target="media/image5.jpeg"/><Relationship Id="rId79" Type="http://schemas.openxmlformats.org/officeDocument/2006/relationships/header" Target="header8.xml"/><Relationship Id="rId102" Type="http://schemas.openxmlformats.org/officeDocument/2006/relationships/image" Target="media/image22.png"/><Relationship Id="rId123" Type="http://schemas.openxmlformats.org/officeDocument/2006/relationships/hyperlink" Target="https://www.mass.gov/info-details/cumulative-impact-analysis-in-air-quality-permitting" TargetMode="External"/><Relationship Id="rId144" Type="http://schemas.openxmlformats.org/officeDocument/2006/relationships/hyperlink" Target="https://www.mass.gov/orgs/federal-funds-infrastructure-office" TargetMode="External"/><Relationship Id="rId330" Type="http://schemas.openxmlformats.org/officeDocument/2006/relationships/hyperlink" Target="https://www.publichealthwm.org/healthy-air-network" TargetMode="External"/><Relationship Id="rId90" Type="http://schemas.openxmlformats.org/officeDocument/2006/relationships/image" Target="media/image15.jpg"/><Relationship Id="rId165" Type="http://schemas.openxmlformats.org/officeDocument/2006/relationships/hyperlink" Target="https://www.boston.gov/departments/environment/berdo" TargetMode="External"/><Relationship Id="rId186" Type="http://schemas.openxmlformats.org/officeDocument/2006/relationships/hyperlink" Target="https://www.massschoolbuildings.org/Working_With_Us/districts" TargetMode="External"/><Relationship Id="rId351" Type="http://schemas.openxmlformats.org/officeDocument/2006/relationships/hyperlink" Target="https://www.energy.gov/sites/prod/files/2013/11/f5/nationalbestpracticesmanual31545.pdf" TargetMode="External"/><Relationship Id="rId372" Type="http://schemas.openxmlformats.org/officeDocument/2006/relationships/hyperlink" Target="https://allergyasthmanetwork.org/" TargetMode="External"/><Relationship Id="rId211" Type="http://schemas.openxmlformats.org/officeDocument/2006/relationships/hyperlink" Target="https://www.epa.gov/smm-electronics/certified-electronics-recyclers" TargetMode="External"/><Relationship Id="rId232" Type="http://schemas.openxmlformats.org/officeDocument/2006/relationships/hyperlink" Target="https://www.epa.gov/clean-heavy-duty-vehicles-program/clean-heavy-duty-vehicles-grant-program" TargetMode="External"/><Relationship Id="rId253" Type="http://schemas.openxmlformats.org/officeDocument/2006/relationships/hyperlink" Target="https://www.epa.gov/cleanschoolbus" TargetMode="External"/><Relationship Id="rId274" Type="http://schemas.openxmlformats.org/officeDocument/2006/relationships/header" Target="header13.xml"/><Relationship Id="rId295" Type="http://schemas.openxmlformats.org/officeDocument/2006/relationships/hyperlink" Target="https://www.maasthma.org/toolkit/leaks" TargetMode="External"/><Relationship Id="rId309" Type="http://schemas.openxmlformats.org/officeDocument/2006/relationships/hyperlink" Target="https://www.epa.gov/pcbs/steps-safe-renovation-and-repair-activities" TargetMode="External"/><Relationship Id="rId27" Type="http://schemas.openxmlformats.org/officeDocument/2006/relationships/hyperlink" Target="https://www.mass.gov/orgs/population-health-information-tool" TargetMode="External"/><Relationship Id="rId48" Type="http://schemas.openxmlformats.org/officeDocument/2006/relationships/hyperlink" Target="https://www.mass.gov/doc/community-health-initiative-planning/download" TargetMode="External"/><Relationship Id="rId69" Type="http://schemas.openxmlformats.org/officeDocument/2006/relationships/hyperlink" Target="https://www.mass.gov/doc/resilientmass-plan-2023/download" TargetMode="External"/><Relationship Id="rId113" Type="http://schemas.openxmlformats.org/officeDocument/2006/relationships/hyperlink" Target="https://www.mass.gov/info-details/racial-equity-data-road-map" TargetMode="External"/><Relationship Id="rId134" Type="http://schemas.openxmlformats.org/officeDocument/2006/relationships/hyperlink" Target="https://www.mass.gov/doc/capital-improvement-planning-developing-a-comprehensive-community-program-0/download" TargetMode="External"/><Relationship Id="rId320" Type="http://schemas.openxmlformats.org/officeDocument/2006/relationships/hyperlink" Target="https://www.epa.gov/sites/default/files/2014-11/documents/managing_radon.pdf" TargetMode="External"/><Relationship Id="rId80" Type="http://schemas.openxmlformats.org/officeDocument/2006/relationships/footer" Target="footer3.xml"/><Relationship Id="rId155" Type="http://schemas.openxmlformats.org/officeDocument/2006/relationships/footer" Target="footer4.xml"/><Relationship Id="rId176" Type="http://schemas.openxmlformats.org/officeDocument/2006/relationships/hyperlink" Target="https://www.theboc.info/find-training/northeast/" TargetMode="External"/><Relationship Id="rId197" Type="http://schemas.openxmlformats.org/officeDocument/2006/relationships/hyperlink" Target="https://lookforwatersense.epa.gov/pros/" TargetMode="External"/><Relationship Id="rId341" Type="http://schemas.openxmlformats.org/officeDocument/2006/relationships/hyperlink" Target="https://www.mass.gov/school-water-improvement-grants" TargetMode="External"/><Relationship Id="rId362" Type="http://schemas.openxmlformats.org/officeDocument/2006/relationships/hyperlink" Target="https://www.maasthma.org/toolkit/green-cleaning" TargetMode="External"/><Relationship Id="rId383" Type="http://schemas.openxmlformats.org/officeDocument/2006/relationships/hyperlink" Target="https://www.adachecklist.org/doc/fullchecklist/ada-checklist.pdf" TargetMode="External"/><Relationship Id="rId201" Type="http://schemas.openxmlformats.org/officeDocument/2006/relationships/hyperlink" Target="https://www.mass.gov/conservemawater" TargetMode="External"/><Relationship Id="rId222" Type="http://schemas.openxmlformats.org/officeDocument/2006/relationships/hyperlink" Target="https://www.terracycle.com/en-US/" TargetMode="External"/><Relationship Id="rId243" Type="http://schemas.openxmlformats.org/officeDocument/2006/relationships/hyperlink" Target="https://www.epa.gov/system/files/documents/2023-09/updated-dera-national-program-nofo-fy22-fy23.pdf" TargetMode="External"/><Relationship Id="rId264" Type="http://schemas.openxmlformats.org/officeDocument/2006/relationships/hyperlink" Target="https://matracking.ehs.state.ma.us/Climate-Change/climate_and_health_profile.html" TargetMode="External"/><Relationship Id="rId285" Type="http://schemas.openxmlformats.org/officeDocument/2006/relationships/hyperlink" Target="https://www.mass.gov/guides/massdep-asbestos-construction-demolition-notifications" TargetMode="External"/><Relationship Id="rId17" Type="http://schemas.openxmlformats.org/officeDocument/2006/relationships/header" Target="header5.xml"/><Relationship Id="rId38" Type="http://schemas.openxmlformats.org/officeDocument/2006/relationships/hyperlink" Target="https://www.mass.gov/orgs/school-health-services" TargetMode="External"/><Relationship Id="rId59" Type="http://schemas.openxmlformats.org/officeDocument/2006/relationships/hyperlink" Target="https://www.nescaum.org/documents/multi-state-medium-and-heavy-duty-zev-action-plan.pdf" TargetMode="External"/><Relationship Id="rId103" Type="http://schemas.openxmlformats.org/officeDocument/2006/relationships/hyperlink" Target="https://profiles.doe.mass.edu/" TargetMode="External"/><Relationship Id="rId124" Type="http://schemas.openxmlformats.org/officeDocument/2006/relationships/hyperlink" Target="https://dphanalytics.hhs.mass.gov/ibmcognos/bi/?perspective=authoring&amp;pathRef=.public_folders%2FMEPHTN%2Fhealth%2Flead-poisoning%2Fchildhood-lead-poisoning&amp;id=i967C4EA0E0194E0AAAF21BDDE9A663E5&amp;closeWindowOnLastView=true&amp;ui_appbar=false&amp;ui_navbar=false&amp;objRef=i967C4EA0E0194E0AAAF21BDDE9A663E5&amp;action=run&amp;format=HTML&amp;cmPropStr=%7B%22id%22%3A%22i967C4EA0E0194E0AAAF21BDDE9A663E5%22%2C%22type%22%3A%22report%22%2C%22defaultName%22%3A%22childhood-lead-poisoning%22%2C%22permissions%22%3A%5B%22execute%22%2C%22read%22%2C%22traverse%22%5D%7D" TargetMode="External"/><Relationship Id="rId310" Type="http://schemas.openxmlformats.org/officeDocument/2006/relationships/hyperlink" Target="https://www.epa.gov/pcbs/polychlorinated-biphenyl-pcb-containing-fluorescent-light-ballasts-flbs-school-buildings" TargetMode="External"/><Relationship Id="rId70" Type="http://schemas.openxmlformats.org/officeDocument/2006/relationships/image" Target="media/image7.jpg"/><Relationship Id="rId91" Type="http://schemas.openxmlformats.org/officeDocument/2006/relationships/hyperlink" Target="https://www.mass.gov/lists/annual-screening-and-blood-lead-level-reports-and-high-risk-community-lists" TargetMode="External"/><Relationship Id="rId145" Type="http://schemas.openxmlformats.org/officeDocument/2006/relationships/hyperlink" Target="https://www.energy.gov/scep/renew-americas-schools" TargetMode="External"/><Relationship Id="rId166" Type="http://schemas.openxmlformats.org/officeDocument/2006/relationships/hyperlink" Target="https://www.cambridgema.gov/CDD/zoninganddevelopment/sustainabledevelopment/buildingenergydisclosureordinance" TargetMode="External"/><Relationship Id="rId187" Type="http://schemas.openxmlformats.org/officeDocument/2006/relationships/hyperlink" Target="https://neep.org/ma-zero-energy-schools-toolkit" TargetMode="External"/><Relationship Id="rId331" Type="http://schemas.openxmlformats.org/officeDocument/2006/relationships/hyperlink" Target="https://neep.org/sites/default/files/media-files/NE%20CHPS%20v4.0%20Clean%20Final%20Draft%20May%202022.pdf" TargetMode="External"/><Relationship Id="rId352" Type="http://schemas.openxmlformats.org/officeDocument/2006/relationships/hyperlink" Target="https://www.mapc.org/planning101/extreme-heat-air-quality-in-schools/" TargetMode="External"/><Relationship Id="rId373" Type="http://schemas.openxmlformats.org/officeDocument/2006/relationships/hyperlink" Target="https://www.nasn.org/nasn-resources/resources-by-topic/allergies-anaphylaxis" TargetMode="External"/><Relationship Id="rId1" Type="http://schemas.openxmlformats.org/officeDocument/2006/relationships/customXml" Target="../customXml/item1.xml"/><Relationship Id="rId212" Type="http://schemas.openxmlformats.org/officeDocument/2006/relationships/hyperlink" Target="https://thegreenteam.org/request-equipment/" TargetMode="External"/><Relationship Id="rId233" Type="http://schemas.openxmlformats.org/officeDocument/2006/relationships/hyperlink" Target="https://www.irs.gov/credits-deductions/elective-pay-and-transferability" TargetMode="External"/><Relationship Id="rId254" Type="http://schemas.openxmlformats.org/officeDocument/2006/relationships/hyperlink" Target="https://www.epa.gov/clean-heavy-duty-vehicles-program/clean-heavy-duty-vehicles-grant-program" TargetMode="External"/><Relationship Id="rId28" Type="http://schemas.openxmlformats.org/officeDocument/2006/relationships/hyperlink" Target="https://www.mass.gov/orgs/school-health-services" TargetMode="External"/><Relationship Id="rId49" Type="http://schemas.openxmlformats.org/officeDocument/2006/relationships/hyperlink" Target="https://www.mass.gov/info-details/racial-equity-data-road-map" TargetMode="External"/><Relationship Id="rId114" Type="http://schemas.openxmlformats.org/officeDocument/2006/relationships/hyperlink" Target="https://www.mass.gov/info-details/state-health-assessment-sha" TargetMode="External"/><Relationship Id="rId275" Type="http://schemas.openxmlformats.org/officeDocument/2006/relationships/header" Target="header14.xml"/><Relationship Id="rId296" Type="http://schemas.openxmlformats.org/officeDocument/2006/relationships/hyperlink" Target="https://www.epa.gov/sites/default/files/2014-10/documents/energy_savings_plus_health_guideline.pdf" TargetMode="External"/><Relationship Id="rId300" Type="http://schemas.openxmlformats.org/officeDocument/2006/relationships/hyperlink" Target="https://www.epa.gov/sites/default/files/2016-01/documents/schools_renov_brochure-8_5x11_final.pdf" TargetMode="External"/><Relationship Id="rId60" Type="http://schemas.openxmlformats.org/officeDocument/2006/relationships/hyperlink" Target="https://www.nescaum.org/documents/multi-state-medium-and-heavy-duty-zev-action-plan.pdf" TargetMode="External"/><Relationship Id="rId81" Type="http://schemas.openxmlformats.org/officeDocument/2006/relationships/header" Target="header9.xml"/><Relationship Id="rId135" Type="http://schemas.openxmlformats.org/officeDocument/2006/relationships/hyperlink" Target="https://www.mass.gov/doc/understanding-municipal-debt/download" TargetMode="External"/><Relationship Id="rId156" Type="http://schemas.openxmlformats.org/officeDocument/2006/relationships/hyperlink" Target="https://www.energystar.gov/buildings/benchmark" TargetMode="External"/><Relationship Id="rId177" Type="http://schemas.openxmlformats.org/officeDocument/2006/relationships/hyperlink" Target="https://www.mass.gov/info-details/technical-potential-of-solar-study" TargetMode="External"/><Relationship Id="rId198" Type="http://schemas.openxmlformats.org/officeDocument/2006/relationships/hyperlink" Target="https://www.epa.gov/watersense/product-search" TargetMode="External"/><Relationship Id="rId321" Type="http://schemas.openxmlformats.org/officeDocument/2006/relationships/hyperlink" Target="https://www.epa.gov/sites/default/files/2016-01/documents/schools_renov_brochure-8_5x11_final.pdf" TargetMode="External"/><Relationship Id="rId342" Type="http://schemas.openxmlformats.org/officeDocument/2006/relationships/hyperlink" Target="https://www.mass.gov/water-smart" TargetMode="External"/><Relationship Id="rId363" Type="http://schemas.openxmlformats.org/officeDocument/2006/relationships/hyperlink" Target="https://www.mass.gov/doc/massachusetts-school-chemical-management-program/download" TargetMode="External"/><Relationship Id="rId384" Type="http://schemas.openxmlformats.org/officeDocument/2006/relationships/hyperlink" Target="https://www.opsisarch.com/wp-content/uploads//2022/06/Opsis-Architecture-Gender-Inclusive-Facilities-Design-Strategies-Case-Study.pdf" TargetMode="External"/><Relationship Id="rId202" Type="http://schemas.openxmlformats.org/officeDocument/2006/relationships/hyperlink" Target="https://www.mass.gov/guides/school-recreation-and-facilities-managers" TargetMode="External"/><Relationship Id="rId223" Type="http://schemas.openxmlformats.org/officeDocument/2006/relationships/hyperlink" Target="https://www.mass.gov/doc/map-list-of-massachusetts-sites-accepting-diverted-food-material-february-2023/download" TargetMode="External"/><Relationship Id="rId244" Type="http://schemas.openxmlformats.org/officeDocument/2006/relationships/hyperlink" Target="https://www.irs.gov/credits-deductions/commercial-clean-vehicle-credit" TargetMode="External"/><Relationship Id="rId18" Type="http://schemas.openxmlformats.org/officeDocument/2006/relationships/header" Target="header6.xml"/><Relationship Id="rId39" Type="http://schemas.openxmlformats.org/officeDocument/2006/relationships/hyperlink" Target="https://nca2023.globalchange.gov/chapter/15/" TargetMode="External"/><Relationship Id="rId265" Type="http://schemas.openxmlformats.org/officeDocument/2006/relationships/hyperlink" Target="https://resilient.mass.gov/rmat_home/designstandards/" TargetMode="External"/><Relationship Id="rId286" Type="http://schemas.openxmlformats.org/officeDocument/2006/relationships/hyperlink" Target="https://www.mass.gov/doc/organizing-the-management-plan-2021/download" TargetMode="External"/><Relationship Id="rId50" Type="http://schemas.openxmlformats.org/officeDocument/2006/relationships/hyperlink" Target="https://www.mass.gov/info-details/root-cause-solutions-exchange" TargetMode="External"/><Relationship Id="rId104" Type="http://schemas.openxmlformats.org/officeDocument/2006/relationships/hyperlink" Target="https://profiles.doe.mass.edu/statereport/enrollmentbyracegender.aspx" TargetMode="External"/><Relationship Id="rId125" Type="http://schemas.openxmlformats.org/officeDocument/2006/relationships/image" Target="media/image34.png"/><Relationship Id="rId146" Type="http://schemas.openxmlformats.org/officeDocument/2006/relationships/hyperlink" Target="https://www.epa.gov/cleanschoolbus" TargetMode="External"/><Relationship Id="rId167" Type="http://schemas.openxmlformats.org/officeDocument/2006/relationships/image" Target="media/image42.png"/><Relationship Id="rId188" Type="http://schemas.openxmlformats.org/officeDocument/2006/relationships/hyperlink" Target="https://www.epa.gov/watersense/best-management-practices" TargetMode="External"/><Relationship Id="rId311" Type="http://schemas.openxmlformats.org/officeDocument/2006/relationships/hyperlink" Target="https://www.epa.gov/pcbs/polychlorinated-biphenyl-pcb-containing-fluorescent-light-ballasts-flbs-school-buildings" TargetMode="External"/><Relationship Id="rId332" Type="http://schemas.openxmlformats.org/officeDocument/2006/relationships/hyperlink" Target="https://www.mass.gov/info-details/school-water-improvement-grants-program" TargetMode="External"/><Relationship Id="rId353" Type="http://schemas.openxmlformats.org/officeDocument/2006/relationships/hyperlink" Target="https://www.mass.gov/doc/extreme-heat-resource-guide-pdf/download" TargetMode="External"/><Relationship Id="rId374" Type="http://schemas.openxmlformats.org/officeDocument/2006/relationships/hyperlink" Target="https://www.foodallergy.org/living-food-allergies/food-allergy-essentials/back-school-resource-hub" TargetMode="External"/><Relationship Id="rId71" Type="http://schemas.openxmlformats.org/officeDocument/2006/relationships/hyperlink" Target="https://www.mass.gov/info-details/purpose-and-intent-of-mepa" TargetMode="External"/><Relationship Id="rId92" Type="http://schemas.openxmlformats.org/officeDocument/2006/relationships/hyperlink" Target="https://www.mass.gov/info-details/state-office-of-rural-health-rural-definition" TargetMode="External"/><Relationship Id="rId213" Type="http://schemas.openxmlformats.org/officeDocument/2006/relationships/hyperlink" Target="https://www.mass.gov/how-to/notification-exempt-recycling-organics-management-activities" TargetMode="External"/><Relationship Id="rId234" Type="http://schemas.openxmlformats.org/officeDocument/2006/relationships/hyperlink" Target="https://www.irs.gov/credits-deductions/commercial-clean-vehicle-credit" TargetMode="External"/><Relationship Id="rId2" Type="http://schemas.openxmlformats.org/officeDocument/2006/relationships/customXml" Target="../customXml/item2.xml"/><Relationship Id="rId29" Type="http://schemas.openxmlformats.org/officeDocument/2006/relationships/hyperlink" Target="https://www.mass.gov/info-details/2022-2026-strategic-plan-for-asthma-in-massachusetts" TargetMode="External"/><Relationship Id="rId255" Type="http://schemas.openxmlformats.org/officeDocument/2006/relationships/hyperlink" Target="https://afdc.energy.gov/laws/12744" TargetMode="External"/><Relationship Id="rId276" Type="http://schemas.openxmlformats.org/officeDocument/2006/relationships/footer" Target="footer5.xml"/><Relationship Id="rId297" Type="http://schemas.openxmlformats.org/officeDocument/2006/relationships/hyperlink" Target="https://neep.org/sites/default/files/media-files/NE%20CHPS%20v4.0%20Clean%20Final%20Draft%20May%202022.pdf" TargetMode="External"/><Relationship Id="rId40" Type="http://schemas.openxmlformats.org/officeDocument/2006/relationships/hyperlink" Target="https://nca2023.globalchange.gov/chapter/15/" TargetMode="External"/><Relationship Id="rId115" Type="http://schemas.openxmlformats.org/officeDocument/2006/relationships/image" Target="media/image27.png"/><Relationship Id="rId136" Type="http://schemas.openxmlformats.org/officeDocument/2006/relationships/hyperlink" Target="https://www.mass.gov/doc/capital-improvement-planning-developing-a-comprehensive-community-program-0/download" TargetMode="External"/><Relationship Id="rId157" Type="http://schemas.openxmlformats.org/officeDocument/2006/relationships/hyperlink" Target="https://massenergyinsight.net/" TargetMode="External"/><Relationship Id="rId178" Type="http://schemas.openxmlformats.org/officeDocument/2006/relationships/hyperlink" Target="https://poweroptions.org/about/" TargetMode="External"/><Relationship Id="rId301" Type="http://schemas.openxmlformats.org/officeDocument/2006/relationships/hyperlink" Target="https://www.epa.gov/pcbs/polychlorinated-biphenyl-pcb-containing-fluorescent-light-ballasts-flbs-school-buildings" TargetMode="External"/><Relationship Id="rId322" Type="http://schemas.openxmlformats.org/officeDocument/2006/relationships/hyperlink" Target="https://www.mass.gov/air-monitoring-in-massachusetts" TargetMode="External"/><Relationship Id="rId343" Type="http://schemas.openxmlformats.org/officeDocument/2006/relationships/hyperlink" Target="https://www.mass.gov/info-details/per-and-polyfluoroalkyl-substances-pfas" TargetMode="External"/><Relationship Id="rId364" Type="http://schemas.openxmlformats.org/officeDocument/2006/relationships/hyperlink" Target="https://wspehsu.ucsf.edu/main-resources/green-cleaning-sanitizing-and-disinfecting-a-toolkit-for-early-care-and-education/" TargetMode="External"/><Relationship Id="rId61" Type="http://schemas.openxmlformats.org/officeDocument/2006/relationships/hyperlink" Target="https://www.mass.gov/how-to/apply-for-massevip-public-access-charging-incentives" TargetMode="External"/><Relationship Id="rId82" Type="http://schemas.openxmlformats.org/officeDocument/2006/relationships/image" Target="media/image8.jpeg"/><Relationship Id="rId199" Type="http://schemas.openxmlformats.org/officeDocument/2006/relationships/hyperlink" Target="https://www.energy.gov/femp/alternative-water-sources" TargetMode="External"/><Relationship Id="rId203" Type="http://schemas.openxmlformats.org/officeDocument/2006/relationships/hyperlink" Target="https://www.energystar.gov/productfinder/" TargetMode="External"/><Relationship Id="rId385" Type="http://schemas.openxmlformats.org/officeDocument/2006/relationships/hyperlink" Target="https://www.stantec.com/en/ideas/topic/buildings/harmonizing-the-seen-and-unseen-when-designing-for-neurodiversity" TargetMode="External"/><Relationship Id="rId19" Type="http://schemas.openxmlformats.org/officeDocument/2006/relationships/hyperlink" Target="https://www.mass.gov/info-details/2022-2026-strategic-plan-for-asthma-in-massachusetts" TargetMode="External"/><Relationship Id="rId224" Type="http://schemas.openxmlformats.org/officeDocument/2006/relationships/hyperlink" Target="https://www.masscec.com/sites/default/files/documents/Small-ScaleOrganics-to-EnergyVendorDirectory.pdf" TargetMode="External"/><Relationship Id="rId245" Type="http://schemas.openxmlformats.org/officeDocument/2006/relationships/hyperlink" Target="https://uscode.house.gov/view.xhtml?req=(title:26%20section:30D%20edition:prelim)" TargetMode="External"/><Relationship Id="rId266" Type="http://schemas.openxmlformats.org/officeDocument/2006/relationships/hyperlink" Target="https://www.mass.gov/doc/extreme-heat-resource-guide-pdf/download" TargetMode="External"/><Relationship Id="rId287" Type="http://schemas.openxmlformats.org/officeDocument/2006/relationships/hyperlink" Target="https://www.epa.gov/sites/default/files/2013-12/documents/modelamp_0.pdf" TargetMode="External"/><Relationship Id="rId30" Type="http://schemas.openxmlformats.org/officeDocument/2006/relationships/hyperlink" Target="https://www.mass.gov/asthma-prevention-and-control" TargetMode="External"/><Relationship Id="rId105" Type="http://schemas.openxmlformats.org/officeDocument/2006/relationships/image" Target="media/image23.png"/><Relationship Id="rId126" Type="http://schemas.openxmlformats.org/officeDocument/2006/relationships/image" Target="media/image35.png"/><Relationship Id="rId147" Type="http://schemas.openxmlformats.org/officeDocument/2006/relationships/hyperlink" Target="https://www.mass.gov/orgs/green-communities-division" TargetMode="External"/><Relationship Id="rId168" Type="http://schemas.openxmlformats.org/officeDocument/2006/relationships/hyperlink" Target="https://betterbuildingssolutioncenter.energy.gov/sites/default/files/attachments/Decarbonizing%20HVAC%20and%20Water%20Heating%20in%20Commercial%20Buildings%2011.21.pdf" TargetMode="External"/><Relationship Id="rId312" Type="http://schemas.openxmlformats.org/officeDocument/2006/relationships/hyperlink" Target="https://www.epa.gov/pcbs/epa-region-1-polychlorinated-biphenyls" TargetMode="External"/><Relationship Id="rId333" Type="http://schemas.openxmlformats.org/officeDocument/2006/relationships/hyperlink" Target="https://www.epa.gov/ground-water-and-drinking-water/3ts-reducing-lead-drinking-water" TargetMode="External"/><Relationship Id="rId354" Type="http://schemas.openxmlformats.org/officeDocument/2006/relationships/hyperlink" Target="https://massnrc.org/ipm/schools-daycare.html" TargetMode="External"/><Relationship Id="rId51" Type="http://schemas.openxmlformats.org/officeDocument/2006/relationships/hyperlink" Target="https://www.mass.gov/doc/february-2024-environmental-justice-strategy-english/download" TargetMode="External"/><Relationship Id="rId72" Type="http://schemas.openxmlformats.org/officeDocument/2006/relationships/hyperlink" Target="https://www.mass.gov/info-details/purpose-and-intent-of-mepa" TargetMode="External"/><Relationship Id="rId93" Type="http://schemas.openxmlformats.org/officeDocument/2006/relationships/image" Target="media/image16.emf"/><Relationship Id="rId189" Type="http://schemas.openxmlformats.org/officeDocument/2006/relationships/hyperlink" Target="https://www.mass.gov/massachusetts-water-conservation-standards" TargetMode="External"/><Relationship Id="rId375" Type="http://schemas.openxmlformats.org/officeDocument/2006/relationships/hyperlink" Target="https://www.mass.gov/lists/food-allergen-awareness-training-and-regulation" TargetMode="External"/><Relationship Id="rId3" Type="http://schemas.openxmlformats.org/officeDocument/2006/relationships/customXml" Target="../customXml/item3.xml"/><Relationship Id="rId214" Type="http://schemas.openxmlformats.org/officeDocument/2006/relationships/hyperlink" Target="https://recyclingworksma.com/food-waste-estimation-guide/" TargetMode="External"/><Relationship Id="rId235" Type="http://schemas.openxmlformats.org/officeDocument/2006/relationships/hyperlink" Target="https://www.masscec.com/accelerating-clean-transportation-act-school-bus-overview" TargetMode="External"/><Relationship Id="rId256" Type="http://schemas.openxmlformats.org/officeDocument/2006/relationships/hyperlink" Target="https://www.fhwa.dot.gov/environment/cfi/" TargetMode="External"/><Relationship Id="rId277" Type="http://schemas.openxmlformats.org/officeDocument/2006/relationships/header" Target="header15.xml"/><Relationship Id="rId298" Type="http://schemas.openxmlformats.org/officeDocument/2006/relationships/hyperlink" Target="https://www.mass.gov/info-details/remediation-and-prevention-of-mold-growth-and-water-damage-in-public-schools-and-buildings-to-maintain-air-quality" TargetMode="External"/><Relationship Id="rId116" Type="http://schemas.openxmlformats.org/officeDocument/2006/relationships/image" Target="media/image28.png"/><Relationship Id="rId137" Type="http://schemas.openxmlformats.org/officeDocument/2006/relationships/hyperlink" Target="https://www.mass.gov/doc/understanding-municipal-debt/download" TargetMode="External"/><Relationship Id="rId158" Type="http://schemas.openxmlformats.org/officeDocument/2006/relationships/image" Target="media/image41.jpg"/><Relationship Id="rId302" Type="http://schemas.openxmlformats.org/officeDocument/2006/relationships/hyperlink" Target="https://www.epa.gov/pcbs/polychlorinated-biphenyl-pcb-containing-fluorescent-light-ballasts-flbs-school-buildings" TargetMode="External"/><Relationship Id="rId323" Type="http://schemas.openxmlformats.org/officeDocument/2006/relationships/hyperlink" Target="https://www.mass.gov/topics/air-quality" TargetMode="External"/><Relationship Id="rId344" Type="http://schemas.openxmlformats.org/officeDocument/2006/relationships/hyperlink" Target="https://www.mass.gov/news/pfas-free-buying-guide" TargetMode="External"/><Relationship Id="rId20" Type="http://schemas.openxmlformats.org/officeDocument/2006/relationships/hyperlink" Target="https://www.mass.gov/asthma-prevention-and-control" TargetMode="External"/><Relationship Id="rId41" Type="http://schemas.openxmlformats.org/officeDocument/2006/relationships/hyperlink" Target="https://www.mass.gov/doc/2024-strategic-plan-to-advance-racial-equity/download" TargetMode="External"/><Relationship Id="rId62" Type="http://schemas.openxmlformats.org/officeDocument/2006/relationships/hyperlink" Target="https://www.mass.gov/how-to/apply-for-massevip-multi-unit-dwelling-educational-campus-charging-incentives" TargetMode="External"/><Relationship Id="rId83" Type="http://schemas.openxmlformats.org/officeDocument/2006/relationships/image" Target="media/image9.jpg"/><Relationship Id="rId179" Type="http://schemas.openxmlformats.org/officeDocument/2006/relationships/hyperlink" Target="https://betterbuildingssolutioncenter.energy.gov/sites/default/files/attachments/80766.pdf" TargetMode="External"/><Relationship Id="rId365" Type="http://schemas.openxmlformats.org/officeDocument/2006/relationships/hyperlink" Target="https://www.mass.gov/info-details/childhood-lead-poisoning-data" TargetMode="External"/><Relationship Id="rId386" Type="http://schemas.openxmlformats.org/officeDocument/2006/relationships/hyperlink" Target="https://www.gao.gov/assets/d20448.pdf" TargetMode="External"/><Relationship Id="rId190" Type="http://schemas.openxmlformats.org/officeDocument/2006/relationships/hyperlink" Target="https://www.mass.gov/guides/school-recreation-and-facilities-managers" TargetMode="External"/><Relationship Id="rId204" Type="http://schemas.openxmlformats.org/officeDocument/2006/relationships/hyperlink" Target="https://www.energy.gov/femp/alternative-water-sources" TargetMode="External"/><Relationship Id="rId225" Type="http://schemas.openxmlformats.org/officeDocument/2006/relationships/hyperlink" Target="https://www.mass.gov/how-to/apply-for-a-sustainable-materials-recovery-program-smrp-municipal-grant" TargetMode="External"/><Relationship Id="rId246" Type="http://schemas.openxmlformats.org/officeDocument/2006/relationships/hyperlink" Target="https://www.irs.gov/credits-deductions/manufacturers-for-qualified-commercial-clean-vehicle-credit" TargetMode="External"/><Relationship Id="rId267" Type="http://schemas.openxmlformats.org/officeDocument/2006/relationships/hyperlink" Target="https://www.mass.gov/info-details/local-hazard-mitigation-planning" TargetMode="External"/><Relationship Id="rId288" Type="http://schemas.openxmlformats.org/officeDocument/2006/relationships/hyperlink" Target="https://www.epa.gov/sites/default/files/2016-01/documents/schools_renov_brochure-8_5x11_final.pdf" TargetMode="External"/><Relationship Id="rId106" Type="http://schemas.openxmlformats.org/officeDocument/2006/relationships/hyperlink" Target="https://profiles.doe.mass.edu/statereport/selectedpopulations.aspx" TargetMode="External"/><Relationship Id="rId127" Type="http://schemas.openxmlformats.org/officeDocument/2006/relationships/image" Target="media/image36.jpg"/><Relationship Id="rId313" Type="http://schemas.openxmlformats.org/officeDocument/2006/relationships/hyperlink" Target="https://www.epa.gov/pcbs/epa-regional-polychlorinated-biphenyl-pcb-programs%20-%20r1" TargetMode="External"/><Relationship Id="rId10" Type="http://schemas.openxmlformats.org/officeDocument/2006/relationships/endnotes" Target="endnotes.xml"/><Relationship Id="rId31" Type="http://schemas.openxmlformats.org/officeDocument/2006/relationships/hyperlink" Target="https://www.mass.gov/orgs/childhood-lead-poisoning-prevention-program" TargetMode="External"/><Relationship Id="rId52" Type="http://schemas.openxmlformats.org/officeDocument/2006/relationships/hyperlink" Target="https://www.mass.gov/files/documents/2023/10/24/CLIMATE%20REPORT.pdf" TargetMode="External"/><Relationship Id="rId73" Type="http://schemas.openxmlformats.org/officeDocument/2006/relationships/hyperlink" Target="https://www.mass.gov/water-smart" TargetMode="External"/><Relationship Id="rId94" Type="http://schemas.openxmlformats.org/officeDocument/2006/relationships/hyperlink" Target="https://matracking.ehs.state.ma.us/" TargetMode="External"/><Relationship Id="rId148" Type="http://schemas.openxmlformats.org/officeDocument/2006/relationships/hyperlink" Target="https://www.mass.gov/water-smart" TargetMode="External"/><Relationship Id="rId169" Type="http://schemas.openxmlformats.org/officeDocument/2006/relationships/hyperlink" Target="https://www.nationalgridus.com/Geothermal-Energy-MA" TargetMode="External"/><Relationship Id="rId334" Type="http://schemas.openxmlformats.org/officeDocument/2006/relationships/hyperlink" Target="https://matracking.ehs.state.ma.us/Environmental-Data/Water-Quality/index.html" TargetMode="External"/><Relationship Id="rId355" Type="http://schemas.openxmlformats.org/officeDocument/2006/relationships/hyperlink" Target="https://www.epa.gov/ipm/regional-ipm-contacts" TargetMode="External"/><Relationship Id="rId376" Type="http://schemas.openxmlformats.org/officeDocument/2006/relationships/hyperlink" Target="https://johnstalkerinstitute.org/resource/food-allergies-intolerances/" TargetMode="External"/><Relationship Id="rId4" Type="http://schemas.openxmlformats.org/officeDocument/2006/relationships/customXml" Target="../customXml/item4.xml"/><Relationship Id="rId180" Type="http://schemas.openxmlformats.org/officeDocument/2006/relationships/hyperlink" Target="https://betterbuildingssolutioncenter.energy.gov/sites/default/files/attachments/NREL_ZE_K12_Study.pdf" TargetMode="External"/><Relationship Id="rId215" Type="http://schemas.openxmlformats.org/officeDocument/2006/relationships/hyperlink" Target="https://thegreenteam.org/" TargetMode="External"/><Relationship Id="rId236" Type="http://schemas.openxmlformats.org/officeDocument/2006/relationships/hyperlink" Target="https://mor-ev.org/about" TargetMode="External"/><Relationship Id="rId257" Type="http://schemas.openxmlformats.org/officeDocument/2006/relationships/hyperlink" Target="https://www.mass.gov/doc/matrix-of-massevip-grant-programs/download" TargetMode="External"/><Relationship Id="rId278" Type="http://schemas.openxmlformats.org/officeDocument/2006/relationships/hyperlink" Target="https://www.cdc.gov/orr/school-preparedness/infection-prevention/index.html" TargetMode="External"/><Relationship Id="rId303" Type="http://schemas.openxmlformats.org/officeDocument/2006/relationships/hyperlink" Target="https://www.epa.gov/pcbs/technical-guidance-determining-presence-manufactured-pcb-products-buildings-and-other" TargetMode="External"/><Relationship Id="rId42" Type="http://schemas.openxmlformats.org/officeDocument/2006/relationships/hyperlink" Target="https://odphp.health.gov/healthypeople" TargetMode="External"/><Relationship Id="rId84" Type="http://schemas.openxmlformats.org/officeDocument/2006/relationships/hyperlink" Target="https://www.massschoolbuildings.org/sites/default/files/edit-contentfiles/Programs/School_Survey/2016/MSBA%202016%20Survey%20Report_102417-FINAL.pdf" TargetMode="External"/><Relationship Id="rId138" Type="http://schemas.openxmlformats.org/officeDocument/2006/relationships/hyperlink" Target="https://www.massschoolbuildings.org/building/SOIs/CP_Process_Overview" TargetMode="External"/><Relationship Id="rId345" Type="http://schemas.openxmlformats.org/officeDocument/2006/relationships/hyperlink" Target="https://www.mass.gov/info-details/per-and-polyfluoroalkyl-substances-pfas-in-drinking-water" TargetMode="External"/><Relationship Id="rId387" Type="http://schemas.openxmlformats.org/officeDocument/2006/relationships/hyperlink" Target="https://www.washington.edu/doit/universal-design-education-principles-and-applications" TargetMode="External"/><Relationship Id="rId191" Type="http://schemas.openxmlformats.org/officeDocument/2006/relationships/hyperlink" Target="https://www.epa.gov/watersense/best-management-practices" TargetMode="External"/><Relationship Id="rId205" Type="http://schemas.openxmlformats.org/officeDocument/2006/relationships/hyperlink" Target="https://www.epa.gov/watersense/find-pro" TargetMode="External"/><Relationship Id="rId247" Type="http://schemas.openxmlformats.org/officeDocument/2006/relationships/hyperlink" Target="https://www.epa.gov/system/files/documents/2024-09/420b24044.pdf" TargetMode="External"/><Relationship Id="rId107" Type="http://schemas.openxmlformats.org/officeDocument/2006/relationships/image" Target="media/image24.png"/><Relationship Id="rId289" Type="http://schemas.openxmlformats.org/officeDocument/2006/relationships/hyperlink" Target="https://www.epa.gov/sites/default/files/2014-10/documents/energy_savings_plus_health_guideline.pdf" TargetMode="External"/><Relationship Id="rId11" Type="http://schemas.openxmlformats.org/officeDocument/2006/relationships/image" Target="media/image1.jpeg"/><Relationship Id="rId53" Type="http://schemas.openxmlformats.org/officeDocument/2006/relationships/hyperlink" Target="https://www.mass.gov/files/documents/2023/10/24/CLIMATE%20REPORT.pdf" TargetMode="External"/><Relationship Id="rId149" Type="http://schemas.openxmlformats.org/officeDocument/2006/relationships/hyperlink" Target="https://www.masssave.com/business/programs-and-services/building-energy-assessments" TargetMode="External"/><Relationship Id="rId314" Type="http://schemas.openxmlformats.org/officeDocument/2006/relationships/hyperlink" Target="https://www.epa.gov/sites/default/files/2021-05/documents/final_pcb_buildings_fact_sheet_05-10-2021_to_upload.pdf" TargetMode="External"/><Relationship Id="rId356" Type="http://schemas.openxmlformats.org/officeDocument/2006/relationships/hyperlink" Target="https://www.mass.gov/info-details/integrated-pest-management-programs" TargetMode="External"/><Relationship Id="rId95" Type="http://schemas.openxmlformats.org/officeDocument/2006/relationships/hyperlink" Target="https://dphanalytics.hhs.mass.gov/ibmcognos/bi/?perspective=authoring&amp;pathRef=.public_folders%2FMEPHTN%2Fhealth%2Fpediatric&amp;id=i4601D718BE5B4C8294AF4E98424DD6E2&amp;closeWindowOnLastView=true&amp;ui_appbar=false&amp;ui_navbar=false&amp;objRef=i4601D718BE5B4C8294AF4E98424DD6E2&amp;action=run&amp;format=HTML&amp;cmPropStr=%7B%22id%22%3A%22i4601D718BE5B4C8294AF4E98424DD6E2%22%2C%22type%22%3A%22report%22%2C%22defaultName%22%3A%22pediatric%22%2C%22permissions%22%3A%5B%22execute%22%2C%22read%22%2C%22traverse%22%5D%7D" TargetMode="External"/><Relationship Id="rId160" Type="http://schemas.openxmlformats.org/officeDocument/2006/relationships/hyperlink" Target="https://lookerstudio.google.com/u/0/reporting/4f1c7692-ac07-49f2-a327-0fdaaa132d9e/page/p_1icx1zyr9c" TargetMode="External"/><Relationship Id="rId216" Type="http://schemas.openxmlformats.org/officeDocument/2006/relationships/hyperlink" Target="https://www.storyofstuff.org/" TargetMode="External"/><Relationship Id="rId258" Type="http://schemas.openxmlformats.org/officeDocument/2006/relationships/hyperlink" Target="https://electricschoolbusinitiative.org/all-about-working-your-electric-utility" TargetMode="External"/><Relationship Id="rId22" Type="http://schemas.openxmlformats.org/officeDocument/2006/relationships/hyperlink" Target="https://www.mass.gov/orgs/environmental-toxicology-program" TargetMode="External"/><Relationship Id="rId64" Type="http://schemas.openxmlformats.org/officeDocument/2006/relationships/hyperlink" Target="https://www.mass.gov/info-details/massachusetts-climate-change-assessment" TargetMode="External"/><Relationship Id="rId118" Type="http://schemas.openxmlformats.org/officeDocument/2006/relationships/image" Target="media/image30.png"/><Relationship Id="rId325" Type="http://schemas.openxmlformats.org/officeDocument/2006/relationships/hyperlink" Target="https://www.maasthma.org/toolkit/outdoorairpollution" TargetMode="External"/><Relationship Id="rId367" Type="http://schemas.openxmlformats.org/officeDocument/2006/relationships/hyperlink" Target="https://www.mass.gov/info-details/mercury-spill-clean-up-procedure" TargetMode="External"/><Relationship Id="rId171" Type="http://schemas.openxmlformats.org/officeDocument/2006/relationships/hyperlink" Target="https://www.nationalgridus.com/Geothermal-Energy-MA" TargetMode="External"/><Relationship Id="rId227" Type="http://schemas.openxmlformats.org/officeDocument/2006/relationships/hyperlink" Target="https://www.wbur.org/news/2023/04/18/beverly-electric-school-bus-summer-grid" TargetMode="External"/><Relationship Id="rId269" Type="http://schemas.openxmlformats.org/officeDocument/2006/relationships/hyperlink" Target="https://www.mass.gov/info-details/2023-resilientmass-plan" TargetMode="External"/><Relationship Id="rId33" Type="http://schemas.openxmlformats.org/officeDocument/2006/relationships/hyperlink" Target="https://www.mass.gov/orgs/food-protection-program" TargetMode="External"/><Relationship Id="rId129" Type="http://schemas.openxmlformats.org/officeDocument/2006/relationships/hyperlink" Target="https://profiles.doe.mass.edu/statereport/dropout.aspx" TargetMode="External"/><Relationship Id="rId280" Type="http://schemas.openxmlformats.org/officeDocument/2006/relationships/hyperlink" Target="https://schools.forhealth.org/" TargetMode="External"/><Relationship Id="rId336" Type="http://schemas.openxmlformats.org/officeDocument/2006/relationships/hyperlink" Target="https://www.mass.gov/info-details/lead-and-copper-in-school-drinking-water-sampling-results" TargetMode="External"/><Relationship Id="rId75" Type="http://schemas.openxmlformats.org/officeDocument/2006/relationships/hyperlink" Target="https://www.mass.gov/info-details/public-water-supplier-document-search" TargetMode="External"/><Relationship Id="rId140" Type="http://schemas.openxmlformats.org/officeDocument/2006/relationships/hyperlink" Target="https://www.mass.gov/municipal-vulnerability-preparedness-mvp-program" TargetMode="External"/><Relationship Id="rId182" Type="http://schemas.openxmlformats.org/officeDocument/2006/relationships/hyperlink" Target="https://betterbuildingssolutioncenter.energy.gov/sites/default/files/attachments/ERP_Framework_Building_Portfolios.pdf" TargetMode="External"/><Relationship Id="rId378" Type="http://schemas.openxmlformats.org/officeDocument/2006/relationships/hyperlink" Target="https://neusha.org/wp-content/uploads/2017/05/malta2016.pdf" TargetMode="External"/><Relationship Id="rId6" Type="http://schemas.openxmlformats.org/officeDocument/2006/relationships/styles" Target="styles.xml"/><Relationship Id="rId238" Type="http://schemas.openxmlformats.org/officeDocument/2006/relationships/hyperlink" Target="https://www.nasdaq.com/articles/im-a-mechanic:-heres-why-an-ev-may-end-up-being-more-expensive-than-a-traditional-car" TargetMode="External"/><Relationship Id="rId291" Type="http://schemas.openxmlformats.org/officeDocument/2006/relationships/hyperlink" Target="https://www.mass.gov/doc/massdep-faq-the-massachusetts-anti-idling-law/download" TargetMode="External"/><Relationship Id="rId305" Type="http://schemas.openxmlformats.org/officeDocument/2006/relationships/hyperlink" Target="https://www.epa.gov/pcbs/steps-safe-pcb-abatement-activities" TargetMode="External"/><Relationship Id="rId347" Type="http://schemas.openxmlformats.org/officeDocument/2006/relationships/hyperlink" Target="https://www.epa.gov/pfas/key-epa-actions-address-pfas" TargetMode="External"/><Relationship Id="rId44" Type="http://schemas.openxmlformats.org/officeDocument/2006/relationships/image" Target="media/image2.png"/><Relationship Id="rId86" Type="http://schemas.openxmlformats.org/officeDocument/2006/relationships/image" Target="media/image11.jpg"/><Relationship Id="rId151" Type="http://schemas.openxmlformats.org/officeDocument/2006/relationships/hyperlink" Target="https://www.masssave.com/business/programs-and-services/commercialconnectedsolutions" TargetMode="External"/><Relationship Id="rId389" Type="http://schemas.openxmlformats.org/officeDocument/2006/relationships/theme" Target="theme/theme1.xml"/><Relationship Id="rId193" Type="http://schemas.openxmlformats.org/officeDocument/2006/relationships/hyperlink" Target="https://www.mass.gov/guides/school-recreation-and-facilities-managers" TargetMode="External"/><Relationship Id="rId207" Type="http://schemas.openxmlformats.org/officeDocument/2006/relationships/hyperlink" Target="https://www.epa.gov/watersense/best-management-practices" TargetMode="External"/><Relationship Id="rId249" Type="http://schemas.openxmlformats.org/officeDocument/2006/relationships/hyperlink" Target="https://www.epa.gov/system/files/documents/2023-09/updated-dera-national-program-nofo-fy22-fy23.pdf" TargetMode="External"/><Relationship Id="rId13" Type="http://schemas.openxmlformats.org/officeDocument/2006/relationships/header" Target="header2.xml"/><Relationship Id="rId109" Type="http://schemas.openxmlformats.org/officeDocument/2006/relationships/image" Target="media/image25.png"/><Relationship Id="rId260" Type="http://schemas.openxmlformats.org/officeDocument/2006/relationships/hyperlink" Target="https://afdc.energy.gov/fuels/electricity-infrastructure-development" TargetMode="External"/><Relationship Id="rId316" Type="http://schemas.openxmlformats.org/officeDocument/2006/relationships/hyperlink" Target="https://www.mass.gov/info-details/pcbs-polychlorinated-biphenyls-in-building-materials" TargetMode="External"/><Relationship Id="rId55" Type="http://schemas.openxmlformats.org/officeDocument/2006/relationships/image" Target="media/image3.jpeg"/><Relationship Id="rId97" Type="http://schemas.openxmlformats.org/officeDocument/2006/relationships/image" Target="media/image18.png"/><Relationship Id="rId120" Type="http://schemas.openxmlformats.org/officeDocument/2006/relationships/image" Target="media/image32.png"/><Relationship Id="rId358" Type="http://schemas.openxmlformats.org/officeDocument/2006/relationships/hyperlink" Target="https://www.youtube.com/watch?v=mu8Q6XzGWpo" TargetMode="External"/><Relationship Id="rId162" Type="http://schemas.openxmlformats.org/officeDocument/2006/relationships/hyperlink" Target="https://www.mass.gov/doc/prf74-energy-climate-action-and-facility-advisory-services/download" TargetMode="External"/><Relationship Id="rId218" Type="http://schemas.openxmlformats.org/officeDocument/2006/relationships/hyperlink" Target="https://thegreenteam.org/wp-content/uploads/2014/04/Share-Table-Guidance.pdf" TargetMode="External"/><Relationship Id="rId271" Type="http://schemas.openxmlformats.org/officeDocument/2006/relationships/hyperlink" Target="https://newbuildings.org/wp-content/uploads/2024/03/School-Decarbonization-Spotlight_Resiliency_NBI-122923.pdf" TargetMode="External"/><Relationship Id="rId24" Type="http://schemas.openxmlformats.org/officeDocument/2006/relationships/hyperlink" Target="https://www.mass.gov/orgs/indoor-air-quality-program" TargetMode="External"/><Relationship Id="rId66" Type="http://schemas.openxmlformats.org/officeDocument/2006/relationships/hyperlink" Target="https://www.mass.gov/info-details/2023-resilientmass-plan" TargetMode="External"/><Relationship Id="rId131" Type="http://schemas.openxmlformats.org/officeDocument/2006/relationships/hyperlink" Target="https://profiles.doe.mass.edu/statereport/gradsattendingcollege.aspx" TargetMode="External"/><Relationship Id="rId327" Type="http://schemas.openxmlformats.org/officeDocument/2006/relationships/hyperlink" Target="https://eeaonline.eea.state.ma.us/dep/massair/web/" TargetMode="External"/><Relationship Id="rId369" Type="http://schemas.openxmlformats.org/officeDocument/2006/relationships/hyperlink" Target="https://www.turi.org/publications/artificial-turf/" TargetMode="External"/><Relationship Id="rId173" Type="http://schemas.openxmlformats.org/officeDocument/2006/relationships/hyperlink" Target="https://www.massschoolbuildings.org/programs/Geothermal_Schools" TargetMode="External"/><Relationship Id="rId229" Type="http://schemas.openxmlformats.org/officeDocument/2006/relationships/hyperlink" Target="https://electricschoolbusinitiative.org/electric-school-bus-series-powering-grid-cajon-valley-union-school-district" TargetMode="External"/><Relationship Id="rId380" Type="http://schemas.openxmlformats.org/officeDocument/2006/relationships/hyperlink" Target="https://betterbuildingssolutioncenter.energy.gov/k-12-lighting-toolkit" TargetMode="External"/><Relationship Id="rId240" Type="http://schemas.openxmlformats.org/officeDocument/2006/relationships/hyperlink" Target="https://www.fmcsa.dot.gov/safety/passenger-safety/accessibility-for-buses" TargetMode="External"/><Relationship Id="rId35" Type="http://schemas.openxmlformats.org/officeDocument/2006/relationships/hyperlink" Target="https://www.mass.gov/orgs/occupational-health-surveillance-program" TargetMode="External"/><Relationship Id="rId77" Type="http://schemas.openxmlformats.org/officeDocument/2006/relationships/hyperlink" Target="https://www.mass.gov/info-details/public-water-supplier-document-search" TargetMode="External"/><Relationship Id="rId100" Type="http://schemas.openxmlformats.org/officeDocument/2006/relationships/image" Target="media/image21.png"/><Relationship Id="rId282" Type="http://schemas.openxmlformats.org/officeDocument/2006/relationships/hyperlink" Target="https://www.epa.gov/asbestos/asbestos-laws-and-regulations" TargetMode="External"/><Relationship Id="rId338" Type="http://schemas.openxmlformats.org/officeDocument/2006/relationships/hyperlink" Target="https://www.mass.gov/info-details/lead-in-drinking-water-faq-for-school-and-childcare-facilities" TargetMode="External"/><Relationship Id="rId8" Type="http://schemas.openxmlformats.org/officeDocument/2006/relationships/webSettings" Target="webSettings.xml"/><Relationship Id="rId142" Type="http://schemas.openxmlformats.org/officeDocument/2006/relationships/hyperlink" Target="https://www.masscec.com/program/green-school-works" TargetMode="External"/><Relationship Id="rId184" Type="http://schemas.openxmlformats.org/officeDocument/2006/relationships/hyperlink" Target="https://www.mass.gov/info-details/technical-potential-of-solar-study" TargetMode="External"/><Relationship Id="rId251" Type="http://schemas.openxmlformats.org/officeDocument/2006/relationships/hyperlink" Target="https://afdc.energy.gov/laws" TargetMode="External"/><Relationship Id="rId46" Type="http://schemas.openxmlformats.org/officeDocument/2006/relationships/hyperlink" Target="https://matracking.ehs.state.ma.us/Environmental-Data/ej-vulnerable-health/environmental-justice.html" TargetMode="External"/><Relationship Id="rId293" Type="http://schemas.openxmlformats.org/officeDocument/2006/relationships/hyperlink" Target="https://www.bostonpublicschools.org/Page/8810" TargetMode="External"/><Relationship Id="rId307" Type="http://schemas.openxmlformats.org/officeDocument/2006/relationships/hyperlink" Target="https://www.epa.gov/pcbs/polychlorinated-biphenyl-pcb-containing-fluorescent-light-ballasts-flbs-school-buildings" TargetMode="External"/><Relationship Id="rId349" Type="http://schemas.openxmlformats.org/officeDocument/2006/relationships/hyperlink" Target="https://www.epa.gov/chemical-research/pfas-research-extramural-funding-opportunities" TargetMode="External"/><Relationship Id="rId88" Type="http://schemas.openxmlformats.org/officeDocument/2006/relationships/image" Target="media/image13.png"/><Relationship Id="rId111" Type="http://schemas.openxmlformats.org/officeDocument/2006/relationships/image" Target="media/image26.png"/><Relationship Id="rId153" Type="http://schemas.openxmlformats.org/officeDocument/2006/relationships/header" Target="header11.xml"/><Relationship Id="rId195" Type="http://schemas.openxmlformats.org/officeDocument/2006/relationships/hyperlink" Target="https://www.energystar.gov/productfinder/" TargetMode="External"/><Relationship Id="rId209" Type="http://schemas.openxmlformats.org/officeDocument/2006/relationships/hyperlink" Target="https://thegreenteam.org/wp-content/uploads/2014/04/Share-Table-Guidance.pdf" TargetMode="External"/><Relationship Id="rId360" Type="http://schemas.openxmlformats.org/officeDocument/2006/relationships/hyperlink" Target="https://www.mass.gov/guides/about-the-toxics-use-reduction-act-tura-program" TargetMode="External"/><Relationship Id="rId220" Type="http://schemas.openxmlformats.org/officeDocument/2006/relationships/hyperlink" Target="https://recyclingworksma.com/wp-content/uploads/2016/07/On-Site-Systems-for-Managing-Food-Waste-1.pdf" TargetMode="External"/><Relationship Id="rId15" Type="http://schemas.openxmlformats.org/officeDocument/2006/relationships/header" Target="header3.xml"/><Relationship Id="rId57" Type="http://schemas.openxmlformats.org/officeDocument/2006/relationships/hyperlink" Target="https://www.massschoolbuildings.org/programs/all_electric_schools" TargetMode="External"/><Relationship Id="rId262" Type="http://schemas.openxmlformats.org/officeDocument/2006/relationships/hyperlink" Target="https://resilient.mass.gov/rmat_home/designstandards/" TargetMode="External"/><Relationship Id="rId318" Type="http://schemas.openxmlformats.org/officeDocument/2006/relationships/hyperlink" Target="https://www.mass.gov/info-details/radon-in-schools" TargetMode="External"/><Relationship Id="rId99" Type="http://schemas.openxmlformats.org/officeDocument/2006/relationships/image" Target="media/image20.jpg"/><Relationship Id="rId122" Type="http://schemas.openxmlformats.org/officeDocument/2006/relationships/hyperlink" Target="https://www.mass.gov/info-details/cumulative-impact-analysis-in-air-quality-permitting" TargetMode="External"/><Relationship Id="rId164" Type="http://schemas.openxmlformats.org/officeDocument/2006/relationships/hyperlink" Target="https://www.cambridgema.gov/CDD/zoninganddevelopment/sustainabledevelopment/buildingenergydisclosureordinance" TargetMode="External"/><Relationship Id="rId371" Type="http://schemas.openxmlformats.org/officeDocument/2006/relationships/hyperlink" Target="https://www.turi.org/publications/athletic-playing-fields-choosing-safer-options-for-health-and-the-environment/" TargetMode="External"/><Relationship Id="rId26" Type="http://schemas.openxmlformats.org/officeDocument/2006/relationships/hyperlink" Target="https://matracking.ehs.state.ma.us/" TargetMode="External"/><Relationship Id="rId231" Type="http://schemas.openxmlformats.org/officeDocument/2006/relationships/hyperlink" Target="https://www.epa.gov/dera" TargetMode="External"/><Relationship Id="rId273" Type="http://schemas.openxmlformats.org/officeDocument/2006/relationships/hyperlink" Target="https://www.undauntedk12.org/massachusetts" TargetMode="External"/><Relationship Id="rId329" Type="http://schemas.openxmlformats.org/officeDocument/2006/relationships/hyperlink" Target="https://nepis.epa.gov/Exe/ZyPDF.cgi?Dockey=P1013GDE.pdf" TargetMode="External"/><Relationship Id="rId68" Type="http://schemas.openxmlformats.org/officeDocument/2006/relationships/image" Target="media/image6.png"/><Relationship Id="rId133" Type="http://schemas.openxmlformats.org/officeDocument/2006/relationships/image" Target="media/image40.jpeg"/><Relationship Id="rId175" Type="http://schemas.openxmlformats.org/officeDocument/2006/relationships/hyperlink" Target="https://cleanenergyeducation.org/" TargetMode="External"/><Relationship Id="rId340" Type="http://schemas.openxmlformats.org/officeDocument/2006/relationships/hyperlink" Target="https://www.epa.gov/dwcapacity/wiin-grant-voluntary-school-and-child-care-lead-testing-and-reduction-grant-progra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alegislature.gov/Bills/193/HD958" TargetMode="External"/><Relationship Id="rId1" Type="http://schemas.openxmlformats.org/officeDocument/2006/relationships/hyperlink" Target="https://www.mass.gov/pediatric-asthma-and-diabetes-surveil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4F48A45B4034EAA3C5FFC0DCF5F1C" ma:contentTypeVersion="21" ma:contentTypeDescription="Create a new document." ma:contentTypeScope="" ma:versionID="18b866c5caa5b9f8e572968cf3e9cb86">
  <xsd:schema xmlns:xsd="http://www.w3.org/2001/XMLSchema" xmlns:xs="http://www.w3.org/2001/XMLSchema" xmlns:p="http://schemas.microsoft.com/office/2006/metadata/properties" xmlns:ns2="f23012b6-63a4-4e07-ac2e-c6ae5b6a5502" xmlns:ns3="88f2a904-7474-4d7f-9912-a5b9f53cfff9" targetNamespace="http://schemas.microsoft.com/office/2006/metadata/properties" ma:root="true" ma:fieldsID="6f0e8d85c5fbed1565c92c76a654efd1" ns2:_="" ns3:_="">
    <xsd:import namespace="f23012b6-63a4-4e07-ac2e-c6ae5b6a5502"/>
    <xsd:import namespace="88f2a904-7474-4d7f-9912-a5b9f53cff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Ad" minOccurs="0"/>
                <xsd:element ref="ns2:Notes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_Flow_SignoffStatus" minOccurs="0"/>
                <xsd:element ref="ns2:MediaServiceSearchProperties" minOccurs="0"/>
                <xsd:element ref="ns2:MediaLengthInSecond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012b6-63a4-4e07-ac2e-c6ae5b6a5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Ad" ma:index="13" nillable="true" ma:displayName="Lever Link" ma:format="Image" ma:internalName="Ad">
      <xsd:complexType>
        <xsd:complexContent>
          <xsd:extension base="dms:URL">
            <xsd:sequence>
              <xsd:element name="Url" type="dms:ValidUrl" minOccurs="0" nillable="true"/>
              <xsd:element name="Description" type="xsd:string" nillable="true"/>
            </xsd:sequence>
          </xsd:extension>
        </xsd:complexContent>
      </xsd:complexType>
    </xsd:element>
    <xsd:element name="Notes0" ma:index="14" nillable="true" ma:displayName="Notes" ma:format="Dropdown" ma:internalName="Notes0">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96de28-cb53-43b9-a38b-bef149b2430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Note" ma:index="26"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f2a904-7474-4d7f-9912-a5b9f53cff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83df2fc-ce9c-40d3-92fc-54ea127be4d3}" ma:internalName="TaxCatchAll" ma:showField="CatchAllData" ma:web="88f2a904-7474-4d7f-9912-a5b9f53cf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 xmlns="f23012b6-63a4-4e07-ac2e-c6ae5b6a5502" xsi:nil="true"/>
    <TaxCatchAll xmlns="88f2a904-7474-4d7f-9912-a5b9f53cfff9" xsi:nil="true"/>
    <Notes0 xmlns="f23012b6-63a4-4e07-ac2e-c6ae5b6a5502" xsi:nil="true"/>
    <Ad xmlns="f23012b6-63a4-4e07-ac2e-c6ae5b6a5502">
      <Url xsi:nil="true"/>
      <Description xsi:nil="true"/>
    </Ad>
    <lcf76f155ced4ddcb4097134ff3c332f xmlns="f23012b6-63a4-4e07-ac2e-c6ae5b6a5502">
      <Terms xmlns="http://schemas.microsoft.com/office/infopath/2007/PartnerControls"/>
    </lcf76f155ced4ddcb4097134ff3c332f>
    <_Flow_SignoffStatus xmlns="f23012b6-63a4-4e07-ac2e-c6ae5b6a5502" xsi:nil="true"/>
  </documentManagement>
</p:properties>
</file>

<file path=customXml/itemProps1.xml><?xml version="1.0" encoding="utf-8"?>
<ds:datastoreItem xmlns:ds="http://schemas.openxmlformats.org/officeDocument/2006/customXml" ds:itemID="{C194DE85-FAA9-48AB-8D20-0DAA34ADBA7C}">
  <ds:schemaRefs>
    <ds:schemaRef ds:uri="http://schemas.microsoft.com/sharepoint/v3/contenttype/forms"/>
  </ds:schemaRefs>
</ds:datastoreItem>
</file>

<file path=customXml/itemProps2.xml><?xml version="1.0" encoding="utf-8"?>
<ds:datastoreItem xmlns:ds="http://schemas.openxmlformats.org/officeDocument/2006/customXml" ds:itemID="{DFF7D2F1-DCD9-44C6-9C17-71C6F7012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012b6-63a4-4e07-ac2e-c6ae5b6a5502"/>
    <ds:schemaRef ds:uri="88f2a904-7474-4d7f-9912-a5b9f53cf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262BC-F425-4B8E-8C93-DC2FF87F844A}">
  <ds:schemaRefs>
    <ds:schemaRef ds:uri="http://schemas.openxmlformats.org/officeDocument/2006/bibliography"/>
  </ds:schemaRefs>
</ds:datastoreItem>
</file>

<file path=customXml/itemProps4.xml><?xml version="1.0" encoding="utf-8"?>
<ds:datastoreItem xmlns:ds="http://schemas.openxmlformats.org/officeDocument/2006/customXml" ds:itemID="{B709F3E1-CEBA-4221-8E09-B62573A1D32C}">
  <ds:schemaRefs>
    <ds:schemaRef ds:uri="http://schemas.microsoft.com/office/2006/metadata/properties"/>
    <ds:schemaRef ds:uri="http://schemas.microsoft.com/office/infopath/2007/PartnerControls"/>
    <ds:schemaRef ds:uri="f23012b6-63a4-4e07-ac2e-c6ae5b6a5502"/>
    <ds:schemaRef ds:uri="88f2a904-7474-4d7f-9912-a5b9f53cfff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322</Pages>
  <Words>195366</Words>
  <Characters>1224949</Characters>
  <Application>Microsoft Office Word</Application>
  <DocSecurity>0</DocSecurity>
  <Lines>28487</Lines>
  <Paragraphs>14062</Paragraphs>
  <ScaleCrop>false</ScaleCrop>
  <HeadingPairs>
    <vt:vector size="2" baseType="variant">
      <vt:variant>
        <vt:lpstr>Title</vt:lpstr>
      </vt:variant>
      <vt:variant>
        <vt:i4>1</vt:i4>
      </vt:variant>
    </vt:vector>
  </HeadingPairs>
  <TitlesOfParts>
    <vt:vector size="1" baseType="lpstr">
      <vt:lpstr>Methods, Best Practices, and Standards for Achieving Green and Healthy Schools in the Commonwealth of Massachusetts</vt:lpstr>
    </vt:vector>
  </TitlesOfParts>
  <Company/>
  <LinksUpToDate>false</LinksUpToDate>
  <CharactersWithSpaces>1406253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 Best Practices, and Standards for Achieving Green and Healthy Schools in the Commonwealth of Massachusetts</dc:title>
  <dc:subject>Methods, Best Practices, and Standards for Achieving Green and Healthy Schools in the Commonwealth of Massachusetts</dc:subject>
  <dc:creator>Massachusetts Department of Public Health, Bureau of Climate and Environmental Health</dc:creator>
  <cp:keywords>Massachusetts, Environmental Health, Sustainability, K-12 Schools, Education, Equity, Energy Efficiency, Decarbonization</cp:keywords>
  <cp:lastModifiedBy>Jeff Eggleston</cp:lastModifiedBy>
  <cp:revision>3</cp:revision>
  <cp:lastPrinted>2025-03-08T20:07:00Z</cp:lastPrinted>
  <dcterms:created xsi:type="dcterms:W3CDTF">2025-06-03T13:57:00Z</dcterms:created>
  <dcterms:modified xsi:type="dcterms:W3CDTF">2025-06-03T14:02:00Z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0x0101007804F48A45B4034EAA3C5FFC0DCF5F1C</vt:lpwstr>
  </property>
  <property fmtid="{D5CDD505-2E9C-101B-9397-08002B2CF9AE}" pid="3" name="MediaServiceImageTags">
    <vt:lpwstr/>
  </property>
  <property fmtid="{D5CDD505-2E9C-101B-9397-08002B2CF9AE}" pid="4" name="ZOTERO_PREF_2">
    <vt:lpwstr>name="delayCitationUpdates" value="true"/&gt;&lt;pref name="dontAskDelayCitationUpdates" value="true"/&gt;&lt;/prefs&gt;&lt;/data&gt;</vt:lpwstr>
  </property>
  <property fmtid="{D5CDD505-2E9C-101B-9397-08002B2CF9AE}" pid="5" name="ZOTERO_PREF_1">
    <vt:lpwstr>&lt;data data-version="3" zotero-version="7.0.14"&gt;&lt;session id="UYaNeB3l"/&gt;&lt;style id="http://www.zotero.org/styles/apa-numeric-superscript" locale="en-US" hasBibliography="1" bibliographyStyleHasBeenSet="1"/&gt;&lt;prefs&gt;&lt;pref name="fieldType" value="Field"/&gt;&lt;pref </vt:lpwstr>
  </property>
  <property fmtid="{D5CDD505-2E9C-101B-9397-08002B2CF9AE}" pid="6" name="GrammarlyDocumentId">
    <vt:lpwstr>48e65c56-7707-4030-a06c-9b587c46349c</vt:lpwstr>
  </property>
</Properties>
</file>