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E6D8" w14:textId="7BF8E473" w:rsidR="00710D8B" w:rsidRDefault="006E7E46">
      <w:r w:rsidRPr="00B951B4">
        <w:t>105 CMR 210.000 – Administration of Medications in Schools</w:t>
      </w:r>
    </w:p>
    <w:p w14:paraId="26836CED" w14:textId="77777777" w:rsidR="006E7E46" w:rsidRDefault="006E7E46"/>
    <w:p w14:paraId="00938857" w14:textId="5CF11B4B" w:rsidR="006E7E46" w:rsidRDefault="005726BC">
      <w:r>
        <w:t xml:space="preserve">Public </w:t>
      </w:r>
      <w:r w:rsidR="00EB5DAB">
        <w:t>Hearing 2/13/25 2:00 pm</w:t>
      </w:r>
    </w:p>
    <w:p w14:paraId="7967C938" w14:textId="77777777" w:rsidR="00EB5DAB" w:rsidRDefault="00EB5DAB"/>
    <w:p w14:paraId="08FCC1E3" w14:textId="3F2B6940" w:rsidR="00EB5DAB" w:rsidRDefault="00871A9A">
      <w:r>
        <w:t xml:space="preserve">Dear </w:t>
      </w:r>
      <w:r w:rsidR="002F5314">
        <w:t>Commissioner Goldstein, MD, PHD</w:t>
      </w:r>
    </w:p>
    <w:p w14:paraId="79008F4B" w14:textId="77777777" w:rsidR="002F5314" w:rsidRDefault="002F5314"/>
    <w:p w14:paraId="5430FB8C" w14:textId="14ACF9FA" w:rsidR="00D04B5E" w:rsidRDefault="00D04B5E">
      <w:r>
        <w:t xml:space="preserve">I am writing to provide my comments on the rules around the Administration in Schools. </w:t>
      </w:r>
    </w:p>
    <w:p w14:paraId="295C684E" w14:textId="77777777" w:rsidR="00D04B5E" w:rsidRDefault="00D04B5E"/>
    <w:p w14:paraId="5CD5F34F" w14:textId="4AA5168E" w:rsidR="00D04B5E" w:rsidRDefault="00D04B5E">
      <w:r>
        <w:t xml:space="preserve">I serve as </w:t>
      </w:r>
      <w:r w:rsidR="00E008B2">
        <w:t xml:space="preserve">a </w:t>
      </w:r>
      <w:r w:rsidR="00C53E9B">
        <w:t xml:space="preserve">volunteer, appointed school committee member from North Attleboro </w:t>
      </w:r>
      <w:r w:rsidR="00C50F68">
        <w:t>to the Tri-Country Regional Vocations High School</w:t>
      </w:r>
      <w:r w:rsidR="004E5E0C">
        <w:t xml:space="preserve"> in Franklin, MA. I am also the father of a student at the school. My comments are personal and do not represent</w:t>
      </w:r>
      <w:r w:rsidR="00075CCF">
        <w:t xml:space="preserve"> the committee. </w:t>
      </w:r>
    </w:p>
    <w:p w14:paraId="27A181AA" w14:textId="54D81CF9" w:rsidR="002F5314" w:rsidRDefault="004F7DF4">
      <w:r>
        <w:t>My son was</w:t>
      </w:r>
      <w:r w:rsidR="00CF6C16">
        <w:t xml:space="preserve"> hospitalized for multiple days</w:t>
      </w:r>
      <w:r w:rsidR="00BB63F9">
        <w:t xml:space="preserve"> at Hasbro Children’s Hospital in Providence, RI. </w:t>
      </w:r>
      <w:r w:rsidR="00CF6C16">
        <w:t xml:space="preserve"> for Cel</w:t>
      </w:r>
      <w:r w:rsidR="00BB63F9">
        <w:t xml:space="preserve">lulitis. This was a scary time for </w:t>
      </w:r>
      <w:r w:rsidR="00D42C97">
        <w:t>him and our family. Fortunately</w:t>
      </w:r>
      <w:r w:rsidR="00E008B2">
        <w:t>,</w:t>
      </w:r>
      <w:r w:rsidR="00D42C97">
        <w:t xml:space="preserve"> with aggressive treatment</w:t>
      </w:r>
      <w:r w:rsidR="00E008B2">
        <w:t>,</w:t>
      </w:r>
      <w:r w:rsidR="00D42C97">
        <w:t xml:space="preserve"> he has made a full recovery. </w:t>
      </w:r>
    </w:p>
    <w:p w14:paraId="56E8692C" w14:textId="4FBE38AF" w:rsidR="00D42C97" w:rsidRDefault="00D42C97">
      <w:r>
        <w:t xml:space="preserve">This experience </w:t>
      </w:r>
      <w:r w:rsidR="00E008B2">
        <w:t>provided</w:t>
      </w:r>
      <w:r>
        <w:t xml:space="preserve"> me </w:t>
      </w:r>
      <w:r w:rsidR="00E008B2">
        <w:t xml:space="preserve">with </w:t>
      </w:r>
      <w:r w:rsidR="00E367EB">
        <w:t xml:space="preserve">a unique perspective on the regulations that we are discussing </w:t>
      </w:r>
      <w:r w:rsidR="00674F93">
        <w:t>today,</w:t>
      </w:r>
      <w:r w:rsidR="00E367EB">
        <w:t xml:space="preserve"> and I </w:t>
      </w:r>
      <w:r w:rsidR="00E008B2">
        <w:t>have</w:t>
      </w:r>
      <w:r w:rsidR="00E367EB">
        <w:t xml:space="preserve"> the following recommendations that I would ask that you consider:</w:t>
      </w:r>
    </w:p>
    <w:p w14:paraId="2468C9D1" w14:textId="3326842A" w:rsidR="00D42C97" w:rsidRDefault="001D1B69">
      <w:r>
        <w:t>C</w:t>
      </w:r>
      <w:r w:rsidR="0052799B">
        <w:t>omments on</w:t>
      </w:r>
      <w:r>
        <w:t>:</w:t>
      </w:r>
      <w:r w:rsidR="0052799B">
        <w:br/>
      </w:r>
    </w:p>
    <w:p w14:paraId="76027A39" w14:textId="598EC270" w:rsidR="0052799B" w:rsidRDefault="0052799B">
      <w:r w:rsidRPr="0052799B">
        <w:t>210.006: Self Administration of Prescription Medications</w:t>
      </w:r>
      <w:r w:rsidR="007C12D5">
        <w:rPr>
          <w:rStyle w:val="FootnoteReference"/>
        </w:rPr>
        <w:footnoteReference w:id="1"/>
      </w:r>
    </w:p>
    <w:p w14:paraId="258109DB" w14:textId="1DFCBB23" w:rsidR="0052799B" w:rsidRDefault="0052799B">
      <w:r>
        <w:t xml:space="preserve">And </w:t>
      </w:r>
    </w:p>
    <w:p w14:paraId="008CCF97" w14:textId="77777777" w:rsidR="00353C5D" w:rsidRDefault="00353C5D"/>
    <w:p w14:paraId="65E8978B" w14:textId="35047ABF" w:rsidR="00F10BFE" w:rsidRDefault="00F10BFE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sz w:val="24"/>
        </w:rPr>
      </w:pPr>
      <w:r w:rsidRPr="00353C5D">
        <w:rPr>
          <w:b/>
          <w:sz w:val="24"/>
        </w:rPr>
        <w:t>Adding</w:t>
      </w:r>
      <w:r w:rsidRPr="00353C5D">
        <w:rPr>
          <w:b/>
          <w:spacing w:val="-5"/>
          <w:sz w:val="24"/>
        </w:rPr>
        <w:t xml:space="preserve"> </w:t>
      </w:r>
      <w:r w:rsidRPr="00353C5D">
        <w:rPr>
          <w:b/>
          <w:sz w:val="24"/>
        </w:rPr>
        <w:t>self-carry:</w:t>
      </w:r>
      <w:r w:rsidRPr="00353C5D">
        <w:rPr>
          <w:b/>
          <w:spacing w:val="-6"/>
          <w:sz w:val="24"/>
        </w:rPr>
        <w:t xml:space="preserve"> </w:t>
      </w:r>
      <w:r w:rsidRPr="00353C5D">
        <w:rPr>
          <w:sz w:val="24"/>
        </w:rPr>
        <w:t>While</w:t>
      </w:r>
      <w:r w:rsidRPr="00353C5D">
        <w:rPr>
          <w:spacing w:val="-6"/>
          <w:sz w:val="24"/>
        </w:rPr>
        <w:t xml:space="preserve"> </w:t>
      </w:r>
      <w:r w:rsidRPr="00353C5D">
        <w:rPr>
          <w:sz w:val="24"/>
        </w:rPr>
        <w:t>the</w:t>
      </w:r>
      <w:r w:rsidRPr="00353C5D">
        <w:rPr>
          <w:spacing w:val="-5"/>
          <w:sz w:val="24"/>
        </w:rPr>
        <w:t xml:space="preserve"> </w:t>
      </w:r>
      <w:r w:rsidRPr="00353C5D">
        <w:rPr>
          <w:sz w:val="24"/>
        </w:rPr>
        <w:t>existing</w:t>
      </w:r>
      <w:r w:rsidRPr="00353C5D">
        <w:rPr>
          <w:spacing w:val="-5"/>
          <w:sz w:val="24"/>
        </w:rPr>
        <w:t xml:space="preserve"> </w:t>
      </w:r>
      <w:r w:rsidRPr="00353C5D">
        <w:rPr>
          <w:sz w:val="24"/>
        </w:rPr>
        <w:t>regulation</w:t>
      </w:r>
      <w:r w:rsidRPr="00353C5D">
        <w:rPr>
          <w:spacing w:val="-3"/>
          <w:sz w:val="24"/>
        </w:rPr>
        <w:t xml:space="preserve"> </w:t>
      </w:r>
      <w:r w:rsidRPr="00353C5D">
        <w:rPr>
          <w:sz w:val="24"/>
        </w:rPr>
        <w:t>described</w:t>
      </w:r>
      <w:r w:rsidRPr="00353C5D">
        <w:rPr>
          <w:spacing w:val="-3"/>
          <w:sz w:val="24"/>
        </w:rPr>
        <w:t xml:space="preserve"> </w:t>
      </w:r>
      <w:r w:rsidRPr="00353C5D">
        <w:rPr>
          <w:sz w:val="24"/>
        </w:rPr>
        <w:t>circumstances</w:t>
      </w:r>
      <w:r w:rsidRPr="00353C5D">
        <w:rPr>
          <w:spacing w:val="-3"/>
          <w:sz w:val="24"/>
        </w:rPr>
        <w:t xml:space="preserve"> </w:t>
      </w:r>
      <w:r w:rsidR="00353C5D">
        <w:rPr>
          <w:rStyle w:val="FootnoteReference"/>
          <w:spacing w:val="-3"/>
          <w:sz w:val="24"/>
        </w:rPr>
        <w:footnoteReference w:id="2"/>
      </w:r>
      <w:r w:rsidRPr="00353C5D">
        <w:rPr>
          <w:sz w:val="24"/>
        </w:rPr>
        <w:t>where</w:t>
      </w:r>
      <w:r w:rsidRPr="00353C5D">
        <w:rPr>
          <w:spacing w:val="-7"/>
          <w:sz w:val="24"/>
        </w:rPr>
        <w:t xml:space="preserve"> </w:t>
      </w:r>
      <w:r w:rsidRPr="00353C5D">
        <w:rPr>
          <w:sz w:val="24"/>
        </w:rPr>
        <w:t>students could self-administer medication, it does not allow for students to self-carry medication, making self-administration impractical. The revised regulation addresses this issue by providing clear guidance for students to self-carry medication.</w:t>
      </w:r>
    </w:p>
    <w:p w14:paraId="4DF5F1D4" w14:textId="77777777" w:rsidR="00FB7504" w:rsidRDefault="00FB7504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sz w:val="24"/>
        </w:rPr>
      </w:pPr>
    </w:p>
    <w:p w14:paraId="333452D7" w14:textId="2F275A39" w:rsidR="00FB7504" w:rsidRDefault="00B13341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 xml:space="preserve">For High </w:t>
      </w:r>
      <w:r w:rsidR="00550D91">
        <w:rPr>
          <w:color w:val="156082" w:themeColor="accent1"/>
          <w:sz w:val="24"/>
        </w:rPr>
        <w:t>School-Age students, the regulations around self-carry and self-</w:t>
      </w:r>
      <w:r w:rsidR="00550D91">
        <w:rPr>
          <w:color w:val="156082" w:themeColor="accent1"/>
          <w:sz w:val="24"/>
        </w:rPr>
        <w:lastRenderedPageBreak/>
        <w:t>administration should be changed to allow for more reasonable flexibility, given the student's age and maturity</w:t>
      </w:r>
      <w:r w:rsidR="00E20AD5">
        <w:rPr>
          <w:color w:val="156082" w:themeColor="accent1"/>
          <w:sz w:val="24"/>
        </w:rPr>
        <w:t xml:space="preserve">. </w:t>
      </w:r>
      <w:r w:rsidR="00550D91">
        <w:rPr>
          <w:color w:val="156082" w:themeColor="accent1"/>
          <w:sz w:val="24"/>
        </w:rPr>
        <w:t xml:space="preserve"> </w:t>
      </w:r>
    </w:p>
    <w:p w14:paraId="1498CF42" w14:textId="77777777" w:rsidR="00D255B1" w:rsidRDefault="00D255B1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39850195" w14:textId="293EB609" w:rsidR="00D255B1" w:rsidRDefault="00D255B1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 w:rsidRPr="00A174D0">
        <w:rPr>
          <w:color w:val="156082" w:themeColor="accent1"/>
          <w:sz w:val="24"/>
          <w:highlight w:val="yellow"/>
        </w:rPr>
        <w:t xml:space="preserve">With the written permission of </w:t>
      </w:r>
      <w:r w:rsidR="00291896" w:rsidRPr="00A174D0">
        <w:rPr>
          <w:color w:val="156082" w:themeColor="accent1"/>
          <w:sz w:val="24"/>
          <w:highlight w:val="yellow"/>
        </w:rPr>
        <w:t>a parent</w:t>
      </w:r>
      <w:r w:rsidR="00A45149" w:rsidRPr="00A174D0">
        <w:rPr>
          <w:color w:val="156082" w:themeColor="accent1"/>
          <w:sz w:val="24"/>
          <w:highlight w:val="yellow"/>
        </w:rPr>
        <w:t>,</w:t>
      </w:r>
      <w:r w:rsidR="00291896" w:rsidRPr="00A174D0">
        <w:rPr>
          <w:color w:val="156082" w:themeColor="accent1"/>
          <w:sz w:val="24"/>
          <w:highlight w:val="yellow"/>
        </w:rPr>
        <w:t xml:space="preserve"> </w:t>
      </w:r>
      <w:r w:rsidR="00E04436" w:rsidRPr="00A174D0">
        <w:rPr>
          <w:color w:val="156082" w:themeColor="accent1"/>
          <w:sz w:val="24"/>
          <w:highlight w:val="yellow"/>
        </w:rPr>
        <w:t xml:space="preserve">students should </w:t>
      </w:r>
      <w:r w:rsidR="000939C3" w:rsidRPr="00A174D0">
        <w:rPr>
          <w:color w:val="156082" w:themeColor="accent1"/>
          <w:sz w:val="24"/>
          <w:highlight w:val="yellow"/>
        </w:rPr>
        <w:t>self-carry</w:t>
      </w:r>
      <w:r w:rsidR="003747DC" w:rsidRPr="00A174D0">
        <w:rPr>
          <w:color w:val="156082" w:themeColor="accent1"/>
          <w:sz w:val="24"/>
          <w:highlight w:val="yellow"/>
        </w:rPr>
        <w:t xml:space="preserve"> and </w:t>
      </w:r>
      <w:r w:rsidR="000939C3" w:rsidRPr="00A174D0">
        <w:rPr>
          <w:color w:val="156082" w:themeColor="accent1"/>
          <w:sz w:val="24"/>
          <w:highlight w:val="yellow"/>
        </w:rPr>
        <w:t>self-administer</w:t>
      </w:r>
      <w:r w:rsidR="003747DC" w:rsidRPr="00A174D0">
        <w:rPr>
          <w:color w:val="156082" w:themeColor="accent1"/>
          <w:sz w:val="24"/>
          <w:highlight w:val="yellow"/>
        </w:rPr>
        <w:t xml:space="preserve"> the </w:t>
      </w:r>
      <w:r w:rsidR="002B049B" w:rsidRPr="00A174D0">
        <w:rPr>
          <w:color w:val="156082" w:themeColor="accent1"/>
          <w:sz w:val="24"/>
          <w:highlight w:val="yellow"/>
        </w:rPr>
        <w:t>over-the-counter medication.</w:t>
      </w:r>
      <w:r w:rsidR="002B049B">
        <w:rPr>
          <w:color w:val="156082" w:themeColor="accent1"/>
          <w:sz w:val="24"/>
        </w:rPr>
        <w:t xml:space="preserve"> </w:t>
      </w:r>
    </w:p>
    <w:p w14:paraId="10932DC7" w14:textId="77777777" w:rsidR="002B0382" w:rsidRDefault="002B0382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06AC4E0E" w14:textId="7EC69309" w:rsidR="002B0382" w:rsidRDefault="002B0382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>The current procedure requires the school nurse to administer medication per the Medication Permission Form:</w:t>
      </w:r>
    </w:p>
    <w:p w14:paraId="08E90275" w14:textId="77777777" w:rsidR="00A174D0" w:rsidRDefault="00A174D0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660FAFE3" w14:textId="42D69C6C" w:rsidR="00A174D0" w:rsidRDefault="00A174D0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noProof/>
        </w:rPr>
        <w:drawing>
          <wp:inline distT="0" distB="0" distL="0" distR="0" wp14:anchorId="3E3BA184" wp14:editId="1C5D6E35">
            <wp:extent cx="5943600" cy="3862070"/>
            <wp:effectExtent l="0" t="0" r="0" b="0"/>
            <wp:docPr id="2141122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220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4EC3" w14:textId="77777777" w:rsidR="00A174D0" w:rsidRDefault="00A174D0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30F1E1D2" w14:textId="4CA3E175" w:rsidR="00A174D0" w:rsidRDefault="00A174D0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01172515" w14:textId="67E7019E" w:rsidR="00BF1C2B" w:rsidRDefault="002B1551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>I would suggest that Prescription Medication specifically antibiotics be allowed to be self-carry and self-administrated</w:t>
      </w:r>
      <w:r w:rsidR="00DC287E">
        <w:rPr>
          <w:color w:val="156082" w:themeColor="accent1"/>
          <w:sz w:val="24"/>
        </w:rPr>
        <w:t xml:space="preserve"> because of the timing requirements of dosages.  </w:t>
      </w:r>
      <w:r w:rsidR="009B66DC">
        <w:rPr>
          <w:color w:val="156082" w:themeColor="accent1"/>
          <w:sz w:val="24"/>
        </w:rPr>
        <w:t xml:space="preserve"> </w:t>
      </w:r>
      <w:r w:rsidR="00BF1C2B">
        <w:rPr>
          <w:color w:val="156082" w:themeColor="accent1"/>
          <w:sz w:val="24"/>
        </w:rPr>
        <w:t xml:space="preserve"> </w:t>
      </w:r>
    </w:p>
    <w:p w14:paraId="42F91481" w14:textId="77777777" w:rsidR="00BF1C2B" w:rsidRDefault="00BF1C2B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44A1D742" w14:textId="0FCBDD9D" w:rsidR="000E723C" w:rsidRDefault="000E723C">
      <w:pPr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br w:type="page"/>
      </w:r>
    </w:p>
    <w:p w14:paraId="1B019353" w14:textId="77777777" w:rsidR="000E723C" w:rsidRDefault="000E723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1FD38E27" w14:textId="39E2CCA9" w:rsidR="00BF1C2B" w:rsidRDefault="00D66F59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 xml:space="preserve">I </w:t>
      </w:r>
      <w:r w:rsidR="000E723C">
        <w:rPr>
          <w:color w:val="156082" w:themeColor="accent1"/>
          <w:sz w:val="24"/>
        </w:rPr>
        <w:t>would also like to comment on the regulation requiring prescriptions to be in a pharmacy or manufacturer-labeled</w:t>
      </w:r>
      <w:r w:rsidR="004E4B84">
        <w:rPr>
          <w:color w:val="156082" w:themeColor="accent1"/>
          <w:sz w:val="24"/>
        </w:rPr>
        <w:t xml:space="preserve"> container. </w:t>
      </w:r>
    </w:p>
    <w:p w14:paraId="1453F1E6" w14:textId="77777777" w:rsidR="000E723C" w:rsidRDefault="000E723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38EBE482" w14:textId="1C64AC06" w:rsidR="000E723C" w:rsidRDefault="000E723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noProof/>
        </w:rPr>
        <w:drawing>
          <wp:inline distT="0" distB="0" distL="0" distR="0" wp14:anchorId="5D282BAF" wp14:editId="5803975E">
            <wp:extent cx="5943600" cy="1793875"/>
            <wp:effectExtent l="0" t="0" r="0" b="0"/>
            <wp:docPr id="368573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738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415CD" w14:textId="4751FA08" w:rsidR="003A2FD2" w:rsidRDefault="003A2FD2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noProof/>
        </w:rPr>
        <w:lastRenderedPageBreak/>
        <w:drawing>
          <wp:inline distT="0" distB="0" distL="0" distR="0" wp14:anchorId="6D44FD79" wp14:editId="3A78D75E">
            <wp:extent cx="5943600" cy="5717540"/>
            <wp:effectExtent l="0" t="0" r="0" b="0"/>
            <wp:docPr id="1945403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039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D90D" w14:textId="77777777" w:rsidR="003A2FD2" w:rsidRDefault="003A2FD2">
      <w:pPr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br w:type="page"/>
      </w:r>
    </w:p>
    <w:p w14:paraId="35BD127D" w14:textId="77777777" w:rsidR="00653CD9" w:rsidRDefault="00AC7FE9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lastRenderedPageBreak/>
        <w:t>I am pleading with the Department of Health to provide reasonable flexibility in the regula</w:t>
      </w:r>
      <w:r w:rsidR="000722BF">
        <w:rPr>
          <w:color w:val="156082" w:themeColor="accent1"/>
          <w:sz w:val="24"/>
        </w:rPr>
        <w:t xml:space="preserve">tions. </w:t>
      </w:r>
      <w:r w:rsidR="000862DD">
        <w:rPr>
          <w:color w:val="156082" w:themeColor="accent1"/>
          <w:sz w:val="24"/>
        </w:rPr>
        <w:t>In some situations,</w:t>
      </w:r>
      <w:r w:rsidR="000722BF">
        <w:rPr>
          <w:color w:val="156082" w:themeColor="accent1"/>
          <w:sz w:val="24"/>
        </w:rPr>
        <w:t xml:space="preserve"> the strict requirement for a </w:t>
      </w:r>
      <w:r w:rsidR="00FD471A">
        <w:rPr>
          <w:color w:val="156082" w:themeColor="accent1"/>
          <w:sz w:val="24"/>
        </w:rPr>
        <w:t>pharmacy-labeled</w:t>
      </w:r>
      <w:r w:rsidR="000722BF">
        <w:rPr>
          <w:color w:val="156082" w:themeColor="accent1"/>
          <w:sz w:val="24"/>
        </w:rPr>
        <w:t xml:space="preserve"> container is an unreasonable burden to </w:t>
      </w:r>
      <w:r w:rsidR="00FD471A">
        <w:rPr>
          <w:color w:val="156082" w:themeColor="accent1"/>
          <w:sz w:val="24"/>
        </w:rPr>
        <w:t xml:space="preserve">worried parents.  </w:t>
      </w:r>
    </w:p>
    <w:p w14:paraId="5CAC9D70" w14:textId="77777777" w:rsidR="00653CD9" w:rsidRDefault="00653CD9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293175A8" w14:textId="317B27A4" w:rsidR="000862DD" w:rsidRPr="00653CD9" w:rsidRDefault="000862DD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b/>
          <w:bCs/>
          <w:color w:val="156082" w:themeColor="accent1"/>
          <w:sz w:val="24"/>
        </w:rPr>
      </w:pPr>
      <w:r w:rsidRPr="00653CD9">
        <w:rPr>
          <w:b/>
          <w:bCs/>
          <w:color w:val="156082" w:themeColor="accent1"/>
          <w:sz w:val="24"/>
        </w:rPr>
        <w:t xml:space="preserve"> Please provide flexibility. </w:t>
      </w:r>
    </w:p>
    <w:p w14:paraId="13C8945D" w14:textId="77777777" w:rsidR="000862DD" w:rsidRDefault="000862DD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2096A5B8" w14:textId="129C564C" w:rsidR="000862DD" w:rsidRDefault="000862DD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>As a parent</w:t>
      </w:r>
      <w:r w:rsidR="00653CD9">
        <w:rPr>
          <w:color w:val="156082" w:themeColor="accent1"/>
          <w:sz w:val="24"/>
        </w:rPr>
        <w:t>,</w:t>
      </w:r>
      <w:r>
        <w:rPr>
          <w:color w:val="156082" w:themeColor="accent1"/>
          <w:sz w:val="24"/>
        </w:rPr>
        <w:t xml:space="preserve"> I need the bottle at home where the student </w:t>
      </w:r>
      <w:r w:rsidR="00AF619D">
        <w:rPr>
          <w:color w:val="156082" w:themeColor="accent1"/>
          <w:sz w:val="24"/>
        </w:rPr>
        <w:t xml:space="preserve">is taking the most dosages of the medication. </w:t>
      </w:r>
      <w:r w:rsidR="00AC0315">
        <w:rPr>
          <w:color w:val="156082" w:themeColor="accent1"/>
          <w:sz w:val="24"/>
        </w:rPr>
        <w:t xml:space="preserve">This is critical because the bottle protects the medication and has the information needed in case there is a medical issue, such as an allergy. </w:t>
      </w:r>
    </w:p>
    <w:p w14:paraId="32D666CD" w14:textId="77777777" w:rsidR="00C21CDD" w:rsidRDefault="00C21CDD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5F814BDE" w14:textId="0159FD5F" w:rsidR="00EF7245" w:rsidRPr="00FE0B1C" w:rsidRDefault="00FE0B1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b/>
          <w:bCs/>
          <w:color w:val="156082" w:themeColor="accent1"/>
          <w:sz w:val="24"/>
        </w:rPr>
      </w:pPr>
      <w:r w:rsidRPr="00FE0B1C">
        <w:rPr>
          <w:b/>
          <w:bCs/>
          <w:color w:val="156082" w:themeColor="accent1"/>
          <w:sz w:val="24"/>
          <w:highlight w:val="yellow"/>
        </w:rPr>
        <w:t>Requiring a stressed parent with a sick child to remember to ask for a second pharmacy container label with the medication lacks empathy. The current procedure must consider the parent's real-life situation, which is missing.</w:t>
      </w:r>
      <w:r w:rsidRPr="00FE0B1C">
        <w:rPr>
          <w:b/>
          <w:bCs/>
          <w:color w:val="156082" w:themeColor="accent1"/>
          <w:sz w:val="24"/>
        </w:rPr>
        <w:t xml:space="preserve"> </w:t>
      </w:r>
    </w:p>
    <w:p w14:paraId="3AF2022B" w14:textId="77777777" w:rsidR="00EF7245" w:rsidRDefault="00EF7245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3EB2F4F1" w14:textId="33A74D73" w:rsidR="00C21CDD" w:rsidRDefault="00A40700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 xml:space="preserve">The parent is likely overwhelmed </w:t>
      </w:r>
      <w:r w:rsidR="002D5460">
        <w:rPr>
          <w:color w:val="156082" w:themeColor="accent1"/>
          <w:sz w:val="24"/>
        </w:rPr>
        <w:t xml:space="preserve">and may not have access to the </w:t>
      </w:r>
      <w:r w:rsidR="00EF7245">
        <w:rPr>
          <w:color w:val="156082" w:themeColor="accent1"/>
          <w:sz w:val="24"/>
        </w:rPr>
        <w:t>prescriber</w:t>
      </w:r>
      <w:r w:rsidR="002D5460">
        <w:rPr>
          <w:color w:val="156082" w:themeColor="accent1"/>
          <w:sz w:val="24"/>
        </w:rPr>
        <w:t xml:space="preserve"> </w:t>
      </w:r>
      <w:r w:rsidR="00EF7245">
        <w:rPr>
          <w:color w:val="156082" w:themeColor="accent1"/>
          <w:sz w:val="24"/>
        </w:rPr>
        <w:t xml:space="preserve">(they may be a hospital or emergency room </w:t>
      </w:r>
      <w:r w:rsidR="00FE0B1C">
        <w:rPr>
          <w:color w:val="156082" w:themeColor="accent1"/>
          <w:sz w:val="24"/>
        </w:rPr>
        <w:t>prescriber</w:t>
      </w:r>
      <w:r w:rsidR="00EF7245">
        <w:rPr>
          <w:color w:val="156082" w:themeColor="accent1"/>
          <w:sz w:val="24"/>
        </w:rPr>
        <w:t>)</w:t>
      </w:r>
    </w:p>
    <w:p w14:paraId="244EB904" w14:textId="77777777" w:rsidR="00AC0315" w:rsidRDefault="00AC0315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14C1352C" w14:textId="1CA29B50" w:rsidR="00DE4332" w:rsidRDefault="00DE4332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5B011233" w14:textId="1CACE304" w:rsidR="00DE4332" w:rsidRDefault="00DE4332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 xml:space="preserve">I am not suggesting that the school nurse </w:t>
      </w:r>
      <w:r w:rsidR="001E644B">
        <w:rPr>
          <w:color w:val="156082" w:themeColor="accent1"/>
          <w:sz w:val="24"/>
        </w:rPr>
        <w:t xml:space="preserve">shouldn’t confirm </w:t>
      </w:r>
      <w:r w:rsidR="00C21CDD">
        <w:rPr>
          <w:color w:val="156082" w:themeColor="accent1"/>
          <w:sz w:val="24"/>
        </w:rPr>
        <w:t xml:space="preserve">that the medication they must give to the student is the correct medication. I am suggesting that there </w:t>
      </w:r>
      <w:r w:rsidR="0074078B" w:rsidRPr="000B06A8">
        <w:rPr>
          <w:b/>
          <w:bCs/>
          <w:color w:val="156082" w:themeColor="accent1"/>
          <w:sz w:val="24"/>
        </w:rPr>
        <w:t>must</w:t>
      </w:r>
      <w:r w:rsidR="00C21CDD">
        <w:rPr>
          <w:color w:val="156082" w:themeColor="accent1"/>
          <w:sz w:val="24"/>
        </w:rPr>
        <w:t xml:space="preserve"> be other options than a strict container requirement</w:t>
      </w:r>
      <w:r w:rsidR="00645548">
        <w:rPr>
          <w:color w:val="156082" w:themeColor="accent1"/>
          <w:sz w:val="24"/>
        </w:rPr>
        <w:t xml:space="preserve">. </w:t>
      </w:r>
    </w:p>
    <w:p w14:paraId="4FEACA0C" w14:textId="77EE2A32" w:rsidR="00E71978" w:rsidRDefault="00E71978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1C5A1B62" w14:textId="0FB1FC8A" w:rsidR="00E71978" w:rsidRDefault="00E71978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>Thank you for your time and consideration,</w:t>
      </w:r>
    </w:p>
    <w:p w14:paraId="2769A911" w14:textId="77777777" w:rsidR="0099067C" w:rsidRDefault="0099067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2A9D3284" w14:textId="77777777" w:rsidR="00E71978" w:rsidRDefault="00E71978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1B98E695" w14:textId="389C537E" w:rsidR="00E71978" w:rsidRDefault="00E71978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 xml:space="preserve">Gregory St. Lawrence </w:t>
      </w:r>
    </w:p>
    <w:p w14:paraId="72B106E1" w14:textId="756DDF8A" w:rsidR="00E71978" w:rsidRDefault="00E71978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>109 Donald Tennant Circle</w:t>
      </w:r>
    </w:p>
    <w:p w14:paraId="28CBD982" w14:textId="6AB6F62E" w:rsidR="0099067C" w:rsidRDefault="0099067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>North Attleboro, MA</w:t>
      </w:r>
    </w:p>
    <w:p w14:paraId="4A0B9943" w14:textId="35D63201" w:rsidR="0099067C" w:rsidRDefault="0099067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>(508)-316-1799</w:t>
      </w:r>
    </w:p>
    <w:p w14:paraId="11DC6A77" w14:textId="0F08BAAC" w:rsidR="0099067C" w:rsidRDefault="0099067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t>(401)-292-7743</w:t>
      </w:r>
    </w:p>
    <w:p w14:paraId="352AD892" w14:textId="77777777" w:rsidR="0099067C" w:rsidRDefault="0099067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34DD9D3E" w14:textId="77777777" w:rsidR="00FE0B1C" w:rsidRDefault="00FE0B1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0DA77D9D" w14:textId="77777777" w:rsidR="00645548" w:rsidRDefault="00645548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38B88478" w14:textId="77777777" w:rsidR="000E723C" w:rsidRDefault="000E723C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65ED3E63" w14:textId="77777777" w:rsidR="00560F97" w:rsidRDefault="00560F97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6207332F" w14:textId="50E114F1" w:rsidR="002B0382" w:rsidRDefault="00DC287E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  <w:r>
        <w:rPr>
          <w:color w:val="156082" w:themeColor="accent1"/>
          <w:sz w:val="24"/>
        </w:rPr>
        <w:lastRenderedPageBreak/>
        <w:t xml:space="preserve"> </w:t>
      </w:r>
    </w:p>
    <w:p w14:paraId="0782E7A4" w14:textId="77777777" w:rsidR="00545BD2" w:rsidRDefault="00545BD2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656A3E41" w14:textId="77777777" w:rsidR="00545BD2" w:rsidRDefault="00545BD2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7E6EB678" w14:textId="77777777" w:rsidR="00A41C8D" w:rsidRDefault="00A41C8D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57029AFF" w14:textId="3DBD728E" w:rsidR="00A41C8D" w:rsidRDefault="00A41C8D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3ED130AA" w14:textId="77777777" w:rsidR="002B0382" w:rsidRDefault="002B0382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55A591AE" w14:textId="77777777" w:rsidR="00A174D0" w:rsidRPr="00D36CC1" w:rsidRDefault="00A174D0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color w:val="156082" w:themeColor="accent1"/>
          <w:sz w:val="24"/>
        </w:rPr>
      </w:pPr>
    </w:p>
    <w:p w14:paraId="4E522864" w14:textId="77777777" w:rsidR="00A455D5" w:rsidRDefault="00A455D5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sz w:val="24"/>
        </w:rPr>
      </w:pPr>
    </w:p>
    <w:p w14:paraId="155659C7" w14:textId="77777777" w:rsidR="00A455D5" w:rsidRPr="00353C5D" w:rsidRDefault="00A455D5" w:rsidP="00353C5D">
      <w:pPr>
        <w:widowControl w:val="0"/>
        <w:tabs>
          <w:tab w:val="left" w:pos="1520"/>
        </w:tabs>
        <w:autoSpaceDE w:val="0"/>
        <w:autoSpaceDN w:val="0"/>
        <w:spacing w:before="1" w:after="0" w:line="276" w:lineRule="auto"/>
        <w:ind w:right="1189"/>
        <w:rPr>
          <w:sz w:val="24"/>
        </w:rPr>
      </w:pPr>
    </w:p>
    <w:p w14:paraId="560A5841" w14:textId="77777777" w:rsidR="00F10BFE" w:rsidRDefault="00F10BFE"/>
    <w:sectPr w:rsidR="00F10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E1F6" w14:textId="77777777" w:rsidR="00FE3307" w:rsidRDefault="00FE3307" w:rsidP="007C12D5">
      <w:pPr>
        <w:spacing w:after="0" w:line="240" w:lineRule="auto"/>
      </w:pPr>
      <w:r>
        <w:separator/>
      </w:r>
    </w:p>
  </w:endnote>
  <w:endnote w:type="continuationSeparator" w:id="0">
    <w:p w14:paraId="1A4B5CEE" w14:textId="77777777" w:rsidR="00FE3307" w:rsidRDefault="00FE3307" w:rsidP="007C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46B5" w14:textId="77777777" w:rsidR="00FE3307" w:rsidRDefault="00FE3307" w:rsidP="007C12D5">
      <w:pPr>
        <w:spacing w:after="0" w:line="240" w:lineRule="auto"/>
      </w:pPr>
      <w:r>
        <w:separator/>
      </w:r>
    </w:p>
  </w:footnote>
  <w:footnote w:type="continuationSeparator" w:id="0">
    <w:p w14:paraId="4A43ADD9" w14:textId="77777777" w:rsidR="00FE3307" w:rsidRDefault="00FE3307" w:rsidP="007C12D5">
      <w:pPr>
        <w:spacing w:after="0" w:line="240" w:lineRule="auto"/>
      </w:pPr>
      <w:r>
        <w:continuationSeparator/>
      </w:r>
    </w:p>
  </w:footnote>
  <w:footnote w:id="1">
    <w:p w14:paraId="54C61675" w14:textId="5EC141F2" w:rsidR="007C12D5" w:rsidRDefault="007C12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C12D5">
          <w:rPr>
            <w:rStyle w:val="Hyperlink"/>
          </w:rPr>
          <w:t>105 CMR 210</w:t>
        </w:r>
      </w:hyperlink>
    </w:p>
  </w:footnote>
  <w:footnote w:id="2">
    <w:p w14:paraId="0E452652" w14:textId="40B199F1" w:rsidR="00353C5D" w:rsidRDefault="00353C5D" w:rsidP="00353C5D">
      <w:pPr>
        <w:tabs>
          <w:tab w:val="left" w:pos="1520"/>
        </w:tabs>
        <w:ind w:right="1374"/>
        <w:rPr>
          <w:i/>
          <w:sz w:val="24"/>
        </w:rPr>
      </w:pPr>
      <w:r>
        <w:rPr>
          <w:rStyle w:val="FootnoteReference"/>
        </w:rPr>
        <w:footnoteRef/>
      </w:r>
      <w:r>
        <w:t xml:space="preserve"> </w:t>
      </w:r>
      <w:r>
        <w:rPr>
          <w:spacing w:val="-4"/>
          <w:sz w:val="24"/>
        </w:rPr>
        <w:t>RE</w:t>
      </w:r>
      <w:r>
        <w:rPr>
          <w:spacing w:val="-4"/>
          <w:sz w:val="24"/>
        </w:rPr>
        <w:t>: I</w:t>
      </w:r>
      <w:r>
        <w:rPr>
          <w:sz w:val="24"/>
        </w:rPr>
        <w:t>nformational</w:t>
      </w:r>
      <w:r>
        <w:rPr>
          <w:spacing w:val="-4"/>
          <w:sz w:val="24"/>
        </w:rPr>
        <w:t xml:space="preserve"> </w:t>
      </w:r>
      <w:r>
        <w:rPr>
          <w:sz w:val="24"/>
        </w:rPr>
        <w:t>Briefing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Amendments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105</w:t>
      </w:r>
      <w:r>
        <w:rPr>
          <w:spacing w:val="-4"/>
          <w:sz w:val="24"/>
        </w:rPr>
        <w:t xml:space="preserve"> </w:t>
      </w:r>
      <w:r>
        <w:rPr>
          <w:sz w:val="24"/>
        </w:rPr>
        <w:t>CMR</w:t>
      </w:r>
      <w:r>
        <w:rPr>
          <w:spacing w:val="-4"/>
          <w:sz w:val="24"/>
        </w:rPr>
        <w:t xml:space="preserve"> </w:t>
      </w:r>
      <w:r>
        <w:rPr>
          <w:sz w:val="24"/>
        </w:rPr>
        <w:t>210: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Administration of Prescription Medications in Public and Private Schools</w:t>
      </w:r>
      <w:r>
        <w:rPr>
          <w:i/>
          <w:sz w:val="24"/>
        </w:rPr>
        <w:t xml:space="preserve"> Letter </w:t>
      </w:r>
      <w:r w:rsidR="00A455D5">
        <w:rPr>
          <w:i/>
          <w:sz w:val="24"/>
        </w:rPr>
        <w:t>1/15/25</w:t>
      </w:r>
    </w:p>
    <w:p w14:paraId="07E5AF48" w14:textId="0DDBD994" w:rsidR="00353C5D" w:rsidRDefault="00353C5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E7686"/>
    <w:multiLevelType w:val="hybridMultilevel"/>
    <w:tmpl w:val="974CEC8A"/>
    <w:lvl w:ilvl="0" w:tplc="33349A72">
      <w:start w:val="1"/>
      <w:numFmt w:val="upperRoman"/>
      <w:lvlText w:val="%1."/>
      <w:lvlJc w:val="left"/>
      <w:pPr>
        <w:ind w:left="1160" w:hanging="3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4AD514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AE06134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6366A30C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6C4647CE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10282B88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6" w:tplc="5E60F760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7" w:tplc="EAB60560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84648A26">
      <w:numFmt w:val="bullet"/>
      <w:lvlText w:val="•"/>
      <w:lvlJc w:val="left"/>
      <w:pPr>
        <w:ind w:left="9157" w:hanging="360"/>
      </w:pPr>
      <w:rPr>
        <w:rFonts w:hint="default"/>
        <w:lang w:val="en-US" w:eastAsia="en-US" w:bidi="ar-SA"/>
      </w:rPr>
    </w:lvl>
  </w:abstractNum>
  <w:num w:numId="1" w16cid:durableId="53584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020"/>
    <w:rsid w:val="000722BF"/>
    <w:rsid w:val="00075CCF"/>
    <w:rsid w:val="000862DD"/>
    <w:rsid w:val="000939C3"/>
    <w:rsid w:val="000B06A8"/>
    <w:rsid w:val="000E723C"/>
    <w:rsid w:val="001453D4"/>
    <w:rsid w:val="001D1B69"/>
    <w:rsid w:val="001E644B"/>
    <w:rsid w:val="00291896"/>
    <w:rsid w:val="002B0382"/>
    <w:rsid w:val="002B049B"/>
    <w:rsid w:val="002B1551"/>
    <w:rsid w:val="002B78F2"/>
    <w:rsid w:val="002D4A38"/>
    <w:rsid w:val="002D5460"/>
    <w:rsid w:val="002F5314"/>
    <w:rsid w:val="00353C5D"/>
    <w:rsid w:val="003747DC"/>
    <w:rsid w:val="003A2FD2"/>
    <w:rsid w:val="003B16B6"/>
    <w:rsid w:val="004E4B84"/>
    <w:rsid w:val="004E5E0C"/>
    <w:rsid w:val="004F7DF4"/>
    <w:rsid w:val="0052799B"/>
    <w:rsid w:val="00545BD2"/>
    <w:rsid w:val="00550D91"/>
    <w:rsid w:val="00554618"/>
    <w:rsid w:val="00560F97"/>
    <w:rsid w:val="005726BC"/>
    <w:rsid w:val="00644D43"/>
    <w:rsid w:val="00645548"/>
    <w:rsid w:val="00653CD9"/>
    <w:rsid w:val="00674F93"/>
    <w:rsid w:val="00685B37"/>
    <w:rsid w:val="006B12CB"/>
    <w:rsid w:val="006E2540"/>
    <w:rsid w:val="006E7E46"/>
    <w:rsid w:val="00710D8B"/>
    <w:rsid w:val="00736020"/>
    <w:rsid w:val="00737F56"/>
    <w:rsid w:val="0074078B"/>
    <w:rsid w:val="0078550E"/>
    <w:rsid w:val="007C12D5"/>
    <w:rsid w:val="00825D7D"/>
    <w:rsid w:val="00871A9A"/>
    <w:rsid w:val="0099067C"/>
    <w:rsid w:val="009B66DC"/>
    <w:rsid w:val="00A174D0"/>
    <w:rsid w:val="00A40700"/>
    <w:rsid w:val="00A41C8D"/>
    <w:rsid w:val="00A45149"/>
    <w:rsid w:val="00A455D5"/>
    <w:rsid w:val="00A92D90"/>
    <w:rsid w:val="00AC0315"/>
    <w:rsid w:val="00AC7FE9"/>
    <w:rsid w:val="00AF619D"/>
    <w:rsid w:val="00B13341"/>
    <w:rsid w:val="00BA4775"/>
    <w:rsid w:val="00BB63F9"/>
    <w:rsid w:val="00BF1C2B"/>
    <w:rsid w:val="00C116D2"/>
    <w:rsid w:val="00C21CDD"/>
    <w:rsid w:val="00C50F68"/>
    <w:rsid w:val="00C53E9B"/>
    <w:rsid w:val="00C6155F"/>
    <w:rsid w:val="00CF6C16"/>
    <w:rsid w:val="00D04B5E"/>
    <w:rsid w:val="00D255B1"/>
    <w:rsid w:val="00D36CC1"/>
    <w:rsid w:val="00D42C97"/>
    <w:rsid w:val="00D66F59"/>
    <w:rsid w:val="00D6700A"/>
    <w:rsid w:val="00DC287E"/>
    <w:rsid w:val="00DE4332"/>
    <w:rsid w:val="00E008B2"/>
    <w:rsid w:val="00E01A01"/>
    <w:rsid w:val="00E04436"/>
    <w:rsid w:val="00E20AD5"/>
    <w:rsid w:val="00E367EB"/>
    <w:rsid w:val="00E579CD"/>
    <w:rsid w:val="00E71978"/>
    <w:rsid w:val="00EB5DAB"/>
    <w:rsid w:val="00EF7245"/>
    <w:rsid w:val="00F10BFE"/>
    <w:rsid w:val="00F61033"/>
    <w:rsid w:val="00F611B4"/>
    <w:rsid w:val="00FB7504"/>
    <w:rsid w:val="00FD471A"/>
    <w:rsid w:val="00FE0B1C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C9F73"/>
  <w15:chartTrackingRefBased/>
  <w15:docId w15:val="{3AE85C69-CB7D-4D29-86A3-7F900A32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36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02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1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12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C12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doc/105-cmr-210-the-administration-of-prescription-medications-in-public-and-private-schools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9A1E-2D50-42EA-94F1-B36C99B0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492</Words>
  <Characters>2781</Characters>
  <Application>Microsoft Office Word</Application>
  <DocSecurity>0</DocSecurity>
  <Lines>99</Lines>
  <Paragraphs>27</Paragraphs>
  <ScaleCrop>false</ScaleCrop>
  <Company>Fidelity Investments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Lawrence, Greg</dc:creator>
  <cp:keywords/>
  <dc:description/>
  <cp:lastModifiedBy>St. Lawrence, Greg</cp:lastModifiedBy>
  <cp:revision>85</cp:revision>
  <dcterms:created xsi:type="dcterms:W3CDTF">2025-02-12T18:24:00Z</dcterms:created>
  <dcterms:modified xsi:type="dcterms:W3CDTF">2025-02-13T16:51:00Z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21613b9c-f7cc-4620-9fb0-7009550dd491</vt:lpwstr>
  </property>
</Properties>
</file>