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A89" w:rsidRPr="00AE4111" w:rsidRDefault="00836A89" w:rsidP="00836A89">
      <w:pPr>
        <w:ind w:left="683" w:right="329"/>
        <w:rPr>
          <w:bCs/>
          <w:color w:val="000000" w:themeColor="text1"/>
          <w:sz w:val="60"/>
          <w:szCs w:val="60"/>
        </w:rPr>
      </w:pPr>
    </w:p>
    <w:p w:rsidR="00AE4111" w:rsidRPr="00AE4111" w:rsidRDefault="00AE4111" w:rsidP="00AE4111">
      <w:pPr>
        <w:widowControl/>
        <w:autoSpaceDE/>
        <w:autoSpaceDN/>
        <w:rPr>
          <w:bCs/>
          <w:color w:val="000000" w:themeColor="text1"/>
          <w:sz w:val="60"/>
          <w:szCs w:val="60"/>
        </w:rPr>
      </w:pPr>
    </w:p>
    <w:p w:rsidR="00AE4111" w:rsidRPr="00AE4111" w:rsidRDefault="00AE4111" w:rsidP="00AE4111">
      <w:pPr>
        <w:widowControl/>
        <w:autoSpaceDE/>
        <w:autoSpaceDN/>
        <w:rPr>
          <w:bCs/>
          <w:color w:val="000000" w:themeColor="text1"/>
          <w:sz w:val="60"/>
          <w:szCs w:val="60"/>
        </w:rPr>
      </w:pPr>
    </w:p>
    <w:p w:rsidR="00AE4111" w:rsidRPr="00AE4111" w:rsidRDefault="00AE4111" w:rsidP="00AE4111">
      <w:pPr>
        <w:widowControl/>
        <w:autoSpaceDE/>
        <w:autoSpaceDN/>
        <w:rPr>
          <w:bCs/>
          <w:color w:val="000000" w:themeColor="text1"/>
          <w:sz w:val="60"/>
          <w:szCs w:val="60"/>
        </w:rPr>
      </w:pPr>
    </w:p>
    <w:p w:rsidR="00AE4111" w:rsidRPr="00AE4111" w:rsidRDefault="00AE4111" w:rsidP="00AE4111">
      <w:pPr>
        <w:widowControl/>
        <w:autoSpaceDE/>
        <w:autoSpaceDN/>
        <w:rPr>
          <w:bCs/>
          <w:color w:val="000000" w:themeColor="text1"/>
          <w:sz w:val="60"/>
          <w:szCs w:val="60"/>
        </w:rPr>
      </w:pPr>
      <w:r w:rsidRPr="00AE4111">
        <w:rPr>
          <w:bCs/>
          <w:color w:val="000000" w:themeColor="text1"/>
          <w:sz w:val="60"/>
          <w:szCs w:val="60"/>
        </w:rPr>
        <w:t>Coverage for PANDAS/PANS</w:t>
      </w:r>
    </w:p>
    <w:p w:rsidR="00AE4111" w:rsidRPr="00AE4111" w:rsidRDefault="00AE4111" w:rsidP="00AE4111">
      <w:pPr>
        <w:widowControl/>
        <w:autoSpaceDE/>
        <w:autoSpaceDN/>
        <w:rPr>
          <w:bCs/>
          <w:color w:val="000000" w:themeColor="text1"/>
          <w:sz w:val="60"/>
          <w:szCs w:val="60"/>
        </w:rPr>
      </w:pPr>
      <w:r w:rsidRPr="00AE4111">
        <w:rPr>
          <w:bCs/>
          <w:color w:val="000000" w:themeColor="text1"/>
          <w:sz w:val="60"/>
          <w:szCs w:val="60"/>
        </w:rPr>
        <w:t>Massachusetts Division of</w:t>
      </w:r>
      <w:r w:rsidRPr="00AE4111">
        <w:rPr>
          <w:bCs/>
          <w:color w:val="000000" w:themeColor="text1"/>
          <w:sz w:val="60"/>
          <w:szCs w:val="60"/>
        </w:rPr>
        <w:t xml:space="preserve"> </w:t>
      </w:r>
      <w:r w:rsidRPr="00AE4111">
        <w:rPr>
          <w:bCs/>
          <w:color w:val="000000" w:themeColor="text1"/>
          <w:sz w:val="60"/>
          <w:szCs w:val="60"/>
        </w:rPr>
        <w:t>Insurance</w:t>
      </w:r>
    </w:p>
    <w:p w:rsidR="00AE4111" w:rsidRPr="00AE4111" w:rsidRDefault="00AE4111" w:rsidP="00AE4111">
      <w:pPr>
        <w:widowControl/>
        <w:autoSpaceDE/>
        <w:autoSpaceDN/>
        <w:rPr>
          <w:bCs/>
          <w:color w:val="000000" w:themeColor="text1"/>
          <w:sz w:val="60"/>
          <w:szCs w:val="60"/>
        </w:rPr>
      </w:pPr>
    </w:p>
    <w:p w:rsidR="00AE4111" w:rsidRPr="00AE4111" w:rsidRDefault="00AE4111" w:rsidP="00AE4111">
      <w:pPr>
        <w:widowControl/>
        <w:autoSpaceDE/>
        <w:autoSpaceDN/>
        <w:rPr>
          <w:bCs/>
          <w:color w:val="000000" w:themeColor="text1"/>
          <w:sz w:val="60"/>
          <w:szCs w:val="60"/>
        </w:rPr>
      </w:pPr>
      <w:r w:rsidRPr="00AE4111">
        <w:rPr>
          <w:bCs/>
          <w:color w:val="000000" w:themeColor="text1"/>
          <w:sz w:val="60"/>
          <w:szCs w:val="60"/>
        </w:rPr>
        <w:t>May 2024</w:t>
      </w:r>
    </w:p>
    <w:p w:rsidR="00AE4111" w:rsidRPr="00AE4111" w:rsidRDefault="00AE4111" w:rsidP="00AE4111">
      <w:pPr>
        <w:widowControl/>
        <w:autoSpaceDE/>
        <w:autoSpaceDN/>
        <w:rPr>
          <w:bCs/>
          <w:color w:val="000000" w:themeColor="text1"/>
          <w:sz w:val="24"/>
          <w:szCs w:val="24"/>
        </w:rPr>
      </w:pPr>
    </w:p>
    <w:p w:rsidR="00836A89" w:rsidRPr="00AE4111" w:rsidRDefault="00836A89" w:rsidP="00EF3B91">
      <w:pPr>
        <w:widowControl/>
        <w:autoSpaceDE/>
        <w:autoSpaceDN/>
        <w:rPr>
          <w:bCs/>
          <w:color w:val="000000" w:themeColor="text1"/>
          <w:sz w:val="24"/>
          <w:szCs w:val="24"/>
        </w:rPr>
      </w:pPr>
      <w:r w:rsidRPr="00AE4111">
        <w:rPr>
          <w:bCs/>
          <w:color w:val="000000" w:themeColor="text1"/>
          <w:sz w:val="24"/>
          <w:szCs w:val="24"/>
        </w:rPr>
        <w:br w:type="page"/>
      </w:r>
    </w:p>
    <w:p w:rsidR="00AE4111" w:rsidRPr="00AE4111" w:rsidRDefault="00AE4111" w:rsidP="00AE4111">
      <w:pPr>
        <w:widowControl/>
        <w:autoSpaceDE/>
        <w:autoSpaceDN/>
        <w:rPr>
          <w:bCs/>
          <w:color w:val="000000" w:themeColor="text1"/>
          <w:sz w:val="24"/>
          <w:szCs w:val="24"/>
        </w:rPr>
      </w:pPr>
      <w:r w:rsidRPr="00AE4111">
        <w:rPr>
          <w:b/>
          <w:bCs/>
          <w:color w:val="000000" w:themeColor="text1"/>
          <w:sz w:val="24"/>
          <w:szCs w:val="24"/>
        </w:rPr>
        <w:lastRenderedPageBreak/>
        <w:t>Agency Mission</w:t>
      </w:r>
    </w:p>
    <w:p w:rsidR="00AE4111" w:rsidRPr="00AE4111" w:rsidRDefault="00AE4111" w:rsidP="00AE4111">
      <w:pPr>
        <w:widowControl/>
        <w:autoSpaceDE/>
        <w:autoSpaceDN/>
        <w:rPr>
          <w:bCs/>
          <w:color w:val="000000" w:themeColor="text1"/>
          <w:sz w:val="24"/>
          <w:szCs w:val="24"/>
        </w:rPr>
      </w:pPr>
      <w:r w:rsidRPr="00AE4111">
        <w:rPr>
          <w:bCs/>
          <w:color w:val="000000" w:themeColor="text1"/>
          <w:sz w:val="24"/>
          <w:szCs w:val="24"/>
        </w:rPr>
        <w:t xml:space="preserve">“The primary mission of the Division of Insurance (DOI) is to monitor the solvency of its licensees [property/casualty, life/annuity and health] in order to promote a healthy, responsive and willing marketplace for consumers who purchase insurance products. </w:t>
      </w:r>
    </w:p>
    <w:p w:rsidR="00AE4111" w:rsidRPr="00AE4111" w:rsidRDefault="00AE4111" w:rsidP="00AE4111">
      <w:pPr>
        <w:widowControl/>
        <w:autoSpaceDE/>
        <w:autoSpaceDN/>
        <w:rPr>
          <w:bCs/>
          <w:color w:val="000000" w:themeColor="text1"/>
          <w:sz w:val="24"/>
          <w:szCs w:val="24"/>
        </w:rPr>
      </w:pPr>
      <w:r w:rsidRPr="00AE4111">
        <w:rPr>
          <w:bCs/>
          <w:color w:val="000000" w:themeColor="text1"/>
          <w:sz w:val="24"/>
          <w:szCs w:val="24"/>
        </w:rPr>
        <w:t>Protection of consumer interests is of prime importance to the Division and is safeguarded by providing accurate and unbiased information so consumers may make informed decisions and by intervening on behalf of consumers who believe they have been victimized by unfair business practices.”</w:t>
      </w:r>
    </w:p>
    <w:p w:rsidR="00836A89" w:rsidRPr="00AE4111" w:rsidRDefault="00836A89" w:rsidP="00836A89">
      <w:pPr>
        <w:widowControl/>
        <w:autoSpaceDE/>
        <w:autoSpaceDN/>
        <w:rPr>
          <w:bCs/>
          <w:color w:val="000000" w:themeColor="text1"/>
          <w:sz w:val="24"/>
          <w:szCs w:val="24"/>
        </w:rPr>
      </w:pPr>
    </w:p>
    <w:p w:rsidR="00EF3B91" w:rsidRPr="00AE4111" w:rsidRDefault="00EF3B9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Statute for PANDAS/PAN</w:t>
      </w:r>
    </w:p>
    <w:p w:rsidR="00AE4111" w:rsidRPr="00AE4111" w:rsidRDefault="00AE4111" w:rsidP="00AE4111">
      <w:pPr>
        <w:pStyle w:val="NoSpacing"/>
        <w:rPr>
          <w:sz w:val="24"/>
          <w:szCs w:val="24"/>
        </w:rPr>
      </w:pPr>
      <w:r w:rsidRPr="00AE4111">
        <w:rPr>
          <w:sz w:val="24"/>
          <w:szCs w:val="24"/>
        </w:rPr>
        <w:t xml:space="preserve">Chapter 260 of the Acts of 2020 amended Massachusetts laws to add provisions to </w:t>
      </w:r>
    </w:p>
    <w:p w:rsidR="00AE4111" w:rsidRPr="00AE4111" w:rsidRDefault="00AE4111" w:rsidP="00AE4111">
      <w:pPr>
        <w:pStyle w:val="NoSpacing"/>
        <w:numPr>
          <w:ilvl w:val="1"/>
          <w:numId w:val="9"/>
        </w:numPr>
        <w:rPr>
          <w:sz w:val="24"/>
          <w:szCs w:val="24"/>
        </w:rPr>
      </w:pPr>
      <w:r w:rsidRPr="00AE4111">
        <w:rPr>
          <w:sz w:val="24"/>
          <w:szCs w:val="24"/>
        </w:rPr>
        <w:t xml:space="preserve">M.G.L. c. 175, §47NN (applying to commercial insurance companies; </w:t>
      </w:r>
    </w:p>
    <w:p w:rsidR="00AE4111" w:rsidRPr="00AE4111" w:rsidRDefault="00AE4111" w:rsidP="00AE4111">
      <w:pPr>
        <w:pStyle w:val="NoSpacing"/>
        <w:numPr>
          <w:ilvl w:val="1"/>
          <w:numId w:val="9"/>
        </w:numPr>
        <w:rPr>
          <w:sz w:val="24"/>
          <w:szCs w:val="24"/>
        </w:rPr>
      </w:pPr>
      <w:r w:rsidRPr="00AE4111">
        <w:rPr>
          <w:sz w:val="24"/>
          <w:szCs w:val="24"/>
        </w:rPr>
        <w:t xml:space="preserve">M.G.L. c. 176A, §8OO; M.G.L. c. 176B, §4OO (applying to BCBSMA); and </w:t>
      </w:r>
    </w:p>
    <w:p w:rsidR="00AE4111" w:rsidRPr="00AE4111" w:rsidRDefault="00AE4111" w:rsidP="00AE4111">
      <w:pPr>
        <w:pStyle w:val="NoSpacing"/>
        <w:numPr>
          <w:ilvl w:val="1"/>
          <w:numId w:val="9"/>
        </w:numPr>
        <w:rPr>
          <w:sz w:val="24"/>
          <w:szCs w:val="24"/>
        </w:rPr>
      </w:pPr>
      <w:r w:rsidRPr="00AE4111">
        <w:rPr>
          <w:sz w:val="24"/>
          <w:szCs w:val="24"/>
        </w:rPr>
        <w:t>M.G.L. c. 176G, §4GG (applying to HMOs).</w:t>
      </w:r>
    </w:p>
    <w:p w:rsidR="00AE4111" w:rsidRDefault="00AE4111" w:rsidP="00AE4111">
      <w:pPr>
        <w:pStyle w:val="NoSpacing"/>
        <w:rPr>
          <w:sz w:val="24"/>
          <w:szCs w:val="24"/>
        </w:rPr>
      </w:pPr>
      <w:r w:rsidRPr="00AE4111">
        <w:rPr>
          <w:sz w:val="24"/>
          <w:szCs w:val="24"/>
        </w:rPr>
        <w:t>The statutory provisions require insured health plans to cover PANDAS/PANS.</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The mandate applies to insured health plans that are issued to individuals and employment-based groups in Massachusetts and certain fully insured health plans issued outside of Massachusetts that have Massachusetts members.</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Health Care Access Bureau (M.G.L. c. 26, sec 7A)</w:t>
      </w:r>
    </w:p>
    <w:p w:rsidR="00AE4111" w:rsidRPr="00AE4111" w:rsidRDefault="00AE4111" w:rsidP="00AE4111">
      <w:pPr>
        <w:pStyle w:val="NoSpacing"/>
        <w:rPr>
          <w:sz w:val="24"/>
          <w:szCs w:val="24"/>
        </w:rPr>
      </w:pPr>
      <w:r w:rsidRPr="00AE4111">
        <w:rPr>
          <w:sz w:val="24"/>
          <w:szCs w:val="24"/>
        </w:rPr>
        <w:t>Bureau within the DOI responsible for</w:t>
      </w:r>
    </w:p>
    <w:p w:rsidR="00AE4111" w:rsidRPr="00AE4111" w:rsidRDefault="00AE4111" w:rsidP="00AE4111">
      <w:pPr>
        <w:pStyle w:val="NoSpacing"/>
        <w:numPr>
          <w:ilvl w:val="0"/>
          <w:numId w:val="10"/>
        </w:numPr>
        <w:rPr>
          <w:sz w:val="24"/>
          <w:szCs w:val="24"/>
        </w:rPr>
      </w:pPr>
      <w:r w:rsidRPr="00AE4111">
        <w:rPr>
          <w:sz w:val="24"/>
          <w:szCs w:val="24"/>
        </w:rPr>
        <w:t xml:space="preserve">administration of the Division's statutory and regulatory authority for oversight of the small group and individual health insurance market; </w:t>
      </w:r>
    </w:p>
    <w:p w:rsidR="00AE4111" w:rsidRPr="00AE4111" w:rsidRDefault="00AE4111" w:rsidP="00AE4111">
      <w:pPr>
        <w:pStyle w:val="NoSpacing"/>
        <w:numPr>
          <w:ilvl w:val="0"/>
          <w:numId w:val="10"/>
        </w:numPr>
        <w:rPr>
          <w:sz w:val="24"/>
          <w:szCs w:val="24"/>
        </w:rPr>
      </w:pPr>
      <w:r w:rsidRPr="00AE4111">
        <w:rPr>
          <w:sz w:val="24"/>
          <w:szCs w:val="24"/>
        </w:rPr>
        <w:t>oversight of affordable health plans, including coverage for young adults; and</w:t>
      </w:r>
    </w:p>
    <w:p w:rsidR="00AE4111" w:rsidRPr="00AE4111" w:rsidRDefault="00AE4111" w:rsidP="00AE4111">
      <w:pPr>
        <w:pStyle w:val="NoSpacing"/>
        <w:numPr>
          <w:ilvl w:val="0"/>
          <w:numId w:val="10"/>
        </w:numPr>
        <w:rPr>
          <w:sz w:val="24"/>
          <w:szCs w:val="24"/>
        </w:rPr>
      </w:pPr>
      <w:r w:rsidRPr="00AE4111">
        <w:rPr>
          <w:sz w:val="24"/>
          <w:szCs w:val="24"/>
        </w:rPr>
        <w:t>dissemination of appropriate information to consumers about health insurance coverage and access to affordable products.</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Health Care Access Bureau Guidance</w:t>
      </w:r>
    </w:p>
    <w:p w:rsidR="00AE4111" w:rsidRDefault="00AE4111" w:rsidP="00AE4111">
      <w:pPr>
        <w:pStyle w:val="NoSpacing"/>
        <w:rPr>
          <w:sz w:val="24"/>
          <w:szCs w:val="24"/>
        </w:rPr>
      </w:pPr>
      <w:r w:rsidRPr="00AE4111">
        <w:rPr>
          <w:sz w:val="24"/>
          <w:szCs w:val="24"/>
        </w:rPr>
        <w:t xml:space="preserve">The Division issued Bulletin 2021-06 to notify insurance carriers that Chapter 260 of the Acts of 2020 requires insurance carriers to cover “treatment of pediatric autoimmune neuropsychiatric disorders associated with streptococcal infections and pediatric acute-onset neuropsychiatric syndrome including, but not limited to, the use of intravenous immunoglobulin therapy…” (hereinafter referred to as “PANDAS and PANS”).  </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 xml:space="preserve">In Bulletin 2021-06, the Division further instructed carriers to </w:t>
      </w:r>
    </w:p>
    <w:p w:rsidR="00AE4111" w:rsidRPr="00AE4111" w:rsidRDefault="00AE4111" w:rsidP="00AE4111">
      <w:pPr>
        <w:pStyle w:val="NoSpacing"/>
        <w:numPr>
          <w:ilvl w:val="0"/>
          <w:numId w:val="11"/>
        </w:numPr>
        <w:rPr>
          <w:sz w:val="24"/>
          <w:szCs w:val="24"/>
        </w:rPr>
      </w:pPr>
      <w:r w:rsidRPr="00AE4111">
        <w:rPr>
          <w:sz w:val="24"/>
          <w:szCs w:val="24"/>
        </w:rPr>
        <w:t>notify providers and consumers about PANDAS and PANS coverage;</w:t>
      </w:r>
    </w:p>
    <w:p w:rsidR="00AE4111" w:rsidRPr="00AE4111" w:rsidRDefault="00AE4111" w:rsidP="00AE4111">
      <w:pPr>
        <w:pStyle w:val="NoSpacing"/>
        <w:numPr>
          <w:ilvl w:val="0"/>
          <w:numId w:val="11"/>
        </w:numPr>
        <w:rPr>
          <w:sz w:val="24"/>
          <w:szCs w:val="24"/>
        </w:rPr>
      </w:pPr>
      <w:r w:rsidRPr="00AE4111">
        <w:rPr>
          <w:sz w:val="24"/>
          <w:szCs w:val="24"/>
        </w:rPr>
        <w:t>update administrative processes to enable members to access PANDAS and PANS coverage;</w:t>
      </w:r>
    </w:p>
    <w:p w:rsidR="00AE4111" w:rsidRDefault="00AE4111" w:rsidP="00AE4111">
      <w:pPr>
        <w:pStyle w:val="NoSpacing"/>
        <w:numPr>
          <w:ilvl w:val="0"/>
          <w:numId w:val="11"/>
        </w:numPr>
        <w:rPr>
          <w:sz w:val="24"/>
          <w:szCs w:val="24"/>
        </w:rPr>
      </w:pPr>
      <w:r w:rsidRPr="00AE4111">
        <w:rPr>
          <w:sz w:val="24"/>
          <w:szCs w:val="24"/>
        </w:rPr>
        <w:t>identify providers within their networks to treat PANDAS and PANS.</w:t>
      </w:r>
    </w:p>
    <w:p w:rsidR="00AE4111" w:rsidRPr="00AE4111" w:rsidRDefault="00AE4111" w:rsidP="00AE4111">
      <w:pPr>
        <w:pStyle w:val="NoSpacing"/>
        <w:ind w:left="720"/>
        <w:rPr>
          <w:sz w:val="24"/>
          <w:szCs w:val="24"/>
        </w:rPr>
      </w:pPr>
    </w:p>
    <w:p w:rsidR="00AE4111" w:rsidRPr="00AE4111" w:rsidRDefault="00AE4111" w:rsidP="00AE4111">
      <w:pPr>
        <w:pStyle w:val="NoSpacing"/>
        <w:rPr>
          <w:sz w:val="24"/>
          <w:szCs w:val="24"/>
        </w:rPr>
      </w:pPr>
      <w:r w:rsidRPr="00AE4111">
        <w:rPr>
          <w:sz w:val="24"/>
          <w:szCs w:val="24"/>
        </w:rPr>
        <w:t xml:space="preserve">The Division also identified in Bulletin 2021-06 that if networks do not provide adequate access to providers, the Carriers are to cover medically necessary PANDAS and PANS when services are </w:t>
      </w:r>
      <w:r w:rsidRPr="00AE4111">
        <w:rPr>
          <w:sz w:val="24"/>
          <w:szCs w:val="24"/>
        </w:rPr>
        <w:lastRenderedPageBreak/>
        <w:t>provided by out-of-network providers until such time that the Carrier contracts for in-network providers to deliver care.</w:t>
      </w:r>
    </w:p>
    <w:p w:rsidR="00AE4111" w:rsidRPr="00AE4111" w:rsidRDefault="00AE4111" w:rsidP="00AE4111">
      <w:pPr>
        <w:pStyle w:val="NoSpacing"/>
        <w:rPr>
          <w:sz w:val="24"/>
          <w:szCs w:val="24"/>
        </w:rPr>
      </w:pPr>
      <w:r w:rsidRPr="00AE4111">
        <w:rPr>
          <w:sz w:val="24"/>
          <w:szCs w:val="24"/>
        </w:rPr>
        <w:t xml:space="preserve"> </w:t>
      </w:r>
    </w:p>
    <w:p w:rsidR="00AE4111" w:rsidRPr="00AE4111" w:rsidRDefault="00AE4111" w:rsidP="00AE4111">
      <w:pPr>
        <w:pStyle w:val="NoSpacing"/>
        <w:rPr>
          <w:sz w:val="24"/>
          <w:szCs w:val="24"/>
        </w:rPr>
      </w:pPr>
      <w:r w:rsidRPr="00AE4111">
        <w:rPr>
          <w:b/>
          <w:bCs/>
          <w:sz w:val="24"/>
          <w:szCs w:val="24"/>
        </w:rPr>
        <w:t>Statute</w:t>
      </w:r>
    </w:p>
    <w:p w:rsidR="00AE4111" w:rsidRPr="00AE4111" w:rsidRDefault="00AE4111" w:rsidP="00AE4111">
      <w:pPr>
        <w:pStyle w:val="NoSpacing"/>
        <w:rPr>
          <w:sz w:val="24"/>
          <w:szCs w:val="24"/>
        </w:rPr>
      </w:pPr>
      <w:r w:rsidRPr="00AE4111">
        <w:rPr>
          <w:sz w:val="24"/>
          <w:szCs w:val="24"/>
        </w:rPr>
        <w:t xml:space="preserve">The noted statute does </w:t>
      </w:r>
      <w:r w:rsidRPr="00AE4111">
        <w:rPr>
          <w:b/>
          <w:bCs/>
          <w:sz w:val="24"/>
          <w:szCs w:val="24"/>
        </w:rPr>
        <w:t>NOT</w:t>
      </w:r>
      <w:r w:rsidRPr="00AE4111">
        <w:rPr>
          <w:sz w:val="24"/>
          <w:szCs w:val="24"/>
        </w:rPr>
        <w:t xml:space="preserve"> apply to persons covered under the following:</w:t>
      </w:r>
    </w:p>
    <w:p w:rsidR="00AE4111" w:rsidRPr="00AE4111" w:rsidRDefault="00AE4111" w:rsidP="00AE4111">
      <w:pPr>
        <w:pStyle w:val="NoSpacing"/>
        <w:rPr>
          <w:sz w:val="24"/>
          <w:szCs w:val="24"/>
        </w:rPr>
      </w:pPr>
      <w:r w:rsidRPr="00AE4111">
        <w:rPr>
          <w:sz w:val="24"/>
          <w:szCs w:val="24"/>
        </w:rPr>
        <w:tab/>
        <w:t xml:space="preserve">government programs (e.g., Medicare and Medicaid Programs); </w:t>
      </w:r>
    </w:p>
    <w:p w:rsidR="00AE4111" w:rsidRPr="00AE4111" w:rsidRDefault="00AE4111" w:rsidP="00AE4111">
      <w:pPr>
        <w:pStyle w:val="NoSpacing"/>
        <w:rPr>
          <w:sz w:val="24"/>
          <w:szCs w:val="24"/>
        </w:rPr>
      </w:pPr>
      <w:r w:rsidRPr="00AE4111">
        <w:rPr>
          <w:sz w:val="24"/>
          <w:szCs w:val="24"/>
        </w:rPr>
        <w:tab/>
        <w:t>most plans issued outside Massachusetts;</w:t>
      </w:r>
      <w:r w:rsidRPr="00AE4111">
        <w:rPr>
          <w:sz w:val="24"/>
          <w:szCs w:val="24"/>
        </w:rPr>
        <w:tab/>
      </w:r>
    </w:p>
    <w:p w:rsidR="00AE4111" w:rsidRPr="00AE4111" w:rsidRDefault="00AE4111" w:rsidP="00AE4111">
      <w:pPr>
        <w:pStyle w:val="NoSpacing"/>
        <w:numPr>
          <w:ilvl w:val="3"/>
          <w:numId w:val="12"/>
        </w:numPr>
        <w:rPr>
          <w:sz w:val="24"/>
          <w:szCs w:val="24"/>
        </w:rPr>
      </w:pPr>
      <w:r w:rsidRPr="00AE4111">
        <w:rPr>
          <w:sz w:val="24"/>
          <w:szCs w:val="24"/>
        </w:rPr>
        <w:t>Many MA residents work for an employer that is headquartered in another state and offers employee benefits through its headquarters. </w:t>
      </w:r>
    </w:p>
    <w:p w:rsidR="00AE4111" w:rsidRPr="00AE4111" w:rsidRDefault="00AE4111" w:rsidP="00AE4111">
      <w:pPr>
        <w:pStyle w:val="NoSpacing"/>
        <w:numPr>
          <w:ilvl w:val="3"/>
          <w:numId w:val="12"/>
        </w:numPr>
        <w:rPr>
          <w:sz w:val="24"/>
          <w:szCs w:val="24"/>
        </w:rPr>
      </w:pPr>
      <w:r w:rsidRPr="00AE4111">
        <w:rPr>
          <w:sz w:val="24"/>
          <w:szCs w:val="24"/>
        </w:rPr>
        <w:t>Out-of-state employer plans generally are subject to the state law where the coverage was issued</w:t>
      </w:r>
    </w:p>
    <w:p w:rsidR="00AE4111" w:rsidRPr="00AE4111" w:rsidRDefault="00AE4111" w:rsidP="00AE4111">
      <w:pPr>
        <w:pStyle w:val="NoSpacing"/>
        <w:rPr>
          <w:sz w:val="24"/>
          <w:szCs w:val="24"/>
        </w:rPr>
      </w:pPr>
      <w:r w:rsidRPr="00AE4111">
        <w:rPr>
          <w:sz w:val="24"/>
          <w:szCs w:val="24"/>
        </w:rPr>
        <w:tab/>
        <w:t xml:space="preserve"> or self-funded employment-sponsored group health plans.</w:t>
      </w:r>
    </w:p>
    <w:p w:rsidR="00AE4111" w:rsidRPr="00AE4111" w:rsidRDefault="00AE4111" w:rsidP="00AE4111">
      <w:pPr>
        <w:pStyle w:val="NoSpacing"/>
        <w:numPr>
          <w:ilvl w:val="3"/>
          <w:numId w:val="13"/>
        </w:numPr>
        <w:rPr>
          <w:sz w:val="24"/>
          <w:szCs w:val="24"/>
        </w:rPr>
      </w:pPr>
      <w:r w:rsidRPr="00AE4111">
        <w:rPr>
          <w:sz w:val="24"/>
          <w:szCs w:val="24"/>
        </w:rPr>
        <w:t>Many large employers self-fund employee health benefits – pay the benefits from their own resources - rather than buying insured plans from insurance carriers.</w:t>
      </w:r>
    </w:p>
    <w:p w:rsidR="00AE4111" w:rsidRPr="00AE4111" w:rsidRDefault="00AE4111" w:rsidP="00AE4111">
      <w:pPr>
        <w:pStyle w:val="NoSpacing"/>
        <w:numPr>
          <w:ilvl w:val="3"/>
          <w:numId w:val="13"/>
        </w:numPr>
        <w:rPr>
          <w:sz w:val="24"/>
          <w:szCs w:val="24"/>
        </w:rPr>
      </w:pPr>
      <w:r w:rsidRPr="00AE4111">
        <w:rPr>
          <w:sz w:val="24"/>
          <w:szCs w:val="24"/>
        </w:rPr>
        <w:t>These plans are exempt from state insurance laws under federal ERISA statutes.</w:t>
      </w:r>
    </w:p>
    <w:p w:rsid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 xml:space="preserve">Individuals can contact their employers’ human resource representative or their insurance Carrier to understand whether they are in an insured health benefit plan that is subject to the protections of the law.  </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MANAGED CARE PROCESSES</w:t>
      </w:r>
    </w:p>
    <w:p w:rsidR="00AE4111" w:rsidRPr="00AE4111" w:rsidRDefault="00AE4111" w:rsidP="00AE4111">
      <w:pPr>
        <w:pStyle w:val="NoSpacing"/>
        <w:rPr>
          <w:sz w:val="24"/>
          <w:szCs w:val="24"/>
        </w:rPr>
      </w:pPr>
      <w:r w:rsidRPr="00AE4111">
        <w:rPr>
          <w:sz w:val="24"/>
          <w:szCs w:val="24"/>
        </w:rPr>
        <w:t xml:space="preserve">Many health plans use "utilization review" to decide whether certain services or access to certain providers is necessary for a patient according to their medical standards. </w:t>
      </w:r>
    </w:p>
    <w:p w:rsidR="00AE4111" w:rsidRPr="00AE4111" w:rsidRDefault="00AE4111" w:rsidP="00AE4111">
      <w:pPr>
        <w:pStyle w:val="NoSpacing"/>
        <w:rPr>
          <w:sz w:val="24"/>
          <w:szCs w:val="24"/>
        </w:rPr>
      </w:pPr>
      <w:r w:rsidRPr="00AE4111">
        <w:rPr>
          <w:sz w:val="24"/>
          <w:szCs w:val="24"/>
        </w:rPr>
        <w:t xml:space="preserve">Medical necessity guidelines are developed according to section 16 of M.G.L. c. 176O and medical necessity guidelines utilized by a carrier in making coverage determinations shall be: </w:t>
      </w:r>
    </w:p>
    <w:p w:rsidR="00AE4111" w:rsidRPr="00AE4111" w:rsidRDefault="00AE4111" w:rsidP="00AE4111">
      <w:pPr>
        <w:pStyle w:val="NoSpacing"/>
        <w:numPr>
          <w:ilvl w:val="1"/>
          <w:numId w:val="14"/>
        </w:numPr>
        <w:rPr>
          <w:sz w:val="24"/>
          <w:szCs w:val="24"/>
        </w:rPr>
      </w:pPr>
      <w:r w:rsidRPr="00AE4111">
        <w:rPr>
          <w:sz w:val="24"/>
          <w:szCs w:val="24"/>
        </w:rPr>
        <w:t xml:space="preserve">developed with input from practicing physicians and participating providers in the carrier's or utilization review organization's service area; </w:t>
      </w:r>
    </w:p>
    <w:p w:rsidR="00AE4111" w:rsidRPr="00AE4111" w:rsidRDefault="00AE4111" w:rsidP="00AE4111">
      <w:pPr>
        <w:pStyle w:val="NoSpacing"/>
        <w:numPr>
          <w:ilvl w:val="1"/>
          <w:numId w:val="14"/>
        </w:numPr>
        <w:rPr>
          <w:sz w:val="24"/>
          <w:szCs w:val="24"/>
        </w:rPr>
      </w:pPr>
      <w:r w:rsidRPr="00AE4111">
        <w:rPr>
          <w:sz w:val="24"/>
          <w:szCs w:val="24"/>
        </w:rPr>
        <w:t xml:space="preserve">developed under the standards adopted by national accreditation organizations; </w:t>
      </w:r>
    </w:p>
    <w:p w:rsidR="00AE4111" w:rsidRPr="00AE4111" w:rsidRDefault="00AE4111" w:rsidP="00AE4111">
      <w:pPr>
        <w:pStyle w:val="NoSpacing"/>
        <w:numPr>
          <w:ilvl w:val="1"/>
          <w:numId w:val="14"/>
        </w:numPr>
        <w:rPr>
          <w:sz w:val="24"/>
          <w:szCs w:val="24"/>
        </w:rPr>
      </w:pPr>
      <w:r w:rsidRPr="00AE4111">
        <w:rPr>
          <w:sz w:val="24"/>
          <w:szCs w:val="24"/>
        </w:rPr>
        <w:t xml:space="preserve">updated at least biennially or more often as new treatments, applications and technologies are adopted as generally accepted professional medical practice; and </w:t>
      </w:r>
    </w:p>
    <w:p w:rsidR="00AE4111" w:rsidRPr="00AE4111" w:rsidRDefault="00AE4111" w:rsidP="00AE4111">
      <w:pPr>
        <w:pStyle w:val="NoSpacing"/>
        <w:numPr>
          <w:ilvl w:val="1"/>
          <w:numId w:val="14"/>
        </w:numPr>
        <w:rPr>
          <w:sz w:val="24"/>
          <w:szCs w:val="24"/>
        </w:rPr>
      </w:pPr>
      <w:r w:rsidRPr="00AE4111">
        <w:rPr>
          <w:sz w:val="24"/>
          <w:szCs w:val="24"/>
        </w:rPr>
        <w:t>evidence-based, if practicable. In applying such guidelines, a carrier shall consider the individual health care needs of the insured.</w:t>
      </w:r>
    </w:p>
    <w:p w:rsid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 xml:space="preserve">The law also notes that “medical necessity guidelines criteria shall be applied consistently by a carrier or a utilization review organization and </w:t>
      </w:r>
      <w:r w:rsidRPr="00AE4111">
        <w:rPr>
          <w:sz w:val="24"/>
          <w:szCs w:val="24"/>
          <w:u w:val="single"/>
        </w:rPr>
        <w:t>made easily accessible and up-to-date on a carrier or utilization review organization's website</w:t>
      </w:r>
      <w:r w:rsidRPr="00AE4111">
        <w:rPr>
          <w:sz w:val="24"/>
          <w:szCs w:val="24"/>
        </w:rPr>
        <w:t>.”</w:t>
      </w:r>
    </w:p>
    <w:p w:rsidR="00AE4111" w:rsidRPr="00AE4111" w:rsidRDefault="00AE4111" w:rsidP="00B548ED">
      <w:pPr>
        <w:pStyle w:val="NoSpacing"/>
        <w:rPr>
          <w:sz w:val="24"/>
          <w:szCs w:val="24"/>
        </w:rPr>
      </w:pPr>
    </w:p>
    <w:p w:rsidR="00AE4111" w:rsidRPr="00AE4111" w:rsidRDefault="00AE4111" w:rsidP="00B548ED">
      <w:pPr>
        <w:pStyle w:val="NoSpacing"/>
        <w:rPr>
          <w:sz w:val="24"/>
          <w:szCs w:val="24"/>
        </w:rPr>
      </w:pPr>
    </w:p>
    <w:p w:rsidR="00AE4111" w:rsidRDefault="00AE4111">
      <w:pPr>
        <w:widowControl/>
        <w:autoSpaceDE/>
        <w:autoSpaceDN/>
        <w:rPr>
          <w:b/>
          <w:bCs/>
          <w:sz w:val="24"/>
          <w:szCs w:val="24"/>
        </w:rPr>
      </w:pPr>
      <w:r>
        <w:rPr>
          <w:b/>
          <w:bCs/>
          <w:sz w:val="24"/>
          <w:szCs w:val="24"/>
        </w:rPr>
        <w:br w:type="page"/>
      </w:r>
    </w:p>
    <w:p w:rsidR="00AE4111" w:rsidRPr="00AE4111" w:rsidRDefault="00AE4111" w:rsidP="00AE4111">
      <w:pPr>
        <w:pStyle w:val="NoSpacing"/>
        <w:rPr>
          <w:sz w:val="24"/>
          <w:szCs w:val="24"/>
        </w:rPr>
      </w:pPr>
      <w:r w:rsidRPr="00AE4111">
        <w:rPr>
          <w:b/>
          <w:bCs/>
          <w:sz w:val="24"/>
          <w:szCs w:val="24"/>
        </w:rPr>
        <w:lastRenderedPageBreak/>
        <w:t>Bureau of Managed Care (M.G.L. c. 176O, sec 2)</w:t>
      </w:r>
    </w:p>
    <w:p w:rsidR="00AE4111" w:rsidRPr="00AE4111" w:rsidRDefault="00AE4111" w:rsidP="00AE4111">
      <w:pPr>
        <w:pStyle w:val="NoSpacing"/>
        <w:rPr>
          <w:sz w:val="24"/>
          <w:szCs w:val="24"/>
        </w:rPr>
      </w:pPr>
      <w:r w:rsidRPr="00AE4111">
        <w:rPr>
          <w:sz w:val="24"/>
          <w:szCs w:val="24"/>
        </w:rPr>
        <w:t>Responsible under M.G.L. c. 176O, sec 2 to review carriers</w:t>
      </w:r>
    </w:p>
    <w:p w:rsidR="00AE4111" w:rsidRPr="00AE4111" w:rsidRDefault="00AE4111" w:rsidP="00AE4111">
      <w:pPr>
        <w:pStyle w:val="NoSpacing"/>
        <w:numPr>
          <w:ilvl w:val="0"/>
          <w:numId w:val="16"/>
        </w:numPr>
        <w:rPr>
          <w:sz w:val="24"/>
          <w:szCs w:val="24"/>
        </w:rPr>
      </w:pPr>
      <w:r w:rsidRPr="00AE4111">
        <w:rPr>
          <w:sz w:val="24"/>
          <w:szCs w:val="24"/>
        </w:rPr>
        <w:t>Utilization review;</w:t>
      </w:r>
    </w:p>
    <w:p w:rsidR="00AE4111" w:rsidRPr="00AE4111" w:rsidRDefault="00AE4111" w:rsidP="00AE4111">
      <w:pPr>
        <w:pStyle w:val="NoSpacing"/>
        <w:numPr>
          <w:ilvl w:val="0"/>
          <w:numId w:val="16"/>
        </w:numPr>
        <w:rPr>
          <w:sz w:val="24"/>
          <w:szCs w:val="24"/>
        </w:rPr>
      </w:pPr>
      <w:r w:rsidRPr="00AE4111">
        <w:rPr>
          <w:sz w:val="24"/>
          <w:szCs w:val="24"/>
        </w:rPr>
        <w:t>Quality management and improvement;</w:t>
      </w:r>
    </w:p>
    <w:p w:rsidR="00AE4111" w:rsidRPr="00AE4111" w:rsidRDefault="00AE4111" w:rsidP="00AE4111">
      <w:pPr>
        <w:pStyle w:val="NoSpacing"/>
        <w:numPr>
          <w:ilvl w:val="0"/>
          <w:numId w:val="16"/>
        </w:numPr>
        <w:rPr>
          <w:sz w:val="24"/>
          <w:szCs w:val="24"/>
        </w:rPr>
      </w:pPr>
      <w:r w:rsidRPr="00AE4111">
        <w:rPr>
          <w:sz w:val="24"/>
          <w:szCs w:val="24"/>
        </w:rPr>
        <w:t>Credentialing;</w:t>
      </w:r>
    </w:p>
    <w:p w:rsidR="00AE4111" w:rsidRPr="00AE4111" w:rsidRDefault="00AE4111" w:rsidP="00AE4111">
      <w:pPr>
        <w:pStyle w:val="NoSpacing"/>
        <w:numPr>
          <w:ilvl w:val="0"/>
          <w:numId w:val="16"/>
        </w:numPr>
        <w:rPr>
          <w:sz w:val="24"/>
          <w:szCs w:val="24"/>
        </w:rPr>
      </w:pPr>
      <w:r w:rsidRPr="00AE4111">
        <w:rPr>
          <w:sz w:val="24"/>
          <w:szCs w:val="24"/>
        </w:rPr>
        <w:t>Preventive health services;</w:t>
      </w:r>
    </w:p>
    <w:p w:rsidR="00AE4111" w:rsidRPr="00AE4111" w:rsidRDefault="00AE4111" w:rsidP="00AE4111">
      <w:pPr>
        <w:pStyle w:val="NoSpacing"/>
        <w:numPr>
          <w:ilvl w:val="0"/>
          <w:numId w:val="16"/>
        </w:numPr>
        <w:rPr>
          <w:sz w:val="24"/>
          <w:szCs w:val="24"/>
        </w:rPr>
      </w:pPr>
      <w:r w:rsidRPr="00AE4111">
        <w:rPr>
          <w:sz w:val="24"/>
          <w:szCs w:val="24"/>
        </w:rPr>
        <w:t>Access to pain management services, including non-opioid and non-pharmaceutical service options;</w:t>
      </w:r>
    </w:p>
    <w:p w:rsidR="00AE4111" w:rsidRPr="00AE4111" w:rsidRDefault="00AE4111" w:rsidP="00AE4111">
      <w:pPr>
        <w:pStyle w:val="NoSpacing"/>
        <w:numPr>
          <w:ilvl w:val="0"/>
          <w:numId w:val="16"/>
        </w:numPr>
        <w:rPr>
          <w:sz w:val="24"/>
          <w:szCs w:val="24"/>
        </w:rPr>
      </w:pPr>
      <w:r w:rsidRPr="00AE4111">
        <w:rPr>
          <w:sz w:val="24"/>
          <w:szCs w:val="24"/>
        </w:rPr>
        <w:t>Access to behavioral health services, chronic disease management and primary care services via telehealth;</w:t>
      </w:r>
    </w:p>
    <w:p w:rsidR="00AE4111" w:rsidRPr="00AE4111" w:rsidRDefault="00AE4111" w:rsidP="00AE4111">
      <w:pPr>
        <w:pStyle w:val="NoSpacing"/>
        <w:numPr>
          <w:ilvl w:val="0"/>
          <w:numId w:val="16"/>
        </w:numPr>
        <w:rPr>
          <w:sz w:val="24"/>
          <w:szCs w:val="24"/>
        </w:rPr>
      </w:pPr>
      <w:r w:rsidRPr="00AE4111">
        <w:rPr>
          <w:sz w:val="24"/>
          <w:szCs w:val="24"/>
        </w:rPr>
        <w:t>Evidences of Coverage;</w:t>
      </w:r>
    </w:p>
    <w:p w:rsidR="00AE4111" w:rsidRPr="00AE4111" w:rsidRDefault="00AE4111" w:rsidP="00AE4111">
      <w:pPr>
        <w:pStyle w:val="NoSpacing"/>
        <w:numPr>
          <w:ilvl w:val="0"/>
          <w:numId w:val="16"/>
        </w:numPr>
        <w:rPr>
          <w:sz w:val="24"/>
          <w:szCs w:val="24"/>
        </w:rPr>
      </w:pPr>
      <w:r w:rsidRPr="00AE4111">
        <w:rPr>
          <w:sz w:val="24"/>
          <w:szCs w:val="24"/>
        </w:rPr>
        <w:t>Contracts with network providers;</w:t>
      </w:r>
    </w:p>
    <w:p w:rsidR="00AE4111" w:rsidRPr="00AE4111" w:rsidRDefault="00AE4111" w:rsidP="00AE4111">
      <w:pPr>
        <w:pStyle w:val="NoSpacing"/>
        <w:numPr>
          <w:ilvl w:val="0"/>
          <w:numId w:val="16"/>
        </w:numPr>
        <w:rPr>
          <w:sz w:val="24"/>
          <w:szCs w:val="24"/>
        </w:rPr>
      </w:pPr>
      <w:r w:rsidRPr="00AE4111">
        <w:rPr>
          <w:sz w:val="24"/>
          <w:szCs w:val="24"/>
        </w:rPr>
        <w:t>Provider directories;</w:t>
      </w:r>
    </w:p>
    <w:p w:rsidR="00AE4111" w:rsidRPr="00AE4111" w:rsidRDefault="00AE4111" w:rsidP="00AE4111">
      <w:pPr>
        <w:pStyle w:val="NoSpacing"/>
        <w:numPr>
          <w:ilvl w:val="0"/>
          <w:numId w:val="16"/>
        </w:numPr>
        <w:rPr>
          <w:sz w:val="24"/>
          <w:szCs w:val="24"/>
        </w:rPr>
      </w:pPr>
      <w:r w:rsidRPr="00AE4111">
        <w:rPr>
          <w:sz w:val="24"/>
          <w:szCs w:val="24"/>
        </w:rPr>
        <w:t>Adequacy of networks; and</w:t>
      </w:r>
    </w:p>
    <w:p w:rsidR="00AE4111" w:rsidRPr="00AE4111" w:rsidRDefault="00AE4111" w:rsidP="00AE4111">
      <w:pPr>
        <w:pStyle w:val="NoSpacing"/>
        <w:numPr>
          <w:ilvl w:val="0"/>
          <w:numId w:val="16"/>
        </w:numPr>
        <w:rPr>
          <w:sz w:val="24"/>
          <w:szCs w:val="24"/>
        </w:rPr>
      </w:pPr>
      <w:r w:rsidRPr="00AE4111">
        <w:rPr>
          <w:sz w:val="24"/>
          <w:szCs w:val="24"/>
        </w:rPr>
        <w:t>Disclosure information.</w:t>
      </w:r>
    </w:p>
    <w:p w:rsidR="00AE4111" w:rsidRPr="00AE4111" w:rsidRDefault="00AE4111" w:rsidP="00B548ED">
      <w:pPr>
        <w:pStyle w:val="NoSpacing"/>
        <w:rPr>
          <w:sz w:val="24"/>
          <w:szCs w:val="24"/>
        </w:rPr>
      </w:pP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Accreditation Review</w:t>
      </w:r>
    </w:p>
    <w:p w:rsidR="00AE4111" w:rsidRDefault="00AE4111" w:rsidP="00AE4111">
      <w:pPr>
        <w:pStyle w:val="NoSpacing"/>
        <w:rPr>
          <w:sz w:val="24"/>
          <w:szCs w:val="24"/>
        </w:rPr>
      </w:pPr>
      <w:r w:rsidRPr="00AE4111">
        <w:rPr>
          <w:sz w:val="24"/>
          <w:szCs w:val="24"/>
        </w:rPr>
        <w:t>Every two years, staff within the Bureau of Managed Care review the managed care processes of each Massachusetts insurance carrier for utilization review, quality assurance, and credentialing.</w:t>
      </w:r>
    </w:p>
    <w:p w:rsidR="00AE4111" w:rsidRPr="00AE4111" w:rsidRDefault="00AE4111" w:rsidP="00AE4111">
      <w:pPr>
        <w:pStyle w:val="NoSpacing"/>
        <w:rPr>
          <w:sz w:val="24"/>
          <w:szCs w:val="24"/>
        </w:rPr>
      </w:pPr>
    </w:p>
    <w:p w:rsidR="00AE4111" w:rsidRDefault="00AE4111" w:rsidP="00AE4111">
      <w:pPr>
        <w:pStyle w:val="NoSpacing"/>
        <w:rPr>
          <w:sz w:val="24"/>
          <w:szCs w:val="24"/>
        </w:rPr>
      </w:pPr>
      <w:r w:rsidRPr="00AE4111">
        <w:rPr>
          <w:sz w:val="24"/>
          <w:szCs w:val="24"/>
        </w:rPr>
        <w:t>Staff review all evidence of coverages, provider directory materials and consumer disclosures for compliance with state laws.</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When there are material changes to any processes, insurance carriers are to submit these changes for review with compliance with managed care regulations.</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Utilization Review Decisions</w:t>
      </w:r>
    </w:p>
    <w:p w:rsidR="00AE4111" w:rsidRDefault="00AE4111" w:rsidP="00AE4111">
      <w:pPr>
        <w:pStyle w:val="NoSpacing"/>
        <w:rPr>
          <w:sz w:val="24"/>
          <w:szCs w:val="24"/>
        </w:rPr>
      </w:pPr>
      <w:r w:rsidRPr="00AE4111">
        <w:rPr>
          <w:sz w:val="24"/>
          <w:szCs w:val="24"/>
        </w:rPr>
        <w:t>If an insurance carrier makes a determination that a requested service or provider is not medically necessary, the plan may deny or reduce payments. For some health plans, this medical necessity decision is made before treatment.  For other health plans, the decision is made when the company gets a bill from the provider.</w:t>
      </w:r>
    </w:p>
    <w:p w:rsidR="00AE4111" w:rsidRPr="00AE4111" w:rsidRDefault="00AE4111" w:rsidP="00AE4111">
      <w:pPr>
        <w:pStyle w:val="NoSpacing"/>
        <w:rPr>
          <w:sz w:val="24"/>
          <w:szCs w:val="24"/>
        </w:rPr>
      </w:pPr>
    </w:p>
    <w:p w:rsidR="00AE4111" w:rsidRDefault="00AE4111" w:rsidP="00AE4111">
      <w:pPr>
        <w:pStyle w:val="NoSpacing"/>
        <w:rPr>
          <w:sz w:val="24"/>
          <w:szCs w:val="24"/>
        </w:rPr>
      </w:pPr>
      <w:r w:rsidRPr="00AE4111">
        <w:rPr>
          <w:sz w:val="24"/>
          <w:szCs w:val="24"/>
        </w:rPr>
        <w:t xml:space="preserve">When submitting a request, the insurance carrier will expect that the request includes sufficient information from a clinician to identify why the procedure is medical necessary for the covered person.  When the request is complete, the insurance carrier is expected to </w:t>
      </w:r>
      <w:r w:rsidRPr="00AE4111">
        <w:rPr>
          <w:sz w:val="24"/>
          <w:szCs w:val="24"/>
          <w:u w:val="single"/>
        </w:rPr>
        <w:t xml:space="preserve">respond to the request within 2 business days </w:t>
      </w:r>
      <w:r w:rsidRPr="00AE4111">
        <w:rPr>
          <w:sz w:val="24"/>
          <w:szCs w:val="24"/>
        </w:rPr>
        <w:t>of obtaining all necessary information.</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If an insurance company decides that a service is not medically necessary, it must send a letter explaining the reasons for the decision. The letter should also explain the right to file a grievance or appeal, and how to file this request.</w:t>
      </w:r>
    </w:p>
    <w:p w:rsidR="00AE4111" w:rsidRPr="00AE4111" w:rsidRDefault="00AE4111" w:rsidP="00B548ED">
      <w:pPr>
        <w:pStyle w:val="NoSpacing"/>
        <w:rPr>
          <w:sz w:val="24"/>
          <w:szCs w:val="24"/>
        </w:rPr>
      </w:pP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lastRenderedPageBreak/>
        <w:t>Internal Grievance Protections</w:t>
      </w:r>
    </w:p>
    <w:p w:rsidR="00AE4111" w:rsidRDefault="00AE4111" w:rsidP="00AE4111">
      <w:pPr>
        <w:pStyle w:val="NoSpacing"/>
        <w:rPr>
          <w:sz w:val="24"/>
          <w:szCs w:val="24"/>
        </w:rPr>
      </w:pPr>
      <w:r w:rsidRPr="00AE4111">
        <w:rPr>
          <w:sz w:val="24"/>
          <w:szCs w:val="24"/>
        </w:rPr>
        <w:t xml:space="preserve">A managed care plan must allow a consumer or provider to file for an appeal whenever the plan determines that a service is not medically necessary. The appeal may be filed by calling, writing, or faxing the grievance to the company. </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The managed care company must send you a notice within fifteen days, acknowledging receipt of the appeal. It must complete its internal appeal within 30 business days - unless you agree to an extension. The managed care company must send you a written decision about the appeal within 30 business days.</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External Review Protections</w:t>
      </w:r>
    </w:p>
    <w:p w:rsidR="00AE4111" w:rsidRDefault="00AE4111" w:rsidP="00AE4111">
      <w:pPr>
        <w:pStyle w:val="NoSpacing"/>
        <w:rPr>
          <w:sz w:val="24"/>
          <w:szCs w:val="24"/>
        </w:rPr>
      </w:pPr>
      <w:r w:rsidRPr="00AE4111">
        <w:rPr>
          <w:sz w:val="24"/>
          <w:szCs w:val="24"/>
        </w:rPr>
        <w:t xml:space="preserve">If the insurance carrier denies an internal review, the consumer or provider has the right to file for an external review with the Office of Patient Protection (OPP). When the insurance company sends the denial letter, it should also send forms that you can submit to the OPP. </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If an individual files for an external appeal of a denied service, the OPP arranges for an independent external review within 45 days.  If OPP overturns the insurance carrier’s denial, the company is required to provide coverage for the denied service.</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Coverage Offered Through Networks of Providers</w:t>
      </w:r>
    </w:p>
    <w:p w:rsidR="00AE4111" w:rsidRDefault="00AE4111" w:rsidP="00AE4111">
      <w:pPr>
        <w:pStyle w:val="NoSpacing"/>
        <w:rPr>
          <w:sz w:val="24"/>
          <w:szCs w:val="24"/>
        </w:rPr>
      </w:pPr>
      <w:r w:rsidRPr="00AE4111">
        <w:rPr>
          <w:sz w:val="24"/>
          <w:szCs w:val="24"/>
        </w:rPr>
        <w:t xml:space="preserve">Most Massachusetts health carriers sponsor coverage through a network of health care providers and are expected to maintain an adequate network of providers to treat all covered benefits.  Each managed care health plan is expected to maintain a list of providers available to treat PANS and PANDAs, that list must be readily available to consumers, providers, and other parties. </w:t>
      </w:r>
    </w:p>
    <w:p w:rsidR="00AE4111" w:rsidRPr="00AE4111" w:rsidRDefault="00AE4111" w:rsidP="00AE4111">
      <w:pPr>
        <w:pStyle w:val="NoSpacing"/>
        <w:rPr>
          <w:sz w:val="24"/>
          <w:szCs w:val="24"/>
        </w:rPr>
      </w:pPr>
    </w:p>
    <w:p w:rsidR="00AE4111" w:rsidRDefault="00AE4111" w:rsidP="00AE4111">
      <w:pPr>
        <w:pStyle w:val="NoSpacing"/>
        <w:rPr>
          <w:sz w:val="24"/>
          <w:szCs w:val="24"/>
        </w:rPr>
      </w:pPr>
      <w:r w:rsidRPr="00AE4111">
        <w:rPr>
          <w:sz w:val="24"/>
          <w:szCs w:val="24"/>
        </w:rPr>
        <w:t xml:space="preserve">“[if] Carriers’ networks do not currently include adequate access to providers who can treat PANDAS and PANS, then Carriers are to cover medically necessary PANDAS and PANS services from out-of-network providers on an in-network basis until such time that an adequate network is developed.” </w:t>
      </w:r>
    </w:p>
    <w:p w:rsidR="00AE4111" w:rsidRPr="00AE4111" w:rsidRDefault="00AE4111" w:rsidP="00AE4111">
      <w:pPr>
        <w:pStyle w:val="NoSpacing"/>
        <w:rPr>
          <w:sz w:val="24"/>
          <w:szCs w:val="24"/>
        </w:rPr>
      </w:pPr>
    </w:p>
    <w:p w:rsidR="00AE4111" w:rsidRPr="00AE4111" w:rsidRDefault="00AE4111" w:rsidP="00AE4111">
      <w:pPr>
        <w:pStyle w:val="NoSpacing"/>
        <w:rPr>
          <w:sz w:val="24"/>
          <w:szCs w:val="24"/>
        </w:rPr>
      </w:pPr>
      <w:r w:rsidRPr="00AE4111">
        <w:rPr>
          <w:sz w:val="24"/>
          <w:szCs w:val="24"/>
        </w:rPr>
        <w:t>The Division responds to complaints about network access and when it has determined that a network is inadequate, it has notified carriers that they need to provide access to services from out-of-network providers.</w:t>
      </w:r>
    </w:p>
    <w:p w:rsidR="00AE4111" w:rsidRPr="00AE4111" w:rsidRDefault="00AE4111" w:rsidP="00B548ED">
      <w:pPr>
        <w:pStyle w:val="NoSpacing"/>
        <w:rPr>
          <w:sz w:val="24"/>
          <w:szCs w:val="24"/>
        </w:rPr>
      </w:pPr>
    </w:p>
    <w:p w:rsidR="00AE4111" w:rsidRPr="00AE4111" w:rsidRDefault="00AE4111" w:rsidP="00AE4111">
      <w:pPr>
        <w:pStyle w:val="NoSpacing"/>
        <w:rPr>
          <w:sz w:val="24"/>
          <w:szCs w:val="24"/>
        </w:rPr>
      </w:pPr>
      <w:r w:rsidRPr="00AE4111">
        <w:rPr>
          <w:b/>
          <w:bCs/>
          <w:sz w:val="24"/>
          <w:szCs w:val="24"/>
        </w:rPr>
        <w:t>Complaints</w:t>
      </w:r>
    </w:p>
    <w:p w:rsidR="00AE4111" w:rsidRPr="00AE4111" w:rsidRDefault="00AE4111" w:rsidP="00AE4111">
      <w:pPr>
        <w:pStyle w:val="NoSpacing"/>
        <w:rPr>
          <w:sz w:val="24"/>
          <w:szCs w:val="24"/>
        </w:rPr>
      </w:pPr>
      <w:r w:rsidRPr="00AE4111">
        <w:rPr>
          <w:sz w:val="24"/>
          <w:szCs w:val="24"/>
        </w:rPr>
        <w:t xml:space="preserve">If any individual believes that any insured health plan is not complying with the requirements of Chapter 260, the individual should file a complaint with the Division of Insurance, through </w:t>
      </w:r>
      <w:hyperlink r:id="rId5" w:history="1">
        <w:r w:rsidRPr="00AE4111">
          <w:rPr>
            <w:rStyle w:val="Hyperlink"/>
            <w:sz w:val="24"/>
            <w:szCs w:val="24"/>
          </w:rPr>
          <w:t>DOI Insurance Complaint Submission Form | Mass.gov</w:t>
        </w:r>
      </w:hyperlink>
      <w:r w:rsidRPr="00AE4111">
        <w:rPr>
          <w:sz w:val="24"/>
          <w:szCs w:val="24"/>
        </w:rPr>
        <w:t xml:space="preserve"> or by calling the Division of Insurance at (617) 521-7794.</w:t>
      </w:r>
    </w:p>
    <w:p w:rsidR="00AE4111" w:rsidRPr="00AE4111" w:rsidRDefault="00AE4111" w:rsidP="00B548ED">
      <w:pPr>
        <w:pStyle w:val="NoSpacing"/>
        <w:rPr>
          <w:sz w:val="24"/>
          <w:szCs w:val="24"/>
        </w:rPr>
      </w:pPr>
    </w:p>
    <w:p w:rsidR="00AE4111" w:rsidRPr="00AE4111" w:rsidRDefault="00AE4111" w:rsidP="00B548ED">
      <w:pPr>
        <w:pStyle w:val="NoSpacing"/>
        <w:rPr>
          <w:sz w:val="24"/>
          <w:szCs w:val="24"/>
        </w:rPr>
      </w:pPr>
    </w:p>
    <w:p w:rsidR="00AE4111" w:rsidRPr="00AE4111" w:rsidRDefault="00AE4111" w:rsidP="00B548ED">
      <w:pPr>
        <w:pStyle w:val="NoSpacing"/>
        <w:rPr>
          <w:sz w:val="24"/>
          <w:szCs w:val="24"/>
        </w:rPr>
      </w:pPr>
    </w:p>
    <w:sectPr w:rsidR="00AE4111" w:rsidRPr="00AE4111" w:rsidSect="0083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559"/>
    <w:multiLevelType w:val="hybridMultilevel"/>
    <w:tmpl w:val="6A3A9A9E"/>
    <w:lvl w:ilvl="0" w:tplc="56B0361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7524"/>
    <w:multiLevelType w:val="hybridMultilevel"/>
    <w:tmpl w:val="8E6AF290"/>
    <w:lvl w:ilvl="0" w:tplc="CE3A3026">
      <w:start w:val="26"/>
      <w:numFmt w:val="bullet"/>
      <w:lvlText w:val="•"/>
      <w:lvlJc w:val="left"/>
      <w:pPr>
        <w:ind w:left="720" w:hanging="36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B2B7B"/>
    <w:multiLevelType w:val="hybridMultilevel"/>
    <w:tmpl w:val="885A711E"/>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225CE"/>
    <w:multiLevelType w:val="hybridMultilevel"/>
    <w:tmpl w:val="3728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62CA7"/>
    <w:multiLevelType w:val="hybridMultilevel"/>
    <w:tmpl w:val="58AE69A0"/>
    <w:lvl w:ilvl="0" w:tplc="B9600F1E">
      <w:start w:val="1"/>
      <w:numFmt w:val="bullet"/>
      <w:lvlText w:val="•"/>
      <w:lvlJc w:val="left"/>
      <w:pPr>
        <w:tabs>
          <w:tab w:val="num" w:pos="720"/>
        </w:tabs>
        <w:ind w:left="720" w:hanging="360"/>
      </w:pPr>
      <w:rPr>
        <w:rFonts w:ascii="Arial" w:hAnsi="Arial" w:hint="default"/>
      </w:rPr>
    </w:lvl>
    <w:lvl w:ilvl="1" w:tplc="43E2B8CE" w:tentative="1">
      <w:start w:val="1"/>
      <w:numFmt w:val="bullet"/>
      <w:lvlText w:val="•"/>
      <w:lvlJc w:val="left"/>
      <w:pPr>
        <w:tabs>
          <w:tab w:val="num" w:pos="1440"/>
        </w:tabs>
        <w:ind w:left="1440" w:hanging="360"/>
      </w:pPr>
      <w:rPr>
        <w:rFonts w:ascii="Arial" w:hAnsi="Arial" w:hint="default"/>
      </w:rPr>
    </w:lvl>
    <w:lvl w:ilvl="2" w:tplc="4FE2234C" w:tentative="1">
      <w:start w:val="1"/>
      <w:numFmt w:val="bullet"/>
      <w:lvlText w:val="•"/>
      <w:lvlJc w:val="left"/>
      <w:pPr>
        <w:tabs>
          <w:tab w:val="num" w:pos="2160"/>
        </w:tabs>
        <w:ind w:left="2160" w:hanging="360"/>
      </w:pPr>
      <w:rPr>
        <w:rFonts w:ascii="Arial" w:hAnsi="Arial" w:hint="default"/>
      </w:rPr>
    </w:lvl>
    <w:lvl w:ilvl="3" w:tplc="A20EA5DC" w:tentative="1">
      <w:start w:val="1"/>
      <w:numFmt w:val="bullet"/>
      <w:lvlText w:val="•"/>
      <w:lvlJc w:val="left"/>
      <w:pPr>
        <w:tabs>
          <w:tab w:val="num" w:pos="2880"/>
        </w:tabs>
        <w:ind w:left="2880" w:hanging="360"/>
      </w:pPr>
      <w:rPr>
        <w:rFonts w:ascii="Arial" w:hAnsi="Arial" w:hint="default"/>
      </w:rPr>
    </w:lvl>
    <w:lvl w:ilvl="4" w:tplc="582E3A9C" w:tentative="1">
      <w:start w:val="1"/>
      <w:numFmt w:val="bullet"/>
      <w:lvlText w:val="•"/>
      <w:lvlJc w:val="left"/>
      <w:pPr>
        <w:tabs>
          <w:tab w:val="num" w:pos="3600"/>
        </w:tabs>
        <w:ind w:left="3600" w:hanging="360"/>
      </w:pPr>
      <w:rPr>
        <w:rFonts w:ascii="Arial" w:hAnsi="Arial" w:hint="default"/>
      </w:rPr>
    </w:lvl>
    <w:lvl w:ilvl="5" w:tplc="FC10B936" w:tentative="1">
      <w:start w:val="1"/>
      <w:numFmt w:val="bullet"/>
      <w:lvlText w:val="•"/>
      <w:lvlJc w:val="left"/>
      <w:pPr>
        <w:tabs>
          <w:tab w:val="num" w:pos="4320"/>
        </w:tabs>
        <w:ind w:left="4320" w:hanging="360"/>
      </w:pPr>
      <w:rPr>
        <w:rFonts w:ascii="Arial" w:hAnsi="Arial" w:hint="default"/>
      </w:rPr>
    </w:lvl>
    <w:lvl w:ilvl="6" w:tplc="D01073D8" w:tentative="1">
      <w:start w:val="1"/>
      <w:numFmt w:val="bullet"/>
      <w:lvlText w:val="•"/>
      <w:lvlJc w:val="left"/>
      <w:pPr>
        <w:tabs>
          <w:tab w:val="num" w:pos="5040"/>
        </w:tabs>
        <w:ind w:left="5040" w:hanging="360"/>
      </w:pPr>
      <w:rPr>
        <w:rFonts w:ascii="Arial" w:hAnsi="Arial" w:hint="default"/>
      </w:rPr>
    </w:lvl>
    <w:lvl w:ilvl="7" w:tplc="8CC01C54" w:tentative="1">
      <w:start w:val="1"/>
      <w:numFmt w:val="bullet"/>
      <w:lvlText w:val="•"/>
      <w:lvlJc w:val="left"/>
      <w:pPr>
        <w:tabs>
          <w:tab w:val="num" w:pos="5760"/>
        </w:tabs>
        <w:ind w:left="5760" w:hanging="360"/>
      </w:pPr>
      <w:rPr>
        <w:rFonts w:ascii="Arial" w:hAnsi="Arial" w:hint="default"/>
      </w:rPr>
    </w:lvl>
    <w:lvl w:ilvl="8" w:tplc="2CEE00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5D584A"/>
    <w:multiLevelType w:val="hybridMultilevel"/>
    <w:tmpl w:val="D924E402"/>
    <w:lvl w:ilvl="0" w:tplc="CE3A3026">
      <w:start w:val="26"/>
      <w:numFmt w:val="bullet"/>
      <w:lvlText w:val="•"/>
      <w:lvlJc w:val="left"/>
      <w:pPr>
        <w:ind w:left="720" w:hanging="360"/>
      </w:pPr>
      <w:rPr>
        <w:rFonts w:ascii="Calibri" w:eastAsia="Calibr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1B60DC"/>
    <w:multiLevelType w:val="hybridMultilevel"/>
    <w:tmpl w:val="67360DE0"/>
    <w:lvl w:ilvl="0" w:tplc="CD780D0A">
      <w:start w:val="1"/>
      <w:numFmt w:val="bullet"/>
      <w:lvlText w:val="o"/>
      <w:lvlJc w:val="left"/>
      <w:pPr>
        <w:tabs>
          <w:tab w:val="num" w:pos="720"/>
        </w:tabs>
        <w:ind w:left="720" w:hanging="360"/>
      </w:pPr>
      <w:rPr>
        <w:rFonts w:ascii="Courier New" w:hAnsi="Courier New" w:hint="default"/>
      </w:rPr>
    </w:lvl>
    <w:lvl w:ilvl="1" w:tplc="75C46CA6" w:tentative="1">
      <w:start w:val="1"/>
      <w:numFmt w:val="bullet"/>
      <w:lvlText w:val="o"/>
      <w:lvlJc w:val="left"/>
      <w:pPr>
        <w:tabs>
          <w:tab w:val="num" w:pos="1440"/>
        </w:tabs>
        <w:ind w:left="1440" w:hanging="360"/>
      </w:pPr>
      <w:rPr>
        <w:rFonts w:ascii="Courier New" w:hAnsi="Courier New" w:hint="default"/>
      </w:rPr>
    </w:lvl>
    <w:lvl w:ilvl="2" w:tplc="BDC81114" w:tentative="1">
      <w:start w:val="1"/>
      <w:numFmt w:val="bullet"/>
      <w:lvlText w:val="o"/>
      <w:lvlJc w:val="left"/>
      <w:pPr>
        <w:tabs>
          <w:tab w:val="num" w:pos="2160"/>
        </w:tabs>
        <w:ind w:left="2160" w:hanging="360"/>
      </w:pPr>
      <w:rPr>
        <w:rFonts w:ascii="Courier New" w:hAnsi="Courier New" w:hint="default"/>
      </w:rPr>
    </w:lvl>
    <w:lvl w:ilvl="3" w:tplc="6B7A9946">
      <w:start w:val="1"/>
      <w:numFmt w:val="bullet"/>
      <w:lvlText w:val="o"/>
      <w:lvlJc w:val="left"/>
      <w:pPr>
        <w:tabs>
          <w:tab w:val="num" w:pos="2880"/>
        </w:tabs>
        <w:ind w:left="2880" w:hanging="360"/>
      </w:pPr>
      <w:rPr>
        <w:rFonts w:ascii="Courier New" w:hAnsi="Courier New" w:hint="default"/>
      </w:rPr>
    </w:lvl>
    <w:lvl w:ilvl="4" w:tplc="B276E5A2" w:tentative="1">
      <w:start w:val="1"/>
      <w:numFmt w:val="bullet"/>
      <w:lvlText w:val="o"/>
      <w:lvlJc w:val="left"/>
      <w:pPr>
        <w:tabs>
          <w:tab w:val="num" w:pos="3600"/>
        </w:tabs>
        <w:ind w:left="3600" w:hanging="360"/>
      </w:pPr>
      <w:rPr>
        <w:rFonts w:ascii="Courier New" w:hAnsi="Courier New" w:hint="default"/>
      </w:rPr>
    </w:lvl>
    <w:lvl w:ilvl="5" w:tplc="0F36E3EC" w:tentative="1">
      <w:start w:val="1"/>
      <w:numFmt w:val="bullet"/>
      <w:lvlText w:val="o"/>
      <w:lvlJc w:val="left"/>
      <w:pPr>
        <w:tabs>
          <w:tab w:val="num" w:pos="4320"/>
        </w:tabs>
        <w:ind w:left="4320" w:hanging="360"/>
      </w:pPr>
      <w:rPr>
        <w:rFonts w:ascii="Courier New" w:hAnsi="Courier New" w:hint="default"/>
      </w:rPr>
    </w:lvl>
    <w:lvl w:ilvl="6" w:tplc="59EAC264" w:tentative="1">
      <w:start w:val="1"/>
      <w:numFmt w:val="bullet"/>
      <w:lvlText w:val="o"/>
      <w:lvlJc w:val="left"/>
      <w:pPr>
        <w:tabs>
          <w:tab w:val="num" w:pos="5040"/>
        </w:tabs>
        <w:ind w:left="5040" w:hanging="360"/>
      </w:pPr>
      <w:rPr>
        <w:rFonts w:ascii="Courier New" w:hAnsi="Courier New" w:hint="default"/>
      </w:rPr>
    </w:lvl>
    <w:lvl w:ilvl="7" w:tplc="EDD6C1D6" w:tentative="1">
      <w:start w:val="1"/>
      <w:numFmt w:val="bullet"/>
      <w:lvlText w:val="o"/>
      <w:lvlJc w:val="left"/>
      <w:pPr>
        <w:tabs>
          <w:tab w:val="num" w:pos="5760"/>
        </w:tabs>
        <w:ind w:left="5760" w:hanging="360"/>
      </w:pPr>
      <w:rPr>
        <w:rFonts w:ascii="Courier New" w:hAnsi="Courier New" w:hint="default"/>
      </w:rPr>
    </w:lvl>
    <w:lvl w:ilvl="8" w:tplc="D9B0B7F6"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46A86389"/>
    <w:multiLevelType w:val="hybridMultilevel"/>
    <w:tmpl w:val="83444BAE"/>
    <w:lvl w:ilvl="0" w:tplc="56B0361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07FAA"/>
    <w:multiLevelType w:val="hybridMultilevel"/>
    <w:tmpl w:val="C694C91C"/>
    <w:lvl w:ilvl="0" w:tplc="C3B6CA44">
      <w:start w:val="1"/>
      <w:numFmt w:val="decimal"/>
      <w:lvlText w:val="%1)"/>
      <w:lvlJc w:val="left"/>
      <w:pPr>
        <w:tabs>
          <w:tab w:val="num" w:pos="720"/>
        </w:tabs>
        <w:ind w:left="720" w:hanging="360"/>
      </w:pPr>
    </w:lvl>
    <w:lvl w:ilvl="1" w:tplc="0DAAA9D8">
      <w:start w:val="1"/>
      <w:numFmt w:val="decimal"/>
      <w:lvlText w:val="%2)"/>
      <w:lvlJc w:val="left"/>
      <w:pPr>
        <w:tabs>
          <w:tab w:val="num" w:pos="1440"/>
        </w:tabs>
        <w:ind w:left="1440" w:hanging="360"/>
      </w:pPr>
    </w:lvl>
    <w:lvl w:ilvl="2" w:tplc="61625848" w:tentative="1">
      <w:start w:val="1"/>
      <w:numFmt w:val="decimal"/>
      <w:lvlText w:val="%3)"/>
      <w:lvlJc w:val="left"/>
      <w:pPr>
        <w:tabs>
          <w:tab w:val="num" w:pos="2160"/>
        </w:tabs>
        <w:ind w:left="2160" w:hanging="360"/>
      </w:pPr>
    </w:lvl>
    <w:lvl w:ilvl="3" w:tplc="58AC202A" w:tentative="1">
      <w:start w:val="1"/>
      <w:numFmt w:val="decimal"/>
      <w:lvlText w:val="%4)"/>
      <w:lvlJc w:val="left"/>
      <w:pPr>
        <w:tabs>
          <w:tab w:val="num" w:pos="2880"/>
        </w:tabs>
        <w:ind w:left="2880" w:hanging="360"/>
      </w:pPr>
    </w:lvl>
    <w:lvl w:ilvl="4" w:tplc="5AD86A74" w:tentative="1">
      <w:start w:val="1"/>
      <w:numFmt w:val="decimal"/>
      <w:lvlText w:val="%5)"/>
      <w:lvlJc w:val="left"/>
      <w:pPr>
        <w:tabs>
          <w:tab w:val="num" w:pos="3600"/>
        </w:tabs>
        <w:ind w:left="3600" w:hanging="360"/>
      </w:pPr>
    </w:lvl>
    <w:lvl w:ilvl="5" w:tplc="7E82DFB8" w:tentative="1">
      <w:start w:val="1"/>
      <w:numFmt w:val="decimal"/>
      <w:lvlText w:val="%6)"/>
      <w:lvlJc w:val="left"/>
      <w:pPr>
        <w:tabs>
          <w:tab w:val="num" w:pos="4320"/>
        </w:tabs>
        <w:ind w:left="4320" w:hanging="360"/>
      </w:pPr>
    </w:lvl>
    <w:lvl w:ilvl="6" w:tplc="16063C92" w:tentative="1">
      <w:start w:val="1"/>
      <w:numFmt w:val="decimal"/>
      <w:lvlText w:val="%7)"/>
      <w:lvlJc w:val="left"/>
      <w:pPr>
        <w:tabs>
          <w:tab w:val="num" w:pos="5040"/>
        </w:tabs>
        <w:ind w:left="5040" w:hanging="360"/>
      </w:pPr>
    </w:lvl>
    <w:lvl w:ilvl="7" w:tplc="22BAAC32" w:tentative="1">
      <w:start w:val="1"/>
      <w:numFmt w:val="decimal"/>
      <w:lvlText w:val="%8)"/>
      <w:lvlJc w:val="left"/>
      <w:pPr>
        <w:tabs>
          <w:tab w:val="num" w:pos="5760"/>
        </w:tabs>
        <w:ind w:left="5760" w:hanging="360"/>
      </w:pPr>
    </w:lvl>
    <w:lvl w:ilvl="8" w:tplc="7D025372" w:tentative="1">
      <w:start w:val="1"/>
      <w:numFmt w:val="decimal"/>
      <w:lvlText w:val="%9)"/>
      <w:lvlJc w:val="left"/>
      <w:pPr>
        <w:tabs>
          <w:tab w:val="num" w:pos="6480"/>
        </w:tabs>
        <w:ind w:left="6480" w:hanging="360"/>
      </w:pPr>
    </w:lvl>
  </w:abstractNum>
  <w:abstractNum w:abstractNumId="9" w15:restartNumberingAfterBreak="0">
    <w:nsid w:val="5D8920C0"/>
    <w:multiLevelType w:val="hybridMultilevel"/>
    <w:tmpl w:val="39C24960"/>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135A3"/>
    <w:multiLevelType w:val="hybridMultilevel"/>
    <w:tmpl w:val="F83E0490"/>
    <w:lvl w:ilvl="0" w:tplc="876CA978">
      <w:start w:val="1"/>
      <w:numFmt w:val="bullet"/>
      <w:lvlText w:val="•"/>
      <w:lvlJc w:val="left"/>
      <w:pPr>
        <w:tabs>
          <w:tab w:val="num" w:pos="720"/>
        </w:tabs>
        <w:ind w:left="720" w:hanging="360"/>
      </w:pPr>
      <w:rPr>
        <w:rFonts w:ascii="Arial" w:hAnsi="Arial" w:hint="default"/>
      </w:rPr>
    </w:lvl>
    <w:lvl w:ilvl="1" w:tplc="DBD64F2C">
      <w:start w:val="1"/>
      <w:numFmt w:val="bullet"/>
      <w:lvlText w:val="•"/>
      <w:lvlJc w:val="left"/>
      <w:pPr>
        <w:tabs>
          <w:tab w:val="num" w:pos="1440"/>
        </w:tabs>
        <w:ind w:left="1440" w:hanging="360"/>
      </w:pPr>
      <w:rPr>
        <w:rFonts w:ascii="Arial" w:hAnsi="Arial" w:hint="default"/>
      </w:rPr>
    </w:lvl>
    <w:lvl w:ilvl="2" w:tplc="DEDC31E8" w:tentative="1">
      <w:start w:val="1"/>
      <w:numFmt w:val="bullet"/>
      <w:lvlText w:val="•"/>
      <w:lvlJc w:val="left"/>
      <w:pPr>
        <w:tabs>
          <w:tab w:val="num" w:pos="2160"/>
        </w:tabs>
        <w:ind w:left="2160" w:hanging="360"/>
      </w:pPr>
      <w:rPr>
        <w:rFonts w:ascii="Arial" w:hAnsi="Arial" w:hint="default"/>
      </w:rPr>
    </w:lvl>
    <w:lvl w:ilvl="3" w:tplc="E4761C96" w:tentative="1">
      <w:start w:val="1"/>
      <w:numFmt w:val="bullet"/>
      <w:lvlText w:val="•"/>
      <w:lvlJc w:val="left"/>
      <w:pPr>
        <w:tabs>
          <w:tab w:val="num" w:pos="2880"/>
        </w:tabs>
        <w:ind w:left="2880" w:hanging="360"/>
      </w:pPr>
      <w:rPr>
        <w:rFonts w:ascii="Arial" w:hAnsi="Arial" w:hint="default"/>
      </w:rPr>
    </w:lvl>
    <w:lvl w:ilvl="4" w:tplc="13A030DC" w:tentative="1">
      <w:start w:val="1"/>
      <w:numFmt w:val="bullet"/>
      <w:lvlText w:val="•"/>
      <w:lvlJc w:val="left"/>
      <w:pPr>
        <w:tabs>
          <w:tab w:val="num" w:pos="3600"/>
        </w:tabs>
        <w:ind w:left="3600" w:hanging="360"/>
      </w:pPr>
      <w:rPr>
        <w:rFonts w:ascii="Arial" w:hAnsi="Arial" w:hint="default"/>
      </w:rPr>
    </w:lvl>
    <w:lvl w:ilvl="5" w:tplc="F4562180" w:tentative="1">
      <w:start w:val="1"/>
      <w:numFmt w:val="bullet"/>
      <w:lvlText w:val="•"/>
      <w:lvlJc w:val="left"/>
      <w:pPr>
        <w:tabs>
          <w:tab w:val="num" w:pos="4320"/>
        </w:tabs>
        <w:ind w:left="4320" w:hanging="360"/>
      </w:pPr>
      <w:rPr>
        <w:rFonts w:ascii="Arial" w:hAnsi="Arial" w:hint="default"/>
      </w:rPr>
    </w:lvl>
    <w:lvl w:ilvl="6" w:tplc="79A66676" w:tentative="1">
      <w:start w:val="1"/>
      <w:numFmt w:val="bullet"/>
      <w:lvlText w:val="•"/>
      <w:lvlJc w:val="left"/>
      <w:pPr>
        <w:tabs>
          <w:tab w:val="num" w:pos="5040"/>
        </w:tabs>
        <w:ind w:left="5040" w:hanging="360"/>
      </w:pPr>
      <w:rPr>
        <w:rFonts w:ascii="Arial" w:hAnsi="Arial" w:hint="default"/>
      </w:rPr>
    </w:lvl>
    <w:lvl w:ilvl="7" w:tplc="1590908E" w:tentative="1">
      <w:start w:val="1"/>
      <w:numFmt w:val="bullet"/>
      <w:lvlText w:val="•"/>
      <w:lvlJc w:val="left"/>
      <w:pPr>
        <w:tabs>
          <w:tab w:val="num" w:pos="5760"/>
        </w:tabs>
        <w:ind w:left="5760" w:hanging="360"/>
      </w:pPr>
      <w:rPr>
        <w:rFonts w:ascii="Arial" w:hAnsi="Arial" w:hint="default"/>
      </w:rPr>
    </w:lvl>
    <w:lvl w:ilvl="8" w:tplc="32F43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5351AE"/>
    <w:multiLevelType w:val="hybridMultilevel"/>
    <w:tmpl w:val="748EEFE4"/>
    <w:lvl w:ilvl="0" w:tplc="ACD0250A">
      <w:start w:val="1"/>
      <w:numFmt w:val="lowerRoman"/>
      <w:lvlText w:val="%1."/>
      <w:lvlJc w:val="right"/>
      <w:pPr>
        <w:tabs>
          <w:tab w:val="num" w:pos="720"/>
        </w:tabs>
        <w:ind w:left="720" w:hanging="360"/>
      </w:pPr>
    </w:lvl>
    <w:lvl w:ilvl="1" w:tplc="5170B55A">
      <w:start w:val="1"/>
      <w:numFmt w:val="lowerRoman"/>
      <w:lvlText w:val="%2."/>
      <w:lvlJc w:val="right"/>
      <w:pPr>
        <w:tabs>
          <w:tab w:val="num" w:pos="1440"/>
        </w:tabs>
        <w:ind w:left="1440" w:hanging="360"/>
      </w:pPr>
    </w:lvl>
    <w:lvl w:ilvl="2" w:tplc="D6F4DDC0" w:tentative="1">
      <w:start w:val="1"/>
      <w:numFmt w:val="lowerRoman"/>
      <w:lvlText w:val="%3."/>
      <w:lvlJc w:val="right"/>
      <w:pPr>
        <w:tabs>
          <w:tab w:val="num" w:pos="2160"/>
        </w:tabs>
        <w:ind w:left="2160" w:hanging="360"/>
      </w:pPr>
    </w:lvl>
    <w:lvl w:ilvl="3" w:tplc="C3A88688" w:tentative="1">
      <w:start w:val="1"/>
      <w:numFmt w:val="lowerRoman"/>
      <w:lvlText w:val="%4."/>
      <w:lvlJc w:val="right"/>
      <w:pPr>
        <w:tabs>
          <w:tab w:val="num" w:pos="2880"/>
        </w:tabs>
        <w:ind w:left="2880" w:hanging="360"/>
      </w:pPr>
    </w:lvl>
    <w:lvl w:ilvl="4" w:tplc="A6826C74" w:tentative="1">
      <w:start w:val="1"/>
      <w:numFmt w:val="lowerRoman"/>
      <w:lvlText w:val="%5."/>
      <w:lvlJc w:val="right"/>
      <w:pPr>
        <w:tabs>
          <w:tab w:val="num" w:pos="3600"/>
        </w:tabs>
        <w:ind w:left="3600" w:hanging="360"/>
      </w:pPr>
    </w:lvl>
    <w:lvl w:ilvl="5" w:tplc="39E6A5A8" w:tentative="1">
      <w:start w:val="1"/>
      <w:numFmt w:val="lowerRoman"/>
      <w:lvlText w:val="%6."/>
      <w:lvlJc w:val="right"/>
      <w:pPr>
        <w:tabs>
          <w:tab w:val="num" w:pos="4320"/>
        </w:tabs>
        <w:ind w:left="4320" w:hanging="360"/>
      </w:pPr>
    </w:lvl>
    <w:lvl w:ilvl="6" w:tplc="BA20EE72" w:tentative="1">
      <w:start w:val="1"/>
      <w:numFmt w:val="lowerRoman"/>
      <w:lvlText w:val="%7."/>
      <w:lvlJc w:val="right"/>
      <w:pPr>
        <w:tabs>
          <w:tab w:val="num" w:pos="5040"/>
        </w:tabs>
        <w:ind w:left="5040" w:hanging="360"/>
      </w:pPr>
    </w:lvl>
    <w:lvl w:ilvl="7" w:tplc="27683542" w:tentative="1">
      <w:start w:val="1"/>
      <w:numFmt w:val="lowerRoman"/>
      <w:lvlText w:val="%8."/>
      <w:lvlJc w:val="right"/>
      <w:pPr>
        <w:tabs>
          <w:tab w:val="num" w:pos="5760"/>
        </w:tabs>
        <w:ind w:left="5760" w:hanging="360"/>
      </w:pPr>
    </w:lvl>
    <w:lvl w:ilvl="8" w:tplc="B396F30E" w:tentative="1">
      <w:start w:val="1"/>
      <w:numFmt w:val="lowerRoman"/>
      <w:lvlText w:val="%9."/>
      <w:lvlJc w:val="right"/>
      <w:pPr>
        <w:tabs>
          <w:tab w:val="num" w:pos="6480"/>
        </w:tabs>
        <w:ind w:left="6480" w:hanging="360"/>
      </w:pPr>
    </w:lvl>
  </w:abstractNum>
  <w:abstractNum w:abstractNumId="12" w15:restartNumberingAfterBreak="0">
    <w:nsid w:val="6C7A5F62"/>
    <w:multiLevelType w:val="hybridMultilevel"/>
    <w:tmpl w:val="F8D242FC"/>
    <w:lvl w:ilvl="0" w:tplc="4B928330">
      <w:start w:val="1"/>
      <w:numFmt w:val="bullet"/>
      <w:lvlText w:val="•"/>
      <w:lvlJc w:val="left"/>
      <w:pPr>
        <w:tabs>
          <w:tab w:val="num" w:pos="720"/>
        </w:tabs>
        <w:ind w:left="720" w:hanging="360"/>
      </w:pPr>
      <w:rPr>
        <w:rFonts w:ascii="Arial" w:hAnsi="Arial" w:hint="default"/>
      </w:rPr>
    </w:lvl>
    <w:lvl w:ilvl="1" w:tplc="5E4ABF4E" w:tentative="1">
      <w:start w:val="1"/>
      <w:numFmt w:val="bullet"/>
      <w:lvlText w:val="•"/>
      <w:lvlJc w:val="left"/>
      <w:pPr>
        <w:tabs>
          <w:tab w:val="num" w:pos="1440"/>
        </w:tabs>
        <w:ind w:left="1440" w:hanging="360"/>
      </w:pPr>
      <w:rPr>
        <w:rFonts w:ascii="Arial" w:hAnsi="Arial" w:hint="default"/>
      </w:rPr>
    </w:lvl>
    <w:lvl w:ilvl="2" w:tplc="8A7082C8" w:tentative="1">
      <w:start w:val="1"/>
      <w:numFmt w:val="bullet"/>
      <w:lvlText w:val="•"/>
      <w:lvlJc w:val="left"/>
      <w:pPr>
        <w:tabs>
          <w:tab w:val="num" w:pos="2160"/>
        </w:tabs>
        <w:ind w:left="2160" w:hanging="360"/>
      </w:pPr>
      <w:rPr>
        <w:rFonts w:ascii="Arial" w:hAnsi="Arial" w:hint="default"/>
      </w:rPr>
    </w:lvl>
    <w:lvl w:ilvl="3" w:tplc="98E2BEF6" w:tentative="1">
      <w:start w:val="1"/>
      <w:numFmt w:val="bullet"/>
      <w:lvlText w:val="•"/>
      <w:lvlJc w:val="left"/>
      <w:pPr>
        <w:tabs>
          <w:tab w:val="num" w:pos="2880"/>
        </w:tabs>
        <w:ind w:left="2880" w:hanging="360"/>
      </w:pPr>
      <w:rPr>
        <w:rFonts w:ascii="Arial" w:hAnsi="Arial" w:hint="default"/>
      </w:rPr>
    </w:lvl>
    <w:lvl w:ilvl="4" w:tplc="71B257F0" w:tentative="1">
      <w:start w:val="1"/>
      <w:numFmt w:val="bullet"/>
      <w:lvlText w:val="•"/>
      <w:lvlJc w:val="left"/>
      <w:pPr>
        <w:tabs>
          <w:tab w:val="num" w:pos="3600"/>
        </w:tabs>
        <w:ind w:left="3600" w:hanging="360"/>
      </w:pPr>
      <w:rPr>
        <w:rFonts w:ascii="Arial" w:hAnsi="Arial" w:hint="default"/>
      </w:rPr>
    </w:lvl>
    <w:lvl w:ilvl="5" w:tplc="F6A4AFBC" w:tentative="1">
      <w:start w:val="1"/>
      <w:numFmt w:val="bullet"/>
      <w:lvlText w:val="•"/>
      <w:lvlJc w:val="left"/>
      <w:pPr>
        <w:tabs>
          <w:tab w:val="num" w:pos="4320"/>
        </w:tabs>
        <w:ind w:left="4320" w:hanging="360"/>
      </w:pPr>
      <w:rPr>
        <w:rFonts w:ascii="Arial" w:hAnsi="Arial" w:hint="default"/>
      </w:rPr>
    </w:lvl>
    <w:lvl w:ilvl="6" w:tplc="3FF64B04" w:tentative="1">
      <w:start w:val="1"/>
      <w:numFmt w:val="bullet"/>
      <w:lvlText w:val="•"/>
      <w:lvlJc w:val="left"/>
      <w:pPr>
        <w:tabs>
          <w:tab w:val="num" w:pos="5040"/>
        </w:tabs>
        <w:ind w:left="5040" w:hanging="360"/>
      </w:pPr>
      <w:rPr>
        <w:rFonts w:ascii="Arial" w:hAnsi="Arial" w:hint="default"/>
      </w:rPr>
    </w:lvl>
    <w:lvl w:ilvl="7" w:tplc="2676D7B0" w:tentative="1">
      <w:start w:val="1"/>
      <w:numFmt w:val="bullet"/>
      <w:lvlText w:val="•"/>
      <w:lvlJc w:val="left"/>
      <w:pPr>
        <w:tabs>
          <w:tab w:val="num" w:pos="5760"/>
        </w:tabs>
        <w:ind w:left="5760" w:hanging="360"/>
      </w:pPr>
      <w:rPr>
        <w:rFonts w:ascii="Arial" w:hAnsi="Arial" w:hint="default"/>
      </w:rPr>
    </w:lvl>
    <w:lvl w:ilvl="8" w:tplc="236EA1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1F171B"/>
    <w:multiLevelType w:val="hybridMultilevel"/>
    <w:tmpl w:val="441C63A6"/>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E1917"/>
    <w:multiLevelType w:val="hybridMultilevel"/>
    <w:tmpl w:val="55D8A018"/>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539CF"/>
    <w:multiLevelType w:val="hybridMultilevel"/>
    <w:tmpl w:val="FD8218D8"/>
    <w:lvl w:ilvl="0" w:tplc="8B360AE6">
      <w:start w:val="1"/>
      <w:numFmt w:val="bullet"/>
      <w:lvlText w:val="o"/>
      <w:lvlJc w:val="left"/>
      <w:pPr>
        <w:tabs>
          <w:tab w:val="num" w:pos="720"/>
        </w:tabs>
        <w:ind w:left="720" w:hanging="360"/>
      </w:pPr>
      <w:rPr>
        <w:rFonts w:ascii="Courier New" w:hAnsi="Courier New" w:hint="default"/>
      </w:rPr>
    </w:lvl>
    <w:lvl w:ilvl="1" w:tplc="84182B44" w:tentative="1">
      <w:start w:val="1"/>
      <w:numFmt w:val="bullet"/>
      <w:lvlText w:val="o"/>
      <w:lvlJc w:val="left"/>
      <w:pPr>
        <w:tabs>
          <w:tab w:val="num" w:pos="1440"/>
        </w:tabs>
        <w:ind w:left="1440" w:hanging="360"/>
      </w:pPr>
      <w:rPr>
        <w:rFonts w:ascii="Courier New" w:hAnsi="Courier New" w:hint="default"/>
      </w:rPr>
    </w:lvl>
    <w:lvl w:ilvl="2" w:tplc="36582F60" w:tentative="1">
      <w:start w:val="1"/>
      <w:numFmt w:val="bullet"/>
      <w:lvlText w:val="o"/>
      <w:lvlJc w:val="left"/>
      <w:pPr>
        <w:tabs>
          <w:tab w:val="num" w:pos="2160"/>
        </w:tabs>
        <w:ind w:left="2160" w:hanging="360"/>
      </w:pPr>
      <w:rPr>
        <w:rFonts w:ascii="Courier New" w:hAnsi="Courier New" w:hint="default"/>
      </w:rPr>
    </w:lvl>
    <w:lvl w:ilvl="3" w:tplc="FAF89388">
      <w:start w:val="1"/>
      <w:numFmt w:val="bullet"/>
      <w:lvlText w:val="o"/>
      <w:lvlJc w:val="left"/>
      <w:pPr>
        <w:tabs>
          <w:tab w:val="num" w:pos="2880"/>
        </w:tabs>
        <w:ind w:left="2880" w:hanging="360"/>
      </w:pPr>
      <w:rPr>
        <w:rFonts w:ascii="Courier New" w:hAnsi="Courier New" w:hint="default"/>
      </w:rPr>
    </w:lvl>
    <w:lvl w:ilvl="4" w:tplc="2F30B18C" w:tentative="1">
      <w:start w:val="1"/>
      <w:numFmt w:val="bullet"/>
      <w:lvlText w:val="o"/>
      <w:lvlJc w:val="left"/>
      <w:pPr>
        <w:tabs>
          <w:tab w:val="num" w:pos="3600"/>
        </w:tabs>
        <w:ind w:left="3600" w:hanging="360"/>
      </w:pPr>
      <w:rPr>
        <w:rFonts w:ascii="Courier New" w:hAnsi="Courier New" w:hint="default"/>
      </w:rPr>
    </w:lvl>
    <w:lvl w:ilvl="5" w:tplc="D9E81738" w:tentative="1">
      <w:start w:val="1"/>
      <w:numFmt w:val="bullet"/>
      <w:lvlText w:val="o"/>
      <w:lvlJc w:val="left"/>
      <w:pPr>
        <w:tabs>
          <w:tab w:val="num" w:pos="4320"/>
        </w:tabs>
        <w:ind w:left="4320" w:hanging="360"/>
      </w:pPr>
      <w:rPr>
        <w:rFonts w:ascii="Courier New" w:hAnsi="Courier New" w:hint="default"/>
      </w:rPr>
    </w:lvl>
    <w:lvl w:ilvl="6" w:tplc="42C4ED02" w:tentative="1">
      <w:start w:val="1"/>
      <w:numFmt w:val="bullet"/>
      <w:lvlText w:val="o"/>
      <w:lvlJc w:val="left"/>
      <w:pPr>
        <w:tabs>
          <w:tab w:val="num" w:pos="5040"/>
        </w:tabs>
        <w:ind w:left="5040" w:hanging="360"/>
      </w:pPr>
      <w:rPr>
        <w:rFonts w:ascii="Courier New" w:hAnsi="Courier New" w:hint="default"/>
      </w:rPr>
    </w:lvl>
    <w:lvl w:ilvl="7" w:tplc="01CE8D3E" w:tentative="1">
      <w:start w:val="1"/>
      <w:numFmt w:val="bullet"/>
      <w:lvlText w:val="o"/>
      <w:lvlJc w:val="left"/>
      <w:pPr>
        <w:tabs>
          <w:tab w:val="num" w:pos="5760"/>
        </w:tabs>
        <w:ind w:left="5760" w:hanging="360"/>
      </w:pPr>
      <w:rPr>
        <w:rFonts w:ascii="Courier New" w:hAnsi="Courier New" w:hint="default"/>
      </w:rPr>
    </w:lvl>
    <w:lvl w:ilvl="8" w:tplc="1FD0B4CE" w:tentative="1">
      <w:start w:val="1"/>
      <w:numFmt w:val="bullet"/>
      <w:lvlText w:val="o"/>
      <w:lvlJc w:val="left"/>
      <w:pPr>
        <w:tabs>
          <w:tab w:val="num" w:pos="6480"/>
        </w:tabs>
        <w:ind w:left="6480" w:hanging="360"/>
      </w:pPr>
      <w:rPr>
        <w:rFonts w:ascii="Courier New" w:hAnsi="Courier New" w:hint="default"/>
      </w:rPr>
    </w:lvl>
  </w:abstractNum>
  <w:num w:numId="1" w16cid:durableId="657268613">
    <w:abstractNumId w:val="9"/>
  </w:num>
  <w:num w:numId="2" w16cid:durableId="220018704">
    <w:abstractNumId w:val="14"/>
  </w:num>
  <w:num w:numId="3" w16cid:durableId="2106923001">
    <w:abstractNumId w:val="13"/>
  </w:num>
  <w:num w:numId="4" w16cid:durableId="1378966577">
    <w:abstractNumId w:val="2"/>
  </w:num>
  <w:num w:numId="5" w16cid:durableId="462626275">
    <w:abstractNumId w:val="7"/>
  </w:num>
  <w:num w:numId="6" w16cid:durableId="704259714">
    <w:abstractNumId w:val="0"/>
  </w:num>
  <w:num w:numId="7" w16cid:durableId="1398822086">
    <w:abstractNumId w:val="5"/>
  </w:num>
  <w:num w:numId="8" w16cid:durableId="178350540">
    <w:abstractNumId w:val="1"/>
  </w:num>
  <w:num w:numId="9" w16cid:durableId="379062907">
    <w:abstractNumId w:val="10"/>
  </w:num>
  <w:num w:numId="10" w16cid:durableId="1786995068">
    <w:abstractNumId w:val="4"/>
  </w:num>
  <w:num w:numId="11" w16cid:durableId="2063364254">
    <w:abstractNumId w:val="12"/>
  </w:num>
  <w:num w:numId="12" w16cid:durableId="2056344487">
    <w:abstractNumId w:val="6"/>
  </w:num>
  <w:num w:numId="13" w16cid:durableId="2142383055">
    <w:abstractNumId w:val="15"/>
  </w:num>
  <w:num w:numId="14" w16cid:durableId="807287048">
    <w:abstractNumId w:val="11"/>
  </w:num>
  <w:num w:numId="15" w16cid:durableId="925698577">
    <w:abstractNumId w:val="8"/>
  </w:num>
  <w:num w:numId="16" w16cid:durableId="18802419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89"/>
    <w:rsid w:val="00204130"/>
    <w:rsid w:val="002319B9"/>
    <w:rsid w:val="00396096"/>
    <w:rsid w:val="003D3D0F"/>
    <w:rsid w:val="00564CB6"/>
    <w:rsid w:val="00836A89"/>
    <w:rsid w:val="00AE4111"/>
    <w:rsid w:val="00B27BB1"/>
    <w:rsid w:val="00B548ED"/>
    <w:rsid w:val="00E90D17"/>
    <w:rsid w:val="00E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9120"/>
  <w15:chartTrackingRefBased/>
  <w15:docId w15:val="{7EFB9D81-E00B-454D-BF46-204C9765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ED"/>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6A89"/>
    <w:rPr>
      <w:sz w:val="64"/>
      <w:szCs w:val="64"/>
    </w:rPr>
  </w:style>
  <w:style w:type="character" w:customStyle="1" w:styleId="BodyTextChar">
    <w:name w:val="Body Text Char"/>
    <w:basedOn w:val="DefaultParagraphFont"/>
    <w:link w:val="BodyText"/>
    <w:uiPriority w:val="1"/>
    <w:rsid w:val="00836A89"/>
    <w:rPr>
      <w:rFonts w:ascii="Calibri" w:eastAsia="Calibri" w:hAnsi="Calibri" w:cs="Calibri"/>
      <w:sz w:val="64"/>
      <w:szCs w:val="64"/>
    </w:rPr>
  </w:style>
  <w:style w:type="paragraph" w:styleId="ListParagraph">
    <w:name w:val="List Paragraph"/>
    <w:basedOn w:val="Normal"/>
    <w:uiPriority w:val="34"/>
    <w:qFormat/>
    <w:rsid w:val="00836A89"/>
    <w:pPr>
      <w:ind w:left="720"/>
      <w:contextualSpacing/>
    </w:pPr>
  </w:style>
  <w:style w:type="paragraph" w:customStyle="1" w:styleId="TableParagraph">
    <w:name w:val="Table Paragraph"/>
    <w:basedOn w:val="Normal"/>
    <w:uiPriority w:val="1"/>
    <w:qFormat/>
    <w:rsid w:val="00836A89"/>
    <w:pPr>
      <w:spacing w:before="53"/>
      <w:ind w:left="143"/>
    </w:pPr>
  </w:style>
  <w:style w:type="paragraph" w:styleId="NoSpacing">
    <w:name w:val="No Spacing"/>
    <w:link w:val="NoSpacingChar"/>
    <w:uiPriority w:val="1"/>
    <w:qFormat/>
    <w:rsid w:val="00836A89"/>
    <w:pPr>
      <w:widowControl w:val="0"/>
      <w:autoSpaceDE w:val="0"/>
      <w:autoSpaceDN w:val="0"/>
    </w:pPr>
    <w:rPr>
      <w:rFonts w:ascii="Calibri" w:eastAsia="Calibri" w:hAnsi="Calibri" w:cs="Calibri"/>
      <w:sz w:val="22"/>
      <w:szCs w:val="22"/>
    </w:rPr>
  </w:style>
  <w:style w:type="character" w:customStyle="1" w:styleId="NoSpacingChar">
    <w:name w:val="No Spacing Char"/>
    <w:basedOn w:val="DefaultParagraphFont"/>
    <w:link w:val="NoSpacing"/>
    <w:uiPriority w:val="1"/>
    <w:rsid w:val="00B548ED"/>
    <w:rPr>
      <w:rFonts w:ascii="Calibri" w:eastAsia="Calibri" w:hAnsi="Calibri" w:cs="Calibri"/>
      <w:sz w:val="22"/>
      <w:szCs w:val="22"/>
    </w:rPr>
  </w:style>
  <w:style w:type="character" w:styleId="Hyperlink">
    <w:name w:val="Hyperlink"/>
    <w:basedOn w:val="DefaultParagraphFont"/>
    <w:uiPriority w:val="99"/>
    <w:unhideWhenUsed/>
    <w:rsid w:val="00B548ED"/>
    <w:rPr>
      <w:color w:val="0563C1" w:themeColor="hyperlink"/>
      <w:u w:val="single"/>
    </w:rPr>
  </w:style>
  <w:style w:type="character" w:styleId="UnresolvedMention">
    <w:name w:val="Unresolved Mention"/>
    <w:basedOn w:val="DefaultParagraphFont"/>
    <w:uiPriority w:val="99"/>
    <w:semiHidden/>
    <w:unhideWhenUsed/>
    <w:rsid w:val="00B54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8172">
      <w:bodyDiv w:val="1"/>
      <w:marLeft w:val="0"/>
      <w:marRight w:val="0"/>
      <w:marTop w:val="0"/>
      <w:marBottom w:val="0"/>
      <w:divBdr>
        <w:top w:val="none" w:sz="0" w:space="0" w:color="auto"/>
        <w:left w:val="none" w:sz="0" w:space="0" w:color="auto"/>
        <w:bottom w:val="none" w:sz="0" w:space="0" w:color="auto"/>
        <w:right w:val="none" w:sz="0" w:space="0" w:color="auto"/>
      </w:divBdr>
      <w:divsChild>
        <w:div w:id="1563980631">
          <w:marLeft w:val="1267"/>
          <w:marRight w:val="0"/>
          <w:marTop w:val="0"/>
          <w:marBottom w:val="0"/>
          <w:divBdr>
            <w:top w:val="none" w:sz="0" w:space="0" w:color="auto"/>
            <w:left w:val="none" w:sz="0" w:space="0" w:color="auto"/>
            <w:bottom w:val="none" w:sz="0" w:space="0" w:color="auto"/>
            <w:right w:val="none" w:sz="0" w:space="0" w:color="auto"/>
          </w:divBdr>
        </w:div>
        <w:div w:id="1877355846">
          <w:marLeft w:val="1267"/>
          <w:marRight w:val="0"/>
          <w:marTop w:val="0"/>
          <w:marBottom w:val="0"/>
          <w:divBdr>
            <w:top w:val="none" w:sz="0" w:space="0" w:color="auto"/>
            <w:left w:val="none" w:sz="0" w:space="0" w:color="auto"/>
            <w:bottom w:val="none" w:sz="0" w:space="0" w:color="auto"/>
            <w:right w:val="none" w:sz="0" w:space="0" w:color="auto"/>
          </w:divBdr>
        </w:div>
        <w:div w:id="466093349">
          <w:marLeft w:val="1267"/>
          <w:marRight w:val="0"/>
          <w:marTop w:val="0"/>
          <w:marBottom w:val="0"/>
          <w:divBdr>
            <w:top w:val="none" w:sz="0" w:space="0" w:color="auto"/>
            <w:left w:val="none" w:sz="0" w:space="0" w:color="auto"/>
            <w:bottom w:val="none" w:sz="0" w:space="0" w:color="auto"/>
            <w:right w:val="none" w:sz="0" w:space="0" w:color="auto"/>
          </w:divBdr>
        </w:div>
        <w:div w:id="2051953615">
          <w:marLeft w:val="1267"/>
          <w:marRight w:val="0"/>
          <w:marTop w:val="0"/>
          <w:marBottom w:val="0"/>
          <w:divBdr>
            <w:top w:val="none" w:sz="0" w:space="0" w:color="auto"/>
            <w:left w:val="none" w:sz="0" w:space="0" w:color="auto"/>
            <w:bottom w:val="none" w:sz="0" w:space="0" w:color="auto"/>
            <w:right w:val="none" w:sz="0" w:space="0" w:color="auto"/>
          </w:divBdr>
        </w:div>
        <w:div w:id="1711176805">
          <w:marLeft w:val="1267"/>
          <w:marRight w:val="0"/>
          <w:marTop w:val="0"/>
          <w:marBottom w:val="0"/>
          <w:divBdr>
            <w:top w:val="none" w:sz="0" w:space="0" w:color="auto"/>
            <w:left w:val="none" w:sz="0" w:space="0" w:color="auto"/>
            <w:bottom w:val="none" w:sz="0" w:space="0" w:color="auto"/>
            <w:right w:val="none" w:sz="0" w:space="0" w:color="auto"/>
          </w:divBdr>
        </w:div>
        <w:div w:id="1660426163">
          <w:marLeft w:val="1267"/>
          <w:marRight w:val="0"/>
          <w:marTop w:val="0"/>
          <w:marBottom w:val="0"/>
          <w:divBdr>
            <w:top w:val="none" w:sz="0" w:space="0" w:color="auto"/>
            <w:left w:val="none" w:sz="0" w:space="0" w:color="auto"/>
            <w:bottom w:val="none" w:sz="0" w:space="0" w:color="auto"/>
            <w:right w:val="none" w:sz="0" w:space="0" w:color="auto"/>
          </w:divBdr>
        </w:div>
        <w:div w:id="1951890464">
          <w:marLeft w:val="1267"/>
          <w:marRight w:val="0"/>
          <w:marTop w:val="0"/>
          <w:marBottom w:val="0"/>
          <w:divBdr>
            <w:top w:val="none" w:sz="0" w:space="0" w:color="auto"/>
            <w:left w:val="none" w:sz="0" w:space="0" w:color="auto"/>
            <w:bottom w:val="none" w:sz="0" w:space="0" w:color="auto"/>
            <w:right w:val="none" w:sz="0" w:space="0" w:color="auto"/>
          </w:divBdr>
        </w:div>
        <w:div w:id="965619120">
          <w:marLeft w:val="1267"/>
          <w:marRight w:val="0"/>
          <w:marTop w:val="0"/>
          <w:marBottom w:val="0"/>
          <w:divBdr>
            <w:top w:val="none" w:sz="0" w:space="0" w:color="auto"/>
            <w:left w:val="none" w:sz="0" w:space="0" w:color="auto"/>
            <w:bottom w:val="none" w:sz="0" w:space="0" w:color="auto"/>
            <w:right w:val="none" w:sz="0" w:space="0" w:color="auto"/>
          </w:divBdr>
        </w:div>
        <w:div w:id="998072565">
          <w:marLeft w:val="1267"/>
          <w:marRight w:val="0"/>
          <w:marTop w:val="0"/>
          <w:marBottom w:val="0"/>
          <w:divBdr>
            <w:top w:val="none" w:sz="0" w:space="0" w:color="auto"/>
            <w:left w:val="none" w:sz="0" w:space="0" w:color="auto"/>
            <w:bottom w:val="none" w:sz="0" w:space="0" w:color="auto"/>
            <w:right w:val="none" w:sz="0" w:space="0" w:color="auto"/>
          </w:divBdr>
        </w:div>
        <w:div w:id="1528299956">
          <w:marLeft w:val="1267"/>
          <w:marRight w:val="0"/>
          <w:marTop w:val="0"/>
          <w:marBottom w:val="0"/>
          <w:divBdr>
            <w:top w:val="none" w:sz="0" w:space="0" w:color="auto"/>
            <w:left w:val="none" w:sz="0" w:space="0" w:color="auto"/>
            <w:bottom w:val="none" w:sz="0" w:space="0" w:color="auto"/>
            <w:right w:val="none" w:sz="0" w:space="0" w:color="auto"/>
          </w:divBdr>
        </w:div>
        <w:div w:id="315650043">
          <w:marLeft w:val="1267"/>
          <w:marRight w:val="0"/>
          <w:marTop w:val="0"/>
          <w:marBottom w:val="0"/>
          <w:divBdr>
            <w:top w:val="none" w:sz="0" w:space="0" w:color="auto"/>
            <w:left w:val="none" w:sz="0" w:space="0" w:color="auto"/>
            <w:bottom w:val="none" w:sz="0" w:space="0" w:color="auto"/>
            <w:right w:val="none" w:sz="0" w:space="0" w:color="auto"/>
          </w:divBdr>
        </w:div>
      </w:divsChild>
    </w:div>
    <w:div w:id="315453447">
      <w:bodyDiv w:val="1"/>
      <w:marLeft w:val="0"/>
      <w:marRight w:val="0"/>
      <w:marTop w:val="0"/>
      <w:marBottom w:val="0"/>
      <w:divBdr>
        <w:top w:val="none" w:sz="0" w:space="0" w:color="auto"/>
        <w:left w:val="none" w:sz="0" w:space="0" w:color="auto"/>
        <w:bottom w:val="none" w:sz="0" w:space="0" w:color="auto"/>
        <w:right w:val="none" w:sz="0" w:space="0" w:color="auto"/>
      </w:divBdr>
      <w:divsChild>
        <w:div w:id="362292233">
          <w:marLeft w:val="446"/>
          <w:marRight w:val="0"/>
          <w:marTop w:val="0"/>
          <w:marBottom w:val="120"/>
          <w:divBdr>
            <w:top w:val="none" w:sz="0" w:space="0" w:color="auto"/>
            <w:left w:val="none" w:sz="0" w:space="0" w:color="auto"/>
            <w:bottom w:val="none" w:sz="0" w:space="0" w:color="auto"/>
            <w:right w:val="none" w:sz="0" w:space="0" w:color="auto"/>
          </w:divBdr>
        </w:div>
        <w:div w:id="928662924">
          <w:marLeft w:val="446"/>
          <w:marRight w:val="0"/>
          <w:marTop w:val="0"/>
          <w:marBottom w:val="120"/>
          <w:divBdr>
            <w:top w:val="none" w:sz="0" w:space="0" w:color="auto"/>
            <w:left w:val="none" w:sz="0" w:space="0" w:color="auto"/>
            <w:bottom w:val="none" w:sz="0" w:space="0" w:color="auto"/>
            <w:right w:val="none" w:sz="0" w:space="0" w:color="auto"/>
          </w:divBdr>
        </w:div>
        <w:div w:id="1092627266">
          <w:marLeft w:val="446"/>
          <w:marRight w:val="0"/>
          <w:marTop w:val="0"/>
          <w:marBottom w:val="120"/>
          <w:divBdr>
            <w:top w:val="none" w:sz="0" w:space="0" w:color="auto"/>
            <w:left w:val="none" w:sz="0" w:space="0" w:color="auto"/>
            <w:bottom w:val="none" w:sz="0" w:space="0" w:color="auto"/>
            <w:right w:val="none" w:sz="0" w:space="0" w:color="auto"/>
          </w:divBdr>
        </w:div>
      </w:divsChild>
    </w:div>
    <w:div w:id="386614845">
      <w:bodyDiv w:val="1"/>
      <w:marLeft w:val="0"/>
      <w:marRight w:val="0"/>
      <w:marTop w:val="0"/>
      <w:marBottom w:val="0"/>
      <w:divBdr>
        <w:top w:val="none" w:sz="0" w:space="0" w:color="auto"/>
        <w:left w:val="none" w:sz="0" w:space="0" w:color="auto"/>
        <w:bottom w:val="none" w:sz="0" w:space="0" w:color="auto"/>
        <w:right w:val="none" w:sz="0" w:space="0" w:color="auto"/>
      </w:divBdr>
      <w:divsChild>
        <w:div w:id="1635714393">
          <w:marLeft w:val="547"/>
          <w:marRight w:val="0"/>
          <w:marTop w:val="144"/>
          <w:marBottom w:val="0"/>
          <w:divBdr>
            <w:top w:val="none" w:sz="0" w:space="0" w:color="auto"/>
            <w:left w:val="none" w:sz="0" w:space="0" w:color="auto"/>
            <w:bottom w:val="none" w:sz="0" w:space="0" w:color="auto"/>
            <w:right w:val="none" w:sz="0" w:space="0" w:color="auto"/>
          </w:divBdr>
        </w:div>
        <w:div w:id="1794908133">
          <w:marLeft w:val="1166"/>
          <w:marRight w:val="0"/>
          <w:marTop w:val="125"/>
          <w:marBottom w:val="0"/>
          <w:divBdr>
            <w:top w:val="none" w:sz="0" w:space="0" w:color="auto"/>
            <w:left w:val="none" w:sz="0" w:space="0" w:color="auto"/>
            <w:bottom w:val="none" w:sz="0" w:space="0" w:color="auto"/>
            <w:right w:val="none" w:sz="0" w:space="0" w:color="auto"/>
          </w:divBdr>
        </w:div>
        <w:div w:id="2005665246">
          <w:marLeft w:val="1166"/>
          <w:marRight w:val="0"/>
          <w:marTop w:val="125"/>
          <w:marBottom w:val="0"/>
          <w:divBdr>
            <w:top w:val="none" w:sz="0" w:space="0" w:color="auto"/>
            <w:left w:val="none" w:sz="0" w:space="0" w:color="auto"/>
            <w:bottom w:val="none" w:sz="0" w:space="0" w:color="auto"/>
            <w:right w:val="none" w:sz="0" w:space="0" w:color="auto"/>
          </w:divBdr>
        </w:div>
        <w:div w:id="806628552">
          <w:marLeft w:val="1800"/>
          <w:marRight w:val="0"/>
          <w:marTop w:val="106"/>
          <w:marBottom w:val="0"/>
          <w:divBdr>
            <w:top w:val="none" w:sz="0" w:space="0" w:color="auto"/>
            <w:left w:val="none" w:sz="0" w:space="0" w:color="auto"/>
            <w:bottom w:val="none" w:sz="0" w:space="0" w:color="auto"/>
            <w:right w:val="none" w:sz="0" w:space="0" w:color="auto"/>
          </w:divBdr>
        </w:div>
        <w:div w:id="434981105">
          <w:marLeft w:val="547"/>
          <w:marRight w:val="0"/>
          <w:marTop w:val="144"/>
          <w:marBottom w:val="0"/>
          <w:divBdr>
            <w:top w:val="none" w:sz="0" w:space="0" w:color="auto"/>
            <w:left w:val="none" w:sz="0" w:space="0" w:color="auto"/>
            <w:bottom w:val="none" w:sz="0" w:space="0" w:color="auto"/>
            <w:right w:val="none" w:sz="0" w:space="0" w:color="auto"/>
          </w:divBdr>
        </w:div>
        <w:div w:id="1073115070">
          <w:marLeft w:val="1166"/>
          <w:marRight w:val="0"/>
          <w:marTop w:val="125"/>
          <w:marBottom w:val="0"/>
          <w:divBdr>
            <w:top w:val="none" w:sz="0" w:space="0" w:color="auto"/>
            <w:left w:val="none" w:sz="0" w:space="0" w:color="auto"/>
            <w:bottom w:val="none" w:sz="0" w:space="0" w:color="auto"/>
            <w:right w:val="none" w:sz="0" w:space="0" w:color="auto"/>
          </w:divBdr>
        </w:div>
        <w:div w:id="2038962211">
          <w:marLeft w:val="1166"/>
          <w:marRight w:val="0"/>
          <w:marTop w:val="125"/>
          <w:marBottom w:val="0"/>
          <w:divBdr>
            <w:top w:val="none" w:sz="0" w:space="0" w:color="auto"/>
            <w:left w:val="none" w:sz="0" w:space="0" w:color="auto"/>
            <w:bottom w:val="none" w:sz="0" w:space="0" w:color="auto"/>
            <w:right w:val="none" w:sz="0" w:space="0" w:color="auto"/>
          </w:divBdr>
        </w:div>
        <w:div w:id="1149715674">
          <w:marLeft w:val="1166"/>
          <w:marRight w:val="0"/>
          <w:marTop w:val="125"/>
          <w:marBottom w:val="0"/>
          <w:divBdr>
            <w:top w:val="none" w:sz="0" w:space="0" w:color="auto"/>
            <w:left w:val="none" w:sz="0" w:space="0" w:color="auto"/>
            <w:bottom w:val="none" w:sz="0" w:space="0" w:color="auto"/>
            <w:right w:val="none" w:sz="0" w:space="0" w:color="auto"/>
          </w:divBdr>
        </w:div>
        <w:div w:id="1136027619">
          <w:marLeft w:val="1166"/>
          <w:marRight w:val="0"/>
          <w:marTop w:val="125"/>
          <w:marBottom w:val="0"/>
          <w:divBdr>
            <w:top w:val="none" w:sz="0" w:space="0" w:color="auto"/>
            <w:left w:val="none" w:sz="0" w:space="0" w:color="auto"/>
            <w:bottom w:val="none" w:sz="0" w:space="0" w:color="auto"/>
            <w:right w:val="none" w:sz="0" w:space="0" w:color="auto"/>
          </w:divBdr>
        </w:div>
        <w:div w:id="2109153583">
          <w:marLeft w:val="1166"/>
          <w:marRight w:val="0"/>
          <w:marTop w:val="125"/>
          <w:marBottom w:val="0"/>
          <w:divBdr>
            <w:top w:val="none" w:sz="0" w:space="0" w:color="auto"/>
            <w:left w:val="none" w:sz="0" w:space="0" w:color="auto"/>
            <w:bottom w:val="none" w:sz="0" w:space="0" w:color="auto"/>
            <w:right w:val="none" w:sz="0" w:space="0" w:color="auto"/>
          </w:divBdr>
        </w:div>
      </w:divsChild>
    </w:div>
    <w:div w:id="390688558">
      <w:bodyDiv w:val="1"/>
      <w:marLeft w:val="0"/>
      <w:marRight w:val="0"/>
      <w:marTop w:val="0"/>
      <w:marBottom w:val="0"/>
      <w:divBdr>
        <w:top w:val="none" w:sz="0" w:space="0" w:color="auto"/>
        <w:left w:val="none" w:sz="0" w:space="0" w:color="auto"/>
        <w:bottom w:val="none" w:sz="0" w:space="0" w:color="auto"/>
        <w:right w:val="none" w:sz="0" w:space="0" w:color="auto"/>
      </w:divBdr>
      <w:divsChild>
        <w:div w:id="585456001">
          <w:marLeft w:val="1166"/>
          <w:marRight w:val="0"/>
          <w:marTop w:val="0"/>
          <w:marBottom w:val="120"/>
          <w:divBdr>
            <w:top w:val="none" w:sz="0" w:space="0" w:color="auto"/>
            <w:left w:val="none" w:sz="0" w:space="0" w:color="auto"/>
            <w:bottom w:val="none" w:sz="0" w:space="0" w:color="auto"/>
            <w:right w:val="none" w:sz="0" w:space="0" w:color="auto"/>
          </w:divBdr>
        </w:div>
        <w:div w:id="871500060">
          <w:marLeft w:val="1166"/>
          <w:marRight w:val="0"/>
          <w:marTop w:val="0"/>
          <w:marBottom w:val="120"/>
          <w:divBdr>
            <w:top w:val="none" w:sz="0" w:space="0" w:color="auto"/>
            <w:left w:val="none" w:sz="0" w:space="0" w:color="auto"/>
            <w:bottom w:val="none" w:sz="0" w:space="0" w:color="auto"/>
            <w:right w:val="none" w:sz="0" w:space="0" w:color="auto"/>
          </w:divBdr>
        </w:div>
        <w:div w:id="2031564084">
          <w:marLeft w:val="1166"/>
          <w:marRight w:val="0"/>
          <w:marTop w:val="0"/>
          <w:marBottom w:val="120"/>
          <w:divBdr>
            <w:top w:val="none" w:sz="0" w:space="0" w:color="auto"/>
            <w:left w:val="none" w:sz="0" w:space="0" w:color="auto"/>
            <w:bottom w:val="none" w:sz="0" w:space="0" w:color="auto"/>
            <w:right w:val="none" w:sz="0" w:space="0" w:color="auto"/>
          </w:divBdr>
        </w:div>
      </w:divsChild>
    </w:div>
    <w:div w:id="415056281">
      <w:bodyDiv w:val="1"/>
      <w:marLeft w:val="0"/>
      <w:marRight w:val="0"/>
      <w:marTop w:val="0"/>
      <w:marBottom w:val="0"/>
      <w:divBdr>
        <w:top w:val="none" w:sz="0" w:space="0" w:color="auto"/>
        <w:left w:val="none" w:sz="0" w:space="0" w:color="auto"/>
        <w:bottom w:val="none" w:sz="0" w:space="0" w:color="auto"/>
        <w:right w:val="none" w:sz="0" w:space="0" w:color="auto"/>
      </w:divBdr>
    </w:div>
    <w:div w:id="450705005">
      <w:bodyDiv w:val="1"/>
      <w:marLeft w:val="0"/>
      <w:marRight w:val="0"/>
      <w:marTop w:val="0"/>
      <w:marBottom w:val="0"/>
      <w:divBdr>
        <w:top w:val="none" w:sz="0" w:space="0" w:color="auto"/>
        <w:left w:val="none" w:sz="0" w:space="0" w:color="auto"/>
        <w:bottom w:val="none" w:sz="0" w:space="0" w:color="auto"/>
        <w:right w:val="none" w:sz="0" w:space="0" w:color="auto"/>
      </w:divBdr>
    </w:div>
    <w:div w:id="622736317">
      <w:bodyDiv w:val="1"/>
      <w:marLeft w:val="0"/>
      <w:marRight w:val="0"/>
      <w:marTop w:val="0"/>
      <w:marBottom w:val="0"/>
      <w:divBdr>
        <w:top w:val="none" w:sz="0" w:space="0" w:color="auto"/>
        <w:left w:val="none" w:sz="0" w:space="0" w:color="auto"/>
        <w:bottom w:val="none" w:sz="0" w:space="0" w:color="auto"/>
        <w:right w:val="none" w:sz="0" w:space="0" w:color="auto"/>
      </w:divBdr>
    </w:div>
    <w:div w:id="697893373">
      <w:bodyDiv w:val="1"/>
      <w:marLeft w:val="0"/>
      <w:marRight w:val="0"/>
      <w:marTop w:val="0"/>
      <w:marBottom w:val="0"/>
      <w:divBdr>
        <w:top w:val="none" w:sz="0" w:space="0" w:color="auto"/>
        <w:left w:val="none" w:sz="0" w:space="0" w:color="auto"/>
        <w:bottom w:val="none" w:sz="0" w:space="0" w:color="auto"/>
        <w:right w:val="none" w:sz="0" w:space="0" w:color="auto"/>
      </w:divBdr>
      <w:divsChild>
        <w:div w:id="1699312247">
          <w:marLeft w:val="1354"/>
          <w:marRight w:val="0"/>
          <w:marTop w:val="0"/>
          <w:marBottom w:val="0"/>
          <w:divBdr>
            <w:top w:val="none" w:sz="0" w:space="0" w:color="auto"/>
            <w:left w:val="none" w:sz="0" w:space="0" w:color="auto"/>
            <w:bottom w:val="none" w:sz="0" w:space="0" w:color="auto"/>
            <w:right w:val="none" w:sz="0" w:space="0" w:color="auto"/>
          </w:divBdr>
        </w:div>
        <w:div w:id="774787152">
          <w:marLeft w:val="1354"/>
          <w:marRight w:val="0"/>
          <w:marTop w:val="0"/>
          <w:marBottom w:val="0"/>
          <w:divBdr>
            <w:top w:val="none" w:sz="0" w:space="0" w:color="auto"/>
            <w:left w:val="none" w:sz="0" w:space="0" w:color="auto"/>
            <w:bottom w:val="none" w:sz="0" w:space="0" w:color="auto"/>
            <w:right w:val="none" w:sz="0" w:space="0" w:color="auto"/>
          </w:divBdr>
        </w:div>
        <w:div w:id="1301569740">
          <w:marLeft w:val="1354"/>
          <w:marRight w:val="0"/>
          <w:marTop w:val="0"/>
          <w:marBottom w:val="0"/>
          <w:divBdr>
            <w:top w:val="none" w:sz="0" w:space="0" w:color="auto"/>
            <w:left w:val="none" w:sz="0" w:space="0" w:color="auto"/>
            <w:bottom w:val="none" w:sz="0" w:space="0" w:color="auto"/>
            <w:right w:val="none" w:sz="0" w:space="0" w:color="auto"/>
          </w:divBdr>
        </w:div>
        <w:div w:id="691995235">
          <w:marLeft w:val="1354"/>
          <w:marRight w:val="0"/>
          <w:marTop w:val="0"/>
          <w:marBottom w:val="0"/>
          <w:divBdr>
            <w:top w:val="none" w:sz="0" w:space="0" w:color="auto"/>
            <w:left w:val="none" w:sz="0" w:space="0" w:color="auto"/>
            <w:bottom w:val="none" w:sz="0" w:space="0" w:color="auto"/>
            <w:right w:val="none" w:sz="0" w:space="0" w:color="auto"/>
          </w:divBdr>
        </w:div>
      </w:divsChild>
    </w:div>
    <w:div w:id="813184954">
      <w:bodyDiv w:val="1"/>
      <w:marLeft w:val="0"/>
      <w:marRight w:val="0"/>
      <w:marTop w:val="0"/>
      <w:marBottom w:val="0"/>
      <w:divBdr>
        <w:top w:val="none" w:sz="0" w:space="0" w:color="auto"/>
        <w:left w:val="none" w:sz="0" w:space="0" w:color="auto"/>
        <w:bottom w:val="none" w:sz="0" w:space="0" w:color="auto"/>
        <w:right w:val="none" w:sz="0" w:space="0" w:color="auto"/>
      </w:divBdr>
    </w:div>
    <w:div w:id="843590484">
      <w:bodyDiv w:val="1"/>
      <w:marLeft w:val="0"/>
      <w:marRight w:val="0"/>
      <w:marTop w:val="0"/>
      <w:marBottom w:val="0"/>
      <w:divBdr>
        <w:top w:val="none" w:sz="0" w:space="0" w:color="auto"/>
        <w:left w:val="none" w:sz="0" w:space="0" w:color="auto"/>
        <w:bottom w:val="none" w:sz="0" w:space="0" w:color="auto"/>
        <w:right w:val="none" w:sz="0" w:space="0" w:color="auto"/>
      </w:divBdr>
      <w:divsChild>
        <w:div w:id="1052659955">
          <w:marLeft w:val="547"/>
          <w:marRight w:val="0"/>
          <w:marTop w:val="154"/>
          <w:marBottom w:val="0"/>
          <w:divBdr>
            <w:top w:val="none" w:sz="0" w:space="0" w:color="auto"/>
            <w:left w:val="none" w:sz="0" w:space="0" w:color="auto"/>
            <w:bottom w:val="none" w:sz="0" w:space="0" w:color="auto"/>
            <w:right w:val="none" w:sz="0" w:space="0" w:color="auto"/>
          </w:divBdr>
        </w:div>
        <w:div w:id="357238974">
          <w:marLeft w:val="547"/>
          <w:marRight w:val="0"/>
          <w:marTop w:val="154"/>
          <w:marBottom w:val="0"/>
          <w:divBdr>
            <w:top w:val="none" w:sz="0" w:space="0" w:color="auto"/>
            <w:left w:val="none" w:sz="0" w:space="0" w:color="auto"/>
            <w:bottom w:val="none" w:sz="0" w:space="0" w:color="auto"/>
            <w:right w:val="none" w:sz="0" w:space="0" w:color="auto"/>
          </w:divBdr>
        </w:div>
        <w:div w:id="1325937695">
          <w:marLeft w:val="547"/>
          <w:marRight w:val="0"/>
          <w:marTop w:val="154"/>
          <w:marBottom w:val="0"/>
          <w:divBdr>
            <w:top w:val="none" w:sz="0" w:space="0" w:color="auto"/>
            <w:left w:val="none" w:sz="0" w:space="0" w:color="auto"/>
            <w:bottom w:val="none" w:sz="0" w:space="0" w:color="auto"/>
            <w:right w:val="none" w:sz="0" w:space="0" w:color="auto"/>
          </w:divBdr>
        </w:div>
        <w:div w:id="1232958560">
          <w:marLeft w:val="547"/>
          <w:marRight w:val="0"/>
          <w:marTop w:val="154"/>
          <w:marBottom w:val="0"/>
          <w:divBdr>
            <w:top w:val="none" w:sz="0" w:space="0" w:color="auto"/>
            <w:left w:val="none" w:sz="0" w:space="0" w:color="auto"/>
            <w:bottom w:val="none" w:sz="0" w:space="0" w:color="auto"/>
            <w:right w:val="none" w:sz="0" w:space="0" w:color="auto"/>
          </w:divBdr>
        </w:div>
        <w:div w:id="321813526">
          <w:marLeft w:val="547"/>
          <w:marRight w:val="0"/>
          <w:marTop w:val="154"/>
          <w:marBottom w:val="0"/>
          <w:divBdr>
            <w:top w:val="none" w:sz="0" w:space="0" w:color="auto"/>
            <w:left w:val="none" w:sz="0" w:space="0" w:color="auto"/>
            <w:bottom w:val="none" w:sz="0" w:space="0" w:color="auto"/>
            <w:right w:val="none" w:sz="0" w:space="0" w:color="auto"/>
          </w:divBdr>
        </w:div>
        <w:div w:id="104465813">
          <w:marLeft w:val="547"/>
          <w:marRight w:val="0"/>
          <w:marTop w:val="154"/>
          <w:marBottom w:val="0"/>
          <w:divBdr>
            <w:top w:val="none" w:sz="0" w:space="0" w:color="auto"/>
            <w:left w:val="none" w:sz="0" w:space="0" w:color="auto"/>
            <w:bottom w:val="none" w:sz="0" w:space="0" w:color="auto"/>
            <w:right w:val="none" w:sz="0" w:space="0" w:color="auto"/>
          </w:divBdr>
        </w:div>
        <w:div w:id="2037652900">
          <w:marLeft w:val="547"/>
          <w:marRight w:val="0"/>
          <w:marTop w:val="154"/>
          <w:marBottom w:val="0"/>
          <w:divBdr>
            <w:top w:val="none" w:sz="0" w:space="0" w:color="auto"/>
            <w:left w:val="none" w:sz="0" w:space="0" w:color="auto"/>
            <w:bottom w:val="none" w:sz="0" w:space="0" w:color="auto"/>
            <w:right w:val="none" w:sz="0" w:space="0" w:color="auto"/>
          </w:divBdr>
        </w:div>
      </w:divsChild>
    </w:div>
    <w:div w:id="1410536001">
      <w:bodyDiv w:val="1"/>
      <w:marLeft w:val="0"/>
      <w:marRight w:val="0"/>
      <w:marTop w:val="0"/>
      <w:marBottom w:val="0"/>
      <w:divBdr>
        <w:top w:val="none" w:sz="0" w:space="0" w:color="auto"/>
        <w:left w:val="none" w:sz="0" w:space="0" w:color="auto"/>
        <w:bottom w:val="none" w:sz="0" w:space="0" w:color="auto"/>
        <w:right w:val="none" w:sz="0" w:space="0" w:color="auto"/>
      </w:divBdr>
      <w:divsChild>
        <w:div w:id="306402547">
          <w:marLeft w:val="2606"/>
          <w:marRight w:val="0"/>
          <w:marTop w:val="0"/>
          <w:marBottom w:val="0"/>
          <w:divBdr>
            <w:top w:val="none" w:sz="0" w:space="0" w:color="auto"/>
            <w:left w:val="none" w:sz="0" w:space="0" w:color="auto"/>
            <w:bottom w:val="none" w:sz="0" w:space="0" w:color="auto"/>
            <w:right w:val="none" w:sz="0" w:space="0" w:color="auto"/>
          </w:divBdr>
        </w:div>
        <w:div w:id="183791647">
          <w:marLeft w:val="2606"/>
          <w:marRight w:val="0"/>
          <w:marTop w:val="0"/>
          <w:marBottom w:val="0"/>
          <w:divBdr>
            <w:top w:val="none" w:sz="0" w:space="0" w:color="auto"/>
            <w:left w:val="none" w:sz="0" w:space="0" w:color="auto"/>
            <w:bottom w:val="none" w:sz="0" w:space="0" w:color="auto"/>
            <w:right w:val="none" w:sz="0" w:space="0" w:color="auto"/>
          </w:divBdr>
        </w:div>
        <w:div w:id="667909140">
          <w:marLeft w:val="2606"/>
          <w:marRight w:val="0"/>
          <w:marTop w:val="0"/>
          <w:marBottom w:val="0"/>
          <w:divBdr>
            <w:top w:val="none" w:sz="0" w:space="0" w:color="auto"/>
            <w:left w:val="none" w:sz="0" w:space="0" w:color="auto"/>
            <w:bottom w:val="none" w:sz="0" w:space="0" w:color="auto"/>
            <w:right w:val="none" w:sz="0" w:space="0" w:color="auto"/>
          </w:divBdr>
        </w:div>
        <w:div w:id="1360280115">
          <w:marLeft w:val="2606"/>
          <w:marRight w:val="0"/>
          <w:marTop w:val="0"/>
          <w:marBottom w:val="0"/>
          <w:divBdr>
            <w:top w:val="none" w:sz="0" w:space="0" w:color="auto"/>
            <w:left w:val="none" w:sz="0" w:space="0" w:color="auto"/>
            <w:bottom w:val="none" w:sz="0" w:space="0" w:color="auto"/>
            <w:right w:val="none" w:sz="0" w:space="0" w:color="auto"/>
          </w:divBdr>
        </w:div>
      </w:divsChild>
    </w:div>
    <w:div w:id="1519612138">
      <w:bodyDiv w:val="1"/>
      <w:marLeft w:val="0"/>
      <w:marRight w:val="0"/>
      <w:marTop w:val="0"/>
      <w:marBottom w:val="0"/>
      <w:divBdr>
        <w:top w:val="none" w:sz="0" w:space="0" w:color="auto"/>
        <w:left w:val="none" w:sz="0" w:space="0" w:color="auto"/>
        <w:bottom w:val="none" w:sz="0" w:space="0" w:color="auto"/>
        <w:right w:val="none" w:sz="0" w:space="0" w:color="auto"/>
      </w:divBdr>
      <w:divsChild>
        <w:div w:id="1620335604">
          <w:marLeft w:val="547"/>
          <w:marRight w:val="0"/>
          <w:marTop w:val="0"/>
          <w:marBottom w:val="0"/>
          <w:divBdr>
            <w:top w:val="none" w:sz="0" w:space="0" w:color="auto"/>
            <w:left w:val="none" w:sz="0" w:space="0" w:color="auto"/>
            <w:bottom w:val="none" w:sz="0" w:space="0" w:color="auto"/>
            <w:right w:val="none" w:sz="0" w:space="0" w:color="auto"/>
          </w:divBdr>
        </w:div>
        <w:div w:id="556823929">
          <w:marLeft w:val="547"/>
          <w:marRight w:val="0"/>
          <w:marTop w:val="0"/>
          <w:marBottom w:val="0"/>
          <w:divBdr>
            <w:top w:val="none" w:sz="0" w:space="0" w:color="auto"/>
            <w:left w:val="none" w:sz="0" w:space="0" w:color="auto"/>
            <w:bottom w:val="none" w:sz="0" w:space="0" w:color="auto"/>
            <w:right w:val="none" w:sz="0" w:space="0" w:color="auto"/>
          </w:divBdr>
        </w:div>
        <w:div w:id="922491561">
          <w:marLeft w:val="547"/>
          <w:marRight w:val="0"/>
          <w:marTop w:val="0"/>
          <w:marBottom w:val="0"/>
          <w:divBdr>
            <w:top w:val="none" w:sz="0" w:space="0" w:color="auto"/>
            <w:left w:val="none" w:sz="0" w:space="0" w:color="auto"/>
            <w:bottom w:val="none" w:sz="0" w:space="0" w:color="auto"/>
            <w:right w:val="none" w:sz="0" w:space="0" w:color="auto"/>
          </w:divBdr>
        </w:div>
      </w:divsChild>
    </w:div>
    <w:div w:id="1636063531">
      <w:bodyDiv w:val="1"/>
      <w:marLeft w:val="0"/>
      <w:marRight w:val="0"/>
      <w:marTop w:val="0"/>
      <w:marBottom w:val="0"/>
      <w:divBdr>
        <w:top w:val="none" w:sz="0" w:space="0" w:color="auto"/>
        <w:left w:val="none" w:sz="0" w:space="0" w:color="auto"/>
        <w:bottom w:val="none" w:sz="0" w:space="0" w:color="auto"/>
        <w:right w:val="none" w:sz="0" w:space="0" w:color="auto"/>
      </w:divBdr>
    </w:div>
    <w:div w:id="1761870385">
      <w:bodyDiv w:val="1"/>
      <w:marLeft w:val="0"/>
      <w:marRight w:val="0"/>
      <w:marTop w:val="0"/>
      <w:marBottom w:val="0"/>
      <w:divBdr>
        <w:top w:val="none" w:sz="0" w:space="0" w:color="auto"/>
        <w:left w:val="none" w:sz="0" w:space="0" w:color="auto"/>
        <w:bottom w:val="none" w:sz="0" w:space="0" w:color="auto"/>
        <w:right w:val="none" w:sz="0" w:space="0" w:color="auto"/>
      </w:divBdr>
    </w:div>
    <w:div w:id="1782726899">
      <w:bodyDiv w:val="1"/>
      <w:marLeft w:val="0"/>
      <w:marRight w:val="0"/>
      <w:marTop w:val="0"/>
      <w:marBottom w:val="0"/>
      <w:divBdr>
        <w:top w:val="none" w:sz="0" w:space="0" w:color="auto"/>
        <w:left w:val="none" w:sz="0" w:space="0" w:color="auto"/>
        <w:bottom w:val="none" w:sz="0" w:space="0" w:color="auto"/>
        <w:right w:val="none" w:sz="0" w:space="0" w:color="auto"/>
      </w:divBdr>
      <w:divsChild>
        <w:div w:id="98720984">
          <w:marLeft w:val="547"/>
          <w:marRight w:val="0"/>
          <w:marTop w:val="134"/>
          <w:marBottom w:val="0"/>
          <w:divBdr>
            <w:top w:val="none" w:sz="0" w:space="0" w:color="auto"/>
            <w:left w:val="none" w:sz="0" w:space="0" w:color="auto"/>
            <w:bottom w:val="none" w:sz="0" w:space="0" w:color="auto"/>
            <w:right w:val="none" w:sz="0" w:space="0" w:color="auto"/>
          </w:divBdr>
        </w:div>
        <w:div w:id="471023499">
          <w:marLeft w:val="1166"/>
          <w:marRight w:val="0"/>
          <w:marTop w:val="115"/>
          <w:marBottom w:val="0"/>
          <w:divBdr>
            <w:top w:val="none" w:sz="0" w:space="0" w:color="auto"/>
            <w:left w:val="none" w:sz="0" w:space="0" w:color="auto"/>
            <w:bottom w:val="none" w:sz="0" w:space="0" w:color="auto"/>
            <w:right w:val="none" w:sz="0" w:space="0" w:color="auto"/>
          </w:divBdr>
        </w:div>
        <w:div w:id="829061014">
          <w:marLeft w:val="1166"/>
          <w:marRight w:val="0"/>
          <w:marTop w:val="115"/>
          <w:marBottom w:val="0"/>
          <w:divBdr>
            <w:top w:val="none" w:sz="0" w:space="0" w:color="auto"/>
            <w:left w:val="none" w:sz="0" w:space="0" w:color="auto"/>
            <w:bottom w:val="none" w:sz="0" w:space="0" w:color="auto"/>
            <w:right w:val="none" w:sz="0" w:space="0" w:color="auto"/>
          </w:divBdr>
        </w:div>
        <w:div w:id="1205826896">
          <w:marLeft w:val="547"/>
          <w:marRight w:val="0"/>
          <w:marTop w:val="134"/>
          <w:marBottom w:val="0"/>
          <w:divBdr>
            <w:top w:val="none" w:sz="0" w:space="0" w:color="auto"/>
            <w:left w:val="none" w:sz="0" w:space="0" w:color="auto"/>
            <w:bottom w:val="none" w:sz="0" w:space="0" w:color="auto"/>
            <w:right w:val="none" w:sz="0" w:space="0" w:color="auto"/>
          </w:divBdr>
        </w:div>
        <w:div w:id="232668443">
          <w:marLeft w:val="1166"/>
          <w:marRight w:val="0"/>
          <w:marTop w:val="115"/>
          <w:marBottom w:val="0"/>
          <w:divBdr>
            <w:top w:val="none" w:sz="0" w:space="0" w:color="auto"/>
            <w:left w:val="none" w:sz="0" w:space="0" w:color="auto"/>
            <w:bottom w:val="none" w:sz="0" w:space="0" w:color="auto"/>
            <w:right w:val="none" w:sz="0" w:space="0" w:color="auto"/>
          </w:divBdr>
        </w:div>
        <w:div w:id="1366910816">
          <w:marLeft w:val="1166"/>
          <w:marRight w:val="0"/>
          <w:marTop w:val="115"/>
          <w:marBottom w:val="0"/>
          <w:divBdr>
            <w:top w:val="none" w:sz="0" w:space="0" w:color="auto"/>
            <w:left w:val="none" w:sz="0" w:space="0" w:color="auto"/>
            <w:bottom w:val="none" w:sz="0" w:space="0" w:color="auto"/>
            <w:right w:val="none" w:sz="0" w:space="0" w:color="auto"/>
          </w:divBdr>
        </w:div>
      </w:divsChild>
    </w:div>
    <w:div w:id="18537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forms/doi-insurance-complaint-submission-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Aynsley Chaneco</dc:creator>
  <cp:keywords/>
  <dc:description/>
  <cp:lastModifiedBy>Aynsley Chaneco</cp:lastModifiedBy>
  <cp:revision>4</cp:revision>
  <dcterms:created xsi:type="dcterms:W3CDTF">2024-06-17T19:45:00Z</dcterms:created>
  <dcterms:modified xsi:type="dcterms:W3CDTF">2024-06-17T20:28:00Z</dcterms:modified>
</cp:coreProperties>
</file>