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E4F5" w14:textId="3012AADD" w:rsidR="00FD23FE" w:rsidRDefault="00FD23FE" w:rsidP="00014EBA">
      <w:bookmarkStart w:id="0" w:name="TO"/>
      <w:bookmarkStart w:id="1" w:name="FROM"/>
      <w:bookmarkStart w:id="2" w:name="DATE"/>
      <w:bookmarkStart w:id="3" w:name="RE"/>
      <w:bookmarkEnd w:id="0"/>
      <w:bookmarkEnd w:id="1"/>
      <w:bookmarkEnd w:id="2"/>
      <w:bookmarkEnd w:id="3"/>
    </w:p>
    <w:p w14:paraId="4B8C3D5B" w14:textId="77777777" w:rsidR="00FD23FE" w:rsidRDefault="00FD23FE">
      <w:pPr>
        <w:rPr>
          <w:sz w:val="16"/>
        </w:rPr>
        <w:sectPr w:rsidR="00FD23FE">
          <w:footerReference w:type="even" r:id="rId11"/>
          <w:footerReference w:type="default" r:id="rId12"/>
          <w:footerReference w:type="first" r:id="rId13"/>
          <w:endnotePr>
            <w:numFmt w:val="decimal"/>
          </w:endnotePr>
          <w:type w:val="continuous"/>
          <w:pgSz w:w="12240" w:h="15840"/>
          <w:pgMar w:top="1440" w:right="1440" w:bottom="1440" w:left="1440" w:header="1440" w:footer="1440" w:gutter="0"/>
          <w:cols w:space="720"/>
          <w:noEndnote/>
        </w:sectPr>
      </w:pPr>
    </w:p>
    <w:p w14:paraId="22BC432C" w14:textId="5DB6B1A5" w:rsidR="00014EBA" w:rsidRDefault="00073C73" w:rsidP="00014EBA">
      <w:pPr>
        <w:jc w:val="center"/>
        <w:rPr>
          <w:b/>
          <w:color w:val="000080"/>
          <w:sz w:val="32"/>
          <w:szCs w:val="32"/>
        </w:rPr>
      </w:pPr>
      <w:r>
        <w:rPr>
          <w:rFonts w:ascii="Arial" w:hAnsi="Arial" w:cs="Arial"/>
          <w:noProof/>
          <w:sz w:val="20"/>
        </w:rPr>
        <w:object w:dxaOrig="1440" w:dyaOrig="1440" w14:anchorId="79628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14" o:title=""/>
          </v:shape>
          <o:OLEObject Type="Embed" ProgID="StaticMetafile" ShapeID="_x0000_s2056" DrawAspect="Content" ObjectID="_1713958421" r:id="rId15"/>
        </w:object>
      </w:r>
      <w:r w:rsidR="00014EBA">
        <w:rPr>
          <w:b/>
          <w:color w:val="000080"/>
          <w:sz w:val="32"/>
          <w:szCs w:val="32"/>
        </w:rPr>
        <w:t xml:space="preserve"> Abbott BinaxNOW in Residential Congregate Care Programs: Instructions and Guidance</w:t>
      </w:r>
    </w:p>
    <w:p w14:paraId="2B69ADB3" w14:textId="1829A2F4" w:rsidR="00014EBA" w:rsidRPr="002C4703" w:rsidRDefault="00014EBA" w:rsidP="00014EBA">
      <w:pPr>
        <w:jc w:val="center"/>
        <w:rPr>
          <w:i/>
          <w:color w:val="000080"/>
          <w:szCs w:val="24"/>
        </w:rPr>
      </w:pPr>
      <w:r w:rsidRPr="002C4703">
        <w:rPr>
          <w:b/>
          <w:noProof/>
          <w:szCs w:val="24"/>
        </w:rPr>
        <mc:AlternateContent>
          <mc:Choice Requires="wps">
            <w:drawing>
              <wp:anchor distT="0" distB="0" distL="114300" distR="114300" simplePos="0" relativeHeight="251657216" behindDoc="0" locked="0" layoutInCell="1" allowOverlap="1" wp14:anchorId="10398725" wp14:editId="0A024520">
                <wp:simplePos x="0" y="0"/>
                <wp:positionH relativeFrom="page">
                  <wp:align>left</wp:align>
                </wp:positionH>
                <wp:positionV relativeFrom="paragraph">
                  <wp:posOffset>238760</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1076D" id="Line 3"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8pt" to="61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" strokecolor="#a50021" strokeweight="6pt">
                <w10:wrap anchorx="page"/>
              </v:line>
            </w:pict>
          </mc:Fallback>
        </mc:AlternateContent>
      </w:r>
      <w:r w:rsidR="002C4703" w:rsidRPr="002C4703">
        <w:rPr>
          <w:b/>
          <w:color w:val="000080"/>
          <w:szCs w:val="24"/>
        </w:rPr>
        <w:t>May 12</w:t>
      </w:r>
      <w:r w:rsidR="002001BA" w:rsidRPr="002C4703">
        <w:rPr>
          <w:b/>
          <w:noProof/>
          <w:szCs w:val="24"/>
        </w:rPr>
        <w:t>, 2022</w:t>
      </w:r>
    </w:p>
    <w:p w14:paraId="5E1AA84B" w14:textId="77777777" w:rsidR="00FD23FE" w:rsidRDefault="00FD23FE">
      <w:pPr>
        <w:rPr>
          <w:sz w:val="16"/>
        </w:rPr>
      </w:pPr>
    </w:p>
    <w:p w14:paraId="4A9A5CF0" w14:textId="1EEC3DA1" w:rsidR="00014EBA" w:rsidRDefault="00014EBA" w:rsidP="009B21B1">
      <w:pPr>
        <w:widowControl/>
        <w:autoSpaceDE w:val="0"/>
        <w:autoSpaceDN w:val="0"/>
        <w:adjustRightInd w:val="0"/>
        <w:spacing w:line="259" w:lineRule="auto"/>
        <w:rPr>
          <w:rFonts w:eastAsia="@Batang"/>
          <w:snapToGrid/>
          <w:szCs w:val="24"/>
        </w:rPr>
      </w:pPr>
    </w:p>
    <w:p w14:paraId="493967D8" w14:textId="4752516F" w:rsidR="00014EBA" w:rsidRPr="00014EBA" w:rsidRDefault="00014EBA" w:rsidP="00014EBA">
      <w:pPr>
        <w:pStyle w:val="Heading1"/>
        <w:keepLines/>
        <w:widowControl/>
        <w:tabs>
          <w:tab w:val="clear" w:pos="4680"/>
        </w:tabs>
        <w:spacing w:before="240"/>
        <w:jc w:val="left"/>
        <w:rPr>
          <w:rFonts w:eastAsia="@Batang"/>
          <w:bCs/>
          <w:snapToGrid/>
          <w:szCs w:val="24"/>
          <w:u w:val="single"/>
        </w:rPr>
      </w:pPr>
      <w:r w:rsidRPr="00014EBA">
        <w:rPr>
          <w:rFonts w:eastAsia="@Batang"/>
          <w:bCs/>
          <w:snapToGrid/>
          <w:szCs w:val="24"/>
          <w:u w:val="single"/>
        </w:rPr>
        <w:t xml:space="preserve">Purpose </w:t>
      </w:r>
    </w:p>
    <w:p w14:paraId="3D02E33A" w14:textId="105D3AAB" w:rsidR="00014EBA" w:rsidRDefault="00014EBA" w:rsidP="00014EBA">
      <w:pPr>
        <w:rPr>
          <w:rFonts w:eastAsia="@Batang"/>
          <w:snapToGrid/>
        </w:rPr>
      </w:pPr>
      <w:r>
        <w:rPr>
          <w:rFonts w:eastAsia="@Batang"/>
          <w:snapToGrid/>
        </w:rPr>
        <w:t xml:space="preserve">The following document </w:t>
      </w:r>
      <w:r w:rsidR="002001BA">
        <w:rPr>
          <w:rFonts w:eastAsia="@Batang"/>
          <w:snapToGrid/>
        </w:rPr>
        <w:t xml:space="preserve">updates </w:t>
      </w:r>
      <w:r>
        <w:rPr>
          <w:rFonts w:eastAsia="@Batang"/>
          <w:snapToGrid/>
        </w:rPr>
        <w:t xml:space="preserve">instructions for organizations operating Covered Programs, as defined in the </w:t>
      </w:r>
      <w:hyperlink r:id="rId16" w:history="1">
        <w:r w:rsidRPr="009D1A02">
          <w:rPr>
            <w:rStyle w:val="Hyperlink"/>
            <w:rFonts w:eastAsia="@Batang"/>
            <w:snapToGrid/>
            <w:szCs w:val="24"/>
          </w:rPr>
          <w:t>EOHHS Congregate Care Surveillance Testing Guidance</w:t>
        </w:r>
      </w:hyperlink>
      <w:r>
        <w:rPr>
          <w:rFonts w:eastAsia="@Batang"/>
          <w:snapToGrid/>
          <w:szCs w:val="24"/>
        </w:rPr>
        <w:t>, (hereafter “organizations”</w:t>
      </w:r>
      <w:r w:rsidR="000C6C06">
        <w:rPr>
          <w:rFonts w:eastAsia="@Batang"/>
          <w:snapToGrid/>
          <w:szCs w:val="24"/>
        </w:rPr>
        <w:t xml:space="preserve"> or “congregate care organizations”)</w:t>
      </w:r>
      <w:r>
        <w:rPr>
          <w:rFonts w:eastAsia="@Batang"/>
          <w:snapToGrid/>
          <w:szCs w:val="24"/>
        </w:rPr>
        <w:t xml:space="preserve"> who elect to receive Abbott BinaxNOW test</w:t>
      </w:r>
      <w:r w:rsidR="000C6C06">
        <w:rPr>
          <w:rFonts w:eastAsia="@Batang"/>
          <w:snapToGrid/>
          <w:szCs w:val="24"/>
        </w:rPr>
        <w:t>s</w:t>
      </w:r>
      <w:r>
        <w:rPr>
          <w:rFonts w:eastAsia="@Batang"/>
          <w:snapToGrid/>
          <w:szCs w:val="24"/>
        </w:rPr>
        <w:t xml:space="preserve">. Please note that </w:t>
      </w:r>
      <w:r w:rsidR="000C6C06">
        <w:rPr>
          <w:rFonts w:eastAsia="@Batang"/>
          <w:snapToGrid/>
          <w:szCs w:val="24"/>
        </w:rPr>
        <w:t>organizations who elect to receive Abbott BinaxNOW tests will not be eligible for the other testing access options outline in the aforementioned guidance.</w:t>
      </w:r>
    </w:p>
    <w:p w14:paraId="6805062E" w14:textId="3C0AF8AD" w:rsidR="00014EBA" w:rsidRPr="00014EBA" w:rsidRDefault="00014EBA" w:rsidP="00014EBA">
      <w:pPr>
        <w:pStyle w:val="Heading1"/>
        <w:keepLines/>
        <w:widowControl/>
        <w:tabs>
          <w:tab w:val="clear" w:pos="4680"/>
        </w:tabs>
        <w:spacing w:before="240"/>
        <w:jc w:val="left"/>
        <w:rPr>
          <w:rFonts w:eastAsia="@Batang"/>
          <w:bCs/>
          <w:snapToGrid/>
          <w:szCs w:val="24"/>
          <w:u w:val="single"/>
        </w:rPr>
      </w:pPr>
      <w:r w:rsidRPr="00014EBA">
        <w:rPr>
          <w:rFonts w:eastAsia="@Batang"/>
          <w:bCs/>
          <w:snapToGrid/>
          <w:szCs w:val="24"/>
          <w:u w:val="single"/>
        </w:rPr>
        <w:t>Overview</w:t>
      </w:r>
    </w:p>
    <w:p w14:paraId="5713E2CB" w14:textId="2FB9B715" w:rsidR="009B21B1" w:rsidRPr="009B21B1" w:rsidRDefault="002001BA" w:rsidP="009B21B1">
      <w:pPr>
        <w:widowControl/>
        <w:autoSpaceDE w:val="0"/>
        <w:autoSpaceDN w:val="0"/>
        <w:adjustRightInd w:val="0"/>
        <w:spacing w:line="259" w:lineRule="auto"/>
        <w:rPr>
          <w:rFonts w:eastAsia="@Batang"/>
          <w:snapToGrid/>
          <w:szCs w:val="24"/>
        </w:rPr>
      </w:pPr>
      <w:r>
        <w:rPr>
          <w:rFonts w:eastAsia="@Batang"/>
          <w:snapToGrid/>
          <w:szCs w:val="24"/>
        </w:rPr>
        <w:t>T</w:t>
      </w:r>
      <w:r w:rsidR="009D1A02">
        <w:rPr>
          <w:rFonts w:eastAsia="@Batang"/>
          <w:snapToGrid/>
          <w:szCs w:val="24"/>
        </w:rPr>
        <w:t>he Executive Office of Health and Human Services (EOHHS)</w:t>
      </w:r>
      <w:r w:rsidR="009B21B1" w:rsidRPr="009B21B1">
        <w:rPr>
          <w:rFonts w:eastAsia="@Batang"/>
          <w:snapToGrid/>
          <w:szCs w:val="24"/>
        </w:rPr>
        <w:t xml:space="preserve"> in collaboration with the Massachusetts Department of Public Health (DPH) </w:t>
      </w:r>
      <w:r>
        <w:rPr>
          <w:rFonts w:eastAsia="@Batang"/>
          <w:snapToGrid/>
          <w:szCs w:val="24"/>
        </w:rPr>
        <w:t>allows</w:t>
      </w:r>
      <w:r w:rsidR="009D1A02">
        <w:rPr>
          <w:rFonts w:eastAsia="@Batang"/>
          <w:snapToGrid/>
          <w:szCs w:val="24"/>
        </w:rPr>
        <w:t xml:space="preserve"> organizations operating residential congregate care Covered Programs (</w:t>
      </w:r>
      <w:r w:rsidR="0072105B">
        <w:rPr>
          <w:rFonts w:eastAsia="@Batang"/>
          <w:snapToGrid/>
          <w:szCs w:val="24"/>
        </w:rPr>
        <w:t xml:space="preserve">“residential </w:t>
      </w:r>
      <w:r w:rsidR="009D1A02">
        <w:rPr>
          <w:rFonts w:eastAsia="@Batang"/>
          <w:snapToGrid/>
          <w:szCs w:val="24"/>
        </w:rPr>
        <w:t>congregate settings</w:t>
      </w:r>
      <w:r w:rsidR="0072105B">
        <w:rPr>
          <w:rFonts w:eastAsia="@Batang"/>
          <w:snapToGrid/>
          <w:szCs w:val="24"/>
        </w:rPr>
        <w:t>”</w:t>
      </w:r>
      <w:r w:rsidR="009D1A02">
        <w:rPr>
          <w:rFonts w:eastAsia="@Batang"/>
          <w:snapToGrid/>
          <w:szCs w:val="24"/>
        </w:rPr>
        <w:t xml:space="preserve">), as defined by the </w:t>
      </w:r>
      <w:hyperlink r:id="rId17" w:history="1">
        <w:r w:rsidR="009D1A02" w:rsidRPr="009D1A02">
          <w:rPr>
            <w:rStyle w:val="Hyperlink"/>
            <w:rFonts w:eastAsia="@Batang"/>
            <w:snapToGrid/>
            <w:szCs w:val="24"/>
          </w:rPr>
          <w:t>EOHHS Congregate Care Surveillance Testing Guidance</w:t>
        </w:r>
      </w:hyperlink>
      <w:r w:rsidR="000B4F29">
        <w:rPr>
          <w:rFonts w:eastAsia="@Batang"/>
          <w:snapToGrid/>
          <w:szCs w:val="24"/>
        </w:rPr>
        <w:t xml:space="preserve"> (“Surveillance Testing Guidance”)</w:t>
      </w:r>
      <w:r w:rsidR="009D1A02">
        <w:rPr>
          <w:rFonts w:eastAsia="@Batang"/>
          <w:snapToGrid/>
          <w:szCs w:val="24"/>
        </w:rPr>
        <w:t xml:space="preserve">, to request </w:t>
      </w:r>
      <w:r w:rsidRPr="002001BA">
        <w:rPr>
          <w:rFonts w:eastAsia="@Batang"/>
          <w:snapToGrid/>
          <w:szCs w:val="24"/>
        </w:rPr>
        <w:t xml:space="preserve">Abbott BinaxNOW COVID-19 Ag Card Point of Care (POC) SARS-CoV-2 rapid diagnostic tests </w:t>
      </w:r>
      <w:r w:rsidR="00014EBA">
        <w:rPr>
          <w:rFonts w:eastAsia="@Batang"/>
          <w:snapToGrid/>
          <w:szCs w:val="24"/>
        </w:rPr>
        <w:t xml:space="preserve"> </w:t>
      </w:r>
      <w:r>
        <w:rPr>
          <w:rFonts w:eastAsia="@Batang"/>
          <w:snapToGrid/>
          <w:szCs w:val="24"/>
        </w:rPr>
        <w:t>(“</w:t>
      </w:r>
      <w:r w:rsidR="00014EBA">
        <w:rPr>
          <w:rFonts w:eastAsia="@Batang"/>
          <w:snapToGrid/>
          <w:szCs w:val="24"/>
        </w:rPr>
        <w:t xml:space="preserve">BinaxNOW </w:t>
      </w:r>
      <w:r w:rsidR="009D1A02">
        <w:rPr>
          <w:rFonts w:eastAsia="@Batang"/>
          <w:snapToGrid/>
          <w:szCs w:val="24"/>
        </w:rPr>
        <w:t>test</w:t>
      </w:r>
      <w:r w:rsidR="00014EBA">
        <w:rPr>
          <w:rFonts w:eastAsia="@Batang"/>
          <w:snapToGrid/>
          <w:szCs w:val="24"/>
        </w:rPr>
        <w:t>s</w:t>
      </w:r>
      <w:r>
        <w:rPr>
          <w:rFonts w:eastAsia="@Batang"/>
          <w:snapToGrid/>
          <w:szCs w:val="24"/>
        </w:rPr>
        <w:t>”)</w:t>
      </w:r>
      <w:r w:rsidR="009D1A02">
        <w:rPr>
          <w:rFonts w:eastAsia="@Batang"/>
          <w:snapToGrid/>
          <w:szCs w:val="24"/>
        </w:rPr>
        <w:t xml:space="preserve"> </w:t>
      </w:r>
      <w:r w:rsidR="00014EBA">
        <w:rPr>
          <w:rFonts w:eastAsia="@Batang"/>
          <w:snapToGrid/>
          <w:szCs w:val="24"/>
        </w:rPr>
        <w:t xml:space="preserve">for the purpose of meeting </w:t>
      </w:r>
      <w:r w:rsidR="009D1A02">
        <w:rPr>
          <w:rFonts w:eastAsia="@Batang"/>
          <w:snapToGrid/>
          <w:szCs w:val="24"/>
        </w:rPr>
        <w:t>surveillance testing objective</w:t>
      </w:r>
      <w:r>
        <w:rPr>
          <w:rFonts w:eastAsia="@Batang"/>
          <w:snapToGrid/>
          <w:szCs w:val="24"/>
        </w:rPr>
        <w:t>s</w:t>
      </w:r>
      <w:r w:rsidR="009B21B1" w:rsidRPr="009B21B1">
        <w:rPr>
          <w:rFonts w:eastAsia="@Batang"/>
          <w:snapToGrid/>
          <w:szCs w:val="24"/>
        </w:rPr>
        <w:t xml:space="preserve">. Participating </w:t>
      </w:r>
      <w:r w:rsidR="009D1A02">
        <w:rPr>
          <w:rFonts w:eastAsia="@Batang"/>
          <w:snapToGrid/>
          <w:szCs w:val="24"/>
        </w:rPr>
        <w:t xml:space="preserve">organizations </w:t>
      </w:r>
      <w:r w:rsidR="009B21B1" w:rsidRPr="009B21B1">
        <w:rPr>
          <w:rFonts w:eastAsia="@Batang"/>
          <w:snapToGrid/>
          <w:szCs w:val="24"/>
        </w:rPr>
        <w:t>will receive the test kits at no cost, and in most cases, administer the test using existing staff resources.</w:t>
      </w:r>
    </w:p>
    <w:p w14:paraId="30F072FE" w14:textId="77777777" w:rsidR="009B21B1" w:rsidRPr="009B21B1" w:rsidRDefault="009B21B1" w:rsidP="009B21B1">
      <w:pPr>
        <w:widowControl/>
        <w:autoSpaceDE w:val="0"/>
        <w:autoSpaceDN w:val="0"/>
        <w:adjustRightInd w:val="0"/>
        <w:spacing w:line="259" w:lineRule="auto"/>
        <w:rPr>
          <w:rFonts w:eastAsia="@Batang"/>
          <w:snapToGrid/>
          <w:szCs w:val="24"/>
        </w:rPr>
      </w:pPr>
    </w:p>
    <w:p w14:paraId="13784DAC" w14:textId="1E268453" w:rsidR="009B21B1" w:rsidRPr="009B21B1" w:rsidRDefault="009B21B1" w:rsidP="009B21B1">
      <w:pPr>
        <w:widowControl/>
        <w:spacing w:line="259" w:lineRule="auto"/>
        <w:rPr>
          <w:rFonts w:eastAsia="Calibri"/>
          <w:b/>
          <w:bCs/>
          <w:szCs w:val="24"/>
        </w:rPr>
      </w:pPr>
      <w:r w:rsidRPr="009B21B1">
        <w:rPr>
          <w:rFonts w:eastAsia="Calibri"/>
          <w:szCs w:val="24"/>
        </w:rPr>
        <w:t xml:space="preserve">This memo provides those </w:t>
      </w:r>
      <w:r w:rsidR="009D1A02">
        <w:rPr>
          <w:rFonts w:eastAsia="Calibri"/>
          <w:szCs w:val="24"/>
        </w:rPr>
        <w:t xml:space="preserve">organizations </w:t>
      </w:r>
      <w:r w:rsidRPr="009B21B1">
        <w:rPr>
          <w:rFonts w:eastAsia="Calibri"/>
          <w:szCs w:val="24"/>
        </w:rPr>
        <w:t xml:space="preserve">with an overview of the use of Abbott BinaxNOW test kits in </w:t>
      </w:r>
      <w:r w:rsidR="009D1A02">
        <w:rPr>
          <w:rFonts w:eastAsia="Calibri"/>
          <w:szCs w:val="24"/>
        </w:rPr>
        <w:t xml:space="preserve">residential congregate care settings </w:t>
      </w:r>
      <w:r w:rsidRPr="009B21B1">
        <w:rPr>
          <w:rFonts w:eastAsia="Calibri"/>
          <w:szCs w:val="24"/>
        </w:rPr>
        <w:t>and information regarding</w:t>
      </w:r>
      <w:r w:rsidRPr="009B21B1" w:rsidDel="00087AF2">
        <w:rPr>
          <w:rFonts w:eastAsia="Calibri"/>
          <w:szCs w:val="24"/>
        </w:rPr>
        <w:t xml:space="preserve"> </w:t>
      </w:r>
      <w:r w:rsidRPr="009B21B1">
        <w:rPr>
          <w:rFonts w:eastAsia="Calibri"/>
          <w:szCs w:val="24"/>
        </w:rPr>
        <w:t xml:space="preserve">the documentation, reporting requirements, and protocols required prior to receiving test kits. Additionally, the last page of the memo includes a Readiness Review Checklist that must be completed by </w:t>
      </w:r>
      <w:r w:rsidR="009D1A02">
        <w:rPr>
          <w:rFonts w:eastAsia="Calibri"/>
          <w:szCs w:val="24"/>
        </w:rPr>
        <w:t xml:space="preserve">organizations operating Covered Programs </w:t>
      </w:r>
      <w:r w:rsidRPr="009B21B1">
        <w:rPr>
          <w:rFonts w:eastAsia="Calibri"/>
          <w:szCs w:val="24"/>
        </w:rPr>
        <w:t>in order to request distribution of Abbott BinaxNOW test kits.</w:t>
      </w:r>
      <w:r w:rsidRPr="009B21B1">
        <w:rPr>
          <w:rFonts w:eastAsia="Calibri"/>
          <w:b/>
          <w:bCs/>
          <w:szCs w:val="24"/>
        </w:rPr>
        <w:t xml:space="preserve"> </w:t>
      </w:r>
    </w:p>
    <w:p w14:paraId="3EEB005F" w14:textId="77777777" w:rsidR="0026762F" w:rsidRDefault="0026762F" w:rsidP="009B21B1">
      <w:pPr>
        <w:widowControl/>
        <w:spacing w:line="259" w:lineRule="auto"/>
      </w:pPr>
    </w:p>
    <w:p w14:paraId="02D7280B" w14:textId="4E0C0A11" w:rsidR="009F2DC2" w:rsidRDefault="009F2DC2" w:rsidP="009B21B1">
      <w:pPr>
        <w:widowControl/>
        <w:spacing w:line="259" w:lineRule="auto"/>
      </w:pPr>
      <w:r>
        <w:t xml:space="preserve">Additional details on the Abbott BinaxNOW test on the can be found on the </w:t>
      </w:r>
      <w:hyperlink r:id="rId18" w:history="1">
        <w:r w:rsidRPr="00F039CB">
          <w:rPr>
            <w:rStyle w:val="Hyperlink"/>
          </w:rPr>
          <w:t>Abbott BinaxNOW we</w:t>
        </w:r>
        <w:r>
          <w:rPr>
            <w:rStyle w:val="Hyperlink"/>
          </w:rPr>
          <w:t>b</w:t>
        </w:r>
        <w:r w:rsidRPr="00F039CB">
          <w:rPr>
            <w:rStyle w:val="Hyperlink"/>
          </w:rPr>
          <w:t>page</w:t>
        </w:r>
      </w:hyperlink>
      <w:r>
        <w:t xml:space="preserve"> and in the </w:t>
      </w:r>
      <w:hyperlink r:id="rId19" w:history="1">
        <w:r w:rsidRPr="00F039CB">
          <w:rPr>
            <w:rStyle w:val="Hyperlink"/>
          </w:rPr>
          <w:t>product documentation</w:t>
        </w:r>
      </w:hyperlink>
      <w:r w:rsidR="008E0D77">
        <w:t>.</w:t>
      </w:r>
    </w:p>
    <w:p w14:paraId="7F804BA3" w14:textId="56A3903C" w:rsidR="009B21B1" w:rsidRDefault="009B21B1" w:rsidP="0026762F">
      <w:pPr>
        <w:pStyle w:val="Heading1"/>
        <w:keepLines/>
        <w:widowControl/>
        <w:tabs>
          <w:tab w:val="clear" w:pos="4680"/>
        </w:tabs>
        <w:spacing w:before="240"/>
        <w:jc w:val="left"/>
        <w:rPr>
          <w:rFonts w:eastAsia="@Batang"/>
          <w:bCs/>
          <w:snapToGrid/>
          <w:szCs w:val="24"/>
          <w:u w:val="single"/>
        </w:rPr>
      </w:pPr>
      <w:r w:rsidRPr="0026762F">
        <w:rPr>
          <w:rFonts w:eastAsia="@Batang"/>
          <w:bCs/>
          <w:snapToGrid/>
          <w:szCs w:val="24"/>
          <w:u w:val="single"/>
        </w:rPr>
        <w:t xml:space="preserve">Use of Abbott BinaxNOW test in </w:t>
      </w:r>
      <w:r w:rsidR="0072105B">
        <w:rPr>
          <w:rFonts w:eastAsia="@Batang"/>
          <w:bCs/>
          <w:snapToGrid/>
          <w:szCs w:val="24"/>
          <w:u w:val="single"/>
        </w:rPr>
        <w:t xml:space="preserve">residential </w:t>
      </w:r>
      <w:r w:rsidR="009D1A02" w:rsidRPr="0026762F">
        <w:rPr>
          <w:rFonts w:eastAsia="@Batang"/>
          <w:bCs/>
          <w:snapToGrid/>
          <w:szCs w:val="24"/>
          <w:u w:val="single"/>
        </w:rPr>
        <w:t>congregate settings</w:t>
      </w:r>
      <w:r w:rsidRPr="0026762F">
        <w:rPr>
          <w:rFonts w:eastAsia="@Batang"/>
          <w:bCs/>
          <w:snapToGrid/>
          <w:szCs w:val="24"/>
          <w:u w:val="single"/>
        </w:rPr>
        <w:t>:</w:t>
      </w:r>
    </w:p>
    <w:p w14:paraId="53DC9037" w14:textId="7EB0CA6F" w:rsidR="00123629" w:rsidRDefault="00123629" w:rsidP="00123629">
      <w:pPr>
        <w:widowControl/>
        <w:rPr>
          <w:rFonts w:eastAsia="@Batang"/>
          <w:snapToGrid/>
          <w:szCs w:val="24"/>
        </w:rPr>
      </w:pPr>
      <w:r>
        <w:t xml:space="preserve">Organizations which elect to receive BinaxNOW test kits should carefully consider the risks and benefits of using this test for surveillance testing when compared to a molecular test, such as those offered by the vendor specified in the </w:t>
      </w:r>
      <w:hyperlink r:id="rId20" w:history="1">
        <w:r w:rsidR="000F56A8" w:rsidRPr="003C5E6B">
          <w:rPr>
            <w:rStyle w:val="Hyperlink"/>
            <w:rFonts w:eastAsia="@Batang"/>
            <w:snapToGrid/>
            <w:szCs w:val="24"/>
          </w:rPr>
          <w:t>EOHHS Congregate Care Surveillance Testing Guidance</w:t>
        </w:r>
      </w:hyperlink>
      <w:r w:rsidR="000B4F29">
        <w:rPr>
          <w:rFonts w:eastAsia="@Batang"/>
          <w:snapToGrid/>
          <w:szCs w:val="24"/>
        </w:rPr>
        <w:t>.</w:t>
      </w:r>
      <w:r w:rsidR="00540BB8">
        <w:rPr>
          <w:rFonts w:eastAsia="@Batang"/>
          <w:snapToGrid/>
          <w:szCs w:val="24"/>
        </w:rPr>
        <w:t xml:space="preserve"> Additional information regarding the performance of the Abbott BinaxNOW test can be found in </w:t>
      </w:r>
      <w:hyperlink w:anchor="_Appendix_C:_Abbott" w:history="1">
        <w:r w:rsidR="00540BB8" w:rsidRPr="003C5E6B">
          <w:rPr>
            <w:rStyle w:val="Hyperlink"/>
            <w:rFonts w:eastAsia="@Batang"/>
            <w:snapToGrid/>
            <w:szCs w:val="24"/>
          </w:rPr>
          <w:t xml:space="preserve">Appendix </w:t>
        </w:r>
        <w:r w:rsidR="006366CA">
          <w:rPr>
            <w:rStyle w:val="Hyperlink"/>
            <w:rFonts w:eastAsia="@Batang"/>
            <w:snapToGrid/>
            <w:szCs w:val="24"/>
          </w:rPr>
          <w:t>B</w:t>
        </w:r>
        <w:r w:rsidR="00540BB8" w:rsidRPr="003C5E6B">
          <w:rPr>
            <w:rStyle w:val="Hyperlink"/>
            <w:rFonts w:eastAsia="@Batang"/>
            <w:snapToGrid/>
            <w:szCs w:val="24"/>
          </w:rPr>
          <w:t xml:space="preserve">: Abbott BinaxNOW </w:t>
        </w:r>
        <w:r w:rsidR="003C5E6B" w:rsidRPr="003C5E6B">
          <w:rPr>
            <w:rStyle w:val="Hyperlink"/>
            <w:rFonts w:eastAsia="@Batang"/>
            <w:snapToGrid/>
            <w:szCs w:val="24"/>
          </w:rPr>
          <w:t>P</w:t>
        </w:r>
        <w:r w:rsidR="00540BB8" w:rsidRPr="003C5E6B">
          <w:rPr>
            <w:rStyle w:val="Hyperlink"/>
            <w:rFonts w:eastAsia="@Batang"/>
            <w:snapToGrid/>
            <w:szCs w:val="24"/>
          </w:rPr>
          <w:t>erformance</w:t>
        </w:r>
      </w:hyperlink>
    </w:p>
    <w:p w14:paraId="7687C053" w14:textId="77777777" w:rsidR="000B4F29" w:rsidRPr="009B21B1" w:rsidRDefault="000B4F29" w:rsidP="00123629">
      <w:pPr>
        <w:widowControl/>
        <w:rPr>
          <w:snapToGrid/>
          <w:szCs w:val="24"/>
        </w:rPr>
      </w:pPr>
    </w:p>
    <w:p w14:paraId="67502C27" w14:textId="02B16A70" w:rsidR="0026762F" w:rsidRPr="00F377FA" w:rsidRDefault="0026762F" w:rsidP="0026762F">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BinaxNOW test kits requested from DPH</w:t>
      </w:r>
      <w:r w:rsidRPr="0026762F">
        <w:rPr>
          <w:rFonts w:ascii="Times New Roman" w:hAnsi="Times New Roman" w:cs="Times New Roman"/>
          <w:sz w:val="24"/>
          <w:szCs w:val="24"/>
        </w:rPr>
        <w:t xml:space="preserve"> should </w:t>
      </w:r>
      <w:r>
        <w:rPr>
          <w:rFonts w:ascii="Times New Roman" w:hAnsi="Times New Roman" w:cs="Times New Roman"/>
          <w:sz w:val="24"/>
          <w:szCs w:val="24"/>
        </w:rPr>
        <w:t xml:space="preserve">only be </w:t>
      </w:r>
      <w:r w:rsidRPr="0026762F">
        <w:rPr>
          <w:rFonts w:ascii="Times New Roman" w:hAnsi="Times New Roman" w:cs="Times New Roman"/>
          <w:sz w:val="24"/>
          <w:szCs w:val="24"/>
        </w:rPr>
        <w:t xml:space="preserve">used in accordance with the recommendations for surveillance testing, as detailed in </w:t>
      </w:r>
      <w:r w:rsidRPr="003C5E6B">
        <w:rPr>
          <w:rFonts w:ascii="Times New Roman" w:hAnsi="Times New Roman" w:cs="Times New Roman"/>
          <w:sz w:val="24"/>
          <w:szCs w:val="24"/>
        </w:rPr>
        <w:t xml:space="preserve">the </w:t>
      </w:r>
      <w:hyperlink r:id="rId21" w:history="1">
        <w:r w:rsidR="003C5E6B" w:rsidRPr="003C5E6B">
          <w:rPr>
            <w:rStyle w:val="Hyperlink"/>
            <w:rFonts w:ascii="Times New Roman" w:eastAsia="@Batang" w:hAnsi="Times New Roman" w:cs="Times New Roman"/>
            <w:sz w:val="24"/>
            <w:szCs w:val="24"/>
          </w:rPr>
          <w:t xml:space="preserve">EOHHS Congregate Care </w:t>
        </w:r>
        <w:r w:rsidR="003C5E6B" w:rsidRPr="003C5E6B">
          <w:rPr>
            <w:rStyle w:val="Hyperlink"/>
            <w:rFonts w:ascii="Times New Roman" w:eastAsia="@Batang" w:hAnsi="Times New Roman" w:cs="Times New Roman"/>
            <w:sz w:val="24"/>
            <w:szCs w:val="24"/>
          </w:rPr>
          <w:lastRenderedPageBreak/>
          <w:t>Surveillance Testing Guidance</w:t>
        </w:r>
      </w:hyperlink>
      <w:r w:rsidRPr="003C5E6B">
        <w:rPr>
          <w:rFonts w:ascii="Times New Roman" w:hAnsi="Times New Roman" w:cs="Times New Roman"/>
          <w:sz w:val="24"/>
          <w:szCs w:val="24"/>
        </w:rPr>
        <w:t>.</w:t>
      </w:r>
      <w:r>
        <w:rPr>
          <w:rFonts w:ascii="Times New Roman" w:hAnsi="Times New Roman" w:cs="Times New Roman"/>
          <w:sz w:val="24"/>
          <w:szCs w:val="24"/>
        </w:rPr>
        <w:t xml:space="preserve"> Additional detail regarding the application of this guidance to </w:t>
      </w:r>
      <w:r w:rsidR="000F56A8">
        <w:rPr>
          <w:rFonts w:ascii="Times New Roman" w:hAnsi="Times New Roman" w:cs="Times New Roman"/>
          <w:sz w:val="24"/>
          <w:szCs w:val="24"/>
        </w:rPr>
        <w:t xml:space="preserve">in the context of Abbott BinaxNOW tests </w:t>
      </w:r>
      <w:r>
        <w:rPr>
          <w:rFonts w:ascii="Times New Roman" w:hAnsi="Times New Roman" w:cs="Times New Roman"/>
          <w:sz w:val="24"/>
          <w:szCs w:val="24"/>
        </w:rPr>
        <w:t>is below:</w:t>
      </w:r>
    </w:p>
    <w:p w14:paraId="09BAC96F" w14:textId="77777777" w:rsidR="0026762F" w:rsidRDefault="0026762F" w:rsidP="0026762F">
      <w:pPr>
        <w:autoSpaceDE w:val="0"/>
        <w:autoSpaceDN w:val="0"/>
        <w:adjustRightInd w:val="0"/>
        <w:ind w:left="720"/>
      </w:pPr>
    </w:p>
    <w:p w14:paraId="5DCE6510" w14:textId="4F079C36" w:rsidR="0026762F" w:rsidRPr="00B66FE7" w:rsidRDefault="0026762F" w:rsidP="0026762F">
      <w:pPr>
        <w:autoSpaceDE w:val="0"/>
        <w:autoSpaceDN w:val="0"/>
        <w:adjustRightInd w:val="0"/>
        <w:ind w:left="360"/>
      </w:pPr>
      <w:r w:rsidRPr="0026762F">
        <w:rPr>
          <w:i/>
          <w:iCs/>
          <w:u w:val="single"/>
        </w:rPr>
        <w:t>Asymptomatic</w:t>
      </w:r>
      <w:r>
        <w:rPr>
          <w:i/>
          <w:iCs/>
        </w:rPr>
        <w:t xml:space="preserve"> </w:t>
      </w:r>
      <w:r w:rsidR="003C5E6B">
        <w:rPr>
          <w:i/>
          <w:iCs/>
        </w:rPr>
        <w:t>individuals</w:t>
      </w:r>
      <w:r>
        <w:rPr>
          <w:i/>
          <w:iCs/>
        </w:rPr>
        <w:t xml:space="preserve">, testing in accordance with the Surveillance Testing Guidance: </w:t>
      </w:r>
    </w:p>
    <w:p w14:paraId="1984DBDB" w14:textId="6B4CFAF0" w:rsidR="0026762F" w:rsidRDefault="0026762F" w:rsidP="0026762F">
      <w:pPr>
        <w:pStyle w:val="ListParagraph"/>
        <w:numPr>
          <w:ilvl w:val="0"/>
          <w:numId w:val="17"/>
        </w:numPr>
        <w:autoSpaceDE w:val="0"/>
        <w:autoSpaceDN w:val="0"/>
        <w:adjustRightInd w:val="0"/>
        <w:rPr>
          <w:rFonts w:ascii="Times New Roman" w:hAnsi="Times New Roman" w:cs="Times New Roman"/>
          <w:sz w:val="24"/>
          <w:szCs w:val="24"/>
        </w:rPr>
      </w:pPr>
      <w:r w:rsidRPr="005B0B40">
        <w:rPr>
          <w:rFonts w:ascii="Times New Roman" w:hAnsi="Times New Roman" w:cs="Times New Roman"/>
          <w:sz w:val="24"/>
          <w:szCs w:val="24"/>
        </w:rPr>
        <w:t xml:space="preserve">Those who test positive should be treated as a </w:t>
      </w:r>
      <w:r>
        <w:rPr>
          <w:rFonts w:ascii="Times New Roman" w:hAnsi="Times New Roman" w:cs="Times New Roman"/>
          <w:sz w:val="24"/>
          <w:szCs w:val="24"/>
        </w:rPr>
        <w:t xml:space="preserve">positive </w:t>
      </w:r>
      <w:r w:rsidRPr="005B0B40">
        <w:rPr>
          <w:rFonts w:ascii="Times New Roman" w:hAnsi="Times New Roman" w:cs="Times New Roman"/>
          <w:sz w:val="24"/>
          <w:szCs w:val="24"/>
        </w:rPr>
        <w:t>COVID-19 case</w:t>
      </w:r>
      <w:r>
        <w:rPr>
          <w:rFonts w:ascii="Times New Roman" w:hAnsi="Times New Roman" w:cs="Times New Roman"/>
          <w:sz w:val="24"/>
          <w:szCs w:val="24"/>
        </w:rPr>
        <w:t xml:space="preserve">; these individuals should be </w:t>
      </w:r>
      <w:r w:rsidR="002D0A4C">
        <w:rPr>
          <w:rFonts w:ascii="Times New Roman" w:hAnsi="Times New Roman" w:cs="Times New Roman"/>
          <w:sz w:val="24"/>
          <w:szCs w:val="24"/>
        </w:rPr>
        <w:t>managed accordingly</w:t>
      </w:r>
    </w:p>
    <w:p w14:paraId="18F31563" w14:textId="5A6F6B8E" w:rsidR="0026762F" w:rsidRPr="005929BA" w:rsidRDefault="0026762F" w:rsidP="0026762F">
      <w:pPr>
        <w:pStyle w:val="ListParagraph"/>
        <w:numPr>
          <w:ilvl w:val="0"/>
          <w:numId w:val="17"/>
        </w:numPr>
        <w:autoSpaceDE w:val="0"/>
        <w:autoSpaceDN w:val="0"/>
        <w:adjustRightInd w:val="0"/>
        <w:rPr>
          <w:rFonts w:ascii="Times New Roman" w:hAnsi="Times New Roman" w:cs="Times New Roman"/>
          <w:sz w:val="24"/>
          <w:szCs w:val="24"/>
        </w:rPr>
      </w:pPr>
      <w:r w:rsidRPr="005929BA">
        <w:rPr>
          <w:rFonts w:ascii="Times New Roman" w:hAnsi="Times New Roman" w:cs="Times New Roman"/>
          <w:sz w:val="24"/>
          <w:szCs w:val="24"/>
        </w:rPr>
        <w:t xml:space="preserve">Those who test negative should be informed of their test result. Negative tests in asymptomatic individuals do not need to be confirmed by a PCR test. However, individuals should be counseled that if they develop </w:t>
      </w:r>
      <w:r w:rsidRPr="00235C9C">
        <w:rPr>
          <w:rFonts w:ascii="Times New Roman" w:hAnsi="Times New Roman" w:cs="Times New Roman"/>
          <w:b/>
          <w:bCs/>
          <w:sz w:val="24"/>
          <w:szCs w:val="24"/>
        </w:rPr>
        <w:t>any</w:t>
      </w:r>
      <w:r w:rsidRPr="005929BA">
        <w:rPr>
          <w:rFonts w:ascii="Times New Roman" w:hAnsi="Times New Roman" w:cs="Times New Roman"/>
          <w:sz w:val="24"/>
          <w:szCs w:val="24"/>
        </w:rPr>
        <w:t xml:space="preserve"> symptoms of COVID-19</w:t>
      </w:r>
      <w:r>
        <w:rPr>
          <w:rFonts w:ascii="Times New Roman" w:hAnsi="Times New Roman" w:cs="Times New Roman"/>
          <w:sz w:val="24"/>
          <w:szCs w:val="24"/>
        </w:rPr>
        <w:t xml:space="preserve"> within several days, </w:t>
      </w:r>
      <w:r w:rsidR="00472538">
        <w:rPr>
          <w:rFonts w:ascii="Times New Roman" w:hAnsi="Times New Roman" w:cs="Times New Roman"/>
          <w:sz w:val="24"/>
          <w:szCs w:val="24"/>
        </w:rPr>
        <w:t>they should be retested</w:t>
      </w:r>
      <w:r>
        <w:rPr>
          <w:rFonts w:ascii="Times New Roman" w:hAnsi="Times New Roman" w:cs="Times New Roman"/>
          <w:sz w:val="24"/>
          <w:szCs w:val="24"/>
        </w:rPr>
        <w:t>.</w:t>
      </w:r>
    </w:p>
    <w:p w14:paraId="40882C9D" w14:textId="77777777" w:rsidR="0026762F" w:rsidRDefault="0026762F" w:rsidP="0026762F">
      <w:pPr>
        <w:tabs>
          <w:tab w:val="left" w:pos="1380"/>
        </w:tabs>
        <w:autoSpaceDE w:val="0"/>
        <w:autoSpaceDN w:val="0"/>
        <w:adjustRightInd w:val="0"/>
      </w:pPr>
    </w:p>
    <w:p w14:paraId="43245EF9" w14:textId="7CB80D64" w:rsidR="0026762F" w:rsidRPr="005B0B40" w:rsidRDefault="003C5E6B" w:rsidP="0026762F">
      <w:pPr>
        <w:autoSpaceDE w:val="0"/>
        <w:autoSpaceDN w:val="0"/>
        <w:adjustRightInd w:val="0"/>
        <w:ind w:left="360"/>
        <w:rPr>
          <w:szCs w:val="24"/>
        </w:rPr>
      </w:pPr>
      <w:r>
        <w:rPr>
          <w:i/>
          <w:iCs/>
        </w:rPr>
        <w:t>Individuals</w:t>
      </w:r>
      <w:r w:rsidR="00F00007">
        <w:rPr>
          <w:i/>
          <w:iCs/>
        </w:rPr>
        <w:t xml:space="preserve"> </w:t>
      </w:r>
      <w:r w:rsidR="00F00007" w:rsidRPr="00F00007">
        <w:rPr>
          <w:i/>
          <w:iCs/>
          <w:u w:val="single"/>
        </w:rPr>
        <w:t>with symptoms</w:t>
      </w:r>
      <w:r w:rsidR="0026762F">
        <w:rPr>
          <w:i/>
          <w:iCs/>
        </w:rPr>
        <w:t xml:space="preserve"> testing in accordance with the Surveillance Testing Guidance</w:t>
      </w:r>
      <w:r w:rsidR="0026762F" w:rsidRPr="00153039">
        <w:rPr>
          <w:i/>
          <w:iCs/>
        </w:rPr>
        <w:t xml:space="preserve">: </w:t>
      </w:r>
      <w:r w:rsidR="0026762F">
        <w:t>staff and residents</w:t>
      </w:r>
      <w:r w:rsidR="0026762F" w:rsidRPr="00987811">
        <w:t xml:space="preserve"> </w:t>
      </w:r>
      <w:r w:rsidR="0026762F">
        <w:t xml:space="preserve">who have symptoms of an illness consistent with COVID-19 </w:t>
      </w:r>
      <w:r w:rsidR="0026762F">
        <w:rPr>
          <w:szCs w:val="24"/>
        </w:rPr>
        <w:t>may</w:t>
      </w:r>
      <w:r w:rsidR="0026762F" w:rsidRPr="005B0B40">
        <w:rPr>
          <w:szCs w:val="24"/>
        </w:rPr>
        <w:t xml:space="preserve"> be tested using the BinaxNOW test</w:t>
      </w:r>
      <w:r w:rsidR="0026762F">
        <w:rPr>
          <w:szCs w:val="24"/>
        </w:rPr>
        <w:t>:</w:t>
      </w:r>
    </w:p>
    <w:p w14:paraId="655C4B6C" w14:textId="77777777" w:rsidR="0026762F" w:rsidRDefault="0026762F" w:rsidP="0026762F">
      <w:pPr>
        <w:autoSpaceDE w:val="0"/>
        <w:autoSpaceDN w:val="0"/>
        <w:adjustRightInd w:val="0"/>
        <w:ind w:left="360" w:firstLine="360"/>
      </w:pPr>
    </w:p>
    <w:tbl>
      <w:tblPr>
        <w:tblStyle w:val="TableGrid"/>
        <w:tblW w:w="0" w:type="auto"/>
        <w:tblInd w:w="108" w:type="dxa"/>
        <w:tblLook w:val="04A0" w:firstRow="1" w:lastRow="0" w:firstColumn="1" w:lastColumn="0" w:noHBand="0" w:noVBand="1"/>
      </w:tblPr>
      <w:tblGrid>
        <w:gridCol w:w="9242"/>
      </w:tblGrid>
      <w:tr w:rsidR="0026762F" w:rsidRPr="00AE5888" w14:paraId="776AD1A6" w14:textId="77777777" w:rsidTr="009916DD">
        <w:tc>
          <w:tcPr>
            <w:tcW w:w="9612" w:type="dxa"/>
          </w:tcPr>
          <w:p w14:paraId="20C66DB1" w14:textId="77777777" w:rsidR="0026762F" w:rsidRPr="00AE5888" w:rsidRDefault="0026762F" w:rsidP="009916DD">
            <w:pPr>
              <w:keepNext/>
              <w:spacing w:before="80" w:after="40"/>
              <w:jc w:val="center"/>
              <w:outlineLvl w:val="7"/>
              <w:rPr>
                <w:sz w:val="22"/>
                <w:szCs w:val="22"/>
              </w:rPr>
            </w:pPr>
            <w:r w:rsidRPr="00AE5888">
              <w:rPr>
                <w:b/>
                <w:sz w:val="22"/>
                <w:szCs w:val="22"/>
                <w:u w:val="single"/>
              </w:rPr>
              <w:t>Symptoms consistent with COVID-19</w:t>
            </w:r>
          </w:p>
        </w:tc>
      </w:tr>
      <w:tr w:rsidR="0026762F" w:rsidRPr="00AE5888" w14:paraId="08B6A7FD" w14:textId="77777777" w:rsidTr="009916DD">
        <w:tc>
          <w:tcPr>
            <w:tcW w:w="9612" w:type="dxa"/>
          </w:tcPr>
          <w:p w14:paraId="57F9CFE7" w14:textId="77777777" w:rsidR="0026762F" w:rsidRPr="00AE5888" w:rsidRDefault="0026762F" w:rsidP="0026762F">
            <w:pPr>
              <w:numPr>
                <w:ilvl w:val="0"/>
                <w:numId w:val="20"/>
              </w:numPr>
              <w:spacing w:before="20" w:after="200" w:line="276" w:lineRule="auto"/>
              <w:contextualSpacing/>
              <w:rPr>
                <w:sz w:val="20"/>
              </w:rPr>
            </w:pPr>
            <w:r w:rsidRPr="00AE5888">
              <w:rPr>
                <w:sz w:val="20"/>
              </w:rPr>
              <w:t>Fever (100.0° Fahrenheit or higher), chills, or shaking chills</w:t>
            </w:r>
          </w:p>
          <w:p w14:paraId="25A9C1D6" w14:textId="77777777" w:rsidR="0026762F" w:rsidRPr="00AE5888" w:rsidRDefault="0026762F" w:rsidP="0026762F">
            <w:pPr>
              <w:numPr>
                <w:ilvl w:val="0"/>
                <w:numId w:val="20"/>
              </w:numPr>
              <w:spacing w:before="20" w:after="200" w:line="276" w:lineRule="auto"/>
              <w:contextualSpacing/>
              <w:rPr>
                <w:sz w:val="20"/>
              </w:rPr>
            </w:pPr>
            <w:r w:rsidRPr="00AE5888">
              <w:rPr>
                <w:sz w:val="20"/>
              </w:rPr>
              <w:t>Cough (not due to other known cause, such as chronic cough)</w:t>
            </w:r>
          </w:p>
          <w:p w14:paraId="7C7DFE50" w14:textId="77777777" w:rsidR="0026762F" w:rsidRPr="00AE5888" w:rsidRDefault="0026762F" w:rsidP="0026762F">
            <w:pPr>
              <w:numPr>
                <w:ilvl w:val="0"/>
                <w:numId w:val="20"/>
              </w:numPr>
              <w:spacing w:before="20" w:after="200" w:line="276" w:lineRule="auto"/>
              <w:contextualSpacing/>
              <w:rPr>
                <w:sz w:val="20"/>
              </w:rPr>
            </w:pPr>
            <w:r w:rsidRPr="00AE5888">
              <w:rPr>
                <w:sz w:val="20"/>
              </w:rPr>
              <w:t>Difficulty breathing or shortness of breath</w:t>
            </w:r>
          </w:p>
          <w:p w14:paraId="08923F86" w14:textId="77777777" w:rsidR="0026762F" w:rsidRPr="00AE5888" w:rsidRDefault="0026762F" w:rsidP="0026762F">
            <w:pPr>
              <w:numPr>
                <w:ilvl w:val="0"/>
                <w:numId w:val="20"/>
              </w:numPr>
              <w:spacing w:before="20" w:after="200" w:line="276" w:lineRule="auto"/>
              <w:contextualSpacing/>
              <w:rPr>
                <w:sz w:val="20"/>
              </w:rPr>
            </w:pPr>
            <w:r w:rsidRPr="00AE5888">
              <w:rPr>
                <w:sz w:val="20"/>
              </w:rPr>
              <w:t>New loss of taste or smell</w:t>
            </w:r>
          </w:p>
          <w:p w14:paraId="6D9B9FEA" w14:textId="77777777" w:rsidR="0026762F" w:rsidRPr="00AE5888" w:rsidRDefault="0026762F" w:rsidP="0026762F">
            <w:pPr>
              <w:numPr>
                <w:ilvl w:val="0"/>
                <w:numId w:val="20"/>
              </w:numPr>
              <w:spacing w:before="20" w:after="200" w:line="276" w:lineRule="auto"/>
              <w:contextualSpacing/>
              <w:rPr>
                <w:sz w:val="20"/>
              </w:rPr>
            </w:pPr>
            <w:r w:rsidRPr="00AE5888">
              <w:rPr>
                <w:sz w:val="20"/>
              </w:rPr>
              <w:t>Sore throat</w:t>
            </w:r>
          </w:p>
          <w:p w14:paraId="0652C29B" w14:textId="77777777" w:rsidR="0026762F" w:rsidRPr="00AE5888" w:rsidRDefault="0026762F" w:rsidP="0026762F">
            <w:pPr>
              <w:numPr>
                <w:ilvl w:val="0"/>
                <w:numId w:val="20"/>
              </w:numPr>
              <w:spacing w:before="20" w:after="200" w:line="276" w:lineRule="auto"/>
              <w:contextualSpacing/>
              <w:rPr>
                <w:sz w:val="20"/>
              </w:rPr>
            </w:pPr>
            <w:r w:rsidRPr="00AE5888">
              <w:rPr>
                <w:sz w:val="20"/>
              </w:rPr>
              <w:t>Headache</w:t>
            </w:r>
          </w:p>
          <w:p w14:paraId="30006BAF" w14:textId="77777777" w:rsidR="0026762F" w:rsidRPr="00AE5888" w:rsidRDefault="0026762F" w:rsidP="0026762F">
            <w:pPr>
              <w:numPr>
                <w:ilvl w:val="0"/>
                <w:numId w:val="20"/>
              </w:numPr>
              <w:spacing w:before="20" w:after="200" w:line="276" w:lineRule="auto"/>
              <w:contextualSpacing/>
              <w:rPr>
                <w:sz w:val="20"/>
              </w:rPr>
            </w:pPr>
            <w:r w:rsidRPr="00AE5888">
              <w:rPr>
                <w:sz w:val="20"/>
              </w:rPr>
              <w:t>Muscle aches or body aches</w:t>
            </w:r>
          </w:p>
          <w:p w14:paraId="1B2FD4F8" w14:textId="77777777" w:rsidR="0026762F" w:rsidRPr="00AE5888" w:rsidRDefault="0026762F" w:rsidP="0026762F">
            <w:pPr>
              <w:numPr>
                <w:ilvl w:val="0"/>
                <w:numId w:val="20"/>
              </w:numPr>
              <w:spacing w:before="20" w:after="200" w:line="276" w:lineRule="auto"/>
              <w:contextualSpacing/>
              <w:rPr>
                <w:sz w:val="20"/>
              </w:rPr>
            </w:pPr>
            <w:r w:rsidRPr="00AE5888">
              <w:rPr>
                <w:sz w:val="20"/>
              </w:rPr>
              <w:t>Nausea, vomiting, or diarrhea</w:t>
            </w:r>
          </w:p>
          <w:p w14:paraId="1509F102" w14:textId="77777777" w:rsidR="0026762F" w:rsidRPr="00AE5888" w:rsidRDefault="0026762F" w:rsidP="0026762F">
            <w:pPr>
              <w:numPr>
                <w:ilvl w:val="0"/>
                <w:numId w:val="20"/>
              </w:numPr>
              <w:spacing w:before="20" w:after="200" w:line="276" w:lineRule="auto"/>
              <w:contextualSpacing/>
              <w:rPr>
                <w:sz w:val="20"/>
              </w:rPr>
            </w:pPr>
            <w:r w:rsidRPr="00AE5888">
              <w:rPr>
                <w:sz w:val="20"/>
              </w:rPr>
              <w:t>Fatigue</w:t>
            </w:r>
          </w:p>
          <w:p w14:paraId="396F9512" w14:textId="77777777" w:rsidR="0026762F" w:rsidRPr="00AE5888" w:rsidRDefault="0026762F" w:rsidP="0026762F">
            <w:pPr>
              <w:numPr>
                <w:ilvl w:val="0"/>
                <w:numId w:val="20"/>
              </w:numPr>
              <w:spacing w:before="20" w:after="200" w:line="276" w:lineRule="auto"/>
              <w:contextualSpacing/>
              <w:rPr>
                <w:sz w:val="20"/>
              </w:rPr>
            </w:pPr>
            <w:r w:rsidRPr="00AE5888">
              <w:rPr>
                <w:sz w:val="20"/>
              </w:rPr>
              <w:t xml:space="preserve">Nasal congestion or runny nose </w:t>
            </w:r>
          </w:p>
        </w:tc>
      </w:tr>
    </w:tbl>
    <w:p w14:paraId="62573D38" w14:textId="77777777" w:rsidR="0026762F" w:rsidRDefault="0026762F" w:rsidP="0026762F">
      <w:pPr>
        <w:autoSpaceDE w:val="0"/>
        <w:autoSpaceDN w:val="0"/>
        <w:adjustRightInd w:val="0"/>
      </w:pPr>
    </w:p>
    <w:p w14:paraId="47D482E8" w14:textId="77777777" w:rsidR="0026762F" w:rsidRPr="005929BA" w:rsidRDefault="0026762F" w:rsidP="0026762F">
      <w:pPr>
        <w:pStyle w:val="ListParagraph"/>
        <w:numPr>
          <w:ilvl w:val="0"/>
          <w:numId w:val="17"/>
        </w:numPr>
        <w:autoSpaceDE w:val="0"/>
        <w:autoSpaceDN w:val="0"/>
        <w:adjustRightInd w:val="0"/>
        <w:rPr>
          <w:rFonts w:ascii="Times New Roman" w:hAnsi="Times New Roman" w:cs="Times New Roman"/>
          <w:sz w:val="24"/>
          <w:szCs w:val="24"/>
        </w:rPr>
      </w:pPr>
      <w:r w:rsidRPr="005B0B40">
        <w:rPr>
          <w:rFonts w:ascii="Times New Roman" w:hAnsi="Times New Roman" w:cs="Times New Roman"/>
          <w:sz w:val="24"/>
          <w:szCs w:val="24"/>
        </w:rPr>
        <w:t xml:space="preserve">Those who test positive should be treated as a </w:t>
      </w:r>
      <w:r>
        <w:rPr>
          <w:rFonts w:ascii="Times New Roman" w:hAnsi="Times New Roman" w:cs="Times New Roman"/>
          <w:sz w:val="24"/>
          <w:szCs w:val="24"/>
        </w:rPr>
        <w:t xml:space="preserve">positive </w:t>
      </w:r>
      <w:r w:rsidRPr="005B0B40">
        <w:rPr>
          <w:rFonts w:ascii="Times New Roman" w:hAnsi="Times New Roman" w:cs="Times New Roman"/>
          <w:sz w:val="24"/>
          <w:szCs w:val="24"/>
        </w:rPr>
        <w:t>COVID-19 cas</w:t>
      </w:r>
      <w:r>
        <w:rPr>
          <w:rFonts w:ascii="Times New Roman" w:hAnsi="Times New Roman" w:cs="Times New Roman"/>
          <w:sz w:val="24"/>
          <w:szCs w:val="24"/>
        </w:rPr>
        <w:t xml:space="preserve">e; </w:t>
      </w:r>
      <w:r w:rsidRPr="005B0B40">
        <w:rPr>
          <w:rFonts w:ascii="Times New Roman" w:hAnsi="Times New Roman" w:cs="Times New Roman"/>
          <w:sz w:val="24"/>
          <w:szCs w:val="24"/>
        </w:rPr>
        <w:t xml:space="preserve"> </w:t>
      </w:r>
    </w:p>
    <w:p w14:paraId="3EAED7E5" w14:textId="378382F7" w:rsidR="0026762F" w:rsidRPr="002C4703" w:rsidRDefault="00472538" w:rsidP="002C4703">
      <w:pPr>
        <w:pStyle w:val="ListParagraph"/>
        <w:numPr>
          <w:ilvl w:val="0"/>
          <w:numId w:val="17"/>
        </w:numPr>
        <w:rPr>
          <w:rFonts w:ascii="Times New Roman" w:hAnsi="Times New Roman" w:cs="Times New Roman"/>
          <w:color w:val="000000"/>
          <w:sz w:val="24"/>
          <w:szCs w:val="24"/>
        </w:rPr>
      </w:pPr>
      <w:r w:rsidRPr="00472538">
        <w:rPr>
          <w:rFonts w:ascii="Times New Roman" w:hAnsi="Times New Roman" w:cs="Times New Roman"/>
          <w:color w:val="000000"/>
          <w:sz w:val="24"/>
          <w:szCs w:val="24"/>
        </w:rPr>
        <w:t>Those who test negative should be informed that the negative test is presumptive and the facility should follow up with the individual’s provider and order a repeat test for COVID-19</w:t>
      </w:r>
      <w:r w:rsidR="004D27A4">
        <w:rPr>
          <w:rStyle w:val="FootnoteReference"/>
          <w:rFonts w:ascii="Times New Roman" w:hAnsi="Times New Roman" w:cs="Times New Roman"/>
          <w:color w:val="000000"/>
          <w:sz w:val="24"/>
          <w:szCs w:val="24"/>
        </w:rPr>
        <w:footnoteReference w:id="1"/>
      </w:r>
      <w:r w:rsidR="0026762F" w:rsidRPr="002C4703">
        <w:rPr>
          <w:color w:val="000000"/>
          <w:szCs w:val="24"/>
        </w:rPr>
        <w:t>);</w:t>
      </w:r>
    </w:p>
    <w:p w14:paraId="549D4F52" w14:textId="77777777" w:rsidR="0026762F" w:rsidRPr="000E5D29" w:rsidRDefault="0026762F" w:rsidP="0026762F">
      <w:pPr>
        <w:pStyle w:val="ListParagraph"/>
        <w:numPr>
          <w:ilvl w:val="0"/>
          <w:numId w:val="17"/>
        </w:numPr>
        <w:rPr>
          <w:rFonts w:ascii="Times New Roman" w:hAnsi="Times New Roman" w:cs="Times New Roman"/>
          <w:color w:val="000000"/>
          <w:sz w:val="24"/>
          <w:szCs w:val="24"/>
        </w:rPr>
      </w:pPr>
      <w:r w:rsidRPr="000E5D29">
        <w:rPr>
          <w:rFonts w:ascii="Times New Roman" w:hAnsi="Times New Roman" w:cs="Times New Roman"/>
          <w:color w:val="000000"/>
          <w:sz w:val="24"/>
          <w:szCs w:val="24"/>
        </w:rPr>
        <w:t>Limited data on the ability of a negative BinaxNOW test to exclude COVID-19 in children 18 and under are available. Clinicians may choose to follow-up negative BinaxNOW tests in symptomatic children with a PCR.</w:t>
      </w:r>
    </w:p>
    <w:p w14:paraId="31F8E28B" w14:textId="77777777" w:rsidR="0026762F" w:rsidRPr="00D67A6F" w:rsidRDefault="0026762F" w:rsidP="0026762F">
      <w:pPr>
        <w:ind w:left="1140"/>
        <w:contextualSpacing/>
        <w:rPr>
          <w:color w:val="000000"/>
          <w:szCs w:val="24"/>
        </w:rPr>
      </w:pPr>
    </w:p>
    <w:p w14:paraId="3417BB99" w14:textId="1F93D62B" w:rsidR="0026762F" w:rsidRDefault="0026762F" w:rsidP="0026762F">
      <w:pPr>
        <w:autoSpaceDE w:val="0"/>
        <w:autoSpaceDN w:val="0"/>
        <w:adjustRightInd w:val="0"/>
        <w:ind w:left="720"/>
      </w:pPr>
      <w:r w:rsidRPr="00AE5888">
        <w:rPr>
          <w:i/>
          <w:iCs/>
        </w:rPr>
        <w:t xml:space="preserve">PCR test confirmation for </w:t>
      </w:r>
      <w:r>
        <w:rPr>
          <w:i/>
          <w:iCs/>
        </w:rPr>
        <w:t xml:space="preserve">patients and community members:  </w:t>
      </w:r>
      <w:r w:rsidR="00472538" w:rsidRPr="00472538">
        <w:rPr>
          <w:i/>
          <w:iCs/>
        </w:rPr>
        <w:t xml:space="preserve">Unless there are extenuating clinical circumstances (i.e. a resident has a negative antigen test but is symptomatic), a molecular or PCR test is not needed.  </w:t>
      </w:r>
      <w:r w:rsidR="00472538">
        <w:rPr>
          <w:iCs/>
        </w:rPr>
        <w:t>T</w:t>
      </w:r>
      <w:r>
        <w:t>he result of a PCR test taken within 2 days of an antigen test will “override” the result of the antigen test in situations where the test results are different. Antigen positive individuals should not routinely try to get a PCR test in the hope of testing negative.</w:t>
      </w:r>
    </w:p>
    <w:p w14:paraId="0D84B2E7" w14:textId="171980E2" w:rsidR="0026762F" w:rsidRPr="0026762F" w:rsidRDefault="0026762F" w:rsidP="0026762F">
      <w:pPr>
        <w:pStyle w:val="Heading1"/>
        <w:keepLines/>
        <w:widowControl/>
        <w:tabs>
          <w:tab w:val="clear" w:pos="4680"/>
        </w:tabs>
        <w:spacing w:before="240"/>
        <w:jc w:val="left"/>
        <w:rPr>
          <w:rFonts w:eastAsia="@Batang"/>
          <w:bCs/>
          <w:snapToGrid/>
          <w:szCs w:val="24"/>
          <w:u w:val="single"/>
        </w:rPr>
      </w:pPr>
      <w:r w:rsidRPr="0026762F">
        <w:rPr>
          <w:rFonts w:eastAsia="@Batang"/>
          <w:bCs/>
          <w:snapToGrid/>
          <w:szCs w:val="24"/>
          <w:u w:val="single"/>
        </w:rPr>
        <w:lastRenderedPageBreak/>
        <w:t>Temperature Controls for BinaxN</w:t>
      </w:r>
      <w:r>
        <w:rPr>
          <w:rFonts w:eastAsia="@Batang"/>
          <w:bCs/>
          <w:snapToGrid/>
          <w:szCs w:val="24"/>
          <w:u w:val="single"/>
        </w:rPr>
        <w:t>OW</w:t>
      </w:r>
      <w:r w:rsidRPr="0026762F">
        <w:rPr>
          <w:rFonts w:eastAsia="@Batang"/>
          <w:bCs/>
          <w:snapToGrid/>
          <w:szCs w:val="24"/>
          <w:u w:val="single"/>
        </w:rPr>
        <w:t xml:space="preserve"> test kits</w:t>
      </w:r>
    </w:p>
    <w:p w14:paraId="36D004FC" w14:textId="77777777" w:rsidR="0026762F" w:rsidRPr="00A939C7" w:rsidRDefault="0026762F" w:rsidP="0026762F"/>
    <w:p w14:paraId="7E74F10B" w14:textId="3FB4AEFE" w:rsidR="0072105B" w:rsidRDefault="0026762F" w:rsidP="0072105B">
      <w:pPr>
        <w:tabs>
          <w:tab w:val="left" w:pos="1380"/>
        </w:tabs>
        <w:autoSpaceDE w:val="0"/>
        <w:autoSpaceDN w:val="0"/>
        <w:adjustRightInd w:val="0"/>
      </w:pPr>
      <w:r w:rsidRPr="00A939C7">
        <w:t xml:space="preserve">In accordance with the BinaxNOW COVID-19 Ag Card test’s instructions for use (IFU), test kits must be stored at temperatures between 2 and 30°C (35.6 - 86°F). </w:t>
      </w:r>
      <w:r w:rsidRPr="001356A3">
        <w:t>The IFU states to ensure that the test components (Antigen card and buffer) are at room temperature (59 and 86°F) during performance of the test</w:t>
      </w:r>
      <w:r w:rsidRPr="00A939C7">
        <w:t>.  DPH requires the room temperature to be recorded upon test administration.</w:t>
      </w:r>
      <w:r>
        <w:t xml:space="preserve"> </w:t>
      </w:r>
      <w:r w:rsidRPr="00A939C7">
        <w:t>Data obtained by DPH indicates that the test’s accuracy is significantly reduced when used outside of this temperature range.</w:t>
      </w:r>
    </w:p>
    <w:p w14:paraId="2AFFF424" w14:textId="5D373FEC" w:rsidR="009B21B1" w:rsidRPr="0026762F" w:rsidRDefault="009B21B1" w:rsidP="0026762F">
      <w:pPr>
        <w:pStyle w:val="Heading1"/>
        <w:keepLines/>
        <w:widowControl/>
        <w:tabs>
          <w:tab w:val="clear" w:pos="4680"/>
        </w:tabs>
        <w:spacing w:before="240"/>
        <w:jc w:val="left"/>
        <w:rPr>
          <w:rFonts w:eastAsia="@Batang"/>
          <w:bCs/>
          <w:snapToGrid/>
          <w:szCs w:val="24"/>
          <w:u w:val="single"/>
        </w:rPr>
      </w:pPr>
      <w:r w:rsidRPr="0026762F">
        <w:rPr>
          <w:rFonts w:eastAsia="@Batang"/>
          <w:bCs/>
          <w:snapToGrid/>
          <w:szCs w:val="24"/>
          <w:u w:val="single"/>
        </w:rPr>
        <w:t>Requirements</w:t>
      </w:r>
      <w:r w:rsidR="00745B4C" w:rsidRPr="0026762F">
        <w:rPr>
          <w:rFonts w:eastAsia="@Batang"/>
          <w:bCs/>
          <w:snapToGrid/>
          <w:szCs w:val="24"/>
          <w:u w:val="single"/>
        </w:rPr>
        <w:t xml:space="preserve"> to receive BinaxNOW tests</w:t>
      </w:r>
      <w:r w:rsidRPr="0026762F">
        <w:rPr>
          <w:rFonts w:eastAsia="@Batang"/>
          <w:bCs/>
          <w:snapToGrid/>
          <w:szCs w:val="24"/>
          <w:u w:val="single"/>
        </w:rPr>
        <w:t>:</w:t>
      </w:r>
    </w:p>
    <w:p w14:paraId="3845E05F" w14:textId="2C9ED80B" w:rsidR="009B21B1" w:rsidRPr="009B21B1" w:rsidRDefault="00745B4C" w:rsidP="00F00007">
      <w:pPr>
        <w:widowControl/>
        <w:spacing w:line="259" w:lineRule="auto"/>
        <w:rPr>
          <w:rFonts w:eastAsia="Calibri"/>
          <w:szCs w:val="24"/>
        </w:rPr>
      </w:pPr>
      <w:r>
        <w:rPr>
          <w:rFonts w:eastAsia="Calibri"/>
          <w:szCs w:val="24"/>
        </w:rPr>
        <w:t xml:space="preserve">Organizations electing to receive Abbott BinaxNOW tests </w:t>
      </w:r>
      <w:r w:rsidR="009B21B1" w:rsidRPr="009B21B1">
        <w:rPr>
          <w:rFonts w:eastAsia="Calibri"/>
          <w:szCs w:val="24"/>
        </w:rPr>
        <w:t xml:space="preserve">must complete all </w:t>
      </w:r>
      <w:r w:rsidR="00A244CC">
        <w:rPr>
          <w:rFonts w:eastAsia="Calibri"/>
          <w:szCs w:val="24"/>
        </w:rPr>
        <w:t>five</w:t>
      </w:r>
      <w:r w:rsidR="009B21B1" w:rsidRPr="009B21B1">
        <w:rPr>
          <w:rFonts w:eastAsia="Calibri"/>
          <w:szCs w:val="24"/>
        </w:rPr>
        <w:t xml:space="preserve"> of the following requirements in order to receive approval from </w:t>
      </w:r>
      <w:r>
        <w:rPr>
          <w:rFonts w:eastAsia="Calibri"/>
          <w:szCs w:val="24"/>
        </w:rPr>
        <w:t xml:space="preserve">EOHHS </w:t>
      </w:r>
      <w:r w:rsidR="009B21B1" w:rsidRPr="009B21B1">
        <w:rPr>
          <w:rFonts w:eastAsia="Calibri"/>
          <w:szCs w:val="24"/>
        </w:rPr>
        <w:t xml:space="preserve">for their distribution of Abbott BinaxNOW test kits. </w:t>
      </w:r>
    </w:p>
    <w:p w14:paraId="5FA89E66" w14:textId="77777777" w:rsidR="009B21B1" w:rsidRPr="009B21B1" w:rsidRDefault="009B21B1" w:rsidP="00F00007">
      <w:pPr>
        <w:widowControl/>
        <w:numPr>
          <w:ilvl w:val="0"/>
          <w:numId w:val="15"/>
        </w:numPr>
        <w:shd w:val="clear" w:color="auto" w:fill="FFFFFF"/>
        <w:spacing w:line="259" w:lineRule="auto"/>
        <w:rPr>
          <w:snapToGrid/>
          <w:color w:val="000000"/>
          <w:szCs w:val="24"/>
        </w:rPr>
      </w:pPr>
      <w:r w:rsidRPr="009B21B1">
        <w:rPr>
          <w:snapToGrid/>
          <w:color w:val="000000"/>
          <w:szCs w:val="24"/>
        </w:rPr>
        <w:t>Obtain an approved CLIA certificate of waiver</w:t>
      </w:r>
    </w:p>
    <w:p w14:paraId="62D197E1" w14:textId="058BED37" w:rsidR="009B21B1" w:rsidRPr="009B21B1" w:rsidRDefault="009B21B1" w:rsidP="00F00007">
      <w:pPr>
        <w:widowControl/>
        <w:numPr>
          <w:ilvl w:val="0"/>
          <w:numId w:val="15"/>
        </w:numPr>
        <w:shd w:val="clear" w:color="auto" w:fill="FFFFFF"/>
        <w:spacing w:line="259" w:lineRule="auto"/>
        <w:rPr>
          <w:snapToGrid/>
          <w:color w:val="000000"/>
          <w:szCs w:val="24"/>
        </w:rPr>
      </w:pPr>
      <w:r w:rsidRPr="009B21B1">
        <w:rPr>
          <w:snapToGrid/>
          <w:color w:val="000000"/>
          <w:szCs w:val="24"/>
        </w:rPr>
        <w:t xml:space="preserve">Secure a signed </w:t>
      </w:r>
      <w:r w:rsidR="00472538">
        <w:rPr>
          <w:snapToGrid/>
          <w:color w:val="000000"/>
          <w:szCs w:val="24"/>
        </w:rPr>
        <w:t>provider</w:t>
      </w:r>
      <w:r w:rsidR="00472538" w:rsidRPr="009B21B1">
        <w:rPr>
          <w:snapToGrid/>
          <w:color w:val="000000"/>
          <w:szCs w:val="24"/>
        </w:rPr>
        <w:t xml:space="preserve"> </w:t>
      </w:r>
      <w:r w:rsidRPr="009B21B1">
        <w:rPr>
          <w:snapToGrid/>
          <w:color w:val="000000"/>
          <w:szCs w:val="24"/>
        </w:rPr>
        <w:t>order for testing</w:t>
      </w:r>
    </w:p>
    <w:p w14:paraId="1DBC7100" w14:textId="77777777" w:rsidR="009B21B1" w:rsidRPr="009B21B1" w:rsidRDefault="009B21B1" w:rsidP="00F00007">
      <w:pPr>
        <w:widowControl/>
        <w:numPr>
          <w:ilvl w:val="0"/>
          <w:numId w:val="15"/>
        </w:numPr>
        <w:shd w:val="clear" w:color="auto" w:fill="FFFFFF"/>
        <w:spacing w:line="259" w:lineRule="auto"/>
        <w:rPr>
          <w:snapToGrid/>
          <w:color w:val="000000"/>
          <w:szCs w:val="24"/>
        </w:rPr>
      </w:pPr>
      <w:r w:rsidRPr="009B21B1">
        <w:rPr>
          <w:snapToGrid/>
          <w:color w:val="000000"/>
          <w:szCs w:val="24"/>
        </w:rPr>
        <w:t>Confirm ability to maintain an adequate supply of PPE</w:t>
      </w:r>
    </w:p>
    <w:p w14:paraId="6147D3CE" w14:textId="77777777" w:rsidR="009B21B1" w:rsidRPr="009B21B1" w:rsidRDefault="009B21B1" w:rsidP="00F00007">
      <w:pPr>
        <w:widowControl/>
        <w:numPr>
          <w:ilvl w:val="0"/>
          <w:numId w:val="15"/>
        </w:numPr>
        <w:shd w:val="clear" w:color="auto" w:fill="FFFFFF"/>
        <w:spacing w:line="259" w:lineRule="auto"/>
        <w:rPr>
          <w:snapToGrid/>
          <w:color w:val="000000"/>
          <w:szCs w:val="24"/>
        </w:rPr>
      </w:pPr>
      <w:r w:rsidRPr="009B21B1">
        <w:rPr>
          <w:snapToGrid/>
          <w:color w:val="000000"/>
          <w:szCs w:val="24"/>
        </w:rPr>
        <w:t>Ensure all testing staff meet training requirements</w:t>
      </w:r>
    </w:p>
    <w:p w14:paraId="50417674" w14:textId="19B34155" w:rsidR="009B21B1" w:rsidRDefault="009B21B1" w:rsidP="00F00007">
      <w:pPr>
        <w:widowControl/>
        <w:numPr>
          <w:ilvl w:val="0"/>
          <w:numId w:val="15"/>
        </w:numPr>
        <w:shd w:val="clear" w:color="auto" w:fill="FFFFFF"/>
        <w:spacing w:line="259" w:lineRule="auto"/>
        <w:rPr>
          <w:snapToGrid/>
          <w:color w:val="000000"/>
          <w:szCs w:val="24"/>
        </w:rPr>
      </w:pPr>
      <w:r w:rsidRPr="009B21B1">
        <w:rPr>
          <w:snapToGrid/>
          <w:color w:val="000000"/>
          <w:szCs w:val="24"/>
        </w:rPr>
        <w:t>Verify ability to complete DPH reporting requirements</w:t>
      </w:r>
    </w:p>
    <w:p w14:paraId="0CDE1527" w14:textId="77777777" w:rsidR="00F00007" w:rsidRPr="009B21B1" w:rsidRDefault="00F00007" w:rsidP="00F00007">
      <w:pPr>
        <w:widowControl/>
        <w:shd w:val="clear" w:color="auto" w:fill="FFFFFF"/>
        <w:spacing w:line="259" w:lineRule="auto"/>
        <w:ind w:left="720"/>
        <w:rPr>
          <w:snapToGrid/>
          <w:color w:val="000000"/>
          <w:szCs w:val="24"/>
        </w:rPr>
      </w:pPr>
    </w:p>
    <w:p w14:paraId="54B29580" w14:textId="55A9BAD3" w:rsidR="009B21B1" w:rsidRPr="009B21B1" w:rsidRDefault="009B21B1" w:rsidP="009B21B1">
      <w:pPr>
        <w:widowControl/>
        <w:spacing w:line="259" w:lineRule="auto"/>
        <w:rPr>
          <w:rFonts w:eastAsia="Calibri"/>
          <w:szCs w:val="24"/>
        </w:rPr>
      </w:pPr>
      <w:r w:rsidRPr="009B21B1">
        <w:rPr>
          <w:rFonts w:eastAsia="Calibri"/>
          <w:szCs w:val="24"/>
        </w:rPr>
        <w:t>Additional information about each requirement and how that requirement may be met is provided below</w:t>
      </w:r>
      <w:r w:rsidR="0072105B">
        <w:rPr>
          <w:rFonts w:eastAsia="Calibri"/>
          <w:szCs w:val="24"/>
        </w:rPr>
        <w:t xml:space="preserve"> in </w:t>
      </w:r>
      <w:hyperlink w:anchor="_Appendix_A:_Requirements" w:history="1">
        <w:r w:rsidR="0072105B" w:rsidRPr="00540BB8">
          <w:rPr>
            <w:rStyle w:val="Hyperlink"/>
            <w:rFonts w:eastAsia="Calibri"/>
            <w:szCs w:val="24"/>
          </w:rPr>
          <w:t>Appendix A: Requirements for Residential Congregate Care Providers</w:t>
        </w:r>
      </w:hyperlink>
      <w:r w:rsidR="00540BB8">
        <w:rPr>
          <w:rFonts w:eastAsia="Calibri"/>
          <w:szCs w:val="24"/>
        </w:rPr>
        <w:t xml:space="preserve">. </w:t>
      </w:r>
      <w:r w:rsidR="00A244CC">
        <w:rPr>
          <w:rFonts w:eastAsia="Calibri"/>
          <w:szCs w:val="24"/>
        </w:rPr>
        <w:t xml:space="preserve">Once complete, organizations should complete </w:t>
      </w:r>
      <w:hyperlink r:id="rId22" w:history="1">
        <w:r w:rsidR="00A244CC" w:rsidRPr="006366CA">
          <w:rPr>
            <w:rStyle w:val="Hyperlink"/>
            <w:rFonts w:eastAsia="Calibri"/>
            <w:szCs w:val="24"/>
          </w:rPr>
          <w:t>Online Readiness Review Checklist</w:t>
        </w:r>
      </w:hyperlink>
      <w:r w:rsidR="00A244CC">
        <w:rPr>
          <w:rFonts w:eastAsia="Calibri"/>
          <w:szCs w:val="24"/>
        </w:rPr>
        <w:t>.</w:t>
      </w:r>
    </w:p>
    <w:p w14:paraId="618AC3E5" w14:textId="5E4BC751" w:rsidR="0072105B" w:rsidRDefault="009B21B1" w:rsidP="0072105B">
      <w:pPr>
        <w:pStyle w:val="Heading1"/>
        <w:keepLines/>
        <w:widowControl/>
        <w:tabs>
          <w:tab w:val="clear" w:pos="4680"/>
        </w:tabs>
        <w:spacing w:before="240"/>
        <w:jc w:val="left"/>
        <w:rPr>
          <w:rFonts w:eastAsia="@Batang"/>
          <w:bCs/>
          <w:snapToGrid/>
          <w:szCs w:val="24"/>
          <w:u w:val="single"/>
        </w:rPr>
      </w:pPr>
      <w:r w:rsidRPr="0072105B">
        <w:rPr>
          <w:rFonts w:eastAsia="@Batang"/>
          <w:bCs/>
          <w:snapToGrid/>
          <w:szCs w:val="24"/>
          <w:u w:val="single"/>
        </w:rPr>
        <w:t xml:space="preserve">Distribution </w:t>
      </w:r>
      <w:r w:rsidR="0072105B">
        <w:rPr>
          <w:rFonts w:eastAsia="@Batang"/>
          <w:bCs/>
          <w:snapToGrid/>
          <w:szCs w:val="24"/>
          <w:u w:val="single"/>
        </w:rPr>
        <w:t>P</w:t>
      </w:r>
      <w:r w:rsidRPr="0072105B">
        <w:rPr>
          <w:rFonts w:eastAsia="@Batang"/>
          <w:bCs/>
          <w:snapToGrid/>
          <w:szCs w:val="24"/>
          <w:u w:val="single"/>
        </w:rPr>
        <w:t xml:space="preserve">rocess: </w:t>
      </w:r>
    </w:p>
    <w:p w14:paraId="67E7A931" w14:textId="7280E7B7" w:rsidR="009B21B1" w:rsidRDefault="009B21B1" w:rsidP="009B21B1">
      <w:pPr>
        <w:widowControl/>
        <w:spacing w:line="259" w:lineRule="auto"/>
        <w:rPr>
          <w:rFonts w:eastAsia="Calibri"/>
          <w:szCs w:val="24"/>
        </w:rPr>
      </w:pPr>
      <w:r w:rsidRPr="009B21B1">
        <w:rPr>
          <w:rFonts w:eastAsia="Calibri"/>
          <w:szCs w:val="24"/>
        </w:rPr>
        <w:t xml:space="preserve">Each </w:t>
      </w:r>
      <w:r w:rsidR="00745B4C">
        <w:rPr>
          <w:rFonts w:eastAsia="Calibri"/>
          <w:szCs w:val="24"/>
        </w:rPr>
        <w:t xml:space="preserve">organization electing to receive BinaxNOW tests </w:t>
      </w:r>
      <w:r w:rsidRPr="009B21B1">
        <w:rPr>
          <w:rFonts w:eastAsia="Calibri"/>
          <w:szCs w:val="24"/>
        </w:rPr>
        <w:t>must complete the</w:t>
      </w:r>
      <w:r w:rsidR="00A244CC">
        <w:rPr>
          <w:rFonts w:eastAsia="Calibri"/>
          <w:szCs w:val="24"/>
        </w:rPr>
        <w:t xml:space="preserve"> </w:t>
      </w:r>
      <w:hyperlink r:id="rId23" w:history="1">
        <w:r w:rsidR="00A244CC" w:rsidRPr="006366CA">
          <w:rPr>
            <w:rStyle w:val="Hyperlink"/>
            <w:rFonts w:eastAsia="Calibri"/>
            <w:szCs w:val="24"/>
          </w:rPr>
          <w:t>Online</w:t>
        </w:r>
        <w:r w:rsidRPr="006366CA">
          <w:rPr>
            <w:rStyle w:val="Hyperlink"/>
            <w:rFonts w:eastAsia="Calibri"/>
            <w:szCs w:val="24"/>
          </w:rPr>
          <w:t xml:space="preserve"> Readiness Review Checklist</w:t>
        </w:r>
      </w:hyperlink>
      <w:r w:rsidRPr="009B21B1">
        <w:rPr>
          <w:rFonts w:eastAsia="Calibri"/>
          <w:szCs w:val="24"/>
        </w:rPr>
        <w:t xml:space="preserve"> </w:t>
      </w:r>
      <w:r w:rsidR="00150BE5">
        <w:rPr>
          <w:rFonts w:eastAsia="Calibri"/>
          <w:szCs w:val="24"/>
        </w:rPr>
        <w:t xml:space="preserve">in order to </w:t>
      </w:r>
      <w:r w:rsidRPr="009B21B1">
        <w:rPr>
          <w:rFonts w:eastAsia="Calibri"/>
          <w:szCs w:val="24"/>
        </w:rPr>
        <w:t>certif</w:t>
      </w:r>
      <w:r w:rsidR="00150BE5">
        <w:rPr>
          <w:rFonts w:eastAsia="Calibri"/>
          <w:szCs w:val="24"/>
        </w:rPr>
        <w:t>y</w:t>
      </w:r>
      <w:r w:rsidRPr="009B21B1">
        <w:rPr>
          <w:rFonts w:eastAsia="Calibri"/>
          <w:szCs w:val="24"/>
        </w:rPr>
        <w:t xml:space="preserve"> that all the requirements</w:t>
      </w:r>
      <w:r w:rsidR="007352A5">
        <w:rPr>
          <w:rFonts w:eastAsia="Calibri"/>
          <w:szCs w:val="24"/>
        </w:rPr>
        <w:t xml:space="preserve"> have been completed</w:t>
      </w:r>
      <w:r w:rsidRPr="009B21B1">
        <w:rPr>
          <w:rFonts w:eastAsia="Calibri"/>
          <w:szCs w:val="24"/>
        </w:rPr>
        <w:t xml:space="preserve">. </w:t>
      </w:r>
      <w:r w:rsidR="00A244CC">
        <w:rPr>
          <w:rFonts w:eastAsia="Calibri"/>
          <w:szCs w:val="24"/>
        </w:rPr>
        <w:t xml:space="preserve">Once </w:t>
      </w:r>
      <w:r w:rsidR="007352A5">
        <w:rPr>
          <w:rFonts w:eastAsia="Calibri"/>
          <w:szCs w:val="24"/>
        </w:rPr>
        <w:t>submitted</w:t>
      </w:r>
      <w:r w:rsidR="00A244CC">
        <w:rPr>
          <w:rFonts w:eastAsia="Calibri"/>
          <w:szCs w:val="24"/>
        </w:rPr>
        <w:t>, the</w:t>
      </w:r>
      <w:r w:rsidRPr="009B21B1">
        <w:rPr>
          <w:rFonts w:eastAsia="Calibri"/>
          <w:szCs w:val="24"/>
        </w:rPr>
        <w:t xml:space="preserve"> </w:t>
      </w:r>
      <w:r w:rsidR="00745B4C">
        <w:rPr>
          <w:rFonts w:eastAsia="Calibri"/>
          <w:szCs w:val="24"/>
        </w:rPr>
        <w:t>organization</w:t>
      </w:r>
      <w:r w:rsidRPr="009B21B1">
        <w:rPr>
          <w:rFonts w:eastAsia="Calibri"/>
          <w:szCs w:val="24"/>
        </w:rPr>
        <w:t xml:space="preserve"> will then </w:t>
      </w:r>
      <w:r w:rsidR="00150BE5" w:rsidRPr="009B21B1">
        <w:rPr>
          <w:rFonts w:eastAsia="Calibri"/>
          <w:szCs w:val="24"/>
        </w:rPr>
        <w:t>be directed</w:t>
      </w:r>
      <w:r w:rsidRPr="009B21B1">
        <w:rPr>
          <w:rFonts w:eastAsia="Calibri"/>
          <w:szCs w:val="24"/>
        </w:rPr>
        <w:t xml:space="preserve"> to coordinate with DPH to schedule a delivery of test kits</w:t>
      </w:r>
      <w:r w:rsidR="00A244CC">
        <w:rPr>
          <w:rFonts w:eastAsia="Calibri"/>
          <w:szCs w:val="24"/>
        </w:rPr>
        <w:t xml:space="preserve">. Deliveries will be made to a </w:t>
      </w:r>
      <w:r w:rsidR="00A244CC" w:rsidRPr="00150BE5">
        <w:rPr>
          <w:rFonts w:eastAsia="Calibri"/>
          <w:b/>
          <w:bCs/>
          <w:szCs w:val="24"/>
        </w:rPr>
        <w:t>single location specified by the organization</w:t>
      </w:r>
      <w:r w:rsidR="00A244CC">
        <w:rPr>
          <w:rFonts w:eastAsia="Calibri"/>
          <w:szCs w:val="24"/>
        </w:rPr>
        <w:t>; organizations operating multiple sites will not be able to designate multiple delivery addresses.</w:t>
      </w:r>
    </w:p>
    <w:p w14:paraId="22EBF3C5" w14:textId="77777777" w:rsidR="0026762F" w:rsidRDefault="0026762F" w:rsidP="0026762F">
      <w:pPr>
        <w:widowControl/>
        <w:spacing w:line="259" w:lineRule="auto"/>
        <w:rPr>
          <w:snapToGrid/>
          <w:szCs w:val="24"/>
        </w:rPr>
      </w:pPr>
    </w:p>
    <w:p w14:paraId="065B8461" w14:textId="0FA08E62" w:rsidR="0072105B" w:rsidRDefault="0026762F" w:rsidP="009548EB">
      <w:pPr>
        <w:widowControl/>
        <w:spacing w:line="259" w:lineRule="auto"/>
      </w:pPr>
      <w:r>
        <w:rPr>
          <w:snapToGrid/>
          <w:szCs w:val="24"/>
        </w:rPr>
        <w:t xml:space="preserve">Organizations which elect to receive BinaxNOW test kits will receive a fixed supply of test kits based on the number of staff and residents served in the Covered Programs it operates. </w:t>
      </w:r>
      <w:r>
        <w:rPr>
          <w:rFonts w:eastAsia="@Batang"/>
          <w:snapToGrid/>
          <w:szCs w:val="24"/>
        </w:rPr>
        <w:t xml:space="preserve">Organizations should note that the number of BinaxNOW tests received may not be </w:t>
      </w:r>
      <w:r w:rsidR="002D7FC0">
        <w:rPr>
          <w:rFonts w:eastAsia="@Batang"/>
          <w:snapToGrid/>
          <w:szCs w:val="24"/>
        </w:rPr>
        <w:t>enough</w:t>
      </w:r>
      <w:r>
        <w:rPr>
          <w:rFonts w:eastAsia="@Batang"/>
          <w:snapToGrid/>
          <w:szCs w:val="24"/>
        </w:rPr>
        <w:t xml:space="preserve"> to perform multiple rounds of testing in response to new positive cases. </w:t>
      </w:r>
      <w:r>
        <w:t xml:space="preserve">Insurance is required to cover testing that is deemed medically necessary, as defined in </w:t>
      </w:r>
      <w:hyperlink r:id="rId24" w:history="1">
        <w:r w:rsidRPr="009E673A">
          <w:rPr>
            <w:rStyle w:val="Hyperlink"/>
          </w:rPr>
          <w:t>DOI guidance</w:t>
        </w:r>
      </w:hyperlink>
      <w:r>
        <w:t>. This includes close contacts of confirmed or clinically diagnosed COVID-19 cases.</w:t>
      </w:r>
      <w:r w:rsidR="0072105B">
        <w:br w:type="page"/>
      </w:r>
    </w:p>
    <w:p w14:paraId="265DCC57" w14:textId="2567B2C8" w:rsidR="0072105B" w:rsidRPr="0072105B" w:rsidRDefault="0072105B" w:rsidP="00540BB8">
      <w:pPr>
        <w:pStyle w:val="Heading1"/>
        <w:keepLines/>
        <w:widowControl/>
        <w:tabs>
          <w:tab w:val="clear" w:pos="4680"/>
        </w:tabs>
        <w:spacing w:before="240"/>
        <w:rPr>
          <w:rFonts w:eastAsia="@Batang"/>
          <w:bCs/>
          <w:snapToGrid/>
          <w:sz w:val="28"/>
          <w:szCs w:val="28"/>
        </w:rPr>
      </w:pPr>
      <w:bookmarkStart w:id="4" w:name="_Appendix_A:_Requirements"/>
      <w:bookmarkEnd w:id="4"/>
      <w:r w:rsidRPr="0072105B">
        <w:rPr>
          <w:rFonts w:eastAsia="@Batang"/>
          <w:bCs/>
          <w:snapToGrid/>
          <w:sz w:val="28"/>
          <w:szCs w:val="28"/>
        </w:rPr>
        <w:lastRenderedPageBreak/>
        <w:t xml:space="preserve">Appendix A: Requirements for </w:t>
      </w:r>
      <w:r w:rsidRPr="00540BB8">
        <w:rPr>
          <w:rFonts w:eastAsia="@Batang"/>
          <w:bCs/>
          <w:snapToGrid/>
          <w:sz w:val="28"/>
          <w:szCs w:val="28"/>
        </w:rPr>
        <w:t>Residential Congregate Care Providers</w:t>
      </w:r>
    </w:p>
    <w:p w14:paraId="1A82043F" w14:textId="77777777" w:rsidR="0026762F" w:rsidRDefault="0026762F" w:rsidP="0026762F">
      <w:pPr>
        <w:widowControl/>
        <w:spacing w:line="259" w:lineRule="auto"/>
      </w:pPr>
    </w:p>
    <w:p w14:paraId="47C061EE" w14:textId="361EAE24" w:rsidR="009B21B1" w:rsidRDefault="009B21B1" w:rsidP="0072105B">
      <w:pPr>
        <w:pStyle w:val="ListParagraph"/>
        <w:numPr>
          <w:ilvl w:val="0"/>
          <w:numId w:val="16"/>
        </w:numPr>
        <w:autoSpaceDE w:val="0"/>
        <w:autoSpaceDN w:val="0"/>
        <w:adjustRightInd w:val="0"/>
        <w:ind w:left="360"/>
        <w:rPr>
          <w:rFonts w:ascii="Times New Roman" w:eastAsia="@Batang" w:hAnsi="Times New Roman" w:cs="Times New Roman"/>
          <w:b/>
          <w:sz w:val="24"/>
          <w:szCs w:val="24"/>
          <w:u w:val="single"/>
        </w:rPr>
      </w:pPr>
      <w:r w:rsidRPr="0072105B">
        <w:rPr>
          <w:rFonts w:ascii="Times New Roman" w:eastAsia="@Batang" w:hAnsi="Times New Roman" w:cs="Times New Roman"/>
          <w:b/>
          <w:sz w:val="24"/>
          <w:szCs w:val="24"/>
          <w:u w:val="single"/>
        </w:rPr>
        <w:t>Obtaining a CLIA certificate</w:t>
      </w:r>
    </w:p>
    <w:p w14:paraId="520B6196" w14:textId="77777777" w:rsidR="0072105B" w:rsidRPr="0072105B" w:rsidRDefault="0072105B" w:rsidP="0072105B">
      <w:pPr>
        <w:pStyle w:val="ListParagraph"/>
        <w:autoSpaceDE w:val="0"/>
        <w:autoSpaceDN w:val="0"/>
        <w:adjustRightInd w:val="0"/>
        <w:ind w:left="360"/>
        <w:rPr>
          <w:rFonts w:ascii="Times New Roman" w:eastAsia="@Batang" w:hAnsi="Times New Roman" w:cs="Times New Roman"/>
          <w:b/>
          <w:sz w:val="24"/>
          <w:szCs w:val="24"/>
          <w:u w:val="single"/>
        </w:rPr>
      </w:pPr>
    </w:p>
    <w:p w14:paraId="1ECA3325" w14:textId="77777777" w:rsidR="009A6AC9" w:rsidRDefault="009A6AC9" w:rsidP="009A6AC9">
      <w:pPr>
        <w:autoSpaceDE w:val="0"/>
        <w:autoSpaceDN w:val="0"/>
        <w:spacing w:line="252" w:lineRule="auto"/>
        <w:rPr>
          <w:snapToGrid/>
          <w:sz w:val="22"/>
        </w:rPr>
      </w:pPr>
      <w:r>
        <w:t xml:space="preserve">Organizations which do not already possess a CLIA Certificate will need to submit an application and obtain one prior to receiving BinaxNOW tests. The application for a CLIA Certificate (CMS Form 116) can be found here: </w:t>
      </w:r>
    </w:p>
    <w:p w14:paraId="4E18E6BC" w14:textId="77777777" w:rsidR="009A6AC9" w:rsidRDefault="00073C73" w:rsidP="009A6AC9">
      <w:pPr>
        <w:autoSpaceDE w:val="0"/>
        <w:autoSpaceDN w:val="0"/>
        <w:spacing w:line="252" w:lineRule="auto"/>
      </w:pPr>
      <w:hyperlink r:id="rId25" w:history="1">
        <w:r w:rsidR="009A6AC9">
          <w:rPr>
            <w:rStyle w:val="Hyperlink"/>
          </w:rPr>
          <w:t>https://www.cms.gov/Medicare/CMS-Forms/CMS-Forms/Downloads/CMS116.pdf</w:t>
        </w:r>
      </w:hyperlink>
    </w:p>
    <w:p w14:paraId="2C58A166" w14:textId="77777777" w:rsidR="009A6AC9" w:rsidRDefault="009A6AC9" w:rsidP="009A6AC9">
      <w:pPr>
        <w:autoSpaceDE w:val="0"/>
        <w:autoSpaceDN w:val="0"/>
        <w:spacing w:line="252" w:lineRule="auto"/>
      </w:pPr>
    </w:p>
    <w:p w14:paraId="6C3FEC2C" w14:textId="77777777" w:rsidR="009A6AC9" w:rsidRDefault="009A6AC9" w:rsidP="009A6AC9">
      <w:pPr>
        <w:autoSpaceDE w:val="0"/>
        <w:autoSpaceDN w:val="0"/>
        <w:spacing w:line="252" w:lineRule="auto"/>
      </w:pPr>
      <w:r>
        <w:t>For your convenience, we are sharing some information that may help you fill out your CLIA application if your facility does not already have a CLIA Certificate of Waiver or other appropriate CLIA certificate:</w:t>
      </w:r>
    </w:p>
    <w:p w14:paraId="6B543C95" w14:textId="77777777" w:rsidR="009A6AC9" w:rsidRDefault="009A6AC9" w:rsidP="009A6AC9">
      <w:pPr>
        <w:autoSpaceDE w:val="0"/>
        <w:autoSpaceDN w:val="0"/>
        <w:spacing w:line="252" w:lineRule="auto"/>
      </w:pPr>
    </w:p>
    <w:p w14:paraId="19A51B63" w14:textId="77777777" w:rsidR="009A6AC9" w:rsidRDefault="009A6AC9" w:rsidP="009A6AC9">
      <w:pPr>
        <w:widowControl/>
        <w:numPr>
          <w:ilvl w:val="0"/>
          <w:numId w:val="21"/>
        </w:numPr>
        <w:autoSpaceDE w:val="0"/>
        <w:autoSpaceDN w:val="0"/>
        <w:snapToGrid w:val="0"/>
        <w:spacing w:after="120" w:line="252" w:lineRule="auto"/>
      </w:pPr>
      <w:r>
        <w:t xml:space="preserve">In section I, please select “Initial Application” and under “Other Changes (Specify)” fill in “COVID 19” to alert the Clinical Laboratory Program that your application is a part of this distribution effort. </w:t>
      </w:r>
    </w:p>
    <w:p w14:paraId="6E187729" w14:textId="77777777" w:rsidR="009A6AC9" w:rsidRDefault="009A6AC9" w:rsidP="009A6AC9">
      <w:pPr>
        <w:widowControl/>
        <w:numPr>
          <w:ilvl w:val="1"/>
          <w:numId w:val="21"/>
        </w:numPr>
        <w:autoSpaceDE w:val="0"/>
        <w:autoSpaceDN w:val="0"/>
        <w:snapToGrid w:val="0"/>
        <w:spacing w:after="120" w:line="252" w:lineRule="auto"/>
      </w:pPr>
      <w:r>
        <w:t>For the section requesting the Name/Credentials of the Director please input the individual who will have responsibility for oversight of the testing and ensuring compliance with CLIA requirements. Examples would be the facility director or medical director, if available.</w:t>
      </w:r>
    </w:p>
    <w:p w14:paraId="3BA043B3" w14:textId="77777777" w:rsidR="009A6AC9" w:rsidRDefault="009A6AC9" w:rsidP="009A6AC9">
      <w:pPr>
        <w:widowControl/>
        <w:numPr>
          <w:ilvl w:val="0"/>
          <w:numId w:val="21"/>
        </w:numPr>
        <w:autoSpaceDE w:val="0"/>
        <w:autoSpaceDN w:val="0"/>
        <w:snapToGrid w:val="0"/>
        <w:spacing w:after="120" w:line="252" w:lineRule="auto"/>
      </w:pPr>
      <w:r>
        <w:t>In section II, please select “Certificate of Waiver” if you will be performing only the Abbott BinaxNOW COVID-19 Ag Card test or other CLIA-waived tests.</w:t>
      </w:r>
    </w:p>
    <w:p w14:paraId="0E5201C6" w14:textId="77777777" w:rsidR="009A6AC9" w:rsidRDefault="009A6AC9" w:rsidP="009A6AC9">
      <w:pPr>
        <w:widowControl/>
        <w:numPr>
          <w:ilvl w:val="0"/>
          <w:numId w:val="21"/>
        </w:numPr>
        <w:autoSpaceDE w:val="0"/>
        <w:autoSpaceDN w:val="0"/>
        <w:snapToGrid w:val="0"/>
        <w:spacing w:after="120" w:line="252" w:lineRule="auto"/>
      </w:pPr>
      <w:r>
        <w:t>In section III, please select the item most descriptive of your facility type. If none of the existing categories describe your organization, please select “29- Other (Specify)” and write in “Congregate Care.”</w:t>
      </w:r>
    </w:p>
    <w:p w14:paraId="7B1AB0F0" w14:textId="77777777" w:rsidR="009A6AC9" w:rsidRDefault="009A6AC9" w:rsidP="009A6AC9">
      <w:pPr>
        <w:widowControl/>
        <w:numPr>
          <w:ilvl w:val="0"/>
          <w:numId w:val="21"/>
        </w:numPr>
        <w:autoSpaceDE w:val="0"/>
        <w:autoSpaceDN w:val="0"/>
        <w:snapToGrid w:val="0"/>
        <w:spacing w:after="120" w:line="252" w:lineRule="auto"/>
      </w:pPr>
      <w:r>
        <w:t>In section IV, please select the box in the top-right corner which indicates testing will occur 24/7</w:t>
      </w:r>
    </w:p>
    <w:p w14:paraId="4A02E73D" w14:textId="77777777" w:rsidR="009A6AC9" w:rsidRDefault="009A6AC9" w:rsidP="009A6AC9">
      <w:pPr>
        <w:widowControl/>
        <w:numPr>
          <w:ilvl w:val="0"/>
          <w:numId w:val="21"/>
        </w:numPr>
        <w:autoSpaceDE w:val="0"/>
        <w:autoSpaceDN w:val="0"/>
        <w:snapToGrid w:val="0"/>
        <w:spacing w:after="120" w:line="252" w:lineRule="auto"/>
      </w:pPr>
      <w:r>
        <w:t xml:space="preserve">In section V, please select “No” and go to section VI. Organizations which plan to distribute Abbott BinaxNOW tests to multiple sites for testing (e.g., to each group home) should still select “No.” Applying as a single site indicates that the organization applying accepts the responsibility for the correct use of the Abbott BinaxNOW tests.  </w:t>
      </w:r>
    </w:p>
    <w:p w14:paraId="6C6DF955" w14:textId="77777777" w:rsidR="009A6AC9" w:rsidRDefault="009A6AC9" w:rsidP="009A6AC9">
      <w:pPr>
        <w:widowControl/>
        <w:numPr>
          <w:ilvl w:val="0"/>
          <w:numId w:val="21"/>
        </w:numPr>
        <w:autoSpaceDE w:val="0"/>
        <w:autoSpaceDN w:val="0"/>
        <w:snapToGrid w:val="0"/>
        <w:spacing w:after="120" w:line="252" w:lineRule="auto"/>
      </w:pPr>
      <w:r>
        <w:t>In section VI, please enter “Abbott BinaxNOW COVID-19 Ag Card Test” and provide the Estimated Total Annual Test Volume. If additional CLIA-waived tests will be performed, the test and specific test system information should be included in this section.</w:t>
      </w:r>
    </w:p>
    <w:p w14:paraId="52031A7A" w14:textId="77777777" w:rsidR="009A6AC9" w:rsidRDefault="009A6AC9" w:rsidP="009A6AC9">
      <w:pPr>
        <w:widowControl/>
        <w:numPr>
          <w:ilvl w:val="0"/>
          <w:numId w:val="21"/>
        </w:numPr>
        <w:autoSpaceDE w:val="0"/>
        <w:autoSpaceDN w:val="0"/>
        <w:snapToGrid w:val="0"/>
        <w:spacing w:after="120" w:line="252" w:lineRule="auto"/>
      </w:pPr>
      <w:r>
        <w:t>Skip sections VII and VIII</w:t>
      </w:r>
    </w:p>
    <w:p w14:paraId="5C1BAA09" w14:textId="77777777" w:rsidR="009A6AC9" w:rsidRDefault="009A6AC9" w:rsidP="009A6AC9">
      <w:pPr>
        <w:widowControl/>
        <w:numPr>
          <w:ilvl w:val="0"/>
          <w:numId w:val="21"/>
        </w:numPr>
        <w:autoSpaceDE w:val="0"/>
        <w:autoSpaceDN w:val="0"/>
        <w:snapToGrid w:val="0"/>
        <w:spacing w:after="120" w:line="252" w:lineRule="auto"/>
      </w:pPr>
      <w:r>
        <w:t>Complete sections IX and X</w:t>
      </w:r>
    </w:p>
    <w:p w14:paraId="2C5714CE" w14:textId="77777777" w:rsidR="009A6AC9" w:rsidRDefault="009A6AC9" w:rsidP="009A6AC9">
      <w:pPr>
        <w:autoSpaceDE w:val="0"/>
        <w:autoSpaceDN w:val="0"/>
        <w:spacing w:line="252" w:lineRule="auto"/>
        <w:rPr>
          <w:rFonts w:eastAsiaTheme="minorHAnsi"/>
        </w:rPr>
      </w:pPr>
      <w:r>
        <w:t xml:space="preserve">Please completely fill out the other sections, as applicable, including the laboratory director signature section. </w:t>
      </w:r>
    </w:p>
    <w:p w14:paraId="23C5EE24" w14:textId="77777777" w:rsidR="009A6AC9" w:rsidRDefault="009A6AC9" w:rsidP="009A6AC9">
      <w:pPr>
        <w:autoSpaceDE w:val="0"/>
        <w:autoSpaceDN w:val="0"/>
        <w:spacing w:line="252" w:lineRule="auto"/>
      </w:pPr>
    </w:p>
    <w:p w14:paraId="292E533B" w14:textId="1FF60654" w:rsidR="00073C73" w:rsidRDefault="009A6AC9" w:rsidP="00073C73">
      <w:pPr>
        <w:autoSpaceDE w:val="0"/>
        <w:autoSpaceDN w:val="0"/>
        <w:spacing w:line="252" w:lineRule="auto"/>
      </w:pPr>
      <w:r>
        <w:t>Pursuant to the Public Health Order titled “ORDER OF THE COMMISSIONER OF PUBLIC HEALTH: CLIA-WAIVED COVID-19 TESTING IN CONGREGATE CARE SITES</w:t>
      </w:r>
      <w:r w:rsidR="00073C73" w:rsidRPr="00073C73">
        <w:t xml:space="preserve"> </w:t>
      </w:r>
      <w:r w:rsidR="00073C73">
        <w:t xml:space="preserve">AND </w:t>
      </w:r>
    </w:p>
    <w:p w14:paraId="6C8A6AEA" w14:textId="09B91610" w:rsidR="009A6AC9" w:rsidRDefault="00073C73" w:rsidP="009A6AC9">
      <w:pPr>
        <w:autoSpaceDE w:val="0"/>
        <w:autoSpaceDN w:val="0"/>
        <w:spacing w:line="252" w:lineRule="auto"/>
      </w:pPr>
      <w:r>
        <w:t>RECREATIONAL CAMPS FOR CHILDREN</w:t>
      </w:r>
      <w:r w:rsidR="009A6AC9">
        <w:t>,” congregate care settings may conduct CLIA-waived COVID-19 tests of their staff and residents without applying for or receiving state clinical laboratory licensure, subject to the requirements of the Public Health Order.</w:t>
      </w:r>
      <w:r w:rsidRPr="00073C73">
        <w:t xml:space="preserve"> </w:t>
      </w:r>
    </w:p>
    <w:p w14:paraId="1C902753" w14:textId="77777777" w:rsidR="00073C73" w:rsidRDefault="00073C73" w:rsidP="009A6AC9">
      <w:pPr>
        <w:autoSpaceDE w:val="0"/>
        <w:autoSpaceDN w:val="0"/>
        <w:spacing w:line="252" w:lineRule="auto"/>
      </w:pPr>
    </w:p>
    <w:p w14:paraId="15348BB8" w14:textId="77777777" w:rsidR="009A6AC9" w:rsidRDefault="009A6AC9" w:rsidP="009A6AC9">
      <w:pPr>
        <w:autoSpaceDE w:val="0"/>
        <w:autoSpaceDN w:val="0"/>
        <w:spacing w:line="252" w:lineRule="auto"/>
      </w:pPr>
      <w:r>
        <w:t xml:space="preserve">Please send the completed application, signed by the laboratory director (or owner) to The Clinical Laboratory Program at </w:t>
      </w:r>
      <w:hyperlink r:id="rId26" w:history="1">
        <w:r>
          <w:rPr>
            <w:rStyle w:val="Hyperlink"/>
          </w:rPr>
          <w:t>CLIALab@mass.gov</w:t>
        </w:r>
      </w:hyperlink>
      <w:r>
        <w:rPr>
          <w:color w:val="0000FF"/>
          <w:u w:val="single"/>
        </w:rPr>
        <w:t xml:space="preserve"> and include your facility name in the subject line.</w:t>
      </w:r>
      <w:r>
        <w:t>. If you have any questions you may contact the Clinical Laboratory Program at (617) 660-5385.</w:t>
      </w:r>
    </w:p>
    <w:p w14:paraId="1BE0DD4D" w14:textId="77777777" w:rsidR="009A6AC9" w:rsidRDefault="009A6AC9" w:rsidP="009A6AC9">
      <w:pPr>
        <w:autoSpaceDE w:val="0"/>
        <w:autoSpaceDN w:val="0"/>
        <w:spacing w:line="252" w:lineRule="auto"/>
      </w:pPr>
    </w:p>
    <w:p w14:paraId="1C968314" w14:textId="77777777" w:rsidR="009A6AC9" w:rsidRDefault="009A6AC9" w:rsidP="009A6AC9">
      <w:pPr>
        <w:autoSpaceDE w:val="0"/>
        <w:autoSpaceDN w:val="0"/>
        <w:spacing w:line="252" w:lineRule="auto"/>
      </w:pPr>
      <w:r>
        <w:t xml:space="preserve">A resource you may find helpful is this Quick Start Guide from CMS: </w:t>
      </w:r>
      <w:hyperlink r:id="rId27" w:history="1">
        <w:r>
          <w:rPr>
            <w:rStyle w:val="Hyperlink"/>
          </w:rPr>
          <w:t>https://www.cms.gov/files/document/cms-clia-laboratory-quick-start-guide-remediated.pdf</w:t>
        </w:r>
      </w:hyperlink>
    </w:p>
    <w:p w14:paraId="1FD9390C" w14:textId="77777777" w:rsidR="009B21B1" w:rsidRPr="009B21B1" w:rsidRDefault="009B21B1" w:rsidP="009B21B1">
      <w:pPr>
        <w:widowControl/>
        <w:spacing w:line="259" w:lineRule="auto"/>
        <w:rPr>
          <w:rFonts w:eastAsia="Calibri"/>
          <w:snapToGrid/>
          <w:szCs w:val="24"/>
        </w:rPr>
      </w:pPr>
    </w:p>
    <w:p w14:paraId="7DD108B4" w14:textId="0B1C27BF" w:rsidR="009B21B1" w:rsidRDefault="009B21B1" w:rsidP="0072105B">
      <w:pPr>
        <w:pStyle w:val="ListParagraph"/>
        <w:numPr>
          <w:ilvl w:val="0"/>
          <w:numId w:val="16"/>
        </w:numPr>
        <w:autoSpaceDE w:val="0"/>
        <w:autoSpaceDN w:val="0"/>
        <w:adjustRightInd w:val="0"/>
        <w:ind w:left="360"/>
        <w:rPr>
          <w:rFonts w:ascii="Times New Roman" w:eastAsia="@Batang" w:hAnsi="Times New Roman" w:cs="Times New Roman"/>
          <w:b/>
          <w:sz w:val="24"/>
          <w:szCs w:val="24"/>
          <w:u w:val="single"/>
        </w:rPr>
      </w:pPr>
      <w:r w:rsidRPr="0072105B">
        <w:rPr>
          <w:rFonts w:ascii="Times New Roman" w:eastAsia="@Batang" w:hAnsi="Times New Roman" w:cs="Times New Roman"/>
          <w:b/>
          <w:sz w:val="24"/>
          <w:szCs w:val="24"/>
          <w:u w:val="single"/>
        </w:rPr>
        <w:t xml:space="preserve">Securing a signed </w:t>
      </w:r>
      <w:r w:rsidR="00204A24">
        <w:rPr>
          <w:rFonts w:ascii="Times New Roman" w:eastAsia="@Batang" w:hAnsi="Times New Roman" w:cs="Times New Roman"/>
          <w:b/>
          <w:sz w:val="24"/>
          <w:szCs w:val="24"/>
          <w:u w:val="single"/>
        </w:rPr>
        <w:t>provider</w:t>
      </w:r>
      <w:r w:rsidR="00204A24" w:rsidRPr="0072105B">
        <w:rPr>
          <w:rFonts w:ascii="Times New Roman" w:eastAsia="@Batang" w:hAnsi="Times New Roman" w:cs="Times New Roman"/>
          <w:b/>
          <w:sz w:val="24"/>
          <w:szCs w:val="24"/>
          <w:u w:val="single"/>
        </w:rPr>
        <w:t xml:space="preserve"> </w:t>
      </w:r>
      <w:r w:rsidRPr="0072105B">
        <w:rPr>
          <w:rFonts w:ascii="Times New Roman" w:eastAsia="@Batang" w:hAnsi="Times New Roman" w:cs="Times New Roman"/>
          <w:b/>
          <w:sz w:val="24"/>
          <w:szCs w:val="24"/>
          <w:u w:val="single"/>
        </w:rPr>
        <w:t>order</w:t>
      </w:r>
    </w:p>
    <w:p w14:paraId="639A6B99" w14:textId="77777777" w:rsidR="0072105B" w:rsidRPr="0072105B" w:rsidRDefault="0072105B" w:rsidP="0072105B">
      <w:pPr>
        <w:pStyle w:val="ListParagraph"/>
        <w:autoSpaceDE w:val="0"/>
        <w:autoSpaceDN w:val="0"/>
        <w:adjustRightInd w:val="0"/>
        <w:ind w:left="360"/>
        <w:rPr>
          <w:rFonts w:ascii="Times New Roman" w:eastAsia="@Batang" w:hAnsi="Times New Roman" w:cs="Times New Roman"/>
          <w:b/>
          <w:sz w:val="24"/>
          <w:szCs w:val="24"/>
          <w:u w:val="single"/>
        </w:rPr>
      </w:pPr>
    </w:p>
    <w:p w14:paraId="5747E3FD" w14:textId="365957EC" w:rsidR="009B21B1" w:rsidRPr="009B21B1" w:rsidRDefault="009B21B1" w:rsidP="009B21B1">
      <w:pPr>
        <w:widowControl/>
        <w:spacing w:after="160" w:line="259" w:lineRule="auto"/>
        <w:rPr>
          <w:rFonts w:eastAsia="Calibri"/>
          <w:snapToGrid/>
          <w:szCs w:val="24"/>
        </w:rPr>
      </w:pPr>
      <w:r w:rsidRPr="009B21B1">
        <w:rPr>
          <w:rFonts w:eastAsia="Calibri"/>
          <w:snapToGrid/>
          <w:szCs w:val="24"/>
        </w:rPr>
        <w:t xml:space="preserve">The Abbott BinaxNOW test must be ordered by a </w:t>
      </w:r>
      <w:r w:rsidR="002001BA">
        <w:rPr>
          <w:rFonts w:eastAsia="Calibri"/>
          <w:snapToGrid/>
          <w:szCs w:val="24"/>
        </w:rPr>
        <w:t>provider</w:t>
      </w:r>
      <w:r w:rsidRPr="009B21B1">
        <w:rPr>
          <w:rFonts w:eastAsia="Calibri"/>
          <w:snapToGrid/>
          <w:szCs w:val="24"/>
        </w:rPr>
        <w:t xml:space="preserve">. The </w:t>
      </w:r>
      <w:r w:rsidR="004E348C">
        <w:rPr>
          <w:rFonts w:eastAsia="Calibri"/>
          <w:snapToGrid/>
          <w:szCs w:val="24"/>
        </w:rPr>
        <w:t xml:space="preserve">organization </w:t>
      </w:r>
      <w:r w:rsidRPr="009B21B1">
        <w:rPr>
          <w:rFonts w:eastAsia="Calibri"/>
          <w:snapToGrid/>
          <w:szCs w:val="24"/>
        </w:rPr>
        <w:t xml:space="preserve">must have a standing </w:t>
      </w:r>
      <w:r w:rsidR="002001BA" w:rsidRPr="009B21B1">
        <w:rPr>
          <w:rFonts w:eastAsia="Calibri"/>
          <w:snapToGrid/>
          <w:szCs w:val="24"/>
        </w:rPr>
        <w:t>p</w:t>
      </w:r>
      <w:r w:rsidR="002001BA">
        <w:rPr>
          <w:rFonts w:eastAsia="Calibri"/>
          <w:snapToGrid/>
          <w:szCs w:val="24"/>
        </w:rPr>
        <w:t>rovider</w:t>
      </w:r>
      <w:r w:rsidR="002001BA" w:rsidRPr="009B21B1">
        <w:rPr>
          <w:rFonts w:eastAsia="Calibri"/>
          <w:snapToGrid/>
          <w:szCs w:val="24"/>
        </w:rPr>
        <w:t xml:space="preserve"> </w:t>
      </w:r>
      <w:r w:rsidRPr="009B21B1">
        <w:rPr>
          <w:rFonts w:eastAsia="Calibri"/>
          <w:snapToGrid/>
          <w:szCs w:val="24"/>
        </w:rPr>
        <w:t xml:space="preserve">order in place prior to requesting test kits from DPH. </w:t>
      </w:r>
      <w:r w:rsidR="00540BB8">
        <w:rPr>
          <w:rFonts w:eastAsia="Calibri"/>
          <w:snapToGrid/>
          <w:szCs w:val="24"/>
        </w:rPr>
        <w:t xml:space="preserve">Organizations </w:t>
      </w:r>
      <w:r w:rsidRPr="009B21B1">
        <w:rPr>
          <w:rFonts w:eastAsia="Calibri"/>
          <w:snapToGrid/>
          <w:szCs w:val="24"/>
        </w:rPr>
        <w:t xml:space="preserve">may obtain a standing order from </w:t>
      </w:r>
      <w:r w:rsidR="00540BB8">
        <w:rPr>
          <w:rFonts w:eastAsia="Calibri"/>
          <w:snapToGrid/>
          <w:szCs w:val="24"/>
        </w:rPr>
        <w:t>the organization’s</w:t>
      </w:r>
      <w:r w:rsidRPr="009B21B1">
        <w:rPr>
          <w:rFonts w:eastAsia="Calibri"/>
          <w:snapToGrid/>
          <w:szCs w:val="24"/>
        </w:rPr>
        <w:t xml:space="preserve"> </w:t>
      </w:r>
      <w:r w:rsidR="00540BB8">
        <w:rPr>
          <w:rFonts w:eastAsia="Calibri"/>
          <w:snapToGrid/>
          <w:szCs w:val="24"/>
        </w:rPr>
        <w:t xml:space="preserve">medical director, other provider, </w:t>
      </w:r>
      <w:r w:rsidRPr="009B21B1">
        <w:rPr>
          <w:rFonts w:eastAsia="Calibri"/>
          <w:snapToGrid/>
          <w:szCs w:val="24"/>
        </w:rPr>
        <w:t>or local board of health medical director.</w:t>
      </w:r>
    </w:p>
    <w:p w14:paraId="7C0251D3" w14:textId="331C6406" w:rsidR="009B21B1" w:rsidRPr="009B21B1" w:rsidRDefault="004E348C" w:rsidP="009B21B1">
      <w:pPr>
        <w:widowControl/>
        <w:spacing w:line="259" w:lineRule="auto"/>
        <w:rPr>
          <w:rFonts w:eastAsia="Calibri"/>
          <w:snapToGrid/>
          <w:szCs w:val="24"/>
        </w:rPr>
      </w:pPr>
      <w:r>
        <w:rPr>
          <w:rFonts w:eastAsia="Calibri"/>
          <w:snapToGrid/>
          <w:szCs w:val="24"/>
        </w:rPr>
        <w:t>EOHHS</w:t>
      </w:r>
      <w:r w:rsidR="009B21B1" w:rsidRPr="009B21B1">
        <w:rPr>
          <w:rFonts w:eastAsia="Calibri"/>
          <w:snapToGrid/>
          <w:szCs w:val="24"/>
        </w:rPr>
        <w:t xml:space="preserve"> has drafted a model standing order which can be used by </w:t>
      </w:r>
      <w:r w:rsidR="00540BB8">
        <w:rPr>
          <w:rFonts w:eastAsia="Calibri"/>
          <w:snapToGrid/>
          <w:szCs w:val="24"/>
        </w:rPr>
        <w:t>organizations</w:t>
      </w:r>
      <w:r w:rsidR="009B21B1" w:rsidRPr="009B21B1">
        <w:rPr>
          <w:rFonts w:eastAsia="Calibri"/>
          <w:snapToGrid/>
          <w:szCs w:val="24"/>
        </w:rPr>
        <w:t xml:space="preserve"> to request a standing order. The model standing order can be found </w:t>
      </w:r>
      <w:r w:rsidR="009A6AC9">
        <w:rPr>
          <w:rFonts w:eastAsia="Calibri"/>
          <w:snapToGrid/>
          <w:szCs w:val="24"/>
        </w:rPr>
        <w:t>on the webpage which hosts this document.</w:t>
      </w:r>
    </w:p>
    <w:p w14:paraId="000A0198" w14:textId="77777777" w:rsidR="009B21B1" w:rsidRPr="009B21B1" w:rsidRDefault="009B21B1" w:rsidP="009B21B1">
      <w:pPr>
        <w:widowControl/>
        <w:ind w:left="720"/>
        <w:rPr>
          <w:snapToGrid/>
          <w:szCs w:val="24"/>
        </w:rPr>
      </w:pPr>
    </w:p>
    <w:p w14:paraId="64349F8B" w14:textId="529D0C8D" w:rsidR="009B21B1" w:rsidRDefault="009B21B1" w:rsidP="0072105B">
      <w:pPr>
        <w:pStyle w:val="ListParagraph"/>
        <w:numPr>
          <w:ilvl w:val="0"/>
          <w:numId w:val="16"/>
        </w:numPr>
        <w:autoSpaceDE w:val="0"/>
        <w:autoSpaceDN w:val="0"/>
        <w:adjustRightInd w:val="0"/>
        <w:ind w:left="360"/>
        <w:rPr>
          <w:rFonts w:ascii="Times New Roman" w:eastAsia="@Batang" w:hAnsi="Times New Roman" w:cs="Times New Roman"/>
          <w:b/>
          <w:sz w:val="24"/>
          <w:szCs w:val="24"/>
          <w:u w:val="single"/>
        </w:rPr>
      </w:pPr>
      <w:r w:rsidRPr="0072105B">
        <w:rPr>
          <w:rFonts w:ascii="Times New Roman" w:eastAsia="@Batang" w:hAnsi="Times New Roman" w:cs="Times New Roman"/>
          <w:b/>
          <w:sz w:val="24"/>
          <w:szCs w:val="24"/>
          <w:u w:val="single"/>
        </w:rPr>
        <w:t>Maintaining an adequate supply of PPE</w:t>
      </w:r>
    </w:p>
    <w:p w14:paraId="6DF76299" w14:textId="77777777" w:rsidR="0072105B" w:rsidRPr="0072105B" w:rsidRDefault="0072105B" w:rsidP="0072105B">
      <w:pPr>
        <w:pStyle w:val="ListParagraph"/>
        <w:autoSpaceDE w:val="0"/>
        <w:autoSpaceDN w:val="0"/>
        <w:adjustRightInd w:val="0"/>
        <w:ind w:left="360"/>
        <w:rPr>
          <w:rFonts w:ascii="Times New Roman" w:eastAsia="@Batang" w:hAnsi="Times New Roman" w:cs="Times New Roman"/>
          <w:b/>
          <w:sz w:val="24"/>
          <w:szCs w:val="24"/>
          <w:u w:val="single"/>
        </w:rPr>
      </w:pPr>
    </w:p>
    <w:p w14:paraId="51D98484" w14:textId="77777777" w:rsidR="009B21B1" w:rsidRPr="0072105B" w:rsidRDefault="009B21B1" w:rsidP="0072105B">
      <w:pPr>
        <w:widowControl/>
        <w:rPr>
          <w:snapToGrid/>
          <w:szCs w:val="24"/>
        </w:rPr>
      </w:pPr>
      <w:r w:rsidRPr="0072105B">
        <w:rPr>
          <w:snapToGrid/>
          <w:szCs w:val="24"/>
        </w:rPr>
        <w:t>All staff administering Abbott BinaxNOW test kits must wear appropriate personal protective equipment (PPE) when running each test and handling patient specimens. For healthcare personnel collecting specimens or within 6 feet of individuals suspected to have COVID-19, the following PPE is required:</w:t>
      </w:r>
    </w:p>
    <w:p w14:paraId="20BDA0CF" w14:textId="2EEEDA8A" w:rsidR="009B21B1" w:rsidRPr="0072105B" w:rsidRDefault="009B21B1" w:rsidP="0072105B">
      <w:pPr>
        <w:widowControl/>
        <w:numPr>
          <w:ilvl w:val="1"/>
          <w:numId w:val="19"/>
        </w:numPr>
        <w:spacing w:line="259" w:lineRule="auto"/>
        <w:rPr>
          <w:snapToGrid/>
          <w:szCs w:val="24"/>
        </w:rPr>
      </w:pPr>
      <w:r w:rsidRPr="0072105B">
        <w:rPr>
          <w:snapToGrid/>
          <w:szCs w:val="24"/>
        </w:rPr>
        <w:t xml:space="preserve">N95 mask or higher-level respirator </w:t>
      </w:r>
    </w:p>
    <w:p w14:paraId="25CEEB69" w14:textId="77777777" w:rsidR="009B21B1" w:rsidRPr="0072105B" w:rsidRDefault="009B21B1" w:rsidP="0072105B">
      <w:pPr>
        <w:widowControl/>
        <w:numPr>
          <w:ilvl w:val="1"/>
          <w:numId w:val="19"/>
        </w:numPr>
        <w:spacing w:line="259" w:lineRule="auto"/>
        <w:rPr>
          <w:snapToGrid/>
          <w:szCs w:val="24"/>
        </w:rPr>
      </w:pPr>
      <w:r w:rsidRPr="0072105B">
        <w:rPr>
          <w:snapToGrid/>
          <w:szCs w:val="24"/>
        </w:rPr>
        <w:t>Eye protection</w:t>
      </w:r>
    </w:p>
    <w:p w14:paraId="0E29D631" w14:textId="77777777" w:rsidR="009B21B1" w:rsidRPr="0072105B" w:rsidRDefault="009B21B1" w:rsidP="0072105B">
      <w:pPr>
        <w:widowControl/>
        <w:numPr>
          <w:ilvl w:val="1"/>
          <w:numId w:val="19"/>
        </w:numPr>
        <w:spacing w:line="259" w:lineRule="auto"/>
        <w:rPr>
          <w:snapToGrid/>
          <w:szCs w:val="24"/>
        </w:rPr>
      </w:pPr>
      <w:r w:rsidRPr="0072105B">
        <w:rPr>
          <w:snapToGrid/>
          <w:szCs w:val="24"/>
        </w:rPr>
        <w:t>Gloves</w:t>
      </w:r>
    </w:p>
    <w:p w14:paraId="179BF1AC" w14:textId="197869FC" w:rsidR="009B21B1" w:rsidRDefault="009B21B1" w:rsidP="0072105B">
      <w:pPr>
        <w:widowControl/>
        <w:numPr>
          <w:ilvl w:val="1"/>
          <w:numId w:val="19"/>
        </w:numPr>
        <w:spacing w:line="259" w:lineRule="auto"/>
        <w:rPr>
          <w:snapToGrid/>
          <w:szCs w:val="24"/>
        </w:rPr>
      </w:pPr>
      <w:r w:rsidRPr="0072105B">
        <w:rPr>
          <w:snapToGrid/>
          <w:szCs w:val="24"/>
        </w:rPr>
        <w:t xml:space="preserve">Gown, when collecting specimens </w:t>
      </w:r>
    </w:p>
    <w:p w14:paraId="3B86A337" w14:textId="77777777" w:rsidR="0072105B" w:rsidRPr="0072105B" w:rsidRDefault="0072105B" w:rsidP="0072105B">
      <w:pPr>
        <w:widowControl/>
        <w:spacing w:line="259" w:lineRule="auto"/>
        <w:ind w:left="1440"/>
        <w:rPr>
          <w:snapToGrid/>
          <w:szCs w:val="24"/>
        </w:rPr>
      </w:pPr>
    </w:p>
    <w:p w14:paraId="54932155" w14:textId="77777777" w:rsidR="009B21B1" w:rsidRPr="009B21B1" w:rsidRDefault="009B21B1" w:rsidP="009B21B1">
      <w:pPr>
        <w:widowControl/>
        <w:spacing w:after="160" w:line="259" w:lineRule="auto"/>
        <w:rPr>
          <w:rFonts w:eastAsia="Calibri"/>
          <w:snapToGrid/>
          <w:szCs w:val="24"/>
        </w:rPr>
      </w:pPr>
      <w:r w:rsidRPr="009B21B1">
        <w:rPr>
          <w:rFonts w:eastAsia="Calibri"/>
          <w:snapToGrid/>
          <w:szCs w:val="24"/>
        </w:rPr>
        <w:t xml:space="preserve">Staff administering tests must change gloves between handling of specimens suspected of COVID-19. Refer to </w:t>
      </w:r>
      <w:hyperlink r:id="rId28" w:history="1">
        <w:r w:rsidRPr="009B21B1">
          <w:rPr>
            <w:rFonts w:eastAsia="Calibri"/>
            <w:snapToGrid/>
            <w:color w:val="0000FF"/>
            <w:szCs w:val="24"/>
            <w:u w:val="single"/>
          </w:rPr>
          <w:t>DPH Comprehensive PPE Guidance</w:t>
        </w:r>
      </w:hyperlink>
      <w:r w:rsidRPr="009B21B1">
        <w:rPr>
          <w:rFonts w:eastAsia="Calibri"/>
          <w:snapToGrid/>
          <w:szCs w:val="24"/>
        </w:rPr>
        <w:t xml:space="preserve"> or contact your local board of health for further information regarding the proper use of PPE.</w:t>
      </w:r>
    </w:p>
    <w:p w14:paraId="2B72AF85" w14:textId="7F54F71C" w:rsidR="009B21B1" w:rsidRPr="009B21B1" w:rsidRDefault="004E348C" w:rsidP="009B21B1">
      <w:pPr>
        <w:widowControl/>
        <w:spacing w:line="259" w:lineRule="auto"/>
        <w:rPr>
          <w:rFonts w:eastAsia="Calibri"/>
          <w:snapToGrid/>
          <w:szCs w:val="24"/>
        </w:rPr>
      </w:pPr>
      <w:r>
        <w:rPr>
          <w:rFonts w:eastAsia="Calibri"/>
          <w:snapToGrid/>
          <w:szCs w:val="24"/>
        </w:rPr>
        <w:t>Organizations</w:t>
      </w:r>
      <w:r w:rsidR="009B21B1" w:rsidRPr="009B21B1">
        <w:rPr>
          <w:rFonts w:eastAsia="Calibri"/>
          <w:snapToGrid/>
          <w:szCs w:val="24"/>
        </w:rPr>
        <w:t xml:space="preserve"> must be able to maintain an adequate supply of PPE as is required to administer tests as needed.</w:t>
      </w:r>
    </w:p>
    <w:p w14:paraId="69C43B89" w14:textId="647490CA" w:rsidR="009B21B1" w:rsidRDefault="009B21B1" w:rsidP="009B21B1">
      <w:pPr>
        <w:widowControl/>
        <w:spacing w:line="259" w:lineRule="auto"/>
        <w:rPr>
          <w:rFonts w:eastAsia="Calibri"/>
          <w:snapToGrid/>
          <w:szCs w:val="24"/>
        </w:rPr>
      </w:pPr>
    </w:p>
    <w:p w14:paraId="66E37118" w14:textId="3E768C25" w:rsidR="000C6C06" w:rsidRDefault="000C6C06" w:rsidP="009B21B1">
      <w:pPr>
        <w:widowControl/>
        <w:spacing w:line="259" w:lineRule="auto"/>
        <w:rPr>
          <w:rFonts w:eastAsia="Calibri"/>
          <w:snapToGrid/>
          <w:szCs w:val="24"/>
        </w:rPr>
      </w:pPr>
    </w:p>
    <w:p w14:paraId="64EB4CE4" w14:textId="31F1C4C9" w:rsidR="000C6C06" w:rsidRDefault="000C6C06" w:rsidP="009B21B1">
      <w:pPr>
        <w:widowControl/>
        <w:spacing w:line="259" w:lineRule="auto"/>
        <w:rPr>
          <w:rFonts w:eastAsia="Calibri"/>
          <w:snapToGrid/>
          <w:szCs w:val="24"/>
        </w:rPr>
      </w:pPr>
    </w:p>
    <w:p w14:paraId="23171376" w14:textId="77777777" w:rsidR="000C6C06" w:rsidRPr="009B21B1" w:rsidRDefault="000C6C06" w:rsidP="009B21B1">
      <w:pPr>
        <w:widowControl/>
        <w:spacing w:line="259" w:lineRule="auto"/>
        <w:rPr>
          <w:rFonts w:eastAsia="Calibri"/>
          <w:snapToGrid/>
          <w:szCs w:val="24"/>
        </w:rPr>
      </w:pPr>
    </w:p>
    <w:p w14:paraId="5B12196B" w14:textId="17E86EBD" w:rsidR="009B21B1" w:rsidRPr="0072105B" w:rsidRDefault="009B21B1" w:rsidP="0072105B">
      <w:pPr>
        <w:pStyle w:val="ListParagraph"/>
        <w:numPr>
          <w:ilvl w:val="0"/>
          <w:numId w:val="16"/>
        </w:numPr>
        <w:autoSpaceDE w:val="0"/>
        <w:autoSpaceDN w:val="0"/>
        <w:adjustRightInd w:val="0"/>
        <w:ind w:left="360"/>
        <w:rPr>
          <w:rFonts w:ascii="Times New Roman" w:eastAsia="@Batang" w:hAnsi="Times New Roman" w:cs="Times New Roman"/>
          <w:b/>
          <w:sz w:val="24"/>
          <w:szCs w:val="24"/>
          <w:u w:val="single"/>
        </w:rPr>
      </w:pPr>
      <w:r w:rsidRPr="0072105B">
        <w:rPr>
          <w:rFonts w:ascii="Times New Roman" w:eastAsia="@Batang" w:hAnsi="Times New Roman" w:cs="Times New Roman"/>
          <w:b/>
          <w:sz w:val="24"/>
          <w:szCs w:val="24"/>
          <w:u w:val="single"/>
        </w:rPr>
        <w:t>Ensuring all staff complete training requirements</w:t>
      </w:r>
    </w:p>
    <w:p w14:paraId="5CD42BB1" w14:textId="77777777" w:rsidR="0072105B" w:rsidRDefault="0072105B" w:rsidP="0072105B">
      <w:pPr>
        <w:rPr>
          <w:szCs w:val="24"/>
        </w:rPr>
      </w:pPr>
    </w:p>
    <w:p w14:paraId="70CEF316" w14:textId="3333947C" w:rsidR="0072105B" w:rsidRPr="00CD38D3" w:rsidRDefault="0072105B" w:rsidP="0072105B">
      <w:pPr>
        <w:rPr>
          <w:szCs w:val="24"/>
        </w:rPr>
      </w:pPr>
      <w:r w:rsidRPr="00CD38D3">
        <w:rPr>
          <w:szCs w:val="24"/>
        </w:rPr>
        <w:t>All staff administering Abbott BinaxN</w:t>
      </w:r>
      <w:r>
        <w:rPr>
          <w:szCs w:val="24"/>
        </w:rPr>
        <w:t>OW</w:t>
      </w:r>
      <w:r w:rsidRPr="00CD38D3">
        <w:rPr>
          <w:szCs w:val="24"/>
        </w:rPr>
        <w:t xml:space="preserve"> test kits within a</w:t>
      </w:r>
      <w:r>
        <w:rPr>
          <w:szCs w:val="24"/>
        </w:rPr>
        <w:t xml:space="preserve"> facility </w:t>
      </w:r>
      <w:r w:rsidRPr="00CD38D3">
        <w:rPr>
          <w:szCs w:val="24"/>
        </w:rPr>
        <w:t>must complete all Abbott BinaxN</w:t>
      </w:r>
      <w:r>
        <w:rPr>
          <w:szCs w:val="24"/>
        </w:rPr>
        <w:t>OW</w:t>
      </w:r>
      <w:r w:rsidRPr="00CD38D3">
        <w:rPr>
          <w:szCs w:val="24"/>
        </w:rPr>
        <w:t xml:space="preserve"> training modules. The training modules can be found </w:t>
      </w:r>
      <w:hyperlink r:id="rId29" w:history="1">
        <w:r w:rsidRPr="00CD38D3">
          <w:rPr>
            <w:rStyle w:val="Hyperlink"/>
            <w:szCs w:val="24"/>
          </w:rPr>
          <w:t>here</w:t>
        </w:r>
      </w:hyperlink>
      <w:r w:rsidRPr="00CD38D3">
        <w:rPr>
          <w:szCs w:val="24"/>
        </w:rPr>
        <w:t>.</w:t>
      </w:r>
    </w:p>
    <w:p w14:paraId="4E5088DB" w14:textId="77777777" w:rsidR="0072105B" w:rsidRDefault="0072105B" w:rsidP="0072105B">
      <w:pPr>
        <w:rPr>
          <w:szCs w:val="24"/>
        </w:rPr>
      </w:pPr>
      <w:r>
        <w:rPr>
          <w:szCs w:val="24"/>
        </w:rPr>
        <w:t>The Abbott BinaxNOW training modules include:</w:t>
      </w:r>
    </w:p>
    <w:p w14:paraId="029F08C3" w14:textId="77777777" w:rsidR="0072105B" w:rsidRDefault="0072105B" w:rsidP="0072105B">
      <w:pPr>
        <w:pStyle w:val="ListParagraph"/>
        <w:rPr>
          <w:rFonts w:ascii="Times New Roman" w:hAnsi="Times New Roman" w:cs="Times New Roman"/>
          <w:sz w:val="24"/>
          <w:szCs w:val="24"/>
        </w:rPr>
      </w:pPr>
      <w:r>
        <w:rPr>
          <w:rFonts w:ascii="Times New Roman" w:hAnsi="Times New Roman" w:cs="Times New Roman"/>
          <w:sz w:val="24"/>
          <w:szCs w:val="24"/>
        </w:rPr>
        <w:t>Module 1: Getting Started</w:t>
      </w:r>
    </w:p>
    <w:p w14:paraId="2A1FD418" w14:textId="77777777" w:rsidR="0072105B" w:rsidRDefault="0072105B" w:rsidP="0072105B">
      <w:pPr>
        <w:pStyle w:val="ListParagraph"/>
        <w:rPr>
          <w:rFonts w:ascii="Times New Roman" w:hAnsi="Times New Roman" w:cs="Times New Roman"/>
          <w:sz w:val="24"/>
          <w:szCs w:val="24"/>
        </w:rPr>
      </w:pPr>
      <w:r>
        <w:rPr>
          <w:rFonts w:ascii="Times New Roman" w:hAnsi="Times New Roman" w:cs="Times New Roman"/>
          <w:sz w:val="24"/>
          <w:szCs w:val="24"/>
        </w:rPr>
        <w:t xml:space="preserve">Module 2: Quality Control </w:t>
      </w:r>
    </w:p>
    <w:p w14:paraId="2218597D" w14:textId="77777777" w:rsidR="0072105B" w:rsidRDefault="0072105B" w:rsidP="0072105B">
      <w:pPr>
        <w:pStyle w:val="ListParagraph"/>
        <w:rPr>
          <w:rFonts w:ascii="Times New Roman" w:hAnsi="Times New Roman" w:cs="Times New Roman"/>
          <w:sz w:val="24"/>
          <w:szCs w:val="24"/>
        </w:rPr>
      </w:pPr>
      <w:r>
        <w:rPr>
          <w:rFonts w:ascii="Times New Roman" w:hAnsi="Times New Roman" w:cs="Times New Roman"/>
          <w:sz w:val="24"/>
          <w:szCs w:val="24"/>
        </w:rPr>
        <w:t>Module 3: Specimen Collection and Handling</w:t>
      </w:r>
    </w:p>
    <w:p w14:paraId="1B2DE6CE" w14:textId="77777777" w:rsidR="0072105B" w:rsidRDefault="0072105B" w:rsidP="0072105B">
      <w:pPr>
        <w:pStyle w:val="ListParagraph"/>
        <w:rPr>
          <w:rFonts w:ascii="Times New Roman" w:hAnsi="Times New Roman" w:cs="Times New Roman"/>
          <w:sz w:val="24"/>
          <w:szCs w:val="24"/>
        </w:rPr>
      </w:pPr>
      <w:r>
        <w:rPr>
          <w:rFonts w:ascii="Times New Roman" w:hAnsi="Times New Roman" w:cs="Times New Roman"/>
          <w:sz w:val="24"/>
          <w:szCs w:val="24"/>
        </w:rPr>
        <w:t>Module 4: Patient (Individual) Test</w:t>
      </w:r>
    </w:p>
    <w:p w14:paraId="4AFC30DF" w14:textId="77777777" w:rsidR="0072105B" w:rsidRPr="00E2712A" w:rsidRDefault="0072105B" w:rsidP="0072105B">
      <w:pPr>
        <w:pStyle w:val="ListParagraph"/>
        <w:rPr>
          <w:rFonts w:ascii="Times New Roman" w:hAnsi="Times New Roman" w:cs="Times New Roman"/>
          <w:i/>
          <w:iCs/>
          <w:sz w:val="24"/>
          <w:szCs w:val="24"/>
        </w:rPr>
      </w:pPr>
      <w:r w:rsidRPr="00E2712A">
        <w:rPr>
          <w:rFonts w:ascii="Times New Roman" w:hAnsi="Times New Roman" w:cs="Times New Roman"/>
          <w:i/>
          <w:iCs/>
          <w:sz w:val="24"/>
          <w:szCs w:val="24"/>
        </w:rPr>
        <w:t>Module 5: Navica Admin App – NOT REQUIRED</w:t>
      </w:r>
      <w:r>
        <w:rPr>
          <w:rFonts w:ascii="Times New Roman" w:hAnsi="Times New Roman" w:cs="Times New Roman"/>
          <w:i/>
          <w:iCs/>
          <w:sz w:val="24"/>
          <w:szCs w:val="24"/>
        </w:rPr>
        <w:t>, as the Navica App should not be used</w:t>
      </w:r>
    </w:p>
    <w:p w14:paraId="47EBB227" w14:textId="77777777" w:rsidR="0072105B" w:rsidRDefault="0072105B" w:rsidP="0072105B">
      <w:pPr>
        <w:pStyle w:val="ListParagraph"/>
        <w:rPr>
          <w:rFonts w:ascii="Times New Roman" w:hAnsi="Times New Roman" w:cs="Times New Roman"/>
          <w:sz w:val="24"/>
          <w:szCs w:val="24"/>
        </w:rPr>
      </w:pPr>
    </w:p>
    <w:p w14:paraId="381E6586" w14:textId="77777777" w:rsidR="0072105B" w:rsidRDefault="0072105B" w:rsidP="0072105B">
      <w:pPr>
        <w:rPr>
          <w:szCs w:val="24"/>
        </w:rPr>
      </w:pPr>
      <w:r>
        <w:rPr>
          <w:szCs w:val="24"/>
        </w:rPr>
        <w:t>These modules provide a detailed step-by-step guide to the test process. All the modules should be completed in their entirety prior to staff performing test on individuals.</w:t>
      </w:r>
    </w:p>
    <w:p w14:paraId="012999FA" w14:textId="77777777" w:rsidR="0072105B" w:rsidRDefault="0072105B" w:rsidP="0072105B">
      <w:pPr>
        <w:rPr>
          <w:szCs w:val="24"/>
        </w:rPr>
      </w:pPr>
    </w:p>
    <w:p w14:paraId="3404CC8F" w14:textId="77777777" w:rsidR="0072105B" w:rsidRDefault="0072105B" w:rsidP="0072105B">
      <w:pPr>
        <w:rPr>
          <w:szCs w:val="24"/>
        </w:rPr>
      </w:pPr>
      <w:r w:rsidRPr="00CD38D3">
        <w:rPr>
          <w:szCs w:val="24"/>
        </w:rPr>
        <w:t xml:space="preserve">It is the responsibility of the </w:t>
      </w:r>
      <w:r>
        <w:rPr>
          <w:szCs w:val="24"/>
        </w:rPr>
        <w:t xml:space="preserve">provider </w:t>
      </w:r>
      <w:r w:rsidRPr="00CD38D3">
        <w:rPr>
          <w:szCs w:val="24"/>
        </w:rPr>
        <w:t>to ensure that all the</w:t>
      </w:r>
      <w:r>
        <w:rPr>
          <w:szCs w:val="24"/>
        </w:rPr>
        <w:t xml:space="preserve"> staff administering tests </w:t>
      </w:r>
      <w:r w:rsidRPr="00CD38D3">
        <w:rPr>
          <w:szCs w:val="24"/>
        </w:rPr>
        <w:t xml:space="preserve">have completed the necessary training </w:t>
      </w:r>
      <w:r>
        <w:rPr>
          <w:szCs w:val="24"/>
        </w:rPr>
        <w:t xml:space="preserve">requirements.  </w:t>
      </w:r>
      <w:bookmarkStart w:id="5" w:name="_Hlk55578191"/>
      <w:r>
        <w:rPr>
          <w:szCs w:val="24"/>
        </w:rPr>
        <w:t>Staff administering tests</w:t>
      </w:r>
      <w:r w:rsidRPr="00677AB0">
        <w:rPr>
          <w:szCs w:val="24"/>
        </w:rPr>
        <w:t xml:space="preserve"> must watch the Abbott B</w:t>
      </w:r>
      <w:r>
        <w:rPr>
          <w:szCs w:val="24"/>
        </w:rPr>
        <w:t>inax</w:t>
      </w:r>
      <w:r w:rsidRPr="00677AB0">
        <w:rPr>
          <w:szCs w:val="24"/>
        </w:rPr>
        <w:t xml:space="preserve">NOW video </w:t>
      </w:r>
      <w:r>
        <w:rPr>
          <w:szCs w:val="24"/>
        </w:rPr>
        <w:t>training modules</w:t>
      </w:r>
      <w:r w:rsidRPr="00677AB0">
        <w:rPr>
          <w:szCs w:val="24"/>
        </w:rPr>
        <w:t xml:space="preserve"> as part of their attestation </w:t>
      </w:r>
      <w:r>
        <w:rPr>
          <w:szCs w:val="24"/>
        </w:rPr>
        <w:t>prior to</w:t>
      </w:r>
      <w:r w:rsidRPr="00677AB0">
        <w:rPr>
          <w:szCs w:val="24"/>
        </w:rPr>
        <w:t xml:space="preserve"> ordering tests</w:t>
      </w:r>
      <w:bookmarkEnd w:id="5"/>
    </w:p>
    <w:p w14:paraId="37286164" w14:textId="77777777" w:rsidR="0072105B" w:rsidRDefault="0072105B" w:rsidP="0072105B">
      <w:pPr>
        <w:rPr>
          <w:szCs w:val="24"/>
        </w:rPr>
      </w:pPr>
    </w:p>
    <w:p w14:paraId="232D1DB2" w14:textId="77777777" w:rsidR="0072105B" w:rsidRDefault="0072105B" w:rsidP="0072105B">
      <w:pPr>
        <w:rPr>
          <w:szCs w:val="24"/>
        </w:rPr>
      </w:pPr>
      <w:r>
        <w:rPr>
          <w:szCs w:val="24"/>
        </w:rPr>
        <w:t xml:space="preserve">Additionally, further information about the proper use of the Abbott BinaxNOW test kits can be found on the package insert and </w:t>
      </w:r>
      <w:hyperlink r:id="rId30" w:history="1">
        <w:r w:rsidRPr="00683DCC">
          <w:rPr>
            <w:rStyle w:val="Hyperlink"/>
            <w:szCs w:val="24"/>
          </w:rPr>
          <w:t>here</w:t>
        </w:r>
      </w:hyperlink>
      <w:r>
        <w:rPr>
          <w:szCs w:val="24"/>
        </w:rPr>
        <w:t>. This includes information regarding specimen collection, handling, transportation, and storage.</w:t>
      </w:r>
    </w:p>
    <w:p w14:paraId="14D90817" w14:textId="77777777" w:rsidR="0072105B" w:rsidRDefault="0072105B" w:rsidP="0072105B">
      <w:pPr>
        <w:rPr>
          <w:szCs w:val="24"/>
        </w:rPr>
      </w:pPr>
    </w:p>
    <w:p w14:paraId="65180656" w14:textId="77777777" w:rsidR="0072105B" w:rsidRPr="008B3DB5" w:rsidRDefault="0072105B" w:rsidP="0072105B">
      <w:pPr>
        <w:autoSpaceDE w:val="0"/>
        <w:autoSpaceDN w:val="0"/>
        <w:adjustRightInd w:val="0"/>
        <w:rPr>
          <w:rFonts w:eastAsia="@Batang"/>
          <w:b/>
          <w:u w:val="single"/>
        </w:rPr>
      </w:pPr>
      <w:r w:rsidRPr="00B73DDF">
        <w:rPr>
          <w:rFonts w:eastAsia="@Batang"/>
          <w:szCs w:val="24"/>
        </w:rPr>
        <w:t xml:space="preserve">Staff who have questions or concerns about the administration of the test can utilize these direct links to Abbott support: 800-257-9525 8:00 am – 8:00 pm Monday through Friday or </w:t>
      </w:r>
      <w:hyperlink r:id="rId31" w:history="1">
        <w:r w:rsidRPr="00B73DDF">
          <w:rPr>
            <w:rStyle w:val="Hyperlink"/>
            <w:szCs w:val="24"/>
          </w:rPr>
          <w:t>ts.scr@abbott.com</w:t>
        </w:r>
      </w:hyperlink>
    </w:p>
    <w:p w14:paraId="08B41F68" w14:textId="77777777" w:rsidR="004E348C" w:rsidRPr="004E348C" w:rsidRDefault="004E348C" w:rsidP="006B5450">
      <w:pPr>
        <w:widowControl/>
        <w:rPr>
          <w:rFonts w:eastAsia="Calibri"/>
          <w:snapToGrid/>
          <w:color w:val="0000FF"/>
          <w:szCs w:val="24"/>
          <w:u w:val="single"/>
        </w:rPr>
      </w:pPr>
    </w:p>
    <w:p w14:paraId="021AC1E5" w14:textId="728647E0" w:rsidR="009B21B1" w:rsidRDefault="009B21B1" w:rsidP="0072105B">
      <w:pPr>
        <w:pStyle w:val="ListParagraph"/>
        <w:numPr>
          <w:ilvl w:val="0"/>
          <w:numId w:val="16"/>
        </w:numPr>
        <w:autoSpaceDE w:val="0"/>
        <w:autoSpaceDN w:val="0"/>
        <w:adjustRightInd w:val="0"/>
        <w:ind w:left="360"/>
        <w:rPr>
          <w:rFonts w:ascii="Times New Roman" w:eastAsia="@Batang" w:hAnsi="Times New Roman" w:cs="Times New Roman"/>
          <w:b/>
          <w:sz w:val="24"/>
          <w:szCs w:val="24"/>
          <w:u w:val="single"/>
        </w:rPr>
      </w:pPr>
      <w:r w:rsidRPr="0072105B">
        <w:rPr>
          <w:rFonts w:ascii="Times New Roman" w:eastAsia="@Batang" w:hAnsi="Times New Roman" w:cs="Times New Roman"/>
          <w:b/>
          <w:sz w:val="24"/>
          <w:szCs w:val="24"/>
          <w:u w:val="single"/>
        </w:rPr>
        <w:t>Verifying ability to complete all reporting requirements</w:t>
      </w:r>
    </w:p>
    <w:p w14:paraId="2480425B" w14:textId="77777777" w:rsidR="0072105B" w:rsidRPr="0072105B" w:rsidRDefault="0072105B" w:rsidP="0072105B">
      <w:pPr>
        <w:pStyle w:val="ListParagraph"/>
        <w:autoSpaceDE w:val="0"/>
        <w:autoSpaceDN w:val="0"/>
        <w:adjustRightInd w:val="0"/>
        <w:ind w:left="360"/>
        <w:rPr>
          <w:rFonts w:ascii="Times New Roman" w:eastAsia="@Batang" w:hAnsi="Times New Roman" w:cs="Times New Roman"/>
          <w:b/>
          <w:sz w:val="24"/>
          <w:szCs w:val="24"/>
          <w:u w:val="single"/>
        </w:rPr>
      </w:pPr>
    </w:p>
    <w:p w14:paraId="578D1C1F" w14:textId="1C42B614" w:rsidR="009B21B1" w:rsidRPr="009B21B1" w:rsidRDefault="000F56A8" w:rsidP="009B21B1">
      <w:pPr>
        <w:rPr>
          <w:rFonts w:eastAsia="@Batang"/>
          <w:szCs w:val="24"/>
        </w:rPr>
      </w:pPr>
      <w:r>
        <w:rPr>
          <w:rFonts w:eastAsia="@Batang"/>
          <w:szCs w:val="24"/>
        </w:rPr>
        <w:t xml:space="preserve">Organizations </w:t>
      </w:r>
      <w:r w:rsidR="009B21B1" w:rsidRPr="009B21B1">
        <w:rPr>
          <w:rFonts w:eastAsia="@Batang"/>
          <w:szCs w:val="24"/>
        </w:rPr>
        <w:t>participating in this initiative must report</w:t>
      </w:r>
      <w:r w:rsidR="00114744">
        <w:rPr>
          <w:rFonts w:eastAsia="@Batang"/>
          <w:szCs w:val="24"/>
        </w:rPr>
        <w:t xml:space="preserve"> positive</w:t>
      </w:r>
      <w:r w:rsidR="009B21B1" w:rsidRPr="009B21B1">
        <w:rPr>
          <w:rFonts w:eastAsia="@Batang"/>
          <w:szCs w:val="24"/>
        </w:rPr>
        <w:t xml:space="preserve"> test results to the Department of Public Health’s Bureau of Infectious Diseases and Laboratory Sciences (BIDLS)</w:t>
      </w:r>
      <w:r>
        <w:rPr>
          <w:rFonts w:eastAsia="@Batang"/>
          <w:szCs w:val="24"/>
        </w:rPr>
        <w:t>.</w:t>
      </w:r>
    </w:p>
    <w:p w14:paraId="5B7CB85D" w14:textId="77777777" w:rsidR="009B21B1" w:rsidRPr="009B21B1" w:rsidRDefault="009B21B1" w:rsidP="009B21B1">
      <w:pPr>
        <w:rPr>
          <w:rFonts w:eastAsia="@Batang"/>
          <w:szCs w:val="24"/>
        </w:rPr>
      </w:pPr>
    </w:p>
    <w:p w14:paraId="5AB9B63A" w14:textId="7E039B5D" w:rsidR="006366CA" w:rsidRDefault="009B21B1" w:rsidP="009B21B1">
      <w:pPr>
        <w:rPr>
          <w:rFonts w:eastAsia="@Batang"/>
          <w:szCs w:val="24"/>
        </w:rPr>
      </w:pPr>
      <w:r w:rsidRPr="009B21B1">
        <w:rPr>
          <w:rFonts w:eastAsia="@Batang"/>
          <w:szCs w:val="24"/>
        </w:rPr>
        <w:t xml:space="preserve">Additional information about how </w:t>
      </w:r>
      <w:r w:rsidR="000F56A8">
        <w:rPr>
          <w:rFonts w:eastAsia="@Batang"/>
          <w:szCs w:val="24"/>
        </w:rPr>
        <w:t xml:space="preserve">organizations </w:t>
      </w:r>
      <w:r w:rsidRPr="009B21B1">
        <w:rPr>
          <w:rFonts w:eastAsia="@Batang"/>
          <w:szCs w:val="24"/>
        </w:rPr>
        <w:t xml:space="preserve">will report test results to the Department of Public Health’s Bureau of Infectious Diseases and Laboratory Sciences will be provided in a supplementary memo prior to the distribution of test kits. </w:t>
      </w:r>
    </w:p>
    <w:p w14:paraId="6B6C3DC9" w14:textId="77777777" w:rsidR="006366CA" w:rsidRDefault="006366CA">
      <w:pPr>
        <w:widowControl/>
        <w:rPr>
          <w:rFonts w:eastAsia="@Batang"/>
          <w:szCs w:val="24"/>
        </w:rPr>
      </w:pPr>
      <w:r>
        <w:rPr>
          <w:rFonts w:eastAsia="@Batang"/>
          <w:szCs w:val="24"/>
        </w:rPr>
        <w:br w:type="page"/>
      </w:r>
    </w:p>
    <w:p w14:paraId="1CAF5C67" w14:textId="23B20C37" w:rsidR="00540BB8" w:rsidRPr="0072105B" w:rsidRDefault="00540BB8" w:rsidP="00540BB8">
      <w:pPr>
        <w:pStyle w:val="Heading1"/>
        <w:keepLines/>
        <w:widowControl/>
        <w:tabs>
          <w:tab w:val="clear" w:pos="4680"/>
        </w:tabs>
        <w:spacing w:before="240"/>
        <w:rPr>
          <w:rFonts w:eastAsia="@Batang"/>
          <w:bCs/>
          <w:snapToGrid/>
          <w:sz w:val="28"/>
          <w:szCs w:val="28"/>
        </w:rPr>
      </w:pPr>
      <w:bookmarkStart w:id="6" w:name="_Appendix_C:_Abbott"/>
      <w:bookmarkEnd w:id="6"/>
      <w:r w:rsidRPr="0072105B">
        <w:rPr>
          <w:rFonts w:eastAsia="@Batang"/>
          <w:bCs/>
          <w:snapToGrid/>
          <w:sz w:val="28"/>
          <w:szCs w:val="28"/>
        </w:rPr>
        <w:lastRenderedPageBreak/>
        <w:t xml:space="preserve">Appendix </w:t>
      </w:r>
      <w:r w:rsidR="006366CA">
        <w:rPr>
          <w:rFonts w:eastAsia="@Batang"/>
          <w:bCs/>
          <w:snapToGrid/>
          <w:sz w:val="28"/>
          <w:szCs w:val="28"/>
        </w:rPr>
        <w:t>B</w:t>
      </w:r>
      <w:r w:rsidRPr="0072105B">
        <w:rPr>
          <w:rFonts w:eastAsia="@Batang"/>
          <w:bCs/>
          <w:snapToGrid/>
          <w:sz w:val="28"/>
          <w:szCs w:val="28"/>
        </w:rPr>
        <w:t xml:space="preserve">: </w:t>
      </w:r>
      <w:r w:rsidRPr="00540BB8">
        <w:rPr>
          <w:rFonts w:eastAsia="@Batang"/>
          <w:bCs/>
          <w:snapToGrid/>
          <w:sz w:val="28"/>
          <w:szCs w:val="28"/>
        </w:rPr>
        <w:t xml:space="preserve">Abbott BinaxNOW </w:t>
      </w:r>
      <w:r w:rsidR="003C5E6B">
        <w:rPr>
          <w:rFonts w:eastAsia="@Batang"/>
          <w:bCs/>
          <w:snapToGrid/>
          <w:sz w:val="28"/>
          <w:szCs w:val="28"/>
        </w:rPr>
        <w:t>P</w:t>
      </w:r>
      <w:r w:rsidRPr="00540BB8">
        <w:rPr>
          <w:rFonts w:eastAsia="@Batang"/>
          <w:bCs/>
          <w:snapToGrid/>
          <w:sz w:val="28"/>
          <w:szCs w:val="28"/>
        </w:rPr>
        <w:t>erformance</w:t>
      </w:r>
    </w:p>
    <w:p w14:paraId="398ACB8B" w14:textId="77777777" w:rsidR="00540BB8" w:rsidRDefault="00540BB8" w:rsidP="00540BB8">
      <w:pPr>
        <w:autoSpaceDE w:val="0"/>
        <w:autoSpaceDN w:val="0"/>
        <w:adjustRightInd w:val="0"/>
        <w:rPr>
          <w:rFonts w:eastAsia="@Batang"/>
        </w:rPr>
      </w:pPr>
    </w:p>
    <w:p w14:paraId="2403BAF9" w14:textId="77777777" w:rsidR="00540BB8" w:rsidRDefault="00540BB8" w:rsidP="00540BB8">
      <w:pPr>
        <w:autoSpaceDE w:val="0"/>
        <w:autoSpaceDN w:val="0"/>
        <w:adjustRightInd w:val="0"/>
        <w:rPr>
          <w:rFonts w:eastAsia="@Batang"/>
        </w:rPr>
      </w:pPr>
      <w:r>
        <w:rPr>
          <w:rFonts w:eastAsia="@Batang"/>
        </w:rPr>
        <w:t>The Abbott BinaxNOW test received Emergency Use Authorization (EUA) from the Food and Drug Administration (FDA) in late August. The test is performed on a nasal swab and delivers results in just 15 minutes with no instrumentation, using lateral flow technology with observed sensitivity of 97.1% and specificity of 98.5% in a clinical study.</w:t>
      </w:r>
    </w:p>
    <w:p w14:paraId="3806ACBC" w14:textId="77777777" w:rsidR="00540BB8" w:rsidRDefault="00540BB8" w:rsidP="00540BB8">
      <w:pPr>
        <w:autoSpaceDE w:val="0"/>
        <w:autoSpaceDN w:val="0"/>
        <w:adjustRightInd w:val="0"/>
        <w:rPr>
          <w:rFonts w:eastAsia="@Batang"/>
        </w:rPr>
      </w:pPr>
    </w:p>
    <w:p w14:paraId="23710C2E" w14:textId="0525A941" w:rsidR="00540BB8" w:rsidRDefault="00540BB8" w:rsidP="00540BB8">
      <w:pPr>
        <w:autoSpaceDE w:val="0"/>
        <w:autoSpaceDN w:val="0"/>
        <w:adjustRightInd w:val="0"/>
        <w:rPr>
          <w:rFonts w:eastAsia="@Batang"/>
        </w:rPr>
      </w:pPr>
      <w:r>
        <w:rPr>
          <w:rFonts w:eastAsia="@Batang"/>
        </w:rPr>
        <w:t xml:space="preserve">The test was approved for detection of SARS-CoV2 in symptomatic individuals within 7 days of onset of illness but may be used “off label” in asymptomatic individuals. The EUA allows for use in point-of-care settings that are qualified to have the test performed and are operating under a CLIA (Clinical Laboratory Improvement Amendments) Certificate of Waiver, Certificate of Compliance, or Certificate of Accreditation. Within these settings, the test can be performed by a variety of trained operators. </w:t>
      </w:r>
    </w:p>
    <w:p w14:paraId="42ED1395" w14:textId="77777777" w:rsidR="00540BB8" w:rsidRDefault="00540BB8" w:rsidP="00540BB8">
      <w:pPr>
        <w:autoSpaceDE w:val="0"/>
        <w:autoSpaceDN w:val="0"/>
        <w:adjustRightInd w:val="0"/>
        <w:rPr>
          <w:rFonts w:eastAsia="@Batang"/>
        </w:rPr>
      </w:pPr>
    </w:p>
    <w:p w14:paraId="45E99AFD" w14:textId="385DB460" w:rsidR="00204A24" w:rsidRPr="00204A24" w:rsidRDefault="00540BB8" w:rsidP="00204A24">
      <w:pPr>
        <w:rPr>
          <w:snapToGrid/>
          <w:szCs w:val="24"/>
        </w:rPr>
      </w:pPr>
      <w:r>
        <w:t xml:space="preserve">The Commonwealth conducted a validation study of the performance of the Abbott BinaxNOW test in both symptomatic and asymptomatic individuals at a high throughput, drive-through, free community testing site in Massachusetts. A paired PCR result was the reference for sensitivity and specificity calculations. The BinaxNOW was found to have a very high sensitivity in adults with high viral loads, especially those who were newly symptomatic, and a very high specificity overall.  Overall, 98.6% sensitivity was observed in those with high viral levels (Ct </w:t>
      </w:r>
      <w:r>
        <w:rPr>
          <w:u w:val="single"/>
        </w:rPr>
        <w:t xml:space="preserve">&lt; </w:t>
      </w:r>
      <w:r>
        <w:t xml:space="preserve">30) and 99%+ specificity was observed across all groups. Further details about the study can be found here: </w:t>
      </w:r>
      <w:hyperlink r:id="rId32" w:history="1">
        <w:r w:rsidR="00204A24" w:rsidRPr="00204A24">
          <w:rPr>
            <w:snapToGrid/>
            <w:color w:val="0000FF"/>
            <w:u w:val="single" w:color="0000FF"/>
            <w:lang w:val="de-DE"/>
          </w:rPr>
          <w:t xml:space="preserve">BinaxNOW Antigen Test General Study </w:t>
        </w:r>
      </w:hyperlink>
      <w:r w:rsidR="00204A24" w:rsidRPr="00204A24">
        <w:rPr>
          <w:snapToGrid/>
        </w:rPr>
        <w:t>.</w:t>
      </w:r>
    </w:p>
    <w:p w14:paraId="1C1510ED" w14:textId="4D801AEB" w:rsidR="00540BB8" w:rsidRDefault="00540BB8" w:rsidP="00540BB8">
      <w:pPr>
        <w:widowControl/>
      </w:pPr>
      <w:r>
        <w:t> |.</w:t>
      </w:r>
    </w:p>
    <w:p w14:paraId="2BF18A88" w14:textId="77777777" w:rsidR="001558A8" w:rsidRPr="00FD5E64" w:rsidRDefault="001558A8" w:rsidP="00FD5E64">
      <w:pPr>
        <w:widowControl/>
        <w:shd w:val="clear" w:color="auto" w:fill="FFFFFF"/>
        <w:spacing w:after="120" w:line="259" w:lineRule="auto"/>
        <w:rPr>
          <w:rFonts w:eastAsia="Calibri"/>
          <w:snapToGrid/>
          <w:color w:val="000000"/>
          <w:szCs w:val="24"/>
        </w:rPr>
      </w:pPr>
    </w:p>
    <w:sectPr w:rsidR="001558A8" w:rsidRPr="00FD5E64" w:rsidSect="006A6208">
      <w:footerReference w:type="even" r:id="rId33"/>
      <w:footerReference w:type="default" r:id="rId34"/>
      <w:footerReference w:type="first" r:id="rId35"/>
      <w:endnotePr>
        <w:numFmt w:val="decimal"/>
      </w:endnotePr>
      <w:type w:val="continuous"/>
      <w:pgSz w:w="12240" w:h="15840"/>
      <w:pgMar w:top="1440" w:right="1440" w:bottom="1440" w:left="1440" w:header="1440" w:footer="144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578C" w14:textId="77777777" w:rsidR="00266633" w:rsidRDefault="00266633">
      <w:r>
        <w:separator/>
      </w:r>
    </w:p>
  </w:endnote>
  <w:endnote w:type="continuationSeparator" w:id="0">
    <w:p w14:paraId="728418BF" w14:textId="77777777" w:rsidR="00266633" w:rsidRDefault="0026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AF7D" w14:textId="77777777" w:rsidR="002B014B" w:rsidRDefault="0063563D">
    <w:pPr>
      <w:pStyle w:val="Footer"/>
      <w:framePr w:wrap="around" w:vAnchor="text" w:hAnchor="margin" w:xAlign="right" w:y="1"/>
      <w:rPr>
        <w:rStyle w:val="PageNumber"/>
      </w:rPr>
    </w:pPr>
    <w:r>
      <w:rPr>
        <w:rStyle w:val="PageNumber"/>
      </w:rPr>
      <w:fldChar w:fldCharType="begin"/>
    </w:r>
    <w:r w:rsidR="002B014B">
      <w:rPr>
        <w:rStyle w:val="PageNumber"/>
      </w:rPr>
      <w:instrText xml:space="preserve">PAGE  </w:instrText>
    </w:r>
    <w:r>
      <w:rPr>
        <w:rStyle w:val="PageNumber"/>
      </w:rPr>
      <w:fldChar w:fldCharType="end"/>
    </w:r>
  </w:p>
  <w:p w14:paraId="7DB5F658" w14:textId="77777777" w:rsidR="002B014B" w:rsidRDefault="002B01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5DCF" w14:textId="1033A588" w:rsidR="002B014B" w:rsidRDefault="0063563D" w:rsidP="0001540B">
    <w:pPr>
      <w:pStyle w:val="Footer"/>
      <w:jc w:val="right"/>
    </w:pPr>
    <w:r>
      <w:fldChar w:fldCharType="begin"/>
    </w:r>
    <w:r w:rsidR="004A16E4">
      <w:instrText xml:space="preserve"> PAGE   \* MERGEFORMAT </w:instrText>
    </w:r>
    <w:r>
      <w:fldChar w:fldCharType="separate"/>
    </w:r>
    <w:r w:rsidR="007379AC">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818233"/>
      <w:docPartObj>
        <w:docPartGallery w:val="Page Numbers (Bottom of Page)"/>
        <w:docPartUnique/>
      </w:docPartObj>
    </w:sdtPr>
    <w:sdtEndPr>
      <w:rPr>
        <w:noProof/>
      </w:rPr>
    </w:sdtEndPr>
    <w:sdtContent>
      <w:p w14:paraId="6CED011A" w14:textId="1AE05463" w:rsidR="0001540B" w:rsidRDefault="0001540B" w:rsidP="006A62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AA21" w14:textId="77777777" w:rsidR="0077127D" w:rsidRDefault="007712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EFA6A2" w14:textId="77777777" w:rsidR="0077127D" w:rsidRDefault="0077127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15E0" w14:textId="77777777" w:rsidR="0077127D" w:rsidRDefault="0077127D" w:rsidP="0001540B">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988524"/>
      <w:docPartObj>
        <w:docPartGallery w:val="Page Numbers (Bottom of Page)"/>
        <w:docPartUnique/>
      </w:docPartObj>
    </w:sdtPr>
    <w:sdtEndPr>
      <w:rPr>
        <w:noProof/>
      </w:rPr>
    </w:sdtEndPr>
    <w:sdtContent>
      <w:p w14:paraId="2F067C52" w14:textId="77777777" w:rsidR="0077127D" w:rsidRDefault="0077127D" w:rsidP="006A62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9693D" w14:textId="77777777" w:rsidR="00266633" w:rsidRDefault="00266633">
      <w:r>
        <w:separator/>
      </w:r>
    </w:p>
  </w:footnote>
  <w:footnote w:type="continuationSeparator" w:id="0">
    <w:p w14:paraId="579E0E91" w14:textId="77777777" w:rsidR="00266633" w:rsidRDefault="00266633">
      <w:r>
        <w:continuationSeparator/>
      </w:r>
    </w:p>
  </w:footnote>
  <w:footnote w:id="1">
    <w:p w14:paraId="70E204A7" w14:textId="5CAB40B6" w:rsidR="004D27A4" w:rsidRDefault="004D27A4">
      <w:pPr>
        <w:pStyle w:val="FootnoteText"/>
      </w:pPr>
      <w:r>
        <w:rPr>
          <w:rStyle w:val="FootnoteReference"/>
        </w:rPr>
        <w:footnoteRef/>
      </w:r>
      <w:r>
        <w:t xml:space="preserve"> </w:t>
      </w:r>
      <w:hyperlink r:id="rId1" w:anchor=":~:text=A%20negative%20antigen%20test%20result,alternative%20to%20confirmatory%20NAAT%20testing" w:history="1">
        <w:r w:rsidRPr="00896F7C">
          <w:rPr>
            <w:rStyle w:val="Hyperlink"/>
          </w:rPr>
          <w:t>https://www.cdc.gov/coronavirus/2019-ncov/lab/resources/antigen-tests-guidelines.html#:~:text=A%20negative%20antigen%20test%20result,alternative%20to%20confirmatory%20NAAT%20testing</w:t>
        </w:r>
      </w:hyperlink>
      <w:r w:rsidRPr="00121FD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6D5"/>
    <w:multiLevelType w:val="hybridMultilevel"/>
    <w:tmpl w:val="A53C71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11940"/>
    <w:multiLevelType w:val="hybridMultilevel"/>
    <w:tmpl w:val="B156B9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716B"/>
    <w:multiLevelType w:val="hybridMultilevel"/>
    <w:tmpl w:val="2A36E5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6D5510"/>
    <w:multiLevelType w:val="hybridMultilevel"/>
    <w:tmpl w:val="9F3C61B2"/>
    <w:lvl w:ilvl="0" w:tplc="0409000F">
      <w:start w:val="4"/>
      <w:numFmt w:val="decimal"/>
      <w:lvlText w:val="%1."/>
      <w:lvlJc w:val="left"/>
      <w:pPr>
        <w:tabs>
          <w:tab w:val="num" w:pos="720"/>
        </w:tabs>
        <w:ind w:left="720" w:hanging="360"/>
      </w:pPr>
      <w:rPr>
        <w:rFonts w:hint="default"/>
        <w:b w:val="0"/>
      </w:rPr>
    </w:lvl>
    <w:lvl w:ilvl="1" w:tplc="74E4CF1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15081D"/>
    <w:multiLevelType w:val="hybridMultilevel"/>
    <w:tmpl w:val="CF0A58A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FDE1D79"/>
    <w:multiLevelType w:val="hybridMultilevel"/>
    <w:tmpl w:val="006202F0"/>
    <w:lvl w:ilvl="0" w:tplc="0409000F">
      <w:start w:val="1"/>
      <w:numFmt w:val="decimal"/>
      <w:lvlText w:val="%1."/>
      <w:lvlJc w:val="left"/>
      <w:pPr>
        <w:tabs>
          <w:tab w:val="num" w:pos="720"/>
        </w:tabs>
        <w:ind w:left="720" w:hanging="360"/>
      </w:pPr>
      <w:rPr>
        <w:rFonts w:hint="default"/>
        <w:b w:val="0"/>
      </w:rPr>
    </w:lvl>
    <w:lvl w:ilvl="1" w:tplc="155855E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B466A0"/>
    <w:multiLevelType w:val="hybridMultilevel"/>
    <w:tmpl w:val="C8BA001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FC5246"/>
    <w:multiLevelType w:val="hybridMultilevel"/>
    <w:tmpl w:val="681442A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FE14EA3"/>
    <w:multiLevelType w:val="singleLevel"/>
    <w:tmpl w:val="784C7184"/>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41B57141"/>
    <w:multiLevelType w:val="hybridMultilevel"/>
    <w:tmpl w:val="776AAFAA"/>
    <w:lvl w:ilvl="0" w:tplc="C3CA9020">
      <w:start w:val="2"/>
      <w:numFmt w:val="lowerLetter"/>
      <w:lvlText w:val="%1."/>
      <w:lvlJc w:val="left"/>
      <w:pPr>
        <w:tabs>
          <w:tab w:val="num" w:pos="1140"/>
        </w:tabs>
        <w:ind w:left="1140" w:hanging="420"/>
      </w:pPr>
      <w:rPr>
        <w:rFonts w:hint="default"/>
      </w:rPr>
    </w:lvl>
    <w:lvl w:ilvl="1" w:tplc="84449378">
      <w:start w:val="9"/>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76F26CC"/>
    <w:multiLevelType w:val="hybridMultilevel"/>
    <w:tmpl w:val="275E9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B4413"/>
    <w:multiLevelType w:val="multilevel"/>
    <w:tmpl w:val="9568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1799E"/>
    <w:multiLevelType w:val="hybridMultilevel"/>
    <w:tmpl w:val="72F45A0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14677C0"/>
    <w:multiLevelType w:val="hybridMultilevel"/>
    <w:tmpl w:val="82EAA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4D79F8"/>
    <w:multiLevelType w:val="hybridMultilevel"/>
    <w:tmpl w:val="64D4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47BCE"/>
    <w:multiLevelType w:val="hybridMultilevel"/>
    <w:tmpl w:val="2D94D344"/>
    <w:lvl w:ilvl="0" w:tplc="0409000F">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64874B7F"/>
    <w:multiLevelType w:val="hybridMultilevel"/>
    <w:tmpl w:val="A120C9BC"/>
    <w:lvl w:ilvl="0" w:tplc="2CF0384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26BA28B6" w:tentative="1">
      <w:start w:val="1"/>
      <w:numFmt w:val="bullet"/>
      <w:lvlText w:val="•"/>
      <w:lvlJc w:val="left"/>
      <w:pPr>
        <w:tabs>
          <w:tab w:val="num" w:pos="2160"/>
        </w:tabs>
        <w:ind w:left="2160" w:hanging="360"/>
      </w:pPr>
      <w:rPr>
        <w:rFonts w:ascii="Arial" w:hAnsi="Arial" w:hint="default"/>
      </w:rPr>
    </w:lvl>
    <w:lvl w:ilvl="3" w:tplc="54D2667C" w:tentative="1">
      <w:start w:val="1"/>
      <w:numFmt w:val="bullet"/>
      <w:lvlText w:val="•"/>
      <w:lvlJc w:val="left"/>
      <w:pPr>
        <w:tabs>
          <w:tab w:val="num" w:pos="2880"/>
        </w:tabs>
        <w:ind w:left="2880" w:hanging="360"/>
      </w:pPr>
      <w:rPr>
        <w:rFonts w:ascii="Arial" w:hAnsi="Arial" w:hint="default"/>
      </w:rPr>
    </w:lvl>
    <w:lvl w:ilvl="4" w:tplc="FD60D736" w:tentative="1">
      <w:start w:val="1"/>
      <w:numFmt w:val="bullet"/>
      <w:lvlText w:val="•"/>
      <w:lvlJc w:val="left"/>
      <w:pPr>
        <w:tabs>
          <w:tab w:val="num" w:pos="3600"/>
        </w:tabs>
        <w:ind w:left="3600" w:hanging="360"/>
      </w:pPr>
      <w:rPr>
        <w:rFonts w:ascii="Arial" w:hAnsi="Arial" w:hint="default"/>
      </w:rPr>
    </w:lvl>
    <w:lvl w:ilvl="5" w:tplc="BF6ACC76" w:tentative="1">
      <w:start w:val="1"/>
      <w:numFmt w:val="bullet"/>
      <w:lvlText w:val="•"/>
      <w:lvlJc w:val="left"/>
      <w:pPr>
        <w:tabs>
          <w:tab w:val="num" w:pos="4320"/>
        </w:tabs>
        <w:ind w:left="4320" w:hanging="360"/>
      </w:pPr>
      <w:rPr>
        <w:rFonts w:ascii="Arial" w:hAnsi="Arial" w:hint="default"/>
      </w:rPr>
    </w:lvl>
    <w:lvl w:ilvl="6" w:tplc="47E0C794" w:tentative="1">
      <w:start w:val="1"/>
      <w:numFmt w:val="bullet"/>
      <w:lvlText w:val="•"/>
      <w:lvlJc w:val="left"/>
      <w:pPr>
        <w:tabs>
          <w:tab w:val="num" w:pos="5040"/>
        </w:tabs>
        <w:ind w:left="5040" w:hanging="360"/>
      </w:pPr>
      <w:rPr>
        <w:rFonts w:ascii="Arial" w:hAnsi="Arial" w:hint="default"/>
      </w:rPr>
    </w:lvl>
    <w:lvl w:ilvl="7" w:tplc="F4A86366" w:tentative="1">
      <w:start w:val="1"/>
      <w:numFmt w:val="bullet"/>
      <w:lvlText w:val="•"/>
      <w:lvlJc w:val="left"/>
      <w:pPr>
        <w:tabs>
          <w:tab w:val="num" w:pos="5760"/>
        </w:tabs>
        <w:ind w:left="5760" w:hanging="360"/>
      </w:pPr>
      <w:rPr>
        <w:rFonts w:ascii="Arial" w:hAnsi="Arial" w:hint="default"/>
      </w:rPr>
    </w:lvl>
    <w:lvl w:ilvl="8" w:tplc="A3E29E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AF2794"/>
    <w:multiLevelType w:val="hybridMultilevel"/>
    <w:tmpl w:val="4F68A2A0"/>
    <w:lvl w:ilvl="0" w:tplc="85EADD4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A84ADE"/>
    <w:multiLevelType w:val="hybridMultilevel"/>
    <w:tmpl w:val="F5AC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53F6D"/>
    <w:multiLevelType w:val="hybridMultilevel"/>
    <w:tmpl w:val="DBBC4B6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69824367">
    <w:abstractNumId w:val="19"/>
  </w:num>
  <w:num w:numId="2" w16cid:durableId="533662067">
    <w:abstractNumId w:val="9"/>
  </w:num>
  <w:num w:numId="3" w16cid:durableId="1580672962">
    <w:abstractNumId w:val="0"/>
  </w:num>
  <w:num w:numId="4" w16cid:durableId="1227377986">
    <w:abstractNumId w:val="15"/>
  </w:num>
  <w:num w:numId="5" w16cid:durableId="16200491">
    <w:abstractNumId w:val="13"/>
  </w:num>
  <w:num w:numId="6" w16cid:durableId="981696011">
    <w:abstractNumId w:val="2"/>
  </w:num>
  <w:num w:numId="7" w16cid:durableId="1266500972">
    <w:abstractNumId w:val="8"/>
  </w:num>
  <w:num w:numId="8" w16cid:durableId="1798526318">
    <w:abstractNumId w:val="12"/>
  </w:num>
  <w:num w:numId="9" w16cid:durableId="1108235124">
    <w:abstractNumId w:val="5"/>
  </w:num>
  <w:num w:numId="10" w16cid:durableId="2059013770">
    <w:abstractNumId w:val="17"/>
  </w:num>
  <w:num w:numId="11" w16cid:durableId="1439831771">
    <w:abstractNumId w:val="3"/>
  </w:num>
  <w:num w:numId="12" w16cid:durableId="918296251">
    <w:abstractNumId w:val="7"/>
  </w:num>
  <w:num w:numId="13" w16cid:durableId="1858763952">
    <w:abstractNumId w:val="6"/>
  </w:num>
  <w:num w:numId="14" w16cid:durableId="837421123">
    <w:abstractNumId w:val="10"/>
  </w:num>
  <w:num w:numId="15" w16cid:durableId="1576740397">
    <w:abstractNumId w:val="1"/>
  </w:num>
  <w:num w:numId="16" w16cid:durableId="1341589999">
    <w:abstractNumId w:val="14"/>
  </w:num>
  <w:num w:numId="17" w16cid:durableId="674574648">
    <w:abstractNumId w:val="4"/>
  </w:num>
  <w:num w:numId="18" w16cid:durableId="1347368577">
    <w:abstractNumId w:val="11"/>
  </w:num>
  <w:num w:numId="19" w16cid:durableId="993799001">
    <w:abstractNumId w:val="16"/>
  </w:num>
  <w:num w:numId="20" w16cid:durableId="1505896780">
    <w:abstractNumId w:val="18"/>
  </w:num>
  <w:num w:numId="21" w16cid:durableId="157700868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7"/>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B1"/>
    <w:rsid w:val="00001329"/>
    <w:rsid w:val="000030EF"/>
    <w:rsid w:val="000063B9"/>
    <w:rsid w:val="000072AA"/>
    <w:rsid w:val="00014EBA"/>
    <w:rsid w:val="0001540B"/>
    <w:rsid w:val="0001606C"/>
    <w:rsid w:val="0002567F"/>
    <w:rsid w:val="00027086"/>
    <w:rsid w:val="00030DD3"/>
    <w:rsid w:val="00034C92"/>
    <w:rsid w:val="00043474"/>
    <w:rsid w:val="00053AA3"/>
    <w:rsid w:val="00055A3D"/>
    <w:rsid w:val="00056B96"/>
    <w:rsid w:val="00063782"/>
    <w:rsid w:val="0007158E"/>
    <w:rsid w:val="0007250C"/>
    <w:rsid w:val="00073C73"/>
    <w:rsid w:val="00077595"/>
    <w:rsid w:val="000826AC"/>
    <w:rsid w:val="000853D9"/>
    <w:rsid w:val="00090BBA"/>
    <w:rsid w:val="00097A70"/>
    <w:rsid w:val="000A0B86"/>
    <w:rsid w:val="000A1302"/>
    <w:rsid w:val="000A5AA5"/>
    <w:rsid w:val="000B2C99"/>
    <w:rsid w:val="000B4F29"/>
    <w:rsid w:val="000B63DE"/>
    <w:rsid w:val="000B6697"/>
    <w:rsid w:val="000C6C06"/>
    <w:rsid w:val="000D052C"/>
    <w:rsid w:val="000D5684"/>
    <w:rsid w:val="000E1B88"/>
    <w:rsid w:val="000E1DFE"/>
    <w:rsid w:val="000E3F4E"/>
    <w:rsid w:val="000E3F88"/>
    <w:rsid w:val="000E6832"/>
    <w:rsid w:val="000F56A8"/>
    <w:rsid w:val="000F7EAB"/>
    <w:rsid w:val="00102267"/>
    <w:rsid w:val="00103AB9"/>
    <w:rsid w:val="00114744"/>
    <w:rsid w:val="001160EA"/>
    <w:rsid w:val="00121B6D"/>
    <w:rsid w:val="00123629"/>
    <w:rsid w:val="00132C9F"/>
    <w:rsid w:val="00132F44"/>
    <w:rsid w:val="00133302"/>
    <w:rsid w:val="001362F3"/>
    <w:rsid w:val="00141A59"/>
    <w:rsid w:val="00150BE5"/>
    <w:rsid w:val="001558A8"/>
    <w:rsid w:val="00163AEA"/>
    <w:rsid w:val="00171CF8"/>
    <w:rsid w:val="00173F1B"/>
    <w:rsid w:val="00175F45"/>
    <w:rsid w:val="0017686B"/>
    <w:rsid w:val="00181784"/>
    <w:rsid w:val="0018208E"/>
    <w:rsid w:val="00183DF0"/>
    <w:rsid w:val="001925A3"/>
    <w:rsid w:val="00193BBC"/>
    <w:rsid w:val="00195E0F"/>
    <w:rsid w:val="00197E5D"/>
    <w:rsid w:val="001A4CA9"/>
    <w:rsid w:val="001B3A5F"/>
    <w:rsid w:val="001B71EB"/>
    <w:rsid w:val="001C2471"/>
    <w:rsid w:val="001C2712"/>
    <w:rsid w:val="001D7ECC"/>
    <w:rsid w:val="001E0FC4"/>
    <w:rsid w:val="001E111C"/>
    <w:rsid w:val="001E684C"/>
    <w:rsid w:val="001F1874"/>
    <w:rsid w:val="001F26EB"/>
    <w:rsid w:val="002001BA"/>
    <w:rsid w:val="00202DBD"/>
    <w:rsid w:val="002049E8"/>
    <w:rsid w:val="00204A24"/>
    <w:rsid w:val="002123AB"/>
    <w:rsid w:val="002150AA"/>
    <w:rsid w:val="00215989"/>
    <w:rsid w:val="00217F4F"/>
    <w:rsid w:val="00223A0F"/>
    <w:rsid w:val="00226754"/>
    <w:rsid w:val="0023149B"/>
    <w:rsid w:val="00237924"/>
    <w:rsid w:val="00240E6A"/>
    <w:rsid w:val="002425E3"/>
    <w:rsid w:val="00246035"/>
    <w:rsid w:val="0025000B"/>
    <w:rsid w:val="00261E31"/>
    <w:rsid w:val="00262458"/>
    <w:rsid w:val="0026636C"/>
    <w:rsid w:val="00266633"/>
    <w:rsid w:val="002673FE"/>
    <w:rsid w:val="0026762F"/>
    <w:rsid w:val="0027262E"/>
    <w:rsid w:val="0027294B"/>
    <w:rsid w:val="002845F8"/>
    <w:rsid w:val="0029458C"/>
    <w:rsid w:val="002A70A7"/>
    <w:rsid w:val="002B014B"/>
    <w:rsid w:val="002B359D"/>
    <w:rsid w:val="002C2E4F"/>
    <w:rsid w:val="002C337A"/>
    <w:rsid w:val="002C4703"/>
    <w:rsid w:val="002C7591"/>
    <w:rsid w:val="002D0A4C"/>
    <w:rsid w:val="002D1039"/>
    <w:rsid w:val="002D7FC0"/>
    <w:rsid w:val="002E102C"/>
    <w:rsid w:val="002E41B2"/>
    <w:rsid w:val="002E51BC"/>
    <w:rsid w:val="002F061C"/>
    <w:rsid w:val="002F71C2"/>
    <w:rsid w:val="00305463"/>
    <w:rsid w:val="003149DE"/>
    <w:rsid w:val="00317064"/>
    <w:rsid w:val="00324E4C"/>
    <w:rsid w:val="00330A7E"/>
    <w:rsid w:val="00334D40"/>
    <w:rsid w:val="00353491"/>
    <w:rsid w:val="00356545"/>
    <w:rsid w:val="003625A9"/>
    <w:rsid w:val="003641D0"/>
    <w:rsid w:val="00364FF1"/>
    <w:rsid w:val="00374D20"/>
    <w:rsid w:val="0037790E"/>
    <w:rsid w:val="00387541"/>
    <w:rsid w:val="003906C7"/>
    <w:rsid w:val="00391E0B"/>
    <w:rsid w:val="0039536F"/>
    <w:rsid w:val="00396344"/>
    <w:rsid w:val="003A17FE"/>
    <w:rsid w:val="003B31F6"/>
    <w:rsid w:val="003B4529"/>
    <w:rsid w:val="003C0A42"/>
    <w:rsid w:val="003C5E6B"/>
    <w:rsid w:val="003C7113"/>
    <w:rsid w:val="003D5981"/>
    <w:rsid w:val="003E2E9E"/>
    <w:rsid w:val="003F1E93"/>
    <w:rsid w:val="003F2098"/>
    <w:rsid w:val="003F45CB"/>
    <w:rsid w:val="004066EF"/>
    <w:rsid w:val="004117E5"/>
    <w:rsid w:val="0041778C"/>
    <w:rsid w:val="00432013"/>
    <w:rsid w:val="004320BB"/>
    <w:rsid w:val="004323E2"/>
    <w:rsid w:val="004412C3"/>
    <w:rsid w:val="0044226F"/>
    <w:rsid w:val="00450222"/>
    <w:rsid w:val="004528BB"/>
    <w:rsid w:val="00455EF2"/>
    <w:rsid w:val="004628FA"/>
    <w:rsid w:val="00467314"/>
    <w:rsid w:val="00472450"/>
    <w:rsid w:val="00472538"/>
    <w:rsid w:val="00483A49"/>
    <w:rsid w:val="004864C6"/>
    <w:rsid w:val="00486520"/>
    <w:rsid w:val="0049108E"/>
    <w:rsid w:val="0049178A"/>
    <w:rsid w:val="00491797"/>
    <w:rsid w:val="00497E17"/>
    <w:rsid w:val="004A16E4"/>
    <w:rsid w:val="004A2086"/>
    <w:rsid w:val="004A3523"/>
    <w:rsid w:val="004A46FF"/>
    <w:rsid w:val="004A5CA3"/>
    <w:rsid w:val="004B1A61"/>
    <w:rsid w:val="004C33BC"/>
    <w:rsid w:val="004D18E2"/>
    <w:rsid w:val="004D1CC7"/>
    <w:rsid w:val="004D27A4"/>
    <w:rsid w:val="004D7E25"/>
    <w:rsid w:val="004E02B6"/>
    <w:rsid w:val="004E295A"/>
    <w:rsid w:val="004E348C"/>
    <w:rsid w:val="004E7FFB"/>
    <w:rsid w:val="004F377F"/>
    <w:rsid w:val="00512093"/>
    <w:rsid w:val="00512A29"/>
    <w:rsid w:val="00526BBE"/>
    <w:rsid w:val="00531C9F"/>
    <w:rsid w:val="00534010"/>
    <w:rsid w:val="00540887"/>
    <w:rsid w:val="00540BB8"/>
    <w:rsid w:val="00552248"/>
    <w:rsid w:val="0055267B"/>
    <w:rsid w:val="00555582"/>
    <w:rsid w:val="005603C5"/>
    <w:rsid w:val="00561DC6"/>
    <w:rsid w:val="00561F0C"/>
    <w:rsid w:val="00561F32"/>
    <w:rsid w:val="005632C2"/>
    <w:rsid w:val="00564569"/>
    <w:rsid w:val="0058020F"/>
    <w:rsid w:val="00581828"/>
    <w:rsid w:val="005849A5"/>
    <w:rsid w:val="00594483"/>
    <w:rsid w:val="005A2808"/>
    <w:rsid w:val="005A42B8"/>
    <w:rsid w:val="005A56AA"/>
    <w:rsid w:val="005B1E54"/>
    <w:rsid w:val="005B269E"/>
    <w:rsid w:val="005B6D5E"/>
    <w:rsid w:val="005B7436"/>
    <w:rsid w:val="005C42DA"/>
    <w:rsid w:val="005D582F"/>
    <w:rsid w:val="005E2191"/>
    <w:rsid w:val="005E4844"/>
    <w:rsid w:val="005E5D8E"/>
    <w:rsid w:val="005F1874"/>
    <w:rsid w:val="005F5D54"/>
    <w:rsid w:val="00607EE7"/>
    <w:rsid w:val="00613BF0"/>
    <w:rsid w:val="00633FD2"/>
    <w:rsid w:val="006345E9"/>
    <w:rsid w:val="0063563D"/>
    <w:rsid w:val="006366CA"/>
    <w:rsid w:val="00636AC7"/>
    <w:rsid w:val="00641DFD"/>
    <w:rsid w:val="006647DD"/>
    <w:rsid w:val="0066491A"/>
    <w:rsid w:val="0066511D"/>
    <w:rsid w:val="00666BEC"/>
    <w:rsid w:val="00676217"/>
    <w:rsid w:val="00676769"/>
    <w:rsid w:val="00685AD0"/>
    <w:rsid w:val="00690654"/>
    <w:rsid w:val="00692A67"/>
    <w:rsid w:val="00693BC1"/>
    <w:rsid w:val="0069716C"/>
    <w:rsid w:val="006A3BCD"/>
    <w:rsid w:val="006A5B5A"/>
    <w:rsid w:val="006A6208"/>
    <w:rsid w:val="006B5450"/>
    <w:rsid w:val="006B5DD1"/>
    <w:rsid w:val="006C60B0"/>
    <w:rsid w:val="006D4CBC"/>
    <w:rsid w:val="006E620A"/>
    <w:rsid w:val="00705EED"/>
    <w:rsid w:val="0070733C"/>
    <w:rsid w:val="00712D4E"/>
    <w:rsid w:val="00717A96"/>
    <w:rsid w:val="0072082D"/>
    <w:rsid w:val="0072105B"/>
    <w:rsid w:val="00723057"/>
    <w:rsid w:val="00723D53"/>
    <w:rsid w:val="0072430F"/>
    <w:rsid w:val="00730853"/>
    <w:rsid w:val="00731AF4"/>
    <w:rsid w:val="007352A5"/>
    <w:rsid w:val="007358F4"/>
    <w:rsid w:val="00735907"/>
    <w:rsid w:val="00735D52"/>
    <w:rsid w:val="00737900"/>
    <w:rsid w:val="007379AC"/>
    <w:rsid w:val="0074184A"/>
    <w:rsid w:val="00743AB6"/>
    <w:rsid w:val="00745B4C"/>
    <w:rsid w:val="00753271"/>
    <w:rsid w:val="00766272"/>
    <w:rsid w:val="007709BB"/>
    <w:rsid w:val="00770F7B"/>
    <w:rsid w:val="0077127D"/>
    <w:rsid w:val="007718AD"/>
    <w:rsid w:val="0078028D"/>
    <w:rsid w:val="007965D9"/>
    <w:rsid w:val="007966DA"/>
    <w:rsid w:val="007A0A8A"/>
    <w:rsid w:val="007A22FF"/>
    <w:rsid w:val="007B3D7E"/>
    <w:rsid w:val="007B4C73"/>
    <w:rsid w:val="007B5B50"/>
    <w:rsid w:val="007B65CB"/>
    <w:rsid w:val="007B7FC8"/>
    <w:rsid w:val="007C5222"/>
    <w:rsid w:val="007C71E4"/>
    <w:rsid w:val="007D0007"/>
    <w:rsid w:val="007D6BF1"/>
    <w:rsid w:val="007E19B0"/>
    <w:rsid w:val="007E5344"/>
    <w:rsid w:val="007F38DA"/>
    <w:rsid w:val="007F6D30"/>
    <w:rsid w:val="008011DD"/>
    <w:rsid w:val="00806779"/>
    <w:rsid w:val="00807214"/>
    <w:rsid w:val="00814B5D"/>
    <w:rsid w:val="00814D48"/>
    <w:rsid w:val="00820F63"/>
    <w:rsid w:val="00821C27"/>
    <w:rsid w:val="00831FAD"/>
    <w:rsid w:val="00843516"/>
    <w:rsid w:val="0084404F"/>
    <w:rsid w:val="0085432C"/>
    <w:rsid w:val="00856A08"/>
    <w:rsid w:val="00871C6C"/>
    <w:rsid w:val="00872AB4"/>
    <w:rsid w:val="00873E2A"/>
    <w:rsid w:val="0088140A"/>
    <w:rsid w:val="00881B8C"/>
    <w:rsid w:val="00881D9A"/>
    <w:rsid w:val="0088225A"/>
    <w:rsid w:val="00884064"/>
    <w:rsid w:val="00895CB2"/>
    <w:rsid w:val="008A1373"/>
    <w:rsid w:val="008A244C"/>
    <w:rsid w:val="008A2E0F"/>
    <w:rsid w:val="008A6332"/>
    <w:rsid w:val="008B4475"/>
    <w:rsid w:val="008B5C41"/>
    <w:rsid w:val="008B6DCA"/>
    <w:rsid w:val="008B73D8"/>
    <w:rsid w:val="008C1C16"/>
    <w:rsid w:val="008C2BE1"/>
    <w:rsid w:val="008C327E"/>
    <w:rsid w:val="008C551B"/>
    <w:rsid w:val="008C7DAC"/>
    <w:rsid w:val="008D08BB"/>
    <w:rsid w:val="008E0D77"/>
    <w:rsid w:val="008E1431"/>
    <w:rsid w:val="008F2EC4"/>
    <w:rsid w:val="008F7DF3"/>
    <w:rsid w:val="00906FC3"/>
    <w:rsid w:val="009073FC"/>
    <w:rsid w:val="00911054"/>
    <w:rsid w:val="0091782C"/>
    <w:rsid w:val="00920E7C"/>
    <w:rsid w:val="00921189"/>
    <w:rsid w:val="0092272F"/>
    <w:rsid w:val="00927714"/>
    <w:rsid w:val="00930EB6"/>
    <w:rsid w:val="00937A15"/>
    <w:rsid w:val="00942697"/>
    <w:rsid w:val="00943163"/>
    <w:rsid w:val="00946642"/>
    <w:rsid w:val="009475FC"/>
    <w:rsid w:val="00950562"/>
    <w:rsid w:val="009548EB"/>
    <w:rsid w:val="0095696F"/>
    <w:rsid w:val="00957155"/>
    <w:rsid w:val="00963B70"/>
    <w:rsid w:val="00970D92"/>
    <w:rsid w:val="0097243C"/>
    <w:rsid w:val="00980B43"/>
    <w:rsid w:val="00981BF4"/>
    <w:rsid w:val="00983DF9"/>
    <w:rsid w:val="00991317"/>
    <w:rsid w:val="00991B9B"/>
    <w:rsid w:val="009A3651"/>
    <w:rsid w:val="009A6AC9"/>
    <w:rsid w:val="009B21B1"/>
    <w:rsid w:val="009B4876"/>
    <w:rsid w:val="009D0E22"/>
    <w:rsid w:val="009D1A02"/>
    <w:rsid w:val="009D25AD"/>
    <w:rsid w:val="009D559B"/>
    <w:rsid w:val="009D5A72"/>
    <w:rsid w:val="009D6479"/>
    <w:rsid w:val="009D6BF9"/>
    <w:rsid w:val="009D73AA"/>
    <w:rsid w:val="009E3257"/>
    <w:rsid w:val="009E74CB"/>
    <w:rsid w:val="009F0450"/>
    <w:rsid w:val="009F1E11"/>
    <w:rsid w:val="009F2DC2"/>
    <w:rsid w:val="009F3C73"/>
    <w:rsid w:val="009F64AE"/>
    <w:rsid w:val="00A001BC"/>
    <w:rsid w:val="00A00281"/>
    <w:rsid w:val="00A0258F"/>
    <w:rsid w:val="00A15085"/>
    <w:rsid w:val="00A20567"/>
    <w:rsid w:val="00A244CC"/>
    <w:rsid w:val="00A24C8B"/>
    <w:rsid w:val="00A30C5B"/>
    <w:rsid w:val="00A31947"/>
    <w:rsid w:val="00A36AED"/>
    <w:rsid w:val="00A37123"/>
    <w:rsid w:val="00A375F5"/>
    <w:rsid w:val="00A40123"/>
    <w:rsid w:val="00A4026B"/>
    <w:rsid w:val="00A42F3D"/>
    <w:rsid w:val="00A443D7"/>
    <w:rsid w:val="00A46795"/>
    <w:rsid w:val="00A477B0"/>
    <w:rsid w:val="00A57ACB"/>
    <w:rsid w:val="00A645C5"/>
    <w:rsid w:val="00A65A44"/>
    <w:rsid w:val="00A70BFE"/>
    <w:rsid w:val="00A72D38"/>
    <w:rsid w:val="00A74663"/>
    <w:rsid w:val="00A75214"/>
    <w:rsid w:val="00A76029"/>
    <w:rsid w:val="00A806F1"/>
    <w:rsid w:val="00A83364"/>
    <w:rsid w:val="00A925E5"/>
    <w:rsid w:val="00A964AC"/>
    <w:rsid w:val="00AA1067"/>
    <w:rsid w:val="00AA2373"/>
    <w:rsid w:val="00AB0230"/>
    <w:rsid w:val="00AC07B4"/>
    <w:rsid w:val="00AC1060"/>
    <w:rsid w:val="00AC2B41"/>
    <w:rsid w:val="00AC48C5"/>
    <w:rsid w:val="00AC69C7"/>
    <w:rsid w:val="00AD11C2"/>
    <w:rsid w:val="00AD7FFB"/>
    <w:rsid w:val="00AE1D7A"/>
    <w:rsid w:val="00AE708E"/>
    <w:rsid w:val="00AF411A"/>
    <w:rsid w:val="00B04CB4"/>
    <w:rsid w:val="00B10CD1"/>
    <w:rsid w:val="00B12122"/>
    <w:rsid w:val="00B144AC"/>
    <w:rsid w:val="00B14926"/>
    <w:rsid w:val="00B172D7"/>
    <w:rsid w:val="00B31568"/>
    <w:rsid w:val="00B34436"/>
    <w:rsid w:val="00B346EC"/>
    <w:rsid w:val="00B36CC5"/>
    <w:rsid w:val="00B4785F"/>
    <w:rsid w:val="00B6078C"/>
    <w:rsid w:val="00B64E34"/>
    <w:rsid w:val="00B678F6"/>
    <w:rsid w:val="00B70C76"/>
    <w:rsid w:val="00B714CF"/>
    <w:rsid w:val="00B71DC2"/>
    <w:rsid w:val="00B720CE"/>
    <w:rsid w:val="00B76A63"/>
    <w:rsid w:val="00B8050F"/>
    <w:rsid w:val="00B82F0A"/>
    <w:rsid w:val="00B85B10"/>
    <w:rsid w:val="00B87612"/>
    <w:rsid w:val="00B92842"/>
    <w:rsid w:val="00BA3BBC"/>
    <w:rsid w:val="00BA3DED"/>
    <w:rsid w:val="00BA4316"/>
    <w:rsid w:val="00BB0169"/>
    <w:rsid w:val="00BB0A92"/>
    <w:rsid w:val="00BB5EA5"/>
    <w:rsid w:val="00BB6D04"/>
    <w:rsid w:val="00BC47EE"/>
    <w:rsid w:val="00BC7C35"/>
    <w:rsid w:val="00BD52B8"/>
    <w:rsid w:val="00BE2AD9"/>
    <w:rsid w:val="00BE6925"/>
    <w:rsid w:val="00BF06B2"/>
    <w:rsid w:val="00C02C99"/>
    <w:rsid w:val="00C02E92"/>
    <w:rsid w:val="00C0735A"/>
    <w:rsid w:val="00C12A11"/>
    <w:rsid w:val="00C414E3"/>
    <w:rsid w:val="00C43DA7"/>
    <w:rsid w:val="00C44992"/>
    <w:rsid w:val="00C46D42"/>
    <w:rsid w:val="00C521C8"/>
    <w:rsid w:val="00C528BD"/>
    <w:rsid w:val="00C55328"/>
    <w:rsid w:val="00C566D5"/>
    <w:rsid w:val="00C57231"/>
    <w:rsid w:val="00C62DE5"/>
    <w:rsid w:val="00C637A2"/>
    <w:rsid w:val="00C63E93"/>
    <w:rsid w:val="00C74B50"/>
    <w:rsid w:val="00C76ED7"/>
    <w:rsid w:val="00C827A2"/>
    <w:rsid w:val="00C82914"/>
    <w:rsid w:val="00C876DD"/>
    <w:rsid w:val="00C91411"/>
    <w:rsid w:val="00C9397B"/>
    <w:rsid w:val="00C973B9"/>
    <w:rsid w:val="00CA2D7A"/>
    <w:rsid w:val="00CA46AA"/>
    <w:rsid w:val="00CA57EB"/>
    <w:rsid w:val="00CA7396"/>
    <w:rsid w:val="00CB5098"/>
    <w:rsid w:val="00CB6E14"/>
    <w:rsid w:val="00CB7517"/>
    <w:rsid w:val="00CC0E1C"/>
    <w:rsid w:val="00CD2E04"/>
    <w:rsid w:val="00CE0A55"/>
    <w:rsid w:val="00CE739F"/>
    <w:rsid w:val="00CE76B7"/>
    <w:rsid w:val="00CF4B25"/>
    <w:rsid w:val="00CF4F03"/>
    <w:rsid w:val="00D07B9A"/>
    <w:rsid w:val="00D15B90"/>
    <w:rsid w:val="00D229F5"/>
    <w:rsid w:val="00D22BBA"/>
    <w:rsid w:val="00D2338F"/>
    <w:rsid w:val="00D30764"/>
    <w:rsid w:val="00D32426"/>
    <w:rsid w:val="00D34B7E"/>
    <w:rsid w:val="00D372F5"/>
    <w:rsid w:val="00D40BD2"/>
    <w:rsid w:val="00D5037F"/>
    <w:rsid w:val="00D5524E"/>
    <w:rsid w:val="00D71AFA"/>
    <w:rsid w:val="00D759CA"/>
    <w:rsid w:val="00D8267B"/>
    <w:rsid w:val="00D84D0A"/>
    <w:rsid w:val="00D93919"/>
    <w:rsid w:val="00DA0850"/>
    <w:rsid w:val="00DA0FF8"/>
    <w:rsid w:val="00DA2496"/>
    <w:rsid w:val="00DA738C"/>
    <w:rsid w:val="00DB7F7C"/>
    <w:rsid w:val="00DC5246"/>
    <w:rsid w:val="00DD086C"/>
    <w:rsid w:val="00DD5420"/>
    <w:rsid w:val="00DE18A3"/>
    <w:rsid w:val="00DF1633"/>
    <w:rsid w:val="00E01EFC"/>
    <w:rsid w:val="00E44774"/>
    <w:rsid w:val="00E45E92"/>
    <w:rsid w:val="00E45FAB"/>
    <w:rsid w:val="00E509C5"/>
    <w:rsid w:val="00E5661A"/>
    <w:rsid w:val="00E57A43"/>
    <w:rsid w:val="00E6486D"/>
    <w:rsid w:val="00E708B6"/>
    <w:rsid w:val="00E72A50"/>
    <w:rsid w:val="00E75F86"/>
    <w:rsid w:val="00E8146C"/>
    <w:rsid w:val="00E86F08"/>
    <w:rsid w:val="00E90AB5"/>
    <w:rsid w:val="00E90B3D"/>
    <w:rsid w:val="00E9790D"/>
    <w:rsid w:val="00EA654A"/>
    <w:rsid w:val="00EB28BB"/>
    <w:rsid w:val="00EB65E2"/>
    <w:rsid w:val="00EC6614"/>
    <w:rsid w:val="00EC6B6F"/>
    <w:rsid w:val="00ED1D14"/>
    <w:rsid w:val="00ED7C97"/>
    <w:rsid w:val="00EE11C8"/>
    <w:rsid w:val="00EE1AA3"/>
    <w:rsid w:val="00EE3A31"/>
    <w:rsid w:val="00EE4119"/>
    <w:rsid w:val="00EE5C4E"/>
    <w:rsid w:val="00EE64FC"/>
    <w:rsid w:val="00EE6A34"/>
    <w:rsid w:val="00EF2EE2"/>
    <w:rsid w:val="00EF2F5D"/>
    <w:rsid w:val="00EF5DB0"/>
    <w:rsid w:val="00EF7534"/>
    <w:rsid w:val="00EF7985"/>
    <w:rsid w:val="00EF7A30"/>
    <w:rsid w:val="00F00007"/>
    <w:rsid w:val="00F1120A"/>
    <w:rsid w:val="00F11BC7"/>
    <w:rsid w:val="00F1429A"/>
    <w:rsid w:val="00F21BC8"/>
    <w:rsid w:val="00F33734"/>
    <w:rsid w:val="00F35503"/>
    <w:rsid w:val="00F4186B"/>
    <w:rsid w:val="00F47F6A"/>
    <w:rsid w:val="00F502A4"/>
    <w:rsid w:val="00F56E73"/>
    <w:rsid w:val="00F60C57"/>
    <w:rsid w:val="00F61C39"/>
    <w:rsid w:val="00F64DB1"/>
    <w:rsid w:val="00F664DE"/>
    <w:rsid w:val="00F75C76"/>
    <w:rsid w:val="00F80A81"/>
    <w:rsid w:val="00F871B5"/>
    <w:rsid w:val="00F95F6E"/>
    <w:rsid w:val="00F9630B"/>
    <w:rsid w:val="00F96CAB"/>
    <w:rsid w:val="00FA7E0D"/>
    <w:rsid w:val="00FB577A"/>
    <w:rsid w:val="00FC100E"/>
    <w:rsid w:val="00FC1EF6"/>
    <w:rsid w:val="00FC2278"/>
    <w:rsid w:val="00FD23FE"/>
    <w:rsid w:val="00FD5E64"/>
    <w:rsid w:val="00FE1348"/>
    <w:rsid w:val="00FE2208"/>
    <w:rsid w:val="00FF1D4C"/>
    <w:rsid w:val="00FF200D"/>
    <w:rsid w:val="00FF395A"/>
    <w:rsid w:val="00FF4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79855BDE"/>
  <w15:docId w15:val="{A2BBCE50-90A2-4139-8BF5-91218A75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F3D"/>
    <w:pPr>
      <w:widowControl w:val="0"/>
    </w:pPr>
    <w:rPr>
      <w:snapToGrid w:val="0"/>
      <w:sz w:val="24"/>
    </w:rPr>
  </w:style>
  <w:style w:type="paragraph" w:styleId="Heading1">
    <w:name w:val="heading 1"/>
    <w:basedOn w:val="Normal"/>
    <w:next w:val="Normal"/>
    <w:link w:val="Heading1Char"/>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pPr>
      <w:widowControl/>
      <w:tabs>
        <w:tab w:val="center" w:pos="4320"/>
        <w:tab w:val="right" w:pos="8640"/>
      </w:tabs>
    </w:pPr>
    <w:rPr>
      <w:snapToGrid/>
      <w:szCs w:val="24"/>
    </w:rPr>
  </w:style>
  <w:style w:type="paragraph" w:styleId="BodyText">
    <w:name w:val="Body Text"/>
    <w:basedOn w:val="Normal"/>
    <w:pPr>
      <w:widowControl/>
    </w:pPr>
    <w:rPr>
      <w:rFonts w:ascii="Times" w:hAnsi="Times"/>
      <w:color w:val="000000"/>
    </w:rPr>
  </w:style>
  <w:style w:type="character" w:styleId="Hyperlink">
    <w:name w:val="Hyperlink"/>
    <w:rPr>
      <w:color w:val="0000FF"/>
      <w:u w:val="single"/>
    </w:rPr>
  </w:style>
  <w:style w:type="paragraph" w:styleId="BodyText2">
    <w:name w:val="Body Text 2"/>
    <w:basedOn w:val="Normal"/>
    <w:rPr>
      <w:i/>
      <w:iCs/>
    </w:rPr>
  </w:style>
  <w:style w:type="paragraph" w:styleId="BodyTextIndent">
    <w:name w:val="Body Text Indent"/>
    <w:basedOn w:val="Normal"/>
    <w:pPr>
      <w:autoSpaceDE w:val="0"/>
      <w:autoSpaceDN w:val="0"/>
      <w:adjustRightInd w:val="0"/>
      <w:ind w:left="-360"/>
    </w:pPr>
    <w:rPr>
      <w:snapToGrid/>
      <w:szCs w:val="24"/>
    </w:rPr>
  </w:style>
  <w:style w:type="character" w:styleId="PageNumber">
    <w:name w:val="page number"/>
    <w:basedOn w:val="DefaultParagraphFont"/>
  </w:style>
  <w:style w:type="paragraph" w:styleId="BodyTextIndent3">
    <w:name w:val="Body Text Indent 3"/>
    <w:basedOn w:val="Normal"/>
    <w:pPr>
      <w:widowControl/>
      <w:ind w:left="360" w:hanging="360"/>
    </w:pPr>
    <w:rPr>
      <w:szCs w:val="24"/>
    </w:rPr>
  </w:style>
  <w:style w:type="paragraph" w:styleId="BodyText3">
    <w:name w:val="Body Text 3"/>
    <w:basedOn w:val="Normal"/>
    <w:pPr>
      <w:autoSpaceDE w:val="0"/>
      <w:autoSpaceDN w:val="0"/>
      <w:adjustRightInd w:val="0"/>
    </w:pPr>
    <w:rPr>
      <w:b/>
      <w:bCs/>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rsid w:val="00305463"/>
    <w:pPr>
      <w:widowControl/>
      <w:spacing w:before="100" w:beforeAutospacing="1" w:after="100" w:afterAutospacing="1"/>
    </w:pPr>
    <w:rPr>
      <w:snapToGrid/>
      <w:szCs w:val="24"/>
    </w:rPr>
  </w:style>
  <w:style w:type="character" w:styleId="Emphasis">
    <w:name w:val="Emphasis"/>
    <w:qFormat/>
    <w:rsid w:val="009D6479"/>
    <w:rPr>
      <w:i/>
      <w:iCs/>
    </w:rPr>
  </w:style>
  <w:style w:type="paragraph" w:customStyle="1" w:styleId="WPDefaults">
    <w:name w:val="WP Defaults"/>
    <w:rsid w:val="00AD7F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styleId="PlainText">
    <w:name w:val="Plain Text"/>
    <w:basedOn w:val="Normal"/>
    <w:rsid w:val="006B5DD1"/>
    <w:pPr>
      <w:widowControl/>
    </w:pPr>
    <w:rPr>
      <w:rFonts w:ascii="Courier New" w:hAnsi="Courier New" w:cs="Courier New"/>
      <w:snapToGrid/>
      <w:sz w:val="20"/>
    </w:rPr>
  </w:style>
  <w:style w:type="paragraph" w:styleId="BalloonText">
    <w:name w:val="Balloon Text"/>
    <w:basedOn w:val="Normal"/>
    <w:semiHidden/>
    <w:rsid w:val="00B70C76"/>
    <w:rPr>
      <w:rFonts w:ascii="Tahoma" w:hAnsi="Tahoma" w:cs="Tahoma"/>
      <w:sz w:val="16"/>
      <w:szCs w:val="16"/>
    </w:rPr>
  </w:style>
  <w:style w:type="character" w:customStyle="1" w:styleId="bold1">
    <w:name w:val="bold1"/>
    <w:rsid w:val="00D07B9A"/>
    <w:rPr>
      <w:b/>
      <w:bCs/>
    </w:rPr>
  </w:style>
  <w:style w:type="paragraph" w:customStyle="1" w:styleId="nav">
    <w:name w:val="nav"/>
    <w:basedOn w:val="Normal"/>
    <w:rsid w:val="00F61C39"/>
    <w:pPr>
      <w:widowControl/>
      <w:spacing w:before="100" w:beforeAutospacing="1" w:after="100" w:afterAutospacing="1"/>
    </w:pPr>
    <w:rPr>
      <w:rFonts w:ascii="Verdana" w:hAnsi="Verdana"/>
      <w:snapToGrid/>
      <w:sz w:val="13"/>
      <w:szCs w:val="13"/>
    </w:rPr>
  </w:style>
  <w:style w:type="character" w:customStyle="1" w:styleId="em1">
    <w:name w:val="em1"/>
    <w:rsid w:val="007F38DA"/>
    <w:rPr>
      <w:i/>
      <w:iCs/>
    </w:rPr>
  </w:style>
  <w:style w:type="paragraph" w:customStyle="1" w:styleId="default">
    <w:name w:val="default"/>
    <w:basedOn w:val="Normal"/>
    <w:rsid w:val="000E6832"/>
    <w:pPr>
      <w:widowControl/>
      <w:autoSpaceDE w:val="0"/>
      <w:autoSpaceDN w:val="0"/>
    </w:pPr>
    <w:rPr>
      <w:snapToGrid/>
      <w:color w:val="000000"/>
      <w:szCs w:val="24"/>
    </w:rPr>
  </w:style>
  <w:style w:type="character" w:customStyle="1" w:styleId="subcontent1">
    <w:name w:val="subcontent1"/>
    <w:rsid w:val="0078028D"/>
    <w:rPr>
      <w:b/>
      <w:bCs/>
      <w:color w:val="443718"/>
      <w:sz w:val="20"/>
      <w:szCs w:val="20"/>
    </w:rPr>
  </w:style>
  <w:style w:type="table" w:styleId="TableGrid">
    <w:name w:val="Table Grid"/>
    <w:basedOn w:val="TableNormal"/>
    <w:uiPriority w:val="59"/>
    <w:rsid w:val="00963B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B269E"/>
    <w:pPr>
      <w:widowControl/>
    </w:pPr>
    <w:rPr>
      <w:snapToGrid/>
      <w:sz w:val="20"/>
    </w:rPr>
  </w:style>
  <w:style w:type="character" w:styleId="HTMLCite">
    <w:name w:val="HTML Cite"/>
    <w:rsid w:val="005B269E"/>
    <w:rPr>
      <w:i/>
      <w:iCs/>
    </w:rPr>
  </w:style>
  <w:style w:type="paragraph" w:customStyle="1" w:styleId="margin40em">
    <w:name w:val="margin40 em"/>
    <w:basedOn w:val="Normal"/>
    <w:rsid w:val="003F45CB"/>
    <w:pPr>
      <w:widowControl/>
      <w:spacing w:before="100" w:beforeAutospacing="1" w:after="100" w:afterAutospacing="1"/>
    </w:pPr>
    <w:rPr>
      <w:rFonts w:ascii="Georgia" w:hAnsi="Georgia"/>
      <w:snapToGrid/>
      <w:sz w:val="23"/>
      <w:szCs w:val="23"/>
    </w:rPr>
  </w:style>
  <w:style w:type="paragraph" w:styleId="Header">
    <w:name w:val="header"/>
    <w:basedOn w:val="Normal"/>
    <w:link w:val="HeaderChar"/>
    <w:rsid w:val="004E02B6"/>
    <w:pPr>
      <w:tabs>
        <w:tab w:val="center" w:pos="4680"/>
        <w:tab w:val="right" w:pos="9360"/>
      </w:tabs>
    </w:pPr>
  </w:style>
  <w:style w:type="character" w:customStyle="1" w:styleId="HeaderChar">
    <w:name w:val="Header Char"/>
    <w:link w:val="Header"/>
    <w:rsid w:val="004E02B6"/>
    <w:rPr>
      <w:snapToGrid w:val="0"/>
      <w:sz w:val="24"/>
    </w:rPr>
  </w:style>
  <w:style w:type="character" w:customStyle="1" w:styleId="FooterChar">
    <w:name w:val="Footer Char"/>
    <w:link w:val="Footer"/>
    <w:uiPriority w:val="99"/>
    <w:rsid w:val="004E02B6"/>
    <w:rPr>
      <w:sz w:val="24"/>
      <w:szCs w:val="24"/>
    </w:rPr>
  </w:style>
  <w:style w:type="character" w:styleId="UnresolvedMention">
    <w:name w:val="Unresolved Mention"/>
    <w:basedOn w:val="DefaultParagraphFont"/>
    <w:uiPriority w:val="99"/>
    <w:semiHidden/>
    <w:unhideWhenUsed/>
    <w:rsid w:val="0055267B"/>
    <w:rPr>
      <w:color w:val="605E5C"/>
      <w:shd w:val="clear" w:color="auto" w:fill="E1DFDD"/>
    </w:rPr>
  </w:style>
  <w:style w:type="character" w:styleId="CommentReference">
    <w:name w:val="annotation reference"/>
    <w:basedOn w:val="DefaultParagraphFont"/>
    <w:semiHidden/>
    <w:unhideWhenUsed/>
    <w:rsid w:val="004E348C"/>
    <w:rPr>
      <w:sz w:val="16"/>
      <w:szCs w:val="16"/>
    </w:rPr>
  </w:style>
  <w:style w:type="paragraph" w:styleId="CommentText">
    <w:name w:val="annotation text"/>
    <w:basedOn w:val="Normal"/>
    <w:link w:val="CommentTextChar"/>
    <w:semiHidden/>
    <w:unhideWhenUsed/>
    <w:rsid w:val="004E348C"/>
    <w:rPr>
      <w:sz w:val="20"/>
    </w:rPr>
  </w:style>
  <w:style w:type="character" w:customStyle="1" w:styleId="CommentTextChar">
    <w:name w:val="Comment Text Char"/>
    <w:basedOn w:val="DefaultParagraphFont"/>
    <w:link w:val="CommentText"/>
    <w:semiHidden/>
    <w:rsid w:val="004E348C"/>
    <w:rPr>
      <w:snapToGrid w:val="0"/>
    </w:rPr>
  </w:style>
  <w:style w:type="paragraph" w:styleId="CommentSubject">
    <w:name w:val="annotation subject"/>
    <w:basedOn w:val="CommentText"/>
    <w:next w:val="CommentText"/>
    <w:link w:val="CommentSubjectChar"/>
    <w:semiHidden/>
    <w:unhideWhenUsed/>
    <w:rsid w:val="004E348C"/>
    <w:rPr>
      <w:b/>
      <w:bCs/>
    </w:rPr>
  </w:style>
  <w:style w:type="character" w:customStyle="1" w:styleId="CommentSubjectChar">
    <w:name w:val="Comment Subject Char"/>
    <w:basedOn w:val="CommentTextChar"/>
    <w:link w:val="CommentSubject"/>
    <w:semiHidden/>
    <w:rsid w:val="004E348C"/>
    <w:rPr>
      <w:b/>
      <w:bCs/>
      <w:snapToGrid w:val="0"/>
    </w:rPr>
  </w:style>
  <w:style w:type="paragraph" w:customStyle="1" w:styleId="ExecOffice">
    <w:name w:val="Exec Office"/>
    <w:basedOn w:val="Normal"/>
    <w:rsid w:val="00E75F86"/>
    <w:pPr>
      <w:framePr w:w="6927" w:hSpace="187" w:wrap="notBeside" w:vAnchor="text" w:hAnchor="page" w:x="3594" w:y="1"/>
      <w:widowControl/>
      <w:jc w:val="center"/>
    </w:pPr>
    <w:rPr>
      <w:rFonts w:ascii="Arial" w:hAnsi="Arial"/>
      <w:snapToGrid/>
      <w:sz w:val="28"/>
    </w:rPr>
  </w:style>
  <w:style w:type="paragraph" w:customStyle="1" w:styleId="Governor">
    <w:name w:val="Governor"/>
    <w:basedOn w:val="Normal"/>
    <w:rsid w:val="00E75F86"/>
    <w:pPr>
      <w:framePr w:hSpace="187" w:wrap="notBeside" w:vAnchor="text" w:hAnchor="page" w:x="546" w:y="141"/>
      <w:widowControl/>
      <w:spacing w:after="120"/>
      <w:jc w:val="center"/>
    </w:pPr>
    <w:rPr>
      <w:rFonts w:ascii="Arial Rounded MT Bold" w:hAnsi="Arial Rounded MT Bold"/>
      <w:snapToGrid/>
      <w:sz w:val="14"/>
    </w:rPr>
  </w:style>
  <w:style w:type="paragraph" w:customStyle="1" w:styleId="Weld">
    <w:name w:val="Weld"/>
    <w:basedOn w:val="Normal"/>
    <w:rsid w:val="00E75F86"/>
    <w:pPr>
      <w:framePr w:hSpace="187" w:wrap="notBeside" w:vAnchor="text" w:hAnchor="page" w:x="546" w:y="141"/>
      <w:widowControl/>
      <w:jc w:val="center"/>
    </w:pPr>
    <w:rPr>
      <w:rFonts w:ascii="Arial Rounded MT Bold" w:hAnsi="Arial Rounded MT Bold"/>
      <w:snapToGrid/>
      <w:sz w:val="16"/>
    </w:rPr>
  </w:style>
  <w:style w:type="paragraph" w:styleId="ListParagraph">
    <w:name w:val="List Paragraph"/>
    <w:basedOn w:val="Normal"/>
    <w:link w:val="ListParagraphChar"/>
    <w:uiPriority w:val="34"/>
    <w:qFormat/>
    <w:rsid w:val="0026762F"/>
    <w:pPr>
      <w:widowControl/>
      <w:ind w:left="720"/>
    </w:pPr>
    <w:rPr>
      <w:rFonts w:ascii="Calibri" w:hAnsi="Calibri" w:cs="Calibri"/>
      <w:snapToGrid/>
      <w:sz w:val="22"/>
      <w:szCs w:val="22"/>
    </w:rPr>
  </w:style>
  <w:style w:type="character" w:customStyle="1" w:styleId="ListParagraphChar">
    <w:name w:val="List Paragraph Char"/>
    <w:link w:val="ListParagraph"/>
    <w:uiPriority w:val="34"/>
    <w:locked/>
    <w:rsid w:val="0026762F"/>
    <w:rPr>
      <w:rFonts w:ascii="Calibri" w:hAnsi="Calibri" w:cs="Calibri"/>
      <w:sz w:val="22"/>
      <w:szCs w:val="22"/>
    </w:rPr>
  </w:style>
  <w:style w:type="character" w:customStyle="1" w:styleId="Heading1Char">
    <w:name w:val="Heading 1 Char"/>
    <w:basedOn w:val="DefaultParagraphFont"/>
    <w:link w:val="Heading1"/>
    <w:rsid w:val="0026762F"/>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952">
      <w:bodyDiv w:val="1"/>
      <w:marLeft w:val="0"/>
      <w:marRight w:val="0"/>
      <w:marTop w:val="0"/>
      <w:marBottom w:val="0"/>
      <w:divBdr>
        <w:top w:val="none" w:sz="0" w:space="0" w:color="auto"/>
        <w:left w:val="none" w:sz="0" w:space="0" w:color="auto"/>
        <w:bottom w:val="none" w:sz="0" w:space="0" w:color="auto"/>
        <w:right w:val="none" w:sz="0" w:space="0" w:color="auto"/>
      </w:divBdr>
    </w:div>
    <w:div w:id="79304061">
      <w:bodyDiv w:val="1"/>
      <w:marLeft w:val="0"/>
      <w:marRight w:val="0"/>
      <w:marTop w:val="0"/>
      <w:marBottom w:val="0"/>
      <w:divBdr>
        <w:top w:val="none" w:sz="0" w:space="0" w:color="auto"/>
        <w:left w:val="none" w:sz="0" w:space="0" w:color="auto"/>
        <w:bottom w:val="none" w:sz="0" w:space="0" w:color="auto"/>
        <w:right w:val="none" w:sz="0" w:space="0" w:color="auto"/>
      </w:divBdr>
    </w:div>
    <w:div w:id="80025473">
      <w:bodyDiv w:val="1"/>
      <w:marLeft w:val="0"/>
      <w:marRight w:val="0"/>
      <w:marTop w:val="0"/>
      <w:marBottom w:val="0"/>
      <w:divBdr>
        <w:top w:val="none" w:sz="0" w:space="0" w:color="auto"/>
        <w:left w:val="none" w:sz="0" w:space="0" w:color="auto"/>
        <w:bottom w:val="none" w:sz="0" w:space="0" w:color="auto"/>
        <w:right w:val="none" w:sz="0" w:space="0" w:color="auto"/>
      </w:divBdr>
    </w:div>
    <w:div w:id="98643092">
      <w:bodyDiv w:val="1"/>
      <w:marLeft w:val="0"/>
      <w:marRight w:val="0"/>
      <w:marTop w:val="0"/>
      <w:marBottom w:val="0"/>
      <w:divBdr>
        <w:top w:val="none" w:sz="0" w:space="0" w:color="auto"/>
        <w:left w:val="none" w:sz="0" w:space="0" w:color="auto"/>
        <w:bottom w:val="none" w:sz="0" w:space="0" w:color="auto"/>
        <w:right w:val="none" w:sz="0" w:space="0" w:color="auto"/>
      </w:divBdr>
    </w:div>
    <w:div w:id="118688600">
      <w:bodyDiv w:val="1"/>
      <w:marLeft w:val="0"/>
      <w:marRight w:val="0"/>
      <w:marTop w:val="0"/>
      <w:marBottom w:val="0"/>
      <w:divBdr>
        <w:top w:val="none" w:sz="0" w:space="0" w:color="auto"/>
        <w:left w:val="none" w:sz="0" w:space="0" w:color="auto"/>
        <w:bottom w:val="none" w:sz="0" w:space="0" w:color="auto"/>
        <w:right w:val="none" w:sz="0" w:space="0" w:color="auto"/>
      </w:divBdr>
    </w:div>
    <w:div w:id="377898932">
      <w:bodyDiv w:val="1"/>
      <w:marLeft w:val="0"/>
      <w:marRight w:val="0"/>
      <w:marTop w:val="0"/>
      <w:marBottom w:val="0"/>
      <w:divBdr>
        <w:top w:val="none" w:sz="0" w:space="0" w:color="auto"/>
        <w:left w:val="none" w:sz="0" w:space="0" w:color="auto"/>
        <w:bottom w:val="none" w:sz="0" w:space="0" w:color="auto"/>
        <w:right w:val="none" w:sz="0" w:space="0" w:color="auto"/>
      </w:divBdr>
    </w:div>
    <w:div w:id="382407542">
      <w:bodyDiv w:val="1"/>
      <w:marLeft w:val="0"/>
      <w:marRight w:val="0"/>
      <w:marTop w:val="0"/>
      <w:marBottom w:val="0"/>
      <w:divBdr>
        <w:top w:val="none" w:sz="0" w:space="0" w:color="auto"/>
        <w:left w:val="none" w:sz="0" w:space="0" w:color="auto"/>
        <w:bottom w:val="none" w:sz="0" w:space="0" w:color="auto"/>
        <w:right w:val="none" w:sz="0" w:space="0" w:color="auto"/>
      </w:divBdr>
      <w:divsChild>
        <w:div w:id="85001904">
          <w:marLeft w:val="0"/>
          <w:marRight w:val="0"/>
          <w:marTop w:val="0"/>
          <w:marBottom w:val="0"/>
          <w:divBdr>
            <w:top w:val="none" w:sz="0" w:space="0" w:color="auto"/>
            <w:left w:val="none" w:sz="0" w:space="0" w:color="auto"/>
            <w:bottom w:val="none" w:sz="0" w:space="0" w:color="auto"/>
            <w:right w:val="none" w:sz="0" w:space="0" w:color="auto"/>
          </w:divBdr>
        </w:div>
        <w:div w:id="705788341">
          <w:marLeft w:val="0"/>
          <w:marRight w:val="0"/>
          <w:marTop w:val="0"/>
          <w:marBottom w:val="0"/>
          <w:divBdr>
            <w:top w:val="none" w:sz="0" w:space="0" w:color="auto"/>
            <w:left w:val="none" w:sz="0" w:space="0" w:color="auto"/>
            <w:bottom w:val="none" w:sz="0" w:space="0" w:color="auto"/>
            <w:right w:val="none" w:sz="0" w:space="0" w:color="auto"/>
          </w:divBdr>
        </w:div>
        <w:div w:id="1133207135">
          <w:marLeft w:val="0"/>
          <w:marRight w:val="0"/>
          <w:marTop w:val="0"/>
          <w:marBottom w:val="0"/>
          <w:divBdr>
            <w:top w:val="none" w:sz="0" w:space="0" w:color="auto"/>
            <w:left w:val="none" w:sz="0" w:space="0" w:color="auto"/>
            <w:bottom w:val="none" w:sz="0" w:space="0" w:color="auto"/>
            <w:right w:val="none" w:sz="0" w:space="0" w:color="auto"/>
          </w:divBdr>
        </w:div>
        <w:div w:id="1202087334">
          <w:marLeft w:val="0"/>
          <w:marRight w:val="0"/>
          <w:marTop w:val="0"/>
          <w:marBottom w:val="0"/>
          <w:divBdr>
            <w:top w:val="none" w:sz="0" w:space="0" w:color="auto"/>
            <w:left w:val="none" w:sz="0" w:space="0" w:color="auto"/>
            <w:bottom w:val="none" w:sz="0" w:space="0" w:color="auto"/>
            <w:right w:val="none" w:sz="0" w:space="0" w:color="auto"/>
          </w:divBdr>
        </w:div>
        <w:div w:id="1792897359">
          <w:marLeft w:val="0"/>
          <w:marRight w:val="0"/>
          <w:marTop w:val="0"/>
          <w:marBottom w:val="0"/>
          <w:divBdr>
            <w:top w:val="none" w:sz="0" w:space="0" w:color="auto"/>
            <w:left w:val="none" w:sz="0" w:space="0" w:color="auto"/>
            <w:bottom w:val="none" w:sz="0" w:space="0" w:color="auto"/>
            <w:right w:val="none" w:sz="0" w:space="0" w:color="auto"/>
          </w:divBdr>
        </w:div>
      </w:divsChild>
    </w:div>
    <w:div w:id="419059312">
      <w:bodyDiv w:val="1"/>
      <w:marLeft w:val="0"/>
      <w:marRight w:val="0"/>
      <w:marTop w:val="0"/>
      <w:marBottom w:val="0"/>
      <w:divBdr>
        <w:top w:val="none" w:sz="0" w:space="0" w:color="auto"/>
        <w:left w:val="none" w:sz="0" w:space="0" w:color="auto"/>
        <w:bottom w:val="none" w:sz="0" w:space="0" w:color="auto"/>
        <w:right w:val="none" w:sz="0" w:space="0" w:color="auto"/>
      </w:divBdr>
    </w:div>
    <w:div w:id="446700476">
      <w:bodyDiv w:val="1"/>
      <w:marLeft w:val="0"/>
      <w:marRight w:val="0"/>
      <w:marTop w:val="0"/>
      <w:marBottom w:val="0"/>
      <w:divBdr>
        <w:top w:val="none" w:sz="0" w:space="0" w:color="auto"/>
        <w:left w:val="none" w:sz="0" w:space="0" w:color="auto"/>
        <w:bottom w:val="none" w:sz="0" w:space="0" w:color="auto"/>
        <w:right w:val="none" w:sz="0" w:space="0" w:color="auto"/>
      </w:divBdr>
      <w:divsChild>
        <w:div w:id="1535384632">
          <w:marLeft w:val="0"/>
          <w:marRight w:val="0"/>
          <w:marTop w:val="0"/>
          <w:marBottom w:val="0"/>
          <w:divBdr>
            <w:top w:val="none" w:sz="0" w:space="0" w:color="auto"/>
            <w:left w:val="none" w:sz="0" w:space="0" w:color="auto"/>
            <w:bottom w:val="none" w:sz="0" w:space="0" w:color="auto"/>
            <w:right w:val="none" w:sz="0" w:space="0" w:color="auto"/>
          </w:divBdr>
        </w:div>
      </w:divsChild>
    </w:div>
    <w:div w:id="535429218">
      <w:bodyDiv w:val="1"/>
      <w:marLeft w:val="0"/>
      <w:marRight w:val="0"/>
      <w:marTop w:val="0"/>
      <w:marBottom w:val="0"/>
      <w:divBdr>
        <w:top w:val="none" w:sz="0" w:space="0" w:color="auto"/>
        <w:left w:val="none" w:sz="0" w:space="0" w:color="auto"/>
        <w:bottom w:val="none" w:sz="0" w:space="0" w:color="auto"/>
        <w:right w:val="none" w:sz="0" w:space="0" w:color="auto"/>
      </w:divBdr>
    </w:div>
    <w:div w:id="773013821">
      <w:bodyDiv w:val="1"/>
      <w:marLeft w:val="0"/>
      <w:marRight w:val="0"/>
      <w:marTop w:val="0"/>
      <w:marBottom w:val="0"/>
      <w:divBdr>
        <w:top w:val="none" w:sz="0" w:space="0" w:color="auto"/>
        <w:left w:val="none" w:sz="0" w:space="0" w:color="auto"/>
        <w:bottom w:val="none" w:sz="0" w:space="0" w:color="auto"/>
        <w:right w:val="none" w:sz="0" w:space="0" w:color="auto"/>
      </w:divBdr>
    </w:div>
    <w:div w:id="840702849">
      <w:bodyDiv w:val="1"/>
      <w:marLeft w:val="0"/>
      <w:marRight w:val="0"/>
      <w:marTop w:val="0"/>
      <w:marBottom w:val="0"/>
      <w:divBdr>
        <w:top w:val="none" w:sz="0" w:space="0" w:color="auto"/>
        <w:left w:val="none" w:sz="0" w:space="0" w:color="auto"/>
        <w:bottom w:val="none" w:sz="0" w:space="0" w:color="auto"/>
        <w:right w:val="none" w:sz="0" w:space="0" w:color="auto"/>
      </w:divBdr>
    </w:div>
    <w:div w:id="855654835">
      <w:bodyDiv w:val="1"/>
      <w:marLeft w:val="0"/>
      <w:marRight w:val="0"/>
      <w:marTop w:val="0"/>
      <w:marBottom w:val="0"/>
      <w:divBdr>
        <w:top w:val="none" w:sz="0" w:space="0" w:color="auto"/>
        <w:left w:val="none" w:sz="0" w:space="0" w:color="auto"/>
        <w:bottom w:val="none" w:sz="0" w:space="0" w:color="auto"/>
        <w:right w:val="none" w:sz="0" w:space="0" w:color="auto"/>
      </w:divBdr>
    </w:div>
    <w:div w:id="889153957">
      <w:bodyDiv w:val="1"/>
      <w:marLeft w:val="0"/>
      <w:marRight w:val="0"/>
      <w:marTop w:val="0"/>
      <w:marBottom w:val="0"/>
      <w:divBdr>
        <w:top w:val="none" w:sz="0" w:space="0" w:color="auto"/>
        <w:left w:val="none" w:sz="0" w:space="0" w:color="auto"/>
        <w:bottom w:val="none" w:sz="0" w:space="0" w:color="auto"/>
        <w:right w:val="none" w:sz="0" w:space="0" w:color="auto"/>
      </w:divBdr>
    </w:div>
    <w:div w:id="960108891">
      <w:bodyDiv w:val="1"/>
      <w:marLeft w:val="0"/>
      <w:marRight w:val="0"/>
      <w:marTop w:val="0"/>
      <w:marBottom w:val="0"/>
      <w:divBdr>
        <w:top w:val="none" w:sz="0" w:space="0" w:color="auto"/>
        <w:left w:val="none" w:sz="0" w:space="0" w:color="auto"/>
        <w:bottom w:val="none" w:sz="0" w:space="0" w:color="auto"/>
        <w:right w:val="none" w:sz="0" w:space="0" w:color="auto"/>
      </w:divBdr>
      <w:divsChild>
        <w:div w:id="1211069106">
          <w:marLeft w:val="0"/>
          <w:marRight w:val="0"/>
          <w:marTop w:val="0"/>
          <w:marBottom w:val="0"/>
          <w:divBdr>
            <w:top w:val="none" w:sz="0" w:space="0" w:color="auto"/>
            <w:left w:val="none" w:sz="0" w:space="0" w:color="auto"/>
            <w:bottom w:val="none" w:sz="0" w:space="0" w:color="auto"/>
            <w:right w:val="none" w:sz="0" w:space="0" w:color="auto"/>
          </w:divBdr>
        </w:div>
      </w:divsChild>
    </w:div>
    <w:div w:id="973096235">
      <w:bodyDiv w:val="1"/>
      <w:marLeft w:val="0"/>
      <w:marRight w:val="0"/>
      <w:marTop w:val="0"/>
      <w:marBottom w:val="0"/>
      <w:divBdr>
        <w:top w:val="none" w:sz="0" w:space="0" w:color="auto"/>
        <w:left w:val="none" w:sz="0" w:space="0" w:color="auto"/>
        <w:bottom w:val="none" w:sz="0" w:space="0" w:color="auto"/>
        <w:right w:val="none" w:sz="0" w:space="0" w:color="auto"/>
      </w:divBdr>
      <w:divsChild>
        <w:div w:id="917136916">
          <w:marLeft w:val="0"/>
          <w:marRight w:val="0"/>
          <w:marTop w:val="0"/>
          <w:marBottom w:val="0"/>
          <w:divBdr>
            <w:top w:val="none" w:sz="0" w:space="0" w:color="auto"/>
            <w:left w:val="none" w:sz="0" w:space="0" w:color="auto"/>
            <w:bottom w:val="none" w:sz="0" w:space="0" w:color="auto"/>
            <w:right w:val="none" w:sz="0" w:space="0" w:color="auto"/>
          </w:divBdr>
        </w:div>
      </w:divsChild>
    </w:div>
    <w:div w:id="1163813592">
      <w:bodyDiv w:val="1"/>
      <w:marLeft w:val="0"/>
      <w:marRight w:val="0"/>
      <w:marTop w:val="0"/>
      <w:marBottom w:val="0"/>
      <w:divBdr>
        <w:top w:val="none" w:sz="0" w:space="0" w:color="auto"/>
        <w:left w:val="none" w:sz="0" w:space="0" w:color="auto"/>
        <w:bottom w:val="none" w:sz="0" w:space="0" w:color="auto"/>
        <w:right w:val="none" w:sz="0" w:space="0" w:color="auto"/>
      </w:divBdr>
    </w:div>
    <w:div w:id="1209879328">
      <w:bodyDiv w:val="1"/>
      <w:marLeft w:val="0"/>
      <w:marRight w:val="0"/>
      <w:marTop w:val="0"/>
      <w:marBottom w:val="0"/>
      <w:divBdr>
        <w:top w:val="none" w:sz="0" w:space="0" w:color="auto"/>
        <w:left w:val="none" w:sz="0" w:space="0" w:color="auto"/>
        <w:bottom w:val="none" w:sz="0" w:space="0" w:color="auto"/>
        <w:right w:val="none" w:sz="0" w:space="0" w:color="auto"/>
      </w:divBdr>
      <w:divsChild>
        <w:div w:id="843323322">
          <w:marLeft w:val="0"/>
          <w:marRight w:val="0"/>
          <w:marTop w:val="0"/>
          <w:marBottom w:val="0"/>
          <w:divBdr>
            <w:top w:val="none" w:sz="0" w:space="0" w:color="auto"/>
            <w:left w:val="none" w:sz="0" w:space="0" w:color="auto"/>
            <w:bottom w:val="none" w:sz="0" w:space="0" w:color="auto"/>
            <w:right w:val="none" w:sz="0" w:space="0" w:color="auto"/>
          </w:divBdr>
        </w:div>
        <w:div w:id="1439645288">
          <w:marLeft w:val="0"/>
          <w:marRight w:val="0"/>
          <w:marTop w:val="0"/>
          <w:marBottom w:val="0"/>
          <w:divBdr>
            <w:top w:val="none" w:sz="0" w:space="0" w:color="auto"/>
            <w:left w:val="none" w:sz="0" w:space="0" w:color="auto"/>
            <w:bottom w:val="none" w:sz="0" w:space="0" w:color="auto"/>
            <w:right w:val="none" w:sz="0" w:space="0" w:color="auto"/>
          </w:divBdr>
        </w:div>
      </w:divsChild>
    </w:div>
    <w:div w:id="1367372224">
      <w:bodyDiv w:val="1"/>
      <w:marLeft w:val="0"/>
      <w:marRight w:val="0"/>
      <w:marTop w:val="0"/>
      <w:marBottom w:val="0"/>
      <w:divBdr>
        <w:top w:val="none" w:sz="0" w:space="0" w:color="auto"/>
        <w:left w:val="none" w:sz="0" w:space="0" w:color="auto"/>
        <w:bottom w:val="none" w:sz="0" w:space="0" w:color="auto"/>
        <w:right w:val="none" w:sz="0" w:space="0" w:color="auto"/>
      </w:divBdr>
    </w:div>
    <w:div w:id="1491797933">
      <w:bodyDiv w:val="1"/>
      <w:marLeft w:val="0"/>
      <w:marRight w:val="0"/>
      <w:marTop w:val="0"/>
      <w:marBottom w:val="0"/>
      <w:divBdr>
        <w:top w:val="none" w:sz="0" w:space="0" w:color="auto"/>
        <w:left w:val="none" w:sz="0" w:space="0" w:color="auto"/>
        <w:bottom w:val="none" w:sz="0" w:space="0" w:color="auto"/>
        <w:right w:val="none" w:sz="0" w:space="0" w:color="auto"/>
      </w:divBdr>
    </w:div>
    <w:div w:id="1600675101">
      <w:bodyDiv w:val="1"/>
      <w:marLeft w:val="0"/>
      <w:marRight w:val="0"/>
      <w:marTop w:val="0"/>
      <w:marBottom w:val="0"/>
      <w:divBdr>
        <w:top w:val="none" w:sz="0" w:space="0" w:color="auto"/>
        <w:left w:val="none" w:sz="0" w:space="0" w:color="auto"/>
        <w:bottom w:val="none" w:sz="0" w:space="0" w:color="auto"/>
        <w:right w:val="none" w:sz="0" w:space="0" w:color="auto"/>
      </w:divBdr>
    </w:div>
    <w:div w:id="2002082136">
      <w:bodyDiv w:val="1"/>
      <w:marLeft w:val="0"/>
      <w:marRight w:val="0"/>
      <w:marTop w:val="0"/>
      <w:marBottom w:val="0"/>
      <w:divBdr>
        <w:top w:val="none" w:sz="0" w:space="0" w:color="auto"/>
        <w:left w:val="none" w:sz="0" w:space="0" w:color="auto"/>
        <w:bottom w:val="none" w:sz="0" w:space="0" w:color="auto"/>
        <w:right w:val="none" w:sz="0" w:space="0" w:color="auto"/>
      </w:divBdr>
    </w:div>
    <w:div w:id="2145267172">
      <w:bodyDiv w:val="1"/>
      <w:marLeft w:val="0"/>
      <w:marRight w:val="0"/>
      <w:marTop w:val="0"/>
      <w:marBottom w:val="0"/>
      <w:divBdr>
        <w:top w:val="none" w:sz="0" w:space="0" w:color="auto"/>
        <w:left w:val="none" w:sz="0" w:space="0" w:color="auto"/>
        <w:bottom w:val="none" w:sz="0" w:space="0" w:color="auto"/>
        <w:right w:val="none" w:sz="0" w:space="0" w:color="auto"/>
      </w:divBdr>
      <w:divsChild>
        <w:div w:id="280192290">
          <w:marLeft w:val="150"/>
          <w:marRight w:val="150"/>
          <w:marTop w:val="240"/>
          <w:marBottom w:val="240"/>
          <w:divBdr>
            <w:top w:val="single" w:sz="6" w:space="0" w:color="B4C4D3"/>
            <w:left w:val="none" w:sz="0" w:space="0" w:color="auto"/>
            <w:bottom w:val="none" w:sz="0" w:space="0" w:color="auto"/>
            <w:right w:val="none" w:sz="0" w:space="0" w:color="auto"/>
          </w:divBdr>
          <w:divsChild>
            <w:div w:id="363480293">
              <w:marLeft w:val="0"/>
              <w:marRight w:val="150"/>
              <w:marTop w:val="0"/>
              <w:marBottom w:val="0"/>
              <w:divBdr>
                <w:top w:val="none" w:sz="0" w:space="0" w:color="auto"/>
                <w:left w:val="none" w:sz="0" w:space="0" w:color="auto"/>
                <w:bottom w:val="none" w:sz="0" w:space="0" w:color="auto"/>
                <w:right w:val="none" w:sz="0" w:space="0" w:color="auto"/>
              </w:divBdr>
              <w:divsChild>
                <w:div w:id="1672442668">
                  <w:marLeft w:val="300"/>
                  <w:marRight w:val="0"/>
                  <w:marTop w:val="0"/>
                  <w:marBottom w:val="0"/>
                  <w:divBdr>
                    <w:top w:val="none" w:sz="0" w:space="0" w:color="auto"/>
                    <w:left w:val="none" w:sz="0" w:space="0" w:color="auto"/>
                    <w:bottom w:val="none" w:sz="0" w:space="0" w:color="auto"/>
                    <w:right w:val="none" w:sz="0" w:space="0" w:color="auto"/>
                  </w:divBdr>
                  <w:divsChild>
                    <w:div w:id="80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globalpointofcare.abbott/en/product-details/navica-binaxnow-covid-19-us.html" TargetMode="External"/><Relationship Id="rId26" Type="http://schemas.openxmlformats.org/officeDocument/2006/relationships/hyperlink" Target="mailto:CLIALab@mass.gov" TargetMode="External"/><Relationship Id="rId3" Type="http://schemas.openxmlformats.org/officeDocument/2006/relationships/customXml" Target="../customXml/item3.xml"/><Relationship Id="rId21" Type="http://schemas.openxmlformats.org/officeDocument/2006/relationships/hyperlink" Target="https://www.mass.gov/doc/eohhs-congregate-care-surveillance-testing-guidance/download"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mass.gov/doc/eohhs-congregate-care-surveillance-testing-guidance/download" TargetMode="External"/><Relationship Id="rId25" Type="http://schemas.openxmlformats.org/officeDocument/2006/relationships/hyperlink" Target="https://www.cms.gov/Medicare/CMS-Forms/CMS-Forms/Downloads/CMS116.pdf"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mass.gov/doc/eohhs-congregate-care-surveillance-testing-guidance/download" TargetMode="External"/><Relationship Id="rId20" Type="http://schemas.openxmlformats.org/officeDocument/2006/relationships/hyperlink" Target="https://www.mass.gov/doc/eohhs-congregate-care-surveillance-testing-guidance/download" TargetMode="External"/><Relationship Id="rId29" Type="http://schemas.openxmlformats.org/officeDocument/2006/relationships/hyperlink" Target="https://www.globalpointofcare.abbott/en/support/product-installation-training/navica-brand/navica-binaxnow-ag-trainin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mass.gov/doc/bulletin-2020-23-updated-guidance-for-covid-19-pcr-and-antigen-testing-issued-07082020/download" TargetMode="External"/><Relationship Id="rId32" Type="http://schemas.openxmlformats.org/officeDocument/2006/relationships/hyperlink" Target="https://www.medrxiv.org/content/10.1101/2021.01.09.21249499v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survey.alchemer.com/s3/6077850/Online-Readiness-Checklist-for-Congregate-Care" TargetMode="External"/><Relationship Id="rId28" Type="http://schemas.openxmlformats.org/officeDocument/2006/relationships/hyperlink" Target="https://www.mass.gov/doc/updated-comprehensive-personal-protective-equipment/downloa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nsur.invmed.com/ensur/contentAction.aspx?key=ensur.523747.S2R4E4A3.20200826.257.3955490" TargetMode="External"/><Relationship Id="rId31" Type="http://schemas.openxmlformats.org/officeDocument/2006/relationships/hyperlink" Target="mailto:ts.scr@abbot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 Id="rId22" Type="http://schemas.openxmlformats.org/officeDocument/2006/relationships/hyperlink" Target="https://survey.alchemer.com/s3/6077850/Online-Readiness-Checklist-for-Congregate-Care" TargetMode="External"/><Relationship Id="rId27" Type="http://schemas.openxmlformats.org/officeDocument/2006/relationships/hyperlink" Target="https://www.cms.gov/files/document/cms-clia-laboratory-quick-start-guide-remediated.pdf" TargetMode="External"/><Relationship Id="rId30" Type="http://schemas.openxmlformats.org/officeDocument/2006/relationships/hyperlink" Target="https://www.fda.gov/media/141570/download" TargetMode="Externa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lab/resources/antigen-tests-guide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4" ma:contentTypeDescription="Create a new document." ma:contentTypeScope="" ma:versionID="5abb367d369f9938e51ed1d4c794cb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c21b1ffe671f4f2d4cc57732410565ad"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04FC8-4BAE-4D61-BDA8-590EB3B96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A61A80-E590-4BFF-8D58-26959FDE0E1C}">
  <ds:schemaRefs>
    <ds:schemaRef ds:uri="http://schemas.microsoft.com/sharepoint/v3/contenttype/forms"/>
  </ds:schemaRefs>
</ds:datastoreItem>
</file>

<file path=customXml/itemProps3.xml><?xml version="1.0" encoding="utf-8"?>
<ds:datastoreItem xmlns:ds="http://schemas.openxmlformats.org/officeDocument/2006/customXml" ds:itemID="{3606B190-8ABE-468E-BF22-A6B63836A4D0}">
  <ds:schemaRefs>
    <ds:schemaRef ds:uri="http://schemas.openxmlformats.org/officeDocument/2006/bibliography"/>
  </ds:schemaRefs>
</ds:datastoreItem>
</file>

<file path=customXml/itemProps4.xml><?xml version="1.0" encoding="utf-8"?>
<ds:datastoreItem xmlns:ds="http://schemas.openxmlformats.org/officeDocument/2006/customXml" ds:itemID="{5ADA8CE2-BC50-4CE4-AFB0-ABE88FE2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2216</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Phase I Abbott BinaxNOW K-12 Testing Program Memo and Checklist</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 Abbott BinaxNOW K-12 Testing Program Memo and Checklist</dc:title>
  <dc:creator>DPH</dc:creator>
  <cp:lastModifiedBy>Fillo, Katherine (DPH)</cp:lastModifiedBy>
  <cp:revision>3</cp:revision>
  <cp:lastPrinted>2011-01-14T19:54:00Z</cp:lastPrinted>
  <dcterms:created xsi:type="dcterms:W3CDTF">2022-05-13T18:18:00Z</dcterms:created>
  <dcterms:modified xsi:type="dcterms:W3CDTF">2022-05-13T18:45:00Z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17 2020</vt:lpwstr>
  </property>
  <property fmtid="{D5CDD505-2E9C-101B-9397-08002B2CF9AE}" pid="3" name="ContentTypeId">
    <vt:lpwstr>0x010100BAF16977D12A8C40BEE978808F42C318</vt:lpwstr>
  </property>
</Properties>
</file>