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60845848" w14:textId="77777777" w:rsidR="00F64416" w:rsidRPr="00F64416" w:rsidRDefault="00F64416" w:rsidP="559A9486">
      <w:pPr>
        <w:spacing w:after="100" w:afterAutospacing="1"/>
        <w:rPr>
          <w:b/>
          <w:bCs/>
          <w:szCs w:val="24"/>
        </w:rPr>
      </w:pPr>
      <w:r w:rsidRPr="00F64416">
        <w:rPr>
          <w:b/>
          <w:bCs/>
          <w:kern w:val="2"/>
          <w:szCs w:val="24"/>
          <w14:ligatures w14:val="standardContextual"/>
        </w:rPr>
        <w:t>Guidance for Health Care Personnel with a Respiratory Viral Pathogen Infection or Exposure</w:t>
      </w:r>
    </w:p>
    <w:p w14:paraId="503BAEE0" w14:textId="77777777" w:rsidR="00F64416" w:rsidRPr="00F64416" w:rsidRDefault="00F64416" w:rsidP="00F64416">
      <w:pPr>
        <w:spacing w:after="100" w:afterAutospacing="1"/>
        <w:rPr>
          <w:szCs w:val="24"/>
        </w:rPr>
      </w:pPr>
      <w:r w:rsidRPr="00F64416">
        <w:rPr>
          <w:szCs w:val="24"/>
        </w:rPr>
        <w:t xml:space="preserve">The Commonwealth of Massachusetts is updating this </w:t>
      </w:r>
      <w:proofErr w:type="gramStart"/>
      <w:r w:rsidRPr="00F64416">
        <w:rPr>
          <w:szCs w:val="24"/>
        </w:rPr>
        <w:t>guidance</w:t>
      </w:r>
      <w:proofErr w:type="gramEnd"/>
      <w:r w:rsidRPr="00F64416">
        <w:rPr>
          <w:szCs w:val="24"/>
        </w:rPr>
        <w:t xml:space="preserve"> for healthcare personnel (HCP) in health care settings</w:t>
      </w:r>
      <w:r w:rsidRPr="00F64416">
        <w:rPr>
          <w:kern w:val="2"/>
          <w:szCs w:val="24"/>
          <w14:ligatures w14:val="standardContextual"/>
        </w:rPr>
        <w:t xml:space="preserve"> </w:t>
      </w:r>
      <w:r w:rsidRPr="00F64416">
        <w:rPr>
          <w:szCs w:val="24"/>
        </w:rPr>
        <w:t xml:space="preserve">with </w:t>
      </w:r>
      <w:r w:rsidRPr="00F64416">
        <w:rPr>
          <w:kern w:val="2"/>
          <w:szCs w:val="24"/>
          <w14:ligatures w14:val="standardContextual"/>
        </w:rPr>
        <w:t>respiratory virus</w:t>
      </w:r>
      <w:r w:rsidRPr="00F64416">
        <w:rPr>
          <w:szCs w:val="24"/>
        </w:rPr>
        <w:t xml:space="preserve"> infection or exposure</w:t>
      </w:r>
      <w:r w:rsidRPr="00F64416">
        <w:rPr>
          <w:kern w:val="2"/>
          <w:szCs w:val="24"/>
          <w14:ligatures w14:val="standardContextual"/>
        </w:rPr>
        <w:t xml:space="preserve">. </w:t>
      </w:r>
      <w:r w:rsidRPr="00F64416">
        <w:rPr>
          <w:szCs w:val="24"/>
        </w:rPr>
        <w:t>HCP and health care settings are defined by the Centers for Disease Control and Prevention (CDC) and referenced at the end of this document.</w:t>
      </w:r>
      <w:r w:rsidRPr="00F64416">
        <w:rPr>
          <w:kern w:val="2"/>
          <w:szCs w:val="24"/>
          <w14:ligatures w14:val="standardContextual"/>
        </w:rPr>
        <w:t xml:space="preserve"> This guidance replaces Guidance for Health Care Personnel with SARS-CoV2 Infection or Exposure revision issued October 13, 2022, and further clarified on May 3, 2024.</w:t>
      </w:r>
    </w:p>
    <w:p w14:paraId="1CB0B6B9" w14:textId="77777777" w:rsidR="00F64416" w:rsidRPr="00F64416" w:rsidRDefault="00F64416" w:rsidP="00F64416">
      <w:pPr>
        <w:spacing w:after="100" w:afterAutospacing="1"/>
        <w:rPr>
          <w:szCs w:val="24"/>
        </w:rPr>
      </w:pPr>
      <w:r w:rsidRPr="00F64416">
        <w:rPr>
          <w:szCs w:val="24"/>
        </w:rPr>
        <w:t xml:space="preserve">Effective </w:t>
      </w:r>
      <w:r w:rsidRPr="00F64416">
        <w:rPr>
          <w:b/>
          <w:bCs/>
          <w:szCs w:val="24"/>
        </w:rPr>
        <w:t>September 1, 2025</w:t>
      </w:r>
      <w:r w:rsidRPr="00F64416">
        <w:rPr>
          <w:szCs w:val="24"/>
        </w:rPr>
        <w:t>, HCP are advised to use the standards outlined below, following a confirmed or suspected respiratory virus infection or exposure:</w:t>
      </w:r>
    </w:p>
    <w:p w14:paraId="425E8789" w14:textId="77777777" w:rsidR="00F64416" w:rsidRPr="00F64416" w:rsidRDefault="00F64416" w:rsidP="00F64416">
      <w:pPr>
        <w:spacing w:after="100" w:afterAutospacing="1"/>
        <w:rPr>
          <w:szCs w:val="24"/>
        </w:rPr>
      </w:pPr>
      <w:r w:rsidRPr="00F64416">
        <w:rPr>
          <w:szCs w:val="24"/>
        </w:rPr>
        <w:t xml:space="preserve">HCP who have either tested positive for </w:t>
      </w:r>
      <w:r w:rsidRPr="00F64416">
        <w:rPr>
          <w:kern w:val="2"/>
          <w:szCs w:val="24"/>
          <w14:ligatures w14:val="standardContextual"/>
        </w:rPr>
        <w:t>a respiratory viral pathogen (i.e., SARS-CoV2, Influenza, Respiratory Syncytial Virus, etc.)</w:t>
      </w:r>
      <w:r w:rsidRPr="00F64416">
        <w:rPr>
          <w:szCs w:val="24"/>
        </w:rPr>
        <w:t xml:space="preserve"> or who are exhibiting </w:t>
      </w:r>
      <w:r w:rsidRPr="00F64416">
        <w:rPr>
          <w:kern w:val="2"/>
          <w:szCs w:val="24"/>
          <w14:ligatures w14:val="standardContextual"/>
        </w:rPr>
        <w:t xml:space="preserve">two or more </w:t>
      </w:r>
      <w:r w:rsidRPr="00F64416">
        <w:rPr>
          <w:szCs w:val="24"/>
        </w:rPr>
        <w:t xml:space="preserve">symptoms of </w:t>
      </w:r>
      <w:r w:rsidRPr="00F64416">
        <w:rPr>
          <w:kern w:val="2"/>
          <w:szCs w:val="24"/>
          <w14:ligatures w14:val="standardContextual"/>
        </w:rPr>
        <w:t xml:space="preserve">a respiratory viral illness </w:t>
      </w:r>
      <w:r w:rsidRPr="00F64416">
        <w:rPr>
          <w:szCs w:val="24"/>
        </w:rPr>
        <w:t>(e.g., cough, shortness of breath, sore throat, runny nose, headache, myalgia, chills, fatigue, fever)</w:t>
      </w:r>
      <w:r w:rsidRPr="00F64416">
        <w:rPr>
          <w:kern w:val="2"/>
          <w:szCs w:val="24"/>
          <w14:ligatures w14:val="standardContextual"/>
        </w:rPr>
        <w:t>,</w:t>
      </w:r>
      <w:r w:rsidRPr="00F64416">
        <w:rPr>
          <w:szCs w:val="24"/>
        </w:rPr>
        <w:t xml:space="preserve"> even in the absence of a test, should isolate.</w:t>
      </w:r>
    </w:p>
    <w:p w14:paraId="3F8272AE" w14:textId="77777777" w:rsidR="00F64416" w:rsidRPr="00F64416" w:rsidRDefault="00F64416" w:rsidP="00F64416">
      <w:pPr>
        <w:numPr>
          <w:ilvl w:val="0"/>
          <w:numId w:val="10"/>
        </w:numPr>
        <w:spacing w:before="100" w:beforeAutospacing="1" w:after="120" w:line="259" w:lineRule="auto"/>
        <w:rPr>
          <w:szCs w:val="24"/>
        </w:rPr>
      </w:pPr>
      <w:r w:rsidRPr="00F64416">
        <w:rPr>
          <w:szCs w:val="24"/>
        </w:rPr>
        <w:t>An isolating HCP </w:t>
      </w:r>
      <w:r w:rsidRPr="00F64416">
        <w:rPr>
          <w:b/>
          <w:bCs/>
          <w:szCs w:val="24"/>
        </w:rPr>
        <w:t>who had respiratory viral symptoms </w:t>
      </w:r>
      <w:r w:rsidRPr="00F64416">
        <w:rPr>
          <w:szCs w:val="24"/>
        </w:rPr>
        <w:t>may return to work:</w:t>
      </w:r>
    </w:p>
    <w:p w14:paraId="0A7643DF" w14:textId="77777777" w:rsidR="00F64416" w:rsidRPr="00F64416" w:rsidRDefault="00F64416" w:rsidP="00F64416">
      <w:pPr>
        <w:numPr>
          <w:ilvl w:val="1"/>
          <w:numId w:val="10"/>
        </w:numPr>
        <w:spacing w:before="100" w:beforeAutospacing="1" w:after="120" w:line="259" w:lineRule="auto"/>
        <w:rPr>
          <w:szCs w:val="24"/>
        </w:rPr>
      </w:pPr>
      <w:r w:rsidRPr="00F64416">
        <w:rPr>
          <w:szCs w:val="24"/>
        </w:rPr>
        <w:t>after 3 days have passed since symptom onset; (Day 0 represents symptom onset, with return on Day 4) </w:t>
      </w:r>
      <w:r w:rsidRPr="00F64416">
        <w:rPr>
          <w:b/>
          <w:bCs/>
          <w:szCs w:val="24"/>
        </w:rPr>
        <w:t>AND</w:t>
      </w:r>
    </w:p>
    <w:p w14:paraId="76168080" w14:textId="77777777" w:rsidR="00F64416" w:rsidRPr="00F64416" w:rsidRDefault="00F64416" w:rsidP="00F64416">
      <w:pPr>
        <w:numPr>
          <w:ilvl w:val="1"/>
          <w:numId w:val="10"/>
        </w:numPr>
        <w:spacing w:before="100" w:beforeAutospacing="1" w:after="120" w:line="259" w:lineRule="auto"/>
        <w:rPr>
          <w:szCs w:val="24"/>
        </w:rPr>
      </w:pPr>
      <w:r w:rsidRPr="00F64416">
        <w:rPr>
          <w:szCs w:val="24"/>
        </w:rPr>
        <w:t xml:space="preserve">if symptoms </w:t>
      </w:r>
      <w:r w:rsidRPr="00F64416">
        <w:rPr>
          <w:kern w:val="2"/>
          <w:szCs w:val="24"/>
          <w14:ligatures w14:val="standardContextual"/>
        </w:rPr>
        <w:t>are improving</w:t>
      </w:r>
      <w:r w:rsidRPr="00F64416">
        <w:rPr>
          <w:szCs w:val="24"/>
        </w:rPr>
        <w:t>, including being fever-free without the use of antipyretics for 24 hours;</w:t>
      </w:r>
      <w:r w:rsidRPr="00F64416">
        <w:rPr>
          <w:kern w:val="2"/>
          <w:szCs w:val="24"/>
          <w14:ligatures w14:val="standardContextual"/>
        </w:rPr>
        <w:t xml:space="preserve"> </w:t>
      </w:r>
      <w:r w:rsidRPr="00F64416">
        <w:rPr>
          <w:b/>
          <w:bCs/>
          <w:kern w:val="2"/>
          <w:szCs w:val="24"/>
          <w14:ligatures w14:val="standardContextual"/>
        </w:rPr>
        <w:t>AND</w:t>
      </w:r>
    </w:p>
    <w:p w14:paraId="584C9B12" w14:textId="0540838A" w:rsidR="00F64416" w:rsidRPr="00F64416" w:rsidRDefault="00F64416" w:rsidP="00F64416">
      <w:pPr>
        <w:numPr>
          <w:ilvl w:val="1"/>
          <w:numId w:val="10"/>
        </w:numPr>
        <w:spacing w:before="100" w:beforeAutospacing="1" w:after="120" w:line="259" w:lineRule="auto"/>
        <w:rPr>
          <w:szCs w:val="24"/>
        </w:rPr>
      </w:pPr>
      <w:r w:rsidRPr="00F64416">
        <w:rPr>
          <w:kern w:val="2"/>
          <w:szCs w:val="24"/>
          <w14:ligatures w14:val="standardContextual"/>
        </w:rPr>
        <w:t>if they feel well enough to work</w:t>
      </w:r>
      <w:r w:rsidRPr="00F64416">
        <w:rPr>
          <w:szCs w:val="24"/>
        </w:rPr>
        <w:t>.</w:t>
      </w:r>
    </w:p>
    <w:p w14:paraId="0DE5E306" w14:textId="3062BC53" w:rsidR="00F64416" w:rsidRPr="00F64416" w:rsidRDefault="00F64416" w:rsidP="00F64416">
      <w:pPr>
        <w:numPr>
          <w:ilvl w:val="0"/>
          <w:numId w:val="10"/>
        </w:numPr>
        <w:spacing w:before="100" w:beforeAutospacing="1" w:after="120" w:line="259" w:lineRule="auto"/>
        <w:rPr>
          <w:szCs w:val="24"/>
        </w:rPr>
      </w:pPr>
      <w:r w:rsidRPr="00F64416">
        <w:rPr>
          <w:szCs w:val="24"/>
        </w:rPr>
        <w:t>A</w:t>
      </w:r>
      <w:r w:rsidRPr="00F64416">
        <w:rPr>
          <w:b/>
          <w:bCs/>
          <w:szCs w:val="24"/>
        </w:rPr>
        <w:t xml:space="preserve"> </w:t>
      </w:r>
      <w:r w:rsidRPr="00F64416">
        <w:rPr>
          <w:szCs w:val="24"/>
        </w:rPr>
        <w:t>HCP</w:t>
      </w:r>
      <w:r w:rsidRPr="00F64416">
        <w:rPr>
          <w:b/>
          <w:bCs/>
          <w:szCs w:val="24"/>
        </w:rPr>
        <w:t xml:space="preserve"> who has been asymptomatic </w:t>
      </w:r>
      <w:r w:rsidRPr="00F64416">
        <w:rPr>
          <w:b/>
          <w:bCs/>
          <w:kern w:val="2"/>
          <w:szCs w:val="24"/>
          <w14:ligatures w14:val="standardContextual"/>
        </w:rPr>
        <w:t xml:space="preserve">but tested positive for a viral respiratory </w:t>
      </w:r>
      <w:r w:rsidR="00BE69D3" w:rsidRPr="00F64416">
        <w:rPr>
          <w:b/>
          <w:bCs/>
          <w:kern w:val="2"/>
          <w:szCs w:val="24"/>
          <w14:ligatures w14:val="standardContextual"/>
        </w:rPr>
        <w:t xml:space="preserve">pathogen </w:t>
      </w:r>
      <w:r w:rsidR="00BE69D3" w:rsidRPr="00F64416">
        <w:rPr>
          <w:b/>
          <w:bCs/>
          <w:szCs w:val="24"/>
        </w:rPr>
        <w:t>may</w:t>
      </w:r>
      <w:r w:rsidRPr="00F64416">
        <w:rPr>
          <w:szCs w:val="24"/>
        </w:rPr>
        <w:t xml:space="preserve"> return to work after </w:t>
      </w:r>
      <w:r w:rsidRPr="00F64416">
        <w:rPr>
          <w:kern w:val="2"/>
          <w:szCs w:val="24"/>
          <w14:ligatures w14:val="standardContextual"/>
        </w:rPr>
        <w:t>3</w:t>
      </w:r>
      <w:r w:rsidRPr="00F64416">
        <w:rPr>
          <w:szCs w:val="24"/>
        </w:rPr>
        <w:t xml:space="preserve"> days; (Day 0 represents positive test date, with return on Day 4)</w:t>
      </w:r>
      <w:r w:rsidRPr="00F64416">
        <w:rPr>
          <w:kern w:val="2"/>
          <w:szCs w:val="24"/>
          <w14:ligatures w14:val="standardContextual"/>
        </w:rPr>
        <w:t>.</w:t>
      </w:r>
    </w:p>
    <w:p w14:paraId="47431CB8" w14:textId="77777777" w:rsidR="00F64416" w:rsidRPr="00F64416" w:rsidRDefault="00F64416" w:rsidP="00F64416">
      <w:pPr>
        <w:numPr>
          <w:ilvl w:val="0"/>
          <w:numId w:val="10"/>
        </w:numPr>
        <w:spacing w:before="100" w:beforeAutospacing="1" w:after="160" w:line="259" w:lineRule="auto"/>
        <w:rPr>
          <w:szCs w:val="24"/>
        </w:rPr>
      </w:pPr>
      <w:r w:rsidRPr="00F64416">
        <w:rPr>
          <w:szCs w:val="24"/>
        </w:rPr>
        <w:t xml:space="preserve">Any HCP who returns to work prior to </w:t>
      </w:r>
      <w:r w:rsidRPr="00F64416">
        <w:rPr>
          <w:kern w:val="2"/>
          <w:szCs w:val="24"/>
          <w14:ligatures w14:val="standardContextual"/>
        </w:rPr>
        <w:t>7</w:t>
      </w:r>
      <w:r w:rsidRPr="00F64416">
        <w:rPr>
          <w:szCs w:val="24"/>
        </w:rPr>
        <w:t xml:space="preserve"> days since their </w:t>
      </w:r>
      <w:r w:rsidRPr="00F64416">
        <w:rPr>
          <w:kern w:val="2"/>
          <w:szCs w:val="24"/>
          <w14:ligatures w14:val="standardContextual"/>
        </w:rPr>
        <w:t>symptom onset or</w:t>
      </w:r>
      <w:r w:rsidRPr="00F64416">
        <w:rPr>
          <w:szCs w:val="24"/>
        </w:rPr>
        <w:t xml:space="preserve"> first positive test was taken </w:t>
      </w:r>
      <w:r w:rsidRPr="00F64416">
        <w:rPr>
          <w:b/>
          <w:bCs/>
          <w:szCs w:val="24"/>
        </w:rPr>
        <w:t xml:space="preserve">must wear a facemask until after </w:t>
      </w:r>
      <w:r w:rsidRPr="00F64416">
        <w:rPr>
          <w:b/>
          <w:bCs/>
          <w:kern w:val="2"/>
          <w:szCs w:val="24"/>
          <w14:ligatures w14:val="standardContextual"/>
        </w:rPr>
        <w:t>7</w:t>
      </w:r>
      <w:r w:rsidRPr="00F64416">
        <w:rPr>
          <w:b/>
          <w:bCs/>
          <w:szCs w:val="24"/>
        </w:rPr>
        <w:t xml:space="preserve"> days ha</w:t>
      </w:r>
      <w:r w:rsidRPr="00F64416">
        <w:rPr>
          <w:b/>
          <w:bCs/>
          <w:kern w:val="2"/>
          <w:szCs w:val="24"/>
          <w14:ligatures w14:val="standardContextual"/>
        </w:rPr>
        <w:t>ve</w:t>
      </w:r>
      <w:r w:rsidRPr="00F64416">
        <w:rPr>
          <w:b/>
          <w:bCs/>
          <w:szCs w:val="24"/>
        </w:rPr>
        <w:t xml:space="preserve"> passed (</w:t>
      </w:r>
      <w:r w:rsidRPr="00F64416">
        <w:rPr>
          <w:szCs w:val="24"/>
        </w:rPr>
        <w:t>Day 8 represents the first day masks may be removed</w:t>
      </w:r>
      <w:r w:rsidRPr="00F64416">
        <w:rPr>
          <w:b/>
          <w:bCs/>
          <w:szCs w:val="24"/>
        </w:rPr>
        <w:t>)</w:t>
      </w:r>
      <w:r w:rsidRPr="00F64416">
        <w:rPr>
          <w:szCs w:val="24"/>
        </w:rPr>
        <w:t>.   </w:t>
      </w:r>
    </w:p>
    <w:p w14:paraId="5C69412D" w14:textId="77777777" w:rsidR="00F64416" w:rsidRPr="00F64416" w:rsidRDefault="00F64416" w:rsidP="00F64416">
      <w:pPr>
        <w:rPr>
          <w:szCs w:val="24"/>
        </w:rPr>
      </w:pPr>
    </w:p>
    <w:p w14:paraId="4CF63FAD" w14:textId="77777777" w:rsidR="00F64416" w:rsidRPr="00F64416" w:rsidRDefault="00F64416" w:rsidP="00F64416">
      <w:pPr>
        <w:rPr>
          <w:szCs w:val="24"/>
        </w:rPr>
      </w:pPr>
      <w:r w:rsidRPr="00F64416">
        <w:rPr>
          <w:szCs w:val="24"/>
        </w:rPr>
        <w:t xml:space="preserve">HCP who have been exposed to someone who has </w:t>
      </w:r>
      <w:r w:rsidRPr="00F64416">
        <w:rPr>
          <w:kern w:val="2"/>
          <w:szCs w:val="24"/>
          <w14:ligatures w14:val="standardContextual"/>
        </w:rPr>
        <w:t>a respiratory viral illness</w:t>
      </w:r>
      <w:r w:rsidRPr="00F64416">
        <w:rPr>
          <w:szCs w:val="24"/>
        </w:rPr>
        <w:t xml:space="preserve"> but are not themselves exhibiting any symptoms and have not tested positive</w:t>
      </w:r>
      <w:r w:rsidRPr="00F64416">
        <w:rPr>
          <w:kern w:val="2"/>
          <w:szCs w:val="24"/>
          <w14:ligatures w14:val="standardContextual"/>
        </w:rPr>
        <w:t xml:space="preserve"> for a respiratory viral pathogen</w:t>
      </w:r>
      <w:r w:rsidRPr="00F64416">
        <w:rPr>
          <w:szCs w:val="24"/>
        </w:rPr>
        <w:t xml:space="preserve">, do not need to be restricted from work. HCP may continue to work after being </w:t>
      </w:r>
      <w:r w:rsidRPr="00F64416">
        <w:rPr>
          <w:szCs w:val="24"/>
        </w:rPr>
        <w:lastRenderedPageBreak/>
        <w:t xml:space="preserve">exposed, provided they remain asymptomatic. Said HCP should wear PPE appropriate for their duties and must at least wear a facemask, </w:t>
      </w:r>
      <w:r w:rsidRPr="00F64416">
        <w:rPr>
          <w:kern w:val="2"/>
          <w:szCs w:val="24"/>
          <w14:ligatures w14:val="standardContextual"/>
        </w:rPr>
        <w:t xml:space="preserve">or </w:t>
      </w:r>
      <w:r w:rsidRPr="00F64416">
        <w:rPr>
          <w:szCs w:val="24"/>
        </w:rPr>
        <w:t xml:space="preserve">a surgical, medical procedure, dental, or isolation mask that is </w:t>
      </w:r>
      <w:hyperlink r:id="rId12" w:history="1">
        <w:r w:rsidRPr="00F64416">
          <w:rPr>
            <w:color w:val="467886"/>
            <w:kern w:val="2"/>
            <w:szCs w:val="24"/>
            <w:u w:val="single"/>
            <w14:ligatures w14:val="standardContextual"/>
          </w:rPr>
          <w:t>FDA-cleared</w:t>
        </w:r>
      </w:hyperlink>
      <w:r w:rsidRPr="00F64416">
        <w:rPr>
          <w:szCs w:val="24"/>
        </w:rPr>
        <w:t xml:space="preserve">, authorized by an FDA EUA, or offered or distributed as described in an FDA enforcement policy, and self-monitor for symptoms for </w:t>
      </w:r>
      <w:r w:rsidRPr="00F64416">
        <w:rPr>
          <w:kern w:val="2"/>
          <w:szCs w:val="24"/>
          <w14:ligatures w14:val="standardContextual"/>
        </w:rPr>
        <w:t>5</w:t>
      </w:r>
      <w:r w:rsidRPr="00F64416">
        <w:rPr>
          <w:szCs w:val="24"/>
        </w:rPr>
        <w:t xml:space="preserve"> days</w:t>
      </w:r>
      <w:r w:rsidRPr="00F64416">
        <w:rPr>
          <w:kern w:val="2"/>
          <w:szCs w:val="24"/>
          <w14:ligatures w14:val="standardContextual"/>
        </w:rPr>
        <w:t xml:space="preserve"> after exposure.</w:t>
      </w:r>
    </w:p>
    <w:p w14:paraId="1DF5B202" w14:textId="77777777" w:rsidR="00F64416" w:rsidRPr="00F64416" w:rsidRDefault="00F64416" w:rsidP="00F64416">
      <w:pPr>
        <w:rPr>
          <w:szCs w:val="24"/>
        </w:rPr>
      </w:pPr>
    </w:p>
    <w:p w14:paraId="75BAA840" w14:textId="5A2EFF7D" w:rsidR="00F64416" w:rsidRPr="00F64416" w:rsidRDefault="00F64416" w:rsidP="00F64416">
      <w:pPr>
        <w:rPr>
          <w:szCs w:val="24"/>
        </w:rPr>
      </w:pPr>
      <w:r w:rsidRPr="00F64416">
        <w:rPr>
          <w:kern w:val="2"/>
          <w:szCs w:val="24"/>
          <w14:ligatures w14:val="standardContextual"/>
        </w:rPr>
        <w:t>HCP who are immunocompromised may shed viruses for prolonged periods of time. Consider consultation with occupational health to determine when HCP who are immunocompromised may return to work and discontinue use of source control</w:t>
      </w:r>
      <w:r w:rsidR="0067091A">
        <w:rPr>
          <w:kern w:val="2"/>
          <w:szCs w:val="24"/>
          <w14:ligatures w14:val="standardContextual"/>
        </w:rPr>
        <w:t xml:space="preserve"> (</w:t>
      </w:r>
      <w:r w:rsidRPr="00F64416">
        <w:rPr>
          <w:kern w:val="2"/>
          <w:szCs w:val="24"/>
          <w14:ligatures w14:val="standardContextual"/>
        </w:rPr>
        <w:t xml:space="preserve">the use of </w:t>
      </w:r>
      <w:r w:rsidR="0047072F">
        <w:rPr>
          <w:kern w:val="2"/>
          <w:szCs w:val="24"/>
          <w14:ligatures w14:val="standardContextual"/>
        </w:rPr>
        <w:t>a</w:t>
      </w:r>
      <w:r w:rsidRPr="00F64416">
        <w:rPr>
          <w:kern w:val="2"/>
          <w:szCs w:val="24"/>
          <w14:ligatures w14:val="standardContextual"/>
        </w:rPr>
        <w:t xml:space="preserve"> mask to cover a person’s mouth and nose and to help reduce the spread of large respiratory droplets to others when the person talks, sneezes, or coughs</w:t>
      </w:r>
      <w:r w:rsidRPr="00F64416">
        <w:rPr>
          <w:kern w:val="2"/>
          <w:szCs w:val="24"/>
          <w:vertAlign w:val="superscript"/>
          <w14:ligatures w14:val="standardContextual"/>
        </w:rPr>
        <w:footnoteReference w:id="1"/>
      </w:r>
      <w:r w:rsidR="00BB2C50">
        <w:rPr>
          <w:kern w:val="2"/>
          <w:szCs w:val="24"/>
          <w14:ligatures w14:val="standardContextual"/>
        </w:rPr>
        <w:t>)</w:t>
      </w:r>
      <w:r w:rsidRPr="00F64416">
        <w:rPr>
          <w:kern w:val="2"/>
          <w:szCs w:val="24"/>
          <w14:ligatures w14:val="standardContextual"/>
        </w:rPr>
        <w:t>. Occupational health may consider consulting with an infectious disease specialist and/or using a test-based strategy in making this determination.​</w:t>
      </w:r>
    </w:p>
    <w:p w14:paraId="14D5A1EE" w14:textId="77777777" w:rsidR="00F64416" w:rsidRPr="00F64416" w:rsidRDefault="00F64416" w:rsidP="00F64416">
      <w:pPr>
        <w:rPr>
          <w:szCs w:val="24"/>
        </w:rPr>
      </w:pPr>
    </w:p>
    <w:p w14:paraId="62B1D28B" w14:textId="68A8BA09" w:rsidR="00F64416" w:rsidRPr="00F64416" w:rsidRDefault="00F64416" w:rsidP="00F64416">
      <w:pPr>
        <w:spacing w:after="160" w:line="257" w:lineRule="auto"/>
        <w:rPr>
          <w:rFonts w:ascii="Aptos" w:eastAsia="Aptos" w:hAnsi="Aptos" w:cs="Aptos"/>
          <w:kern w:val="2"/>
          <w:sz w:val="22"/>
          <w:szCs w:val="22"/>
          <w14:ligatures w14:val="standardContextual"/>
        </w:rPr>
      </w:pPr>
      <w:r w:rsidRPr="00F64416">
        <w:rPr>
          <w:kern w:val="2"/>
          <w:szCs w:val="24"/>
          <w14:ligatures w14:val="standardContextual"/>
        </w:rPr>
        <w:t>HCP and healthcare settings are also expected to follow Organizational Policies and Procedures for Mitigating Respiratory Illness</w:t>
      </w:r>
      <w:r w:rsidRPr="00F64416">
        <w:rPr>
          <w:szCs w:val="24"/>
          <w:vertAlign w:val="superscript"/>
        </w:rPr>
        <w:footnoteReference w:id="2"/>
      </w:r>
      <w:r w:rsidRPr="00F64416">
        <w:rPr>
          <w:kern w:val="2"/>
          <w:szCs w:val="24"/>
          <w14:ligatures w14:val="standardContextual"/>
        </w:rPr>
        <w:t xml:space="preserve"> and implement action steps to mitigate and prevent the transmission of respiratory illness during times of higher prevalence of virus</w:t>
      </w:r>
      <w:r w:rsidR="00BB2C50">
        <w:rPr>
          <w:kern w:val="2"/>
          <w:szCs w:val="24"/>
          <w14:ligatures w14:val="standardContextual"/>
        </w:rPr>
        <w:t>es</w:t>
      </w:r>
      <w:r w:rsidRPr="00F64416">
        <w:rPr>
          <w:kern w:val="2"/>
          <w:szCs w:val="24"/>
          <w14:ligatures w14:val="standardContextual"/>
        </w:rPr>
        <w:t xml:space="preserve">, which may include masking and increasing ventilation; adhere to infection prevention practices for patient care activities; and administer antiviral treatment and chemoprophylaxis when appropriate.   </w:t>
      </w:r>
      <w:r w:rsidRPr="00F64416">
        <w:rPr>
          <w:rFonts w:ascii="Aptos" w:eastAsia="Aptos" w:hAnsi="Aptos" w:cs="Aptos"/>
          <w:kern w:val="2"/>
          <w:sz w:val="22"/>
          <w:szCs w:val="22"/>
          <w14:ligatures w14:val="standardContextual"/>
        </w:rPr>
        <w:t xml:space="preserve"> </w:t>
      </w:r>
    </w:p>
    <w:p w14:paraId="5AE70958" w14:textId="77777777" w:rsidR="00F64416" w:rsidRPr="00F64416" w:rsidRDefault="00F64416" w:rsidP="00F64416">
      <w:pPr>
        <w:rPr>
          <w:szCs w:val="24"/>
        </w:rPr>
      </w:pPr>
      <w:r w:rsidRPr="00F64416">
        <w:rPr>
          <w:kern w:val="2"/>
          <w:szCs w:val="24"/>
          <w14:ligatures w14:val="standardContextual"/>
        </w:rPr>
        <w:t xml:space="preserve">  </w:t>
      </w:r>
    </w:p>
    <w:p w14:paraId="6C5E4F8E" w14:textId="77777777" w:rsidR="00F64416" w:rsidRPr="00F64416" w:rsidRDefault="00F64416" w:rsidP="00F64416">
      <w:pPr>
        <w:rPr>
          <w:rFonts w:eastAsia="Aptos"/>
          <w:color w:val="1C1D1F"/>
          <w:kern w:val="2"/>
          <w:szCs w:val="24"/>
          <w:shd w:val="clear" w:color="auto" w:fill="F4FBFC"/>
          <w14:ligatures w14:val="standardContextual"/>
        </w:rPr>
      </w:pPr>
      <w:r w:rsidRPr="00F64416">
        <w:rPr>
          <w:kern w:val="2"/>
          <w:szCs w:val="24"/>
          <w14:ligatures w14:val="standardContextual"/>
        </w:rPr>
        <w:t>HCP should stay up to date with influenza and COVID-19 immunizations</w:t>
      </w:r>
      <w:r w:rsidRPr="00F64416">
        <w:rPr>
          <w:kern w:val="2"/>
          <w:szCs w:val="24"/>
          <w:vertAlign w:val="superscript"/>
          <w14:ligatures w14:val="standardContextual"/>
        </w:rPr>
        <w:footnoteReference w:id="3"/>
      </w:r>
      <w:r w:rsidRPr="00F64416">
        <w:rPr>
          <w:kern w:val="2"/>
          <w:szCs w:val="24"/>
          <w14:ligatures w14:val="standardContextual"/>
        </w:rPr>
        <w:t xml:space="preserve"> and follow CDC recommendations for </w:t>
      </w:r>
      <w:r w:rsidRPr="00F64416">
        <w:rPr>
          <w:rFonts w:eastAsia="Aptos"/>
          <w:color w:val="1C1D1F"/>
          <w:kern w:val="2"/>
          <w:szCs w:val="24"/>
          <w14:ligatures w14:val="standardContextual"/>
        </w:rPr>
        <w:t>adults who are at increased risk of RSV</w:t>
      </w:r>
      <w:r w:rsidRPr="00F64416">
        <w:rPr>
          <w:rFonts w:eastAsia="Aptos"/>
          <w:color w:val="1C1D1F"/>
          <w:kern w:val="2"/>
          <w:szCs w:val="24"/>
          <w:vertAlign w:val="superscript"/>
          <w14:ligatures w14:val="standardContextual"/>
        </w:rPr>
        <w:footnoteReference w:id="4"/>
      </w:r>
      <w:r w:rsidRPr="00F64416">
        <w:rPr>
          <w:rFonts w:eastAsia="Aptos"/>
          <w:color w:val="1C1D1F"/>
          <w:kern w:val="2"/>
          <w:szCs w:val="24"/>
          <w14:ligatures w14:val="standardContextual"/>
        </w:rPr>
        <w:t>.</w:t>
      </w:r>
    </w:p>
    <w:p w14:paraId="791EEB93" w14:textId="77777777" w:rsidR="00F64416" w:rsidRPr="00F64416" w:rsidRDefault="00F64416" w:rsidP="00F64416">
      <w:pPr>
        <w:rPr>
          <w:szCs w:val="24"/>
        </w:rPr>
      </w:pPr>
    </w:p>
    <w:p w14:paraId="3240634F" w14:textId="77777777" w:rsidR="00F64416" w:rsidRPr="00F64416" w:rsidRDefault="00F64416" w:rsidP="00F64416">
      <w:pPr>
        <w:rPr>
          <w:szCs w:val="24"/>
        </w:rPr>
      </w:pPr>
    </w:p>
    <w:p w14:paraId="6B2E9FBE" w14:textId="77777777" w:rsidR="00F64416" w:rsidRPr="00F64416" w:rsidRDefault="00F64416" w:rsidP="00F64416">
      <w:pPr>
        <w:spacing w:after="120"/>
        <w:outlineLvl w:val="1"/>
        <w:rPr>
          <w:b/>
          <w:bCs/>
          <w:color w:val="141414"/>
          <w:sz w:val="36"/>
          <w:szCs w:val="36"/>
        </w:rPr>
      </w:pPr>
      <w:r w:rsidRPr="00F64416">
        <w:rPr>
          <w:b/>
          <w:bCs/>
          <w:color w:val="141414"/>
          <w:sz w:val="36"/>
          <w:szCs w:val="36"/>
        </w:rPr>
        <w:t>Definitions</w:t>
      </w:r>
    </w:p>
    <w:p w14:paraId="76B33840" w14:textId="77777777" w:rsidR="00F64416" w:rsidRPr="00F64416" w:rsidRDefault="00F64416" w:rsidP="00F64416">
      <w:pPr>
        <w:spacing w:after="100" w:afterAutospacing="1"/>
        <w:rPr>
          <w:szCs w:val="24"/>
        </w:rPr>
      </w:pPr>
      <w:r w:rsidRPr="00F64416">
        <w:rPr>
          <w:b/>
          <w:bCs/>
          <w:szCs w:val="24"/>
        </w:rPr>
        <w:t>Referenced definitions:</w:t>
      </w:r>
    </w:p>
    <w:p w14:paraId="5481F5BF" w14:textId="0B68863A" w:rsidR="00F64416" w:rsidRPr="00F64416" w:rsidRDefault="00F64416" w:rsidP="00F64416">
      <w:pPr>
        <w:spacing w:after="100" w:afterAutospacing="1"/>
        <w:rPr>
          <w:szCs w:val="24"/>
        </w:rPr>
      </w:pPr>
      <w:r w:rsidRPr="00F64416">
        <w:rPr>
          <w:b/>
          <w:bCs/>
          <w:szCs w:val="24"/>
        </w:rPr>
        <w:t>Healthcare personnel (HCP)</w:t>
      </w:r>
      <w:r w:rsidRPr="00F64416">
        <w:rPr>
          <w:kern w:val="2"/>
          <w:szCs w:val="24"/>
          <w:vertAlign w:val="superscript"/>
          <w14:ligatures w14:val="standardContextual"/>
        </w:rPr>
        <w:footnoteReference w:id="5"/>
      </w:r>
      <w:r w:rsidR="00D82FB1">
        <w:rPr>
          <w:b/>
          <w:bCs/>
          <w:szCs w:val="24"/>
        </w:rPr>
        <w:t xml:space="preserve"> </w:t>
      </w:r>
      <w:r w:rsidRPr="00F64416">
        <w:rPr>
          <w:szCs w:val="24"/>
        </w:rPr>
        <w:t>refers to all paid and unpaid persons serving in healthcare settings who have the potential for direct or indirect exposure to patients or infectious materials, including body substances (e.g., blood, tissue, and specific body fluids); contaminated medical supplies, devices, and equipment; contaminated environmental surfaces; or contaminated air.</w:t>
      </w:r>
    </w:p>
    <w:p w14:paraId="18BD7C07" w14:textId="77777777" w:rsidR="00F64416" w:rsidRPr="00F64416" w:rsidRDefault="00F64416" w:rsidP="00F64416">
      <w:pPr>
        <w:spacing w:after="100" w:afterAutospacing="1"/>
        <w:rPr>
          <w:szCs w:val="24"/>
        </w:rPr>
      </w:pPr>
      <w:r w:rsidRPr="00F64416">
        <w:rPr>
          <w:szCs w:val="24"/>
        </w:rPr>
        <w:t xml:space="preserve">These HCP may include, but are not limited to, emergency medical service personnel, nurses, nursing assistants, home healthcare personnel, physicians, technicians, therapists, phlebotomists, pharmacists, dental healthcare personnel, students and trainees, contractual staff not employed by the health care facility, and persons (e.g., clerical, dietary, environmental services, laundry, security, maintenance, engineering and facilities management, administrative, billing, and </w:t>
      </w:r>
      <w:r w:rsidRPr="00F64416">
        <w:rPr>
          <w:szCs w:val="24"/>
        </w:rPr>
        <w:lastRenderedPageBreak/>
        <w:t>volunteer personnel) not directly involved in patient care but potentially exposed to infectious agents that can be transmitted among from HCP and patients.</w:t>
      </w:r>
    </w:p>
    <w:p w14:paraId="384BD1A4" w14:textId="77777777" w:rsidR="00F64416" w:rsidRPr="00F64416" w:rsidRDefault="00F64416" w:rsidP="00F64416">
      <w:pPr>
        <w:spacing w:after="100" w:afterAutospacing="1"/>
        <w:rPr>
          <w:szCs w:val="24"/>
        </w:rPr>
      </w:pPr>
      <w:r w:rsidRPr="00F64416">
        <w:rPr>
          <w:b/>
          <w:bCs/>
          <w:szCs w:val="24"/>
        </w:rPr>
        <w:t>Healthcare settings </w:t>
      </w:r>
      <w:r w:rsidRPr="00F64416">
        <w:rPr>
          <w:szCs w:val="24"/>
        </w:rPr>
        <w:t>refers to places where healthcare is delivered and includes, but is not limited to, acute care facilities, long term acute care facilities, inpatient rehabilitation facilities, nursing homes and assisted living facilities, home healthcare, vehicles where healthcare is delivered (e.g., mobile clinics), and outpatient facilities, such as dialysis centers, physician offices, and others.</w:t>
      </w:r>
    </w:p>
    <w:p w14:paraId="02869EE9" w14:textId="65D45EC5" w:rsidR="00F64416" w:rsidRPr="00F64416" w:rsidRDefault="00F64416" w:rsidP="00BE69D3">
      <w:pPr>
        <w:rPr>
          <w:szCs w:val="24"/>
        </w:rPr>
      </w:pPr>
      <w:r w:rsidRPr="00F64416">
        <w:rPr>
          <w:szCs w:val="24"/>
        </w:rPr>
        <w:t>School health offices are health care settings. School nurses and other health office staff should follow the guidance for health care settings. </w:t>
      </w:r>
      <w:r w:rsidRPr="00F64416">
        <w:rPr>
          <w:sz w:val="18"/>
          <w:szCs w:val="18"/>
          <w:vertAlign w:val="superscript"/>
        </w:rPr>
        <w:t>[1]</w:t>
      </w:r>
    </w:p>
    <w:p w14:paraId="4ACF7565" w14:textId="77777777" w:rsidR="00753507" w:rsidRDefault="00753507" w:rsidP="00F64416">
      <w:pPr>
        <w:spacing w:after="100" w:afterAutospacing="1"/>
        <w:rPr>
          <w:b/>
          <w:kern w:val="2"/>
          <w:szCs w:val="24"/>
          <w14:ligatures w14:val="standardContextual"/>
        </w:rPr>
      </w:pPr>
    </w:p>
    <w:p w14:paraId="018AFA75" w14:textId="4BAD1A1C" w:rsidR="00F64416" w:rsidRPr="00F64416" w:rsidRDefault="00F64416" w:rsidP="00F64416">
      <w:pPr>
        <w:spacing w:after="100" w:afterAutospacing="1"/>
        <w:rPr>
          <w:szCs w:val="24"/>
        </w:rPr>
      </w:pPr>
      <w:r w:rsidRPr="00F64416">
        <w:rPr>
          <w:b/>
          <w:kern w:val="2"/>
          <w:szCs w:val="24"/>
          <w14:ligatures w14:val="standardContextual"/>
        </w:rPr>
        <w:t>Respiratory viruses</w:t>
      </w:r>
      <w:r w:rsidRPr="00F64416">
        <w:rPr>
          <w:kern w:val="2"/>
          <w:szCs w:val="24"/>
          <w14:ligatures w14:val="standardContextual"/>
        </w:rPr>
        <w:t xml:space="preserve"> are viruses that cause illnesses in the respiratory system. These illnesses share similar symptoms, risk factors, and prevention strategies.  Common examples include influenza, COVID-19, RSV, Adenovirus, Rhinovirus/Enterovirus (common cold), Parainfluenza and Parvovirus B19 (Fifth Disease).</w:t>
      </w:r>
      <w:r w:rsidR="00753507">
        <w:rPr>
          <w:rStyle w:val="FootnoteReference"/>
          <w:kern w:val="2"/>
          <w:szCs w:val="24"/>
          <w14:ligatures w14:val="standardContextual"/>
        </w:rPr>
        <w:footnoteReference w:id="6"/>
      </w:r>
    </w:p>
    <w:p w14:paraId="4C6222CD" w14:textId="77777777" w:rsidR="00753507" w:rsidRDefault="00753507" w:rsidP="00F64416">
      <w:pPr>
        <w:spacing w:after="160" w:line="259" w:lineRule="auto"/>
        <w:rPr>
          <w:rFonts w:eastAsia="Aptos"/>
          <w:kern w:val="2"/>
          <w:szCs w:val="24"/>
          <w14:ligatures w14:val="standardContextual"/>
        </w:rPr>
      </w:pPr>
    </w:p>
    <w:p w14:paraId="222CBEE3" w14:textId="13D779A3" w:rsidR="00F64416" w:rsidRPr="00F64416" w:rsidRDefault="00123D4A" w:rsidP="00F64416">
      <w:pPr>
        <w:spacing w:after="160" w:line="259" w:lineRule="auto"/>
        <w:rPr>
          <w:rFonts w:eastAsia="Aptos"/>
          <w:kern w:val="2"/>
          <w:sz w:val="22"/>
          <w:szCs w:val="22"/>
          <w14:ligatures w14:val="standardContextual"/>
        </w:rPr>
      </w:pPr>
      <w:r w:rsidRPr="00123D4A">
        <w:rPr>
          <w:rFonts w:eastAsia="Aptos"/>
          <w:kern w:val="2"/>
          <w:szCs w:val="24"/>
          <w14:ligatures w14:val="standardContextual"/>
        </w:rPr>
        <w:t>PLEASE NOTE: The following are not considered healthcare settings and are directed to recommendations for the general population: group homes, and residential treatment programs, funded, operated, licensed, and/or regulated by the Department of Early Education and Care (EEC), the Department of Children and Families (DCF), the Department of Youth Services (DYS), the Department of Mental Health (DMH), the Department of Public Health (DPH), the Department of Developmental Services (DDS), the Executive Office of Veterans' Services (EOVS), the Massachusetts Commission for the Blind (MCB), and the Massachusetts Rehabilitation Commission (MRC). Additionally, emergency shelter programs, including individual and family homeless shelters, domestic violence and sexual assault shelters, Veterans’ shelters, including those funded by the Executive Office of Housing and Livable Communities, and approved private special education schools which offer residential services and are approved by the Department of Elementary and Secondary Education should all follow public guidance</w:t>
      </w:r>
      <w:r w:rsidRPr="00123D4A">
        <w:rPr>
          <w:rFonts w:eastAsia="Aptos"/>
          <w:kern w:val="2"/>
          <w:sz w:val="22"/>
          <w:szCs w:val="22"/>
          <w14:ligatures w14:val="standardContextual"/>
        </w:rPr>
        <w:t>.</w:t>
      </w:r>
    </w:p>
    <w:sectPr w:rsidR="00F64416" w:rsidRPr="00F64416" w:rsidSect="00802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B716F" w14:textId="77777777" w:rsidR="00075278" w:rsidRDefault="00075278" w:rsidP="00F64416">
      <w:r>
        <w:separator/>
      </w:r>
    </w:p>
  </w:endnote>
  <w:endnote w:type="continuationSeparator" w:id="0">
    <w:p w14:paraId="2C334024" w14:textId="77777777" w:rsidR="00075278" w:rsidRDefault="00075278" w:rsidP="00F6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9370B" w14:textId="77777777" w:rsidR="00075278" w:rsidRDefault="00075278" w:rsidP="00F64416">
      <w:r>
        <w:separator/>
      </w:r>
    </w:p>
  </w:footnote>
  <w:footnote w:type="continuationSeparator" w:id="0">
    <w:p w14:paraId="5165B706" w14:textId="77777777" w:rsidR="00075278" w:rsidRDefault="00075278" w:rsidP="00F64416">
      <w:r>
        <w:continuationSeparator/>
      </w:r>
    </w:p>
  </w:footnote>
  <w:footnote w:id="1">
    <w:p w14:paraId="1FB616BE" w14:textId="43F211A6" w:rsidR="00F64416" w:rsidRDefault="00D82FB1" w:rsidP="00F64416">
      <w:pPr>
        <w:pStyle w:val="FootnoteText"/>
      </w:pPr>
      <w:r w:rsidRPr="00D82FB1">
        <w:rPr>
          <w:vertAlign w:val="superscript"/>
        </w:rPr>
        <w:t>1</w:t>
      </w:r>
      <w:hyperlink r:id="rId1" w:history="1">
        <w:r w:rsidR="00F64416" w:rsidRPr="161C3DF4">
          <w:rPr>
            <w:rStyle w:val="Hyperlink"/>
          </w:rPr>
          <w:t>Respiratory Protection vs. Source Control – What’s the difference?</w:t>
        </w:r>
      </w:hyperlink>
      <w:r w:rsidR="00F64416" w:rsidRPr="161C3DF4">
        <w:rPr>
          <w:rStyle w:val="FootnoteReference"/>
        </w:rPr>
        <w:t xml:space="preserve"> </w:t>
      </w:r>
    </w:p>
    <w:p w14:paraId="279335AA" w14:textId="77777777" w:rsidR="00F64416" w:rsidRDefault="00F64416" w:rsidP="00F64416">
      <w:pPr>
        <w:pStyle w:val="FootnoteText"/>
      </w:pPr>
    </w:p>
  </w:footnote>
  <w:footnote w:id="2">
    <w:p w14:paraId="557E8EE7" w14:textId="77777777" w:rsidR="00F64416" w:rsidRDefault="00F64416" w:rsidP="00F64416">
      <w:pPr>
        <w:pStyle w:val="FootnoteText"/>
      </w:pPr>
      <w:r>
        <w:rPr>
          <w:rStyle w:val="FootnoteReference"/>
        </w:rPr>
        <w:footnoteRef/>
      </w:r>
      <w:r>
        <w:t xml:space="preserve"> </w:t>
      </w:r>
      <w:hyperlink r:id="rId2" w:history="1">
        <w:r w:rsidRPr="00480AF8">
          <w:rPr>
            <w:rStyle w:val="Hyperlink"/>
          </w:rPr>
          <w:t>https://www.mass.gov/doc/organizational-policies-and-procedures-for-mitigating-respiratory-illness/download</w:t>
        </w:r>
      </w:hyperlink>
      <w:r>
        <w:t xml:space="preserve"> </w:t>
      </w:r>
    </w:p>
  </w:footnote>
  <w:footnote w:id="3">
    <w:p w14:paraId="733D0D14" w14:textId="77777777" w:rsidR="00F64416" w:rsidRDefault="00F64416" w:rsidP="00F64416">
      <w:pPr>
        <w:pStyle w:val="FootnoteText"/>
      </w:pPr>
      <w:r w:rsidRPr="0ACDF5B9">
        <w:rPr>
          <w:rStyle w:val="FootnoteReference"/>
        </w:rPr>
        <w:footnoteRef/>
      </w:r>
      <w:r>
        <w:t xml:space="preserve"> 105 CMR 130.325 and 130.326, 105 CMR 140.150, 105 CMR 141.201(D), 105 CMR 150.002(D)(8) and 150.008(D)(11), 105 CMR 158.030(L) and 158.030(M), 105 CMR 170.341 and 170.342</w:t>
      </w:r>
    </w:p>
  </w:footnote>
  <w:footnote w:id="4">
    <w:p w14:paraId="082BBE51" w14:textId="77777777" w:rsidR="00F64416" w:rsidRDefault="00F64416" w:rsidP="00F64416">
      <w:pPr>
        <w:pStyle w:val="FootnoteText"/>
      </w:pPr>
      <w:r>
        <w:rPr>
          <w:rStyle w:val="FootnoteReference"/>
        </w:rPr>
        <w:footnoteRef/>
      </w:r>
      <w:r>
        <w:t xml:space="preserve"> </w:t>
      </w:r>
      <w:hyperlink r:id="rId3" w:history="1">
        <w:r w:rsidRPr="00881D91">
          <w:rPr>
            <w:rStyle w:val="Hyperlink"/>
          </w:rPr>
          <w:t>https://www.cdc.gov/rsv/hcp/vaccine-clinical-guidance/adults</w:t>
        </w:r>
        <w:r w:rsidRPr="00E73512">
          <w:rPr>
            <w:rStyle w:val="Hyperlink"/>
          </w:rPr>
          <w:t>.html</w:t>
        </w:r>
      </w:hyperlink>
      <w:r>
        <w:t xml:space="preserve"> </w:t>
      </w:r>
      <w:hyperlink r:id="rId4" w:history="1">
        <w:r w:rsidRPr="00480AF8">
          <w:rPr>
            <w:rStyle w:val="Hyperlink"/>
          </w:rPr>
          <w:t>https://www.cdc.gov/mmwr/volumes/73/rr/rr7305a1.htm#</w:t>
        </w:r>
      </w:hyperlink>
      <w:r>
        <w:t xml:space="preserve"> </w:t>
      </w:r>
    </w:p>
    <w:p w14:paraId="1130DB42" w14:textId="77777777" w:rsidR="00F64416" w:rsidRDefault="00F64416" w:rsidP="00F64416">
      <w:pPr>
        <w:pStyle w:val="FootnoteText"/>
      </w:pPr>
      <w:hyperlink r:id="rId5" w:history="1">
        <w:r w:rsidRPr="00480AF8">
          <w:rPr>
            <w:rStyle w:val="Hyperlink"/>
          </w:rPr>
          <w:t>https://www.cdc.gov/covid/media/pdfs/2025/07/iCC_document_7.18.25.pdf</w:t>
        </w:r>
      </w:hyperlink>
      <w:r>
        <w:t xml:space="preserve"> </w:t>
      </w:r>
    </w:p>
  </w:footnote>
  <w:footnote w:id="5">
    <w:p w14:paraId="1A581E70" w14:textId="77777777" w:rsidR="00F64416" w:rsidRDefault="00F64416" w:rsidP="00F64416">
      <w:pPr>
        <w:pStyle w:val="FootnoteText"/>
      </w:pPr>
      <w:r w:rsidRPr="0ACDF5B9">
        <w:rPr>
          <w:rStyle w:val="FootnoteReference"/>
        </w:rPr>
        <w:footnoteRef/>
      </w:r>
      <w:r>
        <w:t xml:space="preserve"> https://www.cdc.gov/covid/hcp/infection-control/guidance-risk-assesment-hcp.html</w:t>
      </w:r>
    </w:p>
  </w:footnote>
  <w:footnote w:id="6">
    <w:p w14:paraId="7137B25B" w14:textId="77777777" w:rsidR="00753507" w:rsidRPr="00F64416" w:rsidRDefault="00753507" w:rsidP="00753507">
      <w:pPr>
        <w:pStyle w:val="FootnoteText"/>
      </w:pPr>
      <w:r>
        <w:rPr>
          <w:rStyle w:val="FootnoteReference"/>
        </w:rPr>
        <w:footnoteRef/>
      </w:r>
      <w:r>
        <w:t xml:space="preserve"> </w:t>
      </w:r>
      <w:r w:rsidRPr="00F64416">
        <w:t> </w:t>
      </w:r>
      <w:hyperlink r:id="rId6" w:history="1">
        <w:r w:rsidRPr="00F64416">
          <w:rPr>
            <w:rStyle w:val="Hyperlink"/>
          </w:rPr>
          <w:t>https://www.cdc.gov/respiratory-viruses/hcp/index.html</w:t>
        </w:r>
      </w:hyperlink>
    </w:p>
    <w:p w14:paraId="12AEABBD" w14:textId="00C24878" w:rsidR="00753507" w:rsidRDefault="0075350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94C0D"/>
    <w:multiLevelType w:val="multilevel"/>
    <w:tmpl w:val="A4AC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592BF1"/>
    <w:multiLevelType w:val="multilevel"/>
    <w:tmpl w:val="F952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8E7F8C"/>
    <w:multiLevelType w:val="multilevel"/>
    <w:tmpl w:val="C7A6D6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92110D7"/>
    <w:multiLevelType w:val="multilevel"/>
    <w:tmpl w:val="94EC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6A511A"/>
    <w:multiLevelType w:val="multilevel"/>
    <w:tmpl w:val="4F02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AB69B2"/>
    <w:multiLevelType w:val="multilevel"/>
    <w:tmpl w:val="4FE6BA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52037E1"/>
    <w:multiLevelType w:val="multilevel"/>
    <w:tmpl w:val="D470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BA29F1"/>
    <w:multiLevelType w:val="multilevel"/>
    <w:tmpl w:val="944C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A57054"/>
    <w:multiLevelType w:val="multilevel"/>
    <w:tmpl w:val="447A88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71A739B"/>
    <w:multiLevelType w:val="multilevel"/>
    <w:tmpl w:val="52144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64118">
    <w:abstractNumId w:val="3"/>
  </w:num>
  <w:num w:numId="2" w16cid:durableId="1491142963">
    <w:abstractNumId w:val="5"/>
  </w:num>
  <w:num w:numId="3" w16cid:durableId="496074513">
    <w:abstractNumId w:val="2"/>
  </w:num>
  <w:num w:numId="4" w16cid:durableId="1435906255">
    <w:abstractNumId w:val="8"/>
  </w:num>
  <w:num w:numId="5" w16cid:durableId="656081553">
    <w:abstractNumId w:val="1"/>
  </w:num>
  <w:num w:numId="6" w16cid:durableId="1153328562">
    <w:abstractNumId w:val="0"/>
  </w:num>
  <w:num w:numId="7" w16cid:durableId="1731423019">
    <w:abstractNumId w:val="6"/>
  </w:num>
  <w:num w:numId="8" w16cid:durableId="469789822">
    <w:abstractNumId w:val="4"/>
  </w:num>
  <w:num w:numId="9" w16cid:durableId="406192294">
    <w:abstractNumId w:val="7"/>
  </w:num>
  <w:num w:numId="10" w16cid:durableId="977683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10A"/>
    <w:rsid w:val="000164B3"/>
    <w:rsid w:val="00033154"/>
    <w:rsid w:val="00042048"/>
    <w:rsid w:val="000537DA"/>
    <w:rsid w:val="00071C05"/>
    <w:rsid w:val="00075278"/>
    <w:rsid w:val="000A1DE1"/>
    <w:rsid w:val="000B7D96"/>
    <w:rsid w:val="000C2E20"/>
    <w:rsid w:val="000D1C1A"/>
    <w:rsid w:val="000E498B"/>
    <w:rsid w:val="000E5E4D"/>
    <w:rsid w:val="000F315B"/>
    <w:rsid w:val="000F6812"/>
    <w:rsid w:val="001125C0"/>
    <w:rsid w:val="00123D4A"/>
    <w:rsid w:val="0015268B"/>
    <w:rsid w:val="0015709E"/>
    <w:rsid w:val="0017749A"/>
    <w:rsid w:val="00177C77"/>
    <w:rsid w:val="001A7E66"/>
    <w:rsid w:val="001B6693"/>
    <w:rsid w:val="0021698C"/>
    <w:rsid w:val="00237280"/>
    <w:rsid w:val="002438AB"/>
    <w:rsid w:val="00260D54"/>
    <w:rsid w:val="00276957"/>
    <w:rsid w:val="00276DCC"/>
    <w:rsid w:val="002A132F"/>
    <w:rsid w:val="002D1C21"/>
    <w:rsid w:val="00301022"/>
    <w:rsid w:val="00326A82"/>
    <w:rsid w:val="00357A68"/>
    <w:rsid w:val="00375EAD"/>
    <w:rsid w:val="00385812"/>
    <w:rsid w:val="00392D0B"/>
    <w:rsid w:val="003A7AFC"/>
    <w:rsid w:val="003C60EF"/>
    <w:rsid w:val="003E37B1"/>
    <w:rsid w:val="003F6E9F"/>
    <w:rsid w:val="0047072F"/>
    <w:rsid w:val="004813AC"/>
    <w:rsid w:val="004B37A0"/>
    <w:rsid w:val="004B5CFB"/>
    <w:rsid w:val="004D6B39"/>
    <w:rsid w:val="004E0C3F"/>
    <w:rsid w:val="00512956"/>
    <w:rsid w:val="005152C1"/>
    <w:rsid w:val="00530145"/>
    <w:rsid w:val="005448AA"/>
    <w:rsid w:val="00572A6E"/>
    <w:rsid w:val="005F6FDE"/>
    <w:rsid w:val="00662F1E"/>
    <w:rsid w:val="0067091A"/>
    <w:rsid w:val="00682D0B"/>
    <w:rsid w:val="006A1B2A"/>
    <w:rsid w:val="006D06D9"/>
    <w:rsid w:val="006D77A6"/>
    <w:rsid w:val="006E5380"/>
    <w:rsid w:val="00702109"/>
    <w:rsid w:val="007210FB"/>
    <w:rsid w:val="0072610D"/>
    <w:rsid w:val="007272EF"/>
    <w:rsid w:val="007359C3"/>
    <w:rsid w:val="00753507"/>
    <w:rsid w:val="00757006"/>
    <w:rsid w:val="00771FEB"/>
    <w:rsid w:val="007B3F4B"/>
    <w:rsid w:val="007B7347"/>
    <w:rsid w:val="007D10F3"/>
    <w:rsid w:val="007D1D51"/>
    <w:rsid w:val="007E06B4"/>
    <w:rsid w:val="007E20EE"/>
    <w:rsid w:val="007F3CDB"/>
    <w:rsid w:val="00802852"/>
    <w:rsid w:val="00850407"/>
    <w:rsid w:val="0088305B"/>
    <w:rsid w:val="008970EB"/>
    <w:rsid w:val="00913A77"/>
    <w:rsid w:val="00951305"/>
    <w:rsid w:val="009730E5"/>
    <w:rsid w:val="009908FF"/>
    <w:rsid w:val="00995505"/>
    <w:rsid w:val="009C0344"/>
    <w:rsid w:val="009C4428"/>
    <w:rsid w:val="009D48CD"/>
    <w:rsid w:val="00A37556"/>
    <w:rsid w:val="00A45595"/>
    <w:rsid w:val="00A5547C"/>
    <w:rsid w:val="00A63744"/>
    <w:rsid w:val="00A65101"/>
    <w:rsid w:val="00B3576E"/>
    <w:rsid w:val="00B403BF"/>
    <w:rsid w:val="00B44326"/>
    <w:rsid w:val="00B608D9"/>
    <w:rsid w:val="00B661C3"/>
    <w:rsid w:val="00BA15C5"/>
    <w:rsid w:val="00BA4055"/>
    <w:rsid w:val="00BA7FB6"/>
    <w:rsid w:val="00BB2C50"/>
    <w:rsid w:val="00BB32BC"/>
    <w:rsid w:val="00BE69D3"/>
    <w:rsid w:val="00C20BFE"/>
    <w:rsid w:val="00C2302F"/>
    <w:rsid w:val="00C46D29"/>
    <w:rsid w:val="00CB3304"/>
    <w:rsid w:val="00CC1778"/>
    <w:rsid w:val="00CE575B"/>
    <w:rsid w:val="00CF3DE8"/>
    <w:rsid w:val="00D0493F"/>
    <w:rsid w:val="00D10DDE"/>
    <w:rsid w:val="00D131A3"/>
    <w:rsid w:val="00D56F91"/>
    <w:rsid w:val="00D76119"/>
    <w:rsid w:val="00D82FB1"/>
    <w:rsid w:val="00D8342C"/>
    <w:rsid w:val="00D8671C"/>
    <w:rsid w:val="00D91390"/>
    <w:rsid w:val="00D969D8"/>
    <w:rsid w:val="00DA57C3"/>
    <w:rsid w:val="00DC3855"/>
    <w:rsid w:val="00DC6CBE"/>
    <w:rsid w:val="00E242A8"/>
    <w:rsid w:val="00E274B8"/>
    <w:rsid w:val="00E709E6"/>
    <w:rsid w:val="00E72707"/>
    <w:rsid w:val="00E814A1"/>
    <w:rsid w:val="00E92038"/>
    <w:rsid w:val="00EE3732"/>
    <w:rsid w:val="00EF0780"/>
    <w:rsid w:val="00EF65BE"/>
    <w:rsid w:val="00F0280E"/>
    <w:rsid w:val="00F0586E"/>
    <w:rsid w:val="00F43932"/>
    <w:rsid w:val="00F64416"/>
    <w:rsid w:val="00FA575E"/>
    <w:rsid w:val="00FC6B42"/>
    <w:rsid w:val="559A94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F45310C1-0E3D-46C1-A295-46E8E525C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CommentReference">
    <w:name w:val="annotation reference"/>
    <w:basedOn w:val="DefaultParagraphFont"/>
    <w:uiPriority w:val="99"/>
    <w:unhideWhenUsed/>
    <w:rsid w:val="00F64416"/>
    <w:rPr>
      <w:sz w:val="16"/>
      <w:szCs w:val="16"/>
    </w:rPr>
  </w:style>
  <w:style w:type="paragraph" w:styleId="CommentText">
    <w:name w:val="annotation text"/>
    <w:basedOn w:val="Normal"/>
    <w:link w:val="CommentTextChar"/>
    <w:uiPriority w:val="99"/>
    <w:unhideWhenUsed/>
    <w:rsid w:val="00F64416"/>
    <w:pPr>
      <w:spacing w:after="160"/>
    </w:pPr>
    <w:rPr>
      <w:rFonts w:ascii="Aptos" w:eastAsia="Aptos" w:hAnsi="Aptos" w:cs="Arial"/>
      <w:kern w:val="2"/>
      <w:sz w:val="20"/>
      <w14:ligatures w14:val="standardContextual"/>
    </w:rPr>
  </w:style>
  <w:style w:type="character" w:customStyle="1" w:styleId="CommentTextChar">
    <w:name w:val="Comment Text Char"/>
    <w:basedOn w:val="DefaultParagraphFont"/>
    <w:link w:val="CommentText"/>
    <w:uiPriority w:val="99"/>
    <w:rsid w:val="00F64416"/>
    <w:rPr>
      <w:rFonts w:ascii="Aptos" w:eastAsia="Aptos" w:hAnsi="Aptos" w:cs="Arial"/>
      <w:kern w:val="2"/>
      <w14:ligatures w14:val="standardContextual"/>
    </w:rPr>
  </w:style>
  <w:style w:type="paragraph" w:styleId="FootnoteText">
    <w:name w:val="footnote text"/>
    <w:basedOn w:val="Normal"/>
    <w:link w:val="FootnoteTextChar"/>
    <w:uiPriority w:val="99"/>
    <w:unhideWhenUsed/>
    <w:rsid w:val="00F64416"/>
    <w:rPr>
      <w:rFonts w:ascii="Aptos" w:eastAsia="Aptos" w:hAnsi="Aptos" w:cs="Arial"/>
      <w:kern w:val="2"/>
      <w:sz w:val="20"/>
      <w14:ligatures w14:val="standardContextual"/>
    </w:rPr>
  </w:style>
  <w:style w:type="character" w:customStyle="1" w:styleId="FootnoteTextChar">
    <w:name w:val="Footnote Text Char"/>
    <w:basedOn w:val="DefaultParagraphFont"/>
    <w:link w:val="FootnoteText"/>
    <w:uiPriority w:val="99"/>
    <w:rsid w:val="00F64416"/>
    <w:rPr>
      <w:rFonts w:ascii="Aptos" w:eastAsia="Aptos" w:hAnsi="Aptos" w:cs="Arial"/>
      <w:kern w:val="2"/>
      <w14:ligatures w14:val="standardContextual"/>
    </w:rPr>
  </w:style>
  <w:style w:type="character" w:styleId="FootnoteReference">
    <w:name w:val="footnote reference"/>
    <w:basedOn w:val="DefaultParagraphFont"/>
    <w:uiPriority w:val="99"/>
    <w:unhideWhenUsed/>
    <w:rsid w:val="00F64416"/>
    <w:rPr>
      <w:vertAlign w:val="superscript"/>
    </w:rPr>
  </w:style>
  <w:style w:type="character" w:styleId="Mention">
    <w:name w:val="Mention"/>
    <w:basedOn w:val="DefaultParagraphFont"/>
    <w:uiPriority w:val="99"/>
    <w:unhideWhenUsed/>
    <w:rsid w:val="00F64416"/>
    <w:rPr>
      <w:color w:val="2B579A"/>
      <w:shd w:val="clear" w:color="auto" w:fill="E1DFDD"/>
    </w:rPr>
  </w:style>
  <w:style w:type="character" w:styleId="UnresolvedMention">
    <w:name w:val="Unresolved Mention"/>
    <w:basedOn w:val="DefaultParagraphFont"/>
    <w:uiPriority w:val="99"/>
    <w:semiHidden/>
    <w:unhideWhenUsed/>
    <w:rsid w:val="00753507"/>
    <w:rPr>
      <w:color w:val="605E5C"/>
      <w:shd w:val="clear" w:color="auto" w:fill="E1DFDD"/>
    </w:rPr>
  </w:style>
  <w:style w:type="character" w:styleId="FollowedHyperlink">
    <w:name w:val="FollowedHyperlink"/>
    <w:basedOn w:val="DefaultParagraphFont"/>
    <w:rsid w:val="00753507"/>
    <w:rPr>
      <w:color w:val="954F72" w:themeColor="followedHyperlink"/>
      <w:u w:val="single"/>
    </w:rPr>
  </w:style>
  <w:style w:type="paragraph" w:styleId="Header">
    <w:name w:val="header"/>
    <w:basedOn w:val="Normal"/>
    <w:link w:val="HeaderChar"/>
    <w:rsid w:val="005F6FDE"/>
    <w:pPr>
      <w:tabs>
        <w:tab w:val="center" w:pos="4680"/>
        <w:tab w:val="right" w:pos="9360"/>
      </w:tabs>
    </w:pPr>
  </w:style>
  <w:style w:type="character" w:customStyle="1" w:styleId="HeaderChar">
    <w:name w:val="Header Char"/>
    <w:basedOn w:val="DefaultParagraphFont"/>
    <w:link w:val="Header"/>
    <w:rsid w:val="005F6FDE"/>
    <w:rPr>
      <w:sz w:val="24"/>
    </w:rPr>
  </w:style>
  <w:style w:type="paragraph" w:styleId="Footer">
    <w:name w:val="footer"/>
    <w:basedOn w:val="Normal"/>
    <w:link w:val="FooterChar"/>
    <w:rsid w:val="005F6FDE"/>
    <w:pPr>
      <w:tabs>
        <w:tab w:val="center" w:pos="4680"/>
        <w:tab w:val="right" w:pos="9360"/>
      </w:tabs>
    </w:pPr>
  </w:style>
  <w:style w:type="character" w:customStyle="1" w:styleId="FooterChar">
    <w:name w:val="Footer Char"/>
    <w:basedOn w:val="DefaultParagraphFont"/>
    <w:link w:val="Footer"/>
    <w:rsid w:val="005F6F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da.gov/medical-devices/personal-protective-equipment-infection-control/n95-respirators-surgical-masks-face-masks-and-barrier-face-covering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rsv/hcp/vaccine-clinical-guidance/adults.html" TargetMode="External"/><Relationship Id="rId2" Type="http://schemas.openxmlformats.org/officeDocument/2006/relationships/hyperlink" Target="https://www.mass.gov/doc/organizational-policies-and-procedures-for-mitigating-respiratory-illness/download" TargetMode="External"/><Relationship Id="rId1" Type="http://schemas.openxmlformats.org/officeDocument/2006/relationships/hyperlink" Target="https://blogs.cdc.gov/niosh-science-blog/2020/09/08/source-control/" TargetMode="External"/><Relationship Id="rId6" Type="http://schemas.openxmlformats.org/officeDocument/2006/relationships/hyperlink" Target="https://www.cdc.gov/respiratory-viruses/hcp/index.html" TargetMode="External"/><Relationship Id="rId5" Type="http://schemas.openxmlformats.org/officeDocument/2006/relationships/hyperlink" Target="https://www.cdc.gov/covid/media/pdfs/2025/07/iCC_document_7.18.25.pdf" TargetMode="External"/><Relationship Id="rId4" Type="http://schemas.openxmlformats.org/officeDocument/2006/relationships/hyperlink" Target="https://www.cdc.gov/mmwr/volumes/73/rr/rr7305a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C413BD5B-21DE-4BAC-A577-875B63FFA401}">
  <ds:schemaRefs>
    <ds:schemaRef ds:uri="http://schemas.openxmlformats.org/officeDocument/2006/bibliography"/>
  </ds:schemaRefs>
</ds:datastoreItem>
</file>

<file path=customXml/itemProps3.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DPH%20Letterhead</Template>
  <TotalTime>22</TotalTime>
  <Pages>3</Pages>
  <Words>1055</Words>
  <Characters>6014</Characters>
  <Application>Microsoft Office Word</Application>
  <DocSecurity>0</DocSecurity>
  <Lines>50</Lines>
  <Paragraphs>14</Paragraphs>
  <ScaleCrop>false</ScaleCrop>
  <Company>Commonwealth of Massachusetts</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 Katherine</dc:creator>
  <cp:keywords/>
  <cp:lastModifiedBy>Katherine Fillo</cp:lastModifiedBy>
  <cp:revision>2</cp:revision>
  <cp:lastPrinted>2015-01-29T11:50:00Z</cp:lastPrinted>
  <dcterms:created xsi:type="dcterms:W3CDTF">2025-08-22T16:05:00Z</dcterms:created>
  <dcterms:modified xsi:type="dcterms:W3CDTF">2025-08-22T16:05:00Z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