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Pr="007C0DC3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Cs w:val="24"/>
        </w:rPr>
      </w:pPr>
      <w:r w:rsidRPr="007C0DC3">
        <w:rPr>
          <w:rFonts w:ascii="Arial" w:hAnsi="Arial"/>
          <w:szCs w:val="24"/>
        </w:rPr>
        <w:t>The Commonwealth of Massachusetts</w:t>
      </w:r>
    </w:p>
    <w:p w14:paraId="6D27BA80" w14:textId="77777777" w:rsidR="000537DA" w:rsidRPr="007C0DC3" w:rsidRDefault="000537DA" w:rsidP="000F315B">
      <w:pPr>
        <w:pStyle w:val="ExecOffice"/>
        <w:framePr w:w="6926" w:wrap="notBeside" w:vAnchor="page" w:x="2884" w:y="711"/>
        <w:rPr>
          <w:sz w:val="24"/>
          <w:szCs w:val="24"/>
        </w:rPr>
      </w:pPr>
      <w:r w:rsidRPr="007C0DC3">
        <w:rPr>
          <w:sz w:val="24"/>
          <w:szCs w:val="24"/>
        </w:rPr>
        <w:t>Executive Office of Health and Human Services</w:t>
      </w:r>
    </w:p>
    <w:p w14:paraId="282AB46A" w14:textId="77777777" w:rsidR="000537DA" w:rsidRPr="007C0DC3" w:rsidRDefault="000537DA" w:rsidP="000F315B">
      <w:pPr>
        <w:pStyle w:val="ExecOffice"/>
        <w:framePr w:w="6926" w:wrap="notBeside" w:vAnchor="page" w:x="2884" w:y="711"/>
        <w:rPr>
          <w:sz w:val="24"/>
          <w:szCs w:val="24"/>
        </w:rPr>
      </w:pPr>
      <w:r w:rsidRPr="007C0DC3">
        <w:rPr>
          <w:sz w:val="24"/>
          <w:szCs w:val="24"/>
        </w:rPr>
        <w:t>Department of Public Health</w:t>
      </w:r>
    </w:p>
    <w:p w14:paraId="0958205A" w14:textId="77777777" w:rsidR="006D06D9" w:rsidRPr="007C0DC3" w:rsidRDefault="000537DA" w:rsidP="000F315B">
      <w:pPr>
        <w:pStyle w:val="ExecOffice"/>
        <w:framePr w:w="6926" w:wrap="notBeside" w:vAnchor="page" w:x="2884" w:y="711"/>
        <w:rPr>
          <w:sz w:val="24"/>
          <w:szCs w:val="24"/>
        </w:rPr>
      </w:pPr>
      <w:r w:rsidRPr="007C0DC3">
        <w:rPr>
          <w:sz w:val="24"/>
          <w:szCs w:val="24"/>
        </w:rPr>
        <w:t>250 Washington Street, Boston, MA 02108-4619</w:t>
      </w:r>
    </w:p>
    <w:p w14:paraId="14DDC802" w14:textId="4A70C274" w:rsidR="00BA4055" w:rsidRPr="007C0DC3" w:rsidRDefault="00C46D29" w:rsidP="00BA4055">
      <w:pPr>
        <w:framePr w:w="1927" w:hSpace="180" w:wrap="auto" w:vAnchor="text" w:hAnchor="page" w:x="940" w:y="-951"/>
        <w:rPr>
          <w:rFonts w:ascii="LinePrinter" w:hAnsi="LinePrinter"/>
          <w:szCs w:val="24"/>
        </w:rPr>
      </w:pPr>
      <w:r w:rsidRPr="007C0DC3">
        <w:rPr>
          <w:rFonts w:ascii="LinePrinter" w:hAnsi="LinePrinter"/>
          <w:noProof/>
          <w:szCs w:val="24"/>
        </w:rPr>
        <w:drawing>
          <wp:inline distT="0" distB="0" distL="0" distR="0" wp14:anchorId="1406FE77" wp14:editId="052C0DD2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1E037EEA" w:rsidR="009908FF" w:rsidRPr="007C0DC3" w:rsidRDefault="000B7D96" w:rsidP="0072610D">
      <w:pPr>
        <w:rPr>
          <w:szCs w:val="24"/>
        </w:rPr>
      </w:pPr>
      <w:r w:rsidRPr="007C0DC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3B1BB449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CC85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5A1CCD79" w:rsidR="00FC6B42" w:rsidRPr="007C0DC3" w:rsidRDefault="00A06CB2" w:rsidP="0072610D">
      <w:pPr>
        <w:rPr>
          <w:szCs w:val="24"/>
        </w:rPr>
      </w:pPr>
      <w:r w:rsidRPr="007C0DC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79C23A1C">
                <wp:simplePos x="0" y="0"/>
                <wp:positionH relativeFrom="column">
                  <wp:posOffset>5015552</wp:posOffset>
                </wp:positionH>
                <wp:positionV relativeFrom="paragraph">
                  <wp:posOffset>126337</wp:posOffset>
                </wp:positionV>
                <wp:extent cx="1745587" cy="1136015"/>
                <wp:effectExtent l="0" t="0" r="762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587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3B8E20" id="Text Box 3" o:spid="_x0000_s1027" type="#_x0000_t202" style="position:absolute;margin-left:394.95pt;margin-top:9.95pt;width:137.4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EA865C" w14:textId="77777777" w:rsidR="00FC6B42" w:rsidRPr="007C0DC3" w:rsidRDefault="00FC6B42" w:rsidP="0072610D">
      <w:pPr>
        <w:rPr>
          <w:szCs w:val="24"/>
        </w:rPr>
      </w:pPr>
    </w:p>
    <w:p w14:paraId="51314366" w14:textId="77777777" w:rsidR="00033154" w:rsidRPr="007C0DC3" w:rsidRDefault="00033154" w:rsidP="0072610D">
      <w:pPr>
        <w:rPr>
          <w:szCs w:val="24"/>
        </w:rPr>
      </w:pPr>
    </w:p>
    <w:p w14:paraId="69F380EF" w14:textId="0A721FE3" w:rsidR="00033154" w:rsidRPr="007C0DC3" w:rsidRDefault="00033154" w:rsidP="0072610D">
      <w:pPr>
        <w:rPr>
          <w:szCs w:val="24"/>
        </w:rPr>
      </w:pPr>
    </w:p>
    <w:p w14:paraId="63D819D6" w14:textId="77777777" w:rsidR="000C506B" w:rsidRPr="007C0DC3" w:rsidRDefault="000C506B" w:rsidP="000C506B">
      <w:pPr>
        <w:rPr>
          <w:szCs w:val="24"/>
        </w:rPr>
      </w:pPr>
    </w:p>
    <w:p w14:paraId="14C7BAE6" w14:textId="5BE91422" w:rsidR="287A8AC7" w:rsidRPr="007C0DC3" w:rsidRDefault="287A8AC7" w:rsidP="287A8AC7">
      <w:pPr>
        <w:rPr>
          <w:szCs w:val="24"/>
        </w:rPr>
      </w:pPr>
    </w:p>
    <w:p w14:paraId="20A4A299" w14:textId="440CD8FD" w:rsidR="009C4046" w:rsidRDefault="00D17BE2" w:rsidP="00F83C04">
      <w:pPr>
        <w:tabs>
          <w:tab w:val="left" w:pos="990"/>
        </w:tabs>
        <w:spacing w:line="259" w:lineRule="auto"/>
        <w:rPr>
          <w:b/>
          <w:bCs/>
        </w:rPr>
      </w:pPr>
      <w:r w:rsidRPr="4BA9BED9">
        <w:rPr>
          <w:b/>
          <w:bCs/>
        </w:rPr>
        <w:t xml:space="preserve">To: </w:t>
      </w:r>
      <w:r>
        <w:tab/>
      </w:r>
      <w:r w:rsidR="00011455">
        <w:t xml:space="preserve">Hospitals </w:t>
      </w:r>
      <w:r w:rsidR="77E4F36B">
        <w:t>with</w:t>
      </w:r>
      <w:r w:rsidR="00B2568D">
        <w:t xml:space="preserve"> Emergency Departments </w:t>
      </w:r>
      <w:r w:rsidR="00CB6891">
        <w:t xml:space="preserve">Where </w:t>
      </w:r>
      <w:r w:rsidR="2065F120">
        <w:t>Medical</w:t>
      </w:r>
      <w:r w:rsidR="001E5E1C">
        <w:t>-</w:t>
      </w:r>
      <w:r w:rsidR="2065F120">
        <w:t>Forensic</w:t>
      </w:r>
    </w:p>
    <w:p w14:paraId="44A80148" w14:textId="3BED4D6F" w:rsidR="00861026" w:rsidRPr="007C0DC3" w:rsidRDefault="00051040" w:rsidP="4BA9BED9">
      <w:pPr>
        <w:tabs>
          <w:tab w:val="left" w:pos="990"/>
        </w:tabs>
        <w:ind w:firstLine="720"/>
      </w:pPr>
      <w:r>
        <w:rPr>
          <w:szCs w:val="24"/>
        </w:rPr>
        <w:tab/>
      </w:r>
      <w:r>
        <w:t>Examinations Are Provided as Part of Emergency Response</w:t>
      </w:r>
    </w:p>
    <w:p w14:paraId="7AB978CA" w14:textId="77777777" w:rsidR="00D17BE2" w:rsidRPr="007C0DC3" w:rsidRDefault="00D17BE2" w:rsidP="00051040">
      <w:pPr>
        <w:tabs>
          <w:tab w:val="left" w:pos="990"/>
        </w:tabs>
        <w:rPr>
          <w:szCs w:val="24"/>
        </w:rPr>
      </w:pPr>
    </w:p>
    <w:p w14:paraId="798B2036" w14:textId="0CEFE658" w:rsidR="00CB6891" w:rsidRPr="007C0DC3" w:rsidRDefault="00D17BE2" w:rsidP="00051040">
      <w:pPr>
        <w:tabs>
          <w:tab w:val="left" w:pos="990"/>
        </w:tabs>
        <w:rPr>
          <w:szCs w:val="24"/>
        </w:rPr>
      </w:pPr>
      <w:r w:rsidRPr="001830E2">
        <w:rPr>
          <w:b/>
          <w:bCs/>
          <w:szCs w:val="24"/>
        </w:rPr>
        <w:t>From:</w:t>
      </w:r>
      <w:r w:rsidR="002B67CB" w:rsidRPr="001830E2">
        <w:rPr>
          <w:b/>
          <w:bCs/>
          <w:szCs w:val="24"/>
        </w:rPr>
        <w:tab/>
      </w:r>
      <w:r w:rsidR="002B67CB" w:rsidRPr="007C0DC3">
        <w:rPr>
          <w:szCs w:val="24"/>
        </w:rPr>
        <w:t>David E. Johnson</w:t>
      </w:r>
      <w:r w:rsidR="003C192A" w:rsidRPr="007C0DC3">
        <w:rPr>
          <w:szCs w:val="24"/>
        </w:rPr>
        <w:t>, Director, Drug Control Program</w:t>
      </w:r>
    </w:p>
    <w:p w14:paraId="4E35347B" w14:textId="27D1A436" w:rsidR="00DE156F" w:rsidRPr="00B93CCB" w:rsidRDefault="00DE156F" w:rsidP="4BA9BED9">
      <w:pPr>
        <w:tabs>
          <w:tab w:val="left" w:pos="990"/>
        </w:tabs>
        <w:rPr>
          <w:b/>
          <w:bCs/>
        </w:rPr>
      </w:pPr>
      <w:r w:rsidRPr="007C0DC3">
        <w:rPr>
          <w:szCs w:val="24"/>
        </w:rPr>
        <w:tab/>
      </w:r>
      <w:r w:rsidR="001432AD" w:rsidRPr="001432AD">
        <w:rPr>
          <w:rStyle w:val="Strong"/>
          <w:b w:val="0"/>
          <w:bCs w:val="0"/>
        </w:rPr>
        <w:t>Joan Meunier-Sham, MS, RN</w:t>
      </w:r>
      <w:r w:rsidR="00051040">
        <w:rPr>
          <w:b/>
          <w:bCs/>
        </w:rPr>
        <w:t>,</w:t>
      </w:r>
      <w:r w:rsidR="001432AD">
        <w:t xml:space="preserve"> </w:t>
      </w:r>
      <w:r w:rsidR="7A1A0E08">
        <w:t>SANE</w:t>
      </w:r>
      <w:r w:rsidR="001432AD">
        <w:t xml:space="preserve"> </w:t>
      </w:r>
      <w:r w:rsidR="001432AD">
        <w:rPr>
          <w:rStyle w:val="ui-provider"/>
        </w:rPr>
        <w:t>Program Director</w:t>
      </w:r>
    </w:p>
    <w:p w14:paraId="10D6B8C8" w14:textId="77777777" w:rsidR="00D17BE2" w:rsidRPr="007C0DC3" w:rsidRDefault="00D17BE2" w:rsidP="00051040">
      <w:pPr>
        <w:tabs>
          <w:tab w:val="left" w:pos="990"/>
        </w:tabs>
        <w:rPr>
          <w:szCs w:val="24"/>
        </w:rPr>
      </w:pPr>
    </w:p>
    <w:p w14:paraId="589C7A96" w14:textId="1B6977EA" w:rsidR="00D17BE2" w:rsidRPr="007C0DC3" w:rsidRDefault="00873567" w:rsidP="00051040">
      <w:pPr>
        <w:tabs>
          <w:tab w:val="left" w:pos="990"/>
        </w:tabs>
        <w:rPr>
          <w:szCs w:val="24"/>
        </w:rPr>
      </w:pPr>
      <w:r w:rsidRPr="001830E2">
        <w:rPr>
          <w:b/>
          <w:bCs/>
          <w:szCs w:val="24"/>
        </w:rPr>
        <w:t>Date:</w:t>
      </w:r>
      <w:r w:rsidR="002B67CB" w:rsidRPr="001830E2">
        <w:rPr>
          <w:b/>
          <w:bCs/>
          <w:szCs w:val="24"/>
        </w:rPr>
        <w:tab/>
      </w:r>
      <w:r w:rsidR="00C14E99">
        <w:rPr>
          <w:szCs w:val="24"/>
        </w:rPr>
        <w:t>June 13</w:t>
      </w:r>
      <w:r w:rsidR="00603C89" w:rsidRPr="007C0DC3">
        <w:rPr>
          <w:szCs w:val="24"/>
        </w:rPr>
        <w:t xml:space="preserve">, </w:t>
      </w:r>
      <w:r w:rsidR="00F56151" w:rsidRPr="007C0DC3">
        <w:rPr>
          <w:szCs w:val="24"/>
        </w:rPr>
        <w:t>2024</w:t>
      </w:r>
    </w:p>
    <w:p w14:paraId="69D8C209" w14:textId="77777777" w:rsidR="00873567" w:rsidRPr="007C0DC3" w:rsidRDefault="00873567" w:rsidP="00051040">
      <w:pPr>
        <w:tabs>
          <w:tab w:val="left" w:pos="990"/>
        </w:tabs>
        <w:rPr>
          <w:szCs w:val="24"/>
        </w:rPr>
      </w:pPr>
    </w:p>
    <w:p w14:paraId="742CBA68" w14:textId="1FC0D2A6" w:rsidR="00852FEE" w:rsidRPr="007C0DC3" w:rsidRDefault="00873567" w:rsidP="00852FEE">
      <w:pPr>
        <w:pBdr>
          <w:bottom w:val="single" w:sz="12" w:space="1" w:color="auto"/>
        </w:pBdr>
        <w:rPr>
          <w:szCs w:val="24"/>
        </w:rPr>
      </w:pPr>
      <w:r w:rsidRPr="4BA9BED9">
        <w:rPr>
          <w:b/>
          <w:bCs/>
        </w:rPr>
        <w:t>Subject:</w:t>
      </w:r>
      <w:r>
        <w:t xml:space="preserve">  Dis</w:t>
      </w:r>
      <w:r w:rsidR="00D17847">
        <w:t xml:space="preserve">pensing Medications to </w:t>
      </w:r>
      <w:r w:rsidR="00DB4392">
        <w:t xml:space="preserve">Hospital </w:t>
      </w:r>
      <w:r w:rsidR="00F56151">
        <w:t>Patients</w:t>
      </w:r>
      <w:r w:rsidR="00DB4392">
        <w:t>, Including</w:t>
      </w:r>
      <w:r w:rsidR="25A0EDCE">
        <w:t xml:space="preserve"> </w:t>
      </w:r>
      <w:r w:rsidR="00F56151">
        <w:t xml:space="preserve">After a </w:t>
      </w:r>
      <w:r w:rsidR="374ACC13">
        <w:t>Medic</w:t>
      </w:r>
      <w:r w:rsidR="00FF41DA">
        <w:t>al</w:t>
      </w:r>
      <w:r w:rsidR="00CB459C">
        <w:t>-</w:t>
      </w:r>
      <w:r w:rsidR="00FF41DA">
        <w:t>Forensic</w:t>
      </w:r>
      <w:r w:rsidR="00D17847">
        <w:t xml:space="preserve"> </w:t>
      </w:r>
      <w:r w:rsidR="00F56151">
        <w:t>Examination</w:t>
      </w:r>
    </w:p>
    <w:p w14:paraId="2F176FAC" w14:textId="25BE8F2B" w:rsidR="00C572AF" w:rsidRDefault="0049325F" w:rsidP="0049325F">
      <w:pPr>
        <w:tabs>
          <w:tab w:val="left" w:pos="1080"/>
        </w:tabs>
        <w:spacing w:after="120" w:line="259" w:lineRule="auto"/>
      </w:pPr>
      <w:r>
        <w:t xml:space="preserve">Department of Public Health (DPH) regulation 105 CMR 722.000: </w:t>
      </w:r>
      <w:r w:rsidRPr="5D0FED62">
        <w:rPr>
          <w:i/>
          <w:iCs/>
        </w:rPr>
        <w:t>Dispensing Procedures for Clinic and Hospital Pharmacies.</w:t>
      </w:r>
      <w:r>
        <w:t xml:space="preserve"> 105 CMR 722.090(A) </w:t>
      </w:r>
      <w:r w:rsidR="001B7B86">
        <w:t>allows</w:t>
      </w:r>
      <w:r>
        <w:t xml:space="preserve"> hospital pharmacies to dispens</w:t>
      </w:r>
      <w:r w:rsidR="001B7B86">
        <w:t>e</w:t>
      </w:r>
      <w:r>
        <w:t xml:space="preserve"> controlled substances to hospital in-patients, hospital outpatients, and hospital employees.  </w:t>
      </w:r>
      <w:r w:rsidR="00AA1A60">
        <w:t>Additionally</w:t>
      </w:r>
      <w:r>
        <w:t>, 105 CMR 722.090(B), a</w:t>
      </w:r>
      <w:r w:rsidR="00AA1A60">
        <w:t>llows</w:t>
      </w:r>
      <w:r>
        <w:t xml:space="preserve"> hospital pharmac</w:t>
      </w:r>
      <w:r w:rsidR="00BA259B">
        <w:t>ies</w:t>
      </w:r>
      <w:r>
        <w:t xml:space="preserve"> </w:t>
      </w:r>
      <w:r w:rsidR="00BA259B">
        <w:t xml:space="preserve">to </w:t>
      </w:r>
      <w:r>
        <w:t xml:space="preserve">dispense </w:t>
      </w:r>
      <w:r w:rsidR="005B0F05">
        <w:t xml:space="preserve">up to 14 days of prescribed medication to </w:t>
      </w:r>
      <w:r>
        <w:t>emergency room patients</w:t>
      </w:r>
      <w:r w:rsidR="00030F44">
        <w:t>, or more than a 14-day supply in qualified situations</w:t>
      </w:r>
      <w:r w:rsidR="00DF4707">
        <w:rPr>
          <w:rStyle w:val="FootnoteReference"/>
        </w:rPr>
        <w:footnoteReference w:id="2"/>
      </w:r>
      <w:r>
        <w:t>.</w:t>
      </w:r>
      <w:r w:rsidR="00447C68">
        <w:t xml:space="preserve">. </w:t>
      </w:r>
    </w:p>
    <w:p w14:paraId="7268E3EC" w14:textId="77777777" w:rsidR="00C572AF" w:rsidRDefault="00C572AF" w:rsidP="0049325F">
      <w:pPr>
        <w:tabs>
          <w:tab w:val="left" w:pos="1080"/>
        </w:tabs>
        <w:spacing w:after="120" w:line="259" w:lineRule="auto"/>
      </w:pPr>
    </w:p>
    <w:p w14:paraId="445D5AB9" w14:textId="3F04A97A" w:rsidR="00FD5476" w:rsidRPr="007C0DC3" w:rsidRDefault="00C572AF" w:rsidP="007877B4">
      <w:pPr>
        <w:tabs>
          <w:tab w:val="left" w:pos="1080"/>
        </w:tabs>
        <w:spacing w:after="120" w:line="259" w:lineRule="auto"/>
      </w:pPr>
      <w:r>
        <w:t>Importantly, t</w:t>
      </w:r>
      <w:r w:rsidR="00447C68">
        <w:t>hese</w:t>
      </w:r>
      <w:r w:rsidR="00550392">
        <w:t xml:space="preserve"> allowable dispensing mechanisms also apply to </w:t>
      </w:r>
      <w:r w:rsidR="00466697">
        <w:t xml:space="preserve">hospitals where </w:t>
      </w:r>
      <w:r w:rsidR="00194748">
        <w:t xml:space="preserve">licensed </w:t>
      </w:r>
      <w:r w:rsidR="00365EEF">
        <w:t xml:space="preserve">medical </w:t>
      </w:r>
      <w:r w:rsidR="00DF61FA">
        <w:t>pr</w:t>
      </w:r>
      <w:r w:rsidR="00A618FC">
        <w:t>ofessionals</w:t>
      </w:r>
      <w:r w:rsidR="00466697">
        <w:t xml:space="preserve"> are</w:t>
      </w:r>
      <w:r w:rsidR="00CA6360">
        <w:t xml:space="preserve"> providing </w:t>
      </w:r>
      <w:r w:rsidR="00C47869">
        <w:t>sexual assault medical</w:t>
      </w:r>
      <w:r w:rsidR="001E5E1C">
        <w:t>-</w:t>
      </w:r>
      <w:r w:rsidR="00C47869">
        <w:t>forensic examination</w:t>
      </w:r>
      <w:r w:rsidR="00616DF4">
        <w:t>s</w:t>
      </w:r>
      <w:r w:rsidR="00C47869">
        <w:t xml:space="preserve"> as part of </w:t>
      </w:r>
      <w:r w:rsidR="00B60BD9">
        <w:t xml:space="preserve">the </w:t>
      </w:r>
      <w:r w:rsidR="00CA6360">
        <w:t>emergency department response</w:t>
      </w:r>
      <w:r w:rsidR="5B586026">
        <w:t>.</w:t>
      </w:r>
      <w:r w:rsidR="00713F10">
        <w:t xml:space="preserve"> </w:t>
      </w:r>
      <w:r w:rsidR="00FD5476">
        <w:t xml:space="preserve">As addressed below, a hospital pharmacy may </w:t>
      </w:r>
      <w:r>
        <w:t xml:space="preserve">– and </w:t>
      </w:r>
      <w:r w:rsidR="00097FEC">
        <w:t>is</w:t>
      </w:r>
      <w:r>
        <w:t xml:space="preserve"> encouraged to –</w:t>
      </w:r>
      <w:r w:rsidR="00FD5476">
        <w:t xml:space="preserve"> </w:t>
      </w:r>
      <w:r w:rsidR="00030F44">
        <w:t xml:space="preserve">dispense </w:t>
      </w:r>
      <w:r w:rsidR="00700C62">
        <w:t xml:space="preserve">the </w:t>
      </w:r>
      <w:r w:rsidR="00FD5476">
        <w:t>controlled substances</w:t>
      </w:r>
      <w:r w:rsidR="00CE61C7">
        <w:t xml:space="preserve"> </w:t>
      </w:r>
      <w:r w:rsidR="00F55737">
        <w:t xml:space="preserve">recommended by the </w:t>
      </w:r>
      <w:r w:rsidR="007510D5">
        <w:t>Department</w:t>
      </w:r>
      <w:r w:rsidR="00196507">
        <w:t xml:space="preserve"> of Public Health</w:t>
      </w:r>
      <w:r w:rsidR="007510D5">
        <w:t xml:space="preserve"> </w:t>
      </w:r>
      <w:r w:rsidR="79002DE2">
        <w:t xml:space="preserve">(DPH) </w:t>
      </w:r>
      <w:r w:rsidR="007510D5">
        <w:t>Sex</w:t>
      </w:r>
      <w:r w:rsidR="00DD22B7">
        <w:t>ual</w:t>
      </w:r>
      <w:r w:rsidR="007510D5">
        <w:t xml:space="preserve"> Assault Nurse Examiner (</w:t>
      </w:r>
      <w:r w:rsidR="1B66177F">
        <w:t>SANE</w:t>
      </w:r>
      <w:r w:rsidR="007510D5">
        <w:t>)</w:t>
      </w:r>
      <w:r w:rsidR="00F55737">
        <w:t xml:space="preserve"> </w:t>
      </w:r>
      <w:r w:rsidR="00BC0FF4">
        <w:t>P</w:t>
      </w:r>
      <w:r w:rsidR="00F55737">
        <w:t>rogram</w:t>
      </w:r>
      <w:r w:rsidR="00097FEC">
        <w:t xml:space="preserve"> and prescribed by an authorized provider</w:t>
      </w:r>
      <w:r w:rsidR="00F55737">
        <w:t xml:space="preserve"> </w:t>
      </w:r>
      <w:r w:rsidR="00CE61C7">
        <w:t xml:space="preserve">to </w:t>
      </w:r>
      <w:r w:rsidR="00364D3C">
        <w:t>emergency room</w:t>
      </w:r>
      <w:r w:rsidR="00420219">
        <w:t xml:space="preserve"> </w:t>
      </w:r>
      <w:r w:rsidR="00CE61C7">
        <w:t>patients</w:t>
      </w:r>
      <w:r w:rsidR="00721878">
        <w:t xml:space="preserve"> </w:t>
      </w:r>
      <w:r w:rsidR="00905FFC">
        <w:t xml:space="preserve">who have received a </w:t>
      </w:r>
      <w:r w:rsidR="0B4EC207">
        <w:t>medical</w:t>
      </w:r>
      <w:r w:rsidR="00C46C8B">
        <w:t>-</w:t>
      </w:r>
      <w:r w:rsidR="0B4EC207">
        <w:t>forensic exam</w:t>
      </w:r>
      <w:r w:rsidR="00143AFA">
        <w:t>,</w:t>
      </w:r>
      <w:r w:rsidR="00905FFC">
        <w:t xml:space="preserve"> </w:t>
      </w:r>
      <w:r w:rsidR="00721878">
        <w:t>either as part of the</w:t>
      </w:r>
      <w:r w:rsidR="00FD695C">
        <w:t xml:space="preserve"> emergency department visit</w:t>
      </w:r>
      <w:r w:rsidR="00721878">
        <w:t xml:space="preserve">, or </w:t>
      </w:r>
      <w:r w:rsidR="00D94A6C">
        <w:t xml:space="preserve">as part of </w:t>
      </w:r>
      <w:r w:rsidR="00721878">
        <w:t>the discharge process</w:t>
      </w:r>
      <w:r w:rsidR="00CE61C7">
        <w:t>.</w:t>
      </w:r>
    </w:p>
    <w:p w14:paraId="014599DA" w14:textId="4168DBA8" w:rsidR="00A77BC1" w:rsidRDefault="00F84E8D" w:rsidP="4146D0FE">
      <w:pPr>
        <w:tabs>
          <w:tab w:val="left" w:pos="1080"/>
        </w:tabs>
        <w:spacing w:after="120" w:line="259" w:lineRule="auto"/>
      </w:pPr>
      <w:r>
        <w:t xml:space="preserve">This practice, recommended by both </w:t>
      </w:r>
      <w:r w:rsidR="00D94A6C">
        <w:t xml:space="preserve">the </w:t>
      </w:r>
      <w:r w:rsidR="00C765FC">
        <w:t xml:space="preserve">CDC and the </w:t>
      </w:r>
      <w:r w:rsidR="4CD7B0B3">
        <w:t>DPH</w:t>
      </w:r>
      <w:r w:rsidR="00E61192">
        <w:t xml:space="preserve"> </w:t>
      </w:r>
      <w:r w:rsidR="3CD99111">
        <w:t>SANE</w:t>
      </w:r>
      <w:r w:rsidR="00D94A6C">
        <w:t xml:space="preserve"> Program</w:t>
      </w:r>
      <w:r>
        <w:t xml:space="preserve">, is in the best interest of the patient to receive </w:t>
      </w:r>
      <w:r w:rsidR="00F27483">
        <w:t>these recommended and prescribed medications upon exam and prior to leaving the hospital as opposed to obta</w:t>
      </w:r>
      <w:r w:rsidR="00885836">
        <w:t xml:space="preserve">ining aftercare medications from a retail pharmacy </w:t>
      </w:r>
      <w:r w:rsidR="2BA5F12A">
        <w:t xml:space="preserve">upon </w:t>
      </w:r>
      <w:r w:rsidR="00434A0E">
        <w:t>leaving the hospital</w:t>
      </w:r>
      <w:r w:rsidR="004726EE">
        <w:t xml:space="preserve">. </w:t>
      </w:r>
      <w:r w:rsidR="002338E2">
        <w:t xml:space="preserve"> </w:t>
      </w:r>
      <w:r w:rsidR="00A77BC1">
        <w:t xml:space="preserve">The current list of aftercare medications recommended by the CDC and the DPH </w:t>
      </w:r>
      <w:r w:rsidR="00434A0E">
        <w:t xml:space="preserve">SANE program </w:t>
      </w:r>
      <w:r w:rsidR="00A77BC1">
        <w:t xml:space="preserve">are attached to this </w:t>
      </w:r>
      <w:r w:rsidR="1A65B97F">
        <w:t>g</w:t>
      </w:r>
      <w:r w:rsidR="00D16962">
        <w:t>uidance</w:t>
      </w:r>
      <w:r w:rsidR="00A77BC1">
        <w:t xml:space="preserve">.  </w:t>
      </w:r>
    </w:p>
    <w:p w14:paraId="6A698C56" w14:textId="0139D395" w:rsidR="005B2D20" w:rsidRDefault="005B2D20" w:rsidP="005B2D20">
      <w:pPr>
        <w:tabs>
          <w:tab w:val="left" w:pos="1080"/>
        </w:tabs>
        <w:spacing w:after="120" w:line="259" w:lineRule="auto"/>
      </w:pPr>
    </w:p>
    <w:p w14:paraId="6C6E7D8D" w14:textId="67B8F374" w:rsidR="000E3CEA" w:rsidRDefault="00206FC3" w:rsidP="005B2D20">
      <w:pPr>
        <w:tabs>
          <w:tab w:val="left" w:pos="1080"/>
        </w:tabs>
        <w:spacing w:after="120" w:line="259" w:lineRule="auto"/>
      </w:pPr>
      <w:r>
        <w:lastRenderedPageBreak/>
        <w:t xml:space="preserve">The </w:t>
      </w:r>
      <w:r w:rsidR="0059258F">
        <w:t xml:space="preserve">aftercare medications listed in the attached circular </w:t>
      </w:r>
      <w:r w:rsidR="00BA04A6">
        <w:t xml:space="preserve">meet </w:t>
      </w:r>
      <w:r w:rsidR="004E2CBD">
        <w:t>the criteria set out in 105 CMR 722.090(B)(2)</w:t>
      </w:r>
      <w:r w:rsidR="0083578D">
        <w:t>, and therefore</w:t>
      </w:r>
      <w:r w:rsidR="58A7840A">
        <w:t>,</w:t>
      </w:r>
      <w:r w:rsidR="0083578D">
        <w:t xml:space="preserve"> a hospital may dispense them to a patient who has received a </w:t>
      </w:r>
      <w:r w:rsidR="75C8B76D">
        <w:t>medical-forensic e</w:t>
      </w:r>
      <w:r w:rsidR="0083578D">
        <w:t>xamination</w:t>
      </w:r>
      <w:r w:rsidR="1A87802C">
        <w:t xml:space="preserve"> </w:t>
      </w:r>
      <w:r w:rsidR="0083578D">
        <w:t>in the hospital’s emergency department</w:t>
      </w:r>
      <w:r w:rsidR="004E2CBD">
        <w:t xml:space="preserve">. </w:t>
      </w:r>
      <w:r w:rsidR="001103BA">
        <w:t xml:space="preserve">The </w:t>
      </w:r>
      <w:r w:rsidR="00046C1B">
        <w:t xml:space="preserve">hospital pharmacy </w:t>
      </w:r>
      <w:r w:rsidR="0059258F">
        <w:t xml:space="preserve">may </w:t>
      </w:r>
      <w:r w:rsidR="00046C1B">
        <w:t>dispense the</w:t>
      </w:r>
      <w:r w:rsidR="003A7C8C">
        <w:t xml:space="preserve"> aftercare medications </w:t>
      </w:r>
      <w:r w:rsidR="001103BA">
        <w:t xml:space="preserve">either </w:t>
      </w:r>
      <w:r w:rsidR="0028717C">
        <w:t xml:space="preserve">as part of the </w:t>
      </w:r>
      <w:r w:rsidR="00FD695C">
        <w:t xml:space="preserve">emergency department visit </w:t>
      </w:r>
      <w:r w:rsidR="004F214C">
        <w:t>where the patient receive</w:t>
      </w:r>
      <w:r w:rsidR="00B468D2">
        <w:t>s</w:t>
      </w:r>
      <w:r w:rsidR="004F214C">
        <w:t xml:space="preserve"> the</w:t>
      </w:r>
      <w:r w:rsidR="003A53B4">
        <w:t xml:space="preserve"> </w:t>
      </w:r>
      <w:r w:rsidR="00634DAA">
        <w:t>medical-</w:t>
      </w:r>
      <w:r w:rsidR="003A53B4">
        <w:t xml:space="preserve">forensic </w:t>
      </w:r>
      <w:r w:rsidR="73DD7858">
        <w:t>examination by a</w:t>
      </w:r>
      <w:r w:rsidR="003A53B4">
        <w:t xml:space="preserve"> </w:t>
      </w:r>
      <w:r w:rsidR="00225917">
        <w:t>licensed medical professional</w:t>
      </w:r>
      <w:r w:rsidR="004F214C">
        <w:t xml:space="preserve">, </w:t>
      </w:r>
      <w:r w:rsidR="00F35225">
        <w:t xml:space="preserve">or </w:t>
      </w:r>
      <w:r w:rsidR="00330DCA">
        <w:t xml:space="preserve">as part of the </w:t>
      </w:r>
      <w:r w:rsidR="0028717C">
        <w:t>discharge process</w:t>
      </w:r>
      <w:r w:rsidR="00BA04A6">
        <w:t xml:space="preserve">.  </w:t>
      </w:r>
      <w:r w:rsidR="00A5490F">
        <w:t xml:space="preserve"> </w:t>
      </w:r>
    </w:p>
    <w:p w14:paraId="5B5BA8C5" w14:textId="2F4299AB" w:rsidR="00B77450" w:rsidRDefault="00B77450" w:rsidP="00603C89">
      <w:pPr>
        <w:spacing w:after="120" w:line="259" w:lineRule="auto"/>
      </w:pPr>
      <w:r>
        <w:t>The requirements of 105 CMR 722.090(A) and (B) apply to all hospitals, and not only to those providing a medical-forensic examination as part of an emergency room response.  All hospitals must comply with the 14-day rule set out in 105 CMR 722.090(A), and all hospitals can use the exceptions stated in 105 CMR 722.090(B).</w:t>
      </w:r>
    </w:p>
    <w:p w14:paraId="00BDB7CD" w14:textId="6B4FB8B9" w:rsidR="00AA6CEA" w:rsidRDefault="00B300D4" w:rsidP="008032D1">
      <w:pPr>
        <w:tabs>
          <w:tab w:val="left" w:pos="1080"/>
        </w:tabs>
        <w:spacing w:after="120" w:line="259" w:lineRule="auto"/>
        <w:rPr>
          <w:szCs w:val="24"/>
        </w:rPr>
      </w:pPr>
      <w:r w:rsidRPr="007C0DC3">
        <w:rPr>
          <w:szCs w:val="24"/>
        </w:rPr>
        <w:t xml:space="preserve">Questions regarding </w:t>
      </w:r>
      <w:r w:rsidR="00833735">
        <w:rPr>
          <w:szCs w:val="24"/>
        </w:rPr>
        <w:t xml:space="preserve">105 CMR 722.000 </w:t>
      </w:r>
      <w:r w:rsidR="00432E0F">
        <w:rPr>
          <w:szCs w:val="24"/>
        </w:rPr>
        <w:t xml:space="preserve">and hospital pharmacy practice </w:t>
      </w:r>
      <w:r w:rsidRPr="007C0DC3">
        <w:rPr>
          <w:szCs w:val="24"/>
        </w:rPr>
        <w:t xml:space="preserve">should be emailed to the Drug Control Program at: </w:t>
      </w:r>
      <w:hyperlink r:id="rId12" w:history="1">
        <w:r w:rsidR="00562A32" w:rsidRPr="00B92F05">
          <w:rPr>
            <w:rStyle w:val="Hyperlink"/>
            <w:szCs w:val="24"/>
          </w:rPr>
          <w:t>dcp.dph@mass.gov</w:t>
        </w:r>
      </w:hyperlink>
      <w:r w:rsidRPr="007C0DC3">
        <w:rPr>
          <w:szCs w:val="24"/>
        </w:rPr>
        <w:t>.</w:t>
      </w:r>
    </w:p>
    <w:p w14:paraId="266DBB3F" w14:textId="02117C88" w:rsidR="00562A32" w:rsidRDefault="00562A32" w:rsidP="008032D1">
      <w:pPr>
        <w:tabs>
          <w:tab w:val="left" w:pos="1080"/>
        </w:tabs>
        <w:spacing w:after="120" w:line="259" w:lineRule="auto"/>
      </w:pPr>
      <w:r>
        <w:t xml:space="preserve">Questions regarding </w:t>
      </w:r>
      <w:r w:rsidR="005D466E">
        <w:t xml:space="preserve">the SANE </w:t>
      </w:r>
      <w:r w:rsidR="00EC02BC">
        <w:t>P</w:t>
      </w:r>
      <w:r w:rsidR="005D466E">
        <w:t xml:space="preserve">rogram </w:t>
      </w:r>
      <w:r>
        <w:t xml:space="preserve">should be emailed to the </w:t>
      </w:r>
      <w:r w:rsidR="00B93CCB">
        <w:t xml:space="preserve">Bureau of </w:t>
      </w:r>
      <w:r w:rsidR="009E276B">
        <w:t xml:space="preserve">Community Health &amp; Prevention </w:t>
      </w:r>
      <w:r>
        <w:t xml:space="preserve">at: </w:t>
      </w:r>
      <w:hyperlink r:id="rId13" w:history="1">
        <w:r w:rsidR="002833C5" w:rsidRPr="694662FC">
          <w:rPr>
            <w:rStyle w:val="Hyperlink"/>
          </w:rPr>
          <w:t>masane@massmail.state.ma.us</w:t>
        </w:r>
      </w:hyperlink>
      <w:r>
        <w:t>.</w:t>
      </w:r>
    </w:p>
    <w:p w14:paraId="7F9CAF2E" w14:textId="77777777" w:rsidR="00DA42E0" w:rsidRDefault="00DA42E0" w:rsidP="008032D1">
      <w:pPr>
        <w:tabs>
          <w:tab w:val="left" w:pos="1080"/>
        </w:tabs>
        <w:spacing w:after="120" w:line="259" w:lineRule="auto"/>
        <w:rPr>
          <w:szCs w:val="24"/>
        </w:rPr>
        <w:sectPr w:rsidR="00DA42E0" w:rsidSect="007D443C">
          <w:headerReference w:type="default" r:id="rId14"/>
          <w:footerReference w:type="default" r:id="rId15"/>
          <w:pgSz w:w="12240" w:h="15840"/>
          <w:pgMar w:top="1440" w:right="1440" w:bottom="1008" w:left="144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9444"/>
      </w:tblGrid>
      <w:tr w:rsidR="00DA42E0" w14:paraId="54008960" w14:textId="77777777" w:rsidTr="00DA42E0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FD6F167" w14:textId="77777777" w:rsidR="00DA42E0" w:rsidRDefault="00DA42E0" w:rsidP="000B5BB3">
            <w:pPr>
              <w:spacing w:after="40"/>
              <w:rPr>
                <w:rFonts w:ascii="Franklin Gothic Medium Cond" w:hAnsi="Franklin Gothic Medium Cond"/>
                <w:sz w:val="32"/>
                <w:szCs w:val="32"/>
              </w:rPr>
            </w:pPr>
            <w:r>
              <w:rPr>
                <w:rFonts w:ascii="Franklin Gothic Medium Cond" w:hAnsi="Franklin Gothic Medium Cond"/>
                <w:noProof/>
                <w:sz w:val="32"/>
                <w:szCs w:val="32"/>
              </w:rPr>
              <w:lastRenderedPageBreak/>
              <w:drawing>
                <wp:inline distT="0" distB="0" distL="0" distR="0" wp14:anchorId="793290CA" wp14:editId="23E98361">
                  <wp:extent cx="717550" cy="1083973"/>
                  <wp:effectExtent l="0" t="0" r="6350" b="1905"/>
                  <wp:docPr id="868741387" name="Picture 868741387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64" cy="114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4" w:type="dxa"/>
            <w:tcBorders>
              <w:top w:val="nil"/>
              <w:left w:val="nil"/>
              <w:bottom w:val="nil"/>
              <w:right w:val="nil"/>
            </w:tcBorders>
          </w:tcPr>
          <w:p w14:paraId="03F7C9AC" w14:textId="77777777" w:rsidR="00DA42E0" w:rsidRDefault="00DA42E0" w:rsidP="000B5BB3">
            <w:pPr>
              <w:spacing w:after="160"/>
              <w:rPr>
                <w:rFonts w:ascii="Franklin Gothic Medium Cond" w:hAnsi="Franklin Gothic Medium Cond"/>
                <w:sz w:val="32"/>
                <w:szCs w:val="32"/>
              </w:rPr>
            </w:pPr>
            <w:r w:rsidRPr="00F538B3">
              <w:rPr>
                <w:rFonts w:ascii="Franklin Gothic Medium Cond" w:hAnsi="Franklin Gothic Medium Cond"/>
                <w:sz w:val="64"/>
                <w:szCs w:val="64"/>
              </w:rPr>
              <w:t>Adult/Adolescent SANE</w:t>
            </w:r>
            <w:r>
              <w:rPr>
                <w:rFonts w:ascii="Franklin Gothic Medium Cond" w:hAnsi="Franklin Gothic Medium Cond"/>
                <w:sz w:val="32"/>
                <w:szCs w:val="32"/>
              </w:rPr>
              <w:br/>
            </w:r>
            <w:r w:rsidRPr="005A79D0">
              <w:rPr>
                <w:rFonts w:ascii="Franklin Gothic Medium Cond" w:hAnsi="Franklin Gothic Medium Cond"/>
                <w:sz w:val="36"/>
                <w:szCs w:val="36"/>
              </w:rPr>
              <w:t>Recommended Treatment Post Sexual Assault</w:t>
            </w:r>
            <w:r w:rsidRPr="005A79D0">
              <w:rPr>
                <w:rFonts w:ascii="Franklin Gothic Medium Cond" w:hAnsi="Franklin Gothic Medium Cond"/>
                <w:sz w:val="36"/>
                <w:szCs w:val="36"/>
              </w:rPr>
              <w:br/>
            </w:r>
            <w:r>
              <w:rPr>
                <w:rFonts w:ascii="Franklin Gothic Medium Cond" w:hAnsi="Franklin Gothic Medium Cond"/>
                <w:sz w:val="36"/>
                <w:szCs w:val="36"/>
              </w:rPr>
              <w:t>P</w:t>
            </w:r>
            <w:r w:rsidRPr="005A79D0">
              <w:rPr>
                <w:rFonts w:ascii="Franklin Gothic Medium Cond" w:hAnsi="Franklin Gothic Medium Cond"/>
                <w:sz w:val="36"/>
                <w:szCs w:val="36"/>
              </w:rPr>
              <w:t>er CDC/MDPH Guidelines</w:t>
            </w:r>
          </w:p>
        </w:tc>
      </w:tr>
      <w:tr w:rsidR="00DA42E0" w:rsidRPr="00DA42E0" w14:paraId="0FB958D4" w14:textId="77777777" w:rsidTr="00DA42E0"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30310" w14:textId="77777777" w:rsidR="00DA42E0" w:rsidRPr="00DA42E0" w:rsidRDefault="00DA42E0" w:rsidP="000B5BB3">
            <w:pPr>
              <w:spacing w:before="60"/>
              <w:jc w:val="center"/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DA42E0">
              <w:rPr>
                <w:rFonts w:ascii="Franklin Gothic Book" w:hAnsi="Franklin Gothic Book"/>
                <w:i/>
                <w:iCs/>
                <w:sz w:val="22"/>
                <w:szCs w:val="22"/>
              </w:rPr>
              <w:t>ED medical providers are responsible for ordering medications.  Hospital staff must address the possibility of pregnancy and allergies before administration of medications.</w:t>
            </w:r>
          </w:p>
        </w:tc>
      </w:tr>
      <w:tr w:rsidR="00DA42E0" w:rsidRPr="00DA42E0" w14:paraId="6AE5DFD2" w14:textId="77777777" w:rsidTr="00DA42E0">
        <w:trPr>
          <w:cantSplit/>
          <w:trHeight w:hRule="exact" w:val="144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17297" w14:textId="77777777" w:rsidR="00DA42E0" w:rsidRPr="00DA42E0" w:rsidRDefault="00DA42E0" w:rsidP="000B5BB3">
            <w:pPr>
              <w:jc w:val="center"/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</w:p>
        </w:tc>
      </w:tr>
      <w:tr w:rsidR="00DA42E0" w:rsidRPr="00DA42E0" w14:paraId="1919A3D1" w14:textId="77777777" w:rsidTr="00DA42E0"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</w:tcPr>
          <w:p w14:paraId="0FC87ABF" w14:textId="77777777" w:rsidR="00DA42E0" w:rsidRPr="00DA42E0" w:rsidRDefault="00DA42E0" w:rsidP="000B5BB3">
            <w:pPr>
              <w:spacing w:after="60"/>
              <w:jc w:val="center"/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DA42E0">
              <w:rPr>
                <w:rFonts w:ascii="Franklin Gothic Medium Cond" w:hAnsi="Franklin Gothic Medium Cond"/>
                <w:sz w:val="22"/>
                <w:szCs w:val="22"/>
              </w:rPr>
              <w:t>THIS IS NOT AN ORDER FORM</w:t>
            </w:r>
          </w:p>
        </w:tc>
      </w:tr>
    </w:tbl>
    <w:p w14:paraId="07AE45C5" w14:textId="77777777" w:rsidR="00DA42E0" w:rsidRPr="00DA42E0" w:rsidRDefault="00DA42E0" w:rsidP="00DA42E0">
      <w:pPr>
        <w:spacing w:before="80" w:after="80"/>
        <w:jc w:val="center"/>
        <w:rPr>
          <w:rFonts w:ascii="Franklin Gothic Book" w:hAnsi="Franklin Gothic Book"/>
          <w:sz w:val="22"/>
          <w:szCs w:val="22"/>
        </w:rPr>
      </w:pPr>
      <w:r w:rsidRPr="00DA42E0">
        <w:rPr>
          <w:rFonts w:ascii="Franklin Gothic Book" w:hAnsi="Franklin Gothic Book"/>
          <w:b/>
          <w:bCs/>
          <w:sz w:val="22"/>
          <w:szCs w:val="22"/>
        </w:rPr>
        <w:t>Antiemetic:</w:t>
      </w:r>
      <w:r w:rsidRPr="00DA42E0">
        <w:rPr>
          <w:rFonts w:ascii="Franklin Gothic Book" w:hAnsi="Franklin Gothic Book"/>
          <w:sz w:val="22"/>
          <w:szCs w:val="22"/>
        </w:rPr>
        <w:t xml:space="preserve"> 30 minutes prior to STI prophylaxis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418"/>
        <w:gridCol w:w="3597"/>
      </w:tblGrid>
      <w:tr w:rsidR="00DA42E0" w14:paraId="6C74B913" w14:textId="77777777" w:rsidTr="000B5BB3">
        <w:tc>
          <w:tcPr>
            <w:tcW w:w="10790" w:type="dxa"/>
            <w:gridSpan w:val="3"/>
            <w:shd w:val="clear" w:color="auto" w:fill="2F5496" w:themeFill="accent1" w:themeFillShade="BF"/>
          </w:tcPr>
          <w:p w14:paraId="43B75CED" w14:textId="77777777" w:rsidR="00DA42E0" w:rsidRDefault="00DA42E0" w:rsidP="000B5BB3">
            <w:pPr>
              <w:spacing w:before="40" w:after="40"/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1263EE"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</w:rPr>
              <w:t>Pregnancy Prophylaxis</w:t>
            </w:r>
          </w:p>
        </w:tc>
      </w:tr>
      <w:tr w:rsidR="00DA42E0" w14:paraId="24CA38FD" w14:textId="77777777" w:rsidTr="000B5BB3">
        <w:tc>
          <w:tcPr>
            <w:tcW w:w="10790" w:type="dxa"/>
            <w:gridSpan w:val="3"/>
          </w:tcPr>
          <w:p w14:paraId="54ED0AF5" w14:textId="77777777" w:rsidR="00DA42E0" w:rsidRPr="00DA42E0" w:rsidRDefault="00DA42E0" w:rsidP="00DA42E0">
            <w:pPr>
              <w:spacing w:before="40" w:after="4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A42E0">
              <w:rPr>
                <w:rFonts w:ascii="Franklin Gothic Medium Cond" w:hAnsi="Franklin Gothic Medium Cond"/>
                <w:b/>
                <w:bCs/>
                <w:sz w:val="22"/>
                <w:szCs w:val="22"/>
              </w:rPr>
              <w:t>Plan B</w:t>
            </w:r>
            <w:r w:rsidRPr="00DA42E0">
              <w:rPr>
                <w:rFonts w:ascii="Franklin Gothic Book" w:hAnsi="Franklin Gothic Book"/>
                <w:sz w:val="22"/>
                <w:szCs w:val="22"/>
              </w:rPr>
              <w:t xml:space="preserve"> (Levonorgestrel 1.5mg) by mouth x </w:t>
            </w:r>
            <w:proofErr w:type="gramStart"/>
            <w:r w:rsidRPr="00DA42E0">
              <w:rPr>
                <w:rFonts w:ascii="Franklin Gothic Book" w:hAnsi="Franklin Gothic Book"/>
                <w:sz w:val="22"/>
                <w:szCs w:val="22"/>
              </w:rPr>
              <w:t xml:space="preserve">1  </w:t>
            </w:r>
            <w:r w:rsidRPr="00DA42E0">
              <w:rPr>
                <w:rFonts w:ascii="Franklin Gothic Medium Cond" w:hAnsi="Franklin Gothic Medium Cond"/>
                <w:b/>
                <w:bCs/>
                <w:sz w:val="22"/>
                <w:szCs w:val="22"/>
              </w:rPr>
              <w:t>OR</w:t>
            </w:r>
            <w:proofErr w:type="gramEnd"/>
            <w:r w:rsidRPr="00DA42E0">
              <w:rPr>
                <w:rFonts w:ascii="Franklin Gothic Medium Cond" w:hAnsi="Franklin Gothic Medium Cond"/>
                <w:b/>
                <w:bCs/>
                <w:sz w:val="22"/>
                <w:szCs w:val="22"/>
              </w:rPr>
              <w:t xml:space="preserve">  </w:t>
            </w:r>
            <w:r w:rsidRPr="00DA42E0">
              <w:rPr>
                <w:rFonts w:ascii="Franklin Gothic Book" w:hAnsi="Franklin Gothic Book"/>
                <w:sz w:val="22"/>
                <w:szCs w:val="22"/>
              </w:rPr>
              <w:t>Ulipristal acetate 30mg) (</w:t>
            </w:r>
            <w:proofErr w:type="spellStart"/>
            <w:r w:rsidRPr="00DA42E0">
              <w:rPr>
                <w:rFonts w:ascii="Franklin Gothic Book" w:hAnsi="Franklin Gothic Book"/>
                <w:sz w:val="22"/>
                <w:szCs w:val="22"/>
              </w:rPr>
              <w:t>ella</w:t>
            </w:r>
            <w:proofErr w:type="spellEnd"/>
            <w:r w:rsidRPr="00DA42E0">
              <w:rPr>
                <w:rFonts w:ascii="Franklin Gothic Book" w:hAnsi="Franklin Gothic Book"/>
                <w:sz w:val="22"/>
                <w:szCs w:val="22"/>
              </w:rPr>
              <w:t>) by mouth x 1</w:t>
            </w:r>
          </w:p>
        </w:tc>
      </w:tr>
      <w:tr w:rsidR="00DA42E0" w14:paraId="79D5DB80" w14:textId="77777777" w:rsidTr="000B5BB3">
        <w:tc>
          <w:tcPr>
            <w:tcW w:w="10790" w:type="dxa"/>
            <w:gridSpan w:val="3"/>
            <w:shd w:val="clear" w:color="auto" w:fill="2F5496" w:themeFill="accent1" w:themeFillShade="BF"/>
          </w:tcPr>
          <w:p w14:paraId="7CF90F88" w14:textId="77777777" w:rsidR="00DA42E0" w:rsidRPr="00CB124C" w:rsidRDefault="00DA42E0" w:rsidP="000B5BB3">
            <w:pPr>
              <w:spacing w:before="40" w:after="40"/>
              <w:jc w:val="center"/>
              <w:rPr>
                <w:rFonts w:ascii="Franklin Gothic Medium Cond" w:hAnsi="Franklin Gothic Medium Cond"/>
                <w:b/>
                <w:bCs/>
                <w:sz w:val="32"/>
                <w:szCs w:val="32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 xml:space="preserve">       </w:t>
            </w:r>
            <w:proofErr w:type="gramStart"/>
            <w:r w:rsidRPr="00CB124C"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</w:rPr>
              <w:t xml:space="preserve">STI </w:t>
            </w:r>
            <w:r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</w:rPr>
              <w:t xml:space="preserve"> Prophylaxis</w:t>
            </w:r>
            <w:proofErr w:type="gramEnd"/>
            <w:r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CB124C"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</w:rPr>
              <w:t>Recommendations</w:t>
            </w:r>
            <w:r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</w:rPr>
              <w:t xml:space="preserve"> (based on </w:t>
            </w:r>
            <w:r w:rsidRPr="00CB124C"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</w:rPr>
              <w:t>2021 CDC</w:t>
            </w:r>
            <w:r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</w:rPr>
              <w:t xml:space="preserve"> treatment guidelines)</w:t>
            </w:r>
          </w:p>
        </w:tc>
      </w:tr>
      <w:tr w:rsidR="00DA42E0" w14:paraId="6FBE5F0F" w14:textId="77777777" w:rsidTr="000B5BB3">
        <w:tc>
          <w:tcPr>
            <w:tcW w:w="3775" w:type="dxa"/>
          </w:tcPr>
          <w:p w14:paraId="1C52AA86" w14:textId="77777777" w:rsidR="00DA42E0" w:rsidRPr="001F15FB" w:rsidRDefault="00DA42E0" w:rsidP="000B5BB3">
            <w:pPr>
              <w:spacing w:before="40" w:after="40"/>
              <w:rPr>
                <w:rFonts w:ascii="Franklin Gothic Medium Cond" w:hAnsi="Franklin Gothic Medium Cond"/>
                <w:sz w:val="28"/>
                <w:szCs w:val="28"/>
              </w:rPr>
            </w:pPr>
            <w:r w:rsidRPr="001F15FB">
              <w:rPr>
                <w:rFonts w:ascii="Franklin Gothic Medium Cond" w:hAnsi="Franklin Gothic Medium Cond"/>
                <w:sz w:val="28"/>
                <w:szCs w:val="28"/>
              </w:rPr>
              <w:t>INFECTION</w:t>
            </w:r>
          </w:p>
        </w:tc>
        <w:tc>
          <w:tcPr>
            <w:tcW w:w="7015" w:type="dxa"/>
            <w:gridSpan w:val="2"/>
          </w:tcPr>
          <w:p w14:paraId="2A64953F" w14:textId="77777777" w:rsidR="00DA42E0" w:rsidRPr="001F15FB" w:rsidRDefault="00DA42E0" w:rsidP="000B5BB3">
            <w:pPr>
              <w:spacing w:before="40" w:after="40"/>
              <w:rPr>
                <w:rFonts w:ascii="Franklin Gothic Medium Cond" w:hAnsi="Franklin Gothic Medium Cond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>PROPHYLAXIS</w:t>
            </w:r>
          </w:p>
        </w:tc>
      </w:tr>
      <w:tr w:rsidR="00DA42E0" w14:paraId="4A7D33F3" w14:textId="77777777" w:rsidTr="000B5BB3">
        <w:tc>
          <w:tcPr>
            <w:tcW w:w="3775" w:type="dxa"/>
          </w:tcPr>
          <w:p w14:paraId="7551C618" w14:textId="77777777" w:rsidR="00DA42E0" w:rsidRPr="00DA42E0" w:rsidRDefault="00DA42E0" w:rsidP="000B5BB3">
            <w:pPr>
              <w:spacing w:before="40" w:after="40"/>
              <w:rPr>
                <w:rFonts w:ascii="Franklin Gothic Medium Cond" w:hAnsi="Franklin Gothic Medium Cond"/>
                <w:sz w:val="22"/>
                <w:szCs w:val="22"/>
              </w:rPr>
            </w:pPr>
            <w:r w:rsidRPr="00DA42E0">
              <w:rPr>
                <w:rFonts w:ascii="Franklin Gothic Medium Cond" w:hAnsi="Franklin Gothic Medium Cond"/>
                <w:sz w:val="22"/>
                <w:szCs w:val="22"/>
              </w:rPr>
              <w:t>Gonorrhea</w:t>
            </w:r>
          </w:p>
        </w:tc>
        <w:tc>
          <w:tcPr>
            <w:tcW w:w="7015" w:type="dxa"/>
            <w:gridSpan w:val="2"/>
          </w:tcPr>
          <w:p w14:paraId="5D298C77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Ceftriaxone 500mg IM x 1 (1g IM x 1 for patients ≥ 150kg)</w:t>
            </w:r>
          </w:p>
          <w:p w14:paraId="1DFE93EA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b/>
                <w:bCs/>
                <w:sz w:val="20"/>
              </w:rPr>
              <w:t>Contraindications:</w:t>
            </w:r>
            <w:r w:rsidRPr="00537A5E">
              <w:rPr>
                <w:rFonts w:ascii="Franklin Gothic Book" w:hAnsi="Franklin Gothic Book"/>
                <w:sz w:val="20"/>
              </w:rPr>
              <w:t xml:space="preserve"> Allergy to Cephalosporins</w:t>
            </w:r>
          </w:p>
        </w:tc>
      </w:tr>
      <w:tr w:rsidR="00DA42E0" w14:paraId="3E97CF3B" w14:textId="77777777" w:rsidTr="000B5BB3">
        <w:tc>
          <w:tcPr>
            <w:tcW w:w="3775" w:type="dxa"/>
          </w:tcPr>
          <w:p w14:paraId="403ED71B" w14:textId="77777777" w:rsidR="00DA42E0" w:rsidRPr="00DA42E0" w:rsidRDefault="00DA42E0" w:rsidP="000B5BB3">
            <w:pPr>
              <w:spacing w:before="40" w:after="40"/>
              <w:rPr>
                <w:rFonts w:ascii="Franklin Gothic Medium Cond" w:hAnsi="Franklin Gothic Medium Cond"/>
                <w:sz w:val="22"/>
                <w:szCs w:val="22"/>
              </w:rPr>
            </w:pPr>
            <w:r w:rsidRPr="00DA42E0">
              <w:rPr>
                <w:rFonts w:ascii="Franklin Gothic Medium Cond" w:hAnsi="Franklin Gothic Medium Cond"/>
                <w:sz w:val="22"/>
                <w:szCs w:val="22"/>
              </w:rPr>
              <w:t>Chlamydia</w:t>
            </w:r>
          </w:p>
        </w:tc>
        <w:tc>
          <w:tcPr>
            <w:tcW w:w="7015" w:type="dxa"/>
            <w:gridSpan w:val="2"/>
          </w:tcPr>
          <w:p w14:paraId="45CEFAE1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Doxycycline 100mg by mouth twice daily x 7 days</w:t>
            </w:r>
          </w:p>
          <w:p w14:paraId="307B5BF0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b/>
                <w:bCs/>
                <w:sz w:val="20"/>
              </w:rPr>
              <w:t>Contraindications:</w:t>
            </w:r>
            <w:r w:rsidRPr="00537A5E">
              <w:rPr>
                <w:rFonts w:ascii="Franklin Gothic Book" w:hAnsi="Franklin Gothic Book"/>
                <w:sz w:val="20"/>
              </w:rPr>
              <w:t xml:space="preserve"> Allergy to Tetracyclines, pregnancy, chest/breastfeeding                                      </w:t>
            </w:r>
          </w:p>
          <w:p w14:paraId="0782C3A2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b/>
                <w:bCs/>
                <w:sz w:val="20"/>
              </w:rPr>
              <w:t>Alternative Treatment:</w:t>
            </w:r>
            <w:r w:rsidRPr="00537A5E">
              <w:rPr>
                <w:rFonts w:ascii="Franklin Gothic Book" w:hAnsi="Franklin Gothic Book"/>
                <w:sz w:val="20"/>
              </w:rPr>
              <w:t xml:space="preserve"> Azithromycin 1g by mouth x 1 for pregnant persons and when nonadherence to Doxycycline regimen is a substantial concern</w:t>
            </w:r>
          </w:p>
        </w:tc>
      </w:tr>
      <w:tr w:rsidR="00DA42E0" w14:paraId="4A6771F2" w14:textId="77777777" w:rsidTr="000B5BB3">
        <w:tc>
          <w:tcPr>
            <w:tcW w:w="3775" w:type="dxa"/>
          </w:tcPr>
          <w:p w14:paraId="60F5D8CF" w14:textId="77777777" w:rsidR="00DA42E0" w:rsidRPr="00DA42E0" w:rsidRDefault="00DA42E0" w:rsidP="000B5BB3">
            <w:pPr>
              <w:spacing w:before="40" w:after="40"/>
              <w:rPr>
                <w:rFonts w:ascii="Franklin Gothic Medium Cond" w:hAnsi="Franklin Gothic Medium Cond"/>
                <w:sz w:val="22"/>
                <w:szCs w:val="22"/>
              </w:rPr>
            </w:pPr>
            <w:r w:rsidRPr="00DA42E0">
              <w:rPr>
                <w:rFonts w:ascii="Franklin Gothic Medium Cond" w:hAnsi="Franklin Gothic Medium Cond"/>
                <w:sz w:val="22"/>
                <w:szCs w:val="22"/>
              </w:rPr>
              <w:t>Trichomoniasis</w:t>
            </w:r>
          </w:p>
        </w:tc>
        <w:tc>
          <w:tcPr>
            <w:tcW w:w="7015" w:type="dxa"/>
            <w:gridSpan w:val="2"/>
          </w:tcPr>
          <w:p w14:paraId="528B56E3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b/>
                <w:bCs/>
                <w:sz w:val="20"/>
              </w:rPr>
              <w:t>Patients with a vagina:</w:t>
            </w:r>
            <w:r w:rsidRPr="00537A5E">
              <w:rPr>
                <w:rFonts w:ascii="Franklin Gothic Book" w:hAnsi="Franklin Gothic Book"/>
                <w:sz w:val="20"/>
              </w:rPr>
              <w:t xml:space="preserve"> Metronidazole 500mg by mouth twice daily x 7 days*</w:t>
            </w:r>
            <w:r w:rsidRPr="00537A5E">
              <w:rPr>
                <w:rFonts w:ascii="Franklin Gothic Book" w:hAnsi="Franklin Gothic Book"/>
                <w:sz w:val="20"/>
              </w:rPr>
              <w:br/>
              <w:t>(This regimen is also used to treat bacterial vaginosis (BV), which is not considered an STI)</w:t>
            </w:r>
          </w:p>
          <w:p w14:paraId="46912C90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*For patients with a penis: testing and treatment is not recommended after assault</w:t>
            </w:r>
          </w:p>
        </w:tc>
      </w:tr>
      <w:tr w:rsidR="00DA42E0" w14:paraId="2C3207C9" w14:textId="77777777" w:rsidTr="000B5BB3">
        <w:tc>
          <w:tcPr>
            <w:tcW w:w="3775" w:type="dxa"/>
          </w:tcPr>
          <w:p w14:paraId="7D8B1E63" w14:textId="77777777" w:rsidR="00DA42E0" w:rsidRPr="00DA42E0" w:rsidRDefault="00DA42E0" w:rsidP="000B5BB3">
            <w:pPr>
              <w:spacing w:before="40" w:after="40"/>
              <w:rPr>
                <w:rFonts w:ascii="Franklin Gothic Medium Cond" w:hAnsi="Franklin Gothic Medium Cond"/>
                <w:sz w:val="22"/>
                <w:szCs w:val="22"/>
              </w:rPr>
            </w:pPr>
            <w:r w:rsidRPr="00DA42E0">
              <w:rPr>
                <w:rFonts w:ascii="Franklin Gothic Medium Cond" w:hAnsi="Franklin Gothic Medium Cond"/>
                <w:sz w:val="22"/>
                <w:szCs w:val="22"/>
              </w:rPr>
              <w:t>Hepatitis B</w:t>
            </w:r>
          </w:p>
        </w:tc>
        <w:tc>
          <w:tcPr>
            <w:tcW w:w="7015" w:type="dxa"/>
            <w:gridSpan w:val="2"/>
          </w:tcPr>
          <w:p w14:paraId="5D19B51F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b/>
                <w:bCs/>
                <w:sz w:val="20"/>
              </w:rPr>
            </w:pPr>
            <w:r w:rsidRPr="00537A5E">
              <w:rPr>
                <w:rFonts w:ascii="Franklin Gothic Book" w:hAnsi="Franklin Gothic Book"/>
                <w:b/>
                <w:bCs/>
                <w:sz w:val="20"/>
              </w:rPr>
              <w:t xml:space="preserve">For all ages:  </w:t>
            </w:r>
            <w:r w:rsidRPr="00537A5E">
              <w:rPr>
                <w:rFonts w:ascii="Franklin Gothic Book" w:hAnsi="Franklin Gothic Book"/>
                <w:sz w:val="20"/>
              </w:rPr>
              <w:t>Hepatitis B Vaccine (or HBIG if indicated)</w:t>
            </w:r>
          </w:p>
          <w:p w14:paraId="3E465B86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 xml:space="preserve">Administer if Hepatitis status of assailant is unknown and patient has NOT been previously vaccinated; patients should be informed of the need for follow-up for completion of the vaccination series </w:t>
            </w:r>
            <w:r w:rsidRPr="00537A5E">
              <w:rPr>
                <w:rFonts w:ascii="Franklin Gothic Book" w:hAnsi="Franklin Gothic Book"/>
                <w:sz w:val="20"/>
              </w:rPr>
              <w:br/>
              <w:t>for Hepatitis B immunization</w:t>
            </w:r>
          </w:p>
        </w:tc>
      </w:tr>
      <w:tr w:rsidR="00DA42E0" w14:paraId="69590AFB" w14:textId="77777777" w:rsidTr="000B5BB3">
        <w:tc>
          <w:tcPr>
            <w:tcW w:w="3775" w:type="dxa"/>
          </w:tcPr>
          <w:p w14:paraId="16617746" w14:textId="77777777" w:rsidR="00DA42E0" w:rsidRPr="00DA42E0" w:rsidRDefault="00DA42E0" w:rsidP="000B5BB3">
            <w:pPr>
              <w:spacing w:before="40" w:after="40"/>
              <w:rPr>
                <w:rFonts w:ascii="Franklin Gothic Medium Cond" w:hAnsi="Franklin Gothic Medium Cond"/>
                <w:sz w:val="22"/>
                <w:szCs w:val="22"/>
              </w:rPr>
            </w:pPr>
            <w:r w:rsidRPr="00DA42E0">
              <w:rPr>
                <w:rFonts w:ascii="Franklin Gothic Medium Cond" w:hAnsi="Franklin Gothic Medium Cond"/>
                <w:sz w:val="22"/>
                <w:szCs w:val="22"/>
              </w:rPr>
              <w:t>HPV</w:t>
            </w:r>
          </w:p>
          <w:p w14:paraId="34297652" w14:textId="77777777" w:rsidR="00DA42E0" w:rsidRPr="00DA42E0" w:rsidRDefault="00DA42E0" w:rsidP="000B5BB3">
            <w:pPr>
              <w:spacing w:before="40" w:after="40"/>
              <w:rPr>
                <w:rFonts w:ascii="Franklin Gothic Book" w:hAnsi="Franklin Gothic Book"/>
                <w:sz w:val="22"/>
                <w:szCs w:val="22"/>
              </w:rPr>
            </w:pPr>
            <w:r w:rsidRPr="00DA42E0">
              <w:rPr>
                <w:rFonts w:ascii="Franklin Gothic Book" w:hAnsi="Franklin Gothic Book"/>
                <w:sz w:val="22"/>
                <w:szCs w:val="22"/>
              </w:rPr>
              <w:t>Administer if patient has NOT been vaccinated or is incompletely vaccinated</w:t>
            </w:r>
          </w:p>
        </w:tc>
        <w:tc>
          <w:tcPr>
            <w:tcW w:w="3418" w:type="dxa"/>
          </w:tcPr>
          <w:p w14:paraId="35AD02FA" w14:textId="77777777" w:rsidR="00DA42E0" w:rsidRPr="00537A5E" w:rsidRDefault="00DA42E0" w:rsidP="000B5BB3">
            <w:pPr>
              <w:spacing w:before="40" w:after="40"/>
              <w:jc w:val="center"/>
              <w:rPr>
                <w:rFonts w:ascii="Franklin Gothic Medium Cond" w:hAnsi="Franklin Gothic Medium Cond"/>
                <w:sz w:val="20"/>
              </w:rPr>
            </w:pPr>
            <w:r w:rsidRPr="00537A5E">
              <w:rPr>
                <w:rFonts w:ascii="Franklin Gothic Medium Cond" w:hAnsi="Franklin Gothic Medium Cond"/>
                <w:sz w:val="20"/>
              </w:rPr>
              <w:t>Age 9 – 14 Years</w:t>
            </w:r>
          </w:p>
          <w:p w14:paraId="49580CD5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HPV Vaccine</w:t>
            </w:r>
          </w:p>
          <w:p w14:paraId="51F12351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2 dose series</w:t>
            </w:r>
          </w:p>
          <w:p w14:paraId="2AE4AF65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1</w:t>
            </w:r>
            <w:r w:rsidRPr="00537A5E">
              <w:rPr>
                <w:rFonts w:ascii="Franklin Gothic Book" w:hAnsi="Franklin Gothic Book"/>
                <w:sz w:val="20"/>
                <w:vertAlign w:val="superscript"/>
              </w:rPr>
              <w:t>st</w:t>
            </w:r>
            <w:r w:rsidRPr="00537A5E">
              <w:rPr>
                <w:rFonts w:ascii="Franklin Gothic Book" w:hAnsi="Franklin Gothic Book"/>
                <w:sz w:val="20"/>
              </w:rPr>
              <w:t xml:space="preserve"> dose given in the </w:t>
            </w:r>
            <w:proofErr w:type="gramStart"/>
            <w:r w:rsidRPr="00537A5E">
              <w:rPr>
                <w:rFonts w:ascii="Franklin Gothic Book" w:hAnsi="Franklin Gothic Book"/>
                <w:sz w:val="20"/>
              </w:rPr>
              <w:t>ED</w:t>
            </w:r>
            <w:proofErr w:type="gramEnd"/>
          </w:p>
          <w:p w14:paraId="22298EC9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Subsequent dosing per follow-up provider</w:t>
            </w:r>
          </w:p>
        </w:tc>
        <w:tc>
          <w:tcPr>
            <w:tcW w:w="3597" w:type="dxa"/>
          </w:tcPr>
          <w:p w14:paraId="2F57675F" w14:textId="77777777" w:rsidR="00DA42E0" w:rsidRPr="00537A5E" w:rsidRDefault="00DA42E0" w:rsidP="000B5BB3">
            <w:pPr>
              <w:spacing w:before="40" w:after="40"/>
              <w:jc w:val="center"/>
              <w:rPr>
                <w:rFonts w:ascii="Franklin Gothic Medium Cond" w:hAnsi="Franklin Gothic Medium Cond"/>
                <w:sz w:val="20"/>
              </w:rPr>
            </w:pPr>
            <w:r w:rsidRPr="00537A5E">
              <w:rPr>
                <w:rFonts w:ascii="Franklin Gothic Medium Cond" w:hAnsi="Franklin Gothic Medium Cond"/>
                <w:sz w:val="20"/>
              </w:rPr>
              <w:t>Age 15 – 45 Years</w:t>
            </w:r>
          </w:p>
          <w:p w14:paraId="472583C0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HPV Vaccine</w:t>
            </w:r>
          </w:p>
          <w:p w14:paraId="053C273C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3 dose series</w:t>
            </w:r>
          </w:p>
          <w:p w14:paraId="6FB9CB09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1</w:t>
            </w:r>
            <w:r w:rsidRPr="00537A5E">
              <w:rPr>
                <w:rFonts w:ascii="Franklin Gothic Book" w:hAnsi="Franklin Gothic Book"/>
                <w:sz w:val="20"/>
                <w:vertAlign w:val="superscript"/>
              </w:rPr>
              <w:t>st</w:t>
            </w:r>
            <w:r w:rsidRPr="00537A5E">
              <w:rPr>
                <w:rFonts w:ascii="Franklin Gothic Book" w:hAnsi="Franklin Gothic Book"/>
                <w:sz w:val="20"/>
              </w:rPr>
              <w:t xml:space="preserve"> dose given in the </w:t>
            </w:r>
            <w:proofErr w:type="gramStart"/>
            <w:r w:rsidRPr="00537A5E">
              <w:rPr>
                <w:rFonts w:ascii="Franklin Gothic Book" w:hAnsi="Franklin Gothic Book"/>
                <w:sz w:val="20"/>
              </w:rPr>
              <w:t>ED</w:t>
            </w:r>
            <w:proofErr w:type="gramEnd"/>
          </w:p>
          <w:p w14:paraId="45AF18D9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Subsequent dosing per follow-up provider</w:t>
            </w:r>
          </w:p>
        </w:tc>
      </w:tr>
      <w:tr w:rsidR="00DA42E0" w:rsidRPr="004F1138" w14:paraId="65EFCEFA" w14:textId="77777777" w:rsidTr="000B5BB3">
        <w:tc>
          <w:tcPr>
            <w:tcW w:w="10790" w:type="dxa"/>
            <w:gridSpan w:val="3"/>
            <w:shd w:val="clear" w:color="auto" w:fill="2F5496" w:themeFill="accent1" w:themeFillShade="BF"/>
          </w:tcPr>
          <w:p w14:paraId="18072A55" w14:textId="77777777" w:rsidR="00DA42E0" w:rsidRPr="00603C89" w:rsidRDefault="00DA42E0" w:rsidP="000B5BB3">
            <w:pPr>
              <w:spacing w:before="40" w:after="40"/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 w:rsidRPr="00603C89"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  <w:lang w:val="fr-FR"/>
              </w:rPr>
              <w:t xml:space="preserve">HIV Post </w:t>
            </w:r>
            <w:proofErr w:type="spellStart"/>
            <w:r w:rsidRPr="00603C89"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  <w:lang w:val="fr-FR"/>
              </w:rPr>
              <w:t>Exposure</w:t>
            </w:r>
            <w:proofErr w:type="spellEnd"/>
            <w:r w:rsidRPr="00603C89"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603C89"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  <w:lang w:val="fr-FR"/>
              </w:rPr>
              <w:t>Prophylaxis</w:t>
            </w:r>
            <w:proofErr w:type="spellEnd"/>
            <w:r w:rsidRPr="00603C89">
              <w:rPr>
                <w:rFonts w:ascii="Franklin Gothic Medium Cond" w:hAnsi="Franklin Gothic Medium Cond"/>
                <w:b/>
                <w:bCs/>
                <w:color w:val="FFFFFF" w:themeColor="background1"/>
                <w:sz w:val="32"/>
                <w:szCs w:val="32"/>
                <w:lang w:val="fr-FR"/>
              </w:rPr>
              <w:t xml:space="preserve"> (PEP)</w:t>
            </w:r>
          </w:p>
        </w:tc>
      </w:tr>
      <w:tr w:rsidR="00DA42E0" w14:paraId="7087EC7E" w14:textId="77777777" w:rsidTr="000B5BB3">
        <w:trPr>
          <w:trHeight w:val="1709"/>
        </w:trPr>
        <w:tc>
          <w:tcPr>
            <w:tcW w:w="3775" w:type="dxa"/>
          </w:tcPr>
          <w:p w14:paraId="3BE42D54" w14:textId="77777777" w:rsidR="00DA42E0" w:rsidRPr="00DA42E0" w:rsidRDefault="00DA42E0" w:rsidP="000B5BB3">
            <w:pPr>
              <w:spacing w:before="40" w:after="40"/>
              <w:rPr>
                <w:rFonts w:ascii="Franklin Gothic Medium Cond" w:hAnsi="Franklin Gothic Medium Cond"/>
                <w:sz w:val="22"/>
                <w:szCs w:val="22"/>
              </w:rPr>
            </w:pPr>
            <w:r w:rsidRPr="00DA42E0">
              <w:rPr>
                <w:rFonts w:ascii="Franklin Gothic Medium Cond" w:hAnsi="Franklin Gothic Medium Cond"/>
                <w:sz w:val="22"/>
                <w:szCs w:val="22"/>
              </w:rPr>
              <w:t>HIV</w:t>
            </w:r>
          </w:p>
          <w:p w14:paraId="3BABC78F" w14:textId="77777777" w:rsidR="00DA42E0" w:rsidRPr="00DA42E0" w:rsidRDefault="00DA42E0" w:rsidP="000B5BB3">
            <w:pPr>
              <w:spacing w:before="40" w:after="40"/>
              <w:rPr>
                <w:rFonts w:ascii="Franklin Gothic Book" w:hAnsi="Franklin Gothic Book"/>
                <w:sz w:val="22"/>
                <w:szCs w:val="22"/>
              </w:rPr>
            </w:pPr>
            <w:r w:rsidRPr="00DA42E0">
              <w:rPr>
                <w:rFonts w:ascii="Franklin Gothic Book" w:hAnsi="Franklin Gothic Book"/>
                <w:sz w:val="22"/>
                <w:szCs w:val="22"/>
              </w:rPr>
              <w:t>To be initiated within 72 hours of</w:t>
            </w:r>
            <w:r w:rsidRPr="00DA42E0">
              <w:rPr>
                <w:rFonts w:ascii="Franklin Gothic Medium Cond" w:hAnsi="Franklin Gothic Medium Cond"/>
                <w:sz w:val="22"/>
                <w:szCs w:val="22"/>
              </w:rPr>
              <w:t xml:space="preserve"> </w:t>
            </w:r>
            <w:r w:rsidRPr="00DA42E0">
              <w:rPr>
                <w:rFonts w:ascii="Franklin Gothic Book" w:hAnsi="Franklin Gothic Book"/>
                <w:sz w:val="22"/>
                <w:szCs w:val="22"/>
              </w:rPr>
              <w:t>exposure (1</w:t>
            </w:r>
            <w:r w:rsidRPr="00DA42E0">
              <w:rPr>
                <w:rFonts w:ascii="Franklin Gothic Book" w:hAnsi="Franklin Gothic Book"/>
                <w:sz w:val="22"/>
                <w:szCs w:val="22"/>
                <w:vertAlign w:val="superscript"/>
              </w:rPr>
              <w:t>st</w:t>
            </w:r>
            <w:r w:rsidRPr="00DA42E0">
              <w:rPr>
                <w:rFonts w:ascii="Franklin Gothic Book" w:hAnsi="Franklin Gothic Book"/>
                <w:sz w:val="22"/>
                <w:szCs w:val="22"/>
              </w:rPr>
              <w:t xml:space="preserve"> dose should be given ASAP)</w:t>
            </w:r>
            <w:r w:rsidRPr="00DA42E0">
              <w:rPr>
                <w:rFonts w:ascii="Franklin Gothic Book" w:hAnsi="Franklin Gothic Book"/>
                <w:sz w:val="22"/>
                <w:szCs w:val="22"/>
              </w:rPr>
              <w:br/>
              <w:t xml:space="preserve">Dispense a 3 – </w:t>
            </w:r>
            <w:proofErr w:type="gramStart"/>
            <w:r w:rsidRPr="00DA42E0">
              <w:rPr>
                <w:rFonts w:ascii="Franklin Gothic Book" w:hAnsi="Franklin Gothic Book"/>
                <w:sz w:val="22"/>
                <w:szCs w:val="22"/>
              </w:rPr>
              <w:t>7 day</w:t>
            </w:r>
            <w:proofErr w:type="gramEnd"/>
            <w:r w:rsidRPr="00DA42E0">
              <w:rPr>
                <w:rFonts w:ascii="Franklin Gothic Book" w:hAnsi="Franklin Gothic Book"/>
                <w:sz w:val="22"/>
                <w:szCs w:val="22"/>
              </w:rPr>
              <w:t xml:space="preserve"> supply and a prescription for the remainder of the 28-day regimen</w:t>
            </w:r>
          </w:p>
        </w:tc>
        <w:tc>
          <w:tcPr>
            <w:tcW w:w="7015" w:type="dxa"/>
            <w:gridSpan w:val="2"/>
          </w:tcPr>
          <w:p w14:paraId="48137CD6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 xml:space="preserve">Truvada (Tenofovir 300mg + Emtricitabine 200mg) 1 tablet by mouth once daily </w:t>
            </w:r>
            <w:r w:rsidRPr="00537A5E">
              <w:rPr>
                <w:rFonts w:ascii="Franklin Gothic Medium Cond" w:hAnsi="Franklin Gothic Medium Cond"/>
                <w:b/>
                <w:bCs/>
                <w:sz w:val="20"/>
              </w:rPr>
              <w:t>WITH</w:t>
            </w:r>
            <w:r w:rsidRPr="00537A5E">
              <w:rPr>
                <w:rFonts w:ascii="Franklin Gothic Book" w:hAnsi="Franklin Gothic Book"/>
                <w:b/>
                <w:bCs/>
                <w:sz w:val="20"/>
              </w:rPr>
              <w:t xml:space="preserve"> </w:t>
            </w:r>
            <w:proofErr w:type="spellStart"/>
            <w:r w:rsidRPr="00537A5E">
              <w:rPr>
                <w:rFonts w:ascii="Franklin Gothic Book" w:hAnsi="Franklin Gothic Book"/>
                <w:sz w:val="20"/>
              </w:rPr>
              <w:t>Isentress</w:t>
            </w:r>
            <w:proofErr w:type="spellEnd"/>
            <w:r w:rsidRPr="00537A5E">
              <w:rPr>
                <w:rFonts w:ascii="Franklin Gothic Book" w:hAnsi="Franklin Gothic Book"/>
                <w:sz w:val="20"/>
              </w:rPr>
              <w:t xml:space="preserve"> (</w:t>
            </w:r>
            <w:proofErr w:type="spellStart"/>
            <w:r w:rsidRPr="00537A5E">
              <w:rPr>
                <w:rFonts w:ascii="Franklin Gothic Book" w:hAnsi="Franklin Gothic Book"/>
                <w:sz w:val="20"/>
              </w:rPr>
              <w:t>Raltegravir</w:t>
            </w:r>
            <w:proofErr w:type="spellEnd"/>
            <w:r w:rsidRPr="00537A5E">
              <w:rPr>
                <w:rFonts w:ascii="Franklin Gothic Book" w:hAnsi="Franklin Gothic Book"/>
                <w:sz w:val="20"/>
              </w:rPr>
              <w:t xml:space="preserve"> 400mg) 1 tablet by mouth twice daily </w:t>
            </w:r>
            <w:r w:rsidRPr="00537A5E">
              <w:rPr>
                <w:rFonts w:ascii="Franklin Gothic Medium Cond" w:hAnsi="Franklin Gothic Medium Cond"/>
                <w:b/>
                <w:bCs/>
                <w:sz w:val="20"/>
              </w:rPr>
              <w:t>OR</w:t>
            </w:r>
            <w:r w:rsidRPr="00537A5E"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 w:rsidRPr="00537A5E">
              <w:rPr>
                <w:rFonts w:ascii="Franklin Gothic Book" w:hAnsi="Franklin Gothic Book"/>
                <w:sz w:val="20"/>
              </w:rPr>
              <w:t>Tivicay</w:t>
            </w:r>
            <w:proofErr w:type="spellEnd"/>
            <w:r w:rsidRPr="00537A5E">
              <w:rPr>
                <w:rFonts w:ascii="Franklin Gothic Book" w:hAnsi="Franklin Gothic Book"/>
                <w:sz w:val="20"/>
              </w:rPr>
              <w:t xml:space="preserve"> (Dolutegravir 50mg) 1 tablet by mouth once daily</w:t>
            </w:r>
          </w:p>
          <w:p w14:paraId="2EA8E6F3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</w:p>
          <w:p w14:paraId="20B0BD83" w14:textId="77777777" w:rsidR="00DA42E0" w:rsidRPr="00537A5E" w:rsidRDefault="00DA42E0" w:rsidP="000B5BB3">
            <w:pPr>
              <w:spacing w:before="40" w:after="40"/>
              <w:rPr>
                <w:rFonts w:ascii="Franklin Gothic Book" w:hAnsi="Franklin Gothic Book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 xml:space="preserve">Recommend HIV testing, Hepatitis B testing, Serum Creatinine, </w:t>
            </w:r>
            <w:proofErr w:type="gramStart"/>
            <w:r w:rsidRPr="00537A5E">
              <w:rPr>
                <w:rFonts w:ascii="Franklin Gothic Book" w:hAnsi="Franklin Gothic Book"/>
                <w:sz w:val="20"/>
              </w:rPr>
              <w:t>AST</w:t>
            </w:r>
            <w:proofErr w:type="gramEnd"/>
            <w:r w:rsidRPr="00537A5E">
              <w:rPr>
                <w:rFonts w:ascii="Franklin Gothic Book" w:hAnsi="Franklin Gothic Book"/>
                <w:sz w:val="20"/>
              </w:rPr>
              <w:t xml:space="preserve"> and ALT </w:t>
            </w:r>
            <w:r w:rsidRPr="00537A5E">
              <w:rPr>
                <w:i/>
                <w:iCs/>
                <w:sz w:val="20"/>
              </w:rPr>
              <w:t>before</w:t>
            </w:r>
            <w:r w:rsidRPr="00537A5E">
              <w:rPr>
                <w:rFonts w:ascii="Franklin Gothic Book" w:hAnsi="Franklin Gothic Book"/>
                <w:sz w:val="20"/>
              </w:rPr>
              <w:t xml:space="preserve"> HIV PEP</w:t>
            </w:r>
          </w:p>
          <w:p w14:paraId="37631E23" w14:textId="77777777" w:rsidR="00DA42E0" w:rsidRPr="00537A5E" w:rsidRDefault="00DA42E0" w:rsidP="000B5BB3">
            <w:pPr>
              <w:spacing w:before="40" w:after="40"/>
              <w:rPr>
                <w:rFonts w:ascii="Franklin Gothic Medium Cond" w:hAnsi="Franklin Gothic Medium Cond"/>
                <w:sz w:val="20"/>
              </w:rPr>
            </w:pPr>
            <w:r w:rsidRPr="00537A5E">
              <w:rPr>
                <w:rFonts w:ascii="Franklin Gothic Book" w:hAnsi="Franklin Gothic Book"/>
                <w:sz w:val="20"/>
              </w:rPr>
              <w:t>Provide follow-up info for remainder of HIV PEP</w:t>
            </w:r>
          </w:p>
        </w:tc>
      </w:tr>
    </w:tbl>
    <w:p w14:paraId="29889E6D" w14:textId="77777777" w:rsidR="00DA42E0" w:rsidRPr="004C39C8" w:rsidRDefault="00DA42E0" w:rsidP="00DA42E0">
      <w:pPr>
        <w:tabs>
          <w:tab w:val="left" w:pos="9480"/>
        </w:tabs>
        <w:rPr>
          <w:rFonts w:ascii="Franklin Gothic Medium" w:hAnsi="Franklin Gothic Medium"/>
          <w:szCs w:val="24"/>
        </w:rPr>
      </w:pPr>
    </w:p>
    <w:p w14:paraId="6539C7FF" w14:textId="77777777" w:rsidR="00562A32" w:rsidRPr="007C0DC3" w:rsidRDefault="00562A32" w:rsidP="008032D1">
      <w:pPr>
        <w:tabs>
          <w:tab w:val="left" w:pos="1080"/>
        </w:tabs>
        <w:spacing w:after="120" w:line="259" w:lineRule="auto"/>
        <w:rPr>
          <w:szCs w:val="24"/>
        </w:rPr>
      </w:pPr>
    </w:p>
    <w:sectPr w:rsidR="00562A32" w:rsidRPr="007C0DC3" w:rsidSect="007D443C">
      <w:headerReference w:type="default" r:id="rId1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6A74" w14:textId="77777777" w:rsidR="00CF110E" w:rsidRDefault="00CF110E" w:rsidP="000055BD">
      <w:r>
        <w:separator/>
      </w:r>
    </w:p>
  </w:endnote>
  <w:endnote w:type="continuationSeparator" w:id="0">
    <w:p w14:paraId="73F7BE98" w14:textId="77777777" w:rsidR="00CF110E" w:rsidRDefault="00CF110E" w:rsidP="000055BD">
      <w:r>
        <w:continuationSeparator/>
      </w:r>
    </w:p>
  </w:endnote>
  <w:endnote w:type="continuationNotice" w:id="1">
    <w:p w14:paraId="7BFDAABC" w14:textId="77777777" w:rsidR="00CF110E" w:rsidRDefault="00CF1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3667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44FDBD" w14:textId="5C50E8C4" w:rsidR="00502D3A" w:rsidRDefault="00502D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3D8B2" w14:textId="671C22E6" w:rsidR="00AF530B" w:rsidRDefault="00AF5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FA69" w14:textId="77777777" w:rsidR="00CF110E" w:rsidRDefault="00CF110E" w:rsidP="000055BD">
      <w:r>
        <w:separator/>
      </w:r>
    </w:p>
  </w:footnote>
  <w:footnote w:type="continuationSeparator" w:id="0">
    <w:p w14:paraId="6C2026AB" w14:textId="77777777" w:rsidR="00CF110E" w:rsidRDefault="00CF110E" w:rsidP="000055BD">
      <w:r>
        <w:continuationSeparator/>
      </w:r>
    </w:p>
  </w:footnote>
  <w:footnote w:type="continuationNotice" w:id="1">
    <w:p w14:paraId="2A7E8DE8" w14:textId="77777777" w:rsidR="00CF110E" w:rsidRDefault="00CF110E"/>
  </w:footnote>
  <w:footnote w:id="2">
    <w:p w14:paraId="4A2221A4" w14:textId="77777777" w:rsidR="004B191C" w:rsidRDefault="00DF4707" w:rsidP="004B191C">
      <w:pPr>
        <w:tabs>
          <w:tab w:val="left" w:pos="1080"/>
        </w:tabs>
        <w:spacing w:after="120" w:line="259" w:lineRule="auto"/>
      </w:pPr>
      <w:r>
        <w:rPr>
          <w:rStyle w:val="FootnoteReference"/>
        </w:rPr>
        <w:footnoteRef/>
      </w:r>
      <w:r>
        <w:t xml:space="preserve"> </w:t>
      </w:r>
      <w:r w:rsidRPr="007877B4">
        <w:rPr>
          <w:sz w:val="20"/>
        </w:rPr>
        <w:t xml:space="preserve">Hospital pharmacies may dispense </w:t>
      </w:r>
      <w:r w:rsidR="004B191C" w:rsidRPr="007877B4">
        <w:rPr>
          <w:sz w:val="20"/>
        </w:rPr>
        <w:t xml:space="preserve">a greater than 14-day supply where the </w:t>
      </w:r>
      <w:proofErr w:type="gramStart"/>
      <w:r w:rsidR="004B191C" w:rsidRPr="007877B4">
        <w:rPr>
          <w:sz w:val="20"/>
        </w:rPr>
        <w:t>particular drug</w:t>
      </w:r>
      <w:proofErr w:type="gramEnd"/>
      <w:r w:rsidR="004B191C" w:rsidRPr="007877B4">
        <w:rPr>
          <w:sz w:val="20"/>
        </w:rPr>
        <w:t xml:space="preserve"> product is only available from the manufacturer in greater than 14-day quantities. 105 CMR 722.090(B)(2)</w:t>
      </w:r>
    </w:p>
    <w:p w14:paraId="2D4FB23D" w14:textId="1A717582" w:rsidR="00DF4707" w:rsidRDefault="00DF470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80BE" w14:textId="49E08ADD" w:rsidR="0067636D" w:rsidRDefault="00676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55BC" w14:textId="52B5829C" w:rsidR="00DA42E0" w:rsidRDefault="00DA4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61EA"/>
    <w:multiLevelType w:val="hybridMultilevel"/>
    <w:tmpl w:val="1A2C8A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68AC"/>
    <w:multiLevelType w:val="hybridMultilevel"/>
    <w:tmpl w:val="B2F4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183F"/>
    <w:multiLevelType w:val="hybridMultilevel"/>
    <w:tmpl w:val="9398CC12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FD15F4"/>
    <w:multiLevelType w:val="hybridMultilevel"/>
    <w:tmpl w:val="CA28D7C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4B8C0BA6"/>
    <w:multiLevelType w:val="hybridMultilevel"/>
    <w:tmpl w:val="9B0ED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231F7"/>
    <w:multiLevelType w:val="hybridMultilevel"/>
    <w:tmpl w:val="0CFECC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C1614E"/>
    <w:multiLevelType w:val="hybridMultilevel"/>
    <w:tmpl w:val="5F92FA6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626F148E"/>
    <w:multiLevelType w:val="hybridMultilevel"/>
    <w:tmpl w:val="7E38D174"/>
    <w:lvl w:ilvl="0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839037">
    <w:abstractNumId w:val="4"/>
  </w:num>
  <w:num w:numId="2" w16cid:durableId="1076316099">
    <w:abstractNumId w:val="3"/>
  </w:num>
  <w:num w:numId="3" w16cid:durableId="200943287">
    <w:abstractNumId w:val="0"/>
  </w:num>
  <w:num w:numId="4" w16cid:durableId="24183194">
    <w:abstractNumId w:val="2"/>
  </w:num>
  <w:num w:numId="5" w16cid:durableId="1310400219">
    <w:abstractNumId w:val="5"/>
  </w:num>
  <w:num w:numId="6" w16cid:durableId="1387409431">
    <w:abstractNumId w:val="6"/>
  </w:num>
  <w:num w:numId="7" w16cid:durableId="1446969913">
    <w:abstractNumId w:val="7"/>
  </w:num>
  <w:num w:numId="8" w16cid:durableId="109080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EE0"/>
    <w:rsid w:val="0000218B"/>
    <w:rsid w:val="000055BD"/>
    <w:rsid w:val="0000675F"/>
    <w:rsid w:val="00006A98"/>
    <w:rsid w:val="00011455"/>
    <w:rsid w:val="00026692"/>
    <w:rsid w:val="00027D1D"/>
    <w:rsid w:val="00030F44"/>
    <w:rsid w:val="00033154"/>
    <w:rsid w:val="00042048"/>
    <w:rsid w:val="00046C1B"/>
    <w:rsid w:val="00050CC2"/>
    <w:rsid w:val="00051040"/>
    <w:rsid w:val="000537DA"/>
    <w:rsid w:val="00057CB2"/>
    <w:rsid w:val="00070EAF"/>
    <w:rsid w:val="00074CC3"/>
    <w:rsid w:val="000814EC"/>
    <w:rsid w:val="00087B27"/>
    <w:rsid w:val="00093FF6"/>
    <w:rsid w:val="00097ACF"/>
    <w:rsid w:val="00097FEC"/>
    <w:rsid w:val="000A1DE1"/>
    <w:rsid w:val="000A2225"/>
    <w:rsid w:val="000B2A6F"/>
    <w:rsid w:val="000B5BB3"/>
    <w:rsid w:val="000B7D96"/>
    <w:rsid w:val="000C41B6"/>
    <w:rsid w:val="000C506B"/>
    <w:rsid w:val="000D62C3"/>
    <w:rsid w:val="000E036F"/>
    <w:rsid w:val="000E3851"/>
    <w:rsid w:val="000E3CEA"/>
    <w:rsid w:val="000F315B"/>
    <w:rsid w:val="00105E6E"/>
    <w:rsid w:val="00106735"/>
    <w:rsid w:val="00107239"/>
    <w:rsid w:val="00107307"/>
    <w:rsid w:val="001103BA"/>
    <w:rsid w:val="00111485"/>
    <w:rsid w:val="001125C0"/>
    <w:rsid w:val="001210D5"/>
    <w:rsid w:val="00123C13"/>
    <w:rsid w:val="001241E1"/>
    <w:rsid w:val="00125961"/>
    <w:rsid w:val="00127A02"/>
    <w:rsid w:val="00131D73"/>
    <w:rsid w:val="0013460D"/>
    <w:rsid w:val="00136566"/>
    <w:rsid w:val="001369C9"/>
    <w:rsid w:val="00140743"/>
    <w:rsid w:val="00140B6E"/>
    <w:rsid w:val="001416B5"/>
    <w:rsid w:val="001432AD"/>
    <w:rsid w:val="00143AFA"/>
    <w:rsid w:val="00147BAE"/>
    <w:rsid w:val="0015268B"/>
    <w:rsid w:val="001634E3"/>
    <w:rsid w:val="001678D5"/>
    <w:rsid w:val="00175C4C"/>
    <w:rsid w:val="00177C77"/>
    <w:rsid w:val="001830E2"/>
    <w:rsid w:val="00186005"/>
    <w:rsid w:val="00191F03"/>
    <w:rsid w:val="00194748"/>
    <w:rsid w:val="00196507"/>
    <w:rsid w:val="001A094A"/>
    <w:rsid w:val="001B6693"/>
    <w:rsid w:val="001B7B86"/>
    <w:rsid w:val="001C7567"/>
    <w:rsid w:val="001E0B6C"/>
    <w:rsid w:val="001E5E1C"/>
    <w:rsid w:val="001F3A9F"/>
    <w:rsid w:val="00206FC3"/>
    <w:rsid w:val="0021396A"/>
    <w:rsid w:val="002141B1"/>
    <w:rsid w:val="002142CE"/>
    <w:rsid w:val="0021698C"/>
    <w:rsid w:val="00225917"/>
    <w:rsid w:val="002338E2"/>
    <w:rsid w:val="00235074"/>
    <w:rsid w:val="00240235"/>
    <w:rsid w:val="00244993"/>
    <w:rsid w:val="0025585F"/>
    <w:rsid w:val="00260D54"/>
    <w:rsid w:val="002629C9"/>
    <w:rsid w:val="00265EFB"/>
    <w:rsid w:val="00273501"/>
    <w:rsid w:val="00276957"/>
    <w:rsid w:val="00276DCC"/>
    <w:rsid w:val="0027712F"/>
    <w:rsid w:val="00282339"/>
    <w:rsid w:val="002833C5"/>
    <w:rsid w:val="0028717C"/>
    <w:rsid w:val="002A095F"/>
    <w:rsid w:val="002A0A78"/>
    <w:rsid w:val="002A132F"/>
    <w:rsid w:val="002B0600"/>
    <w:rsid w:val="002B0937"/>
    <w:rsid w:val="002B4F1E"/>
    <w:rsid w:val="002B5568"/>
    <w:rsid w:val="002B67CB"/>
    <w:rsid w:val="002B7FD5"/>
    <w:rsid w:val="002C6759"/>
    <w:rsid w:val="002D1A99"/>
    <w:rsid w:val="002D1C21"/>
    <w:rsid w:val="002E05EA"/>
    <w:rsid w:val="002E1BF2"/>
    <w:rsid w:val="002E2D19"/>
    <w:rsid w:val="00301022"/>
    <w:rsid w:val="00321B2E"/>
    <w:rsid w:val="0033014F"/>
    <w:rsid w:val="0033042A"/>
    <w:rsid w:val="00330DCA"/>
    <w:rsid w:val="00334351"/>
    <w:rsid w:val="00340149"/>
    <w:rsid w:val="003441A3"/>
    <w:rsid w:val="0035417E"/>
    <w:rsid w:val="00356C46"/>
    <w:rsid w:val="00360013"/>
    <w:rsid w:val="00363005"/>
    <w:rsid w:val="00364AB0"/>
    <w:rsid w:val="00364D3C"/>
    <w:rsid w:val="00365EEF"/>
    <w:rsid w:val="00367F13"/>
    <w:rsid w:val="00375EAD"/>
    <w:rsid w:val="003813BC"/>
    <w:rsid w:val="003844FE"/>
    <w:rsid w:val="00385812"/>
    <w:rsid w:val="00386B27"/>
    <w:rsid w:val="00387FA9"/>
    <w:rsid w:val="00392D0B"/>
    <w:rsid w:val="003A53B4"/>
    <w:rsid w:val="003A7AFC"/>
    <w:rsid w:val="003A7C8C"/>
    <w:rsid w:val="003C192A"/>
    <w:rsid w:val="003C1C01"/>
    <w:rsid w:val="003C2486"/>
    <w:rsid w:val="003C354F"/>
    <w:rsid w:val="003C5201"/>
    <w:rsid w:val="003C5E7F"/>
    <w:rsid w:val="003C60EF"/>
    <w:rsid w:val="003D58A3"/>
    <w:rsid w:val="003E22CC"/>
    <w:rsid w:val="003E6F27"/>
    <w:rsid w:val="003F2288"/>
    <w:rsid w:val="003F440C"/>
    <w:rsid w:val="003F7773"/>
    <w:rsid w:val="00413957"/>
    <w:rsid w:val="00417FD4"/>
    <w:rsid w:val="00420219"/>
    <w:rsid w:val="00432E0F"/>
    <w:rsid w:val="00434A0E"/>
    <w:rsid w:val="004445E8"/>
    <w:rsid w:val="0044764C"/>
    <w:rsid w:val="00447C68"/>
    <w:rsid w:val="00457E26"/>
    <w:rsid w:val="00457F74"/>
    <w:rsid w:val="004623CA"/>
    <w:rsid w:val="00466697"/>
    <w:rsid w:val="004726EE"/>
    <w:rsid w:val="004813AC"/>
    <w:rsid w:val="0048539F"/>
    <w:rsid w:val="0048551D"/>
    <w:rsid w:val="00491D4A"/>
    <w:rsid w:val="00492F80"/>
    <w:rsid w:val="0049325F"/>
    <w:rsid w:val="00493DEC"/>
    <w:rsid w:val="00497F13"/>
    <w:rsid w:val="004A693B"/>
    <w:rsid w:val="004B191C"/>
    <w:rsid w:val="004B1BCA"/>
    <w:rsid w:val="004B2B70"/>
    <w:rsid w:val="004B37A0"/>
    <w:rsid w:val="004B5CFB"/>
    <w:rsid w:val="004C6EA6"/>
    <w:rsid w:val="004D617E"/>
    <w:rsid w:val="004D6B39"/>
    <w:rsid w:val="004E0C3F"/>
    <w:rsid w:val="004E2898"/>
    <w:rsid w:val="004E2CBD"/>
    <w:rsid w:val="004E4596"/>
    <w:rsid w:val="004E48D1"/>
    <w:rsid w:val="004E5498"/>
    <w:rsid w:val="004E7279"/>
    <w:rsid w:val="004F1138"/>
    <w:rsid w:val="004F214C"/>
    <w:rsid w:val="004F3661"/>
    <w:rsid w:val="00500D34"/>
    <w:rsid w:val="00501F09"/>
    <w:rsid w:val="00502D3A"/>
    <w:rsid w:val="00503ADA"/>
    <w:rsid w:val="0050507C"/>
    <w:rsid w:val="005062E2"/>
    <w:rsid w:val="00512956"/>
    <w:rsid w:val="00524809"/>
    <w:rsid w:val="00524B83"/>
    <w:rsid w:val="00530145"/>
    <w:rsid w:val="00537A5E"/>
    <w:rsid w:val="005429CE"/>
    <w:rsid w:val="005448AA"/>
    <w:rsid w:val="00550392"/>
    <w:rsid w:val="00555C38"/>
    <w:rsid w:val="00562A32"/>
    <w:rsid w:val="005827C3"/>
    <w:rsid w:val="00587E27"/>
    <w:rsid w:val="00590C88"/>
    <w:rsid w:val="005918AB"/>
    <w:rsid w:val="00591E03"/>
    <w:rsid w:val="0059258F"/>
    <w:rsid w:val="005A6AD6"/>
    <w:rsid w:val="005B0F05"/>
    <w:rsid w:val="005B2468"/>
    <w:rsid w:val="005B2601"/>
    <w:rsid w:val="005B2D20"/>
    <w:rsid w:val="005B2FFC"/>
    <w:rsid w:val="005B577F"/>
    <w:rsid w:val="005B5F84"/>
    <w:rsid w:val="005B6663"/>
    <w:rsid w:val="005D163F"/>
    <w:rsid w:val="005D466E"/>
    <w:rsid w:val="005D46F1"/>
    <w:rsid w:val="005E06F2"/>
    <w:rsid w:val="005E468A"/>
    <w:rsid w:val="005E5FED"/>
    <w:rsid w:val="005F120F"/>
    <w:rsid w:val="005F2AD5"/>
    <w:rsid w:val="005F5100"/>
    <w:rsid w:val="00601D96"/>
    <w:rsid w:val="00603C89"/>
    <w:rsid w:val="00606A8B"/>
    <w:rsid w:val="00612F57"/>
    <w:rsid w:val="00613DD5"/>
    <w:rsid w:val="00616DF4"/>
    <w:rsid w:val="00617301"/>
    <w:rsid w:val="006206E1"/>
    <w:rsid w:val="00624AD2"/>
    <w:rsid w:val="006322CF"/>
    <w:rsid w:val="00634DAA"/>
    <w:rsid w:val="0064430F"/>
    <w:rsid w:val="0065080E"/>
    <w:rsid w:val="00652395"/>
    <w:rsid w:val="0065765D"/>
    <w:rsid w:val="00657F9C"/>
    <w:rsid w:val="00662DD6"/>
    <w:rsid w:val="00675018"/>
    <w:rsid w:val="0067636D"/>
    <w:rsid w:val="00677E43"/>
    <w:rsid w:val="0068000F"/>
    <w:rsid w:val="00683181"/>
    <w:rsid w:val="0068648B"/>
    <w:rsid w:val="00694EA2"/>
    <w:rsid w:val="006C599B"/>
    <w:rsid w:val="006D0311"/>
    <w:rsid w:val="006D06D9"/>
    <w:rsid w:val="006D77A6"/>
    <w:rsid w:val="006E0108"/>
    <w:rsid w:val="006E5C78"/>
    <w:rsid w:val="00700C62"/>
    <w:rsid w:val="00702109"/>
    <w:rsid w:val="00702448"/>
    <w:rsid w:val="00706BC2"/>
    <w:rsid w:val="00710B95"/>
    <w:rsid w:val="00713F10"/>
    <w:rsid w:val="0071542C"/>
    <w:rsid w:val="00721878"/>
    <w:rsid w:val="0072610D"/>
    <w:rsid w:val="00732B4F"/>
    <w:rsid w:val="007350A3"/>
    <w:rsid w:val="007421C9"/>
    <w:rsid w:val="007510D5"/>
    <w:rsid w:val="00757006"/>
    <w:rsid w:val="00762CA1"/>
    <w:rsid w:val="0076346F"/>
    <w:rsid w:val="00774DA5"/>
    <w:rsid w:val="00783DA6"/>
    <w:rsid w:val="00783FDF"/>
    <w:rsid w:val="007877B4"/>
    <w:rsid w:val="0079105A"/>
    <w:rsid w:val="00793BCC"/>
    <w:rsid w:val="00795EDF"/>
    <w:rsid w:val="00796B6E"/>
    <w:rsid w:val="007A183A"/>
    <w:rsid w:val="007A4A48"/>
    <w:rsid w:val="007A65BE"/>
    <w:rsid w:val="007B31EB"/>
    <w:rsid w:val="007B3F4B"/>
    <w:rsid w:val="007B7347"/>
    <w:rsid w:val="007C0DC3"/>
    <w:rsid w:val="007D10F3"/>
    <w:rsid w:val="007D443C"/>
    <w:rsid w:val="007D4888"/>
    <w:rsid w:val="007D64DB"/>
    <w:rsid w:val="007E307D"/>
    <w:rsid w:val="007F3CDB"/>
    <w:rsid w:val="007F5AC9"/>
    <w:rsid w:val="008032D1"/>
    <w:rsid w:val="00805D64"/>
    <w:rsid w:val="00807E02"/>
    <w:rsid w:val="008115DC"/>
    <w:rsid w:val="00820FBE"/>
    <w:rsid w:val="00822319"/>
    <w:rsid w:val="00830E2D"/>
    <w:rsid w:val="00833735"/>
    <w:rsid w:val="0083578D"/>
    <w:rsid w:val="00847C45"/>
    <w:rsid w:val="00852FEE"/>
    <w:rsid w:val="00861026"/>
    <w:rsid w:val="0087073C"/>
    <w:rsid w:val="00871936"/>
    <w:rsid w:val="00873567"/>
    <w:rsid w:val="00885836"/>
    <w:rsid w:val="008A1FEE"/>
    <w:rsid w:val="008A32D6"/>
    <w:rsid w:val="008A3EFD"/>
    <w:rsid w:val="008B5B70"/>
    <w:rsid w:val="008B7509"/>
    <w:rsid w:val="008C5ACD"/>
    <w:rsid w:val="008C6EE1"/>
    <w:rsid w:val="008D3936"/>
    <w:rsid w:val="008D3F00"/>
    <w:rsid w:val="008D5550"/>
    <w:rsid w:val="008F5753"/>
    <w:rsid w:val="0090172A"/>
    <w:rsid w:val="00904A0C"/>
    <w:rsid w:val="00905FFC"/>
    <w:rsid w:val="00912943"/>
    <w:rsid w:val="00916F9A"/>
    <w:rsid w:val="00935446"/>
    <w:rsid w:val="00943E26"/>
    <w:rsid w:val="00944784"/>
    <w:rsid w:val="00951DBB"/>
    <w:rsid w:val="009714CF"/>
    <w:rsid w:val="009730E5"/>
    <w:rsid w:val="00976B27"/>
    <w:rsid w:val="0098155D"/>
    <w:rsid w:val="009908FF"/>
    <w:rsid w:val="00995505"/>
    <w:rsid w:val="009B1EB5"/>
    <w:rsid w:val="009B569F"/>
    <w:rsid w:val="009C1E93"/>
    <w:rsid w:val="009C1FDE"/>
    <w:rsid w:val="009C3610"/>
    <w:rsid w:val="009C4046"/>
    <w:rsid w:val="009C4428"/>
    <w:rsid w:val="009D48CD"/>
    <w:rsid w:val="009D5220"/>
    <w:rsid w:val="009E215D"/>
    <w:rsid w:val="009E276B"/>
    <w:rsid w:val="009F63AF"/>
    <w:rsid w:val="00A02BCD"/>
    <w:rsid w:val="00A055F4"/>
    <w:rsid w:val="00A06CB2"/>
    <w:rsid w:val="00A101D2"/>
    <w:rsid w:val="00A11432"/>
    <w:rsid w:val="00A1426A"/>
    <w:rsid w:val="00A32190"/>
    <w:rsid w:val="00A43223"/>
    <w:rsid w:val="00A44A3C"/>
    <w:rsid w:val="00A5490F"/>
    <w:rsid w:val="00A561F0"/>
    <w:rsid w:val="00A618FC"/>
    <w:rsid w:val="00A63ADB"/>
    <w:rsid w:val="00A65101"/>
    <w:rsid w:val="00A75385"/>
    <w:rsid w:val="00A77BC1"/>
    <w:rsid w:val="00A82231"/>
    <w:rsid w:val="00A87951"/>
    <w:rsid w:val="00A97A5D"/>
    <w:rsid w:val="00AA1A60"/>
    <w:rsid w:val="00AA6CEA"/>
    <w:rsid w:val="00AC0392"/>
    <w:rsid w:val="00AC2ACC"/>
    <w:rsid w:val="00AC64FA"/>
    <w:rsid w:val="00AE0AE8"/>
    <w:rsid w:val="00AF530B"/>
    <w:rsid w:val="00AF5BD3"/>
    <w:rsid w:val="00B10814"/>
    <w:rsid w:val="00B111FE"/>
    <w:rsid w:val="00B16572"/>
    <w:rsid w:val="00B17FDC"/>
    <w:rsid w:val="00B2568D"/>
    <w:rsid w:val="00B26CC7"/>
    <w:rsid w:val="00B26E27"/>
    <w:rsid w:val="00B300D4"/>
    <w:rsid w:val="00B3262B"/>
    <w:rsid w:val="00B33960"/>
    <w:rsid w:val="00B35FC2"/>
    <w:rsid w:val="00B403BF"/>
    <w:rsid w:val="00B420C0"/>
    <w:rsid w:val="00B468D2"/>
    <w:rsid w:val="00B473B7"/>
    <w:rsid w:val="00B54462"/>
    <w:rsid w:val="00B5735B"/>
    <w:rsid w:val="00B602E5"/>
    <w:rsid w:val="00B608D9"/>
    <w:rsid w:val="00B60BD9"/>
    <w:rsid w:val="00B74BE5"/>
    <w:rsid w:val="00B77450"/>
    <w:rsid w:val="00B90E6F"/>
    <w:rsid w:val="00B93CCB"/>
    <w:rsid w:val="00B96079"/>
    <w:rsid w:val="00BA04A6"/>
    <w:rsid w:val="00BA09E6"/>
    <w:rsid w:val="00BA259B"/>
    <w:rsid w:val="00BA4055"/>
    <w:rsid w:val="00BA7FB6"/>
    <w:rsid w:val="00BB67F2"/>
    <w:rsid w:val="00BC0FF4"/>
    <w:rsid w:val="00BC13EC"/>
    <w:rsid w:val="00BD3668"/>
    <w:rsid w:val="00BE3720"/>
    <w:rsid w:val="00BE3D87"/>
    <w:rsid w:val="00C06946"/>
    <w:rsid w:val="00C14E99"/>
    <w:rsid w:val="00C20BFE"/>
    <w:rsid w:val="00C27672"/>
    <w:rsid w:val="00C301FF"/>
    <w:rsid w:val="00C42DAD"/>
    <w:rsid w:val="00C45C43"/>
    <w:rsid w:val="00C46C8B"/>
    <w:rsid w:val="00C46D29"/>
    <w:rsid w:val="00C47869"/>
    <w:rsid w:val="00C5076D"/>
    <w:rsid w:val="00C572AF"/>
    <w:rsid w:val="00C72111"/>
    <w:rsid w:val="00C75C64"/>
    <w:rsid w:val="00C765FC"/>
    <w:rsid w:val="00C76F82"/>
    <w:rsid w:val="00C8083C"/>
    <w:rsid w:val="00CA6360"/>
    <w:rsid w:val="00CB459C"/>
    <w:rsid w:val="00CB6891"/>
    <w:rsid w:val="00CB7EB4"/>
    <w:rsid w:val="00CC1778"/>
    <w:rsid w:val="00CC2609"/>
    <w:rsid w:val="00CC3DDD"/>
    <w:rsid w:val="00CC7611"/>
    <w:rsid w:val="00CD00CF"/>
    <w:rsid w:val="00CD16F4"/>
    <w:rsid w:val="00CD6BBD"/>
    <w:rsid w:val="00CE0A5C"/>
    <w:rsid w:val="00CE11EA"/>
    <w:rsid w:val="00CE325C"/>
    <w:rsid w:val="00CE5403"/>
    <w:rsid w:val="00CE575B"/>
    <w:rsid w:val="00CE59F6"/>
    <w:rsid w:val="00CE61C7"/>
    <w:rsid w:val="00CF110E"/>
    <w:rsid w:val="00CF3DE8"/>
    <w:rsid w:val="00CF59DB"/>
    <w:rsid w:val="00CF79E2"/>
    <w:rsid w:val="00D003ED"/>
    <w:rsid w:val="00D0493F"/>
    <w:rsid w:val="00D16962"/>
    <w:rsid w:val="00D17847"/>
    <w:rsid w:val="00D17BE2"/>
    <w:rsid w:val="00D34D16"/>
    <w:rsid w:val="00D36E2F"/>
    <w:rsid w:val="00D44C95"/>
    <w:rsid w:val="00D56F91"/>
    <w:rsid w:val="00D81058"/>
    <w:rsid w:val="00D83670"/>
    <w:rsid w:val="00D84937"/>
    <w:rsid w:val="00D8671C"/>
    <w:rsid w:val="00D91005"/>
    <w:rsid w:val="00D91390"/>
    <w:rsid w:val="00D94A6C"/>
    <w:rsid w:val="00DA2422"/>
    <w:rsid w:val="00DA42E0"/>
    <w:rsid w:val="00DA57C3"/>
    <w:rsid w:val="00DB4392"/>
    <w:rsid w:val="00DB5238"/>
    <w:rsid w:val="00DC1D78"/>
    <w:rsid w:val="00DC3855"/>
    <w:rsid w:val="00DD22B7"/>
    <w:rsid w:val="00DE156F"/>
    <w:rsid w:val="00DE3AA8"/>
    <w:rsid w:val="00DE6254"/>
    <w:rsid w:val="00DF2074"/>
    <w:rsid w:val="00DF4707"/>
    <w:rsid w:val="00DF61FA"/>
    <w:rsid w:val="00E04D5B"/>
    <w:rsid w:val="00E05747"/>
    <w:rsid w:val="00E06263"/>
    <w:rsid w:val="00E20ED5"/>
    <w:rsid w:val="00E220A4"/>
    <w:rsid w:val="00E234E4"/>
    <w:rsid w:val="00E242A8"/>
    <w:rsid w:val="00E274B8"/>
    <w:rsid w:val="00E41B4B"/>
    <w:rsid w:val="00E42776"/>
    <w:rsid w:val="00E61192"/>
    <w:rsid w:val="00E72707"/>
    <w:rsid w:val="00E75B14"/>
    <w:rsid w:val="00E80B51"/>
    <w:rsid w:val="00E819E2"/>
    <w:rsid w:val="00E919FA"/>
    <w:rsid w:val="00E93362"/>
    <w:rsid w:val="00EA5466"/>
    <w:rsid w:val="00EB7C63"/>
    <w:rsid w:val="00EC02BC"/>
    <w:rsid w:val="00EC0543"/>
    <w:rsid w:val="00ED0872"/>
    <w:rsid w:val="00ED526E"/>
    <w:rsid w:val="00EDF831"/>
    <w:rsid w:val="00EE501A"/>
    <w:rsid w:val="00F0586E"/>
    <w:rsid w:val="00F066E7"/>
    <w:rsid w:val="00F07C22"/>
    <w:rsid w:val="00F11C5D"/>
    <w:rsid w:val="00F14297"/>
    <w:rsid w:val="00F25C3A"/>
    <w:rsid w:val="00F27483"/>
    <w:rsid w:val="00F27524"/>
    <w:rsid w:val="00F303B7"/>
    <w:rsid w:val="00F33B08"/>
    <w:rsid w:val="00F34C88"/>
    <w:rsid w:val="00F35225"/>
    <w:rsid w:val="00F41731"/>
    <w:rsid w:val="00F4217C"/>
    <w:rsid w:val="00F43932"/>
    <w:rsid w:val="00F45516"/>
    <w:rsid w:val="00F525DE"/>
    <w:rsid w:val="00F53224"/>
    <w:rsid w:val="00F55737"/>
    <w:rsid w:val="00F56151"/>
    <w:rsid w:val="00F60A9A"/>
    <w:rsid w:val="00F64ED7"/>
    <w:rsid w:val="00F71428"/>
    <w:rsid w:val="00F72183"/>
    <w:rsid w:val="00F83205"/>
    <w:rsid w:val="00F83C04"/>
    <w:rsid w:val="00F84E8D"/>
    <w:rsid w:val="00FA1F2C"/>
    <w:rsid w:val="00FA575E"/>
    <w:rsid w:val="00FB741D"/>
    <w:rsid w:val="00FC177B"/>
    <w:rsid w:val="00FC2A3F"/>
    <w:rsid w:val="00FC4D01"/>
    <w:rsid w:val="00FC6B42"/>
    <w:rsid w:val="00FD5476"/>
    <w:rsid w:val="00FD695C"/>
    <w:rsid w:val="00FE0EE8"/>
    <w:rsid w:val="00FE1FC5"/>
    <w:rsid w:val="00FE46B2"/>
    <w:rsid w:val="00FE6C92"/>
    <w:rsid w:val="00FF41DA"/>
    <w:rsid w:val="04328019"/>
    <w:rsid w:val="04EBA534"/>
    <w:rsid w:val="0515FF81"/>
    <w:rsid w:val="05DE7114"/>
    <w:rsid w:val="06EBB289"/>
    <w:rsid w:val="09D89E4C"/>
    <w:rsid w:val="0A94461C"/>
    <w:rsid w:val="0B4EC207"/>
    <w:rsid w:val="0B6964C3"/>
    <w:rsid w:val="0C30167D"/>
    <w:rsid w:val="0D072E5D"/>
    <w:rsid w:val="0E314C76"/>
    <w:rsid w:val="0EB397BD"/>
    <w:rsid w:val="0EE191EF"/>
    <w:rsid w:val="0FC6A9C1"/>
    <w:rsid w:val="121932B1"/>
    <w:rsid w:val="134BAF8D"/>
    <w:rsid w:val="1675FE6D"/>
    <w:rsid w:val="185ADF3B"/>
    <w:rsid w:val="195BF658"/>
    <w:rsid w:val="1A65B97F"/>
    <w:rsid w:val="1A87802C"/>
    <w:rsid w:val="1AE62640"/>
    <w:rsid w:val="1B66177F"/>
    <w:rsid w:val="1B927FFD"/>
    <w:rsid w:val="1D0AEFA7"/>
    <w:rsid w:val="1E1E5E7A"/>
    <w:rsid w:val="2065F120"/>
    <w:rsid w:val="21AE45CC"/>
    <w:rsid w:val="22162E1E"/>
    <w:rsid w:val="25183A3E"/>
    <w:rsid w:val="252039E6"/>
    <w:rsid w:val="25A0EDCE"/>
    <w:rsid w:val="273777C5"/>
    <w:rsid w:val="287A8AC7"/>
    <w:rsid w:val="29423418"/>
    <w:rsid w:val="2BA5F12A"/>
    <w:rsid w:val="2D6F89F2"/>
    <w:rsid w:val="2E095D49"/>
    <w:rsid w:val="30541FF0"/>
    <w:rsid w:val="324F9067"/>
    <w:rsid w:val="33F8B978"/>
    <w:rsid w:val="374ACC13"/>
    <w:rsid w:val="3932D574"/>
    <w:rsid w:val="395251D0"/>
    <w:rsid w:val="3B15DFBD"/>
    <w:rsid w:val="3CAE0C5F"/>
    <w:rsid w:val="3CB1B01E"/>
    <w:rsid w:val="3CD99111"/>
    <w:rsid w:val="3CE45E20"/>
    <w:rsid w:val="3E8C0366"/>
    <w:rsid w:val="3F73493F"/>
    <w:rsid w:val="4146D0FE"/>
    <w:rsid w:val="41E84F7D"/>
    <w:rsid w:val="43841FDE"/>
    <w:rsid w:val="43891B36"/>
    <w:rsid w:val="45649AE3"/>
    <w:rsid w:val="4869BECD"/>
    <w:rsid w:val="492E8F35"/>
    <w:rsid w:val="49770AC9"/>
    <w:rsid w:val="4A73F3A1"/>
    <w:rsid w:val="4BA9BED9"/>
    <w:rsid w:val="4C537E91"/>
    <w:rsid w:val="4CD7B0B3"/>
    <w:rsid w:val="4E8CF60A"/>
    <w:rsid w:val="4F8C6744"/>
    <w:rsid w:val="5101AD57"/>
    <w:rsid w:val="546C2887"/>
    <w:rsid w:val="547E9EF3"/>
    <w:rsid w:val="57C77B87"/>
    <w:rsid w:val="58A7840A"/>
    <w:rsid w:val="59951C19"/>
    <w:rsid w:val="59E91CEC"/>
    <w:rsid w:val="5A879832"/>
    <w:rsid w:val="5B586026"/>
    <w:rsid w:val="5D0FED62"/>
    <w:rsid w:val="5EE4274E"/>
    <w:rsid w:val="61D0782D"/>
    <w:rsid w:val="63F8EE29"/>
    <w:rsid w:val="66536B44"/>
    <w:rsid w:val="67B5672C"/>
    <w:rsid w:val="68533781"/>
    <w:rsid w:val="68E1B78E"/>
    <w:rsid w:val="694662FC"/>
    <w:rsid w:val="6D83BF0E"/>
    <w:rsid w:val="70B40933"/>
    <w:rsid w:val="72DA925B"/>
    <w:rsid w:val="73DD7858"/>
    <w:rsid w:val="756B9CC4"/>
    <w:rsid w:val="75C8B76D"/>
    <w:rsid w:val="76C141ED"/>
    <w:rsid w:val="77E4F36B"/>
    <w:rsid w:val="79002DE2"/>
    <w:rsid w:val="79B68C0B"/>
    <w:rsid w:val="7A1A0E08"/>
    <w:rsid w:val="7B6989E3"/>
    <w:rsid w:val="7B81BB6B"/>
    <w:rsid w:val="7B833A77"/>
    <w:rsid w:val="7B8BDFDC"/>
    <w:rsid w:val="7EC3809E"/>
    <w:rsid w:val="7F8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5AA0D7E8-ADC8-4567-9AF2-DE0D5BD7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9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F8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92F80"/>
    <w:pPr>
      <w:widowControl w:val="0"/>
      <w:autoSpaceDE w:val="0"/>
      <w:autoSpaceDN w:val="0"/>
      <w:spacing w:before="19" w:line="194" w:lineRule="exact"/>
      <w:ind w:left="116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92F80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92F80"/>
    <w:rPr>
      <w:sz w:val="22"/>
      <w:szCs w:val="22"/>
    </w:rPr>
  </w:style>
  <w:style w:type="character" w:styleId="FootnoteReference">
    <w:name w:val="footnote reference"/>
    <w:rsid w:val="000055B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0055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5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55BD"/>
  </w:style>
  <w:style w:type="paragraph" w:styleId="FootnoteText">
    <w:name w:val="footnote text"/>
    <w:basedOn w:val="Normal"/>
    <w:link w:val="FootnoteTextChar"/>
    <w:rsid w:val="00E4277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42776"/>
  </w:style>
  <w:style w:type="paragraph" w:styleId="NormalWeb">
    <w:name w:val="Normal (Web)"/>
    <w:basedOn w:val="Normal"/>
    <w:uiPriority w:val="99"/>
    <w:unhideWhenUsed/>
    <w:rsid w:val="00E93362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E933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4A693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A693B"/>
    <w:rPr>
      <w:sz w:val="24"/>
    </w:rPr>
  </w:style>
  <w:style w:type="paragraph" w:styleId="Header">
    <w:name w:val="header"/>
    <w:basedOn w:val="Normal"/>
    <w:link w:val="HeaderChar"/>
    <w:rsid w:val="004A69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693B"/>
    <w:rPr>
      <w:sz w:val="24"/>
    </w:rPr>
  </w:style>
  <w:style w:type="paragraph" w:styleId="Footer">
    <w:name w:val="footer"/>
    <w:basedOn w:val="Normal"/>
    <w:link w:val="FooterChar"/>
    <w:uiPriority w:val="99"/>
    <w:rsid w:val="00676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36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2AD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321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1B2E"/>
    <w:rPr>
      <w:b/>
      <w:bCs/>
    </w:rPr>
  </w:style>
  <w:style w:type="paragraph" w:styleId="Revision">
    <w:name w:val="Revision"/>
    <w:hidden/>
    <w:uiPriority w:val="99"/>
    <w:semiHidden/>
    <w:rsid w:val="00FB741D"/>
    <w:rPr>
      <w:sz w:val="24"/>
    </w:rPr>
  </w:style>
  <w:style w:type="character" w:customStyle="1" w:styleId="ui-provider">
    <w:name w:val="ui-provider"/>
    <w:basedOn w:val="DefaultParagraphFont"/>
    <w:rsid w:val="001432AD"/>
  </w:style>
  <w:style w:type="character" w:styleId="Strong">
    <w:name w:val="Strong"/>
    <w:basedOn w:val="DefaultParagraphFont"/>
    <w:uiPriority w:val="22"/>
    <w:qFormat/>
    <w:rsid w:val="001432AD"/>
    <w:rPr>
      <w:b/>
      <w:bCs/>
    </w:rPr>
  </w:style>
  <w:style w:type="character" w:styleId="Mention">
    <w:name w:val="Mention"/>
    <w:basedOn w:val="DefaultParagraphFont"/>
    <w:uiPriority w:val="99"/>
    <w:unhideWhenUsed/>
    <w:rsid w:val="00CF59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sane@massmail.state.ma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cp.dph@mass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D9D35-794D-41ED-8AA1-209B0B1B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</TotalTime>
  <Pages>3</Pages>
  <Words>839</Words>
  <Characters>4785</Characters>
  <Application>Microsoft Office Word</Application>
  <DocSecurity>0</DocSecurity>
  <Lines>39</Lines>
  <Paragraphs>11</Paragraphs>
  <ScaleCrop>false</ScaleCrop>
  <Company>Commonwealth of Massachusetts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Poirier, Kelly (DPH)</cp:lastModifiedBy>
  <cp:revision>3</cp:revision>
  <cp:lastPrinted>2015-01-29T20:50:00Z</cp:lastPrinted>
  <dcterms:created xsi:type="dcterms:W3CDTF">2024-06-13T20:05:00Z</dcterms:created>
  <dcterms:modified xsi:type="dcterms:W3CDTF">2024-06-13T20:06:00Z</dcterms:modified>
</cp:coreProperties>
</file>