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9617" w14:textId="77777777" w:rsidR="000537DA" w:rsidRPr="00D0578F" w:rsidRDefault="000537DA" w:rsidP="00836C4D">
      <w:pPr>
        <w:framePr w:w="6926" w:hSpace="187" w:wrap="notBeside" w:vAnchor="page" w:hAnchor="page" w:x="2884" w:y="711"/>
        <w:jc w:val="center"/>
        <w:rPr>
          <w:rFonts w:ascii="Arial" w:hAnsi="Arial"/>
          <w:sz w:val="36"/>
        </w:rPr>
      </w:pPr>
      <w:r w:rsidRPr="00D0578F">
        <w:rPr>
          <w:rFonts w:ascii="Arial" w:hAnsi="Arial"/>
          <w:sz w:val="36"/>
        </w:rPr>
        <w:t>The Commonwealth of Massachusetts</w:t>
      </w:r>
    </w:p>
    <w:p w14:paraId="3B70B777" w14:textId="77777777" w:rsidR="000537DA" w:rsidRPr="00D0578F" w:rsidRDefault="000537DA" w:rsidP="000F315B">
      <w:pPr>
        <w:pStyle w:val="ExecOffice"/>
        <w:framePr w:w="6926" w:wrap="notBeside" w:vAnchor="page" w:x="2884" w:y="711"/>
      </w:pPr>
      <w:r w:rsidRPr="00D0578F">
        <w:t>Executive Office of Health and Human Services</w:t>
      </w:r>
    </w:p>
    <w:p w14:paraId="6E3B122A" w14:textId="77777777" w:rsidR="000537DA" w:rsidRPr="00D0578F" w:rsidRDefault="000537DA" w:rsidP="000F315B">
      <w:pPr>
        <w:pStyle w:val="ExecOffice"/>
        <w:framePr w:w="6926" w:wrap="notBeside" w:vAnchor="page" w:x="2884" w:y="711"/>
      </w:pPr>
      <w:r w:rsidRPr="00D0578F">
        <w:t>Department of Public Health</w:t>
      </w:r>
    </w:p>
    <w:p w14:paraId="6B34CF77" w14:textId="77777777" w:rsidR="006D06D9" w:rsidRPr="00D0578F" w:rsidRDefault="000537DA" w:rsidP="000F315B">
      <w:pPr>
        <w:pStyle w:val="ExecOffice"/>
        <w:framePr w:w="6926" w:wrap="notBeside" w:vAnchor="page" w:x="2884" w:y="711"/>
      </w:pPr>
      <w:r w:rsidRPr="00D0578F">
        <w:t>250 Washington Street, Boston, MA 02108-4619</w:t>
      </w:r>
    </w:p>
    <w:p w14:paraId="6407EBF5" w14:textId="127BA513" w:rsidR="00BA4055" w:rsidRPr="00D0578F" w:rsidRDefault="00990939" w:rsidP="00BA4055">
      <w:pPr>
        <w:framePr w:w="1927" w:hSpace="180" w:wrap="auto" w:vAnchor="text" w:hAnchor="page" w:x="940" w:y="-951"/>
        <w:rPr>
          <w:rFonts w:ascii="LinePrinter" w:hAnsi="LinePrinter"/>
        </w:rPr>
      </w:pPr>
      <w:r w:rsidRPr="00D0578F">
        <w:rPr>
          <w:rFonts w:ascii="LinePrinter" w:hAnsi="LinePrinter"/>
          <w:noProof/>
        </w:rPr>
        <w:drawing>
          <wp:inline distT="0" distB="0" distL="0" distR="0" wp14:anchorId="15AED36D" wp14:editId="42B1B7C6">
            <wp:extent cx="971550" cy="11493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149350"/>
                    </a:xfrm>
                    <a:prstGeom prst="rect">
                      <a:avLst/>
                    </a:prstGeom>
                    <a:noFill/>
                    <a:ln>
                      <a:noFill/>
                    </a:ln>
                  </pic:spPr>
                </pic:pic>
              </a:graphicData>
            </a:graphic>
          </wp:inline>
        </w:drawing>
      </w:r>
    </w:p>
    <w:p w14:paraId="1EF40D38" w14:textId="2AA5468E" w:rsidR="009908FF" w:rsidRPr="00D0578F" w:rsidRDefault="00262526" w:rsidP="0072610D">
      <w:r w:rsidRPr="00D0578F">
        <w:rPr>
          <w:noProof/>
        </w:rPr>
        <mc:AlternateContent>
          <mc:Choice Requires="wps">
            <w:drawing>
              <wp:anchor distT="0" distB="0" distL="114300" distR="114300" simplePos="0" relativeHeight="251657728" behindDoc="0" locked="0" layoutInCell="1" allowOverlap="1" wp14:anchorId="6EF1AA3A" wp14:editId="4FAA251D">
                <wp:simplePos x="0" y="0"/>
                <wp:positionH relativeFrom="column">
                  <wp:posOffset>5013960</wp:posOffset>
                </wp:positionH>
                <wp:positionV relativeFrom="paragraph">
                  <wp:posOffset>404495</wp:posOffset>
                </wp:positionV>
                <wp:extent cx="1814195" cy="1136015"/>
                <wp:effectExtent l="0" t="0" r="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F1AA3A" id="_x0000_t202" coordsize="21600,21600" o:spt="202" path="m,l,21600r21600,l21600,xe">
                <v:stroke joinstyle="miter"/>
                <v:path gradientshapeok="t" o:connecttype="rect"/>
              </v:shapetype>
              <v:shape id="Text Box 2" o:spid="_x0000_s1026" type="#_x0000_t202" style="position:absolute;margin-left:394.8pt;margin-top:31.85pt;width:142.85pt;height:8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" stroked="f">
                <v:textbox style="mso-fit-shape-to-text:t">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C72481" w:rsidRPr="00D0578F">
        <w:rPr>
          <w:noProof/>
        </w:rPr>
        <mc:AlternateContent>
          <mc:Choice Requires="wps">
            <w:drawing>
              <wp:anchor distT="0" distB="0" distL="114300" distR="114300" simplePos="0" relativeHeight="251656704" behindDoc="0" locked="0" layoutInCell="1" allowOverlap="1" wp14:anchorId="481C64A9" wp14:editId="08E82DDD">
                <wp:simplePos x="0" y="0"/>
                <wp:positionH relativeFrom="column">
                  <wp:posOffset>-404495</wp:posOffset>
                </wp:positionH>
                <wp:positionV relativeFrom="paragraph">
                  <wp:posOffset>541655</wp:posOffset>
                </wp:positionV>
                <wp:extent cx="1572895" cy="802005"/>
                <wp:effectExtent l="0" t="0" r="825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1C64A9" id="_x0000_s1027" type="#_x0000_t202" style="position:absolute;margin-left:-31.85pt;margin-top:42.65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" stroked="f">
                <v:textbox style="mso-fit-shape-to-text:t">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v:textbox>
              </v:shape>
            </w:pict>
          </mc:Fallback>
        </mc:AlternateContent>
      </w:r>
    </w:p>
    <w:p w14:paraId="13ABD073" w14:textId="24EC4E66" w:rsidR="00FC6B42" w:rsidRPr="00D0578F" w:rsidRDefault="00FC6B42" w:rsidP="0072610D"/>
    <w:p w14:paraId="41687A9C" w14:textId="1862019E" w:rsidR="00FC6B42" w:rsidRPr="00D0578F" w:rsidRDefault="00FC6B42" w:rsidP="0072610D"/>
    <w:p w14:paraId="60347A4D" w14:textId="77777777" w:rsidR="00033154" w:rsidRPr="00D0578F" w:rsidRDefault="00033154" w:rsidP="0072610D"/>
    <w:p w14:paraId="5844CEB0" w14:textId="50A9D5B2" w:rsidR="00033154" w:rsidRPr="00D0578F" w:rsidRDefault="00033154" w:rsidP="0072610D"/>
    <w:p w14:paraId="1EF74BFC" w14:textId="026D03F3" w:rsidR="00714DC5" w:rsidRPr="00D0578F" w:rsidRDefault="00714DC5" w:rsidP="0072610D"/>
    <w:p w14:paraId="2BDD8B87" w14:textId="3AD7513A" w:rsidR="00836C4D" w:rsidRPr="00D0578F" w:rsidRDefault="00DF7C39" w:rsidP="00DE2B15">
      <w:r w:rsidRPr="00D0578F">
        <w:t xml:space="preserve"> </w:t>
      </w:r>
    </w:p>
    <w:p w14:paraId="527BCB81" w14:textId="0877446F" w:rsidR="00DE2B15" w:rsidRPr="00262526" w:rsidRDefault="00DE2B15" w:rsidP="00DE2B15">
      <w:pPr>
        <w:jc w:val="center"/>
        <w:rPr>
          <w:b/>
          <w:bCs/>
        </w:rPr>
      </w:pPr>
      <w:bookmarkStart w:id="0" w:name="_Hlk90061424"/>
      <w:r w:rsidRPr="00262526">
        <w:rPr>
          <w:b/>
          <w:bCs/>
        </w:rPr>
        <w:t xml:space="preserve">Clinical Guidance on Therapeutics for COVID-19 </w:t>
      </w:r>
    </w:p>
    <w:p w14:paraId="723AFCD6" w14:textId="04F8CBB8" w:rsidR="00714DC5" w:rsidRPr="008365F9" w:rsidRDefault="00DE2B15" w:rsidP="00990939">
      <w:pPr>
        <w:jc w:val="center"/>
        <w:rPr>
          <w:i/>
          <w:iCs/>
        </w:rPr>
      </w:pPr>
      <w:r w:rsidRPr="008365F9">
        <w:rPr>
          <w:i/>
          <w:iCs/>
        </w:rPr>
        <w:t xml:space="preserve">Issued </w:t>
      </w:r>
      <w:r w:rsidR="0079478F">
        <w:rPr>
          <w:i/>
          <w:iCs/>
        </w:rPr>
        <w:t xml:space="preserve">April </w:t>
      </w:r>
      <w:r w:rsidR="00CD0793">
        <w:rPr>
          <w:i/>
          <w:iCs/>
        </w:rPr>
        <w:t>07</w:t>
      </w:r>
      <w:r w:rsidRPr="008365F9">
        <w:rPr>
          <w:i/>
          <w:iCs/>
        </w:rPr>
        <w:t>, 2022</w:t>
      </w:r>
    </w:p>
    <w:p w14:paraId="4982FFBF" w14:textId="1EC9C8A6" w:rsidR="007503F1" w:rsidRPr="00D0578F" w:rsidRDefault="000C3001" w:rsidP="002112A2">
      <w:pPr>
        <w:pStyle w:val="ListParagraph"/>
        <w:ind w:left="0"/>
        <w:rPr>
          <w:b/>
          <w:bCs/>
        </w:rPr>
      </w:pPr>
      <w:r w:rsidRPr="00D0578F">
        <w:rPr>
          <w:noProof/>
        </w:rPr>
        <mc:AlternateContent>
          <mc:Choice Requires="wps">
            <w:drawing>
              <wp:anchor distT="0" distB="0" distL="114300" distR="114300" simplePos="0" relativeHeight="251658752" behindDoc="1" locked="0" layoutInCell="1" allowOverlap="1" wp14:anchorId="044E8F53" wp14:editId="4B330E6F">
                <wp:simplePos x="0" y="0"/>
                <wp:positionH relativeFrom="margin">
                  <wp:posOffset>-28576</wp:posOffset>
                </wp:positionH>
                <wp:positionV relativeFrom="paragraph">
                  <wp:posOffset>105410</wp:posOffset>
                </wp:positionV>
                <wp:extent cx="6524625" cy="1876425"/>
                <wp:effectExtent l="0" t="0" r="28575" b="285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24625" cy="1876425"/>
                        </a:xfrm>
                        <a:prstGeom prst="rect">
                          <a:avLst/>
                        </a:prstGeom>
                        <a:solidFill>
                          <a:schemeClr val="bg1">
                            <a:lumMod val="95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DE89" id="Rectangle 4" o:spid="_x0000_s1026" style="position:absolute;margin-left:-2.25pt;margin-top:8.3pt;width:513.75pt;height:147.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" fillcolor="#f2f2f2 [3052]" strokecolor="windowText" strokeweight="1pt">
                <w10:wrap anchorx="margin"/>
              </v:rect>
            </w:pict>
          </mc:Fallback>
        </mc:AlternateContent>
      </w:r>
    </w:p>
    <w:p w14:paraId="01302166" w14:textId="0FFE031A" w:rsidR="000C3001" w:rsidRPr="00A551BF" w:rsidRDefault="006F052F">
      <w:pPr>
        <w:rPr>
          <w:b/>
          <w:bCs/>
        </w:rPr>
      </w:pPr>
      <w:r>
        <w:rPr>
          <w:b/>
          <w:bCs/>
        </w:rPr>
        <w:t xml:space="preserve">  </w:t>
      </w:r>
      <w:r w:rsidRPr="000A3A34">
        <w:rPr>
          <w:b/>
          <w:bCs/>
        </w:rPr>
        <w:t>Executive Summary</w:t>
      </w:r>
    </w:p>
    <w:p w14:paraId="3CC8427E" w14:textId="24C58ED0" w:rsidR="000A3A34" w:rsidRPr="008365F9" w:rsidRDefault="000A3A34" w:rsidP="003E2754">
      <w:pPr>
        <w:rPr>
          <w:b/>
          <w:bCs/>
          <w:sz w:val="2"/>
          <w:szCs w:val="2"/>
        </w:rPr>
      </w:pPr>
    </w:p>
    <w:p w14:paraId="4BF67441" w14:textId="1A7D6F1A" w:rsidR="00262526" w:rsidRPr="008365F9" w:rsidRDefault="00262526" w:rsidP="008365F9">
      <w:pPr>
        <w:rPr>
          <w:b/>
          <w:bCs/>
          <w:sz w:val="4"/>
          <w:szCs w:val="2"/>
        </w:rPr>
      </w:pPr>
    </w:p>
    <w:p w14:paraId="57237953" w14:textId="0980B7FE" w:rsidR="000C3001" w:rsidRDefault="000C3001" w:rsidP="00A148AE">
      <w:pPr>
        <w:pStyle w:val="ListParagraph"/>
        <w:numPr>
          <w:ilvl w:val="0"/>
          <w:numId w:val="13"/>
        </w:numPr>
        <w:spacing w:after="120"/>
        <w:ind w:left="540"/>
        <w:rPr>
          <w:rFonts w:ascii="Times New Roman" w:hAnsi="Times New Roman"/>
        </w:rPr>
      </w:pPr>
      <w:proofErr w:type="spellStart"/>
      <w:r>
        <w:rPr>
          <w:rFonts w:ascii="Times New Roman" w:hAnsi="Times New Roman"/>
        </w:rPr>
        <w:t>Nirmatrelvir</w:t>
      </w:r>
      <w:proofErr w:type="spellEnd"/>
      <w:r>
        <w:rPr>
          <w:rFonts w:ascii="Times New Roman" w:hAnsi="Times New Roman"/>
        </w:rPr>
        <w:t>/ritonavir (PAXLOVID) is the preferred treatment for most patients with mild-to-moderate COVID-19 at high risk of progression to severe disease and is now widely available</w:t>
      </w:r>
      <w:r w:rsidR="00D20265">
        <w:rPr>
          <w:rFonts w:ascii="Times New Roman" w:hAnsi="Times New Roman"/>
        </w:rPr>
        <w:t xml:space="preserve"> and in good supply</w:t>
      </w:r>
      <w:r>
        <w:rPr>
          <w:rFonts w:ascii="Times New Roman" w:hAnsi="Times New Roman"/>
        </w:rPr>
        <w:t xml:space="preserve"> in Massachusetts. </w:t>
      </w:r>
    </w:p>
    <w:p w14:paraId="27807280" w14:textId="71B2F3F9" w:rsidR="008C6150" w:rsidRDefault="009741CE" w:rsidP="00A148AE">
      <w:pPr>
        <w:pStyle w:val="ListParagraph"/>
        <w:numPr>
          <w:ilvl w:val="0"/>
          <w:numId w:val="13"/>
        </w:numPr>
        <w:spacing w:after="120"/>
        <w:ind w:left="540"/>
        <w:rPr>
          <w:rFonts w:ascii="Times New Roman" w:hAnsi="Times New Roman"/>
        </w:rPr>
      </w:pPr>
      <w:r w:rsidRPr="00A551BF">
        <w:rPr>
          <w:rFonts w:ascii="Times New Roman" w:hAnsi="Times New Roman"/>
        </w:rPr>
        <w:t xml:space="preserve">The monoclonal antibody </w:t>
      </w:r>
      <w:proofErr w:type="spellStart"/>
      <w:r w:rsidRPr="00A551BF">
        <w:rPr>
          <w:rFonts w:ascii="Times New Roman" w:hAnsi="Times New Roman"/>
        </w:rPr>
        <w:t>s</w:t>
      </w:r>
      <w:r w:rsidR="0079478F" w:rsidRPr="00A551BF">
        <w:rPr>
          <w:rFonts w:ascii="Times New Roman" w:hAnsi="Times New Roman"/>
        </w:rPr>
        <w:t>otrovimab</w:t>
      </w:r>
      <w:proofErr w:type="spellEnd"/>
      <w:r w:rsidR="0079478F" w:rsidRPr="00A551BF">
        <w:rPr>
          <w:rFonts w:ascii="Times New Roman" w:hAnsi="Times New Roman"/>
        </w:rPr>
        <w:t xml:space="preserve"> is no longer </w:t>
      </w:r>
      <w:r w:rsidRPr="00A551BF">
        <w:rPr>
          <w:rFonts w:ascii="Times New Roman" w:hAnsi="Times New Roman"/>
        </w:rPr>
        <w:t>authorized</w:t>
      </w:r>
      <w:r w:rsidR="0079478F" w:rsidRPr="00A551BF">
        <w:rPr>
          <w:rFonts w:ascii="Times New Roman" w:hAnsi="Times New Roman"/>
        </w:rPr>
        <w:t xml:space="preserve"> </w:t>
      </w:r>
      <w:r w:rsidRPr="00A551BF">
        <w:rPr>
          <w:rFonts w:ascii="Times New Roman" w:hAnsi="Times New Roman"/>
        </w:rPr>
        <w:t xml:space="preserve">for treatment of mild-to-moderate COVID-19 </w:t>
      </w:r>
      <w:r w:rsidR="0079478F" w:rsidRPr="00A551BF">
        <w:rPr>
          <w:rFonts w:ascii="Times New Roman" w:hAnsi="Times New Roman"/>
        </w:rPr>
        <w:t xml:space="preserve">due to resistance </w:t>
      </w:r>
      <w:r w:rsidRPr="00A551BF">
        <w:rPr>
          <w:rFonts w:ascii="Times New Roman" w:hAnsi="Times New Roman"/>
        </w:rPr>
        <w:t>of the predominant</w:t>
      </w:r>
      <w:bookmarkStart w:id="1" w:name="_Hlk99093363"/>
      <w:r w:rsidR="00B76A3C" w:rsidRPr="00A551BF">
        <w:rPr>
          <w:rFonts w:ascii="Times New Roman" w:hAnsi="Times New Roman"/>
        </w:rPr>
        <w:t xml:space="preserve"> Omicron subvariant BA.2</w:t>
      </w:r>
      <w:r w:rsidRPr="00A551BF">
        <w:rPr>
          <w:rFonts w:ascii="Times New Roman" w:hAnsi="Times New Roman"/>
        </w:rPr>
        <w:t>.</w:t>
      </w:r>
      <w:r w:rsidR="00B76A3C" w:rsidRPr="00A551BF">
        <w:rPr>
          <w:rFonts w:ascii="Times New Roman" w:hAnsi="Times New Roman"/>
        </w:rPr>
        <w:t xml:space="preserve"> </w:t>
      </w:r>
      <w:r w:rsidRPr="00A551BF">
        <w:rPr>
          <w:rFonts w:ascii="Times New Roman" w:hAnsi="Times New Roman"/>
        </w:rPr>
        <w:t xml:space="preserve">Remdesivir, </w:t>
      </w:r>
      <w:proofErr w:type="spellStart"/>
      <w:r w:rsidR="00B76A3C" w:rsidRPr="00A551BF">
        <w:rPr>
          <w:rFonts w:ascii="Times New Roman" w:hAnsi="Times New Roman"/>
        </w:rPr>
        <w:t>bebtelovimab</w:t>
      </w:r>
      <w:proofErr w:type="spellEnd"/>
      <w:r w:rsidR="00B76A3C" w:rsidRPr="00A551BF">
        <w:rPr>
          <w:rFonts w:ascii="Times New Roman" w:hAnsi="Times New Roman"/>
        </w:rPr>
        <w:t xml:space="preserve"> </w:t>
      </w:r>
      <w:r w:rsidRPr="00A551BF">
        <w:rPr>
          <w:rFonts w:ascii="Times New Roman" w:hAnsi="Times New Roman"/>
        </w:rPr>
        <w:t xml:space="preserve">or </w:t>
      </w:r>
      <w:proofErr w:type="spellStart"/>
      <w:r w:rsidRPr="00A551BF">
        <w:rPr>
          <w:rFonts w:ascii="Times New Roman" w:hAnsi="Times New Roman"/>
        </w:rPr>
        <w:t>molnupiravir</w:t>
      </w:r>
      <w:proofErr w:type="spellEnd"/>
      <w:r w:rsidRPr="00A551BF">
        <w:rPr>
          <w:rFonts w:ascii="Times New Roman" w:hAnsi="Times New Roman"/>
        </w:rPr>
        <w:t xml:space="preserve"> may </w:t>
      </w:r>
      <w:r w:rsidR="00B76A3C" w:rsidRPr="00A551BF">
        <w:rPr>
          <w:rFonts w:ascii="Times New Roman" w:hAnsi="Times New Roman"/>
        </w:rPr>
        <w:t xml:space="preserve">be used </w:t>
      </w:r>
      <w:r w:rsidRPr="00A551BF">
        <w:rPr>
          <w:rFonts w:ascii="Times New Roman" w:hAnsi="Times New Roman"/>
        </w:rPr>
        <w:t xml:space="preserve">for treatment </w:t>
      </w:r>
      <w:r w:rsidR="00B76A3C" w:rsidRPr="00A551BF">
        <w:rPr>
          <w:rFonts w:ascii="Times New Roman" w:hAnsi="Times New Roman"/>
        </w:rPr>
        <w:t xml:space="preserve">when </w:t>
      </w:r>
      <w:proofErr w:type="spellStart"/>
      <w:r w:rsidRPr="00A551BF">
        <w:rPr>
          <w:rFonts w:ascii="Times New Roman" w:hAnsi="Times New Roman"/>
        </w:rPr>
        <w:t>nirmatrelvir</w:t>
      </w:r>
      <w:proofErr w:type="spellEnd"/>
      <w:r w:rsidRPr="00A551BF">
        <w:rPr>
          <w:rFonts w:ascii="Times New Roman" w:hAnsi="Times New Roman"/>
        </w:rPr>
        <w:t>/ritonavir is</w:t>
      </w:r>
      <w:r w:rsidR="00B76A3C" w:rsidRPr="00A551BF">
        <w:rPr>
          <w:rFonts w:ascii="Times New Roman" w:hAnsi="Times New Roman"/>
        </w:rPr>
        <w:t xml:space="preserve"> not appropriate or available.</w:t>
      </w:r>
    </w:p>
    <w:p w14:paraId="3A4B91B0" w14:textId="12ABE856" w:rsidR="00A148AE" w:rsidRPr="000C3001" w:rsidRDefault="00A148AE" w:rsidP="00A551BF">
      <w:pPr>
        <w:pStyle w:val="ListParagraph"/>
        <w:numPr>
          <w:ilvl w:val="0"/>
          <w:numId w:val="13"/>
        </w:numPr>
        <w:spacing w:after="120"/>
        <w:ind w:left="540"/>
      </w:pPr>
      <w:r>
        <w:rPr>
          <w:rFonts w:ascii="Times New Roman" w:hAnsi="Times New Roman"/>
        </w:rPr>
        <w:t xml:space="preserve">Dosing of </w:t>
      </w:r>
      <w:proofErr w:type="spellStart"/>
      <w:r>
        <w:rPr>
          <w:rFonts w:ascii="Times New Roman" w:hAnsi="Times New Roman"/>
        </w:rPr>
        <w:t>tixagevimab</w:t>
      </w:r>
      <w:proofErr w:type="spellEnd"/>
      <w:r>
        <w:rPr>
          <w:rFonts w:ascii="Times New Roman" w:hAnsi="Times New Roman"/>
        </w:rPr>
        <w:t>/</w:t>
      </w:r>
      <w:proofErr w:type="spellStart"/>
      <w:r>
        <w:rPr>
          <w:rFonts w:ascii="Times New Roman" w:hAnsi="Times New Roman"/>
        </w:rPr>
        <w:t>cilgavimab</w:t>
      </w:r>
      <w:proofErr w:type="spellEnd"/>
      <w:r>
        <w:rPr>
          <w:rFonts w:ascii="Times New Roman" w:hAnsi="Times New Roman"/>
        </w:rPr>
        <w:t xml:space="preserve"> for pre-exposure prophylaxis of COVID-19 has been revised. </w:t>
      </w:r>
    </w:p>
    <w:bookmarkEnd w:id="0"/>
    <w:bookmarkEnd w:id="1"/>
    <w:p w14:paraId="274406ED" w14:textId="77777777" w:rsidR="006F052F" w:rsidRPr="008300FB" w:rsidRDefault="006F052F" w:rsidP="00DE2B15">
      <w:pPr>
        <w:rPr>
          <w:szCs w:val="24"/>
        </w:rPr>
      </w:pPr>
    </w:p>
    <w:p w14:paraId="4F696809" w14:textId="4036E3D1" w:rsidR="00EE6F9C" w:rsidRDefault="00DE2B15" w:rsidP="00DE2B15">
      <w:r w:rsidRPr="00A359D0">
        <w:t>The purpose of this document is to provide guidance to health care providers on the use of therapeutics to treat</w:t>
      </w:r>
      <w:r w:rsidR="00C72481" w:rsidRPr="00A359D0">
        <w:t xml:space="preserve"> COVID-19 positive</w:t>
      </w:r>
      <w:r w:rsidRPr="00A359D0">
        <w:t xml:space="preserve"> individuals</w:t>
      </w:r>
      <w:r w:rsidR="00301880">
        <w:t xml:space="preserve">, as well as pre-exposure prophylaxis for immunocompromised individuals. Therapeutics should be considered for </w:t>
      </w:r>
      <w:r w:rsidR="00171C3B">
        <w:t xml:space="preserve">all </w:t>
      </w:r>
      <w:r w:rsidR="003C1D7B">
        <w:t xml:space="preserve">patients with a positive test for </w:t>
      </w:r>
      <w:r w:rsidR="00301880">
        <w:t xml:space="preserve">COVID-19 </w:t>
      </w:r>
      <w:r w:rsidR="003C1D7B">
        <w:t>who are symptomatic and at</w:t>
      </w:r>
      <w:r w:rsidR="00714963">
        <w:t xml:space="preserve"> risk for moderate-to-severe disease progression</w:t>
      </w:r>
      <w:r w:rsidR="00484170">
        <w:t>.</w:t>
      </w:r>
      <w:r w:rsidR="00171C3B">
        <w:t xml:space="preserve"> </w:t>
      </w:r>
      <w:r w:rsidR="00171C3B" w:rsidRPr="00171C3B">
        <w:t xml:space="preserve">This group includes </w:t>
      </w:r>
      <w:r w:rsidR="00E72445">
        <w:t>over</w:t>
      </w:r>
      <w:r w:rsidR="00171C3B" w:rsidRPr="00171C3B">
        <w:t xml:space="preserve"> 40 percent of all MA residents who are eligible due to heart, lung, liver, or kidney disease, diabetes, pregnancy, dementia, cancer, disability, substance use disorder, mental health disorder, age over 65, overweight/obesity and immunocompromised. </w:t>
      </w:r>
    </w:p>
    <w:p w14:paraId="513BD17A" w14:textId="77777777" w:rsidR="00EE6F9C" w:rsidRDefault="00EE6F9C" w:rsidP="00DE2B15"/>
    <w:p w14:paraId="20D3DD4D" w14:textId="14CE9A4D" w:rsidR="000A3A34" w:rsidRDefault="00171C3B" w:rsidP="00DE2B15">
      <w:r w:rsidRPr="00171C3B">
        <w:t>Full CDC list is here</w:t>
      </w:r>
      <w:r w:rsidR="00C664BF">
        <w:t>:</w:t>
      </w:r>
      <w:r w:rsidRPr="00171C3B">
        <w:t xml:space="preserve"> </w:t>
      </w:r>
      <w:hyperlink r:id="rId12" w:history="1">
        <w:r w:rsidRPr="00CC1E87">
          <w:rPr>
            <w:rStyle w:val="Hyperlink"/>
          </w:rPr>
          <w:t>https://www.cdc.gov/coronavirus/2019-ncov/need-extra-precautions/people-with-medical-conditions.html</w:t>
        </w:r>
      </w:hyperlink>
      <w:r>
        <w:t xml:space="preserve">. </w:t>
      </w:r>
    </w:p>
    <w:p w14:paraId="373684DB" w14:textId="77777777" w:rsidR="000A3A34" w:rsidRDefault="000A3A34" w:rsidP="00DE2B15"/>
    <w:p w14:paraId="3A974EED" w14:textId="1181230B" w:rsidR="008300FB" w:rsidRDefault="00DE2B15" w:rsidP="00DE2B15">
      <w:r w:rsidRPr="00A359D0">
        <w:t>At present, there are two general classes of treatment for mild-to-moderate COVID-19:</w:t>
      </w:r>
      <w:r w:rsidR="004C47C5">
        <w:t xml:space="preserve"> antivirals</w:t>
      </w:r>
      <w:r w:rsidR="0051768B">
        <w:t xml:space="preserve"> and</w:t>
      </w:r>
      <w:r w:rsidRPr="00A359D0">
        <w:t xml:space="preserve"> monoclonal antibodies (</w:t>
      </w:r>
      <w:proofErr w:type="spellStart"/>
      <w:r w:rsidRPr="00A359D0">
        <w:t>mAb</w:t>
      </w:r>
      <w:proofErr w:type="spellEnd"/>
      <w:r w:rsidRPr="00A359D0">
        <w:t xml:space="preserve">). </w:t>
      </w:r>
      <w:r w:rsidR="00C72481" w:rsidRPr="008365F9">
        <w:t>P</w:t>
      </w:r>
      <w:r w:rsidR="006C1190" w:rsidRPr="008365F9">
        <w:t xml:space="preserve">resently </w:t>
      </w:r>
      <w:r w:rsidR="007D62DA" w:rsidRPr="008365F9">
        <w:t xml:space="preserve">all individuals </w:t>
      </w:r>
      <w:r w:rsidR="00184AE5" w:rsidRPr="008365F9">
        <w:t>who</w:t>
      </w:r>
      <w:r w:rsidR="00C72481" w:rsidRPr="008365F9">
        <w:t xml:space="preserve"> qualify for treatment under the applicable Emergency Use Authorization (EUA) </w:t>
      </w:r>
      <w:r w:rsidR="007D62DA" w:rsidRPr="008365F9">
        <w:t xml:space="preserve">or approval </w:t>
      </w:r>
      <w:r w:rsidR="00C72481" w:rsidRPr="008365F9">
        <w:t xml:space="preserve">from the Food and Drug Administration (FDA), regardless of vaccination status, </w:t>
      </w:r>
      <w:r w:rsidR="007D62DA" w:rsidRPr="008365F9">
        <w:t>are eligible to receive therapeutics for mild</w:t>
      </w:r>
      <w:r w:rsidR="001660E3" w:rsidRPr="008365F9">
        <w:t>-</w:t>
      </w:r>
      <w:r w:rsidR="007D62DA" w:rsidRPr="008365F9">
        <w:t>to</w:t>
      </w:r>
      <w:r w:rsidR="001660E3" w:rsidRPr="008365F9">
        <w:t>-</w:t>
      </w:r>
      <w:r w:rsidR="007D62DA" w:rsidRPr="008365F9">
        <w:t>moderate COVID-19</w:t>
      </w:r>
      <w:r w:rsidR="00C72481" w:rsidRPr="008365F9">
        <w:t>.</w:t>
      </w:r>
    </w:p>
    <w:p w14:paraId="5D2353C3" w14:textId="0613A46B" w:rsidR="008300FB" w:rsidRDefault="000A3A34" w:rsidP="00DE2B15">
      <w:r>
        <w:t xml:space="preserve"> </w:t>
      </w:r>
    </w:p>
    <w:p w14:paraId="40D00CB8" w14:textId="103C2285" w:rsidR="00DE2B15" w:rsidRDefault="008300FB" w:rsidP="00DE2B15">
      <w:bookmarkStart w:id="2" w:name="_Hlk95898841"/>
      <w:r>
        <w:rPr>
          <w:b/>
          <w:bCs/>
        </w:rPr>
        <w:t>P</w:t>
      </w:r>
      <w:r w:rsidR="00D35DAD" w:rsidRPr="008300FB">
        <w:rPr>
          <w:b/>
          <w:bCs/>
        </w:rPr>
        <w:t xml:space="preserve">roviders </w:t>
      </w:r>
      <w:r>
        <w:rPr>
          <w:b/>
          <w:bCs/>
        </w:rPr>
        <w:t xml:space="preserve">must </w:t>
      </w:r>
      <w:r w:rsidR="00D35DAD" w:rsidRPr="008300FB">
        <w:rPr>
          <w:b/>
          <w:bCs/>
        </w:rPr>
        <w:t xml:space="preserve">ensure </w:t>
      </w:r>
      <w:r>
        <w:rPr>
          <w:b/>
          <w:bCs/>
        </w:rPr>
        <w:t xml:space="preserve">that </w:t>
      </w:r>
      <w:r w:rsidR="0045159B" w:rsidRPr="008300FB">
        <w:rPr>
          <w:b/>
          <w:bCs/>
        </w:rPr>
        <w:t>eligible patients</w:t>
      </w:r>
      <w:r w:rsidR="00484170">
        <w:rPr>
          <w:b/>
          <w:bCs/>
        </w:rPr>
        <w:t xml:space="preserve"> </w:t>
      </w:r>
      <w:r w:rsidR="0045159B" w:rsidRPr="008300FB">
        <w:rPr>
          <w:b/>
          <w:bCs/>
        </w:rPr>
        <w:t xml:space="preserve">have </w:t>
      </w:r>
      <w:r w:rsidR="00D35DAD" w:rsidRPr="008300FB">
        <w:rPr>
          <w:b/>
          <w:bCs/>
        </w:rPr>
        <w:t>access to</w:t>
      </w:r>
      <w:r w:rsidR="00C72481" w:rsidRPr="008300FB">
        <w:rPr>
          <w:b/>
          <w:bCs/>
        </w:rPr>
        <w:t xml:space="preserve"> and receive these critical and available</w:t>
      </w:r>
      <w:r w:rsidR="00D35DAD" w:rsidRPr="008300FB">
        <w:rPr>
          <w:b/>
          <w:bCs/>
        </w:rPr>
        <w:t xml:space="preserve"> therapies.</w:t>
      </w:r>
      <w:r w:rsidR="00171C3B">
        <w:rPr>
          <w:b/>
          <w:bCs/>
        </w:rPr>
        <w:t xml:space="preserve"> Treatments are available widely. </w:t>
      </w:r>
      <w:r w:rsidR="00171C3B" w:rsidRPr="00171C3B">
        <w:rPr>
          <w:b/>
          <w:bCs/>
        </w:rPr>
        <w:t>Use the</w:t>
      </w:r>
      <w:hyperlink r:id="rId13" w:history="1">
        <w:r w:rsidR="00171C3B" w:rsidRPr="00C664BF">
          <w:rPr>
            <w:rStyle w:val="Hyperlink"/>
            <w:b/>
            <w:bCs/>
          </w:rPr>
          <w:t xml:space="preserve"> </w:t>
        </w:r>
        <w:r w:rsidR="00C664BF" w:rsidRPr="00C664BF">
          <w:rPr>
            <w:rStyle w:val="Hyperlink"/>
            <w:b/>
            <w:bCs/>
          </w:rPr>
          <w:t>COVID-19 Therapeutics Locator</w:t>
        </w:r>
      </w:hyperlink>
      <w:r w:rsidR="00171C3B" w:rsidRPr="00171C3B">
        <w:rPr>
          <w:b/>
          <w:bCs/>
        </w:rPr>
        <w:t xml:space="preserve"> to connect patients to locations near them.  </w:t>
      </w:r>
    </w:p>
    <w:p w14:paraId="1BF4E874" w14:textId="77777777" w:rsidR="008228B0" w:rsidRDefault="008228B0" w:rsidP="004C47C5">
      <w:pPr>
        <w:rPr>
          <w:b/>
          <w:bCs/>
          <w:u w:val="single"/>
        </w:rPr>
      </w:pPr>
    </w:p>
    <w:p w14:paraId="48EFE46C" w14:textId="6DE59794" w:rsidR="004C47C5" w:rsidRPr="00D0578F" w:rsidRDefault="004C47C5" w:rsidP="004C47C5">
      <w:pPr>
        <w:rPr>
          <w:b/>
          <w:bCs/>
          <w:u w:val="single"/>
        </w:rPr>
      </w:pPr>
      <w:r w:rsidRPr="00D0578F">
        <w:rPr>
          <w:b/>
          <w:bCs/>
          <w:u w:val="single"/>
        </w:rPr>
        <w:t xml:space="preserve">Treatment of COVID-19 with oral antiviral therapy </w:t>
      </w:r>
    </w:p>
    <w:p w14:paraId="361AD7AE" w14:textId="77777777" w:rsidR="004C47C5" w:rsidRPr="00D0578F" w:rsidRDefault="004C47C5" w:rsidP="004C47C5"/>
    <w:p w14:paraId="3ED0FCE3" w14:textId="6A47C88C" w:rsidR="004C47C5" w:rsidRPr="00D0578F" w:rsidRDefault="004C47C5" w:rsidP="004C47C5">
      <w:r w:rsidRPr="00D0578F">
        <w:lastRenderedPageBreak/>
        <w:t xml:space="preserve">The oral antiviral therapy </w:t>
      </w:r>
      <w:hyperlink r:id="rId14" w:history="1">
        <w:proofErr w:type="spellStart"/>
        <w:r w:rsidRPr="00D0578F">
          <w:rPr>
            <w:rStyle w:val="Hyperlink"/>
          </w:rPr>
          <w:t>nirmatrelvir</w:t>
        </w:r>
        <w:proofErr w:type="spellEnd"/>
        <w:r w:rsidRPr="00D0578F">
          <w:rPr>
            <w:rStyle w:val="Hyperlink"/>
          </w:rPr>
          <w:t xml:space="preserve"> co-packaged with ritonavir (PAXLOVID)</w:t>
        </w:r>
      </w:hyperlink>
      <w:r w:rsidRPr="00D0578F">
        <w:t xml:space="preserve"> is available under FDA EUA for the treatment of mild-to-moderate COVID-19 in adult and pediatric patients (12 years of age and older and weighing at least 40 kg).  </w:t>
      </w:r>
      <w:r w:rsidR="00313F66">
        <w:t>This drug is expected to retain activity against all known variants of SARS-CoV-2.</w:t>
      </w:r>
    </w:p>
    <w:p w14:paraId="72825FA9" w14:textId="77777777" w:rsidR="004C47C5" w:rsidRPr="00D0578F" w:rsidRDefault="004C47C5" w:rsidP="004C47C5"/>
    <w:p w14:paraId="0E9CD660" w14:textId="77777777" w:rsidR="004C47C5" w:rsidRPr="00D0578F" w:rsidRDefault="004C47C5" w:rsidP="004C47C5">
      <w:proofErr w:type="spellStart"/>
      <w:r w:rsidRPr="00D0578F">
        <w:t>Nirmatrelvir</w:t>
      </w:r>
      <w:proofErr w:type="spellEnd"/>
      <w:r w:rsidRPr="00D0578F">
        <w:t xml:space="preserve"> is a protease inhibitor antiviral agent with activity against SARS-CoV-2. It is co-packaged with ritonavir, an HIV protease inhibitor used to increase </w:t>
      </w:r>
      <w:proofErr w:type="spellStart"/>
      <w:r w:rsidRPr="00D0578F">
        <w:t>nirmatrelvir</w:t>
      </w:r>
      <w:proofErr w:type="spellEnd"/>
      <w:r w:rsidRPr="00D0578F">
        <w:t xml:space="preserve"> plasma concentrations. Clinical trials have shown </w:t>
      </w:r>
      <w:proofErr w:type="spellStart"/>
      <w:r w:rsidRPr="00D0578F">
        <w:t>nirmatrelvir</w:t>
      </w:r>
      <w:proofErr w:type="spellEnd"/>
      <w:r w:rsidRPr="00D0578F">
        <w:t xml:space="preserve"> boosted with ritonavir (</w:t>
      </w:r>
      <w:proofErr w:type="spellStart"/>
      <w:r w:rsidRPr="00D0578F">
        <w:t>nirmatrelvir</w:t>
      </w:r>
      <w:proofErr w:type="spellEnd"/>
      <w:r w:rsidRPr="00D0578F">
        <w:t>/r) reduced the risk of COVID-19 related hospitalization or death by 89% compared to placebo in individuals with mild-to-moderate COVID-19 when given within five days of symptom onset.</w:t>
      </w:r>
    </w:p>
    <w:p w14:paraId="11DBD067" w14:textId="77777777" w:rsidR="00043182" w:rsidRDefault="00043182" w:rsidP="004C47C5"/>
    <w:p w14:paraId="67BBC254" w14:textId="7C13777C" w:rsidR="004C47C5" w:rsidRPr="00D0578F" w:rsidRDefault="004C47C5" w:rsidP="004C47C5">
      <w:r w:rsidRPr="00D0578F">
        <w:t xml:space="preserve">Based on FDA approval, </w:t>
      </w:r>
      <w:proofErr w:type="spellStart"/>
      <w:r w:rsidRPr="00D0578F">
        <w:t>nirmatrelvir</w:t>
      </w:r>
      <w:proofErr w:type="spellEnd"/>
      <w:r w:rsidRPr="00D0578F">
        <w:t xml:space="preserve">/r is indicated for treatment of COVID-19 in individuals who meet the following two criteria: </w:t>
      </w:r>
    </w:p>
    <w:p w14:paraId="291B03FB" w14:textId="77777777" w:rsidR="004C47C5" w:rsidRPr="00D0578F" w:rsidRDefault="004C47C5" w:rsidP="004C47C5"/>
    <w:p w14:paraId="0C748A81" w14:textId="77777777" w:rsidR="004C47C5" w:rsidRPr="00D0578F" w:rsidRDefault="004C47C5" w:rsidP="004C47C5">
      <w:pPr>
        <w:numPr>
          <w:ilvl w:val="0"/>
          <w:numId w:val="3"/>
        </w:numPr>
      </w:pPr>
      <w:r w:rsidRPr="00D0578F">
        <w:t>Individuals who have mild-to-moderate COVID-19 and a positive viral direct SARS-CoV-2 viral test (molecular or antigen)</w:t>
      </w:r>
    </w:p>
    <w:p w14:paraId="6DF233ED" w14:textId="77777777" w:rsidR="004C47C5" w:rsidRPr="00D0578F" w:rsidRDefault="004C47C5" w:rsidP="004C47C5">
      <w:pPr>
        <w:numPr>
          <w:ilvl w:val="0"/>
          <w:numId w:val="3"/>
        </w:numPr>
      </w:pPr>
      <w:r w:rsidRPr="00D0578F">
        <w:t>Individuals who are at high risk for progression to severe COVID-19.</w:t>
      </w:r>
      <w:r w:rsidRPr="00D0578F">
        <w:rPr>
          <w:vertAlign w:val="superscript"/>
        </w:rPr>
        <w:t>1</w:t>
      </w:r>
    </w:p>
    <w:p w14:paraId="7FBF0CB8" w14:textId="77777777" w:rsidR="004C47C5" w:rsidRPr="00D0578F" w:rsidRDefault="004C47C5" w:rsidP="004C47C5"/>
    <w:p w14:paraId="5F57F856" w14:textId="77777777" w:rsidR="004C47C5" w:rsidRPr="00D0578F" w:rsidRDefault="004C47C5" w:rsidP="004C47C5">
      <w:proofErr w:type="spellStart"/>
      <w:r w:rsidRPr="00D0578F">
        <w:t>Nirmatrelvir</w:t>
      </w:r>
      <w:proofErr w:type="spellEnd"/>
      <w:r w:rsidRPr="00D0578F">
        <w:t>/r should be taken as soon as possible after the diagnosis of COVID-19, and within five days of symptom onset.</w:t>
      </w:r>
    </w:p>
    <w:p w14:paraId="4CDEE112" w14:textId="77777777" w:rsidR="004C47C5" w:rsidRPr="00D0578F" w:rsidRDefault="004C47C5" w:rsidP="004C47C5">
      <w:r w:rsidRPr="00D0578F">
        <w:br/>
      </w:r>
      <w:proofErr w:type="spellStart"/>
      <w:r w:rsidRPr="00D0578F">
        <w:t>Nirmatrelvir</w:t>
      </w:r>
      <w:proofErr w:type="spellEnd"/>
      <w:r w:rsidRPr="00D0578F">
        <w:t>/r is not authorized for treatment in patients requiring hospitalization due to COVID-19, pre-</w:t>
      </w:r>
      <w:proofErr w:type="gramStart"/>
      <w:r w:rsidRPr="00D0578F">
        <w:t>exposure</w:t>
      </w:r>
      <w:proofErr w:type="gramEnd"/>
      <w:r w:rsidRPr="00D0578F">
        <w:t xml:space="preserve"> or post-exposure prophylaxis or for use longer than five consecutive days. </w:t>
      </w:r>
    </w:p>
    <w:p w14:paraId="1D6D439C" w14:textId="77777777" w:rsidR="004C47C5" w:rsidRPr="00D0578F" w:rsidRDefault="004C47C5" w:rsidP="004C47C5"/>
    <w:p w14:paraId="03C789DF" w14:textId="77777777" w:rsidR="004C47C5" w:rsidRPr="00D0578F" w:rsidRDefault="004C47C5" w:rsidP="004C47C5">
      <w:r w:rsidRPr="00D0578F">
        <w:t xml:space="preserve">The dose of </w:t>
      </w:r>
      <w:proofErr w:type="spellStart"/>
      <w:r w:rsidRPr="00D0578F">
        <w:t>nirmatrelvir</w:t>
      </w:r>
      <w:proofErr w:type="spellEnd"/>
      <w:r w:rsidRPr="00D0578F">
        <w:t xml:space="preserve">/r is 300 mg of </w:t>
      </w:r>
      <w:proofErr w:type="spellStart"/>
      <w:r w:rsidRPr="00D0578F">
        <w:t>nirmatrelvir</w:t>
      </w:r>
      <w:proofErr w:type="spellEnd"/>
      <w:r w:rsidRPr="00D0578F">
        <w:t xml:space="preserve"> with 100 mg of ritonavir twice daily for five days. A single five-day course will be dispensed at one time in a blister pack.  </w:t>
      </w:r>
      <w:proofErr w:type="spellStart"/>
      <w:r w:rsidRPr="00D0578F">
        <w:t>Nirmatrelvir</w:t>
      </w:r>
      <w:proofErr w:type="spellEnd"/>
      <w:r w:rsidRPr="00D0578F">
        <w:t xml:space="preserve">/r should be avoided in individuals on medications not compatible with protease inhibitors or that cannot be temporarily held. </w:t>
      </w:r>
      <w:proofErr w:type="spellStart"/>
      <w:r w:rsidRPr="00D0578F">
        <w:t>Nirmatrelvir</w:t>
      </w:r>
      <w:proofErr w:type="spellEnd"/>
      <w:r w:rsidRPr="00D0578F">
        <w:t xml:space="preserve">/r dose should be reduced for moderate renal impairment (eGFR ≥30 to &lt; 60 mL/min). </w:t>
      </w:r>
      <w:proofErr w:type="spellStart"/>
      <w:r w:rsidRPr="00D0578F">
        <w:t>Nirmatrelvir</w:t>
      </w:r>
      <w:proofErr w:type="spellEnd"/>
      <w:r w:rsidRPr="00D0578F">
        <w:t>/r is not recommended in patients with severe renal impairment (eGFR &lt; 30 mL/min) or severe hepatic impairment (Child-Pugh Class C).</w:t>
      </w:r>
    </w:p>
    <w:p w14:paraId="1552767B" w14:textId="5605229B" w:rsidR="004C47C5" w:rsidRPr="00D0578F" w:rsidRDefault="004C47C5" w:rsidP="004C47C5"/>
    <w:p w14:paraId="17980003" w14:textId="77777777" w:rsidR="004C47C5" w:rsidRPr="00D0578F" w:rsidRDefault="004C47C5" w:rsidP="004C47C5">
      <w:r w:rsidRPr="00D0578F">
        <w:t>A second oral antiviral therapy,</w:t>
      </w:r>
      <w:r w:rsidRPr="00D0578F" w:rsidDel="00C11D7A">
        <w:t xml:space="preserve"> </w:t>
      </w:r>
      <w:hyperlink r:id="rId15" w:history="1">
        <w:proofErr w:type="spellStart"/>
        <w:r w:rsidRPr="00D0578F">
          <w:rPr>
            <w:rStyle w:val="Hyperlink"/>
          </w:rPr>
          <w:t>molnupiravir</w:t>
        </w:r>
        <w:proofErr w:type="spellEnd"/>
      </w:hyperlink>
      <w:r w:rsidRPr="00D0578F">
        <w:rPr>
          <w:rStyle w:val="Hyperlink"/>
        </w:rPr>
        <w:t xml:space="preserve"> (LAGEVRIO)</w:t>
      </w:r>
      <w:r w:rsidRPr="00D0578F">
        <w:t xml:space="preserve">, is available under FDA EUA for the treatment of mild-to-moderate COVID-19 in adult patients.  </w:t>
      </w:r>
    </w:p>
    <w:p w14:paraId="3D4536D3" w14:textId="77777777" w:rsidR="004C47C5" w:rsidRPr="00D0578F" w:rsidRDefault="004C47C5" w:rsidP="004C47C5"/>
    <w:p w14:paraId="468D2E22" w14:textId="7B0A1072" w:rsidR="000A0167" w:rsidRPr="00D0578F" w:rsidRDefault="004C47C5" w:rsidP="000A0167">
      <w:proofErr w:type="spellStart"/>
      <w:r w:rsidRPr="00D0578F">
        <w:t>Molnupiravir</w:t>
      </w:r>
      <w:proofErr w:type="spellEnd"/>
      <w:r w:rsidRPr="00D0578F">
        <w:t xml:space="preserve"> is a nucleoside analog antiviral agent active against SARS-CoV-2. Clinical trials have shown </w:t>
      </w:r>
      <w:proofErr w:type="spellStart"/>
      <w:r w:rsidRPr="00D0578F">
        <w:t>molnupiravir</w:t>
      </w:r>
      <w:proofErr w:type="spellEnd"/>
      <w:r w:rsidRPr="00D0578F">
        <w:t xml:space="preserve"> to reduce severe disease by 30% compared to placebo in individuals with mild-to-moderate COVID-19 when given within 5 days of symptom onset.</w:t>
      </w:r>
      <w:r w:rsidR="000A0167">
        <w:t xml:space="preserve"> This drug is expected to retain activity against all known variants of SARS-CoV-2.</w:t>
      </w:r>
    </w:p>
    <w:p w14:paraId="1377A400" w14:textId="77777777" w:rsidR="004C47C5" w:rsidRPr="00D0578F" w:rsidRDefault="004C47C5" w:rsidP="004C47C5"/>
    <w:p w14:paraId="6FDB406E" w14:textId="77777777" w:rsidR="004C47C5" w:rsidRPr="00D0578F" w:rsidRDefault="004C47C5" w:rsidP="004C47C5">
      <w:proofErr w:type="spellStart"/>
      <w:r w:rsidRPr="00D0578F">
        <w:t>Molnupiravir</w:t>
      </w:r>
      <w:proofErr w:type="spellEnd"/>
      <w:r w:rsidRPr="00D0578F">
        <w:t xml:space="preserve"> is indicated for treatment of COVID-19 in individuals who meet the following three criteria: </w:t>
      </w:r>
    </w:p>
    <w:p w14:paraId="44EFDBF1" w14:textId="77777777" w:rsidR="004C47C5" w:rsidRPr="00D0578F" w:rsidRDefault="004C47C5" w:rsidP="004C47C5">
      <w:pPr>
        <w:numPr>
          <w:ilvl w:val="0"/>
          <w:numId w:val="6"/>
        </w:numPr>
      </w:pPr>
      <w:r w:rsidRPr="00D0578F">
        <w:t>Individuals who have mild-to-moderate COVID-19 and a positive viral direct SARS-CoV-2 viral test (molecular or antigen)</w:t>
      </w:r>
    </w:p>
    <w:p w14:paraId="40D57DEC" w14:textId="77777777" w:rsidR="004C47C5" w:rsidRPr="00D0578F" w:rsidRDefault="004C47C5" w:rsidP="004C47C5">
      <w:pPr>
        <w:numPr>
          <w:ilvl w:val="0"/>
          <w:numId w:val="6"/>
        </w:numPr>
      </w:pPr>
      <w:r w:rsidRPr="00D0578F">
        <w:t>Individuals who are at high risk for progression to severe COVID-19.</w:t>
      </w:r>
      <w:r w:rsidRPr="00D0578F">
        <w:rPr>
          <w:vertAlign w:val="superscript"/>
        </w:rPr>
        <w:t>1</w:t>
      </w:r>
    </w:p>
    <w:p w14:paraId="7CC93801" w14:textId="38EAF443" w:rsidR="00313F66" w:rsidRPr="00D0578F" w:rsidRDefault="004C47C5" w:rsidP="00313F66">
      <w:pPr>
        <w:numPr>
          <w:ilvl w:val="0"/>
          <w:numId w:val="6"/>
        </w:numPr>
      </w:pPr>
      <w:r w:rsidRPr="00D0578F">
        <w:t xml:space="preserve">Individuals for whom alternative COVID-19 treatment options authorized by FDA are not accessible or clinically appropriate. </w:t>
      </w:r>
    </w:p>
    <w:p w14:paraId="6D3A27BE" w14:textId="38EAF443" w:rsidR="004C47C5" w:rsidRPr="00D0578F" w:rsidRDefault="004C47C5" w:rsidP="004C47C5">
      <w:pPr>
        <w:ind w:left="720"/>
      </w:pPr>
    </w:p>
    <w:p w14:paraId="6B1394A3" w14:textId="77777777" w:rsidR="004C47C5" w:rsidRPr="00D0578F" w:rsidRDefault="004C47C5" w:rsidP="004C47C5">
      <w:proofErr w:type="spellStart"/>
      <w:r w:rsidRPr="00D0578F">
        <w:t>Molnupiravir</w:t>
      </w:r>
      <w:proofErr w:type="spellEnd"/>
      <w:r w:rsidRPr="00D0578F">
        <w:t xml:space="preserve"> should be taken as soon as possible following a diagnosis of COVID-19, and within five days of symptom onset.</w:t>
      </w:r>
    </w:p>
    <w:p w14:paraId="693A31B7" w14:textId="77777777" w:rsidR="004C47C5" w:rsidRPr="00D0578F" w:rsidRDefault="004C47C5" w:rsidP="004C47C5"/>
    <w:p w14:paraId="78922719" w14:textId="77777777" w:rsidR="004C47C5" w:rsidRPr="00D0578F" w:rsidRDefault="004C47C5" w:rsidP="004C47C5">
      <w:proofErr w:type="spellStart"/>
      <w:r w:rsidRPr="00D0578F">
        <w:t>Molnupiravir</w:t>
      </w:r>
      <w:proofErr w:type="spellEnd"/>
      <w:r w:rsidRPr="00D0578F">
        <w:t xml:space="preserve"> is not authorized for treatment in patients less than 18 years of age, patients requiring hospitalization due to COVID-19, as pre-exposure or post-exposure prophylaxis or for use longer than five consecutive days. </w:t>
      </w:r>
    </w:p>
    <w:p w14:paraId="19F2E052" w14:textId="77777777" w:rsidR="004C47C5" w:rsidRPr="00D0578F" w:rsidRDefault="004C47C5" w:rsidP="004C47C5"/>
    <w:p w14:paraId="1594758B" w14:textId="046DD166" w:rsidR="004C47C5" w:rsidRDefault="004C47C5" w:rsidP="004C47C5">
      <w:r w:rsidRPr="00D0578F">
        <w:t xml:space="preserve">The dose of </w:t>
      </w:r>
      <w:proofErr w:type="spellStart"/>
      <w:r w:rsidRPr="00D0578F">
        <w:t>molnupiravir</w:t>
      </w:r>
      <w:proofErr w:type="spellEnd"/>
      <w:r w:rsidRPr="00D0578F">
        <w:t xml:space="preserve"> is 800 mg (four 200 mg capsules) twice daily for five days. A single course of 40 pills will be dispensed at one time. </w:t>
      </w:r>
    </w:p>
    <w:p w14:paraId="0406FA8B" w14:textId="77777777" w:rsidR="00AA545C" w:rsidRPr="00D0578F" w:rsidRDefault="00AA545C" w:rsidP="004C47C5"/>
    <w:p w14:paraId="4B06FFD7" w14:textId="77777777" w:rsidR="004C47C5" w:rsidRPr="00D0578F" w:rsidRDefault="004C47C5" w:rsidP="004C47C5">
      <w:r w:rsidRPr="00D0578F">
        <w:t xml:space="preserve">The use of </w:t>
      </w:r>
      <w:proofErr w:type="spellStart"/>
      <w:r w:rsidRPr="00D0578F">
        <w:t>molnupiravir</w:t>
      </w:r>
      <w:proofErr w:type="spellEnd"/>
      <w:r w:rsidRPr="00D0578F">
        <w:t xml:space="preserve"> is not recommended during pregnancy. Individuals of childbearing potential should be advised to use effective contraception correctly and consistently, as applicable, for the duration of treatment and for four days after the last dose of </w:t>
      </w:r>
      <w:proofErr w:type="spellStart"/>
      <w:r w:rsidRPr="00D0578F">
        <w:t>molnupiravir</w:t>
      </w:r>
      <w:proofErr w:type="spellEnd"/>
      <w:r w:rsidRPr="00D0578F">
        <w:t xml:space="preserve">. Breastfeeding is not recommended during treatment and for four days after the last dose of </w:t>
      </w:r>
      <w:proofErr w:type="spellStart"/>
      <w:r w:rsidRPr="00D0578F">
        <w:t>molnupiravir</w:t>
      </w:r>
      <w:proofErr w:type="spellEnd"/>
      <w:r w:rsidRPr="00D0578F">
        <w:t xml:space="preserve">. A lactating individual may consider interrupting breastfeeding and pumping and discarding breast milk during treatment and for four days after the last dose of </w:t>
      </w:r>
      <w:proofErr w:type="spellStart"/>
      <w:r w:rsidRPr="00D0578F">
        <w:t>molnupiravir</w:t>
      </w:r>
      <w:proofErr w:type="spellEnd"/>
      <w:r w:rsidRPr="00D0578F">
        <w:t xml:space="preserve">. Sexually active male individuals with partners of childbearing potential should be advised to use a reliable method of contraception correctly and consistently during treatment and for at least 3 months after the last dose of </w:t>
      </w:r>
      <w:proofErr w:type="spellStart"/>
      <w:r w:rsidRPr="00D0578F">
        <w:t>molnupiravir</w:t>
      </w:r>
      <w:proofErr w:type="spellEnd"/>
      <w:r w:rsidRPr="00D0578F">
        <w:t>.</w:t>
      </w:r>
    </w:p>
    <w:p w14:paraId="6691AFB3" w14:textId="77777777" w:rsidR="004C47C5" w:rsidRPr="00D0578F" w:rsidRDefault="004C47C5" w:rsidP="004C47C5"/>
    <w:p w14:paraId="545ADEC0" w14:textId="0874C95F" w:rsidR="004C47C5" w:rsidRPr="008365F9" w:rsidRDefault="004C47C5" w:rsidP="00DE2B15">
      <w:r w:rsidRPr="00D0578F">
        <w:t xml:space="preserve">Prescribers of </w:t>
      </w:r>
      <w:proofErr w:type="spellStart"/>
      <w:r w:rsidRPr="00D0578F">
        <w:t>nirmatrelvir</w:t>
      </w:r>
      <w:proofErr w:type="spellEnd"/>
      <w:r w:rsidRPr="00D0578F">
        <w:t xml:space="preserve">/r or </w:t>
      </w:r>
      <w:proofErr w:type="spellStart"/>
      <w:r w:rsidRPr="00D0578F">
        <w:t>molnupiravir</w:t>
      </w:r>
      <w:proofErr w:type="spellEnd"/>
      <w:r w:rsidRPr="00D0578F">
        <w:t xml:space="preserve"> must comply with the conditions of any EUA which is issued, and particularly should discuss potential risks and benefits of oral antiviral therapy with their patients prior to prescribing.</w:t>
      </w:r>
    </w:p>
    <w:bookmarkEnd w:id="2"/>
    <w:p w14:paraId="0884B6DB" w14:textId="533BBB8D" w:rsidR="00DE2B15" w:rsidRDefault="00DE2B15" w:rsidP="00DE2B15">
      <w:pPr>
        <w:rPr>
          <w:u w:val="single"/>
        </w:rPr>
      </w:pPr>
    </w:p>
    <w:p w14:paraId="7A11344F" w14:textId="77777777" w:rsidR="00A768A7" w:rsidRPr="00D0578F" w:rsidRDefault="00A768A7" w:rsidP="00A768A7">
      <w:pPr>
        <w:rPr>
          <w:b/>
          <w:bCs/>
          <w:u w:val="single"/>
        </w:rPr>
      </w:pPr>
      <w:r w:rsidRPr="00D0578F">
        <w:rPr>
          <w:b/>
          <w:bCs/>
          <w:u w:val="single"/>
        </w:rPr>
        <w:t>Treatment of COVID-19 with remdesivir</w:t>
      </w:r>
    </w:p>
    <w:p w14:paraId="0110AF11" w14:textId="77777777" w:rsidR="00A768A7" w:rsidRPr="00D0578F" w:rsidRDefault="00A768A7" w:rsidP="00A768A7">
      <w:pPr>
        <w:rPr>
          <w:b/>
          <w:bCs/>
          <w:u w:val="single"/>
        </w:rPr>
      </w:pPr>
    </w:p>
    <w:p w14:paraId="7818D618" w14:textId="77777777" w:rsidR="00A768A7" w:rsidRPr="00D0578F" w:rsidRDefault="00F5621A" w:rsidP="00A768A7">
      <w:hyperlink r:id="rId16" w:history="1">
        <w:r w:rsidR="00A768A7" w:rsidRPr="00D0578F">
          <w:rPr>
            <w:rStyle w:val="Hyperlink"/>
          </w:rPr>
          <w:t>Remdesivir (VEKLURY)</w:t>
        </w:r>
      </w:hyperlink>
      <w:r w:rsidR="00A768A7" w:rsidRPr="00D0578F">
        <w:t xml:space="preserve"> is an FDA-approved antiviral therapy for use in adult and pediatric patients (12 years of age and older and weighing at least 40 kg) for the treatment of COVID-19 requiring hospitalization and in outpatients with mild-to-moderate COVID-19 within seven days of symptom onset in patients at risk of progression to severe disease. The FDA has also issued an EUA to permit the use of remdesivir for the treatment of COVID-19 in pediatric patients weighing 3.5 kg to less than 40 kg or pediatric patients less than 12 years of age weighing at least 3.5 kg who are hospitalized or not hospitalized and have mild-to-moderate COVID-19 with risk factors for progression to severe disease.</w:t>
      </w:r>
    </w:p>
    <w:p w14:paraId="6BDA5C64" w14:textId="77777777" w:rsidR="00A768A7" w:rsidRPr="00D0578F" w:rsidRDefault="00A768A7" w:rsidP="00A768A7"/>
    <w:p w14:paraId="33174F81" w14:textId="77777777" w:rsidR="00A768A7" w:rsidRPr="00D0578F" w:rsidRDefault="00A768A7" w:rsidP="00A768A7">
      <w:r w:rsidRPr="00D0578F">
        <w:t xml:space="preserve">For non-hospitalized adult and pediatric patients 12 years of age and older and weighing at least 40 kg, remdesivir is administered through a series of three daily intravenous infusions (200 mg, 100 mg, 100 mg). See the </w:t>
      </w:r>
      <w:hyperlink r:id="rId17" w:history="1">
        <w:r w:rsidRPr="00D0578F">
          <w:rPr>
            <w:rStyle w:val="Hyperlink"/>
          </w:rPr>
          <w:t>EUA Fact Sheet</w:t>
        </w:r>
      </w:hyperlink>
      <w:r w:rsidRPr="00D0578F">
        <w:t xml:space="preserve"> for information on dosing for pediatric patients weighing 3.5 kg to less than 40 kg or pediatric patients less than 12 years of age weighing at least 3.5 kg.</w:t>
      </w:r>
    </w:p>
    <w:p w14:paraId="2051E65A" w14:textId="77777777" w:rsidR="00A768A7" w:rsidRPr="00D0578F" w:rsidRDefault="00A768A7" w:rsidP="00A768A7"/>
    <w:p w14:paraId="00FEC00C" w14:textId="77777777" w:rsidR="00A768A7" w:rsidRPr="00D0578F" w:rsidRDefault="00A768A7" w:rsidP="00A768A7">
      <w:r w:rsidRPr="00D0578F">
        <w:t xml:space="preserve">Remdesivir decreased the risk of severe COVID-19 by 87% in clinical trials. </w:t>
      </w:r>
    </w:p>
    <w:p w14:paraId="481A4C6C" w14:textId="77777777" w:rsidR="00A768A7" w:rsidRPr="00D0578F" w:rsidRDefault="00A768A7" w:rsidP="00A768A7"/>
    <w:p w14:paraId="33F2B0B1" w14:textId="21BC995F" w:rsidR="00A768A7" w:rsidRPr="00D0578F" w:rsidRDefault="00A768A7" w:rsidP="00A768A7">
      <w:pPr>
        <w:rPr>
          <w:b/>
          <w:u w:val="single"/>
        </w:rPr>
      </w:pPr>
      <w:r w:rsidRPr="00D0578F">
        <w:t>Remdesivir is expected to retain activity against the Omicron variant</w:t>
      </w:r>
      <w:r>
        <w:t>, including the BA.2 subvariant</w:t>
      </w:r>
      <w:r w:rsidRPr="00D0578F">
        <w:t xml:space="preserve">. </w:t>
      </w:r>
    </w:p>
    <w:p w14:paraId="3596ED0F" w14:textId="77777777" w:rsidR="00A768A7" w:rsidRPr="00D0578F" w:rsidRDefault="00A768A7" w:rsidP="00DE2B15">
      <w:pPr>
        <w:rPr>
          <w:u w:val="single"/>
        </w:rPr>
      </w:pPr>
    </w:p>
    <w:p w14:paraId="66679206" w14:textId="77777777" w:rsidR="00DE2B15" w:rsidRPr="00D0578F" w:rsidRDefault="00DE2B15" w:rsidP="00DE2B15">
      <w:pPr>
        <w:rPr>
          <w:b/>
          <w:bCs/>
          <w:u w:val="single"/>
        </w:rPr>
      </w:pPr>
      <w:r w:rsidRPr="00D0578F">
        <w:rPr>
          <w:b/>
          <w:bCs/>
          <w:u w:val="single"/>
        </w:rPr>
        <w:t>Treatment of COVID-19 with monoclonal antibody therapy</w:t>
      </w:r>
    </w:p>
    <w:p w14:paraId="2E59DF4D" w14:textId="77777777" w:rsidR="00DE2B15" w:rsidRPr="00D0578F" w:rsidRDefault="00DE2B15" w:rsidP="00DE2B15"/>
    <w:p w14:paraId="48D84EC2" w14:textId="09B549F2" w:rsidR="00DE2B15" w:rsidRPr="00D0578F" w:rsidRDefault="00C664BF" w:rsidP="00DE2B15">
      <w:hyperlink r:id="rId18" w:history="1">
        <w:proofErr w:type="spellStart"/>
        <w:r w:rsidR="009741CE" w:rsidRPr="00C664BF">
          <w:rPr>
            <w:rStyle w:val="Hyperlink"/>
          </w:rPr>
          <w:t>Bebtelovimab</w:t>
        </w:r>
        <w:proofErr w:type="spellEnd"/>
      </w:hyperlink>
      <w:r w:rsidR="009741CE">
        <w:t xml:space="preserve"> is </w:t>
      </w:r>
      <w:r w:rsidR="00360D4A">
        <w:t xml:space="preserve">the </w:t>
      </w:r>
      <w:r w:rsidR="009741CE">
        <w:t xml:space="preserve">only </w:t>
      </w:r>
      <w:r w:rsidR="00DE2B15" w:rsidRPr="00D0578F">
        <w:t xml:space="preserve">anti-SARS-CoV-2 monoclonal </w:t>
      </w:r>
      <w:r w:rsidR="00FA38D7" w:rsidRPr="00D0578F">
        <w:t xml:space="preserve">antibody </w:t>
      </w:r>
      <w:r w:rsidR="00DE2B15" w:rsidRPr="00D0578F">
        <w:t>therap</w:t>
      </w:r>
      <w:r w:rsidR="009741CE">
        <w:t>y currently authorized</w:t>
      </w:r>
      <w:r w:rsidR="00DE2B15" w:rsidRPr="00D0578F">
        <w:t xml:space="preserve"> for treatment of COVID-19 pursuant to Emergency Use Authorization (EUA) from the Food and Drug Administration (FDA)</w:t>
      </w:r>
      <w:r w:rsidR="009741CE">
        <w:t>.</w:t>
      </w:r>
    </w:p>
    <w:p w14:paraId="2D5254C0" w14:textId="77777777" w:rsidR="00DE2B15" w:rsidRPr="00D0578F" w:rsidRDefault="00DE2B15" w:rsidP="00DE2B15"/>
    <w:p w14:paraId="4A8A0F48" w14:textId="7BC570A6" w:rsidR="00DE2B15" w:rsidRPr="00D0578F" w:rsidRDefault="00100353" w:rsidP="00DE2B15">
      <w:proofErr w:type="spellStart"/>
      <w:r>
        <w:t>B</w:t>
      </w:r>
      <w:r w:rsidR="003E51AF" w:rsidRPr="00D0578F">
        <w:t>ebtelovimab</w:t>
      </w:r>
      <w:proofErr w:type="spellEnd"/>
      <w:r w:rsidR="003E51AF" w:rsidRPr="00D0578F">
        <w:t xml:space="preserve"> </w:t>
      </w:r>
      <w:r>
        <w:t>is</w:t>
      </w:r>
      <w:r w:rsidR="00DE2B15" w:rsidRPr="00D0578F">
        <w:t xml:space="preserve"> </w:t>
      </w:r>
      <w:r w:rsidR="003E51AF" w:rsidRPr="00D0578F">
        <w:t xml:space="preserve">authorized </w:t>
      </w:r>
      <w:r w:rsidR="00DE2B15" w:rsidRPr="00D0578F">
        <w:t>for treatment of COVID-19 in adult and pediatric patients (12 years of age and older weighing at least 40 kg) who meet EUA criteria including:</w:t>
      </w:r>
    </w:p>
    <w:p w14:paraId="2D792C93" w14:textId="77777777" w:rsidR="00DE2B15" w:rsidRPr="00D0578F" w:rsidRDefault="00DE2B15" w:rsidP="00DE2B15"/>
    <w:p w14:paraId="1CAFE111" w14:textId="6448F8C0" w:rsidR="00DE2B15" w:rsidRDefault="00DE2B15" w:rsidP="00DE2B15">
      <w:pPr>
        <w:numPr>
          <w:ilvl w:val="0"/>
          <w:numId w:val="2"/>
        </w:numPr>
      </w:pPr>
      <w:r w:rsidRPr="00D0578F">
        <w:t>Individuals who have mild-to-moderate, symptomatic COVID-19, with at least one symptom including but not limited to fever, chills, body aches, new loss of taste or smell, nausea, vomiting, cough, sore throat, nasal congestion, runny nose, diarrhea, shortness of breath, headache</w:t>
      </w:r>
    </w:p>
    <w:p w14:paraId="2259FE9A" w14:textId="7054A490" w:rsidR="00DE2B15" w:rsidRDefault="006344CE" w:rsidP="00DE2B15">
      <w:pPr>
        <w:numPr>
          <w:ilvl w:val="0"/>
          <w:numId w:val="2"/>
        </w:numPr>
      </w:pPr>
      <w:r w:rsidRPr="00D0578F">
        <w:t>Individuals who have</w:t>
      </w:r>
      <w:r w:rsidR="00DE2B15" w:rsidRPr="00D0578F">
        <w:t xml:space="preserve"> received a positive COVID-19 test (antigen or molecular) </w:t>
      </w:r>
    </w:p>
    <w:p w14:paraId="0F380F78" w14:textId="637CAFD9" w:rsidR="007E784F" w:rsidRPr="00D0578F" w:rsidRDefault="00DE2B15" w:rsidP="00A551BF">
      <w:pPr>
        <w:numPr>
          <w:ilvl w:val="0"/>
          <w:numId w:val="2"/>
        </w:numPr>
      </w:pPr>
      <w:r w:rsidRPr="00D0578F">
        <w:t>Individuals who have at least one risk factor for progression to severe disease or death from COVID-19, including but not limited to age ≥ 65 years old, pregnancy, chronic kidney disease, diabetes, immunosuppressive disease, immunosuppressive treatment, cardiovascular disease, hypertension, chronic lung disease, sickle cell disease neurodevelopmental disorder, medical-related technological dependence, obesity BMI &gt; 25 or above 85</w:t>
      </w:r>
      <w:r w:rsidRPr="00D0578F">
        <w:rPr>
          <w:vertAlign w:val="superscript"/>
        </w:rPr>
        <w:t>th</w:t>
      </w:r>
      <w:r w:rsidRPr="00D0578F">
        <w:t xml:space="preserve"> percentile for age/gender), other medical conditions that place one at high risk for severe disease</w:t>
      </w:r>
      <w:r w:rsidRPr="00D0578F">
        <w:rPr>
          <w:rStyle w:val="FootnoteReference"/>
        </w:rPr>
        <w:footnoteReference w:id="2"/>
      </w:r>
    </w:p>
    <w:p w14:paraId="34C2F827" w14:textId="01B38CEA" w:rsidR="003E51AF" w:rsidRPr="00D0578F" w:rsidRDefault="003E51AF" w:rsidP="003E51AF">
      <w:pPr>
        <w:numPr>
          <w:ilvl w:val="0"/>
          <w:numId w:val="2"/>
        </w:numPr>
      </w:pPr>
      <w:proofErr w:type="spellStart"/>
      <w:r w:rsidRPr="00D0578F">
        <w:t>Bebtelovimab</w:t>
      </w:r>
      <w:proofErr w:type="spellEnd"/>
      <w:r w:rsidRPr="00D0578F">
        <w:t xml:space="preserve"> is authorized in individuals for whom alternative COVID-19 treatment options approved or authorized by FDA are not accessible or clinically appropriate</w:t>
      </w:r>
    </w:p>
    <w:p w14:paraId="1D2B8381" w14:textId="77777777" w:rsidR="00A5621F" w:rsidRPr="00D0578F" w:rsidRDefault="00A5621F" w:rsidP="00DE2B15"/>
    <w:p w14:paraId="6DE6E73A" w14:textId="073E2CEF" w:rsidR="00076BC9" w:rsidRPr="00D0578F" w:rsidRDefault="00FD0496" w:rsidP="00076BC9">
      <w:r>
        <w:rPr>
          <w:b/>
          <w:bCs/>
        </w:rPr>
        <w:t>In general, treatments for COVID-19</w:t>
      </w:r>
      <w:r w:rsidR="00076BC9">
        <w:rPr>
          <w:b/>
          <w:bCs/>
        </w:rPr>
        <w:t xml:space="preserve"> </w:t>
      </w:r>
      <w:r w:rsidR="00541227" w:rsidRPr="008365F9">
        <w:rPr>
          <w:b/>
          <w:bCs/>
        </w:rPr>
        <w:t>should be started as soon as possible after diagnosis of COVID-19</w:t>
      </w:r>
      <w:r w:rsidR="00541227" w:rsidRPr="00D0578F">
        <w:t xml:space="preserve">. </w:t>
      </w:r>
      <w:proofErr w:type="spellStart"/>
      <w:r w:rsidR="00100353">
        <w:t>B</w:t>
      </w:r>
      <w:r w:rsidR="008C6150">
        <w:t>ebtelovimab</w:t>
      </w:r>
      <w:proofErr w:type="spellEnd"/>
      <w:r w:rsidR="008C6150">
        <w:t xml:space="preserve"> </w:t>
      </w:r>
      <w:r w:rsidR="00100353">
        <w:t>is</w:t>
      </w:r>
      <w:r w:rsidR="008C6150">
        <w:t xml:space="preserve"> </w:t>
      </w:r>
      <w:r w:rsidR="00541227" w:rsidRPr="00D0578F">
        <w:t>authorized</w:t>
      </w:r>
      <w:r w:rsidR="006344CE" w:rsidRPr="00D0578F">
        <w:t xml:space="preserve"> </w:t>
      </w:r>
      <w:r w:rsidR="008C6150">
        <w:t xml:space="preserve">for treatment </w:t>
      </w:r>
      <w:r w:rsidR="006344CE" w:rsidRPr="00D0578F">
        <w:t xml:space="preserve">within the first </w:t>
      </w:r>
      <w:r w:rsidR="008C6150">
        <w:t>seven</w:t>
      </w:r>
      <w:r w:rsidR="008C6150" w:rsidRPr="00D0578F">
        <w:t xml:space="preserve"> </w:t>
      </w:r>
      <w:r w:rsidR="006344CE" w:rsidRPr="00D0578F">
        <w:t xml:space="preserve">days of COVID-19 symptom onset. </w:t>
      </w:r>
    </w:p>
    <w:p w14:paraId="2901D77A" w14:textId="3D347F83" w:rsidR="00DE2B15" w:rsidRPr="00D0578F" w:rsidRDefault="00DE2B15" w:rsidP="00DE2B15"/>
    <w:p w14:paraId="08E93E9C" w14:textId="774E87F1" w:rsidR="00DE2B15" w:rsidRPr="00D0578F" w:rsidRDefault="00DE2B15" w:rsidP="00DE2B15">
      <w:r w:rsidRPr="00D0578F">
        <w:t xml:space="preserve">Monoclonal antibodies are not authorized for individuals who are hospitalized due to COVID-19 or who require supplemental oxygen for COVID-19. If using home oxygen therapy, </w:t>
      </w:r>
      <w:r w:rsidR="003F3D41">
        <w:t>monoclonal antibody</w:t>
      </w:r>
      <w:r w:rsidR="003F3D41" w:rsidRPr="00D0578F">
        <w:t xml:space="preserve"> </w:t>
      </w:r>
      <w:r w:rsidRPr="00D0578F">
        <w:t>therapy is not authorized if the oxygen dose has increased following start of symptoms/positive test for COVID-19</w:t>
      </w:r>
      <w:r w:rsidR="00100353">
        <w:t xml:space="preserve">. </w:t>
      </w:r>
      <w:r w:rsidRPr="00D0578F">
        <w:t xml:space="preserve">Individuals who have a history of allergic reaction (hives, facial swelling, difficulty breathing, anaphylaxis) following </w:t>
      </w:r>
      <w:r w:rsidR="003F3D41">
        <w:t>monoclonal antibody</w:t>
      </w:r>
      <w:r w:rsidR="003F3D41" w:rsidRPr="00D0578F" w:rsidDel="003F3D41">
        <w:t xml:space="preserve"> </w:t>
      </w:r>
      <w:r w:rsidRPr="00D0578F">
        <w:t xml:space="preserve">therapy should not receive additional </w:t>
      </w:r>
      <w:r w:rsidR="003F3D41">
        <w:t>monoclonal antibody</w:t>
      </w:r>
      <w:r w:rsidRPr="00D0578F">
        <w:t xml:space="preserve"> doses.</w:t>
      </w:r>
    </w:p>
    <w:p w14:paraId="7713914E" w14:textId="77777777" w:rsidR="003E51AF" w:rsidRPr="00D0578F" w:rsidRDefault="003E51AF" w:rsidP="00DE2B15"/>
    <w:p w14:paraId="44BA44BD" w14:textId="44AC5C8E" w:rsidR="00A5621F" w:rsidRDefault="00076BC9" w:rsidP="00F835CA">
      <w:r w:rsidRPr="00D0578F">
        <w:t>Monoclonal antibody therapy decreases the risk of severe disease from COVID-19 between 70% and 85% in clinical trials.</w:t>
      </w:r>
      <w:r w:rsidR="00100353">
        <w:t xml:space="preserve"> </w:t>
      </w:r>
      <w:r w:rsidR="003E51AF" w:rsidRPr="00D0578F">
        <w:t>SARS-COV-2 variants</w:t>
      </w:r>
      <w:r w:rsidR="007171C2">
        <w:t>, however,</w:t>
      </w:r>
      <w:r w:rsidR="003E51AF" w:rsidRPr="00D0578F">
        <w:t xml:space="preserve"> may </w:t>
      </w:r>
      <w:r w:rsidR="007171C2">
        <w:t>be resistant</w:t>
      </w:r>
      <w:r w:rsidR="003E51AF" w:rsidRPr="00D0578F">
        <w:t xml:space="preserve"> to </w:t>
      </w:r>
      <w:r w:rsidR="007171C2">
        <w:t xml:space="preserve">certain </w:t>
      </w:r>
      <w:r w:rsidR="003E51AF" w:rsidRPr="00D0578F">
        <w:t xml:space="preserve">monoclonal antibodies, </w:t>
      </w:r>
      <w:r w:rsidR="007171C2">
        <w:t>limiting treatment efficacy of those agents</w:t>
      </w:r>
      <w:r w:rsidR="003E51AF" w:rsidRPr="00D0578F">
        <w:t xml:space="preserve">. </w:t>
      </w:r>
    </w:p>
    <w:p w14:paraId="38EBD39D" w14:textId="77777777" w:rsidR="00A5621F" w:rsidRPr="00D0578F" w:rsidRDefault="00A5621F" w:rsidP="003E51AF"/>
    <w:p w14:paraId="0A3986E9" w14:textId="0E4B4514" w:rsidR="00FD0496" w:rsidRDefault="003E51AF" w:rsidP="003E51AF">
      <w:r w:rsidRPr="00D0578F">
        <w:t xml:space="preserve">On January 24, 2022, the FDA </w:t>
      </w:r>
      <w:r w:rsidR="00C664BF">
        <w:t>withdrew authorization for monoclonal antibodies</w:t>
      </w:r>
      <w:r w:rsidRPr="00D0578F">
        <w:t xml:space="preserve"> </w:t>
      </w:r>
      <w:hyperlink r:id="rId19" w:history="1">
        <w:proofErr w:type="spellStart"/>
        <w:r w:rsidRPr="00D0578F">
          <w:rPr>
            <w:rStyle w:val="Hyperlink"/>
            <w:u w:val="none"/>
          </w:rPr>
          <w:t>casirivimab</w:t>
        </w:r>
        <w:proofErr w:type="spellEnd"/>
        <w:r w:rsidRPr="00D0578F">
          <w:rPr>
            <w:rStyle w:val="Hyperlink"/>
            <w:u w:val="none"/>
          </w:rPr>
          <w:t>/</w:t>
        </w:r>
        <w:proofErr w:type="spellStart"/>
        <w:r w:rsidRPr="00D0578F">
          <w:rPr>
            <w:rStyle w:val="Hyperlink"/>
            <w:u w:val="none"/>
          </w:rPr>
          <w:t>imdevimab</w:t>
        </w:r>
        <w:proofErr w:type="spellEnd"/>
        <w:r w:rsidRPr="00D0578F">
          <w:rPr>
            <w:rStyle w:val="Hyperlink"/>
            <w:u w:val="none"/>
          </w:rPr>
          <w:t xml:space="preserve"> (REGEN-COV)</w:t>
        </w:r>
      </w:hyperlink>
      <w:r w:rsidRPr="00D0578F">
        <w:t xml:space="preserve">, and </w:t>
      </w:r>
      <w:hyperlink r:id="rId20" w:history="1">
        <w:proofErr w:type="spellStart"/>
        <w:r w:rsidRPr="00D0578F">
          <w:rPr>
            <w:rStyle w:val="Hyperlink"/>
            <w:u w:val="none"/>
          </w:rPr>
          <w:t>bamlanivimab</w:t>
        </w:r>
        <w:proofErr w:type="spellEnd"/>
        <w:r w:rsidRPr="00D0578F">
          <w:rPr>
            <w:rStyle w:val="Hyperlink"/>
            <w:u w:val="none"/>
          </w:rPr>
          <w:t>/</w:t>
        </w:r>
        <w:proofErr w:type="spellStart"/>
        <w:r w:rsidRPr="00D0578F">
          <w:rPr>
            <w:rStyle w:val="Hyperlink"/>
            <w:u w:val="none"/>
          </w:rPr>
          <w:t>etesevimab</w:t>
        </w:r>
        <w:proofErr w:type="spellEnd"/>
      </w:hyperlink>
      <w:r w:rsidR="00C664BF">
        <w:rPr>
          <w:rStyle w:val="Hyperlink"/>
          <w:u w:val="none"/>
        </w:rPr>
        <w:t xml:space="preserve"> </w:t>
      </w:r>
      <w:r w:rsidR="00C664BF">
        <w:t xml:space="preserve">as treatment for COVID-19 because </w:t>
      </w:r>
      <w:proofErr w:type="spellStart"/>
      <w:r w:rsidRPr="00D0578F">
        <w:t>because</w:t>
      </w:r>
      <w:proofErr w:type="spellEnd"/>
      <w:r w:rsidRPr="00D0578F">
        <w:t xml:space="preserve"> the dominant Omicron variant is </w:t>
      </w:r>
      <w:r w:rsidR="00C664BF">
        <w:t>resistant</w:t>
      </w:r>
      <w:r w:rsidRPr="00D0578F">
        <w:t xml:space="preserve"> to these agents. </w:t>
      </w:r>
      <w:r w:rsidR="00363C2D">
        <w:t>Additionally, g</w:t>
      </w:r>
      <w:r w:rsidR="00334908">
        <w:t xml:space="preserve">iven </w:t>
      </w:r>
      <w:r w:rsidR="00F4177B">
        <w:t xml:space="preserve">that </w:t>
      </w:r>
      <w:proofErr w:type="spellStart"/>
      <w:r w:rsidR="00F4177B">
        <w:t>sotrovimab</w:t>
      </w:r>
      <w:proofErr w:type="spellEnd"/>
      <w:r w:rsidR="00F4177B">
        <w:t xml:space="preserve"> has reduced effective</w:t>
      </w:r>
      <w:r w:rsidR="00951010">
        <w:t>ness</w:t>
      </w:r>
      <w:r w:rsidR="00F4177B">
        <w:t xml:space="preserve"> against SARS-CoV2 Omicron subvariant BA.2</w:t>
      </w:r>
      <w:r w:rsidR="00F16141">
        <w:t xml:space="preserve">, </w:t>
      </w:r>
      <w:r w:rsidR="008D26F4">
        <w:t xml:space="preserve">the FDA revised the EUA on April 5, </w:t>
      </w:r>
      <w:proofErr w:type="gramStart"/>
      <w:r w:rsidR="008D26F4">
        <w:t>2022</w:t>
      </w:r>
      <w:proofErr w:type="gramEnd"/>
      <w:r w:rsidR="008D26F4">
        <w:t xml:space="preserve"> </w:t>
      </w:r>
      <w:r w:rsidR="00A148AE">
        <w:t>withdrawing</w:t>
      </w:r>
      <w:r w:rsidR="00F16141">
        <w:t xml:space="preserve"> </w:t>
      </w:r>
      <w:r w:rsidR="00100353">
        <w:t>authoriz</w:t>
      </w:r>
      <w:r w:rsidR="00A148AE">
        <w:t>ation</w:t>
      </w:r>
      <w:r w:rsidR="00334908">
        <w:t xml:space="preserve"> for treatment of COVID-19</w:t>
      </w:r>
      <w:r w:rsidR="00363C2D" w:rsidRPr="00363C2D">
        <w:t xml:space="preserve"> </w:t>
      </w:r>
      <w:r w:rsidR="00363C2D">
        <w:t>when this subvariant is the dominant virus</w:t>
      </w:r>
      <w:r w:rsidR="00C664BF">
        <w:t>.</w:t>
      </w:r>
      <w:r w:rsidR="00363C2D">
        <w:t xml:space="preserve"> </w:t>
      </w:r>
      <w:r w:rsidR="008D26F4">
        <w:t xml:space="preserve">as is the case in the United States </w:t>
      </w:r>
      <w:proofErr w:type="gramStart"/>
      <w:r w:rsidR="008D26F4">
        <w:t>at this time</w:t>
      </w:r>
      <w:proofErr w:type="gramEnd"/>
      <w:r w:rsidR="00334908">
        <w:t xml:space="preserve">. </w:t>
      </w:r>
      <w:r w:rsidR="00A148AE">
        <w:t>Monoclonal antibody</w:t>
      </w:r>
      <w:r w:rsidR="00A148AE" w:rsidRPr="00D0578F">
        <w:t xml:space="preserve"> </w:t>
      </w:r>
      <w:r w:rsidRPr="00D0578F">
        <w:t xml:space="preserve">therapies </w:t>
      </w:r>
      <w:proofErr w:type="spellStart"/>
      <w:r w:rsidR="00A148AE">
        <w:t>casirivimab</w:t>
      </w:r>
      <w:proofErr w:type="spellEnd"/>
      <w:r w:rsidR="00A148AE">
        <w:t>/</w:t>
      </w:r>
      <w:proofErr w:type="spellStart"/>
      <w:r w:rsidR="00A148AE">
        <w:t>imdevimab</w:t>
      </w:r>
      <w:proofErr w:type="spellEnd"/>
      <w:r w:rsidR="00A148AE">
        <w:t xml:space="preserve">, </w:t>
      </w:r>
      <w:proofErr w:type="spellStart"/>
      <w:r w:rsidR="00A148AE">
        <w:t>balmanivimab</w:t>
      </w:r>
      <w:proofErr w:type="spellEnd"/>
      <w:r w:rsidR="00A148AE">
        <w:t>/</w:t>
      </w:r>
      <w:proofErr w:type="spellStart"/>
      <w:r w:rsidR="00A148AE">
        <w:t>etesevimab</w:t>
      </w:r>
      <w:proofErr w:type="spellEnd"/>
      <w:r w:rsidR="00A148AE">
        <w:t xml:space="preserve"> and </w:t>
      </w:r>
      <w:proofErr w:type="spellStart"/>
      <w:r w:rsidR="00A148AE">
        <w:t>sotrovimab</w:t>
      </w:r>
      <w:proofErr w:type="spellEnd"/>
      <w:r w:rsidR="00A148AE">
        <w:t xml:space="preserve"> </w:t>
      </w:r>
      <w:r w:rsidRPr="00D0578F">
        <w:t>may be authorized for use in the future should the pre</w:t>
      </w:r>
      <w:r w:rsidR="00695B34" w:rsidRPr="00D0578F">
        <w:t>valence</w:t>
      </w:r>
      <w:r w:rsidRPr="00D0578F">
        <w:t xml:space="preserve"> of the Omicron variant </w:t>
      </w:r>
      <w:r w:rsidR="00695B34" w:rsidRPr="00D0578F">
        <w:t>decrease</w:t>
      </w:r>
      <w:r w:rsidRPr="00D0578F">
        <w:t>.</w:t>
      </w:r>
    </w:p>
    <w:p w14:paraId="764C56C7" w14:textId="69AA1896" w:rsidR="00C664BF" w:rsidRDefault="00C664BF" w:rsidP="003E51AF"/>
    <w:p w14:paraId="2A01CFA7" w14:textId="77777777" w:rsidR="00C664BF" w:rsidRDefault="00C664BF" w:rsidP="00C664BF">
      <w:proofErr w:type="spellStart"/>
      <w:r>
        <w:t>Bebtelovimab</w:t>
      </w:r>
      <w:proofErr w:type="spellEnd"/>
      <w:r>
        <w:t xml:space="preserve"> shows high activity against all known variants (including BA.2) in laboratory studies but only limited clinical data on effectiveness. As a result, </w:t>
      </w:r>
      <w:proofErr w:type="spellStart"/>
      <w:r>
        <w:t>bebtelovimab</w:t>
      </w:r>
      <w:proofErr w:type="spellEnd"/>
      <w:r>
        <w:t xml:space="preserve"> should be used as the monoclonal antibody of choice in regions where BA.2 is the dominant subvariant if preferred therapies are not feasible or appropriate to use.  </w:t>
      </w:r>
    </w:p>
    <w:p w14:paraId="2161832F" w14:textId="77777777" w:rsidR="00334908" w:rsidRPr="00D0578F" w:rsidRDefault="00334908" w:rsidP="00DE2B15"/>
    <w:p w14:paraId="0C66BB3A" w14:textId="4C067940" w:rsidR="00DE2B15" w:rsidRPr="00D0578F" w:rsidRDefault="00DE2B15" w:rsidP="00DE2B15">
      <w:r w:rsidRPr="00D0578F">
        <w:t xml:space="preserve">For treatment of mild to moderate COVID-19, </w:t>
      </w:r>
      <w:r w:rsidR="009634F8">
        <w:t>t</w:t>
      </w:r>
      <w:r w:rsidR="003E51AF" w:rsidRPr="00D0578F">
        <w:t xml:space="preserve">he authorized dose of </w:t>
      </w:r>
      <w:proofErr w:type="spellStart"/>
      <w:r w:rsidR="003E51AF" w:rsidRPr="00D0578F">
        <w:t>bebtelovimab</w:t>
      </w:r>
      <w:proofErr w:type="spellEnd"/>
      <w:r w:rsidR="003E51AF" w:rsidRPr="00D0578F">
        <w:t xml:space="preserve"> is 175 mg administered as a single intravenous injection over at least 30 seconds</w:t>
      </w:r>
      <w:r w:rsidR="001660E3" w:rsidRPr="00D0578F">
        <w:t>.</w:t>
      </w:r>
      <w:r w:rsidR="00A41E29">
        <w:t xml:space="preserve"> T</w:t>
      </w:r>
      <w:r w:rsidR="00A41E29" w:rsidRPr="00D0578F">
        <w:t xml:space="preserve">he authorized dose of </w:t>
      </w:r>
      <w:proofErr w:type="spellStart"/>
      <w:r w:rsidR="00A41E29" w:rsidRPr="00D0578F">
        <w:t>sotrovimab</w:t>
      </w:r>
      <w:proofErr w:type="spellEnd"/>
      <w:r w:rsidR="00A41E29" w:rsidRPr="00D0578F">
        <w:t xml:space="preserve"> is 500 mg, administered as a single intravenous infusion over </w:t>
      </w:r>
      <w:r w:rsidR="00A41E29">
        <w:t xml:space="preserve">15 minutes if diluted in a 50 ml infusion bag or </w:t>
      </w:r>
      <w:r w:rsidR="00A41E29" w:rsidRPr="00D0578F">
        <w:t>30 minutes</w:t>
      </w:r>
      <w:r w:rsidR="00A41E29">
        <w:t xml:space="preserve"> if diluted in a 100 ml bag</w:t>
      </w:r>
      <w:r w:rsidR="00A41E29" w:rsidRPr="00D0578F">
        <w:t xml:space="preserve">. </w:t>
      </w:r>
    </w:p>
    <w:p w14:paraId="5C2963BB" w14:textId="34F9C983" w:rsidR="00DE2B15" w:rsidRPr="00D0578F" w:rsidRDefault="00DE2B15" w:rsidP="00DE2B15"/>
    <w:p w14:paraId="3AE3D799" w14:textId="1401FC7D" w:rsidR="00DE2B15" w:rsidRPr="00D0578F" w:rsidRDefault="00DE2B15" w:rsidP="00DE2B15">
      <w:r w:rsidRPr="00D0578F">
        <w:t xml:space="preserve">Patients should receive monoclonal antibodies in a setting equipped to manage anaphylaxis and should be observed for 1 hour following </w:t>
      </w:r>
      <w:r w:rsidR="00695B34" w:rsidRPr="00D0578F">
        <w:t>completion of medication administration</w:t>
      </w:r>
      <w:r w:rsidRPr="00D0578F">
        <w:t>.</w:t>
      </w:r>
    </w:p>
    <w:p w14:paraId="645FA9AA" w14:textId="11ED5BD4" w:rsidR="000A3A34" w:rsidRDefault="000A3A34" w:rsidP="00DE2B15">
      <w:pPr>
        <w:rPr>
          <w:u w:val="single"/>
        </w:rPr>
      </w:pPr>
    </w:p>
    <w:p w14:paraId="2FAFAEC4" w14:textId="6A015046" w:rsidR="000A3A34" w:rsidRPr="00D0578F" w:rsidRDefault="000A3A34" w:rsidP="000A3A34">
      <w:pPr>
        <w:rPr>
          <w:b/>
          <w:bCs/>
          <w:u w:val="single"/>
        </w:rPr>
      </w:pPr>
      <w:r w:rsidRPr="00D0578F">
        <w:rPr>
          <w:b/>
          <w:bCs/>
          <w:u w:val="single"/>
        </w:rPr>
        <w:t xml:space="preserve">Prophylaxis of COVID-19 with monoclonal antibody therapy </w:t>
      </w:r>
    </w:p>
    <w:p w14:paraId="01D06754" w14:textId="77777777" w:rsidR="000A3A34" w:rsidRPr="00D0578F" w:rsidRDefault="000A3A34" w:rsidP="000A3A34"/>
    <w:p w14:paraId="3318B7FD" w14:textId="77777777" w:rsidR="000A3A34" w:rsidRPr="00D0578F" w:rsidRDefault="000A3A34" w:rsidP="000A3A34">
      <w:r w:rsidRPr="00D0578F">
        <w:t xml:space="preserve">The long-acting </w:t>
      </w:r>
      <w:proofErr w:type="spellStart"/>
      <w:r w:rsidRPr="00D0578F">
        <w:t>mAb</w:t>
      </w:r>
      <w:proofErr w:type="spellEnd"/>
      <w:r w:rsidRPr="00D0578F">
        <w:t xml:space="preserve"> </w:t>
      </w:r>
      <w:hyperlink r:id="rId21" w:history="1">
        <w:proofErr w:type="spellStart"/>
        <w:r w:rsidRPr="00D0578F">
          <w:rPr>
            <w:rStyle w:val="Hyperlink"/>
          </w:rPr>
          <w:t>tixagevimab</w:t>
        </w:r>
        <w:proofErr w:type="spellEnd"/>
        <w:r w:rsidRPr="00D0578F">
          <w:rPr>
            <w:rStyle w:val="Hyperlink"/>
          </w:rPr>
          <w:t>/</w:t>
        </w:r>
        <w:proofErr w:type="spellStart"/>
        <w:r w:rsidRPr="00D0578F">
          <w:rPr>
            <w:rStyle w:val="Hyperlink"/>
          </w:rPr>
          <w:t>cilgavimab</w:t>
        </w:r>
        <w:proofErr w:type="spellEnd"/>
        <w:r w:rsidRPr="00D0578F">
          <w:rPr>
            <w:rStyle w:val="Hyperlink"/>
          </w:rPr>
          <w:t xml:space="preserve"> (EVUSHELD</w:t>
        </w:r>
      </w:hyperlink>
      <w:r w:rsidRPr="00D0578F">
        <w:rPr>
          <w:rStyle w:val="Hyperlink"/>
        </w:rPr>
        <w:t>)</w:t>
      </w:r>
      <w:r w:rsidRPr="00D0578F">
        <w:t xml:space="preserve"> is authorized for pre-exposure prophylaxis of COVID-19 in adults and pediatric individuals (12 years of age and older and weighing at least 40 kg) who meet EUA criteria including:</w:t>
      </w:r>
    </w:p>
    <w:p w14:paraId="565740C6" w14:textId="77777777" w:rsidR="000A3A34" w:rsidRPr="00D0578F" w:rsidRDefault="000A3A34" w:rsidP="000A3A34"/>
    <w:p w14:paraId="6C5CD0EE" w14:textId="77777777" w:rsidR="000A3A34" w:rsidRDefault="000A3A34" w:rsidP="000A3A34">
      <w:pPr>
        <w:numPr>
          <w:ilvl w:val="0"/>
          <w:numId w:val="5"/>
        </w:numPr>
      </w:pPr>
      <w:r w:rsidRPr="00D0578F">
        <w:t>Individuals not currently infected with SARS-CoV-2 and who have not had a known recent exposure to an individual infected with SARS-CoV-2 and</w:t>
      </w:r>
    </w:p>
    <w:p w14:paraId="7EA4E754" w14:textId="77777777" w:rsidR="000A3A34" w:rsidRDefault="000A3A34" w:rsidP="000A3A34">
      <w:pPr>
        <w:numPr>
          <w:ilvl w:val="0"/>
          <w:numId w:val="5"/>
        </w:numPr>
      </w:pPr>
      <w:r w:rsidRPr="00D0578F">
        <w:t>Individuals who have moderate to severe immune compromise due to a medical condition or receipt of immunosuppressive medications or treatments and may not mount an adequate immune response to COVID-19 vaccination including but not limited to active treatment for malignancy, receipt of solid-organ transplant and taking immunosuppressive therapy, receipt of chimeric antigen receptor T cell or hematopoietic stem cell transplant, moderate or severe primary immunodeficiency, advanced or untreated HIV, treatment with immunosuppressive or immunomodulating agents, including high dose corticosteroids (≥ 20 mg/day of prednisone or equivalent) and tumor necrosis factor inhibitors, or</w:t>
      </w:r>
    </w:p>
    <w:p w14:paraId="48A7CB8D" w14:textId="77777777" w:rsidR="000A3A34" w:rsidRPr="00D0578F" w:rsidRDefault="000A3A34" w:rsidP="000A3A34">
      <w:pPr>
        <w:numPr>
          <w:ilvl w:val="0"/>
          <w:numId w:val="5"/>
        </w:numPr>
      </w:pPr>
      <w:r w:rsidRPr="00D0578F">
        <w:t>Individuals for whom vaccination with any available COVID-19 vaccine is not recommended due to a history of severe adverse reaction.</w:t>
      </w:r>
    </w:p>
    <w:p w14:paraId="6838B963" w14:textId="77777777" w:rsidR="000A3A34" w:rsidRPr="00D0578F" w:rsidRDefault="000A3A34" w:rsidP="000A3A34">
      <w:r w:rsidRPr="00D0578F">
        <w:t xml:space="preserve"> </w:t>
      </w:r>
    </w:p>
    <w:p w14:paraId="632CEAA5" w14:textId="5083796B" w:rsidR="000A3A34" w:rsidRPr="00D0578F" w:rsidRDefault="000A3A34" w:rsidP="000A3A34">
      <w:proofErr w:type="spellStart"/>
      <w:r w:rsidRPr="00D0578F">
        <w:t>Tixagevimab</w:t>
      </w:r>
      <w:proofErr w:type="spellEnd"/>
      <w:r w:rsidRPr="00D0578F">
        <w:t>/</w:t>
      </w:r>
      <w:proofErr w:type="spellStart"/>
      <w:r w:rsidRPr="00D0578F">
        <w:t>cilgavimab</w:t>
      </w:r>
      <w:proofErr w:type="spellEnd"/>
      <w:r w:rsidRPr="00D0578F">
        <w:t xml:space="preserve"> confers protection against the Omicron variant and should be used in an environment when Omicron variant is dominant.</w:t>
      </w:r>
      <w:r w:rsidR="007E48B9" w:rsidRPr="007E48B9">
        <w:rPr>
          <w:color w:val="000000"/>
        </w:rPr>
        <w:t xml:space="preserve"> </w:t>
      </w:r>
      <w:r w:rsidR="007E48B9" w:rsidRPr="00580F7F">
        <w:rPr>
          <w:color w:val="000000"/>
        </w:rPr>
        <w:t xml:space="preserve">Based on the most recent data available, </w:t>
      </w:r>
      <w:r w:rsidR="00796266">
        <w:rPr>
          <w:color w:val="000000"/>
        </w:rPr>
        <w:t xml:space="preserve">however, </w:t>
      </w:r>
      <w:proofErr w:type="spellStart"/>
      <w:r w:rsidR="007E48B9">
        <w:t>t</w:t>
      </w:r>
      <w:r w:rsidR="007E48B9" w:rsidRPr="00D0578F">
        <w:t>ixagevimab</w:t>
      </w:r>
      <w:proofErr w:type="spellEnd"/>
      <w:r w:rsidR="007E48B9" w:rsidRPr="00D0578F">
        <w:t>/</w:t>
      </w:r>
      <w:proofErr w:type="spellStart"/>
      <w:r w:rsidR="007E48B9" w:rsidRPr="00D0578F">
        <w:t>cilgavimab</w:t>
      </w:r>
      <w:proofErr w:type="spellEnd"/>
      <w:r w:rsidR="007E48B9" w:rsidRPr="00D0578F">
        <w:t xml:space="preserve"> </w:t>
      </w:r>
      <w:r w:rsidR="007E48B9" w:rsidRPr="00580F7F">
        <w:rPr>
          <w:color w:val="000000"/>
        </w:rPr>
        <w:t>may be less active against certain Omicron subvariants.</w:t>
      </w:r>
      <w:r w:rsidR="007E48B9" w:rsidRPr="007E48B9">
        <w:t xml:space="preserve"> </w:t>
      </w:r>
      <w:r w:rsidR="007E48B9">
        <w:t xml:space="preserve">On February 25, 2022, the FDA increased the recommended </w:t>
      </w:r>
      <w:r w:rsidR="00CD339A">
        <w:t xml:space="preserve">initial </w:t>
      </w:r>
      <w:r w:rsidR="007E48B9">
        <w:t>dos</w:t>
      </w:r>
      <w:r w:rsidR="00CD339A">
        <w:t>e</w:t>
      </w:r>
      <w:r w:rsidR="007E48B9">
        <w:t xml:space="preserve"> of </w:t>
      </w:r>
      <w:proofErr w:type="spellStart"/>
      <w:r w:rsidR="007E48B9">
        <w:t>t</w:t>
      </w:r>
      <w:r w:rsidR="007E48B9" w:rsidRPr="00D0578F">
        <w:t>ixagevimab</w:t>
      </w:r>
      <w:proofErr w:type="spellEnd"/>
      <w:r w:rsidR="007E48B9" w:rsidRPr="00D0578F">
        <w:t>/</w:t>
      </w:r>
      <w:proofErr w:type="spellStart"/>
      <w:r w:rsidR="007E48B9" w:rsidRPr="00D0578F">
        <w:t>cilgavimab</w:t>
      </w:r>
      <w:proofErr w:type="spellEnd"/>
      <w:r w:rsidR="007E48B9">
        <w:t>.</w:t>
      </w:r>
      <w:r w:rsidR="007E48B9" w:rsidRPr="00580F7F">
        <w:rPr>
          <w:color w:val="000000"/>
        </w:rPr>
        <w:t xml:space="preserve"> The dosing regimen was revised because available data indicate that a higher dose may be more likely to prevent infection by the COVID-19 Omicron subvariants BA.1 and BA.1.1 </w:t>
      </w:r>
      <w:r w:rsidR="008C6150">
        <w:rPr>
          <w:color w:val="000000"/>
        </w:rPr>
        <w:t>compared to the</w:t>
      </w:r>
      <w:r w:rsidR="007E48B9" w:rsidRPr="00580F7F">
        <w:rPr>
          <w:color w:val="000000"/>
        </w:rPr>
        <w:t xml:space="preserve"> originally authorized dose</w:t>
      </w:r>
      <w:r w:rsidR="008C6150">
        <w:rPr>
          <w:color w:val="000000"/>
        </w:rPr>
        <w:t>.</w:t>
      </w:r>
    </w:p>
    <w:p w14:paraId="4D32BA6B" w14:textId="77777777" w:rsidR="000A3A34" w:rsidRPr="00D0578F" w:rsidRDefault="000A3A34" w:rsidP="000A3A34"/>
    <w:p w14:paraId="719126C0" w14:textId="384A6043" w:rsidR="007E48B9" w:rsidRDefault="000A3A34" w:rsidP="000A3A34">
      <w:r w:rsidRPr="00D0578F">
        <w:t xml:space="preserve">For pre-exposure prophylaxis, the </w:t>
      </w:r>
      <w:r w:rsidR="00053D45">
        <w:t xml:space="preserve">current </w:t>
      </w:r>
      <w:r w:rsidRPr="00D0578F">
        <w:t xml:space="preserve">authorized </w:t>
      </w:r>
      <w:r w:rsidR="00CD339A">
        <w:t xml:space="preserve">initial </w:t>
      </w:r>
      <w:r w:rsidRPr="00D0578F">
        <w:t xml:space="preserve">dose of </w:t>
      </w:r>
      <w:proofErr w:type="spellStart"/>
      <w:r w:rsidRPr="00D0578F">
        <w:t>tixagevimab</w:t>
      </w:r>
      <w:proofErr w:type="spellEnd"/>
      <w:r w:rsidRPr="00D0578F">
        <w:t>/</w:t>
      </w:r>
      <w:proofErr w:type="spellStart"/>
      <w:r w:rsidRPr="00D0578F">
        <w:t>cilgavimab</w:t>
      </w:r>
      <w:proofErr w:type="spellEnd"/>
      <w:r w:rsidRPr="00D0578F">
        <w:t xml:space="preserve"> is </w:t>
      </w:r>
      <w:r w:rsidR="00053D45">
        <w:t>300</w:t>
      </w:r>
      <w:r w:rsidR="00053D45" w:rsidRPr="00D0578F">
        <w:t xml:space="preserve"> </w:t>
      </w:r>
      <w:r w:rsidRPr="00D0578F">
        <w:t xml:space="preserve">mg of </w:t>
      </w:r>
      <w:proofErr w:type="spellStart"/>
      <w:r w:rsidRPr="00D0578F">
        <w:t>tixagevimab</w:t>
      </w:r>
      <w:proofErr w:type="spellEnd"/>
      <w:r w:rsidRPr="00D0578F">
        <w:t xml:space="preserve"> and </w:t>
      </w:r>
      <w:r w:rsidR="00053D45">
        <w:t>300</w:t>
      </w:r>
      <w:r w:rsidRPr="00D0578F">
        <w:t xml:space="preserve"> mg of </w:t>
      </w:r>
      <w:proofErr w:type="spellStart"/>
      <w:r w:rsidRPr="00D0578F">
        <w:t>cilgavimab</w:t>
      </w:r>
      <w:proofErr w:type="spellEnd"/>
      <w:r w:rsidR="00053D45">
        <w:t>. The medications should be</w:t>
      </w:r>
      <w:r w:rsidRPr="00D0578F">
        <w:t xml:space="preserve"> administered as two separate intramuscular injections, ideally in the gluteal or vastus lateralis muscle. </w:t>
      </w:r>
    </w:p>
    <w:p w14:paraId="5798AC4E" w14:textId="77777777" w:rsidR="007E48B9" w:rsidRDefault="007E48B9" w:rsidP="000A3A34"/>
    <w:p w14:paraId="2E268C17" w14:textId="3298AAF1" w:rsidR="000A3A34" w:rsidRPr="00D0578F" w:rsidRDefault="00053D45" w:rsidP="000A3A34">
      <w:r>
        <w:t xml:space="preserve">Individuals who received the prior </w:t>
      </w:r>
      <w:r w:rsidR="00CD339A">
        <w:t xml:space="preserve">initial </w:t>
      </w:r>
      <w:r>
        <w:t xml:space="preserve">dose of 150 mg of </w:t>
      </w:r>
      <w:proofErr w:type="spellStart"/>
      <w:r>
        <w:t>tixagevimab</w:t>
      </w:r>
      <w:proofErr w:type="spellEnd"/>
      <w:r>
        <w:t xml:space="preserve"> and 150 mg of </w:t>
      </w:r>
      <w:proofErr w:type="spellStart"/>
      <w:r>
        <w:t>cilgavimab</w:t>
      </w:r>
      <w:proofErr w:type="spellEnd"/>
      <w:r>
        <w:t xml:space="preserve"> should receive an additional </w:t>
      </w:r>
      <w:r w:rsidR="00A47C0C">
        <w:t xml:space="preserve">dose </w:t>
      </w:r>
      <w:r>
        <w:t xml:space="preserve">of </w:t>
      </w:r>
      <w:proofErr w:type="spellStart"/>
      <w:r>
        <w:t>tixagevimab</w:t>
      </w:r>
      <w:proofErr w:type="spellEnd"/>
      <w:r w:rsidR="00A47C0C">
        <w:t>/</w:t>
      </w:r>
      <w:proofErr w:type="spellStart"/>
      <w:r>
        <w:t>cilgavimab</w:t>
      </w:r>
      <w:proofErr w:type="spellEnd"/>
      <w:r>
        <w:t xml:space="preserve"> as soon as possible.</w:t>
      </w:r>
      <w:r w:rsidR="00A47C0C">
        <w:t xml:space="preserve"> For individuals who </w:t>
      </w:r>
      <w:r w:rsidR="00A47C0C">
        <w:lastRenderedPageBreak/>
        <w:t xml:space="preserve">received their initial dose less than three months ago, that individual should receive a dose of 150 mg of </w:t>
      </w:r>
      <w:proofErr w:type="spellStart"/>
      <w:r w:rsidR="00A47C0C">
        <w:t>tixagevimab</w:t>
      </w:r>
      <w:proofErr w:type="spellEnd"/>
      <w:r w:rsidR="00A47C0C">
        <w:t xml:space="preserve"> and 150 mg of </w:t>
      </w:r>
      <w:proofErr w:type="spellStart"/>
      <w:r w:rsidR="00A47C0C">
        <w:t>cilgavimab</w:t>
      </w:r>
      <w:proofErr w:type="spellEnd"/>
      <w:r w:rsidR="00A47C0C">
        <w:t xml:space="preserve">. For individuals who received their initial dose more than three months ago, the individual should receive a dose of 300 mg of </w:t>
      </w:r>
      <w:proofErr w:type="spellStart"/>
      <w:r w:rsidR="00A47C0C">
        <w:t>tixagevimab</w:t>
      </w:r>
      <w:proofErr w:type="spellEnd"/>
      <w:r w:rsidR="00A47C0C">
        <w:t xml:space="preserve"> and 300 mg of </w:t>
      </w:r>
      <w:proofErr w:type="spellStart"/>
      <w:r w:rsidR="00A47C0C">
        <w:t>cilgavimab</w:t>
      </w:r>
      <w:proofErr w:type="spellEnd"/>
      <w:r w:rsidR="00A47C0C">
        <w:t>.</w:t>
      </w:r>
      <w:r>
        <w:t xml:space="preserve"> </w:t>
      </w:r>
      <w:r w:rsidR="000A3A34" w:rsidRPr="00D0578F">
        <w:t xml:space="preserve"> </w:t>
      </w:r>
    </w:p>
    <w:p w14:paraId="17D91371" w14:textId="77777777" w:rsidR="000A3A34" w:rsidRPr="00D0578F" w:rsidRDefault="000A3A34" w:rsidP="000A3A34"/>
    <w:p w14:paraId="7DCB9BA8" w14:textId="77777777" w:rsidR="000A3A34" w:rsidRPr="00D0578F" w:rsidRDefault="00F5621A" w:rsidP="000A3A34">
      <w:hyperlink r:id="rId22" w:history="1">
        <w:proofErr w:type="spellStart"/>
        <w:r w:rsidR="000A3A34" w:rsidRPr="00D0578F">
          <w:rPr>
            <w:rStyle w:val="Hyperlink"/>
          </w:rPr>
          <w:t>Casirivimab</w:t>
        </w:r>
        <w:proofErr w:type="spellEnd"/>
        <w:r w:rsidR="000A3A34" w:rsidRPr="00D0578F">
          <w:rPr>
            <w:rStyle w:val="Hyperlink"/>
          </w:rPr>
          <w:t>/</w:t>
        </w:r>
        <w:proofErr w:type="spellStart"/>
        <w:r w:rsidR="000A3A34" w:rsidRPr="00D0578F">
          <w:rPr>
            <w:rStyle w:val="Hyperlink"/>
          </w:rPr>
          <w:t>imdevimab</w:t>
        </w:r>
        <w:proofErr w:type="spellEnd"/>
      </w:hyperlink>
      <w:r w:rsidR="000A3A34" w:rsidRPr="00D0578F">
        <w:t xml:space="preserve"> and </w:t>
      </w:r>
      <w:hyperlink r:id="rId23" w:history="1">
        <w:proofErr w:type="spellStart"/>
        <w:r w:rsidR="000A3A34" w:rsidRPr="00D0578F">
          <w:rPr>
            <w:rStyle w:val="Hyperlink"/>
          </w:rPr>
          <w:t>bamlanivimab</w:t>
        </w:r>
        <w:proofErr w:type="spellEnd"/>
        <w:r w:rsidR="000A3A34" w:rsidRPr="00D0578F">
          <w:rPr>
            <w:rStyle w:val="Hyperlink"/>
          </w:rPr>
          <w:t>/</w:t>
        </w:r>
        <w:proofErr w:type="spellStart"/>
        <w:r w:rsidR="000A3A34" w:rsidRPr="00D0578F">
          <w:rPr>
            <w:rStyle w:val="Hyperlink"/>
          </w:rPr>
          <w:t>etesevimab</w:t>
        </w:r>
        <w:proofErr w:type="spellEnd"/>
      </w:hyperlink>
      <w:r w:rsidR="000A3A34" w:rsidRPr="00D0578F">
        <w:t xml:space="preserve"> were previously authorized for use as postexposure prophylaxis to be administered as soon as practicable after an exposure (with no maximum timeframe). Given that Omicron is now the dominant variant in Massachusetts, and these agents have reduced activity against Omicron, their use for post-exposure prophylaxis is not authorized at this time. </w:t>
      </w:r>
      <w:proofErr w:type="spellStart"/>
      <w:r w:rsidR="000A3A34" w:rsidRPr="00D0578F">
        <w:t>Sotrovimab</w:t>
      </w:r>
      <w:proofErr w:type="spellEnd"/>
      <w:r w:rsidR="000A3A34" w:rsidRPr="00D0578F">
        <w:t xml:space="preserve"> and </w:t>
      </w:r>
      <w:proofErr w:type="spellStart"/>
      <w:r w:rsidR="000A3A34" w:rsidRPr="00D0578F">
        <w:t>bebtelovimab</w:t>
      </w:r>
      <w:proofErr w:type="spellEnd"/>
      <w:r w:rsidR="000A3A34" w:rsidRPr="00D0578F">
        <w:t xml:space="preserve"> are not authorized for post-exposure prophylaxis.</w:t>
      </w:r>
    </w:p>
    <w:p w14:paraId="59E88F35" w14:textId="4F8CAD2B" w:rsidR="000A3A34" w:rsidRDefault="000A3A34" w:rsidP="00DE2B15">
      <w:pPr>
        <w:rPr>
          <w:u w:val="single"/>
        </w:rPr>
      </w:pPr>
    </w:p>
    <w:p w14:paraId="731CD927" w14:textId="6D576219" w:rsidR="00DE2B15" w:rsidRPr="00D0578F" w:rsidRDefault="00DE2B15" w:rsidP="00DE2B15">
      <w:pPr>
        <w:rPr>
          <w:b/>
          <w:bCs/>
          <w:u w:val="single"/>
        </w:rPr>
      </w:pPr>
      <w:r w:rsidRPr="00D0578F">
        <w:rPr>
          <w:b/>
          <w:bCs/>
          <w:u w:val="single"/>
        </w:rPr>
        <w:t>Recommendations</w:t>
      </w:r>
    </w:p>
    <w:p w14:paraId="7BEC4573" w14:textId="1611DA6E" w:rsidR="008228B0" w:rsidRDefault="00E60125" w:rsidP="00E60125">
      <w:bookmarkStart w:id="3" w:name="_Hlk95833352"/>
      <w:r w:rsidRPr="008365F9">
        <w:rPr>
          <w:b/>
          <w:bCs/>
        </w:rPr>
        <w:t>Currently</w:t>
      </w:r>
      <w:r w:rsidR="008228B0" w:rsidRPr="008365F9">
        <w:rPr>
          <w:b/>
          <w:bCs/>
        </w:rPr>
        <w:t>,</w:t>
      </w:r>
      <w:r w:rsidRPr="008365F9">
        <w:rPr>
          <w:b/>
          <w:bCs/>
        </w:rPr>
        <w:t xml:space="preserve"> available supply </w:t>
      </w:r>
      <w:r w:rsidR="00B65681">
        <w:rPr>
          <w:b/>
          <w:bCs/>
        </w:rPr>
        <w:t xml:space="preserve">of COVID-19 therapeutics </w:t>
      </w:r>
      <w:r w:rsidRPr="008365F9">
        <w:rPr>
          <w:b/>
          <w:bCs/>
        </w:rPr>
        <w:t xml:space="preserve">in Massachusetts is not a barrier to eligible patients’ access to treatment. </w:t>
      </w:r>
    </w:p>
    <w:p w14:paraId="2FC6B148" w14:textId="77777777" w:rsidR="008228B0" w:rsidRPr="008228B0" w:rsidRDefault="008228B0" w:rsidP="00E60125"/>
    <w:p w14:paraId="52072572" w14:textId="28F48F2F" w:rsidR="00714DC5" w:rsidRPr="008365F9" w:rsidRDefault="008228B0" w:rsidP="00714DC5">
      <w:r>
        <w:t>A</w:t>
      </w:r>
      <w:r w:rsidR="007C7A61" w:rsidRPr="008365F9">
        <w:t xml:space="preserve">ll </w:t>
      </w:r>
      <w:r w:rsidR="00817463" w:rsidRPr="008228B0">
        <w:t xml:space="preserve">symptomatic </w:t>
      </w:r>
      <w:r w:rsidR="00714DC5" w:rsidRPr="008365F9">
        <w:t>individuals</w:t>
      </w:r>
      <w:r w:rsidR="00C72481" w:rsidRPr="008365F9">
        <w:t xml:space="preserve"> </w:t>
      </w:r>
      <w:r w:rsidR="00817463" w:rsidRPr="008228B0">
        <w:t xml:space="preserve">with mild to moderate COVID-19 </w:t>
      </w:r>
      <w:r w:rsidR="00C72481" w:rsidRPr="008365F9">
        <w:t>who are</w:t>
      </w:r>
      <w:r w:rsidR="00714DC5" w:rsidRPr="008365F9">
        <w:t xml:space="preserve"> at risk for severe COVID-19 </w:t>
      </w:r>
      <w:r w:rsidR="007D62DA" w:rsidRPr="008365F9">
        <w:t xml:space="preserve">are eligible to </w:t>
      </w:r>
      <w:r w:rsidR="00714DC5" w:rsidRPr="008365F9">
        <w:t>receive therapeutics</w:t>
      </w:r>
      <w:bookmarkEnd w:id="3"/>
      <w:r w:rsidR="00714DC5" w:rsidRPr="008365F9">
        <w:t xml:space="preserve">, including </w:t>
      </w:r>
      <w:proofErr w:type="spellStart"/>
      <w:r w:rsidR="00714DC5" w:rsidRPr="008365F9">
        <w:t>nirmatrelvir</w:t>
      </w:r>
      <w:proofErr w:type="spellEnd"/>
      <w:r w:rsidR="00714DC5" w:rsidRPr="008365F9">
        <w:t xml:space="preserve">/r, </w:t>
      </w:r>
      <w:r w:rsidR="00FD0496" w:rsidRPr="008365F9">
        <w:t xml:space="preserve">remdesivir, </w:t>
      </w:r>
      <w:proofErr w:type="spellStart"/>
      <w:r w:rsidR="00714DC5" w:rsidRPr="008365F9">
        <w:t>bebtelovimab</w:t>
      </w:r>
      <w:proofErr w:type="spellEnd"/>
      <w:r w:rsidR="00EE2571">
        <w:t xml:space="preserve"> (if BA.2 is the predominant variant in the region)</w:t>
      </w:r>
      <w:r w:rsidR="00FD0496">
        <w:t>,</w:t>
      </w:r>
      <w:r w:rsidR="00714DC5" w:rsidRPr="008365F9">
        <w:t xml:space="preserve"> and </w:t>
      </w:r>
      <w:proofErr w:type="spellStart"/>
      <w:r w:rsidR="00714DC5" w:rsidRPr="008365F9">
        <w:t>molnupiravir</w:t>
      </w:r>
      <w:proofErr w:type="spellEnd"/>
      <w:r w:rsidR="001B281F" w:rsidRPr="008365F9">
        <w:t>,</w:t>
      </w:r>
      <w:r w:rsidR="00714DC5" w:rsidRPr="008365F9">
        <w:t xml:space="preserve"> </w:t>
      </w:r>
      <w:r w:rsidR="001B281F" w:rsidRPr="008365F9">
        <w:t>regardless of the</w:t>
      </w:r>
      <w:r w:rsidR="00D16037" w:rsidRPr="008365F9">
        <w:t>ir</w:t>
      </w:r>
      <w:r w:rsidR="001B281F" w:rsidRPr="008365F9">
        <w:t xml:space="preserve"> </w:t>
      </w:r>
      <w:hyperlink r:id="rId24" w:history="1">
        <w:r w:rsidR="001B281F" w:rsidRPr="008365F9">
          <w:rPr>
            <w:rStyle w:val="Hyperlink"/>
          </w:rPr>
          <w:t>National Institutes of Health COVID-19 risk tiers</w:t>
        </w:r>
      </w:hyperlink>
      <w:r w:rsidR="00C72481" w:rsidRPr="008365F9">
        <w:t xml:space="preserve"> or vaccination status</w:t>
      </w:r>
      <w:r w:rsidR="001B281F" w:rsidRPr="008365F9">
        <w:t>.</w:t>
      </w:r>
      <w:r w:rsidR="0045159B" w:rsidRPr="008228B0">
        <w:t xml:space="preserve"> </w:t>
      </w:r>
      <w:r w:rsidR="0045159B" w:rsidRPr="008365F9">
        <w:t xml:space="preserve">We strongly urge providers to ensure eligible patients have access to </w:t>
      </w:r>
      <w:r w:rsidR="00C72481" w:rsidRPr="008365F9">
        <w:t xml:space="preserve">and receive these critical and available </w:t>
      </w:r>
      <w:r w:rsidR="0045159B" w:rsidRPr="008365F9">
        <w:t>therapies</w:t>
      </w:r>
      <w:r w:rsidR="00C72481" w:rsidRPr="008365F9">
        <w:t xml:space="preserve">, regardless of vaccination status or </w:t>
      </w:r>
      <w:r w:rsidR="005268E2" w:rsidRPr="008365F9">
        <w:t>risk tier</w:t>
      </w:r>
      <w:r w:rsidR="0045159B" w:rsidRPr="008365F9">
        <w:t>.</w:t>
      </w:r>
      <w:r w:rsidR="005268E2" w:rsidRPr="008365F9">
        <w:t xml:space="preserve"> The tiers provided below are only applicable should there be insufficient supply of these federally allocated therapeutics to fulfill patient need for treatment.  </w:t>
      </w:r>
    </w:p>
    <w:p w14:paraId="773479CD" w14:textId="77777777" w:rsidR="00714DC5" w:rsidRPr="00D0578F" w:rsidRDefault="00714DC5" w:rsidP="00714DC5">
      <w:pPr>
        <w:rPr>
          <w:b/>
          <w:bCs/>
        </w:rPr>
      </w:pPr>
    </w:p>
    <w:p w14:paraId="3331A330" w14:textId="2A9ED0E6" w:rsidR="00C51E24" w:rsidRPr="00D0578F" w:rsidRDefault="00DE2B15" w:rsidP="00DE2B15">
      <w:proofErr w:type="spellStart"/>
      <w:r w:rsidRPr="00D0578F">
        <w:t>Nirmatrelvir</w:t>
      </w:r>
      <w:proofErr w:type="spellEnd"/>
      <w:r w:rsidRPr="00D0578F">
        <w:t xml:space="preserve">/r should be prioritized </w:t>
      </w:r>
      <w:r w:rsidR="00C95796" w:rsidRPr="00D0578F">
        <w:t xml:space="preserve">as treatment </w:t>
      </w:r>
      <w:r w:rsidRPr="00D0578F">
        <w:t xml:space="preserve">for individuals </w:t>
      </w:r>
      <w:r w:rsidR="00BB33F1" w:rsidRPr="00D0578F">
        <w:t>diagnosed with COVID-19 who are within five days of symptom onset and who are at</w:t>
      </w:r>
      <w:r w:rsidR="00C51E24" w:rsidRPr="00D0578F">
        <w:t xml:space="preserve"> </w:t>
      </w:r>
      <w:r w:rsidRPr="00D0578F">
        <w:t xml:space="preserve">risk for severe COVID-19. </w:t>
      </w:r>
      <w:r w:rsidR="00EB2FDB">
        <w:t>In the setting while the Omicron subvariant BA.2 is dominant, i</w:t>
      </w:r>
      <w:r w:rsidRPr="00D0578F">
        <w:t xml:space="preserve">f </w:t>
      </w:r>
      <w:proofErr w:type="spellStart"/>
      <w:r w:rsidRPr="00D0578F">
        <w:t>nirmatrelvir</w:t>
      </w:r>
      <w:proofErr w:type="spellEnd"/>
      <w:r w:rsidRPr="00D0578F">
        <w:t xml:space="preserve">/r is indicated but not </w:t>
      </w:r>
      <w:r w:rsidR="006344CE" w:rsidRPr="00D0578F">
        <w:t xml:space="preserve">appropriate or </w:t>
      </w:r>
      <w:r w:rsidRPr="00D0578F">
        <w:t xml:space="preserve">available, remdesivir should be considered. </w:t>
      </w:r>
      <w:proofErr w:type="spellStart"/>
      <w:r w:rsidR="00AC6D1C" w:rsidRPr="00D0578F">
        <w:t>Bebtelovimab</w:t>
      </w:r>
      <w:proofErr w:type="spellEnd"/>
      <w:r w:rsidR="00AC6D1C" w:rsidRPr="00D0578F">
        <w:t xml:space="preserve"> may be used if </w:t>
      </w:r>
      <w:proofErr w:type="spellStart"/>
      <w:r w:rsidR="00AC6D1C" w:rsidRPr="00D0578F">
        <w:t>nirmatre</w:t>
      </w:r>
      <w:r w:rsidR="00695B34" w:rsidRPr="00D0578F">
        <w:t>lvir</w:t>
      </w:r>
      <w:proofErr w:type="spellEnd"/>
      <w:r w:rsidR="00695B34" w:rsidRPr="00D0578F">
        <w:t>/r</w:t>
      </w:r>
      <w:r w:rsidR="00AC6D1C" w:rsidRPr="00D0578F">
        <w:t xml:space="preserve">, </w:t>
      </w:r>
      <w:r w:rsidR="00EB2FDB">
        <w:t xml:space="preserve">and </w:t>
      </w:r>
      <w:r w:rsidR="003F6BC4" w:rsidRPr="00D0578F">
        <w:t>r</w:t>
      </w:r>
      <w:r w:rsidR="00AC6D1C" w:rsidRPr="00D0578F">
        <w:t xml:space="preserve">emdesivir are not </w:t>
      </w:r>
      <w:r w:rsidR="00147108" w:rsidRPr="00D0578F">
        <w:t>clinically appropriate or un</w:t>
      </w:r>
      <w:r w:rsidR="00AC6D1C" w:rsidRPr="00D0578F">
        <w:t xml:space="preserve">available.  </w:t>
      </w:r>
      <w:proofErr w:type="spellStart"/>
      <w:r w:rsidRPr="00D0578F">
        <w:t>Molnupiravir</w:t>
      </w:r>
      <w:proofErr w:type="spellEnd"/>
      <w:r w:rsidRPr="00D0578F">
        <w:t xml:space="preserve"> may be used if all other therapies are not available. </w:t>
      </w:r>
    </w:p>
    <w:p w14:paraId="23BFBAE3" w14:textId="16A99360" w:rsidR="00334908" w:rsidRDefault="00334908">
      <w:pPr>
        <w:rPr>
          <w:b/>
          <w:bCs/>
        </w:rPr>
      </w:pPr>
    </w:p>
    <w:p w14:paraId="7644D775" w14:textId="77777777" w:rsidR="00EE6F9C" w:rsidRDefault="00EE6F9C">
      <w:pPr>
        <w:rPr>
          <w:b/>
          <w:bCs/>
        </w:rPr>
      </w:pPr>
      <w:bookmarkStart w:id="4" w:name="_Hlk99093608"/>
      <w:r>
        <w:rPr>
          <w:b/>
          <w:bCs/>
        </w:rPr>
        <w:br w:type="page"/>
      </w:r>
    </w:p>
    <w:p w14:paraId="252F0AA2" w14:textId="7EE019A5" w:rsidR="00DE2B15" w:rsidRDefault="00DE2B15" w:rsidP="00DE2B15">
      <w:pPr>
        <w:rPr>
          <w:b/>
          <w:bCs/>
        </w:rPr>
      </w:pPr>
      <w:r w:rsidRPr="00D0578F">
        <w:rPr>
          <w:b/>
          <w:bCs/>
        </w:rPr>
        <w:lastRenderedPageBreak/>
        <w:t>Table: Treatment recommendations for mild to moderate COVID-19</w:t>
      </w:r>
      <w:r w:rsidR="005B3628">
        <w:rPr>
          <w:b/>
          <w:bCs/>
        </w:rPr>
        <w:t xml:space="preserve"> while the Omicron subvariant BA.2 is dominant</w:t>
      </w:r>
      <w:r w:rsidRPr="00D0578F">
        <w:rPr>
          <w:b/>
          <w:bCs/>
        </w:rPr>
        <w:t xml:space="preserve"> </w:t>
      </w:r>
    </w:p>
    <w:p w14:paraId="69C4FC51" w14:textId="0EB7E967" w:rsidR="00A61D0C" w:rsidRPr="00EF64B4" w:rsidRDefault="00084B5A" w:rsidP="00DE2B15">
      <w:pPr>
        <w:rPr>
          <w:i/>
          <w:iCs/>
          <w:sz w:val="22"/>
          <w:szCs w:val="22"/>
        </w:rPr>
      </w:pPr>
      <w:r>
        <w:rPr>
          <w:i/>
          <w:iCs/>
          <w:noProof/>
          <w:sz w:val="22"/>
          <w:szCs w:val="22"/>
        </w:rPr>
        <mc:AlternateContent>
          <mc:Choice Requires="wps">
            <w:drawing>
              <wp:anchor distT="0" distB="0" distL="114300" distR="114300" simplePos="0" relativeHeight="251660287" behindDoc="0" locked="0" layoutInCell="1" allowOverlap="1" wp14:anchorId="4081BA7B" wp14:editId="63C3D1EF">
                <wp:simplePos x="0" y="0"/>
                <wp:positionH relativeFrom="column">
                  <wp:posOffset>-60960</wp:posOffset>
                </wp:positionH>
                <wp:positionV relativeFrom="paragraph">
                  <wp:posOffset>106680</wp:posOffset>
                </wp:positionV>
                <wp:extent cx="6737350" cy="464820"/>
                <wp:effectExtent l="0" t="0" r="25400" b="11430"/>
                <wp:wrapNone/>
                <wp:docPr id="2" name="Rectangle 2"/>
                <wp:cNvGraphicFramePr/>
                <a:graphic xmlns:a="http://schemas.openxmlformats.org/drawingml/2006/main">
                  <a:graphicData uri="http://schemas.microsoft.com/office/word/2010/wordprocessingShape">
                    <wps:wsp>
                      <wps:cNvSpPr/>
                      <wps:spPr>
                        <a:xfrm>
                          <a:off x="0" y="0"/>
                          <a:ext cx="6737350" cy="464820"/>
                        </a:xfrm>
                        <a:prstGeom prst="rect">
                          <a:avLst/>
                        </a:prstGeom>
                        <a:solidFill>
                          <a:srgbClr val="FF0000">
                            <a:alpha val="10196"/>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4DE96" id="Rectangle 2" o:spid="_x0000_s1026" style="position:absolute;margin-left:-4.8pt;margin-top:8.4pt;width:530.5pt;height:36.6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" fillcolor="red" strokecolor="black [3213]" strokeweight="1pt">
                <v:fill opacity="6682f"/>
              </v:rect>
            </w:pict>
          </mc:Fallback>
        </mc:AlternateContent>
      </w:r>
    </w:p>
    <w:p w14:paraId="63DD49DA" w14:textId="3369CBEF" w:rsidR="00A61D0C" w:rsidRPr="00897C32" w:rsidRDefault="00A61D0C" w:rsidP="00DE2B15">
      <w:pPr>
        <w:rPr>
          <w:sz w:val="28"/>
          <w:szCs w:val="22"/>
          <w:u w:val="single"/>
        </w:rPr>
      </w:pPr>
      <w:r w:rsidRPr="00897C32">
        <w:rPr>
          <w:szCs w:val="24"/>
          <w:u w:val="single"/>
        </w:rPr>
        <w:t xml:space="preserve">The NIH COVID-19 risk tiers provided below are only applicable when there is insufficient supply. </w:t>
      </w:r>
      <w:r w:rsidR="005138F0" w:rsidRPr="00897C32">
        <w:rPr>
          <w:szCs w:val="24"/>
          <w:u w:val="single"/>
        </w:rPr>
        <w:t xml:space="preserve">As </w:t>
      </w:r>
      <w:r w:rsidR="00EF64B4" w:rsidRPr="00897C32">
        <w:rPr>
          <w:szCs w:val="24"/>
          <w:u w:val="single"/>
        </w:rPr>
        <w:t>of</w:t>
      </w:r>
      <w:r w:rsidR="00084B5A" w:rsidRPr="00897C32">
        <w:rPr>
          <w:szCs w:val="24"/>
          <w:u w:val="single"/>
        </w:rPr>
        <w:t xml:space="preserve"> 2/</w:t>
      </w:r>
      <w:r w:rsidR="00EF64B4" w:rsidRPr="00897C32">
        <w:rPr>
          <w:szCs w:val="24"/>
          <w:u w:val="single"/>
        </w:rPr>
        <w:t>18</w:t>
      </w:r>
      <w:r w:rsidR="00084B5A" w:rsidRPr="00897C32">
        <w:rPr>
          <w:szCs w:val="24"/>
          <w:u w:val="single"/>
        </w:rPr>
        <w:t xml:space="preserve">/2022, </w:t>
      </w:r>
      <w:r w:rsidR="005138F0" w:rsidRPr="00897C32">
        <w:rPr>
          <w:szCs w:val="24"/>
          <w:u w:val="single"/>
        </w:rPr>
        <w:t xml:space="preserve">there are no supply constraints. </w:t>
      </w:r>
    </w:p>
    <w:tbl>
      <w:tblPr>
        <w:tblpPr w:leftFromText="180" w:rightFromText="180" w:vertAnchor="text" w:horzAnchor="margin" w:tblpY="143"/>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32"/>
        <w:gridCol w:w="3882"/>
        <w:gridCol w:w="1341"/>
        <w:gridCol w:w="2519"/>
        <w:gridCol w:w="2336"/>
      </w:tblGrid>
      <w:tr w:rsidR="00B65681" w:rsidRPr="00D0578F" w14:paraId="7511509C" w14:textId="77777777" w:rsidTr="00897C32">
        <w:trPr>
          <w:trHeight w:val="360"/>
        </w:trPr>
        <w:tc>
          <w:tcPr>
            <w:tcW w:w="4500" w:type="dxa"/>
            <w:gridSpan w:val="2"/>
            <w:tcBorders>
              <w:top w:val="nil"/>
              <w:left w:val="nil"/>
              <w:bottom w:val="nil"/>
              <w:right w:val="nil"/>
            </w:tcBorders>
          </w:tcPr>
          <w:p w14:paraId="06C0D6A9" w14:textId="77777777" w:rsidR="00EF64B4" w:rsidRPr="00AE55DB" w:rsidRDefault="00EF64B4" w:rsidP="00EF64B4">
            <w:pPr>
              <w:rPr>
                <w:i/>
                <w:iCs/>
                <w:sz w:val="22"/>
                <w:szCs w:val="22"/>
              </w:rPr>
            </w:pPr>
          </w:p>
        </w:tc>
        <w:tc>
          <w:tcPr>
            <w:tcW w:w="1346" w:type="dxa"/>
            <w:tcBorders>
              <w:top w:val="nil"/>
              <w:left w:val="nil"/>
              <w:bottom w:val="nil"/>
              <w:right w:val="nil"/>
            </w:tcBorders>
          </w:tcPr>
          <w:p w14:paraId="6F1F4643" w14:textId="77777777" w:rsidR="00EF64B4" w:rsidRPr="00D0578F" w:rsidRDefault="00EF64B4" w:rsidP="00EF64B4">
            <w:pPr>
              <w:jc w:val="center"/>
              <w:rPr>
                <w:sz w:val="22"/>
                <w:szCs w:val="22"/>
              </w:rPr>
            </w:pPr>
          </w:p>
        </w:tc>
        <w:tc>
          <w:tcPr>
            <w:tcW w:w="4864" w:type="dxa"/>
            <w:gridSpan w:val="2"/>
            <w:tcBorders>
              <w:top w:val="nil"/>
              <w:left w:val="nil"/>
              <w:bottom w:val="nil"/>
              <w:right w:val="nil"/>
            </w:tcBorders>
            <w:vAlign w:val="center"/>
          </w:tcPr>
          <w:p w14:paraId="2EF7D774" w14:textId="5FAD260D" w:rsidR="00EF64B4" w:rsidRPr="00897C32" w:rsidRDefault="00EF64B4" w:rsidP="00EF64B4">
            <w:pPr>
              <w:jc w:val="center"/>
              <w:rPr>
                <w:b/>
                <w:bCs/>
                <w:sz w:val="22"/>
                <w:szCs w:val="22"/>
              </w:rPr>
            </w:pPr>
            <w:r w:rsidRPr="00897C32">
              <w:rPr>
                <w:b/>
                <w:bCs/>
                <w:sz w:val="22"/>
                <w:szCs w:val="22"/>
              </w:rPr>
              <w:t>Recommendation</w:t>
            </w:r>
          </w:p>
        </w:tc>
      </w:tr>
      <w:tr w:rsidR="00B65681" w:rsidRPr="00D0578F" w14:paraId="6F054F23" w14:textId="77777777" w:rsidTr="00897C32">
        <w:trPr>
          <w:trHeight w:val="68"/>
        </w:trPr>
        <w:tc>
          <w:tcPr>
            <w:tcW w:w="0" w:type="auto"/>
            <w:tcBorders>
              <w:top w:val="nil"/>
              <w:left w:val="nil"/>
              <w:bottom w:val="single" w:sz="4" w:space="0" w:color="auto"/>
              <w:right w:val="nil"/>
            </w:tcBorders>
            <w:vAlign w:val="center"/>
          </w:tcPr>
          <w:p w14:paraId="77B55BB0" w14:textId="77777777" w:rsidR="00EF64B4" w:rsidRPr="00D0578F" w:rsidRDefault="00EF64B4" w:rsidP="00EF64B4">
            <w:pPr>
              <w:rPr>
                <w:sz w:val="22"/>
                <w:szCs w:val="22"/>
              </w:rPr>
            </w:pPr>
          </w:p>
        </w:tc>
        <w:tc>
          <w:tcPr>
            <w:tcW w:w="3892" w:type="dxa"/>
            <w:tcBorders>
              <w:top w:val="nil"/>
              <w:left w:val="nil"/>
              <w:bottom w:val="single" w:sz="4" w:space="0" w:color="auto"/>
              <w:right w:val="nil"/>
            </w:tcBorders>
            <w:shd w:val="clear" w:color="auto" w:fill="auto"/>
            <w:vAlign w:val="center"/>
          </w:tcPr>
          <w:p w14:paraId="038B5C30" w14:textId="77777777" w:rsidR="00EF64B4" w:rsidRPr="00D0578F" w:rsidRDefault="00EF64B4" w:rsidP="00EF64B4">
            <w:pPr>
              <w:rPr>
                <w:sz w:val="22"/>
                <w:szCs w:val="22"/>
              </w:rPr>
            </w:pPr>
          </w:p>
        </w:tc>
        <w:tc>
          <w:tcPr>
            <w:tcW w:w="1346" w:type="dxa"/>
            <w:tcBorders>
              <w:top w:val="nil"/>
              <w:left w:val="nil"/>
              <w:bottom w:val="nil"/>
              <w:right w:val="nil"/>
            </w:tcBorders>
          </w:tcPr>
          <w:p w14:paraId="145C4A9F" w14:textId="77777777" w:rsidR="00EF64B4" w:rsidRPr="00D0578F" w:rsidRDefault="00EF64B4" w:rsidP="00EF64B4">
            <w:pPr>
              <w:rPr>
                <w:sz w:val="22"/>
                <w:szCs w:val="22"/>
              </w:rPr>
            </w:pPr>
          </w:p>
        </w:tc>
        <w:tc>
          <w:tcPr>
            <w:tcW w:w="4864" w:type="dxa"/>
            <w:gridSpan w:val="2"/>
            <w:tcBorders>
              <w:top w:val="nil"/>
              <w:left w:val="nil"/>
              <w:bottom w:val="single" w:sz="4" w:space="0" w:color="auto"/>
              <w:right w:val="nil"/>
            </w:tcBorders>
            <w:vAlign w:val="center"/>
          </w:tcPr>
          <w:p w14:paraId="3B8817C9" w14:textId="07794996" w:rsidR="00EF64B4" w:rsidRPr="00897C32" w:rsidRDefault="005138F0" w:rsidP="00897C32">
            <w:pPr>
              <w:jc w:val="center"/>
              <w:rPr>
                <w:i/>
                <w:iCs/>
                <w:sz w:val="22"/>
                <w:szCs w:val="22"/>
              </w:rPr>
            </w:pPr>
            <w:r>
              <w:rPr>
                <w:i/>
                <w:iCs/>
                <w:sz w:val="22"/>
                <w:szCs w:val="22"/>
              </w:rPr>
              <w:t>Based on sy</w:t>
            </w:r>
            <w:r w:rsidR="00EF64B4" w:rsidRPr="00897C32">
              <w:rPr>
                <w:i/>
                <w:iCs/>
                <w:sz w:val="22"/>
                <w:szCs w:val="22"/>
              </w:rPr>
              <w:t>mptom onset timeline</w:t>
            </w:r>
          </w:p>
        </w:tc>
      </w:tr>
      <w:tr w:rsidR="00B65681" w:rsidRPr="00D0578F" w14:paraId="0E548100" w14:textId="77777777" w:rsidTr="00897C32">
        <w:trPr>
          <w:trHeight w:val="641"/>
        </w:trPr>
        <w:tc>
          <w:tcPr>
            <w:tcW w:w="0" w:type="auto"/>
            <w:tcBorders>
              <w:top w:val="single" w:sz="4" w:space="0" w:color="auto"/>
            </w:tcBorders>
            <w:vAlign w:val="center"/>
          </w:tcPr>
          <w:p w14:paraId="344E57D9" w14:textId="77777777" w:rsidR="00EF64B4" w:rsidRPr="00897C32" w:rsidRDefault="00EF64B4" w:rsidP="00897C32">
            <w:pPr>
              <w:jc w:val="center"/>
              <w:rPr>
                <w:b/>
                <w:bCs/>
                <w:sz w:val="22"/>
                <w:szCs w:val="22"/>
              </w:rPr>
            </w:pPr>
            <w:r w:rsidRPr="00897C32">
              <w:rPr>
                <w:b/>
                <w:bCs/>
                <w:sz w:val="22"/>
                <w:szCs w:val="22"/>
              </w:rPr>
              <w:t>NIH</w:t>
            </w:r>
          </w:p>
          <w:p w14:paraId="3C8CFE51" w14:textId="77777777" w:rsidR="00EF64B4" w:rsidRPr="00897C32" w:rsidRDefault="00EF64B4" w:rsidP="00897C32">
            <w:pPr>
              <w:jc w:val="center"/>
              <w:rPr>
                <w:b/>
                <w:bCs/>
                <w:sz w:val="22"/>
                <w:szCs w:val="22"/>
              </w:rPr>
            </w:pPr>
            <w:r w:rsidRPr="00897C32">
              <w:rPr>
                <w:b/>
                <w:bCs/>
                <w:sz w:val="22"/>
                <w:szCs w:val="22"/>
              </w:rPr>
              <w:t>Tier</w:t>
            </w:r>
          </w:p>
        </w:tc>
        <w:tc>
          <w:tcPr>
            <w:tcW w:w="3892" w:type="dxa"/>
            <w:tcBorders>
              <w:top w:val="single" w:sz="4" w:space="0" w:color="auto"/>
              <w:bottom w:val="single" w:sz="4" w:space="0" w:color="auto"/>
              <w:right w:val="single" w:sz="4" w:space="0" w:color="auto"/>
            </w:tcBorders>
            <w:shd w:val="clear" w:color="auto" w:fill="auto"/>
            <w:vAlign w:val="center"/>
          </w:tcPr>
          <w:p w14:paraId="08054524" w14:textId="77777777" w:rsidR="00EF64B4" w:rsidRPr="00897C32" w:rsidRDefault="00EF64B4" w:rsidP="00897C32">
            <w:pPr>
              <w:jc w:val="center"/>
              <w:rPr>
                <w:b/>
                <w:bCs/>
                <w:sz w:val="22"/>
                <w:szCs w:val="22"/>
                <w:vertAlign w:val="superscript"/>
              </w:rPr>
            </w:pPr>
            <w:r w:rsidRPr="00897C32">
              <w:rPr>
                <w:b/>
                <w:bCs/>
                <w:sz w:val="22"/>
                <w:szCs w:val="22"/>
              </w:rPr>
              <w:t>Patient characteristics</w:t>
            </w:r>
            <w:r w:rsidRPr="00897C32">
              <w:rPr>
                <w:b/>
                <w:bCs/>
                <w:sz w:val="22"/>
              </w:rPr>
              <w:t>*</w:t>
            </w:r>
          </w:p>
        </w:tc>
        <w:tc>
          <w:tcPr>
            <w:tcW w:w="1346" w:type="dxa"/>
            <w:tcBorders>
              <w:top w:val="nil"/>
              <w:left w:val="single" w:sz="4" w:space="0" w:color="auto"/>
              <w:bottom w:val="nil"/>
              <w:right w:val="single" w:sz="4" w:space="0" w:color="auto"/>
            </w:tcBorders>
          </w:tcPr>
          <w:p w14:paraId="6EA85946" w14:textId="1979A055" w:rsidR="00EF64B4" w:rsidRPr="00D0578F" w:rsidRDefault="005138F0" w:rsidP="00EF64B4">
            <w:pPr>
              <w:rPr>
                <w:sz w:val="22"/>
                <w:szCs w:val="22"/>
              </w:rPr>
            </w:pPr>
            <w:r>
              <w:rPr>
                <w:noProof/>
              </w:rPr>
              <mc:AlternateContent>
                <mc:Choice Requires="wps">
                  <w:drawing>
                    <wp:anchor distT="0" distB="0" distL="114300" distR="114300" simplePos="0" relativeHeight="251661824" behindDoc="0" locked="0" layoutInCell="1" allowOverlap="1" wp14:anchorId="3A557BF6" wp14:editId="102001A4">
                      <wp:simplePos x="0" y="0"/>
                      <wp:positionH relativeFrom="column">
                        <wp:posOffset>-965700</wp:posOffset>
                      </wp:positionH>
                      <wp:positionV relativeFrom="paragraph">
                        <wp:posOffset>1332975</wp:posOffset>
                      </wp:positionV>
                      <wp:extent cx="2543025" cy="716224"/>
                      <wp:effectExtent l="0" t="953" r="9208" b="9207"/>
                      <wp:wrapNone/>
                      <wp:docPr id="3" name="Isosceles Triangle 2">
                        <a:extLst xmlns:a="http://schemas.openxmlformats.org/drawingml/2006/main">
                          <a:ext uri="{FF2B5EF4-FFF2-40B4-BE49-F238E27FC236}">
                            <a16:creationId xmlns:a16="http://schemas.microsoft.com/office/drawing/2014/main" id="{5FBB22FB-6183-4385-9D97-14C3A047F08A}"/>
                          </a:ext>
                        </a:extLst>
                      </wp:docPr>
                      <wp:cNvGraphicFramePr/>
                      <a:graphic xmlns:a="http://schemas.openxmlformats.org/drawingml/2006/main">
                        <a:graphicData uri="http://schemas.microsoft.com/office/word/2010/wordprocessingShape">
                          <wps:wsp>
                            <wps:cNvSpPr/>
                            <wps:spPr>
                              <a:xfrm rot="5400000">
                                <a:off x="0" y="0"/>
                                <a:ext cx="2543025" cy="716224"/>
                              </a:xfrm>
                              <a:prstGeom prst="triangle">
                                <a:avLst>
                                  <a:gd name="adj" fmla="val 48890"/>
                                </a:avLst>
                              </a:prstGeom>
                              <a:solidFill>
                                <a:schemeClr val="bg2">
                                  <a:lumMod val="90000"/>
                                </a:schemeClr>
                              </a:solidFill>
                              <a:ln w="12700" cap="flat" cmpd="sng" algn="ctr">
                                <a:noFill/>
                                <a:prstDash val="solid"/>
                                <a:miter lim="800000"/>
                              </a:ln>
                              <a:effectLst/>
                            </wps:spPr>
                            <wps:txbx>
                              <w:txbxContent>
                                <w:p w14:paraId="724952F6" w14:textId="6E8DFC93" w:rsidR="005138F0" w:rsidRPr="00897C32" w:rsidRDefault="005138F0" w:rsidP="00897C32">
                                  <w:pPr>
                                    <w:jc w:val="center"/>
                                    <w:rPr>
                                      <w:rStyle w:val="Emphasis"/>
                                    </w:rPr>
                                  </w:pP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A557B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8" type="#_x0000_t5" style="position:absolute;margin-left:-76.05pt;margin-top:104.95pt;width:200.25pt;height:56.4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" adj="10560" fillcolor="#cfcdcd [2894]" stroked="f" strokeweight="1pt">
                      <v:textbox style="layout-flow:vertical;mso-layout-flow-alt:bottom-to-top">
                        <w:txbxContent>
                          <w:p w14:paraId="724952F6" w14:textId="6E8DFC93" w:rsidR="005138F0" w:rsidRPr="00897C32" w:rsidRDefault="005138F0" w:rsidP="00897C32">
                            <w:pPr>
                              <w:jc w:val="center"/>
                              <w:rPr>
                                <w:rStyle w:val="Emphasis"/>
                              </w:rPr>
                            </w:pPr>
                          </w:p>
                        </w:txbxContent>
                      </v:textbox>
                    </v:shape>
                  </w:pict>
                </mc:Fallback>
              </mc:AlternateContent>
            </w:r>
          </w:p>
        </w:tc>
        <w:tc>
          <w:tcPr>
            <w:tcW w:w="2524" w:type="dxa"/>
            <w:tcBorders>
              <w:top w:val="single" w:sz="4" w:space="0" w:color="auto"/>
              <w:left w:val="single" w:sz="4" w:space="0" w:color="auto"/>
              <w:bottom w:val="single" w:sz="4" w:space="0" w:color="auto"/>
            </w:tcBorders>
            <w:vAlign w:val="center"/>
          </w:tcPr>
          <w:p w14:paraId="4D3A3624" w14:textId="13C9C727" w:rsidR="00EF64B4" w:rsidRPr="00897C32" w:rsidRDefault="00EF64B4" w:rsidP="00897C32">
            <w:pPr>
              <w:jc w:val="center"/>
              <w:rPr>
                <w:b/>
                <w:bCs/>
                <w:sz w:val="22"/>
                <w:szCs w:val="22"/>
              </w:rPr>
            </w:pPr>
            <w:r w:rsidRPr="00897C32">
              <w:rPr>
                <w:b/>
                <w:bCs/>
                <w:sz w:val="22"/>
                <w:szCs w:val="22"/>
              </w:rPr>
              <w:t>Within 5 days of symptom onset</w:t>
            </w:r>
          </w:p>
        </w:tc>
        <w:tc>
          <w:tcPr>
            <w:tcW w:w="2340" w:type="dxa"/>
            <w:tcBorders>
              <w:top w:val="single" w:sz="4" w:space="0" w:color="auto"/>
              <w:bottom w:val="single" w:sz="4" w:space="0" w:color="auto"/>
            </w:tcBorders>
            <w:vAlign w:val="center"/>
          </w:tcPr>
          <w:p w14:paraId="4D3BE888" w14:textId="3EE9E242" w:rsidR="00EF64B4" w:rsidRPr="00897C32" w:rsidRDefault="00EF64B4" w:rsidP="00897C32">
            <w:pPr>
              <w:jc w:val="center"/>
              <w:rPr>
                <w:b/>
                <w:bCs/>
                <w:sz w:val="22"/>
                <w:szCs w:val="22"/>
              </w:rPr>
            </w:pPr>
            <w:r w:rsidRPr="00897C32">
              <w:rPr>
                <w:b/>
                <w:bCs/>
                <w:sz w:val="22"/>
                <w:szCs w:val="22"/>
              </w:rPr>
              <w:t xml:space="preserve">Between 5 – </w:t>
            </w:r>
            <w:r w:rsidR="008C6150">
              <w:rPr>
                <w:b/>
                <w:bCs/>
                <w:sz w:val="22"/>
                <w:szCs w:val="22"/>
              </w:rPr>
              <w:t>7</w:t>
            </w:r>
            <w:r w:rsidRPr="00897C32">
              <w:rPr>
                <w:b/>
                <w:bCs/>
                <w:sz w:val="22"/>
                <w:szCs w:val="22"/>
              </w:rPr>
              <w:t xml:space="preserve"> days of symptom onset</w:t>
            </w:r>
          </w:p>
        </w:tc>
      </w:tr>
      <w:tr w:rsidR="00B65681" w:rsidRPr="00D0578F" w14:paraId="1E6A0DDA" w14:textId="77777777" w:rsidTr="00897C32">
        <w:trPr>
          <w:trHeight w:val="640"/>
        </w:trPr>
        <w:tc>
          <w:tcPr>
            <w:tcW w:w="0" w:type="auto"/>
            <w:vAlign w:val="center"/>
          </w:tcPr>
          <w:p w14:paraId="5AE59D70" w14:textId="77777777" w:rsidR="00EF64B4" w:rsidRPr="00D0578F" w:rsidRDefault="00EF64B4" w:rsidP="00EF64B4">
            <w:pPr>
              <w:jc w:val="center"/>
              <w:rPr>
                <w:sz w:val="22"/>
                <w:szCs w:val="22"/>
              </w:rPr>
            </w:pPr>
            <w:r w:rsidRPr="00D0578F">
              <w:rPr>
                <w:sz w:val="22"/>
                <w:szCs w:val="22"/>
              </w:rPr>
              <w:t>1</w:t>
            </w:r>
          </w:p>
          <w:p w14:paraId="35D5B39F" w14:textId="77777777" w:rsidR="00EF64B4" w:rsidRPr="00D0578F" w:rsidRDefault="00EF64B4" w:rsidP="00EF64B4">
            <w:pPr>
              <w:rPr>
                <w:sz w:val="22"/>
                <w:szCs w:val="22"/>
              </w:rPr>
            </w:pPr>
          </w:p>
          <w:p w14:paraId="62589DBF" w14:textId="77777777" w:rsidR="00EF64B4" w:rsidRPr="00D0578F" w:rsidRDefault="00EF64B4" w:rsidP="00EF64B4">
            <w:pPr>
              <w:rPr>
                <w:sz w:val="22"/>
                <w:szCs w:val="22"/>
              </w:rPr>
            </w:pPr>
          </w:p>
        </w:tc>
        <w:tc>
          <w:tcPr>
            <w:tcW w:w="3892" w:type="dxa"/>
            <w:tcBorders>
              <w:bottom w:val="single" w:sz="4" w:space="0" w:color="auto"/>
              <w:right w:val="single" w:sz="4" w:space="0" w:color="auto"/>
            </w:tcBorders>
            <w:shd w:val="clear" w:color="auto" w:fill="auto"/>
            <w:vAlign w:val="center"/>
          </w:tcPr>
          <w:p w14:paraId="7CA8910F" w14:textId="375439A7" w:rsidR="00EF64B4" w:rsidRDefault="00EF64B4" w:rsidP="00EF64B4">
            <w:pPr>
              <w:rPr>
                <w:sz w:val="22"/>
                <w:szCs w:val="22"/>
              </w:rPr>
            </w:pPr>
            <w:r w:rsidRPr="00D0578F">
              <w:rPr>
                <w:sz w:val="22"/>
                <w:szCs w:val="22"/>
              </w:rPr>
              <w:t xml:space="preserve">Moderate-to-severe </w:t>
            </w:r>
            <w:proofErr w:type="gramStart"/>
            <w:r w:rsidRPr="00D0578F">
              <w:rPr>
                <w:sz w:val="22"/>
                <w:szCs w:val="22"/>
              </w:rPr>
              <w:t>immunosuppression</w:t>
            </w:r>
            <w:r>
              <w:rPr>
                <w:sz w:val="22"/>
                <w:szCs w:val="22"/>
              </w:rPr>
              <w:t>;</w:t>
            </w:r>
            <w:proofErr w:type="gramEnd"/>
          </w:p>
          <w:p w14:paraId="69D1E322" w14:textId="7DD5067C" w:rsidR="00EF64B4" w:rsidRDefault="00EF64B4" w:rsidP="00EF64B4">
            <w:pPr>
              <w:rPr>
                <w:sz w:val="22"/>
                <w:szCs w:val="22"/>
              </w:rPr>
            </w:pPr>
            <w:r w:rsidRPr="00D0578F">
              <w:rPr>
                <w:sz w:val="22"/>
                <w:szCs w:val="22"/>
              </w:rPr>
              <w:t xml:space="preserve">Not fully vaccinated </w:t>
            </w:r>
            <w:r>
              <w:rPr>
                <w:sz w:val="22"/>
                <w:szCs w:val="22"/>
              </w:rPr>
              <w:t>and</w:t>
            </w:r>
            <w:r w:rsidRPr="00D0578F">
              <w:rPr>
                <w:sz w:val="22"/>
                <w:szCs w:val="22"/>
              </w:rPr>
              <w:t xml:space="preserve"> age ≥ 75 </w:t>
            </w:r>
            <w:proofErr w:type="gramStart"/>
            <w:r w:rsidRPr="00D0578F">
              <w:rPr>
                <w:sz w:val="22"/>
                <w:szCs w:val="22"/>
              </w:rPr>
              <w:t>years</w:t>
            </w:r>
            <w:r>
              <w:rPr>
                <w:sz w:val="22"/>
                <w:szCs w:val="22"/>
              </w:rPr>
              <w:t>;</w:t>
            </w:r>
            <w:proofErr w:type="gramEnd"/>
          </w:p>
          <w:p w14:paraId="340384C4" w14:textId="248D72AC" w:rsidR="00EF64B4" w:rsidRPr="00D0578F" w:rsidRDefault="00EF64B4" w:rsidP="00EF64B4">
            <w:pPr>
              <w:rPr>
                <w:sz w:val="22"/>
                <w:szCs w:val="22"/>
              </w:rPr>
            </w:pPr>
            <w:r w:rsidRPr="00D0578F">
              <w:rPr>
                <w:sz w:val="22"/>
                <w:szCs w:val="22"/>
              </w:rPr>
              <w:t>Not fully vaccinated and age ≥ 65 years plus additional risk factor</w:t>
            </w:r>
          </w:p>
        </w:tc>
        <w:tc>
          <w:tcPr>
            <w:tcW w:w="1346" w:type="dxa"/>
            <w:tcBorders>
              <w:top w:val="nil"/>
              <w:left w:val="single" w:sz="4" w:space="0" w:color="auto"/>
              <w:bottom w:val="nil"/>
              <w:right w:val="single" w:sz="4" w:space="0" w:color="auto"/>
            </w:tcBorders>
          </w:tcPr>
          <w:p w14:paraId="7D4D3A27" w14:textId="0E29C5B2" w:rsidR="00EF64B4" w:rsidRPr="00D0578F" w:rsidRDefault="00EF64B4" w:rsidP="00EF64B4">
            <w:pPr>
              <w:rPr>
                <w:sz w:val="22"/>
                <w:szCs w:val="22"/>
              </w:rPr>
            </w:pPr>
          </w:p>
        </w:tc>
        <w:tc>
          <w:tcPr>
            <w:tcW w:w="2524" w:type="dxa"/>
            <w:vMerge w:val="restart"/>
            <w:tcBorders>
              <w:top w:val="single" w:sz="4" w:space="0" w:color="auto"/>
              <w:left w:val="single" w:sz="4" w:space="0" w:color="auto"/>
              <w:bottom w:val="single" w:sz="4" w:space="0" w:color="auto"/>
              <w:right w:val="single" w:sz="4" w:space="0" w:color="auto"/>
            </w:tcBorders>
            <w:vAlign w:val="center"/>
          </w:tcPr>
          <w:p w14:paraId="06091EE2" w14:textId="6509F7FD" w:rsidR="00EF64B4" w:rsidRPr="00D0578F" w:rsidRDefault="00EF64B4" w:rsidP="00171C3B">
            <w:pPr>
              <w:jc w:val="center"/>
              <w:rPr>
                <w:sz w:val="22"/>
                <w:szCs w:val="22"/>
              </w:rPr>
            </w:pPr>
            <w:proofErr w:type="spellStart"/>
            <w:r w:rsidRPr="00D0578F">
              <w:rPr>
                <w:sz w:val="22"/>
                <w:szCs w:val="22"/>
              </w:rPr>
              <w:t>Nirmatrelvir</w:t>
            </w:r>
            <w:proofErr w:type="spellEnd"/>
            <w:r w:rsidRPr="00D0578F">
              <w:rPr>
                <w:sz w:val="22"/>
                <w:szCs w:val="22"/>
              </w:rPr>
              <w:t>/r preferred.</w:t>
            </w:r>
          </w:p>
          <w:p w14:paraId="54457E7E" w14:textId="2410782F" w:rsidR="00EF64B4" w:rsidRPr="00D0578F" w:rsidRDefault="00EF64B4" w:rsidP="00A551BF">
            <w:pPr>
              <w:rPr>
                <w:sz w:val="22"/>
                <w:szCs w:val="22"/>
              </w:rPr>
            </w:pPr>
          </w:p>
          <w:p w14:paraId="091280F1" w14:textId="06EACB47" w:rsidR="00EF64B4" w:rsidRPr="00D0578F" w:rsidRDefault="00EF64B4" w:rsidP="00897C32">
            <w:pPr>
              <w:jc w:val="center"/>
              <w:rPr>
                <w:sz w:val="22"/>
                <w:szCs w:val="22"/>
              </w:rPr>
            </w:pPr>
            <w:r w:rsidRPr="00D0578F">
              <w:rPr>
                <w:sz w:val="22"/>
                <w:szCs w:val="22"/>
              </w:rPr>
              <w:t xml:space="preserve">If </w:t>
            </w:r>
            <w:proofErr w:type="spellStart"/>
            <w:r w:rsidRPr="00D0578F">
              <w:rPr>
                <w:sz w:val="22"/>
                <w:szCs w:val="22"/>
              </w:rPr>
              <w:t>nirmatrelvir</w:t>
            </w:r>
            <w:proofErr w:type="spellEnd"/>
            <w:r w:rsidRPr="00D0578F">
              <w:rPr>
                <w:sz w:val="22"/>
                <w:szCs w:val="22"/>
              </w:rPr>
              <w:t>/r, not appropriate or available,</w:t>
            </w:r>
          </w:p>
          <w:p w14:paraId="25E956DF" w14:textId="338D99F5" w:rsidR="00EF64B4" w:rsidRDefault="00747922" w:rsidP="00897C32">
            <w:pPr>
              <w:jc w:val="center"/>
              <w:rPr>
                <w:sz w:val="22"/>
                <w:szCs w:val="22"/>
              </w:rPr>
            </w:pPr>
            <w:r>
              <w:rPr>
                <w:sz w:val="22"/>
                <w:szCs w:val="22"/>
              </w:rPr>
              <w:t>remdesivir</w:t>
            </w:r>
            <w:r w:rsidR="00EF64B4" w:rsidRPr="00D0578F">
              <w:rPr>
                <w:sz w:val="22"/>
                <w:szCs w:val="22"/>
              </w:rPr>
              <w:t xml:space="preserve"> preferred.</w:t>
            </w:r>
          </w:p>
          <w:p w14:paraId="7B77911E" w14:textId="3507261C" w:rsidR="001D115B" w:rsidRDefault="001D115B" w:rsidP="00897C32">
            <w:pPr>
              <w:jc w:val="center"/>
              <w:rPr>
                <w:sz w:val="22"/>
                <w:szCs w:val="22"/>
              </w:rPr>
            </w:pPr>
          </w:p>
          <w:p w14:paraId="6E4DBD89" w14:textId="2EF91665" w:rsidR="001D115B" w:rsidRPr="00D0578F" w:rsidRDefault="001D115B" w:rsidP="00897C32">
            <w:pPr>
              <w:jc w:val="center"/>
              <w:rPr>
                <w:sz w:val="22"/>
                <w:szCs w:val="22"/>
              </w:rPr>
            </w:pPr>
            <w:r w:rsidRPr="001D115B">
              <w:rPr>
                <w:sz w:val="22"/>
                <w:szCs w:val="22"/>
              </w:rPr>
              <w:t xml:space="preserve">If </w:t>
            </w:r>
            <w:proofErr w:type="spellStart"/>
            <w:r w:rsidRPr="001D115B">
              <w:rPr>
                <w:sz w:val="22"/>
                <w:szCs w:val="22"/>
              </w:rPr>
              <w:t>nirmatrelvir</w:t>
            </w:r>
            <w:proofErr w:type="spellEnd"/>
            <w:r w:rsidRPr="001D115B">
              <w:rPr>
                <w:sz w:val="22"/>
                <w:szCs w:val="22"/>
              </w:rPr>
              <w:t xml:space="preserve">/r </w:t>
            </w:r>
            <w:r w:rsidR="00B65681">
              <w:rPr>
                <w:sz w:val="22"/>
                <w:szCs w:val="22"/>
              </w:rPr>
              <w:t xml:space="preserve">or remdesivir </w:t>
            </w:r>
            <w:r w:rsidRPr="001D115B">
              <w:rPr>
                <w:sz w:val="22"/>
                <w:szCs w:val="22"/>
              </w:rPr>
              <w:t xml:space="preserve">not appropriate or available, </w:t>
            </w:r>
            <w:proofErr w:type="spellStart"/>
            <w:r w:rsidR="00B65681">
              <w:rPr>
                <w:sz w:val="22"/>
                <w:szCs w:val="22"/>
              </w:rPr>
              <w:t>bebtelovimab</w:t>
            </w:r>
            <w:proofErr w:type="spellEnd"/>
            <w:r w:rsidR="00B65681">
              <w:rPr>
                <w:sz w:val="22"/>
                <w:szCs w:val="22"/>
              </w:rPr>
              <w:t xml:space="preserve"> preferred.</w:t>
            </w:r>
          </w:p>
          <w:p w14:paraId="03B68122" w14:textId="77777777" w:rsidR="00EF64B4" w:rsidRPr="00D0578F" w:rsidRDefault="00EF64B4" w:rsidP="00897C32">
            <w:pPr>
              <w:jc w:val="center"/>
              <w:rPr>
                <w:sz w:val="22"/>
                <w:szCs w:val="22"/>
              </w:rPr>
            </w:pPr>
          </w:p>
          <w:p w14:paraId="790EB88D" w14:textId="2D99D592" w:rsidR="00EF64B4" w:rsidRPr="00D0578F" w:rsidRDefault="00EF64B4" w:rsidP="00897C32">
            <w:pPr>
              <w:jc w:val="center"/>
              <w:rPr>
                <w:sz w:val="22"/>
                <w:szCs w:val="22"/>
              </w:rPr>
            </w:pPr>
            <w:proofErr w:type="spellStart"/>
            <w:r w:rsidRPr="00D0578F">
              <w:rPr>
                <w:sz w:val="22"/>
                <w:szCs w:val="22"/>
              </w:rPr>
              <w:t>Molnupiravir</w:t>
            </w:r>
            <w:proofErr w:type="spellEnd"/>
            <w:r w:rsidRPr="00D0578F">
              <w:rPr>
                <w:sz w:val="22"/>
                <w:szCs w:val="22"/>
              </w:rPr>
              <w:t xml:space="preserve"> may be used if other therapies not appropriate or available. ***</w:t>
            </w:r>
          </w:p>
        </w:tc>
        <w:tc>
          <w:tcPr>
            <w:tcW w:w="2340" w:type="dxa"/>
            <w:vMerge w:val="restart"/>
            <w:tcBorders>
              <w:top w:val="single" w:sz="4" w:space="0" w:color="auto"/>
              <w:left w:val="single" w:sz="4" w:space="0" w:color="auto"/>
              <w:bottom w:val="single" w:sz="4" w:space="0" w:color="auto"/>
            </w:tcBorders>
            <w:vAlign w:val="center"/>
          </w:tcPr>
          <w:p w14:paraId="41E34E9E" w14:textId="4D52FBC4" w:rsidR="00747922" w:rsidRDefault="00B65681" w:rsidP="00747922">
            <w:pPr>
              <w:jc w:val="center"/>
              <w:rPr>
                <w:sz w:val="22"/>
                <w:szCs w:val="22"/>
              </w:rPr>
            </w:pPr>
            <w:r>
              <w:rPr>
                <w:sz w:val="22"/>
                <w:szCs w:val="22"/>
              </w:rPr>
              <w:t>R</w:t>
            </w:r>
            <w:r w:rsidR="00747922">
              <w:rPr>
                <w:sz w:val="22"/>
                <w:szCs w:val="22"/>
              </w:rPr>
              <w:t>emdesivir</w:t>
            </w:r>
            <w:r>
              <w:rPr>
                <w:sz w:val="22"/>
                <w:szCs w:val="22"/>
              </w:rPr>
              <w:t xml:space="preserve"> preferred.</w:t>
            </w:r>
          </w:p>
          <w:p w14:paraId="009E1A84" w14:textId="77777777" w:rsidR="00747922" w:rsidRDefault="00747922" w:rsidP="00A551BF">
            <w:pPr>
              <w:rPr>
                <w:sz w:val="22"/>
                <w:szCs w:val="22"/>
              </w:rPr>
            </w:pPr>
          </w:p>
          <w:p w14:paraId="44CAE532" w14:textId="7F21C56A" w:rsidR="00EF64B4" w:rsidRDefault="00B65681" w:rsidP="00897C32">
            <w:pPr>
              <w:jc w:val="center"/>
              <w:rPr>
                <w:sz w:val="22"/>
                <w:szCs w:val="22"/>
              </w:rPr>
            </w:pPr>
            <w:r>
              <w:rPr>
                <w:sz w:val="22"/>
                <w:szCs w:val="22"/>
              </w:rPr>
              <w:t xml:space="preserve">If remdesivir not appropriate or available, </w:t>
            </w:r>
            <w:proofErr w:type="spellStart"/>
            <w:r>
              <w:rPr>
                <w:sz w:val="22"/>
                <w:szCs w:val="22"/>
              </w:rPr>
              <w:t>bebtelovimab</w:t>
            </w:r>
            <w:proofErr w:type="spellEnd"/>
            <w:r>
              <w:rPr>
                <w:sz w:val="22"/>
                <w:szCs w:val="22"/>
              </w:rPr>
              <w:t xml:space="preserve"> may be used.</w:t>
            </w:r>
          </w:p>
          <w:p w14:paraId="4E30DDFF" w14:textId="77777777" w:rsidR="002218B1" w:rsidRDefault="002218B1" w:rsidP="00897C32">
            <w:pPr>
              <w:jc w:val="center"/>
              <w:rPr>
                <w:sz w:val="22"/>
                <w:szCs w:val="22"/>
              </w:rPr>
            </w:pPr>
          </w:p>
          <w:p w14:paraId="36C77F43" w14:textId="77777777" w:rsidR="00EF64B4" w:rsidRPr="00D0578F" w:rsidRDefault="00EF64B4" w:rsidP="00747922">
            <w:pPr>
              <w:jc w:val="center"/>
              <w:rPr>
                <w:sz w:val="22"/>
                <w:szCs w:val="22"/>
              </w:rPr>
            </w:pPr>
          </w:p>
        </w:tc>
      </w:tr>
      <w:tr w:rsidR="00B65681" w:rsidRPr="00D0578F" w14:paraId="1E4D1456" w14:textId="77777777" w:rsidTr="00897C32">
        <w:trPr>
          <w:trHeight w:val="640"/>
        </w:trPr>
        <w:tc>
          <w:tcPr>
            <w:tcW w:w="0" w:type="auto"/>
            <w:vAlign w:val="center"/>
          </w:tcPr>
          <w:p w14:paraId="65A215DF" w14:textId="77777777" w:rsidR="00EF64B4" w:rsidRPr="00D0578F" w:rsidRDefault="00EF64B4" w:rsidP="00EF64B4">
            <w:pPr>
              <w:jc w:val="center"/>
              <w:rPr>
                <w:sz w:val="22"/>
                <w:szCs w:val="22"/>
              </w:rPr>
            </w:pPr>
            <w:r w:rsidRPr="00D0578F">
              <w:rPr>
                <w:sz w:val="22"/>
                <w:szCs w:val="22"/>
              </w:rPr>
              <w:t>2</w:t>
            </w:r>
          </w:p>
          <w:p w14:paraId="162DF643" w14:textId="77777777" w:rsidR="00EF64B4" w:rsidRPr="00D0578F" w:rsidRDefault="00EF64B4" w:rsidP="00EF64B4">
            <w:pPr>
              <w:rPr>
                <w:sz w:val="22"/>
                <w:szCs w:val="22"/>
              </w:rPr>
            </w:pPr>
          </w:p>
        </w:tc>
        <w:tc>
          <w:tcPr>
            <w:tcW w:w="3892" w:type="dxa"/>
            <w:tcBorders>
              <w:bottom w:val="single" w:sz="4" w:space="0" w:color="auto"/>
              <w:right w:val="single" w:sz="4" w:space="0" w:color="auto"/>
            </w:tcBorders>
            <w:shd w:val="clear" w:color="auto" w:fill="auto"/>
            <w:vAlign w:val="center"/>
          </w:tcPr>
          <w:p w14:paraId="7C4D318B" w14:textId="5460D449" w:rsidR="00EF64B4" w:rsidRDefault="00EF64B4" w:rsidP="00EF64B4">
            <w:pPr>
              <w:rPr>
                <w:sz w:val="22"/>
                <w:szCs w:val="22"/>
              </w:rPr>
            </w:pPr>
            <w:r w:rsidRPr="00D0578F">
              <w:rPr>
                <w:sz w:val="22"/>
                <w:szCs w:val="22"/>
              </w:rPr>
              <w:t xml:space="preserve">Not fully vaccinated and age ≥ </w:t>
            </w:r>
            <w:proofErr w:type="gramStart"/>
            <w:r w:rsidRPr="00D0578F">
              <w:rPr>
                <w:sz w:val="22"/>
                <w:szCs w:val="22"/>
              </w:rPr>
              <w:t>65</w:t>
            </w:r>
            <w:r>
              <w:rPr>
                <w:sz w:val="22"/>
                <w:szCs w:val="22"/>
              </w:rPr>
              <w:t>;</w:t>
            </w:r>
            <w:proofErr w:type="gramEnd"/>
          </w:p>
          <w:p w14:paraId="38728D18" w14:textId="251B0ACA" w:rsidR="00EF64B4" w:rsidRPr="00D0578F" w:rsidRDefault="00EF64B4" w:rsidP="00EF64B4">
            <w:pPr>
              <w:rPr>
                <w:sz w:val="22"/>
                <w:szCs w:val="22"/>
              </w:rPr>
            </w:pPr>
            <w:r w:rsidRPr="00D0578F">
              <w:rPr>
                <w:sz w:val="22"/>
                <w:szCs w:val="22"/>
              </w:rPr>
              <w:t>Not fully vaccinated and age &lt; 65 plus additional risk factor</w:t>
            </w:r>
          </w:p>
        </w:tc>
        <w:tc>
          <w:tcPr>
            <w:tcW w:w="1346" w:type="dxa"/>
            <w:tcBorders>
              <w:top w:val="nil"/>
              <w:left w:val="single" w:sz="4" w:space="0" w:color="auto"/>
              <w:bottom w:val="nil"/>
              <w:right w:val="single" w:sz="4" w:space="0" w:color="auto"/>
            </w:tcBorders>
          </w:tcPr>
          <w:p w14:paraId="653955B5" w14:textId="44A517DE" w:rsidR="00EF64B4" w:rsidRPr="00D0578F" w:rsidRDefault="005138F0" w:rsidP="00EF64B4">
            <w:pPr>
              <w:rPr>
                <w:rFonts w:ascii="Calibri" w:hAnsi="Calibri"/>
                <w:sz w:val="22"/>
                <w:szCs w:val="22"/>
              </w:rPr>
            </w:pPr>
            <w:r>
              <w:rPr>
                <w:noProof/>
                <w:sz w:val="22"/>
                <w:szCs w:val="22"/>
                <w:u w:val="single"/>
              </w:rPr>
              <mc:AlternateContent>
                <mc:Choice Requires="wps">
                  <w:drawing>
                    <wp:anchor distT="0" distB="0" distL="114300" distR="114300" simplePos="0" relativeHeight="251662848" behindDoc="0" locked="0" layoutInCell="1" allowOverlap="1" wp14:anchorId="396BD3A7" wp14:editId="379A945F">
                      <wp:simplePos x="0" y="0"/>
                      <wp:positionH relativeFrom="column">
                        <wp:posOffset>-74641</wp:posOffset>
                      </wp:positionH>
                      <wp:positionV relativeFrom="paragraph">
                        <wp:posOffset>431396</wp:posOffset>
                      </wp:positionV>
                      <wp:extent cx="817418" cy="990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17418" cy="990600"/>
                              </a:xfrm>
                              <a:prstGeom prst="rect">
                                <a:avLst/>
                              </a:prstGeom>
                              <a:noFill/>
                              <a:ln w="6350">
                                <a:noFill/>
                              </a:ln>
                            </wps:spPr>
                            <wps:txbx>
                              <w:txbxContent>
                                <w:p w14:paraId="4A2D171F" w14:textId="6A5917EF" w:rsidR="005138F0" w:rsidRPr="00897C32" w:rsidRDefault="005138F0">
                                  <w:pPr>
                                    <w:rPr>
                                      <w:i/>
                                      <w:iCs/>
                                      <w:sz w:val="22"/>
                                      <w:szCs w:val="18"/>
                                    </w:rPr>
                                  </w:pPr>
                                  <w:r w:rsidRPr="00897C32">
                                    <w:rPr>
                                      <w:i/>
                                      <w:iCs/>
                                      <w:sz w:val="22"/>
                                      <w:szCs w:val="18"/>
                                    </w:rPr>
                                    <w:t>Patients from all tiers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BD3A7" id="Text Box 1" o:spid="_x0000_s1029" type="#_x0000_t202" style="position:absolute;margin-left:-5.9pt;margin-top:33.95pt;width:64.35pt;height: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" filled="f" stroked="f" strokeweight=".5pt">
                      <v:textbox>
                        <w:txbxContent>
                          <w:p w14:paraId="4A2D171F" w14:textId="6A5917EF" w:rsidR="005138F0" w:rsidRPr="00897C32" w:rsidRDefault="005138F0">
                            <w:pPr>
                              <w:rPr>
                                <w:i/>
                                <w:iCs/>
                                <w:sz w:val="22"/>
                                <w:szCs w:val="18"/>
                              </w:rPr>
                            </w:pPr>
                            <w:r w:rsidRPr="00897C32">
                              <w:rPr>
                                <w:i/>
                                <w:iCs/>
                                <w:sz w:val="22"/>
                                <w:szCs w:val="18"/>
                              </w:rPr>
                              <w:t>Patients from all tiers</w:t>
                            </w:r>
                          </w:p>
                        </w:txbxContent>
                      </v:textbox>
                    </v:shape>
                  </w:pict>
                </mc:Fallback>
              </mc:AlternateContent>
            </w:r>
          </w:p>
        </w:tc>
        <w:tc>
          <w:tcPr>
            <w:tcW w:w="2524" w:type="dxa"/>
            <w:vMerge/>
            <w:tcBorders>
              <w:top w:val="single" w:sz="4" w:space="0" w:color="auto"/>
              <w:left w:val="single" w:sz="4" w:space="0" w:color="auto"/>
              <w:bottom w:val="single" w:sz="4" w:space="0" w:color="auto"/>
              <w:right w:val="single" w:sz="4" w:space="0" w:color="auto"/>
            </w:tcBorders>
          </w:tcPr>
          <w:p w14:paraId="1D9BA544" w14:textId="16BCD4B8"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771FE97B" w14:textId="77777777" w:rsidR="00EF64B4" w:rsidRPr="00D0578F" w:rsidRDefault="00EF64B4" w:rsidP="00EF64B4">
            <w:pPr>
              <w:rPr>
                <w:rFonts w:ascii="Calibri" w:hAnsi="Calibri"/>
                <w:sz w:val="22"/>
                <w:szCs w:val="22"/>
              </w:rPr>
            </w:pPr>
          </w:p>
        </w:tc>
      </w:tr>
      <w:tr w:rsidR="00B65681" w:rsidRPr="00D0578F" w14:paraId="65A27AF6" w14:textId="77777777" w:rsidTr="00897C32">
        <w:trPr>
          <w:trHeight w:val="104"/>
        </w:trPr>
        <w:tc>
          <w:tcPr>
            <w:tcW w:w="0" w:type="auto"/>
            <w:vAlign w:val="center"/>
          </w:tcPr>
          <w:p w14:paraId="0E11FC70" w14:textId="77777777" w:rsidR="00EF64B4" w:rsidRPr="00D0578F" w:rsidRDefault="00EF64B4" w:rsidP="00EF64B4">
            <w:pPr>
              <w:jc w:val="center"/>
              <w:rPr>
                <w:sz w:val="22"/>
                <w:szCs w:val="22"/>
              </w:rPr>
            </w:pPr>
            <w:r w:rsidRPr="00D0578F">
              <w:rPr>
                <w:sz w:val="22"/>
                <w:szCs w:val="22"/>
              </w:rPr>
              <w:t>3</w:t>
            </w:r>
          </w:p>
        </w:tc>
        <w:tc>
          <w:tcPr>
            <w:tcW w:w="3892" w:type="dxa"/>
            <w:tcBorders>
              <w:bottom w:val="single" w:sz="4" w:space="0" w:color="auto"/>
              <w:right w:val="single" w:sz="4" w:space="0" w:color="auto"/>
            </w:tcBorders>
            <w:shd w:val="clear" w:color="auto" w:fill="auto"/>
            <w:vAlign w:val="center"/>
          </w:tcPr>
          <w:p w14:paraId="6D2603D0" w14:textId="77777777" w:rsidR="00EF64B4" w:rsidRDefault="00EF64B4" w:rsidP="00EF64B4">
            <w:pPr>
              <w:rPr>
                <w:sz w:val="22"/>
                <w:szCs w:val="22"/>
              </w:rPr>
            </w:pPr>
            <w:r w:rsidRPr="00D0578F">
              <w:rPr>
                <w:sz w:val="22"/>
                <w:szCs w:val="22"/>
              </w:rPr>
              <w:t xml:space="preserve">Vaccinated** and age ≥ </w:t>
            </w:r>
            <w:proofErr w:type="gramStart"/>
            <w:r w:rsidRPr="00D0578F">
              <w:rPr>
                <w:sz w:val="22"/>
                <w:szCs w:val="22"/>
              </w:rPr>
              <w:t>75</w:t>
            </w:r>
            <w:r>
              <w:rPr>
                <w:sz w:val="22"/>
                <w:szCs w:val="22"/>
              </w:rPr>
              <w:t>;</w:t>
            </w:r>
            <w:proofErr w:type="gramEnd"/>
            <w:r>
              <w:rPr>
                <w:sz w:val="22"/>
                <w:szCs w:val="22"/>
              </w:rPr>
              <w:t xml:space="preserve"> </w:t>
            </w:r>
          </w:p>
          <w:p w14:paraId="630E1C51" w14:textId="39DFA879" w:rsidR="00EF64B4" w:rsidRPr="00D0578F" w:rsidRDefault="00EF64B4" w:rsidP="00EF64B4">
            <w:pPr>
              <w:rPr>
                <w:sz w:val="22"/>
                <w:szCs w:val="22"/>
              </w:rPr>
            </w:pPr>
            <w:r w:rsidRPr="00D0578F">
              <w:rPr>
                <w:sz w:val="22"/>
                <w:szCs w:val="22"/>
              </w:rPr>
              <w:t>Vaccinated and age ≥ 65 years plus additional risk factor</w:t>
            </w:r>
          </w:p>
        </w:tc>
        <w:tc>
          <w:tcPr>
            <w:tcW w:w="1346" w:type="dxa"/>
            <w:tcBorders>
              <w:top w:val="nil"/>
              <w:left w:val="single" w:sz="4" w:space="0" w:color="auto"/>
              <w:bottom w:val="nil"/>
              <w:right w:val="single" w:sz="4" w:space="0" w:color="auto"/>
            </w:tcBorders>
          </w:tcPr>
          <w:p w14:paraId="22AB50A4" w14:textId="724D0C08"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2F614224" w14:textId="6399E9CD"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41333C70" w14:textId="77777777" w:rsidR="00EF64B4" w:rsidRPr="00D0578F" w:rsidRDefault="00EF64B4" w:rsidP="00EF64B4">
            <w:pPr>
              <w:rPr>
                <w:rFonts w:ascii="Calibri" w:hAnsi="Calibri"/>
                <w:sz w:val="22"/>
                <w:szCs w:val="22"/>
              </w:rPr>
            </w:pPr>
          </w:p>
        </w:tc>
      </w:tr>
      <w:tr w:rsidR="00B65681" w:rsidRPr="00D0578F" w14:paraId="47A07C3A" w14:textId="77777777" w:rsidTr="00897C32">
        <w:trPr>
          <w:trHeight w:val="58"/>
        </w:trPr>
        <w:tc>
          <w:tcPr>
            <w:tcW w:w="0" w:type="auto"/>
            <w:vAlign w:val="center"/>
          </w:tcPr>
          <w:p w14:paraId="62151D11" w14:textId="77777777" w:rsidR="00EF64B4" w:rsidRPr="00D0578F" w:rsidRDefault="00EF64B4" w:rsidP="00EF64B4">
            <w:pPr>
              <w:jc w:val="center"/>
              <w:rPr>
                <w:sz w:val="22"/>
                <w:szCs w:val="22"/>
              </w:rPr>
            </w:pPr>
            <w:r w:rsidRPr="00D0578F">
              <w:rPr>
                <w:sz w:val="22"/>
                <w:szCs w:val="22"/>
              </w:rPr>
              <w:t>4</w:t>
            </w:r>
          </w:p>
        </w:tc>
        <w:tc>
          <w:tcPr>
            <w:tcW w:w="3892" w:type="dxa"/>
            <w:tcBorders>
              <w:bottom w:val="single" w:sz="4" w:space="0" w:color="auto"/>
              <w:right w:val="single" w:sz="4" w:space="0" w:color="auto"/>
            </w:tcBorders>
            <w:shd w:val="clear" w:color="auto" w:fill="auto"/>
            <w:vAlign w:val="center"/>
          </w:tcPr>
          <w:p w14:paraId="47F248E0" w14:textId="77777777" w:rsidR="00EF64B4" w:rsidRDefault="00EF64B4" w:rsidP="00EF64B4">
            <w:pPr>
              <w:rPr>
                <w:sz w:val="22"/>
                <w:szCs w:val="22"/>
              </w:rPr>
            </w:pPr>
            <w:r w:rsidRPr="00D0578F">
              <w:rPr>
                <w:sz w:val="22"/>
                <w:szCs w:val="22"/>
              </w:rPr>
              <w:t xml:space="preserve">Vaccinated and age ≥ 65 </w:t>
            </w:r>
            <w:proofErr w:type="gramStart"/>
            <w:r w:rsidRPr="00D0578F">
              <w:rPr>
                <w:sz w:val="22"/>
                <w:szCs w:val="22"/>
              </w:rPr>
              <w:t>years</w:t>
            </w:r>
            <w:r>
              <w:rPr>
                <w:sz w:val="22"/>
                <w:szCs w:val="22"/>
              </w:rPr>
              <w:t>;</w:t>
            </w:r>
            <w:proofErr w:type="gramEnd"/>
            <w:r>
              <w:rPr>
                <w:sz w:val="22"/>
                <w:szCs w:val="22"/>
              </w:rPr>
              <w:t xml:space="preserve"> </w:t>
            </w:r>
          </w:p>
          <w:p w14:paraId="5F0908B7" w14:textId="53B61F55" w:rsidR="00EF64B4" w:rsidRPr="00D0578F" w:rsidRDefault="00EF64B4" w:rsidP="00EF64B4">
            <w:pPr>
              <w:rPr>
                <w:sz w:val="22"/>
                <w:szCs w:val="22"/>
              </w:rPr>
            </w:pPr>
            <w:r w:rsidRPr="00D0578F">
              <w:rPr>
                <w:sz w:val="22"/>
                <w:szCs w:val="22"/>
              </w:rPr>
              <w:t>Vaccinated and age &lt; 65 plus additional risk factor</w:t>
            </w:r>
          </w:p>
        </w:tc>
        <w:tc>
          <w:tcPr>
            <w:tcW w:w="1346" w:type="dxa"/>
            <w:tcBorders>
              <w:top w:val="nil"/>
              <w:left w:val="single" w:sz="4" w:space="0" w:color="auto"/>
              <w:bottom w:val="nil"/>
              <w:right w:val="single" w:sz="4" w:space="0" w:color="auto"/>
            </w:tcBorders>
          </w:tcPr>
          <w:p w14:paraId="23BA01BC" w14:textId="77777777"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78A031C3" w14:textId="786DB4B2"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34A20B83" w14:textId="77777777" w:rsidR="00EF64B4" w:rsidRPr="00D0578F" w:rsidRDefault="00EF64B4" w:rsidP="00EF64B4">
            <w:pPr>
              <w:rPr>
                <w:rFonts w:ascii="Calibri" w:hAnsi="Calibri"/>
                <w:sz w:val="22"/>
                <w:szCs w:val="22"/>
              </w:rPr>
            </w:pPr>
          </w:p>
        </w:tc>
      </w:tr>
      <w:tr w:rsidR="00B65681" w:rsidRPr="00D0578F" w14:paraId="5CDBF106" w14:textId="77777777" w:rsidTr="00897C32">
        <w:trPr>
          <w:trHeight w:val="221"/>
        </w:trPr>
        <w:tc>
          <w:tcPr>
            <w:tcW w:w="0" w:type="auto"/>
            <w:vAlign w:val="center"/>
          </w:tcPr>
          <w:p w14:paraId="5E5CB0E5" w14:textId="77777777" w:rsidR="00EF64B4" w:rsidRPr="00D0578F" w:rsidRDefault="00EF64B4" w:rsidP="00EF64B4">
            <w:pPr>
              <w:rPr>
                <w:sz w:val="22"/>
                <w:szCs w:val="22"/>
              </w:rPr>
            </w:pPr>
            <w:r w:rsidRPr="00D0578F">
              <w:rPr>
                <w:sz w:val="22"/>
                <w:szCs w:val="22"/>
              </w:rPr>
              <w:t>N/A</w:t>
            </w:r>
          </w:p>
        </w:tc>
        <w:tc>
          <w:tcPr>
            <w:tcW w:w="3892" w:type="dxa"/>
            <w:tcBorders>
              <w:right w:val="single" w:sz="4" w:space="0" w:color="auto"/>
            </w:tcBorders>
            <w:shd w:val="clear" w:color="auto" w:fill="auto"/>
            <w:vAlign w:val="center"/>
          </w:tcPr>
          <w:p w14:paraId="24FB37F4" w14:textId="77777777" w:rsidR="00EF64B4" w:rsidRPr="00D0578F" w:rsidRDefault="00EF64B4" w:rsidP="00EF64B4">
            <w:pPr>
              <w:rPr>
                <w:sz w:val="22"/>
                <w:szCs w:val="22"/>
              </w:rPr>
            </w:pPr>
            <w:r w:rsidRPr="00D0578F">
              <w:rPr>
                <w:sz w:val="22"/>
                <w:szCs w:val="22"/>
              </w:rPr>
              <w:t xml:space="preserve"> Any adult (or pediatric patient over age 12 and &gt;40 kg) at increased risk of severe COVID-19</w:t>
            </w:r>
          </w:p>
        </w:tc>
        <w:tc>
          <w:tcPr>
            <w:tcW w:w="1346" w:type="dxa"/>
            <w:tcBorders>
              <w:top w:val="nil"/>
              <w:left w:val="single" w:sz="4" w:space="0" w:color="auto"/>
              <w:bottom w:val="nil"/>
              <w:right w:val="single" w:sz="4" w:space="0" w:color="auto"/>
            </w:tcBorders>
          </w:tcPr>
          <w:p w14:paraId="4B27C59B" w14:textId="77777777"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549E61A8" w14:textId="090620DF"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5B1557F3" w14:textId="77777777" w:rsidR="00EF64B4" w:rsidRPr="00D0578F" w:rsidRDefault="00EF64B4" w:rsidP="00EF64B4">
            <w:pPr>
              <w:rPr>
                <w:rFonts w:ascii="Calibri" w:hAnsi="Calibri"/>
                <w:sz w:val="22"/>
                <w:szCs w:val="22"/>
              </w:rPr>
            </w:pPr>
          </w:p>
        </w:tc>
      </w:tr>
    </w:tbl>
    <w:bookmarkEnd w:id="4"/>
    <w:p w14:paraId="11AE3BE7" w14:textId="611AAB75" w:rsidR="00DE2B15" w:rsidRPr="00D0578F" w:rsidRDefault="00695B34" w:rsidP="00DE2B15">
      <w:r w:rsidRPr="00D0578F">
        <w:t>National Institutes of Health</w:t>
      </w:r>
      <w:r w:rsidR="003D29FD">
        <w:t xml:space="preserve"> (NIH)</w:t>
      </w:r>
    </w:p>
    <w:p w14:paraId="643CB8F9" w14:textId="77777777" w:rsidR="006344CE" w:rsidRPr="00D0578F" w:rsidRDefault="006344CE" w:rsidP="00DE2B15"/>
    <w:p w14:paraId="0891212C" w14:textId="313D110A" w:rsidR="00DE2B15" w:rsidRPr="00D0578F" w:rsidRDefault="00DE2B15" w:rsidP="00DE2B15">
      <w:r w:rsidRPr="00D0578F">
        <w:t>*Clinical risk factors include cancer, cardiovascular disease, chronic kidney disease, chronic lung disease, diabetes, immunocompromising conditions or receipt of immunosuppressive medications, obesity (body mass index ≥30), pregnancy, and sickle cell disease. For additional information on medical conditions and other factors that are associated with increased risk for progression to severe COVID-19, see the CDC webpage </w:t>
      </w:r>
      <w:hyperlink r:id="rId25" w:tgtFrame="_blank" w:history="1">
        <w:r w:rsidRPr="00D0578F">
          <w:rPr>
            <w:rStyle w:val="Hyperlink"/>
          </w:rPr>
          <w:t>People With Certain Medical Conditions</w:t>
        </w:r>
      </w:hyperlink>
      <w:r w:rsidRPr="00D0578F">
        <w:t xml:space="preserve">. </w:t>
      </w:r>
      <w:r w:rsidRPr="00D0578F">
        <w:rPr>
          <w:b/>
        </w:rPr>
        <w:t xml:space="preserve">The likelihood of developing severe COVID-19 increases when a person has multiple high-risk conditions or comorbidities. Medical conditions or other factors (e.g., social determinants of health) not listed may also be associated with high risk for progression to severe COVID-19. </w:t>
      </w:r>
      <w:r w:rsidR="00536E6B" w:rsidRPr="00D0578F">
        <w:rPr>
          <w:b/>
        </w:rPr>
        <w:t>Therapeutics for COVID-19</w:t>
      </w:r>
      <w:r w:rsidRPr="00D0578F">
        <w:rPr>
          <w:b/>
        </w:rPr>
        <w:t xml:space="preserve"> may be considered for patients with multiple high-risk conditions or comorbidities and factors that are not listed in the EUAs. </w:t>
      </w:r>
      <w:r w:rsidRPr="00D0578F">
        <w:rPr>
          <w:b/>
          <w:bCs/>
        </w:rPr>
        <w:t>The decision to use</w:t>
      </w:r>
      <w:r w:rsidR="00536E6B" w:rsidRPr="00D0578F">
        <w:rPr>
          <w:b/>
        </w:rPr>
        <w:t xml:space="preserve"> monoclonal</w:t>
      </w:r>
      <w:r w:rsidR="00D35DAD" w:rsidRPr="00D0578F">
        <w:rPr>
          <w:b/>
        </w:rPr>
        <w:t xml:space="preserve"> </w:t>
      </w:r>
      <w:r w:rsidR="00536E6B" w:rsidRPr="00D0578F">
        <w:rPr>
          <w:b/>
        </w:rPr>
        <w:t>antibodies</w:t>
      </w:r>
      <w:r w:rsidRPr="00D0578F">
        <w:rPr>
          <w:b/>
        </w:rPr>
        <w:t xml:space="preserve"> or antivirals for a patient should be based on an individualized assessment of risks and benefits. Use of </w:t>
      </w:r>
      <w:r w:rsidR="00536E6B" w:rsidRPr="00D0578F">
        <w:rPr>
          <w:b/>
        </w:rPr>
        <w:t>monoclonal antibodies</w:t>
      </w:r>
      <w:r w:rsidRPr="00D0578F">
        <w:rPr>
          <w:b/>
        </w:rPr>
        <w:t xml:space="preserve"> or antivirals that departs from tiering recommendations is permissible if based on clinical judgement.</w:t>
      </w:r>
    </w:p>
    <w:p w14:paraId="42B23A00" w14:textId="77777777" w:rsidR="00DE2B15" w:rsidRPr="00D0578F" w:rsidRDefault="00DE2B15" w:rsidP="00DE2B15"/>
    <w:p w14:paraId="4A67E180" w14:textId="77777777" w:rsidR="00DE2B15" w:rsidRPr="00D0578F" w:rsidRDefault="00DE2B15" w:rsidP="00DE2B15">
      <w:r w:rsidRPr="00D0578F">
        <w:t>**Vaccinated individuals who have not received a COVID-19 vaccine booster dose are at higher risk for severe disease.</w:t>
      </w:r>
    </w:p>
    <w:p w14:paraId="298692D2" w14:textId="77777777" w:rsidR="00DE2B15" w:rsidRPr="00D0578F" w:rsidRDefault="00DE2B15" w:rsidP="00DE2B15"/>
    <w:p w14:paraId="2ABB414E" w14:textId="466EB05E" w:rsidR="00DE2B15" w:rsidRPr="00D0578F" w:rsidRDefault="00DE2B15" w:rsidP="00DE2B15">
      <w:r w:rsidRPr="00D0578F">
        <w:t xml:space="preserve">***Use of </w:t>
      </w:r>
      <w:proofErr w:type="spellStart"/>
      <w:r w:rsidRPr="00D0578F">
        <w:t>molnupiravir</w:t>
      </w:r>
      <w:proofErr w:type="spellEnd"/>
      <w:r w:rsidRPr="00D0578F">
        <w:t xml:space="preserve"> is not recommended during pregnancy. </w:t>
      </w:r>
    </w:p>
    <w:p w14:paraId="6CC51DF5" w14:textId="77777777" w:rsidR="00DE2B15" w:rsidRPr="00D0578F" w:rsidRDefault="00DE2B15" w:rsidP="00DE2B15"/>
    <w:p w14:paraId="611B2AED" w14:textId="77777777" w:rsidR="00DE2B15" w:rsidRPr="00D0578F" w:rsidRDefault="00DE2B15" w:rsidP="00DE2B15">
      <w:r w:rsidRPr="00D0578F">
        <w:lastRenderedPageBreak/>
        <w:t>Other considerations for provision of oral agents to those who might otherwise receive monoclonal antibodies or remdesivir:</w:t>
      </w:r>
    </w:p>
    <w:p w14:paraId="6A4AA7BA" w14:textId="77777777" w:rsidR="00DE2B15" w:rsidRPr="00D0578F" w:rsidRDefault="00DE2B15" w:rsidP="00DE2B15">
      <w:pPr>
        <w:numPr>
          <w:ilvl w:val="0"/>
          <w:numId w:val="4"/>
        </w:numPr>
      </w:pPr>
      <w:r w:rsidRPr="00D0578F">
        <w:t>Monoclonal antibody or remdesivir infusion is not available or subject to inordinate delay</w:t>
      </w:r>
    </w:p>
    <w:p w14:paraId="4D117E69" w14:textId="0EC3844D" w:rsidR="00DE2B15" w:rsidRPr="00D0578F" w:rsidRDefault="00DE2B15" w:rsidP="00DE2B15">
      <w:pPr>
        <w:numPr>
          <w:ilvl w:val="0"/>
          <w:numId w:val="4"/>
        </w:numPr>
      </w:pPr>
      <w:r w:rsidRPr="00D0578F">
        <w:t xml:space="preserve">Patient unwillingness to receive intravenous </w:t>
      </w:r>
      <w:r w:rsidR="006344CE" w:rsidRPr="00D0578F">
        <w:t>monoclonal antibody</w:t>
      </w:r>
      <w:r w:rsidRPr="00D0578F">
        <w:t xml:space="preserve"> or remdesivir </w:t>
      </w:r>
    </w:p>
    <w:p w14:paraId="332B54F1" w14:textId="77777777" w:rsidR="00DE2B15" w:rsidRPr="00D0578F" w:rsidRDefault="00DE2B15" w:rsidP="00DE2B15">
      <w:pPr>
        <w:numPr>
          <w:ilvl w:val="0"/>
          <w:numId w:val="4"/>
        </w:numPr>
      </w:pPr>
      <w:r w:rsidRPr="00D0578F">
        <w:t>Likelihood of SARS-CoV2 variant not susceptible to available monoclonal antibody</w:t>
      </w:r>
    </w:p>
    <w:p w14:paraId="20667061" w14:textId="77777777" w:rsidR="00DE2B15" w:rsidRPr="00D0578F" w:rsidRDefault="00DE2B15" w:rsidP="00DE2B15"/>
    <w:p w14:paraId="14F1F004" w14:textId="77777777" w:rsidR="00DE2B15" w:rsidRPr="00D0578F" w:rsidRDefault="00DE2B15" w:rsidP="00DE2B15">
      <w:r w:rsidRPr="00D0578F">
        <w:t xml:space="preserve">Decisions about which eligible patients receive the drugs should be based on the clinical judgement of the providers, consistent with the terms of the relevant EUA and with this guidance.  </w:t>
      </w:r>
    </w:p>
    <w:p w14:paraId="20917477" w14:textId="77777777" w:rsidR="00DE2B15" w:rsidRPr="00D0578F" w:rsidRDefault="00DE2B15" w:rsidP="00DE2B15"/>
    <w:p w14:paraId="072DB6C0" w14:textId="77777777" w:rsidR="00DE2B15" w:rsidRPr="00D0578F" w:rsidRDefault="00DE2B15" w:rsidP="00DE2B15">
      <w:pPr>
        <w:rPr>
          <w:u w:val="single"/>
        </w:rPr>
      </w:pPr>
      <w:r w:rsidRPr="00D0578F">
        <w:t>Provider criteria for COVID-19 therapeutics use should be as clear, transparent, and objective as possible, and be based on factors related only to the likelihood and magnitude of benefit from the medical resources and should always minimize inequitable outcomes. Factors that have no bearing on the likelihood or magnitude of benefit, include but are not limited to, race, disability, gender, sexual orientation, gender identity, ethnicity, ability to pay, socioeconomic status, perceived social worth, perceived quality of life, immigration status, incarceration status, homelessness or past or future use of resources. Such factors are not to be used as a basis for clinical decisions.</w:t>
      </w:r>
    </w:p>
    <w:p w14:paraId="0F4A6281" w14:textId="77777777" w:rsidR="008300FB" w:rsidRDefault="008300FB" w:rsidP="008300FB">
      <w:pPr>
        <w:rPr>
          <w:b/>
          <w:bCs/>
          <w:u w:val="single"/>
        </w:rPr>
      </w:pPr>
    </w:p>
    <w:p w14:paraId="7885E115" w14:textId="623BAAEC" w:rsidR="008300FB" w:rsidRPr="00D0578F" w:rsidRDefault="008300FB" w:rsidP="008300FB">
      <w:pPr>
        <w:rPr>
          <w:b/>
          <w:bCs/>
          <w:u w:val="single"/>
        </w:rPr>
      </w:pPr>
      <w:r w:rsidRPr="00D0578F">
        <w:rPr>
          <w:b/>
          <w:bCs/>
          <w:u w:val="single"/>
        </w:rPr>
        <w:t>Access to medication</w:t>
      </w:r>
    </w:p>
    <w:p w14:paraId="4318E694" w14:textId="77777777" w:rsidR="008300FB" w:rsidRPr="00D0578F" w:rsidRDefault="008300FB" w:rsidP="008300FB">
      <w:pPr>
        <w:rPr>
          <w:b/>
          <w:bCs/>
          <w:u w:val="single"/>
        </w:rPr>
      </w:pPr>
    </w:p>
    <w:p w14:paraId="51B713F7" w14:textId="302E7498" w:rsidR="00886751" w:rsidRDefault="00886751" w:rsidP="008300FB">
      <w:r>
        <w:t xml:space="preserve">Massachusetts has supply available to meet the needs of all residents who can benefit from these treatments. </w:t>
      </w:r>
    </w:p>
    <w:p w14:paraId="013BBA33" w14:textId="6B62D4DF" w:rsidR="00886751" w:rsidRDefault="00886751" w:rsidP="008300FB"/>
    <w:p w14:paraId="6EB7D153" w14:textId="77777777" w:rsidR="00886751" w:rsidRPr="00D0578F" w:rsidRDefault="00886751" w:rsidP="00886751">
      <w:r>
        <w:t xml:space="preserve">Oral antiviral treatments are widely available via retail pharmacies across the Commonwealth </w:t>
      </w:r>
      <w:r w:rsidRPr="00D0578F">
        <w:t xml:space="preserve">with a prescription from a licensed healthcare provider. </w:t>
      </w:r>
      <w:r>
        <w:t xml:space="preserve">A subset of these retail pharmacies also provides “test-to-treat” service, with rapid testing followed by medical evaluation, prescribing and dispensing of medications all on-site. </w:t>
      </w:r>
      <w:r w:rsidRPr="00D0578F">
        <w:t xml:space="preserve">The </w:t>
      </w:r>
      <w:hyperlink r:id="rId26" w:history="1">
        <w:r w:rsidRPr="00D0578F">
          <w:rPr>
            <w:rStyle w:val="Hyperlink"/>
          </w:rPr>
          <w:t>COVID-19 Therapeutics Locator</w:t>
        </w:r>
      </w:hyperlink>
      <w:r w:rsidRPr="00D0578F">
        <w:t xml:space="preserve"> can be used to locate retail pharmacies offering oral antiviral therapies</w:t>
      </w:r>
      <w:r>
        <w:t>, including those pharmacies with test-to-treat capability</w:t>
      </w:r>
      <w:r w:rsidRPr="00D0578F">
        <w:t>.</w:t>
      </w:r>
    </w:p>
    <w:p w14:paraId="30C50949" w14:textId="77777777" w:rsidR="00886751" w:rsidRDefault="00886751" w:rsidP="008300FB"/>
    <w:p w14:paraId="12021535" w14:textId="77777777" w:rsidR="00886751" w:rsidRPr="00D0578F" w:rsidRDefault="00886751" w:rsidP="00886751">
      <w:r w:rsidRPr="00D0578F">
        <w:t xml:space="preserve">Oral antiviral therapy is also available through prescription requests and distributed through community health centers (CHC) in areas with a high burden of COVID-19. For patients who are cared for through the CHC, oral antivirals will be prescribed by CHC clinicians and filled through the CHC pharmacy.  </w:t>
      </w:r>
    </w:p>
    <w:p w14:paraId="498D5E82" w14:textId="74F44401" w:rsidR="00886751" w:rsidRDefault="00886751" w:rsidP="008300FB"/>
    <w:p w14:paraId="2D5290A9" w14:textId="7785BBA6" w:rsidR="008300FB" w:rsidRPr="00D0578F" w:rsidRDefault="008300FB" w:rsidP="008300FB">
      <w:r w:rsidRPr="00D0578F">
        <w:t xml:space="preserve">Anti-SARS-CoV2 monoclonal antibodies, and antivirals are available through state-funded </w:t>
      </w:r>
      <w:proofErr w:type="spellStart"/>
      <w:r w:rsidRPr="00D0578F">
        <w:t>Gothams</w:t>
      </w:r>
      <w:proofErr w:type="spellEnd"/>
      <w:r w:rsidRPr="00D0578F">
        <w:t xml:space="preserve"> therapeutics access sites across the Commonwealth.</w:t>
      </w:r>
    </w:p>
    <w:p w14:paraId="53847584" w14:textId="77777777" w:rsidR="008300FB" w:rsidRPr="00D0578F" w:rsidRDefault="008300FB" w:rsidP="008300FB"/>
    <w:p w14:paraId="1B9D25CB" w14:textId="125675B6" w:rsidR="008300FB" w:rsidRPr="00D0578F" w:rsidRDefault="008300FB" w:rsidP="008300FB">
      <w:r w:rsidRPr="00D0578F">
        <w:t xml:space="preserve">The </w:t>
      </w:r>
      <w:proofErr w:type="spellStart"/>
      <w:r w:rsidRPr="00D0578F">
        <w:t>Gothams</w:t>
      </w:r>
      <w:proofErr w:type="spellEnd"/>
      <w:r w:rsidRPr="00D0578F">
        <w:t xml:space="preserve"> referral form for monoclonal antibody and antiviral therapies may be found here: </w:t>
      </w:r>
      <w:hyperlink r:id="rId27" w:history="1">
        <w:r w:rsidRPr="00D0578F">
          <w:rPr>
            <w:rStyle w:val="Hyperlink"/>
          </w:rPr>
          <w:t>http://www.gothams.com/referral-form</w:t>
        </w:r>
      </w:hyperlink>
      <w:r w:rsidRPr="00D0578F">
        <w:t>.</w:t>
      </w:r>
      <w:r w:rsidR="00076BC9">
        <w:t xml:space="preserve"> Individuals with COVID-19 are also able to access medications through </w:t>
      </w:r>
      <w:proofErr w:type="spellStart"/>
      <w:r w:rsidR="00076BC9">
        <w:t>Gothams</w:t>
      </w:r>
      <w:proofErr w:type="spellEnd"/>
      <w:r w:rsidR="00076BC9">
        <w:t xml:space="preserve"> sites directly by calling the self-referral telephone number (508) 213-1380. </w:t>
      </w:r>
    </w:p>
    <w:p w14:paraId="76BF923E" w14:textId="77777777" w:rsidR="008300FB" w:rsidRPr="00D0578F" w:rsidRDefault="008300FB" w:rsidP="008300FB"/>
    <w:p w14:paraId="2E5A48E3" w14:textId="77777777" w:rsidR="008300FB" w:rsidRPr="00D0578F" w:rsidRDefault="008300FB" w:rsidP="008300FB">
      <w:r w:rsidRPr="00D0578F">
        <w:t xml:space="preserve">Additionally, hospitals and other healthcare providers throughout Massachusetts serve as sites for the distribution of COVID-19 therapeutics and will administer monoclonal antibodies and remdesivir and dispense oral antiviral therapy as supplies are available. The </w:t>
      </w:r>
      <w:hyperlink r:id="rId28" w:history="1">
        <w:r w:rsidRPr="00D0578F">
          <w:rPr>
            <w:rStyle w:val="Hyperlink"/>
          </w:rPr>
          <w:t>COVID-19 Therapeutics Locator</w:t>
        </w:r>
      </w:hyperlink>
      <w:r w:rsidRPr="00D0578F">
        <w:t xml:space="preserve"> can be used to locate sites offering monoclonal antibodies and antiviral therapies. For referrals to hospital infusion sites, providers should use the contact number for the site listed on for the site on the locator map. Patients or their representative should follow the instructions provided by the healthcare provider as to how to receive the dispensed medication at the COVID-19 therapeutics site. </w:t>
      </w:r>
    </w:p>
    <w:p w14:paraId="429D1D16" w14:textId="77777777" w:rsidR="008300FB" w:rsidRPr="00D0578F" w:rsidRDefault="008300FB" w:rsidP="008300FB"/>
    <w:p w14:paraId="08BAD645" w14:textId="77777777" w:rsidR="008300FB" w:rsidRDefault="008300FB" w:rsidP="008300FB">
      <w:proofErr w:type="spellStart"/>
      <w:r w:rsidRPr="00D0578F">
        <w:t>Tixagevimab</w:t>
      </w:r>
      <w:proofErr w:type="spellEnd"/>
      <w:r w:rsidRPr="00D0578F">
        <w:t>/</w:t>
      </w:r>
      <w:proofErr w:type="spellStart"/>
      <w:r w:rsidRPr="00D0578F">
        <w:t>cilgavimab</w:t>
      </w:r>
      <w:proofErr w:type="spellEnd"/>
      <w:r w:rsidRPr="00D0578F">
        <w:t xml:space="preserve"> (EVUSHELD) is available through many academic and some regional medical centers, state-sponsored infusion sites, as well as some individual providers serving at-risk individuals.  Providers should contact academic centers with whom they have affiliations or </w:t>
      </w:r>
      <w:proofErr w:type="spellStart"/>
      <w:r w:rsidRPr="00D0578F">
        <w:t>Gothams</w:t>
      </w:r>
      <w:proofErr w:type="spellEnd"/>
      <w:r w:rsidRPr="00D0578F">
        <w:t xml:space="preserve"> sites for their patients seeking pre-exposure prophylaxis with </w:t>
      </w:r>
      <w:proofErr w:type="spellStart"/>
      <w:r w:rsidRPr="00D0578F">
        <w:t>tixagevimab</w:t>
      </w:r>
      <w:proofErr w:type="spellEnd"/>
      <w:r w:rsidRPr="00D0578F">
        <w:t>/</w:t>
      </w:r>
      <w:proofErr w:type="spellStart"/>
      <w:r w:rsidRPr="00D0578F">
        <w:t>cilgavimab</w:t>
      </w:r>
      <w:proofErr w:type="spellEnd"/>
      <w:r w:rsidRPr="00D0578F">
        <w:t>.</w:t>
      </w:r>
    </w:p>
    <w:p w14:paraId="7FC89C18" w14:textId="77777777" w:rsidR="00DE2B15" w:rsidRPr="00D0578F" w:rsidRDefault="00DE2B15" w:rsidP="00DE2B15">
      <w:pPr>
        <w:rPr>
          <w:u w:val="single"/>
        </w:rPr>
      </w:pPr>
    </w:p>
    <w:p w14:paraId="3B5DF4BC" w14:textId="77777777" w:rsidR="00DE2B15" w:rsidRDefault="00DE2B15" w:rsidP="00DE2B15"/>
    <w:p w14:paraId="1E82A98A" w14:textId="77777777" w:rsidR="00636580" w:rsidRDefault="00636580" w:rsidP="00D0578F">
      <w:pPr>
        <w:contextualSpacing/>
      </w:pPr>
    </w:p>
    <w:sectPr w:rsidR="00636580" w:rsidSect="00CC536F">
      <w:footerReference w:type="default" r:id="rId29"/>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331F" w14:textId="77777777" w:rsidR="00F5621A" w:rsidRDefault="00F5621A" w:rsidP="00DE2B15">
      <w:r>
        <w:separator/>
      </w:r>
    </w:p>
  </w:endnote>
  <w:endnote w:type="continuationSeparator" w:id="0">
    <w:p w14:paraId="1F8A8192" w14:textId="77777777" w:rsidR="00F5621A" w:rsidRDefault="00F5621A" w:rsidP="00DE2B15">
      <w:r>
        <w:continuationSeparator/>
      </w:r>
    </w:p>
  </w:endnote>
  <w:endnote w:type="continuationNotice" w:id="1">
    <w:p w14:paraId="6036BD7F" w14:textId="77777777" w:rsidR="00F5621A" w:rsidRDefault="00F56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D7F0" w14:textId="1C450257" w:rsidR="00536E6B" w:rsidRPr="00897C32" w:rsidRDefault="00536E6B">
    <w:pPr>
      <w:pStyle w:val="Footer"/>
      <w:rPr>
        <w:sz w:val="22"/>
        <w:szCs w:val="18"/>
      </w:rPr>
    </w:pPr>
    <w:r w:rsidRPr="00897C32">
      <w:rPr>
        <w:i/>
        <w:iCs/>
        <w:sz w:val="22"/>
        <w:szCs w:val="18"/>
      </w:rPr>
      <w:t xml:space="preserve">Revised </w:t>
    </w:r>
    <w:r w:rsidR="00B65681">
      <w:rPr>
        <w:i/>
        <w:iCs/>
        <w:sz w:val="22"/>
        <w:szCs w:val="18"/>
      </w:rPr>
      <w:t>4</w:t>
    </w:r>
    <w:r w:rsidRPr="00897C32">
      <w:rPr>
        <w:i/>
        <w:iCs/>
        <w:sz w:val="22"/>
        <w:szCs w:val="18"/>
      </w:rPr>
      <w:t>/</w:t>
    </w:r>
    <w:r w:rsidR="00CD0793">
      <w:rPr>
        <w:i/>
        <w:iCs/>
        <w:sz w:val="22"/>
        <w:szCs w:val="18"/>
      </w:rPr>
      <w:t>07</w:t>
    </w:r>
    <w:r w:rsidRPr="00897C32">
      <w:rPr>
        <w:i/>
        <w:iCs/>
        <w:sz w:val="22"/>
        <w:szCs w:val="18"/>
      </w:rPr>
      <w:t>/2022</w:t>
    </w:r>
    <w:r w:rsidR="00E60125" w:rsidRPr="00897C32">
      <w:rPr>
        <w:sz w:val="22"/>
        <w:szCs w:val="18"/>
      </w:rPr>
      <w:t>: Providers should ensure that they are reading the most current version of this guidance as recommendations frequently change. Find the latest document a</w:t>
    </w:r>
    <w:r w:rsidR="00897C32" w:rsidRPr="00897C32">
      <w:rPr>
        <w:sz w:val="22"/>
        <w:szCs w:val="18"/>
      </w:rPr>
      <w:t xml:space="preserve">t: </w:t>
    </w:r>
    <w:hyperlink r:id="rId1" w:anchor="guidance-" w:history="1">
      <w:r w:rsidR="00AB699C" w:rsidRPr="00A64446">
        <w:rPr>
          <w:rStyle w:val="Hyperlink"/>
          <w:sz w:val="22"/>
          <w:szCs w:val="18"/>
        </w:rPr>
        <w:t>https://www.mass.gov/info-details/information-for-providers-about-therapeutic-treatments-for-covid-19#guidance-</w:t>
      </w:r>
    </w:hyperlink>
    <w:r w:rsidR="00E60125" w:rsidRPr="00897C32">
      <w:rPr>
        <w:sz w:val="22"/>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8D22" w14:textId="77777777" w:rsidR="00F5621A" w:rsidRDefault="00F5621A" w:rsidP="00DE2B15">
      <w:r>
        <w:separator/>
      </w:r>
    </w:p>
  </w:footnote>
  <w:footnote w:type="continuationSeparator" w:id="0">
    <w:p w14:paraId="0000DB1A" w14:textId="77777777" w:rsidR="00F5621A" w:rsidRDefault="00F5621A" w:rsidP="00DE2B15">
      <w:r>
        <w:continuationSeparator/>
      </w:r>
    </w:p>
  </w:footnote>
  <w:footnote w:type="continuationNotice" w:id="1">
    <w:p w14:paraId="6B033E5C" w14:textId="77777777" w:rsidR="00F5621A" w:rsidRDefault="00F5621A"/>
  </w:footnote>
  <w:footnote w:id="2">
    <w:p w14:paraId="11451633" w14:textId="77777777" w:rsidR="00DE2B15" w:rsidRDefault="00DE2B15" w:rsidP="00DE2B15">
      <w:pPr>
        <w:pStyle w:val="FootnoteText"/>
      </w:pPr>
      <w:r>
        <w:rPr>
          <w:rStyle w:val="FootnoteReference"/>
        </w:rPr>
        <w:footnoteRef/>
      </w:r>
      <w:r>
        <w:t xml:space="preserve"> </w:t>
      </w:r>
      <w:r w:rsidRPr="00983EC4">
        <w:t>https://www.cdc.gov/coronavirus/2019-ncov/need-extra-precautions/people-with-medical-conditions.html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3B4"/>
    <w:multiLevelType w:val="hybridMultilevel"/>
    <w:tmpl w:val="13260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B5700"/>
    <w:multiLevelType w:val="hybridMultilevel"/>
    <w:tmpl w:val="3FF2B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E5C0C"/>
    <w:multiLevelType w:val="hybridMultilevel"/>
    <w:tmpl w:val="1038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A07D3"/>
    <w:multiLevelType w:val="hybridMultilevel"/>
    <w:tmpl w:val="9CA26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263CF0"/>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AD75BE"/>
    <w:multiLevelType w:val="hybridMultilevel"/>
    <w:tmpl w:val="FA482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026BE"/>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36F2C"/>
    <w:multiLevelType w:val="hybridMultilevel"/>
    <w:tmpl w:val="6C241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C199C"/>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F6D33"/>
    <w:multiLevelType w:val="hybridMultilevel"/>
    <w:tmpl w:val="039CEE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162878"/>
    <w:multiLevelType w:val="hybridMultilevel"/>
    <w:tmpl w:val="8548C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E401BE"/>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D290E4D"/>
    <w:multiLevelType w:val="hybridMultilevel"/>
    <w:tmpl w:val="8C82D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178342">
    <w:abstractNumId w:val="13"/>
  </w:num>
  <w:num w:numId="2" w16cid:durableId="1054743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0253110">
    <w:abstractNumId w:val="8"/>
  </w:num>
  <w:num w:numId="4" w16cid:durableId="1116828616">
    <w:abstractNumId w:val="9"/>
  </w:num>
  <w:num w:numId="5" w16cid:durableId="1205290558">
    <w:abstractNumId w:val="4"/>
  </w:num>
  <w:num w:numId="6" w16cid:durableId="487331144">
    <w:abstractNumId w:val="6"/>
  </w:num>
  <w:num w:numId="7" w16cid:durableId="1526824320">
    <w:abstractNumId w:val="10"/>
  </w:num>
  <w:num w:numId="8" w16cid:durableId="331565265">
    <w:abstractNumId w:val="0"/>
  </w:num>
  <w:num w:numId="9" w16cid:durableId="1056508199">
    <w:abstractNumId w:val="1"/>
  </w:num>
  <w:num w:numId="10" w16cid:durableId="1039746520">
    <w:abstractNumId w:val="7"/>
  </w:num>
  <w:num w:numId="11" w16cid:durableId="1252084358">
    <w:abstractNumId w:val="5"/>
  </w:num>
  <w:num w:numId="12" w16cid:durableId="2119762462">
    <w:abstractNumId w:val="12"/>
  </w:num>
  <w:num w:numId="13" w16cid:durableId="1748066470">
    <w:abstractNumId w:val="3"/>
  </w:num>
  <w:num w:numId="14" w16cid:durableId="631323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47AE"/>
    <w:rsid w:val="000131D2"/>
    <w:rsid w:val="00020F01"/>
    <w:rsid w:val="00027C0D"/>
    <w:rsid w:val="0003140B"/>
    <w:rsid w:val="00033154"/>
    <w:rsid w:val="00042048"/>
    <w:rsid w:val="00043182"/>
    <w:rsid w:val="00044EBE"/>
    <w:rsid w:val="0005173D"/>
    <w:rsid w:val="000537DA"/>
    <w:rsid w:val="00053D45"/>
    <w:rsid w:val="00054386"/>
    <w:rsid w:val="000545A8"/>
    <w:rsid w:val="00057902"/>
    <w:rsid w:val="00063EB3"/>
    <w:rsid w:val="0006532F"/>
    <w:rsid w:val="00076BC9"/>
    <w:rsid w:val="00076BE1"/>
    <w:rsid w:val="000807F4"/>
    <w:rsid w:val="00084B5A"/>
    <w:rsid w:val="000A0167"/>
    <w:rsid w:val="000A25CB"/>
    <w:rsid w:val="000A3A34"/>
    <w:rsid w:val="000B069A"/>
    <w:rsid w:val="000B6B10"/>
    <w:rsid w:val="000C3001"/>
    <w:rsid w:val="000C4F4C"/>
    <w:rsid w:val="000C6DE9"/>
    <w:rsid w:val="000D0CD4"/>
    <w:rsid w:val="000E5621"/>
    <w:rsid w:val="000E704D"/>
    <w:rsid w:val="000F1C55"/>
    <w:rsid w:val="000F315B"/>
    <w:rsid w:val="000F79A7"/>
    <w:rsid w:val="00100353"/>
    <w:rsid w:val="00112B5D"/>
    <w:rsid w:val="001131EC"/>
    <w:rsid w:val="00121BF8"/>
    <w:rsid w:val="0012484C"/>
    <w:rsid w:val="0013100B"/>
    <w:rsid w:val="00134659"/>
    <w:rsid w:val="00147108"/>
    <w:rsid w:val="0015268B"/>
    <w:rsid w:val="00154FC7"/>
    <w:rsid w:val="00155ECA"/>
    <w:rsid w:val="001618DD"/>
    <w:rsid w:val="001660E3"/>
    <w:rsid w:val="0017047F"/>
    <w:rsid w:val="00171C3B"/>
    <w:rsid w:val="00171FEC"/>
    <w:rsid w:val="00177C77"/>
    <w:rsid w:val="00182503"/>
    <w:rsid w:val="00184AE5"/>
    <w:rsid w:val="001A4C8A"/>
    <w:rsid w:val="001B281F"/>
    <w:rsid w:val="001C0FEE"/>
    <w:rsid w:val="001C7AB9"/>
    <w:rsid w:val="001D115B"/>
    <w:rsid w:val="001F5ED8"/>
    <w:rsid w:val="002049CE"/>
    <w:rsid w:val="00205C46"/>
    <w:rsid w:val="0021006D"/>
    <w:rsid w:val="002112A2"/>
    <w:rsid w:val="002137C4"/>
    <w:rsid w:val="002215BA"/>
    <w:rsid w:val="002218B1"/>
    <w:rsid w:val="002324A2"/>
    <w:rsid w:val="00245AEA"/>
    <w:rsid w:val="0025775A"/>
    <w:rsid w:val="00262526"/>
    <w:rsid w:val="00264CBD"/>
    <w:rsid w:val="00266A2D"/>
    <w:rsid w:val="00276957"/>
    <w:rsid w:val="00276DCC"/>
    <w:rsid w:val="00296399"/>
    <w:rsid w:val="00297749"/>
    <w:rsid w:val="002A5B6A"/>
    <w:rsid w:val="002A7C28"/>
    <w:rsid w:val="002B5A92"/>
    <w:rsid w:val="002C65CF"/>
    <w:rsid w:val="002D0E1D"/>
    <w:rsid w:val="002E045F"/>
    <w:rsid w:val="002F68E6"/>
    <w:rsid w:val="0030083D"/>
    <w:rsid w:val="00301880"/>
    <w:rsid w:val="00312616"/>
    <w:rsid w:val="00313F66"/>
    <w:rsid w:val="00333578"/>
    <w:rsid w:val="00334908"/>
    <w:rsid w:val="00335C41"/>
    <w:rsid w:val="00341C6E"/>
    <w:rsid w:val="00357882"/>
    <w:rsid w:val="00360D4A"/>
    <w:rsid w:val="00363C2D"/>
    <w:rsid w:val="00366543"/>
    <w:rsid w:val="00374CC4"/>
    <w:rsid w:val="00383E87"/>
    <w:rsid w:val="00385812"/>
    <w:rsid w:val="003875BC"/>
    <w:rsid w:val="00392D0B"/>
    <w:rsid w:val="00394678"/>
    <w:rsid w:val="003A67F6"/>
    <w:rsid w:val="003A7AFC"/>
    <w:rsid w:val="003B1CF2"/>
    <w:rsid w:val="003C1D7B"/>
    <w:rsid w:val="003C60EF"/>
    <w:rsid w:val="003D29FD"/>
    <w:rsid w:val="003D328F"/>
    <w:rsid w:val="003D6720"/>
    <w:rsid w:val="003E2754"/>
    <w:rsid w:val="003E51AF"/>
    <w:rsid w:val="003F03AD"/>
    <w:rsid w:val="003F3D41"/>
    <w:rsid w:val="003F4BEA"/>
    <w:rsid w:val="003F551C"/>
    <w:rsid w:val="003F6BC4"/>
    <w:rsid w:val="00402F69"/>
    <w:rsid w:val="0040521C"/>
    <w:rsid w:val="00407C66"/>
    <w:rsid w:val="004122E6"/>
    <w:rsid w:val="00424729"/>
    <w:rsid w:val="004248DF"/>
    <w:rsid w:val="00427497"/>
    <w:rsid w:val="00427FF4"/>
    <w:rsid w:val="0045159B"/>
    <w:rsid w:val="00454156"/>
    <w:rsid w:val="004639F6"/>
    <w:rsid w:val="00465A12"/>
    <w:rsid w:val="00465F89"/>
    <w:rsid w:val="004715A0"/>
    <w:rsid w:val="0048097B"/>
    <w:rsid w:val="004813AC"/>
    <w:rsid w:val="00484170"/>
    <w:rsid w:val="004A13D1"/>
    <w:rsid w:val="004A7BD1"/>
    <w:rsid w:val="004B1897"/>
    <w:rsid w:val="004B295A"/>
    <w:rsid w:val="004B2F82"/>
    <w:rsid w:val="004B37A0"/>
    <w:rsid w:val="004B5BFB"/>
    <w:rsid w:val="004B6932"/>
    <w:rsid w:val="004B763E"/>
    <w:rsid w:val="004C42B5"/>
    <w:rsid w:val="004C47C5"/>
    <w:rsid w:val="004C6A27"/>
    <w:rsid w:val="004D6B39"/>
    <w:rsid w:val="004F7670"/>
    <w:rsid w:val="00511C9F"/>
    <w:rsid w:val="005138F0"/>
    <w:rsid w:val="0051768B"/>
    <w:rsid w:val="005268E2"/>
    <w:rsid w:val="005348FC"/>
    <w:rsid w:val="00536C7D"/>
    <w:rsid w:val="00536E6B"/>
    <w:rsid w:val="00537277"/>
    <w:rsid w:val="00541227"/>
    <w:rsid w:val="005448AA"/>
    <w:rsid w:val="00571A8A"/>
    <w:rsid w:val="00584A00"/>
    <w:rsid w:val="00585417"/>
    <w:rsid w:val="005A06D3"/>
    <w:rsid w:val="005A4936"/>
    <w:rsid w:val="005B160A"/>
    <w:rsid w:val="005B3628"/>
    <w:rsid w:val="005C0AB4"/>
    <w:rsid w:val="005C2FB4"/>
    <w:rsid w:val="005D07EB"/>
    <w:rsid w:val="005D756F"/>
    <w:rsid w:val="005E0A2D"/>
    <w:rsid w:val="005F2445"/>
    <w:rsid w:val="005F70E9"/>
    <w:rsid w:val="005F7885"/>
    <w:rsid w:val="006269CC"/>
    <w:rsid w:val="006274A7"/>
    <w:rsid w:val="00632200"/>
    <w:rsid w:val="006344CE"/>
    <w:rsid w:val="00636580"/>
    <w:rsid w:val="00646C6C"/>
    <w:rsid w:val="00674A74"/>
    <w:rsid w:val="0068365F"/>
    <w:rsid w:val="0069086D"/>
    <w:rsid w:val="00695B34"/>
    <w:rsid w:val="006A0CA4"/>
    <w:rsid w:val="006A60FE"/>
    <w:rsid w:val="006C1081"/>
    <w:rsid w:val="006C1190"/>
    <w:rsid w:val="006D06D9"/>
    <w:rsid w:val="006D77A6"/>
    <w:rsid w:val="006E25D7"/>
    <w:rsid w:val="006E5580"/>
    <w:rsid w:val="006E637F"/>
    <w:rsid w:val="006F052F"/>
    <w:rsid w:val="007020FF"/>
    <w:rsid w:val="00702109"/>
    <w:rsid w:val="00707035"/>
    <w:rsid w:val="00707977"/>
    <w:rsid w:val="00710F30"/>
    <w:rsid w:val="00712686"/>
    <w:rsid w:val="00714963"/>
    <w:rsid w:val="00714DC5"/>
    <w:rsid w:val="007171C2"/>
    <w:rsid w:val="0072610D"/>
    <w:rsid w:val="007307E4"/>
    <w:rsid w:val="00731061"/>
    <w:rsid w:val="00736B10"/>
    <w:rsid w:val="00747922"/>
    <w:rsid w:val="007503F1"/>
    <w:rsid w:val="00760638"/>
    <w:rsid w:val="0079478F"/>
    <w:rsid w:val="00796266"/>
    <w:rsid w:val="007A08FF"/>
    <w:rsid w:val="007A0CDD"/>
    <w:rsid w:val="007A29D0"/>
    <w:rsid w:val="007A671F"/>
    <w:rsid w:val="007B2D47"/>
    <w:rsid w:val="007B3F4B"/>
    <w:rsid w:val="007B7347"/>
    <w:rsid w:val="007B73B4"/>
    <w:rsid w:val="007C49C4"/>
    <w:rsid w:val="007C7A61"/>
    <w:rsid w:val="007D10F3"/>
    <w:rsid w:val="007D62DA"/>
    <w:rsid w:val="007E48B9"/>
    <w:rsid w:val="007E784F"/>
    <w:rsid w:val="008010BA"/>
    <w:rsid w:val="00804EBD"/>
    <w:rsid w:val="00806E01"/>
    <w:rsid w:val="00817463"/>
    <w:rsid w:val="008228B0"/>
    <w:rsid w:val="00825FDD"/>
    <w:rsid w:val="008300FB"/>
    <w:rsid w:val="008365F9"/>
    <w:rsid w:val="00836C4D"/>
    <w:rsid w:val="00842F8E"/>
    <w:rsid w:val="00847A18"/>
    <w:rsid w:val="00850EF9"/>
    <w:rsid w:val="00853055"/>
    <w:rsid w:val="00880062"/>
    <w:rsid w:val="008831EF"/>
    <w:rsid w:val="0088634F"/>
    <w:rsid w:val="00886751"/>
    <w:rsid w:val="00891107"/>
    <w:rsid w:val="00897C32"/>
    <w:rsid w:val="008A1CC9"/>
    <w:rsid w:val="008A20E5"/>
    <w:rsid w:val="008A5565"/>
    <w:rsid w:val="008B2328"/>
    <w:rsid w:val="008C5437"/>
    <w:rsid w:val="008C6150"/>
    <w:rsid w:val="008D26F4"/>
    <w:rsid w:val="008E47F6"/>
    <w:rsid w:val="008F6312"/>
    <w:rsid w:val="00913CAE"/>
    <w:rsid w:val="00924791"/>
    <w:rsid w:val="00940D56"/>
    <w:rsid w:val="00945A24"/>
    <w:rsid w:val="00951010"/>
    <w:rsid w:val="009537A6"/>
    <w:rsid w:val="009634F8"/>
    <w:rsid w:val="009741CE"/>
    <w:rsid w:val="00983EC4"/>
    <w:rsid w:val="00987AC8"/>
    <w:rsid w:val="009908FF"/>
    <w:rsid w:val="00990939"/>
    <w:rsid w:val="00991446"/>
    <w:rsid w:val="00995505"/>
    <w:rsid w:val="009A22AD"/>
    <w:rsid w:val="009A7DBB"/>
    <w:rsid w:val="009B3E72"/>
    <w:rsid w:val="009C3869"/>
    <w:rsid w:val="009C5C28"/>
    <w:rsid w:val="009D58E6"/>
    <w:rsid w:val="009D77EC"/>
    <w:rsid w:val="009E01E0"/>
    <w:rsid w:val="009F3A84"/>
    <w:rsid w:val="009F455B"/>
    <w:rsid w:val="009F5E7E"/>
    <w:rsid w:val="00A01309"/>
    <w:rsid w:val="00A0208F"/>
    <w:rsid w:val="00A1330D"/>
    <w:rsid w:val="00A148AE"/>
    <w:rsid w:val="00A200A4"/>
    <w:rsid w:val="00A26158"/>
    <w:rsid w:val="00A30E69"/>
    <w:rsid w:val="00A33EF7"/>
    <w:rsid w:val="00A33F1B"/>
    <w:rsid w:val="00A359D0"/>
    <w:rsid w:val="00A3737E"/>
    <w:rsid w:val="00A37B72"/>
    <w:rsid w:val="00A40913"/>
    <w:rsid w:val="00A41E29"/>
    <w:rsid w:val="00A47C0C"/>
    <w:rsid w:val="00A551BF"/>
    <w:rsid w:val="00A5621F"/>
    <w:rsid w:val="00A61D0C"/>
    <w:rsid w:val="00A65101"/>
    <w:rsid w:val="00A673A0"/>
    <w:rsid w:val="00A718EE"/>
    <w:rsid w:val="00A768A7"/>
    <w:rsid w:val="00A86EE8"/>
    <w:rsid w:val="00AA545C"/>
    <w:rsid w:val="00AB699C"/>
    <w:rsid w:val="00AC2540"/>
    <w:rsid w:val="00AC5EB8"/>
    <w:rsid w:val="00AC6D1C"/>
    <w:rsid w:val="00AD1039"/>
    <w:rsid w:val="00AD741A"/>
    <w:rsid w:val="00AE407B"/>
    <w:rsid w:val="00AE46E5"/>
    <w:rsid w:val="00AE771C"/>
    <w:rsid w:val="00AF1E83"/>
    <w:rsid w:val="00B07541"/>
    <w:rsid w:val="00B17C42"/>
    <w:rsid w:val="00B20542"/>
    <w:rsid w:val="00B2495A"/>
    <w:rsid w:val="00B25BB2"/>
    <w:rsid w:val="00B313DB"/>
    <w:rsid w:val="00B3522B"/>
    <w:rsid w:val="00B403BF"/>
    <w:rsid w:val="00B415AC"/>
    <w:rsid w:val="00B429F1"/>
    <w:rsid w:val="00B43DF7"/>
    <w:rsid w:val="00B608D9"/>
    <w:rsid w:val="00B65681"/>
    <w:rsid w:val="00B66332"/>
    <w:rsid w:val="00B76A3C"/>
    <w:rsid w:val="00B80CEF"/>
    <w:rsid w:val="00B848D0"/>
    <w:rsid w:val="00B85DA8"/>
    <w:rsid w:val="00B869E4"/>
    <w:rsid w:val="00B8731A"/>
    <w:rsid w:val="00BA0570"/>
    <w:rsid w:val="00BA1AD3"/>
    <w:rsid w:val="00BA4055"/>
    <w:rsid w:val="00BA7057"/>
    <w:rsid w:val="00BA74BD"/>
    <w:rsid w:val="00BA7FB6"/>
    <w:rsid w:val="00BB33F1"/>
    <w:rsid w:val="00BB3A24"/>
    <w:rsid w:val="00BC5D26"/>
    <w:rsid w:val="00BD6FF4"/>
    <w:rsid w:val="00BE227F"/>
    <w:rsid w:val="00BF094A"/>
    <w:rsid w:val="00C06BC1"/>
    <w:rsid w:val="00C10973"/>
    <w:rsid w:val="00C1305A"/>
    <w:rsid w:val="00C20BFE"/>
    <w:rsid w:val="00C24EE2"/>
    <w:rsid w:val="00C31868"/>
    <w:rsid w:val="00C51AE8"/>
    <w:rsid w:val="00C51E24"/>
    <w:rsid w:val="00C5736D"/>
    <w:rsid w:val="00C664BF"/>
    <w:rsid w:val="00C72481"/>
    <w:rsid w:val="00C739BD"/>
    <w:rsid w:val="00C832EB"/>
    <w:rsid w:val="00C95796"/>
    <w:rsid w:val="00CA4CDC"/>
    <w:rsid w:val="00CB3871"/>
    <w:rsid w:val="00CB6E20"/>
    <w:rsid w:val="00CC0D24"/>
    <w:rsid w:val="00CC1778"/>
    <w:rsid w:val="00CC536F"/>
    <w:rsid w:val="00CD0793"/>
    <w:rsid w:val="00CD339A"/>
    <w:rsid w:val="00CE4C4D"/>
    <w:rsid w:val="00CE575B"/>
    <w:rsid w:val="00CE72EC"/>
    <w:rsid w:val="00CF3DE8"/>
    <w:rsid w:val="00D0493F"/>
    <w:rsid w:val="00D0578F"/>
    <w:rsid w:val="00D108A3"/>
    <w:rsid w:val="00D11542"/>
    <w:rsid w:val="00D16037"/>
    <w:rsid w:val="00D20265"/>
    <w:rsid w:val="00D21E1A"/>
    <w:rsid w:val="00D31FE2"/>
    <w:rsid w:val="00D349EC"/>
    <w:rsid w:val="00D35DAD"/>
    <w:rsid w:val="00D503C4"/>
    <w:rsid w:val="00D53820"/>
    <w:rsid w:val="00D55979"/>
    <w:rsid w:val="00D56F91"/>
    <w:rsid w:val="00D642F2"/>
    <w:rsid w:val="00D73875"/>
    <w:rsid w:val="00D74935"/>
    <w:rsid w:val="00D83C29"/>
    <w:rsid w:val="00D84733"/>
    <w:rsid w:val="00D858DF"/>
    <w:rsid w:val="00D8671C"/>
    <w:rsid w:val="00D94E2F"/>
    <w:rsid w:val="00DA062A"/>
    <w:rsid w:val="00DA57C3"/>
    <w:rsid w:val="00DB18F7"/>
    <w:rsid w:val="00DC3855"/>
    <w:rsid w:val="00DC6636"/>
    <w:rsid w:val="00DD13CF"/>
    <w:rsid w:val="00DD505D"/>
    <w:rsid w:val="00DE05AF"/>
    <w:rsid w:val="00DE105A"/>
    <w:rsid w:val="00DE12BA"/>
    <w:rsid w:val="00DE2A40"/>
    <w:rsid w:val="00DE2B15"/>
    <w:rsid w:val="00DF7C39"/>
    <w:rsid w:val="00E0406F"/>
    <w:rsid w:val="00E242A8"/>
    <w:rsid w:val="00E2739A"/>
    <w:rsid w:val="00E274B8"/>
    <w:rsid w:val="00E27747"/>
    <w:rsid w:val="00E42380"/>
    <w:rsid w:val="00E60125"/>
    <w:rsid w:val="00E62E95"/>
    <w:rsid w:val="00E72445"/>
    <w:rsid w:val="00E72707"/>
    <w:rsid w:val="00E74DA7"/>
    <w:rsid w:val="00E80C3C"/>
    <w:rsid w:val="00E95748"/>
    <w:rsid w:val="00EB26A2"/>
    <w:rsid w:val="00EB2FDB"/>
    <w:rsid w:val="00EB5953"/>
    <w:rsid w:val="00EB62A0"/>
    <w:rsid w:val="00ED6F89"/>
    <w:rsid w:val="00EE2571"/>
    <w:rsid w:val="00EE4354"/>
    <w:rsid w:val="00EE6F9C"/>
    <w:rsid w:val="00EF1364"/>
    <w:rsid w:val="00EF64B4"/>
    <w:rsid w:val="00F0586E"/>
    <w:rsid w:val="00F12DD2"/>
    <w:rsid w:val="00F15603"/>
    <w:rsid w:val="00F16141"/>
    <w:rsid w:val="00F20E74"/>
    <w:rsid w:val="00F22BC6"/>
    <w:rsid w:val="00F22DD3"/>
    <w:rsid w:val="00F4177B"/>
    <w:rsid w:val="00F43932"/>
    <w:rsid w:val="00F4602B"/>
    <w:rsid w:val="00F54786"/>
    <w:rsid w:val="00F5621A"/>
    <w:rsid w:val="00F835CA"/>
    <w:rsid w:val="00F83C8F"/>
    <w:rsid w:val="00F95A05"/>
    <w:rsid w:val="00FA38D7"/>
    <w:rsid w:val="00FA7D6C"/>
    <w:rsid w:val="00FB1C25"/>
    <w:rsid w:val="00FC6B42"/>
    <w:rsid w:val="00FD0496"/>
    <w:rsid w:val="00FD542B"/>
    <w:rsid w:val="00FE6FEA"/>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7BB04"/>
  <w15:chartTrackingRefBased/>
  <w15:docId w15:val="{7CB0E9DB-7F82-4451-BC8B-C2E1C9F9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DE2B15"/>
    <w:pPr>
      <w:ind w:left="720"/>
      <w:contextualSpacing/>
    </w:pPr>
    <w:rPr>
      <w:rFonts w:ascii="Calibri" w:eastAsia="Calibri" w:hAnsi="Calibri"/>
      <w:szCs w:val="24"/>
    </w:rPr>
  </w:style>
  <w:style w:type="paragraph" w:styleId="FootnoteText">
    <w:name w:val="footnote text"/>
    <w:basedOn w:val="Normal"/>
    <w:link w:val="FootnoteTextChar"/>
    <w:rsid w:val="00DE2B15"/>
    <w:rPr>
      <w:sz w:val="20"/>
    </w:rPr>
  </w:style>
  <w:style w:type="character" w:customStyle="1" w:styleId="FootnoteTextChar">
    <w:name w:val="Footnote Text Char"/>
    <w:basedOn w:val="DefaultParagraphFont"/>
    <w:link w:val="FootnoteText"/>
    <w:rsid w:val="00DE2B15"/>
  </w:style>
  <w:style w:type="character" w:styleId="FootnoteReference">
    <w:name w:val="footnote reference"/>
    <w:rsid w:val="00DE2B15"/>
    <w:rPr>
      <w:vertAlign w:val="superscript"/>
    </w:rPr>
  </w:style>
  <w:style w:type="character" w:styleId="UnresolvedMention">
    <w:name w:val="Unresolved Mention"/>
    <w:uiPriority w:val="99"/>
    <w:semiHidden/>
    <w:unhideWhenUsed/>
    <w:rsid w:val="003E51AF"/>
    <w:rPr>
      <w:color w:val="605E5C"/>
      <w:shd w:val="clear" w:color="auto" w:fill="E1DFDD"/>
    </w:rPr>
  </w:style>
  <w:style w:type="paragraph" w:styleId="Revision">
    <w:name w:val="Revision"/>
    <w:hidden/>
    <w:uiPriority w:val="99"/>
    <w:semiHidden/>
    <w:rsid w:val="00646C6C"/>
    <w:rPr>
      <w:sz w:val="24"/>
    </w:rPr>
  </w:style>
  <w:style w:type="character" w:styleId="CommentReference">
    <w:name w:val="annotation reference"/>
    <w:rsid w:val="00646C6C"/>
    <w:rPr>
      <w:sz w:val="16"/>
      <w:szCs w:val="16"/>
    </w:rPr>
  </w:style>
  <w:style w:type="paragraph" w:styleId="CommentText">
    <w:name w:val="annotation text"/>
    <w:basedOn w:val="Normal"/>
    <w:link w:val="CommentTextChar"/>
    <w:rsid w:val="00646C6C"/>
    <w:rPr>
      <w:sz w:val="20"/>
    </w:rPr>
  </w:style>
  <w:style w:type="character" w:customStyle="1" w:styleId="CommentTextChar">
    <w:name w:val="Comment Text Char"/>
    <w:basedOn w:val="DefaultParagraphFont"/>
    <w:link w:val="CommentText"/>
    <w:rsid w:val="00646C6C"/>
  </w:style>
  <w:style w:type="paragraph" w:styleId="CommentSubject">
    <w:name w:val="annotation subject"/>
    <w:basedOn w:val="CommentText"/>
    <w:next w:val="CommentText"/>
    <w:link w:val="CommentSubjectChar"/>
    <w:rsid w:val="00646C6C"/>
    <w:rPr>
      <w:b/>
      <w:bCs/>
    </w:rPr>
  </w:style>
  <w:style w:type="character" w:customStyle="1" w:styleId="CommentSubjectChar">
    <w:name w:val="Comment Subject Char"/>
    <w:link w:val="CommentSubject"/>
    <w:rsid w:val="00646C6C"/>
    <w:rPr>
      <w:b/>
      <w:bCs/>
    </w:rPr>
  </w:style>
  <w:style w:type="paragraph" w:styleId="Header">
    <w:name w:val="header"/>
    <w:basedOn w:val="Normal"/>
    <w:link w:val="HeaderChar"/>
    <w:rsid w:val="00536E6B"/>
    <w:pPr>
      <w:tabs>
        <w:tab w:val="center" w:pos="4680"/>
        <w:tab w:val="right" w:pos="9360"/>
      </w:tabs>
    </w:pPr>
  </w:style>
  <w:style w:type="character" w:customStyle="1" w:styleId="HeaderChar">
    <w:name w:val="Header Char"/>
    <w:link w:val="Header"/>
    <w:rsid w:val="00536E6B"/>
    <w:rPr>
      <w:sz w:val="24"/>
    </w:rPr>
  </w:style>
  <w:style w:type="paragraph" w:styleId="Footer">
    <w:name w:val="footer"/>
    <w:basedOn w:val="Normal"/>
    <w:link w:val="FooterChar"/>
    <w:uiPriority w:val="99"/>
    <w:rsid w:val="00536E6B"/>
    <w:pPr>
      <w:tabs>
        <w:tab w:val="center" w:pos="4680"/>
        <w:tab w:val="right" w:pos="9360"/>
      </w:tabs>
    </w:pPr>
  </w:style>
  <w:style w:type="character" w:customStyle="1" w:styleId="FooterChar">
    <w:name w:val="Footer Char"/>
    <w:link w:val="Footer"/>
    <w:uiPriority w:val="99"/>
    <w:rsid w:val="00536E6B"/>
    <w:rPr>
      <w:sz w:val="24"/>
    </w:rPr>
  </w:style>
  <w:style w:type="character" w:styleId="FollowedHyperlink">
    <w:name w:val="FollowedHyperlink"/>
    <w:rsid w:val="00714DC5"/>
    <w:rPr>
      <w:color w:val="954F72"/>
      <w:u w:val="single"/>
    </w:rPr>
  </w:style>
  <w:style w:type="character" w:customStyle="1" w:styleId="UnresolvedMention1">
    <w:name w:val="Unresolved Mention1"/>
    <w:uiPriority w:val="99"/>
    <w:semiHidden/>
    <w:unhideWhenUsed/>
    <w:rsid w:val="00990939"/>
    <w:rPr>
      <w:color w:val="605E5C"/>
      <w:shd w:val="clear" w:color="auto" w:fill="E1DFDD"/>
    </w:rPr>
  </w:style>
  <w:style w:type="table" w:styleId="TableGrid">
    <w:name w:val="Table Grid"/>
    <w:basedOn w:val="TableNormal"/>
    <w:uiPriority w:val="39"/>
    <w:rsid w:val="009909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138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1979">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186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dphgis.maps.arcgis.com/apps/instant/nearby/index.html?appid=82983fa9f6d44e2aaf1d5bd420aa57ff&amp;sliderDistance=24" TargetMode="External"/><Relationship Id="rId18" Type="http://schemas.openxmlformats.org/officeDocument/2006/relationships/hyperlink" Target="https://www.fda.gov/media/156152/download" TargetMode="External"/><Relationship Id="rId26" Type="http://schemas.openxmlformats.org/officeDocument/2006/relationships/hyperlink" Target="https://mdphgis.maps.arcgis.com/apps/instant/nearby/index.html?appid=82983fa9f6d44e2aaf1d5bd420aa57ff&amp;sliderDistance=24" TargetMode="External"/><Relationship Id="rId3" Type="http://schemas.openxmlformats.org/officeDocument/2006/relationships/customXml" Target="../customXml/item3.xml"/><Relationship Id="rId21" Type="http://schemas.openxmlformats.org/officeDocument/2006/relationships/hyperlink" Target="https://www.fda.gov/media/154701/download" TargetMode="External"/><Relationship Id="rId7" Type="http://schemas.openxmlformats.org/officeDocument/2006/relationships/settings" Target="settings.xml"/><Relationship Id="rId12" Type="http://schemas.openxmlformats.org/officeDocument/2006/relationships/hyperlink" Target="https://www.cdc.gov/coronavirus/2019-ncov/need-extra-precautions/people-with-medical-conditions.html" TargetMode="External"/><Relationship Id="rId17" Type="http://schemas.openxmlformats.org/officeDocument/2006/relationships/hyperlink" Target="https://www.fda.gov/media/137566/download" TargetMode="External"/><Relationship Id="rId25" Type="http://schemas.openxmlformats.org/officeDocument/2006/relationships/hyperlink" Target="https://www.cdc.gov/coronavirus/2019-ncov/need-extra-precautions/people-with-medical-conditions.html" TargetMode="External"/><Relationship Id="rId2" Type="http://schemas.openxmlformats.org/officeDocument/2006/relationships/customXml" Target="../customXml/item2.xml"/><Relationship Id="rId16" Type="http://schemas.openxmlformats.org/officeDocument/2006/relationships/hyperlink" Target="https://www.accessdata.fda.gov/drugsatfda_docs/label/2020/214787Orig1s000lbl.pdf" TargetMode="External"/><Relationship Id="rId20" Type="http://schemas.openxmlformats.org/officeDocument/2006/relationships/hyperlink" Target="https://www.fda.gov/media/145802/downloa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vid19treatmentguidelines.nih.gov/therapies/statement-on-patient-prioritization-for-outpatient-therapies/" TargetMode="External"/><Relationship Id="rId5" Type="http://schemas.openxmlformats.org/officeDocument/2006/relationships/numbering" Target="numbering.xml"/><Relationship Id="rId15" Type="http://schemas.openxmlformats.org/officeDocument/2006/relationships/hyperlink" Target="https://www.fda.gov/media/155054/download" TargetMode="External"/><Relationship Id="rId23" Type="http://schemas.openxmlformats.org/officeDocument/2006/relationships/hyperlink" Target="https://www.fda.gov/media/145802/download" TargetMode="External"/><Relationship Id="rId28" Type="http://schemas.openxmlformats.org/officeDocument/2006/relationships/hyperlink" Target="https://mdphgis.maps.arcgis.com/apps/instant/nearby/index.html?appid=82983fa9f6d44e2aaf1d5bd420aa57ff&amp;sliderDistance=24" TargetMode="External"/><Relationship Id="rId10" Type="http://schemas.openxmlformats.org/officeDocument/2006/relationships/endnotes" Target="endnotes.xml"/><Relationship Id="rId19" Type="http://schemas.openxmlformats.org/officeDocument/2006/relationships/hyperlink" Target="https://www.fda.gov/media/145611/downloa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155049/download" TargetMode="External"/><Relationship Id="rId22" Type="http://schemas.openxmlformats.org/officeDocument/2006/relationships/hyperlink" Target="https://www.fda.gov/media/145611/download" TargetMode="External"/><Relationship Id="rId27" Type="http://schemas.openxmlformats.org/officeDocument/2006/relationships/hyperlink" Target="http://www.gothams.com/referral-for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information-for-providers-about-therapeutic-treatments-for-covid-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802182F830B8459CF4B12F8C0B2D62" ma:contentTypeVersion="4" ma:contentTypeDescription="Create a new document." ma:contentTypeScope="" ma:versionID="7c5566b32a719c2983469af09db5adf9">
  <xsd:schema xmlns:xsd="http://www.w3.org/2001/XMLSchema" xmlns:xs="http://www.w3.org/2001/XMLSchema" xmlns:p="http://schemas.microsoft.com/office/2006/metadata/properties" xmlns:ns2="05c86eae-4f50-4ff9-a7f7-423c5450f063" xmlns:ns3="02619060-57e9-4d6a-babd-4d98ebeb7cef" targetNamespace="http://schemas.microsoft.com/office/2006/metadata/properties" ma:root="true" ma:fieldsID="6e06b3d316d8ad4e17a80aa198e31e48" ns2:_="" ns3:_="">
    <xsd:import namespace="05c86eae-4f50-4ff9-a7f7-423c5450f063"/>
    <xsd:import namespace="02619060-57e9-4d6a-babd-4d98ebeb7c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6eae-4f50-4ff9-a7f7-423c5450f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19060-57e9-4d6a-babd-4d98ebeb7c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2AA1E-540E-4E18-9218-09DD4142A1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1DCB3C-3197-4935-A44D-5B8B7CD954DC}">
  <ds:schemaRefs>
    <ds:schemaRef ds:uri="http://schemas.openxmlformats.org/officeDocument/2006/bibliography"/>
  </ds:schemaRefs>
</ds:datastoreItem>
</file>

<file path=customXml/itemProps3.xml><?xml version="1.0" encoding="utf-8"?>
<ds:datastoreItem xmlns:ds="http://schemas.openxmlformats.org/officeDocument/2006/customXml" ds:itemID="{2DA3B2DB-3DC8-4101-BE01-0E175FC0F3AD}">
  <ds:schemaRefs>
    <ds:schemaRef ds:uri="http://schemas.microsoft.com/sharepoint/v3/contenttype/forms"/>
  </ds:schemaRefs>
</ds:datastoreItem>
</file>

<file path=customXml/itemProps4.xml><?xml version="1.0" encoding="utf-8"?>
<ds:datastoreItem xmlns:ds="http://schemas.openxmlformats.org/officeDocument/2006/customXml" ds:itemID="{D00F10C6-8194-4E07-9421-F20AE4BE4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6eae-4f50-4ff9-a7f7-423c5450f063"/>
    <ds:schemaRef ds:uri="02619060-57e9-4d6a-babd-4d98ebeb7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2</TotalTime>
  <Pages>9</Pages>
  <Words>3649</Words>
  <Characters>20803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24404</CharactersWithSpaces>
  <SharedDoc>false</SharedDoc>
  <HLinks>
    <vt:vector size="102" baseType="variant">
      <vt:variant>
        <vt:i4>6619170</vt:i4>
      </vt:variant>
      <vt:variant>
        <vt:i4>66</vt:i4>
      </vt:variant>
      <vt:variant>
        <vt:i4>0</vt:i4>
      </vt:variant>
      <vt:variant>
        <vt:i4>5</vt:i4>
      </vt:variant>
      <vt:variant>
        <vt:lpwstr>https://mdphgis.maps.arcgis.com/apps/instant/nearby/index.html?appid=82983fa9f6d44e2aaf1d5bd420aa57ff&amp;sliderDistance=24</vt:lpwstr>
      </vt:variant>
      <vt:variant>
        <vt:lpwstr/>
      </vt:variant>
      <vt:variant>
        <vt:i4>6619170</vt:i4>
      </vt:variant>
      <vt:variant>
        <vt:i4>63</vt:i4>
      </vt:variant>
      <vt:variant>
        <vt:i4>0</vt:i4>
      </vt:variant>
      <vt:variant>
        <vt:i4>5</vt:i4>
      </vt:variant>
      <vt:variant>
        <vt:lpwstr>https://mdphgis.maps.arcgis.com/apps/instant/nearby/index.html?appid=82983fa9f6d44e2aaf1d5bd420aa57ff&amp;sliderDistance=24</vt:lpwstr>
      </vt:variant>
      <vt:variant>
        <vt:lpwstr/>
      </vt:variant>
      <vt:variant>
        <vt:i4>786526</vt:i4>
      </vt:variant>
      <vt:variant>
        <vt:i4>60</vt:i4>
      </vt:variant>
      <vt:variant>
        <vt:i4>0</vt:i4>
      </vt:variant>
      <vt:variant>
        <vt:i4>5</vt:i4>
      </vt:variant>
      <vt:variant>
        <vt:lpwstr>http://www.gothams.com/referral-form</vt:lpwstr>
      </vt:variant>
      <vt:variant>
        <vt:lpwstr/>
      </vt:variant>
      <vt:variant>
        <vt:i4>5636183</vt:i4>
      </vt:variant>
      <vt:variant>
        <vt:i4>57</vt:i4>
      </vt:variant>
      <vt:variant>
        <vt:i4>0</vt:i4>
      </vt:variant>
      <vt:variant>
        <vt:i4>5</vt:i4>
      </vt:variant>
      <vt:variant>
        <vt:lpwstr>https://www.cdc.gov/coronavirus/2019-ncov/need-extra-precautions/people-with-medical-conditions.html</vt:lpwstr>
      </vt:variant>
      <vt:variant>
        <vt:lpwstr/>
      </vt:variant>
      <vt:variant>
        <vt:i4>6684728</vt:i4>
      </vt:variant>
      <vt:variant>
        <vt:i4>51</vt:i4>
      </vt:variant>
      <vt:variant>
        <vt:i4>0</vt:i4>
      </vt:variant>
      <vt:variant>
        <vt:i4>5</vt:i4>
      </vt:variant>
      <vt:variant>
        <vt:lpwstr>https://www.covid19treatmentguidelines.nih.gov/therapies/statement-on-patient-prioritization-for-outpatient-therapies/</vt:lpwstr>
      </vt:variant>
      <vt:variant>
        <vt:lpwstr/>
      </vt:variant>
      <vt:variant>
        <vt:i4>6684728</vt:i4>
      </vt:variant>
      <vt:variant>
        <vt:i4>48</vt:i4>
      </vt:variant>
      <vt:variant>
        <vt:i4>0</vt:i4>
      </vt:variant>
      <vt:variant>
        <vt:i4>5</vt:i4>
      </vt:variant>
      <vt:variant>
        <vt:lpwstr>https://www.covid19treatmentguidelines.nih.gov/therapies/statement-on-patient-prioritization-for-outpatient-therapies/</vt:lpwstr>
      </vt:variant>
      <vt:variant>
        <vt:lpwstr/>
      </vt:variant>
      <vt:variant>
        <vt:i4>5111886</vt:i4>
      </vt:variant>
      <vt:variant>
        <vt:i4>45</vt:i4>
      </vt:variant>
      <vt:variant>
        <vt:i4>0</vt:i4>
      </vt:variant>
      <vt:variant>
        <vt:i4>5</vt:i4>
      </vt:variant>
      <vt:variant>
        <vt:lpwstr>https://www.fda.gov/media/155054/download</vt:lpwstr>
      </vt:variant>
      <vt:variant>
        <vt:lpwstr/>
      </vt:variant>
      <vt:variant>
        <vt:i4>4390991</vt:i4>
      </vt:variant>
      <vt:variant>
        <vt:i4>42</vt:i4>
      </vt:variant>
      <vt:variant>
        <vt:i4>0</vt:i4>
      </vt:variant>
      <vt:variant>
        <vt:i4>5</vt:i4>
      </vt:variant>
      <vt:variant>
        <vt:lpwstr>https://www.fda.gov/media/155049/download</vt:lpwstr>
      </vt:variant>
      <vt:variant>
        <vt:lpwstr/>
      </vt:variant>
      <vt:variant>
        <vt:i4>5177423</vt:i4>
      </vt:variant>
      <vt:variant>
        <vt:i4>39</vt:i4>
      </vt:variant>
      <vt:variant>
        <vt:i4>0</vt:i4>
      </vt:variant>
      <vt:variant>
        <vt:i4>5</vt:i4>
      </vt:variant>
      <vt:variant>
        <vt:lpwstr>https://www.fda.gov/media/137566/download</vt:lpwstr>
      </vt:variant>
      <vt:variant>
        <vt:lpwstr/>
      </vt:variant>
      <vt:variant>
        <vt:i4>2490452</vt:i4>
      </vt:variant>
      <vt:variant>
        <vt:i4>36</vt:i4>
      </vt:variant>
      <vt:variant>
        <vt:i4>0</vt:i4>
      </vt:variant>
      <vt:variant>
        <vt:i4>5</vt:i4>
      </vt:variant>
      <vt:variant>
        <vt:lpwstr>https://www.accessdata.fda.gov/drugsatfda_docs/label/2020/214787Orig1s000lbl.pdf</vt:lpwstr>
      </vt:variant>
      <vt:variant>
        <vt:lpwstr/>
      </vt:variant>
      <vt:variant>
        <vt:i4>4259915</vt:i4>
      </vt:variant>
      <vt:variant>
        <vt:i4>30</vt:i4>
      </vt:variant>
      <vt:variant>
        <vt:i4>0</vt:i4>
      </vt:variant>
      <vt:variant>
        <vt:i4>5</vt:i4>
      </vt:variant>
      <vt:variant>
        <vt:lpwstr>https://www.fda.gov/media/145802/download</vt:lpwstr>
      </vt:variant>
      <vt:variant>
        <vt:lpwstr/>
      </vt:variant>
      <vt:variant>
        <vt:i4>4980810</vt:i4>
      </vt:variant>
      <vt:variant>
        <vt:i4>27</vt:i4>
      </vt:variant>
      <vt:variant>
        <vt:i4>0</vt:i4>
      </vt:variant>
      <vt:variant>
        <vt:i4>5</vt:i4>
      </vt:variant>
      <vt:variant>
        <vt:lpwstr>https://www.fda.gov/media/145611/download</vt:lpwstr>
      </vt:variant>
      <vt:variant>
        <vt:lpwstr/>
      </vt:variant>
      <vt:variant>
        <vt:i4>4980810</vt:i4>
      </vt:variant>
      <vt:variant>
        <vt:i4>21</vt:i4>
      </vt:variant>
      <vt:variant>
        <vt:i4>0</vt:i4>
      </vt:variant>
      <vt:variant>
        <vt:i4>5</vt:i4>
      </vt:variant>
      <vt:variant>
        <vt:lpwstr>https://www.fda.gov/media/154701/download</vt:lpwstr>
      </vt:variant>
      <vt:variant>
        <vt:lpwstr/>
      </vt:variant>
      <vt:variant>
        <vt:i4>4259915</vt:i4>
      </vt:variant>
      <vt:variant>
        <vt:i4>15</vt:i4>
      </vt:variant>
      <vt:variant>
        <vt:i4>0</vt:i4>
      </vt:variant>
      <vt:variant>
        <vt:i4>5</vt:i4>
      </vt:variant>
      <vt:variant>
        <vt:lpwstr>https://www.fda.gov/media/145802/download</vt:lpwstr>
      </vt:variant>
      <vt:variant>
        <vt:lpwstr/>
      </vt:variant>
      <vt:variant>
        <vt:i4>4980810</vt:i4>
      </vt:variant>
      <vt:variant>
        <vt:i4>12</vt:i4>
      </vt:variant>
      <vt:variant>
        <vt:i4>0</vt:i4>
      </vt:variant>
      <vt:variant>
        <vt:i4>5</vt:i4>
      </vt:variant>
      <vt:variant>
        <vt:lpwstr>https://www.fda.gov/media/145611/download</vt:lpwstr>
      </vt:variant>
      <vt:variant>
        <vt:lpwstr/>
      </vt:variant>
      <vt:variant>
        <vt:i4>4784205</vt:i4>
      </vt:variant>
      <vt:variant>
        <vt:i4>3</vt:i4>
      </vt:variant>
      <vt:variant>
        <vt:i4>0</vt:i4>
      </vt:variant>
      <vt:variant>
        <vt:i4>5</vt:i4>
      </vt:variant>
      <vt:variant>
        <vt:lpwstr>https://www.fda.gov/media/156152/download</vt:lpwstr>
      </vt:variant>
      <vt:variant>
        <vt:lpwstr/>
      </vt:variant>
      <vt:variant>
        <vt:i4>4849732</vt:i4>
      </vt:variant>
      <vt:variant>
        <vt:i4>0</vt:i4>
      </vt:variant>
      <vt:variant>
        <vt:i4>0</vt:i4>
      </vt:variant>
      <vt:variant>
        <vt:i4>5</vt:i4>
      </vt:variant>
      <vt:variant>
        <vt:lpwstr>https://www.fda.gov/media/149534/download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DPH</dc:creator>
  <cp:keywords/>
  <cp:lastModifiedBy>Katherine Fillo</cp:lastModifiedBy>
  <cp:revision>3</cp:revision>
  <cp:lastPrinted>2021-11-15T13:29:00Z</cp:lastPrinted>
  <dcterms:created xsi:type="dcterms:W3CDTF">2022-04-07T21:26:00Z</dcterms:created>
  <dcterms:modified xsi:type="dcterms:W3CDTF">2022-04-07T21:33:00Z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0x010100A2802182F830B8459CF4B12F8C0B2D62</vt:lpwstr>
  </property>
</Properties>
</file>