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E65" w:rsidRDefault="00127E65" w:rsidP="00936294">
      <w:pPr>
        <w:spacing w:after="0"/>
        <w:jc w:val="center"/>
        <w:rPr>
          <w:rFonts w:ascii="Times New Roman" w:hAnsi="Times New Roman" w:cs="Times New Roman"/>
          <w:b/>
          <w:sz w:val="28"/>
          <w:szCs w:val="28"/>
        </w:rPr>
      </w:pPr>
      <w:bookmarkStart w:id="0" w:name="_GoBack"/>
      <w:bookmarkEnd w:id="0"/>
    </w:p>
    <w:p w:rsidR="00127E65" w:rsidRDefault="00127E65" w:rsidP="00936294">
      <w:pPr>
        <w:spacing w:after="0"/>
        <w:jc w:val="center"/>
        <w:rPr>
          <w:rFonts w:ascii="Times New Roman" w:hAnsi="Times New Roman" w:cs="Times New Roman"/>
          <w:b/>
          <w:sz w:val="28"/>
          <w:szCs w:val="28"/>
        </w:rPr>
      </w:pPr>
    </w:p>
    <w:p w:rsidR="00127E65" w:rsidRDefault="00127E65" w:rsidP="00936294">
      <w:pPr>
        <w:spacing w:after="0"/>
        <w:jc w:val="center"/>
        <w:rPr>
          <w:rFonts w:ascii="Times New Roman" w:hAnsi="Times New Roman" w:cs="Times New Roman"/>
          <w:b/>
          <w:sz w:val="28"/>
          <w:szCs w:val="28"/>
        </w:rPr>
      </w:pPr>
    </w:p>
    <w:p w:rsidR="00127E65" w:rsidRDefault="00127E65" w:rsidP="00936294">
      <w:pPr>
        <w:spacing w:after="0"/>
        <w:jc w:val="center"/>
        <w:rPr>
          <w:rFonts w:ascii="Times New Roman" w:hAnsi="Times New Roman" w:cs="Times New Roman"/>
          <w:b/>
          <w:sz w:val="28"/>
          <w:szCs w:val="28"/>
        </w:rPr>
      </w:pPr>
    </w:p>
    <w:p w:rsidR="00127E65" w:rsidRDefault="00127E65" w:rsidP="00936294">
      <w:pPr>
        <w:spacing w:after="0"/>
        <w:jc w:val="center"/>
        <w:rPr>
          <w:rFonts w:ascii="Times New Roman" w:hAnsi="Times New Roman" w:cs="Times New Roman"/>
          <w:b/>
          <w:sz w:val="28"/>
          <w:szCs w:val="28"/>
        </w:rPr>
      </w:pPr>
    </w:p>
    <w:p w:rsidR="00127E65" w:rsidRDefault="00127E65" w:rsidP="00936294">
      <w:pPr>
        <w:spacing w:after="0"/>
        <w:jc w:val="center"/>
        <w:rPr>
          <w:rFonts w:ascii="Times New Roman" w:hAnsi="Times New Roman" w:cs="Times New Roman"/>
          <w:b/>
          <w:sz w:val="28"/>
          <w:szCs w:val="28"/>
        </w:rPr>
      </w:pPr>
    </w:p>
    <w:p w:rsidR="00127E65" w:rsidRDefault="00127E65" w:rsidP="00936294">
      <w:pPr>
        <w:spacing w:after="0"/>
        <w:jc w:val="center"/>
        <w:rPr>
          <w:rFonts w:ascii="Times New Roman" w:hAnsi="Times New Roman" w:cs="Times New Roman"/>
          <w:b/>
          <w:sz w:val="28"/>
          <w:szCs w:val="28"/>
        </w:rPr>
      </w:pPr>
    </w:p>
    <w:p w:rsidR="00127E65" w:rsidRDefault="00127E65" w:rsidP="00936294">
      <w:pPr>
        <w:spacing w:after="0"/>
        <w:jc w:val="center"/>
        <w:rPr>
          <w:rFonts w:ascii="Times New Roman" w:hAnsi="Times New Roman" w:cs="Times New Roman"/>
          <w:b/>
          <w:sz w:val="28"/>
          <w:szCs w:val="28"/>
        </w:rPr>
      </w:pPr>
    </w:p>
    <w:p w:rsidR="00127E65" w:rsidRDefault="00127E65" w:rsidP="00936294">
      <w:pPr>
        <w:spacing w:after="0"/>
        <w:jc w:val="center"/>
        <w:rPr>
          <w:rFonts w:ascii="Times New Roman" w:hAnsi="Times New Roman" w:cs="Times New Roman"/>
          <w:b/>
          <w:sz w:val="28"/>
          <w:szCs w:val="28"/>
        </w:rPr>
      </w:pPr>
    </w:p>
    <w:p w:rsidR="005060F7" w:rsidRPr="006E0BC0" w:rsidRDefault="005060F7" w:rsidP="00936294">
      <w:pPr>
        <w:spacing w:after="0"/>
        <w:jc w:val="center"/>
        <w:rPr>
          <w:rFonts w:ascii="Times New Roman" w:hAnsi="Times New Roman" w:cs="Times New Roman"/>
          <w:b/>
          <w:sz w:val="24"/>
          <w:szCs w:val="24"/>
        </w:rPr>
      </w:pPr>
      <w:r w:rsidRPr="006E0BC0">
        <w:rPr>
          <w:rFonts w:ascii="Times New Roman" w:hAnsi="Times New Roman" w:cs="Times New Roman"/>
          <w:b/>
          <w:sz w:val="24"/>
          <w:szCs w:val="24"/>
        </w:rPr>
        <w:t>M</w:t>
      </w:r>
      <w:r w:rsidR="00AE5D20" w:rsidRPr="006E0BC0">
        <w:rPr>
          <w:rFonts w:ascii="Times New Roman" w:hAnsi="Times New Roman" w:cs="Times New Roman"/>
          <w:b/>
          <w:sz w:val="24"/>
          <w:szCs w:val="24"/>
        </w:rPr>
        <w:t>EMORANDUM</w:t>
      </w:r>
    </w:p>
    <w:p w:rsidR="005060F7" w:rsidRPr="006E0BC0" w:rsidRDefault="005060F7" w:rsidP="00936294">
      <w:pPr>
        <w:spacing w:after="0"/>
        <w:jc w:val="center"/>
        <w:rPr>
          <w:rFonts w:ascii="Times New Roman" w:hAnsi="Times New Roman" w:cs="Times New Roman"/>
          <w:b/>
          <w:sz w:val="28"/>
          <w:szCs w:val="28"/>
        </w:rPr>
      </w:pPr>
    </w:p>
    <w:p w:rsidR="005060F7" w:rsidRPr="006E0BC0" w:rsidRDefault="005060F7" w:rsidP="005060F7">
      <w:pPr>
        <w:spacing w:after="0"/>
        <w:rPr>
          <w:rFonts w:ascii="Times New Roman" w:hAnsi="Times New Roman" w:cs="Times New Roman"/>
          <w:b/>
          <w:sz w:val="24"/>
          <w:szCs w:val="24"/>
        </w:rPr>
      </w:pPr>
      <w:r w:rsidRPr="006E0BC0">
        <w:rPr>
          <w:rFonts w:ascii="Times New Roman" w:hAnsi="Times New Roman" w:cs="Times New Roman"/>
          <w:b/>
          <w:sz w:val="24"/>
          <w:szCs w:val="24"/>
        </w:rPr>
        <w:t xml:space="preserve">To:  </w:t>
      </w:r>
      <w:r w:rsidR="00AE5D20" w:rsidRPr="006E0BC0">
        <w:rPr>
          <w:rFonts w:ascii="Times New Roman" w:hAnsi="Times New Roman" w:cs="Times New Roman"/>
          <w:b/>
          <w:sz w:val="24"/>
          <w:szCs w:val="24"/>
        </w:rPr>
        <w:tab/>
      </w:r>
      <w:r w:rsidR="00AE5D20" w:rsidRPr="006E0BC0">
        <w:rPr>
          <w:rFonts w:ascii="Times New Roman" w:hAnsi="Times New Roman" w:cs="Times New Roman"/>
          <w:b/>
          <w:sz w:val="24"/>
          <w:szCs w:val="24"/>
        </w:rPr>
        <w:tab/>
      </w:r>
      <w:r w:rsidR="00DA1ACA" w:rsidRPr="00DA1ACA">
        <w:rPr>
          <w:rFonts w:ascii="Times New Roman" w:hAnsi="Times New Roman" w:cs="Times New Roman"/>
          <w:sz w:val="24"/>
          <w:szCs w:val="24"/>
        </w:rPr>
        <w:t xml:space="preserve">All </w:t>
      </w:r>
      <w:r w:rsidR="007D78B5" w:rsidRPr="006E0BC0">
        <w:rPr>
          <w:rFonts w:ascii="Times New Roman" w:hAnsi="Times New Roman" w:cs="Times New Roman"/>
          <w:sz w:val="24"/>
          <w:szCs w:val="24"/>
        </w:rPr>
        <w:t>DDS</w:t>
      </w:r>
      <w:r w:rsidR="00AE5D20" w:rsidRPr="006E0BC0">
        <w:rPr>
          <w:rFonts w:ascii="Times New Roman" w:hAnsi="Times New Roman" w:cs="Times New Roman"/>
          <w:sz w:val="24"/>
          <w:szCs w:val="24"/>
        </w:rPr>
        <w:t xml:space="preserve"> </w:t>
      </w:r>
      <w:r w:rsidRPr="006E0BC0">
        <w:rPr>
          <w:rFonts w:ascii="Times New Roman" w:hAnsi="Times New Roman" w:cs="Times New Roman"/>
          <w:sz w:val="24"/>
          <w:szCs w:val="24"/>
        </w:rPr>
        <w:t>Providers</w:t>
      </w:r>
    </w:p>
    <w:p w:rsidR="00AE5D20" w:rsidRPr="006E0BC0" w:rsidRDefault="005060F7" w:rsidP="005060F7">
      <w:pPr>
        <w:spacing w:after="0"/>
        <w:rPr>
          <w:rFonts w:ascii="Times New Roman" w:hAnsi="Times New Roman" w:cs="Times New Roman"/>
          <w:sz w:val="24"/>
          <w:szCs w:val="24"/>
        </w:rPr>
      </w:pPr>
      <w:r w:rsidRPr="006E0BC0">
        <w:rPr>
          <w:rFonts w:ascii="Times New Roman" w:hAnsi="Times New Roman" w:cs="Times New Roman"/>
          <w:b/>
          <w:sz w:val="24"/>
          <w:szCs w:val="24"/>
        </w:rPr>
        <w:t xml:space="preserve">From:  </w:t>
      </w:r>
      <w:r w:rsidR="00AE5D20" w:rsidRPr="006E0BC0">
        <w:rPr>
          <w:rFonts w:ascii="Times New Roman" w:hAnsi="Times New Roman" w:cs="Times New Roman"/>
          <w:b/>
          <w:sz w:val="24"/>
          <w:szCs w:val="24"/>
        </w:rPr>
        <w:tab/>
      </w:r>
      <w:r w:rsidR="003469F3">
        <w:rPr>
          <w:rFonts w:ascii="Times New Roman" w:hAnsi="Times New Roman" w:cs="Times New Roman"/>
          <w:sz w:val="24"/>
          <w:szCs w:val="24"/>
        </w:rPr>
        <w:t>Doreet Goldhaber</w:t>
      </w:r>
      <w:r w:rsidRPr="006E0BC0">
        <w:rPr>
          <w:rFonts w:ascii="Times New Roman" w:hAnsi="Times New Roman" w:cs="Times New Roman"/>
          <w:sz w:val="24"/>
          <w:szCs w:val="24"/>
        </w:rPr>
        <w:t xml:space="preserve">, </w:t>
      </w:r>
      <w:r w:rsidR="00513C9B">
        <w:rPr>
          <w:rFonts w:ascii="Times New Roman" w:hAnsi="Times New Roman" w:cs="Times New Roman"/>
          <w:sz w:val="24"/>
          <w:szCs w:val="24"/>
        </w:rPr>
        <w:t>DDS Director of Licensure and Certification</w:t>
      </w:r>
    </w:p>
    <w:p w:rsidR="005060F7" w:rsidRPr="006E0BC0" w:rsidRDefault="00AE5D20" w:rsidP="005060F7">
      <w:pPr>
        <w:spacing w:after="0"/>
        <w:rPr>
          <w:rFonts w:ascii="Times New Roman" w:hAnsi="Times New Roman" w:cs="Times New Roman"/>
          <w:b/>
          <w:sz w:val="24"/>
          <w:szCs w:val="24"/>
        </w:rPr>
      </w:pPr>
      <w:r w:rsidRPr="006E0BC0">
        <w:rPr>
          <w:rFonts w:ascii="Times New Roman" w:hAnsi="Times New Roman" w:cs="Times New Roman"/>
          <w:b/>
          <w:sz w:val="24"/>
          <w:szCs w:val="24"/>
        </w:rPr>
        <w:t xml:space="preserve">Re:  </w:t>
      </w:r>
      <w:r w:rsidRPr="006E0BC0">
        <w:rPr>
          <w:rFonts w:ascii="Times New Roman" w:hAnsi="Times New Roman" w:cs="Times New Roman"/>
          <w:b/>
          <w:sz w:val="24"/>
          <w:szCs w:val="24"/>
        </w:rPr>
        <w:tab/>
      </w:r>
      <w:r w:rsidRPr="006E0BC0">
        <w:rPr>
          <w:rFonts w:ascii="Times New Roman" w:hAnsi="Times New Roman" w:cs="Times New Roman"/>
          <w:b/>
          <w:sz w:val="24"/>
          <w:szCs w:val="24"/>
        </w:rPr>
        <w:tab/>
      </w:r>
      <w:r w:rsidRPr="006E0BC0">
        <w:rPr>
          <w:rFonts w:ascii="Times New Roman" w:hAnsi="Times New Roman" w:cs="Times New Roman"/>
          <w:sz w:val="24"/>
          <w:szCs w:val="24"/>
        </w:rPr>
        <w:t xml:space="preserve">Guidance on Residential Agreements and </w:t>
      </w:r>
      <w:r w:rsidR="007D78B5" w:rsidRPr="006E0BC0">
        <w:rPr>
          <w:rFonts w:ascii="Times New Roman" w:hAnsi="Times New Roman" w:cs="Times New Roman"/>
          <w:sz w:val="24"/>
          <w:szCs w:val="24"/>
        </w:rPr>
        <w:t xml:space="preserve">the Centers for Medicare and </w:t>
      </w:r>
      <w:r w:rsidR="003469F3">
        <w:rPr>
          <w:rFonts w:ascii="Times New Roman" w:hAnsi="Times New Roman" w:cs="Times New Roman"/>
          <w:sz w:val="24"/>
          <w:szCs w:val="24"/>
        </w:rPr>
        <w:tab/>
      </w:r>
      <w:r w:rsidR="003469F3">
        <w:rPr>
          <w:rFonts w:ascii="Times New Roman" w:hAnsi="Times New Roman" w:cs="Times New Roman"/>
          <w:sz w:val="24"/>
          <w:szCs w:val="24"/>
        </w:rPr>
        <w:tab/>
      </w:r>
      <w:r w:rsidR="003469F3">
        <w:rPr>
          <w:rFonts w:ascii="Times New Roman" w:hAnsi="Times New Roman" w:cs="Times New Roman"/>
          <w:sz w:val="24"/>
          <w:szCs w:val="24"/>
        </w:rPr>
        <w:tab/>
      </w:r>
      <w:r w:rsidR="00513C9B">
        <w:rPr>
          <w:rFonts w:ascii="Times New Roman" w:hAnsi="Times New Roman" w:cs="Times New Roman"/>
          <w:sz w:val="24"/>
          <w:szCs w:val="24"/>
        </w:rPr>
        <w:tab/>
      </w:r>
      <w:r w:rsidR="007D78B5" w:rsidRPr="006E0BC0">
        <w:rPr>
          <w:rFonts w:ascii="Times New Roman" w:hAnsi="Times New Roman" w:cs="Times New Roman"/>
          <w:sz w:val="24"/>
          <w:szCs w:val="24"/>
        </w:rPr>
        <w:t>Medicaid Services</w:t>
      </w:r>
      <w:r w:rsidRPr="006E0BC0">
        <w:rPr>
          <w:rFonts w:ascii="Times New Roman" w:hAnsi="Times New Roman" w:cs="Times New Roman"/>
          <w:sz w:val="24"/>
          <w:szCs w:val="24"/>
        </w:rPr>
        <w:t xml:space="preserve"> Home and Community Based Services</w:t>
      </w:r>
      <w:r w:rsidR="000A489B">
        <w:rPr>
          <w:rFonts w:ascii="Times New Roman" w:hAnsi="Times New Roman" w:cs="Times New Roman"/>
          <w:sz w:val="24"/>
          <w:szCs w:val="24"/>
        </w:rPr>
        <w:t xml:space="preserve"> Waiver</w:t>
      </w:r>
      <w:r w:rsidRPr="006E0BC0">
        <w:rPr>
          <w:rFonts w:ascii="Times New Roman" w:hAnsi="Times New Roman" w:cs="Times New Roman"/>
          <w:sz w:val="24"/>
          <w:szCs w:val="24"/>
        </w:rPr>
        <w:t xml:space="preserve"> </w:t>
      </w:r>
      <w:r w:rsidR="007D78B5" w:rsidRPr="006E0BC0">
        <w:rPr>
          <w:rFonts w:ascii="Times New Roman" w:hAnsi="Times New Roman" w:cs="Times New Roman"/>
          <w:sz w:val="24"/>
          <w:szCs w:val="24"/>
        </w:rPr>
        <w:t>“</w:t>
      </w:r>
      <w:r w:rsidRPr="006E0BC0">
        <w:rPr>
          <w:rFonts w:ascii="Times New Roman" w:hAnsi="Times New Roman" w:cs="Times New Roman"/>
          <w:sz w:val="24"/>
          <w:szCs w:val="24"/>
        </w:rPr>
        <w:t xml:space="preserve">Community </w:t>
      </w:r>
      <w:r w:rsidR="00513C9B">
        <w:rPr>
          <w:rFonts w:ascii="Times New Roman" w:hAnsi="Times New Roman" w:cs="Times New Roman"/>
          <w:sz w:val="24"/>
          <w:szCs w:val="24"/>
        </w:rPr>
        <w:tab/>
      </w:r>
      <w:r w:rsidR="00513C9B">
        <w:rPr>
          <w:rFonts w:ascii="Times New Roman" w:hAnsi="Times New Roman" w:cs="Times New Roman"/>
          <w:sz w:val="24"/>
          <w:szCs w:val="24"/>
        </w:rPr>
        <w:tab/>
      </w:r>
      <w:r w:rsidR="00513C9B">
        <w:rPr>
          <w:rFonts w:ascii="Times New Roman" w:hAnsi="Times New Roman" w:cs="Times New Roman"/>
          <w:sz w:val="24"/>
          <w:szCs w:val="24"/>
        </w:rPr>
        <w:tab/>
      </w:r>
      <w:r w:rsidRPr="006E0BC0">
        <w:rPr>
          <w:rFonts w:ascii="Times New Roman" w:hAnsi="Times New Roman" w:cs="Times New Roman"/>
          <w:sz w:val="24"/>
          <w:szCs w:val="24"/>
        </w:rPr>
        <w:t>Rule</w:t>
      </w:r>
      <w:r w:rsidR="00CF29B2">
        <w:rPr>
          <w:rFonts w:ascii="Times New Roman" w:hAnsi="Times New Roman" w:cs="Times New Roman"/>
          <w:sz w:val="24"/>
          <w:szCs w:val="24"/>
        </w:rPr>
        <w:t>,</w:t>
      </w:r>
      <w:r w:rsidR="007D78B5" w:rsidRPr="006E0BC0">
        <w:rPr>
          <w:rFonts w:ascii="Times New Roman" w:hAnsi="Times New Roman" w:cs="Times New Roman"/>
          <w:sz w:val="24"/>
          <w:szCs w:val="24"/>
        </w:rPr>
        <w:t>”</w:t>
      </w:r>
      <w:r w:rsidR="00513C9B">
        <w:rPr>
          <w:rFonts w:ascii="Times New Roman" w:hAnsi="Times New Roman" w:cs="Times New Roman"/>
          <w:sz w:val="24"/>
          <w:szCs w:val="24"/>
        </w:rPr>
        <w:t xml:space="preserve"> </w:t>
      </w:r>
      <w:r w:rsidR="0089482F" w:rsidRPr="00CF29B2">
        <w:rPr>
          <w:rFonts w:ascii="Times New Roman" w:hAnsi="Times New Roman" w:cs="Times New Roman"/>
          <w:i/>
          <w:sz w:val="24"/>
          <w:szCs w:val="24"/>
        </w:rPr>
        <w:t>Revises and replaces M</w:t>
      </w:r>
      <w:r w:rsidR="00CF29B2">
        <w:rPr>
          <w:rFonts w:ascii="Times New Roman" w:hAnsi="Times New Roman" w:cs="Times New Roman"/>
          <w:i/>
          <w:sz w:val="24"/>
          <w:szCs w:val="24"/>
        </w:rPr>
        <w:t>ay 5, 2016 Guidance Memorandum</w:t>
      </w:r>
    </w:p>
    <w:p w:rsidR="005060F7" w:rsidRDefault="00AE5D20" w:rsidP="00AE5D20">
      <w:pPr>
        <w:pBdr>
          <w:bottom w:val="single" w:sz="12" w:space="1" w:color="auto"/>
        </w:pBdr>
        <w:spacing w:after="0"/>
        <w:rPr>
          <w:rFonts w:ascii="Times New Roman" w:hAnsi="Times New Roman" w:cs="Times New Roman"/>
          <w:sz w:val="24"/>
          <w:szCs w:val="24"/>
        </w:rPr>
      </w:pPr>
      <w:r w:rsidRPr="006E0BC0">
        <w:rPr>
          <w:rFonts w:ascii="Times New Roman" w:hAnsi="Times New Roman" w:cs="Times New Roman"/>
          <w:b/>
          <w:sz w:val="24"/>
          <w:szCs w:val="24"/>
        </w:rPr>
        <w:t xml:space="preserve">Date:  </w:t>
      </w:r>
      <w:r w:rsidRPr="006E0BC0">
        <w:rPr>
          <w:rFonts w:ascii="Times New Roman" w:hAnsi="Times New Roman" w:cs="Times New Roman"/>
          <w:b/>
          <w:sz w:val="24"/>
          <w:szCs w:val="24"/>
        </w:rPr>
        <w:tab/>
      </w:r>
      <w:r w:rsidR="006E0BC0" w:rsidRPr="006E0BC0">
        <w:rPr>
          <w:rFonts w:ascii="Times New Roman" w:hAnsi="Times New Roman" w:cs="Times New Roman"/>
          <w:b/>
          <w:sz w:val="24"/>
          <w:szCs w:val="24"/>
        </w:rPr>
        <w:tab/>
      </w:r>
      <w:r w:rsidR="0089482F">
        <w:rPr>
          <w:rFonts w:ascii="Times New Roman" w:hAnsi="Times New Roman" w:cs="Times New Roman"/>
          <w:sz w:val="24"/>
          <w:szCs w:val="24"/>
        </w:rPr>
        <w:t>July 11</w:t>
      </w:r>
      <w:r w:rsidR="003469F3">
        <w:rPr>
          <w:rFonts w:ascii="Times New Roman" w:hAnsi="Times New Roman" w:cs="Times New Roman"/>
          <w:sz w:val="24"/>
          <w:szCs w:val="24"/>
        </w:rPr>
        <w:t>, 2016</w:t>
      </w:r>
    </w:p>
    <w:p w:rsidR="006E0BC0" w:rsidRPr="006E0BC0" w:rsidRDefault="006E0BC0" w:rsidP="00AE5D20">
      <w:pPr>
        <w:pBdr>
          <w:bottom w:val="single" w:sz="12" w:space="1" w:color="auto"/>
        </w:pBdr>
        <w:spacing w:after="0"/>
        <w:rPr>
          <w:rFonts w:ascii="Times New Roman" w:hAnsi="Times New Roman" w:cs="Times New Roman"/>
          <w:b/>
          <w:sz w:val="24"/>
          <w:szCs w:val="24"/>
        </w:rPr>
      </w:pPr>
    </w:p>
    <w:p w:rsidR="001D1B43" w:rsidRPr="006E0BC0" w:rsidRDefault="001D1B43" w:rsidP="006A2D40">
      <w:pPr>
        <w:spacing w:after="0"/>
        <w:rPr>
          <w:rFonts w:ascii="Times New Roman" w:hAnsi="Times New Roman" w:cs="Times New Roman"/>
          <w:sz w:val="24"/>
          <w:szCs w:val="24"/>
        </w:rPr>
      </w:pPr>
    </w:p>
    <w:p w:rsidR="00802EA5" w:rsidRPr="006E0BC0" w:rsidRDefault="00802EA5" w:rsidP="00802EA5">
      <w:pPr>
        <w:pStyle w:val="ListParagraph"/>
        <w:numPr>
          <w:ilvl w:val="0"/>
          <w:numId w:val="19"/>
        </w:numPr>
        <w:rPr>
          <w:rStyle w:val="subject"/>
          <w:rFonts w:ascii="Times New Roman" w:hAnsi="Times New Roman" w:cs="Times New Roman"/>
          <w:b/>
          <w:bCs/>
          <w:color w:val="000000"/>
          <w:sz w:val="24"/>
          <w:szCs w:val="24"/>
          <w:u w:val="single"/>
        </w:rPr>
      </w:pPr>
      <w:r w:rsidRPr="006E0BC0">
        <w:rPr>
          <w:rStyle w:val="subject"/>
          <w:rFonts w:ascii="Times New Roman" w:hAnsi="Times New Roman" w:cs="Times New Roman"/>
          <w:b/>
          <w:bCs/>
          <w:color w:val="000000"/>
          <w:sz w:val="24"/>
          <w:szCs w:val="24"/>
          <w:u w:val="single"/>
        </w:rPr>
        <w:t>The Community Rule</w:t>
      </w:r>
    </w:p>
    <w:p w:rsidR="00016BDF" w:rsidRPr="006E0BC0" w:rsidRDefault="009E5B84" w:rsidP="009E5B84">
      <w:pPr>
        <w:ind w:left="60"/>
        <w:rPr>
          <w:rStyle w:val="p"/>
          <w:rFonts w:ascii="Times New Roman" w:hAnsi="Times New Roman" w:cs="Times New Roman"/>
          <w:color w:val="000000"/>
          <w:sz w:val="24"/>
          <w:szCs w:val="24"/>
        </w:rPr>
      </w:pPr>
      <w:r w:rsidRPr="006E0BC0">
        <w:rPr>
          <w:rStyle w:val="subject"/>
          <w:rFonts w:ascii="Times New Roman" w:hAnsi="Times New Roman" w:cs="Times New Roman"/>
          <w:bCs/>
          <w:color w:val="000000"/>
          <w:sz w:val="24"/>
          <w:szCs w:val="24"/>
        </w:rPr>
        <w:t xml:space="preserve">Pursuant to </w:t>
      </w:r>
      <w:r w:rsidR="003469F3" w:rsidRPr="003469F3">
        <w:rPr>
          <w:rStyle w:val="subject"/>
          <w:rFonts w:ascii="Times New Roman" w:hAnsi="Times New Roman" w:cs="Times New Roman"/>
          <w:bCs/>
          <w:color w:val="000000"/>
          <w:sz w:val="24"/>
          <w:szCs w:val="24"/>
        </w:rPr>
        <w:t>42 U.S.C. 441.301(c</w:t>
      </w:r>
      <w:proofErr w:type="gramStart"/>
      <w:r w:rsidR="003469F3" w:rsidRPr="003469F3">
        <w:rPr>
          <w:rStyle w:val="subject"/>
          <w:rFonts w:ascii="Times New Roman" w:hAnsi="Times New Roman" w:cs="Times New Roman"/>
          <w:bCs/>
          <w:color w:val="000000"/>
          <w:sz w:val="24"/>
          <w:szCs w:val="24"/>
        </w:rPr>
        <w:t>)(</w:t>
      </w:r>
      <w:proofErr w:type="gramEnd"/>
      <w:r w:rsidR="003469F3" w:rsidRPr="003469F3">
        <w:rPr>
          <w:rStyle w:val="subject"/>
          <w:rFonts w:ascii="Times New Roman" w:hAnsi="Times New Roman" w:cs="Times New Roman"/>
          <w:bCs/>
          <w:color w:val="000000"/>
          <w:sz w:val="24"/>
          <w:szCs w:val="24"/>
        </w:rPr>
        <w:t xml:space="preserve">4)(vi) </w:t>
      </w:r>
      <w:r w:rsidR="00EC5E6E" w:rsidRPr="006E0BC0">
        <w:rPr>
          <w:rStyle w:val="subject"/>
          <w:rFonts w:ascii="Times New Roman" w:hAnsi="Times New Roman" w:cs="Times New Roman"/>
          <w:bCs/>
          <w:color w:val="000000"/>
          <w:sz w:val="24"/>
          <w:szCs w:val="24"/>
        </w:rPr>
        <w:t xml:space="preserve">(“the </w:t>
      </w:r>
      <w:r w:rsidR="00DA4F0F" w:rsidRPr="006E0BC0">
        <w:rPr>
          <w:rStyle w:val="subject"/>
          <w:rFonts w:ascii="Times New Roman" w:hAnsi="Times New Roman" w:cs="Times New Roman"/>
          <w:bCs/>
          <w:color w:val="000000"/>
          <w:sz w:val="24"/>
          <w:szCs w:val="24"/>
        </w:rPr>
        <w:t xml:space="preserve">Community </w:t>
      </w:r>
      <w:r w:rsidR="00EC5E6E" w:rsidRPr="006E0BC0">
        <w:rPr>
          <w:rStyle w:val="subject"/>
          <w:rFonts w:ascii="Times New Roman" w:hAnsi="Times New Roman" w:cs="Times New Roman"/>
          <w:bCs/>
          <w:color w:val="000000"/>
          <w:sz w:val="24"/>
          <w:szCs w:val="24"/>
        </w:rPr>
        <w:t>Rule”)</w:t>
      </w:r>
      <w:r w:rsidRPr="006E0BC0">
        <w:rPr>
          <w:rStyle w:val="subject"/>
          <w:rFonts w:ascii="Times New Roman" w:hAnsi="Times New Roman" w:cs="Times New Roman"/>
          <w:bCs/>
          <w:color w:val="000000"/>
          <w:sz w:val="24"/>
          <w:szCs w:val="24"/>
        </w:rPr>
        <w:t>, w</w:t>
      </w:r>
      <w:r w:rsidR="00016BDF" w:rsidRPr="006E0BC0">
        <w:rPr>
          <w:rStyle w:val="subject"/>
          <w:rFonts w:ascii="Times New Roman" w:hAnsi="Times New Roman" w:cs="Times New Roman"/>
          <w:bCs/>
          <w:color w:val="000000"/>
          <w:sz w:val="24"/>
          <w:szCs w:val="24"/>
        </w:rPr>
        <w:t xml:space="preserve">hen residential services are provided </w:t>
      </w:r>
      <w:r w:rsidR="00004FAE" w:rsidRPr="006E0BC0">
        <w:rPr>
          <w:rStyle w:val="subject"/>
          <w:rFonts w:ascii="Times New Roman" w:hAnsi="Times New Roman" w:cs="Times New Roman"/>
          <w:bCs/>
          <w:color w:val="000000"/>
          <w:sz w:val="24"/>
          <w:szCs w:val="24"/>
        </w:rPr>
        <w:t xml:space="preserve">pursuant to </w:t>
      </w:r>
      <w:r w:rsidR="00016BDF" w:rsidRPr="006E0BC0">
        <w:rPr>
          <w:rStyle w:val="subject"/>
          <w:rFonts w:ascii="Times New Roman" w:hAnsi="Times New Roman" w:cs="Times New Roman"/>
          <w:bCs/>
          <w:color w:val="000000"/>
          <w:sz w:val="24"/>
          <w:szCs w:val="24"/>
        </w:rPr>
        <w:t xml:space="preserve">a home and community-based </w:t>
      </w:r>
      <w:r w:rsidR="00004FAE" w:rsidRPr="006E0BC0">
        <w:rPr>
          <w:rStyle w:val="subject"/>
          <w:rFonts w:ascii="Times New Roman" w:hAnsi="Times New Roman" w:cs="Times New Roman"/>
          <w:bCs/>
          <w:color w:val="000000"/>
          <w:sz w:val="24"/>
          <w:szCs w:val="24"/>
        </w:rPr>
        <w:t>waiver</w:t>
      </w:r>
      <w:r w:rsidR="00016BDF" w:rsidRPr="006E0BC0">
        <w:rPr>
          <w:rStyle w:val="subject"/>
          <w:rFonts w:ascii="Times New Roman" w:hAnsi="Times New Roman" w:cs="Times New Roman"/>
          <w:bCs/>
          <w:color w:val="000000"/>
          <w:sz w:val="24"/>
          <w:szCs w:val="24"/>
        </w:rPr>
        <w:t xml:space="preserve">, the following applies: </w:t>
      </w:r>
    </w:p>
    <w:p w:rsidR="00016BDF" w:rsidRPr="006E0BC0" w:rsidRDefault="001B1BC2" w:rsidP="00016BDF">
      <w:pPr>
        <w:ind w:left="60"/>
        <w:rPr>
          <w:rStyle w:val="p"/>
          <w:rFonts w:ascii="Times New Roman" w:hAnsi="Times New Roman" w:cs="Times New Roman"/>
          <w:i/>
          <w:iCs/>
          <w:color w:val="000000"/>
          <w:sz w:val="24"/>
          <w:szCs w:val="24"/>
        </w:rPr>
      </w:pPr>
      <w:r w:rsidRPr="006E0BC0">
        <w:rPr>
          <w:rStyle w:val="p"/>
          <w:rFonts w:ascii="Times New Roman" w:hAnsi="Times New Roman" w:cs="Times New Roman"/>
          <w:i/>
          <w:iCs/>
          <w:color w:val="000000"/>
          <w:sz w:val="24"/>
          <w:szCs w:val="24"/>
        </w:rPr>
        <w:t>In a provider-owned or controlled residential setting, in addition to the above qualities at paragraphs (</w:t>
      </w:r>
      <w:r w:rsidR="005B56E2">
        <w:rPr>
          <w:rStyle w:val="p"/>
          <w:rFonts w:ascii="Times New Roman" w:hAnsi="Times New Roman" w:cs="Times New Roman"/>
          <w:i/>
          <w:iCs/>
          <w:color w:val="000000"/>
          <w:sz w:val="24"/>
          <w:szCs w:val="24"/>
        </w:rPr>
        <w:t>c</w:t>
      </w:r>
      <w:proofErr w:type="gramStart"/>
      <w:r w:rsidRPr="006E0BC0">
        <w:rPr>
          <w:rStyle w:val="p"/>
          <w:rFonts w:ascii="Times New Roman" w:hAnsi="Times New Roman" w:cs="Times New Roman"/>
          <w:i/>
          <w:iCs/>
          <w:color w:val="000000"/>
          <w:sz w:val="24"/>
          <w:szCs w:val="24"/>
        </w:rPr>
        <w:t>)(</w:t>
      </w:r>
      <w:proofErr w:type="gramEnd"/>
      <w:r w:rsidR="005B56E2">
        <w:rPr>
          <w:rStyle w:val="p"/>
          <w:rFonts w:ascii="Times New Roman" w:hAnsi="Times New Roman" w:cs="Times New Roman"/>
          <w:i/>
          <w:iCs/>
          <w:color w:val="000000"/>
          <w:sz w:val="24"/>
          <w:szCs w:val="24"/>
        </w:rPr>
        <w:t>4</w:t>
      </w:r>
      <w:r w:rsidRPr="006E0BC0">
        <w:rPr>
          <w:rStyle w:val="p"/>
          <w:rFonts w:ascii="Times New Roman" w:hAnsi="Times New Roman" w:cs="Times New Roman"/>
          <w:i/>
          <w:iCs/>
          <w:color w:val="000000"/>
          <w:sz w:val="24"/>
          <w:szCs w:val="24"/>
        </w:rPr>
        <w:t>)(</w:t>
      </w:r>
      <w:proofErr w:type="spellStart"/>
      <w:r w:rsidRPr="006E0BC0">
        <w:rPr>
          <w:rStyle w:val="p"/>
          <w:rFonts w:ascii="Times New Roman" w:hAnsi="Times New Roman" w:cs="Times New Roman"/>
          <w:i/>
          <w:iCs/>
          <w:color w:val="000000"/>
          <w:sz w:val="24"/>
          <w:szCs w:val="24"/>
        </w:rPr>
        <w:t>i</w:t>
      </w:r>
      <w:proofErr w:type="spellEnd"/>
      <w:r w:rsidRPr="006E0BC0">
        <w:rPr>
          <w:rStyle w:val="p"/>
          <w:rFonts w:ascii="Times New Roman" w:hAnsi="Times New Roman" w:cs="Times New Roman"/>
          <w:i/>
          <w:iCs/>
          <w:color w:val="000000"/>
          <w:sz w:val="24"/>
          <w:szCs w:val="24"/>
        </w:rPr>
        <w:t>) through (v) of this section, the following additional conditions must be met:</w:t>
      </w:r>
    </w:p>
    <w:p w:rsidR="00004FAE" w:rsidRPr="006E0BC0" w:rsidRDefault="001B1BC2" w:rsidP="00004FAE">
      <w:pPr>
        <w:pStyle w:val="ListParagraph"/>
        <w:numPr>
          <w:ilvl w:val="0"/>
          <w:numId w:val="17"/>
        </w:numPr>
        <w:rPr>
          <w:rStyle w:val="p"/>
          <w:rFonts w:ascii="Times New Roman" w:hAnsi="Times New Roman" w:cs="Times New Roman"/>
          <w:i/>
          <w:iCs/>
          <w:color w:val="000000"/>
          <w:sz w:val="24"/>
          <w:szCs w:val="24"/>
        </w:rPr>
      </w:pPr>
      <w:r w:rsidRPr="006E0BC0">
        <w:rPr>
          <w:rStyle w:val="p"/>
          <w:rFonts w:ascii="Times New Roman" w:hAnsi="Times New Roman" w:cs="Times New Roman"/>
          <w:i/>
          <w:iCs/>
          <w:color w:val="000000"/>
          <w:sz w:val="24"/>
          <w:szCs w:val="24"/>
        </w:rPr>
        <w:t>The unit or dwelling is a specific physical place that can be owned, rented or occupied under a legally enforceable agreement by the individual receiving services, and the individual has, at a minimum, the same responsibilities and protections from eviction that tenants have under the landlord tenant law of the State, county, city or other designated entity. For settings in which landlord tenant laws do not apply, the State must ensure that a lease, residency agreement or other form of written agreement will be in place for each participant and that the document provides protections that address eviction processes and appeals comparable to those provided under the jurisdiction's landlord tenant law.</w:t>
      </w:r>
    </w:p>
    <w:p w:rsidR="00004FAE" w:rsidRPr="006E0BC0" w:rsidRDefault="00004FAE" w:rsidP="00004FAE">
      <w:pPr>
        <w:pStyle w:val="ListParagraph"/>
        <w:ind w:left="420"/>
        <w:rPr>
          <w:rStyle w:val="p"/>
          <w:rFonts w:ascii="Times New Roman" w:hAnsi="Times New Roman" w:cs="Times New Roman"/>
          <w:i/>
          <w:iCs/>
          <w:color w:val="000000"/>
          <w:sz w:val="24"/>
          <w:szCs w:val="24"/>
        </w:rPr>
      </w:pPr>
    </w:p>
    <w:p w:rsidR="00802EA5" w:rsidRDefault="00004FAE" w:rsidP="00802EA5">
      <w:pPr>
        <w:pStyle w:val="ListParagraph"/>
        <w:ind w:left="0"/>
        <w:rPr>
          <w:rStyle w:val="p"/>
          <w:rFonts w:ascii="Times New Roman" w:hAnsi="Times New Roman" w:cs="Times New Roman"/>
          <w:iCs/>
          <w:color w:val="000000"/>
          <w:sz w:val="24"/>
          <w:szCs w:val="24"/>
        </w:rPr>
      </w:pPr>
      <w:r w:rsidRPr="006E0BC0">
        <w:rPr>
          <w:rStyle w:val="p"/>
          <w:rFonts w:ascii="Times New Roman" w:hAnsi="Times New Roman" w:cs="Times New Roman"/>
          <w:iCs/>
          <w:color w:val="000000"/>
          <w:sz w:val="24"/>
          <w:szCs w:val="24"/>
        </w:rPr>
        <w:t>Th</w:t>
      </w:r>
      <w:r w:rsidR="00D85398">
        <w:rPr>
          <w:rStyle w:val="p"/>
          <w:rFonts w:ascii="Times New Roman" w:hAnsi="Times New Roman" w:cs="Times New Roman"/>
          <w:iCs/>
          <w:color w:val="000000"/>
          <w:sz w:val="24"/>
          <w:szCs w:val="24"/>
        </w:rPr>
        <w:t>e</w:t>
      </w:r>
      <w:r w:rsidRPr="006E0BC0">
        <w:rPr>
          <w:rStyle w:val="p"/>
          <w:rFonts w:ascii="Times New Roman" w:hAnsi="Times New Roman" w:cs="Times New Roman"/>
          <w:iCs/>
          <w:color w:val="000000"/>
          <w:sz w:val="24"/>
          <w:szCs w:val="24"/>
        </w:rPr>
        <w:t xml:space="preserve"> </w:t>
      </w:r>
      <w:r w:rsidR="007D78B5" w:rsidRPr="006E0BC0">
        <w:rPr>
          <w:rStyle w:val="p"/>
          <w:rFonts w:ascii="Times New Roman" w:hAnsi="Times New Roman" w:cs="Times New Roman"/>
          <w:iCs/>
          <w:color w:val="000000"/>
          <w:sz w:val="24"/>
          <w:szCs w:val="24"/>
        </w:rPr>
        <w:t>g</w:t>
      </w:r>
      <w:r w:rsidRPr="006E0BC0">
        <w:rPr>
          <w:rStyle w:val="p"/>
          <w:rFonts w:ascii="Times New Roman" w:hAnsi="Times New Roman" w:cs="Times New Roman"/>
          <w:iCs/>
          <w:color w:val="000000"/>
          <w:sz w:val="24"/>
          <w:szCs w:val="24"/>
        </w:rPr>
        <w:t>uidance</w:t>
      </w:r>
      <w:r w:rsidR="00802EA5" w:rsidRPr="006E0BC0">
        <w:rPr>
          <w:rStyle w:val="p"/>
          <w:rFonts w:ascii="Times New Roman" w:hAnsi="Times New Roman" w:cs="Times New Roman"/>
          <w:iCs/>
          <w:color w:val="000000"/>
          <w:sz w:val="24"/>
          <w:szCs w:val="24"/>
        </w:rPr>
        <w:t xml:space="preserve"> in this memorandum</w:t>
      </w:r>
      <w:r w:rsidRPr="006E0BC0">
        <w:rPr>
          <w:rStyle w:val="p"/>
          <w:rFonts w:ascii="Times New Roman" w:hAnsi="Times New Roman" w:cs="Times New Roman"/>
          <w:iCs/>
          <w:color w:val="000000"/>
          <w:sz w:val="24"/>
          <w:szCs w:val="24"/>
        </w:rPr>
        <w:t xml:space="preserve"> is intended to </w:t>
      </w:r>
      <w:r w:rsidR="009D2A42" w:rsidRPr="006E0BC0">
        <w:rPr>
          <w:rStyle w:val="p"/>
          <w:rFonts w:ascii="Times New Roman" w:hAnsi="Times New Roman" w:cs="Times New Roman"/>
          <w:iCs/>
          <w:color w:val="000000"/>
          <w:sz w:val="24"/>
          <w:szCs w:val="24"/>
        </w:rPr>
        <w:t xml:space="preserve">generally </w:t>
      </w:r>
      <w:r w:rsidRPr="006E0BC0">
        <w:rPr>
          <w:rStyle w:val="p"/>
          <w:rFonts w:ascii="Times New Roman" w:hAnsi="Times New Roman" w:cs="Times New Roman"/>
          <w:iCs/>
          <w:color w:val="000000"/>
          <w:sz w:val="24"/>
          <w:szCs w:val="24"/>
        </w:rPr>
        <w:t xml:space="preserve">assist DDS </w:t>
      </w:r>
      <w:r w:rsidR="006C35B4" w:rsidRPr="006E0BC0">
        <w:rPr>
          <w:rStyle w:val="p"/>
          <w:rFonts w:ascii="Times New Roman" w:hAnsi="Times New Roman" w:cs="Times New Roman"/>
          <w:iCs/>
          <w:color w:val="000000"/>
          <w:sz w:val="24"/>
          <w:szCs w:val="24"/>
        </w:rPr>
        <w:t>P</w:t>
      </w:r>
      <w:r w:rsidRPr="006E0BC0">
        <w:rPr>
          <w:rStyle w:val="p"/>
          <w:rFonts w:ascii="Times New Roman" w:hAnsi="Times New Roman" w:cs="Times New Roman"/>
          <w:iCs/>
          <w:color w:val="000000"/>
          <w:sz w:val="24"/>
          <w:szCs w:val="24"/>
        </w:rPr>
        <w:t xml:space="preserve">roviders in complying with the </w:t>
      </w:r>
      <w:r w:rsidR="00802EA5" w:rsidRPr="006E0BC0">
        <w:rPr>
          <w:rStyle w:val="p"/>
          <w:rFonts w:ascii="Times New Roman" w:hAnsi="Times New Roman" w:cs="Times New Roman"/>
          <w:iCs/>
          <w:color w:val="000000"/>
          <w:sz w:val="24"/>
          <w:szCs w:val="24"/>
        </w:rPr>
        <w:t xml:space="preserve">Community </w:t>
      </w:r>
      <w:r w:rsidRPr="006E0BC0">
        <w:rPr>
          <w:rStyle w:val="p"/>
          <w:rFonts w:ascii="Times New Roman" w:hAnsi="Times New Roman" w:cs="Times New Roman"/>
          <w:iCs/>
          <w:color w:val="000000"/>
          <w:sz w:val="24"/>
          <w:szCs w:val="24"/>
        </w:rPr>
        <w:t xml:space="preserve">Rule; </w:t>
      </w:r>
      <w:r w:rsidRPr="006E0BC0">
        <w:rPr>
          <w:rStyle w:val="p"/>
          <w:rFonts w:ascii="Times New Roman" w:hAnsi="Times New Roman" w:cs="Times New Roman"/>
          <w:b/>
          <w:iCs/>
          <w:color w:val="000000"/>
          <w:sz w:val="24"/>
          <w:szCs w:val="24"/>
          <w:u w:val="single"/>
        </w:rPr>
        <w:t xml:space="preserve">however, </w:t>
      </w:r>
      <w:r w:rsidR="007D78B5" w:rsidRPr="006E0BC0">
        <w:rPr>
          <w:rStyle w:val="p"/>
          <w:rFonts w:ascii="Times New Roman" w:hAnsi="Times New Roman" w:cs="Times New Roman"/>
          <w:b/>
          <w:iCs/>
          <w:color w:val="000000"/>
          <w:sz w:val="24"/>
          <w:szCs w:val="24"/>
          <w:u w:val="single"/>
        </w:rPr>
        <w:t>this guidance</w:t>
      </w:r>
      <w:r w:rsidRPr="006E0BC0">
        <w:rPr>
          <w:rStyle w:val="p"/>
          <w:rFonts w:ascii="Times New Roman" w:hAnsi="Times New Roman" w:cs="Times New Roman"/>
          <w:b/>
          <w:iCs/>
          <w:color w:val="000000"/>
          <w:sz w:val="24"/>
          <w:szCs w:val="24"/>
          <w:u w:val="single"/>
        </w:rPr>
        <w:t xml:space="preserve"> is not a substitute for </w:t>
      </w:r>
      <w:r w:rsidR="00802EA5" w:rsidRPr="006E0BC0">
        <w:rPr>
          <w:rStyle w:val="p"/>
          <w:rFonts w:ascii="Times New Roman" w:hAnsi="Times New Roman" w:cs="Times New Roman"/>
          <w:b/>
          <w:iCs/>
          <w:color w:val="000000"/>
          <w:sz w:val="24"/>
          <w:szCs w:val="24"/>
          <w:u w:val="single"/>
        </w:rPr>
        <w:t>P</w:t>
      </w:r>
      <w:r w:rsidRPr="006E0BC0">
        <w:rPr>
          <w:rStyle w:val="p"/>
          <w:rFonts w:ascii="Times New Roman" w:hAnsi="Times New Roman" w:cs="Times New Roman"/>
          <w:b/>
          <w:iCs/>
          <w:color w:val="000000"/>
          <w:sz w:val="24"/>
          <w:szCs w:val="24"/>
          <w:u w:val="single"/>
        </w:rPr>
        <w:t>roviders</w:t>
      </w:r>
      <w:r w:rsidR="009D2A42" w:rsidRPr="006E0BC0">
        <w:rPr>
          <w:rStyle w:val="p"/>
          <w:rFonts w:ascii="Times New Roman" w:hAnsi="Times New Roman" w:cs="Times New Roman"/>
          <w:b/>
          <w:iCs/>
          <w:color w:val="000000"/>
          <w:sz w:val="24"/>
          <w:szCs w:val="24"/>
          <w:u w:val="single"/>
        </w:rPr>
        <w:t xml:space="preserve"> consulting legal counsel to interpret th</w:t>
      </w:r>
      <w:r w:rsidR="00802EA5" w:rsidRPr="006E0BC0">
        <w:rPr>
          <w:rStyle w:val="p"/>
          <w:rFonts w:ascii="Times New Roman" w:hAnsi="Times New Roman" w:cs="Times New Roman"/>
          <w:b/>
          <w:iCs/>
          <w:color w:val="000000"/>
          <w:sz w:val="24"/>
          <w:szCs w:val="24"/>
          <w:u w:val="single"/>
        </w:rPr>
        <w:t>e Community</w:t>
      </w:r>
      <w:r w:rsidR="009D2A42" w:rsidRPr="006E0BC0">
        <w:rPr>
          <w:rStyle w:val="p"/>
          <w:rFonts w:ascii="Times New Roman" w:hAnsi="Times New Roman" w:cs="Times New Roman"/>
          <w:b/>
          <w:iCs/>
          <w:color w:val="000000"/>
          <w:sz w:val="24"/>
          <w:szCs w:val="24"/>
          <w:u w:val="single"/>
        </w:rPr>
        <w:t xml:space="preserve"> Rule and its application to their individual facts and circumstances</w:t>
      </w:r>
      <w:r w:rsidR="007D78B5" w:rsidRPr="006E0BC0">
        <w:rPr>
          <w:rStyle w:val="p"/>
          <w:rFonts w:ascii="Times New Roman" w:hAnsi="Times New Roman" w:cs="Times New Roman"/>
          <w:b/>
          <w:iCs/>
          <w:color w:val="000000"/>
          <w:sz w:val="24"/>
          <w:szCs w:val="24"/>
          <w:u w:val="single"/>
        </w:rPr>
        <w:t>.</w:t>
      </w:r>
      <w:r w:rsidR="007D78B5" w:rsidRPr="006E0BC0">
        <w:rPr>
          <w:rStyle w:val="p"/>
          <w:rFonts w:ascii="Times New Roman" w:hAnsi="Times New Roman" w:cs="Times New Roman"/>
          <w:iCs/>
          <w:color w:val="000000"/>
          <w:sz w:val="24"/>
          <w:szCs w:val="24"/>
        </w:rPr>
        <w:t xml:space="preserve"> </w:t>
      </w:r>
    </w:p>
    <w:p w:rsidR="00371580" w:rsidRPr="006E0BC0" w:rsidRDefault="00371580" w:rsidP="00802EA5">
      <w:pPr>
        <w:pStyle w:val="ListParagraph"/>
        <w:ind w:left="0"/>
        <w:rPr>
          <w:rStyle w:val="p"/>
          <w:rFonts w:ascii="Times New Roman" w:hAnsi="Times New Roman" w:cs="Times New Roman"/>
          <w:iCs/>
          <w:color w:val="000000"/>
          <w:sz w:val="24"/>
          <w:szCs w:val="24"/>
        </w:rPr>
      </w:pPr>
    </w:p>
    <w:p w:rsidR="00127E65" w:rsidRPr="006E0BC0" w:rsidRDefault="001058CA" w:rsidP="00802EA5">
      <w:pPr>
        <w:pStyle w:val="ListParagraph"/>
        <w:numPr>
          <w:ilvl w:val="0"/>
          <w:numId w:val="19"/>
        </w:numPr>
        <w:rPr>
          <w:rStyle w:val="p"/>
          <w:rFonts w:ascii="Times New Roman" w:hAnsi="Times New Roman" w:cs="Times New Roman"/>
          <w:iCs/>
          <w:color w:val="000000"/>
          <w:sz w:val="24"/>
          <w:szCs w:val="24"/>
          <w:u w:val="single"/>
        </w:rPr>
      </w:pPr>
      <w:r w:rsidRPr="006E0BC0">
        <w:rPr>
          <w:rStyle w:val="p"/>
          <w:rFonts w:ascii="Times New Roman" w:hAnsi="Times New Roman" w:cs="Times New Roman"/>
          <w:b/>
          <w:iCs/>
          <w:color w:val="000000"/>
          <w:sz w:val="24"/>
          <w:szCs w:val="24"/>
          <w:u w:val="single"/>
        </w:rPr>
        <w:t xml:space="preserve">Application of the </w:t>
      </w:r>
      <w:r w:rsidR="00256782" w:rsidRPr="006E0BC0">
        <w:rPr>
          <w:rStyle w:val="p"/>
          <w:rFonts w:ascii="Times New Roman" w:hAnsi="Times New Roman" w:cs="Times New Roman"/>
          <w:b/>
          <w:iCs/>
          <w:color w:val="000000"/>
          <w:sz w:val="24"/>
          <w:szCs w:val="24"/>
          <w:u w:val="single"/>
        </w:rPr>
        <w:t xml:space="preserve">Community </w:t>
      </w:r>
      <w:r w:rsidRPr="006E0BC0">
        <w:rPr>
          <w:rStyle w:val="p"/>
          <w:rFonts w:ascii="Times New Roman" w:hAnsi="Times New Roman" w:cs="Times New Roman"/>
          <w:b/>
          <w:iCs/>
          <w:color w:val="000000"/>
          <w:sz w:val="24"/>
          <w:szCs w:val="24"/>
          <w:u w:val="single"/>
        </w:rPr>
        <w:t xml:space="preserve">Rule’s Provisions  </w:t>
      </w:r>
    </w:p>
    <w:p w:rsidR="009067F5" w:rsidRPr="006E0BC0" w:rsidRDefault="00D23256" w:rsidP="009067F5">
      <w:pPr>
        <w:rPr>
          <w:rStyle w:val="p"/>
          <w:rFonts w:ascii="Times New Roman" w:hAnsi="Times New Roman" w:cs="Times New Roman"/>
          <w:b/>
          <w:iCs/>
          <w:color w:val="000000"/>
          <w:sz w:val="24"/>
          <w:szCs w:val="24"/>
        </w:rPr>
      </w:pPr>
      <w:r w:rsidRPr="006E0BC0">
        <w:rPr>
          <w:rStyle w:val="p"/>
          <w:rFonts w:ascii="Times New Roman" w:hAnsi="Times New Roman" w:cs="Times New Roman"/>
          <w:b/>
          <w:iCs/>
          <w:color w:val="000000"/>
          <w:sz w:val="24"/>
          <w:szCs w:val="24"/>
        </w:rPr>
        <w:t>Q</w:t>
      </w:r>
      <w:r w:rsidR="009067F5" w:rsidRPr="006E0BC0">
        <w:rPr>
          <w:rStyle w:val="p"/>
          <w:rFonts w:ascii="Times New Roman" w:hAnsi="Times New Roman" w:cs="Times New Roman"/>
          <w:b/>
          <w:iCs/>
          <w:color w:val="000000"/>
          <w:sz w:val="24"/>
          <w:szCs w:val="24"/>
        </w:rPr>
        <w:t>:</w:t>
      </w:r>
      <w:r w:rsidRPr="006E0BC0">
        <w:rPr>
          <w:rStyle w:val="p"/>
          <w:rFonts w:ascii="Times New Roman" w:hAnsi="Times New Roman" w:cs="Times New Roman"/>
          <w:b/>
          <w:iCs/>
          <w:color w:val="000000"/>
          <w:sz w:val="24"/>
          <w:szCs w:val="24"/>
        </w:rPr>
        <w:tab/>
        <w:t>Does the Provider own or control a residential setting?</w:t>
      </w:r>
    </w:p>
    <w:p w:rsidR="00D23256" w:rsidRPr="006E0BC0" w:rsidRDefault="00D23256" w:rsidP="009067F5">
      <w:pPr>
        <w:ind w:left="720" w:hanging="720"/>
        <w:rPr>
          <w:rStyle w:val="p"/>
          <w:rFonts w:ascii="Times New Roman" w:hAnsi="Times New Roman" w:cs="Times New Roman"/>
          <w:b/>
          <w:iCs/>
          <w:color w:val="000000"/>
          <w:sz w:val="24"/>
          <w:szCs w:val="24"/>
        </w:rPr>
      </w:pPr>
      <w:r w:rsidRPr="006E0BC0">
        <w:rPr>
          <w:rStyle w:val="p"/>
          <w:rFonts w:ascii="Times New Roman" w:hAnsi="Times New Roman" w:cs="Times New Roman"/>
          <w:b/>
          <w:iCs/>
          <w:color w:val="000000"/>
          <w:sz w:val="24"/>
          <w:szCs w:val="24"/>
        </w:rPr>
        <w:t>A</w:t>
      </w:r>
      <w:r w:rsidR="009067F5" w:rsidRPr="006E0BC0">
        <w:rPr>
          <w:rStyle w:val="p"/>
          <w:rFonts w:ascii="Times New Roman" w:hAnsi="Times New Roman" w:cs="Times New Roman"/>
          <w:b/>
          <w:iCs/>
          <w:color w:val="000000"/>
          <w:sz w:val="24"/>
          <w:szCs w:val="24"/>
        </w:rPr>
        <w:t>:</w:t>
      </w:r>
      <w:r w:rsidRPr="006E0BC0">
        <w:rPr>
          <w:rStyle w:val="p"/>
          <w:rFonts w:ascii="Times New Roman" w:hAnsi="Times New Roman" w:cs="Times New Roman"/>
          <w:iCs/>
          <w:color w:val="000000"/>
          <w:sz w:val="24"/>
          <w:szCs w:val="24"/>
        </w:rPr>
        <w:tab/>
      </w:r>
      <w:r w:rsidR="00256782" w:rsidRPr="006E0BC0">
        <w:rPr>
          <w:rStyle w:val="p"/>
          <w:rFonts w:ascii="Times New Roman" w:hAnsi="Times New Roman" w:cs="Times New Roman"/>
          <w:iCs/>
          <w:color w:val="000000"/>
          <w:sz w:val="24"/>
          <w:szCs w:val="24"/>
        </w:rPr>
        <w:t xml:space="preserve">Providers should consult with legal counsel to make this determination.  </w:t>
      </w:r>
      <w:r w:rsidRPr="006E0BC0">
        <w:rPr>
          <w:rStyle w:val="p"/>
          <w:rFonts w:ascii="Times New Roman" w:hAnsi="Times New Roman" w:cs="Times New Roman"/>
          <w:iCs/>
          <w:color w:val="000000"/>
          <w:sz w:val="24"/>
          <w:szCs w:val="24"/>
        </w:rPr>
        <w:t xml:space="preserve">Typically, if the provider directly </w:t>
      </w:r>
      <w:r w:rsidR="007C441C" w:rsidRPr="006E0BC0">
        <w:rPr>
          <w:rStyle w:val="p"/>
          <w:rFonts w:ascii="Times New Roman" w:hAnsi="Times New Roman" w:cs="Times New Roman"/>
          <w:iCs/>
          <w:color w:val="000000"/>
          <w:sz w:val="24"/>
          <w:szCs w:val="24"/>
        </w:rPr>
        <w:t xml:space="preserve">owns or </w:t>
      </w:r>
      <w:r w:rsidRPr="006E0BC0">
        <w:rPr>
          <w:rStyle w:val="p"/>
          <w:rFonts w:ascii="Times New Roman" w:hAnsi="Times New Roman" w:cs="Times New Roman"/>
          <w:iCs/>
          <w:color w:val="000000"/>
          <w:sz w:val="24"/>
          <w:szCs w:val="24"/>
        </w:rPr>
        <w:t>leases</w:t>
      </w:r>
      <w:r w:rsidR="007C441C" w:rsidRPr="006E0BC0">
        <w:rPr>
          <w:rStyle w:val="p"/>
          <w:rFonts w:ascii="Times New Roman" w:hAnsi="Times New Roman" w:cs="Times New Roman"/>
          <w:iCs/>
          <w:color w:val="000000"/>
          <w:sz w:val="24"/>
          <w:szCs w:val="24"/>
        </w:rPr>
        <w:t xml:space="preserve"> </w:t>
      </w:r>
      <w:r w:rsidR="00125683" w:rsidRPr="006E0BC0">
        <w:rPr>
          <w:rStyle w:val="p"/>
          <w:rFonts w:ascii="Times New Roman" w:hAnsi="Times New Roman" w:cs="Times New Roman"/>
          <w:iCs/>
          <w:color w:val="000000"/>
          <w:sz w:val="24"/>
          <w:szCs w:val="24"/>
        </w:rPr>
        <w:t>a</w:t>
      </w:r>
      <w:r w:rsidR="007C441C" w:rsidRPr="006E0BC0">
        <w:rPr>
          <w:rStyle w:val="p"/>
          <w:rFonts w:ascii="Times New Roman" w:hAnsi="Times New Roman" w:cs="Times New Roman"/>
          <w:iCs/>
          <w:color w:val="000000"/>
          <w:sz w:val="24"/>
          <w:szCs w:val="24"/>
        </w:rPr>
        <w:t xml:space="preserve"> property that constitutes the </w:t>
      </w:r>
      <w:r w:rsidR="00125683" w:rsidRPr="006E0BC0">
        <w:rPr>
          <w:rStyle w:val="p"/>
          <w:rFonts w:ascii="Times New Roman" w:hAnsi="Times New Roman" w:cs="Times New Roman"/>
          <w:iCs/>
          <w:color w:val="000000"/>
          <w:sz w:val="24"/>
          <w:szCs w:val="24"/>
        </w:rPr>
        <w:t xml:space="preserve">residential </w:t>
      </w:r>
      <w:r w:rsidR="007C441C" w:rsidRPr="006E0BC0">
        <w:rPr>
          <w:rStyle w:val="p"/>
          <w:rFonts w:ascii="Times New Roman" w:hAnsi="Times New Roman" w:cs="Times New Roman"/>
          <w:iCs/>
          <w:color w:val="000000"/>
          <w:sz w:val="24"/>
          <w:szCs w:val="24"/>
        </w:rPr>
        <w:t xml:space="preserve">setting, such as a single-family home or duplex, the </w:t>
      </w:r>
      <w:r w:rsidR="00563F4B">
        <w:rPr>
          <w:rStyle w:val="p"/>
          <w:rFonts w:ascii="Times New Roman" w:hAnsi="Times New Roman" w:cs="Times New Roman"/>
          <w:iCs/>
          <w:color w:val="000000"/>
          <w:sz w:val="24"/>
          <w:szCs w:val="24"/>
        </w:rPr>
        <w:t>answer is “</w:t>
      </w:r>
      <w:r w:rsidR="00125683" w:rsidRPr="006E0BC0">
        <w:rPr>
          <w:rStyle w:val="p"/>
          <w:rFonts w:ascii="Times New Roman" w:hAnsi="Times New Roman" w:cs="Times New Roman"/>
          <w:iCs/>
          <w:color w:val="000000"/>
          <w:sz w:val="24"/>
          <w:szCs w:val="24"/>
        </w:rPr>
        <w:t>yes.”</w:t>
      </w:r>
      <w:r w:rsidR="007C441C" w:rsidRPr="006E0BC0">
        <w:rPr>
          <w:rStyle w:val="p"/>
          <w:rFonts w:ascii="Times New Roman" w:hAnsi="Times New Roman" w:cs="Times New Roman"/>
          <w:iCs/>
          <w:color w:val="000000"/>
          <w:sz w:val="24"/>
          <w:szCs w:val="24"/>
        </w:rPr>
        <w:t xml:space="preserve">  If the </w:t>
      </w:r>
      <w:r w:rsidR="00563F4B">
        <w:rPr>
          <w:rStyle w:val="p"/>
          <w:rFonts w:ascii="Times New Roman" w:hAnsi="Times New Roman" w:cs="Times New Roman"/>
          <w:iCs/>
          <w:color w:val="000000"/>
          <w:sz w:val="24"/>
          <w:szCs w:val="24"/>
        </w:rPr>
        <w:t>P</w:t>
      </w:r>
      <w:r w:rsidR="007C441C" w:rsidRPr="006E0BC0">
        <w:rPr>
          <w:rStyle w:val="p"/>
          <w:rFonts w:ascii="Times New Roman" w:hAnsi="Times New Roman" w:cs="Times New Roman"/>
          <w:iCs/>
          <w:color w:val="000000"/>
          <w:sz w:val="24"/>
          <w:szCs w:val="24"/>
        </w:rPr>
        <w:t xml:space="preserve">rovider, not the individual, holds a lease on </w:t>
      </w:r>
      <w:r w:rsidR="00EC5E6E" w:rsidRPr="006E0BC0">
        <w:rPr>
          <w:rStyle w:val="p"/>
          <w:rFonts w:ascii="Times New Roman" w:hAnsi="Times New Roman" w:cs="Times New Roman"/>
          <w:iCs/>
          <w:color w:val="000000"/>
          <w:sz w:val="24"/>
          <w:szCs w:val="24"/>
        </w:rPr>
        <w:t>an</w:t>
      </w:r>
      <w:r w:rsidR="007C441C" w:rsidRPr="006E0BC0">
        <w:rPr>
          <w:rStyle w:val="p"/>
          <w:rFonts w:ascii="Times New Roman" w:hAnsi="Times New Roman" w:cs="Times New Roman"/>
          <w:iCs/>
          <w:color w:val="000000"/>
          <w:sz w:val="24"/>
          <w:szCs w:val="24"/>
        </w:rPr>
        <w:t xml:space="preserve"> apartment on behalf of an individual, this may also be considered a residential setting under the “control” of the provider, since the provider may determine whether and when to initiate or determine the lease.  </w:t>
      </w:r>
      <w:r w:rsidR="00FE168D" w:rsidRPr="006E0BC0">
        <w:rPr>
          <w:rStyle w:val="p"/>
          <w:rFonts w:ascii="Times New Roman" w:hAnsi="Times New Roman" w:cs="Times New Roman"/>
          <w:iCs/>
          <w:color w:val="000000"/>
          <w:sz w:val="24"/>
          <w:szCs w:val="24"/>
        </w:rPr>
        <w:t xml:space="preserve">More difficult questions arise if the </w:t>
      </w:r>
      <w:r w:rsidR="00563F4B">
        <w:rPr>
          <w:rStyle w:val="p"/>
          <w:rFonts w:ascii="Times New Roman" w:hAnsi="Times New Roman" w:cs="Times New Roman"/>
          <w:iCs/>
          <w:color w:val="000000"/>
          <w:sz w:val="24"/>
          <w:szCs w:val="24"/>
        </w:rPr>
        <w:t>P</w:t>
      </w:r>
      <w:r w:rsidR="00FE168D" w:rsidRPr="006E0BC0">
        <w:rPr>
          <w:rStyle w:val="p"/>
          <w:rFonts w:ascii="Times New Roman" w:hAnsi="Times New Roman" w:cs="Times New Roman"/>
          <w:iCs/>
          <w:color w:val="000000"/>
          <w:sz w:val="24"/>
          <w:szCs w:val="24"/>
        </w:rPr>
        <w:t>rovider is a placement agency which contracts with a</w:t>
      </w:r>
      <w:r w:rsidR="00D60B38" w:rsidRPr="006E0BC0">
        <w:rPr>
          <w:rStyle w:val="p"/>
          <w:rFonts w:ascii="Times New Roman" w:hAnsi="Times New Roman" w:cs="Times New Roman"/>
          <w:iCs/>
          <w:color w:val="000000"/>
          <w:sz w:val="24"/>
          <w:szCs w:val="24"/>
        </w:rPr>
        <w:t>nother</w:t>
      </w:r>
      <w:r w:rsidR="00FE168D" w:rsidRPr="006E0BC0">
        <w:rPr>
          <w:rStyle w:val="p"/>
          <w:rFonts w:ascii="Times New Roman" w:hAnsi="Times New Roman" w:cs="Times New Roman"/>
          <w:iCs/>
          <w:color w:val="000000"/>
          <w:sz w:val="24"/>
          <w:szCs w:val="24"/>
        </w:rPr>
        <w:t xml:space="preserve"> </w:t>
      </w:r>
      <w:r w:rsidR="00563F4B">
        <w:rPr>
          <w:rStyle w:val="p"/>
          <w:rFonts w:ascii="Times New Roman" w:hAnsi="Times New Roman" w:cs="Times New Roman"/>
          <w:iCs/>
          <w:color w:val="000000"/>
          <w:sz w:val="24"/>
          <w:szCs w:val="24"/>
        </w:rPr>
        <w:t>P</w:t>
      </w:r>
      <w:r w:rsidR="00FE168D" w:rsidRPr="006E0BC0">
        <w:rPr>
          <w:rStyle w:val="p"/>
          <w:rFonts w:ascii="Times New Roman" w:hAnsi="Times New Roman" w:cs="Times New Roman"/>
          <w:iCs/>
          <w:color w:val="000000"/>
          <w:sz w:val="24"/>
          <w:szCs w:val="24"/>
        </w:rPr>
        <w:t xml:space="preserve">rovider to provide services in </w:t>
      </w:r>
      <w:r w:rsidR="00AE5D20" w:rsidRPr="006E0BC0">
        <w:rPr>
          <w:rStyle w:val="p"/>
          <w:rFonts w:ascii="Times New Roman" w:hAnsi="Times New Roman" w:cs="Times New Roman"/>
          <w:iCs/>
          <w:color w:val="000000"/>
          <w:sz w:val="24"/>
          <w:szCs w:val="24"/>
        </w:rPr>
        <w:t>the waiver participant’s</w:t>
      </w:r>
      <w:r w:rsidR="00FE168D" w:rsidRPr="006E0BC0">
        <w:rPr>
          <w:rStyle w:val="p"/>
          <w:rFonts w:ascii="Times New Roman" w:hAnsi="Times New Roman" w:cs="Times New Roman"/>
          <w:iCs/>
          <w:color w:val="000000"/>
          <w:sz w:val="24"/>
          <w:szCs w:val="24"/>
        </w:rPr>
        <w:t xml:space="preserve"> home or in the home of another</w:t>
      </w:r>
      <w:r w:rsidR="004F484F" w:rsidRPr="006E0BC0">
        <w:rPr>
          <w:rStyle w:val="p"/>
          <w:rFonts w:ascii="Times New Roman" w:hAnsi="Times New Roman" w:cs="Times New Roman"/>
          <w:iCs/>
          <w:color w:val="000000"/>
          <w:sz w:val="24"/>
          <w:szCs w:val="24"/>
        </w:rPr>
        <w:t xml:space="preserve">.  </w:t>
      </w:r>
      <w:r w:rsidR="00FE168D" w:rsidRPr="006E0BC0">
        <w:rPr>
          <w:rStyle w:val="p"/>
          <w:rFonts w:ascii="Times New Roman" w:hAnsi="Times New Roman" w:cs="Times New Roman"/>
          <w:iCs/>
          <w:color w:val="000000"/>
          <w:sz w:val="24"/>
          <w:szCs w:val="24"/>
        </w:rPr>
        <w:t>If an individual holds a lease in his or her name</w:t>
      </w:r>
      <w:r w:rsidR="00013BCA" w:rsidRPr="006E0BC0">
        <w:rPr>
          <w:rStyle w:val="p"/>
          <w:rFonts w:ascii="Times New Roman" w:hAnsi="Times New Roman" w:cs="Times New Roman"/>
          <w:iCs/>
          <w:color w:val="000000"/>
          <w:sz w:val="24"/>
          <w:szCs w:val="24"/>
        </w:rPr>
        <w:t xml:space="preserve"> for the property</w:t>
      </w:r>
      <w:r w:rsidR="00FE168D" w:rsidRPr="006E0BC0">
        <w:rPr>
          <w:rStyle w:val="p"/>
          <w:rFonts w:ascii="Times New Roman" w:hAnsi="Times New Roman" w:cs="Times New Roman"/>
          <w:iCs/>
          <w:color w:val="000000"/>
          <w:sz w:val="24"/>
          <w:szCs w:val="24"/>
        </w:rPr>
        <w:t xml:space="preserve">, or in the name of his or her guardian, the </w:t>
      </w:r>
      <w:r w:rsidR="00563F4B">
        <w:rPr>
          <w:rStyle w:val="p"/>
          <w:rFonts w:ascii="Times New Roman" w:hAnsi="Times New Roman" w:cs="Times New Roman"/>
          <w:iCs/>
          <w:color w:val="000000"/>
          <w:sz w:val="24"/>
          <w:szCs w:val="24"/>
        </w:rPr>
        <w:t>P</w:t>
      </w:r>
      <w:r w:rsidR="00FE168D" w:rsidRPr="006E0BC0">
        <w:rPr>
          <w:rStyle w:val="p"/>
          <w:rFonts w:ascii="Times New Roman" w:hAnsi="Times New Roman" w:cs="Times New Roman"/>
          <w:iCs/>
          <w:color w:val="000000"/>
          <w:sz w:val="24"/>
          <w:szCs w:val="24"/>
        </w:rPr>
        <w:t>rovider may not “own” or “control” the setting.</w:t>
      </w:r>
      <w:r w:rsidR="00045424" w:rsidRPr="006E0BC0">
        <w:rPr>
          <w:rStyle w:val="p"/>
          <w:rFonts w:ascii="Times New Roman" w:hAnsi="Times New Roman" w:cs="Times New Roman"/>
          <w:iCs/>
          <w:color w:val="000000"/>
          <w:sz w:val="24"/>
          <w:szCs w:val="24"/>
        </w:rPr>
        <w:t xml:space="preserve">  </w:t>
      </w:r>
    </w:p>
    <w:p w:rsidR="009067F5" w:rsidRPr="006E0BC0" w:rsidRDefault="00FF6935" w:rsidP="009067F5">
      <w:pPr>
        <w:ind w:left="720" w:hanging="720"/>
        <w:rPr>
          <w:rStyle w:val="p"/>
          <w:rFonts w:ascii="Times New Roman" w:hAnsi="Times New Roman" w:cs="Times New Roman"/>
          <w:b/>
          <w:iCs/>
          <w:color w:val="000000"/>
          <w:sz w:val="24"/>
          <w:szCs w:val="24"/>
        </w:rPr>
      </w:pPr>
      <w:r w:rsidRPr="006E0BC0">
        <w:rPr>
          <w:rFonts w:ascii="Times New Roman" w:hAnsi="Times New Roman" w:cs="Times New Roman"/>
          <w:b/>
          <w:sz w:val="24"/>
          <w:szCs w:val="24"/>
        </w:rPr>
        <w:t>Q</w:t>
      </w:r>
      <w:r w:rsidR="009067F5" w:rsidRPr="006E0BC0">
        <w:rPr>
          <w:rFonts w:ascii="Times New Roman" w:hAnsi="Times New Roman" w:cs="Times New Roman"/>
          <w:b/>
          <w:sz w:val="24"/>
          <w:szCs w:val="24"/>
        </w:rPr>
        <w:t>:</w:t>
      </w:r>
      <w:r w:rsidRPr="006E0BC0">
        <w:rPr>
          <w:rFonts w:ascii="Times New Roman" w:hAnsi="Times New Roman" w:cs="Times New Roman"/>
          <w:b/>
          <w:sz w:val="24"/>
          <w:szCs w:val="24"/>
        </w:rPr>
        <w:tab/>
      </w:r>
      <w:r w:rsidRPr="006E0BC0">
        <w:rPr>
          <w:rStyle w:val="p"/>
          <w:rFonts w:ascii="Times New Roman" w:hAnsi="Times New Roman" w:cs="Times New Roman"/>
          <w:b/>
          <w:iCs/>
          <w:color w:val="000000"/>
          <w:sz w:val="24"/>
          <w:szCs w:val="24"/>
        </w:rPr>
        <w:t>Is “[t]he unit or dwelling [] a specific physical place that can be owned, rented or occupied under a legally enforceable agreement by the individual receiving services”?</w:t>
      </w:r>
      <w:r w:rsidR="001058CA" w:rsidRPr="006E0BC0">
        <w:rPr>
          <w:rStyle w:val="p"/>
          <w:rFonts w:ascii="Times New Roman" w:hAnsi="Times New Roman" w:cs="Times New Roman"/>
          <w:b/>
          <w:iCs/>
          <w:color w:val="000000"/>
          <w:sz w:val="24"/>
          <w:szCs w:val="24"/>
        </w:rPr>
        <w:t xml:space="preserve">   </w:t>
      </w:r>
    </w:p>
    <w:p w:rsidR="0081656D" w:rsidRPr="006E0BC0" w:rsidRDefault="00FF6935" w:rsidP="009067F5">
      <w:pPr>
        <w:ind w:left="720" w:hanging="720"/>
        <w:rPr>
          <w:rFonts w:ascii="Times New Roman" w:hAnsi="Times New Roman" w:cs="Times New Roman"/>
          <w:b/>
          <w:iCs/>
          <w:color w:val="000000"/>
          <w:sz w:val="24"/>
          <w:szCs w:val="24"/>
        </w:rPr>
      </w:pPr>
      <w:r w:rsidRPr="006E0BC0">
        <w:rPr>
          <w:rFonts w:ascii="Times New Roman" w:hAnsi="Times New Roman" w:cs="Times New Roman"/>
          <w:b/>
          <w:sz w:val="24"/>
          <w:szCs w:val="24"/>
        </w:rPr>
        <w:t>A</w:t>
      </w:r>
      <w:r w:rsidR="009067F5" w:rsidRPr="006E0BC0">
        <w:rPr>
          <w:rFonts w:ascii="Times New Roman" w:hAnsi="Times New Roman" w:cs="Times New Roman"/>
          <w:b/>
          <w:sz w:val="24"/>
          <w:szCs w:val="24"/>
        </w:rPr>
        <w:t>:</w:t>
      </w:r>
      <w:r w:rsidRPr="006E0BC0">
        <w:rPr>
          <w:rFonts w:ascii="Times New Roman" w:hAnsi="Times New Roman" w:cs="Times New Roman"/>
          <w:b/>
          <w:sz w:val="24"/>
          <w:szCs w:val="24"/>
        </w:rPr>
        <w:tab/>
      </w:r>
      <w:r w:rsidR="00061A6D" w:rsidRPr="006E0BC0">
        <w:rPr>
          <w:rStyle w:val="p"/>
          <w:rFonts w:ascii="Times New Roman" w:hAnsi="Times New Roman" w:cs="Times New Roman"/>
          <w:iCs/>
          <w:color w:val="000000"/>
          <w:sz w:val="24"/>
          <w:szCs w:val="24"/>
        </w:rPr>
        <w:t xml:space="preserve">Providers should consult with legal counsel to make this determination.  </w:t>
      </w:r>
      <w:r w:rsidR="00655F84" w:rsidRPr="006E0BC0">
        <w:rPr>
          <w:rFonts w:ascii="Times New Roman" w:hAnsi="Times New Roman" w:cs="Times New Roman"/>
          <w:sz w:val="24"/>
          <w:szCs w:val="24"/>
        </w:rPr>
        <w:t xml:space="preserve">In </w:t>
      </w:r>
      <w:r w:rsidR="005E7A3D" w:rsidRPr="006E0BC0">
        <w:rPr>
          <w:rFonts w:ascii="Times New Roman" w:hAnsi="Times New Roman" w:cs="Times New Roman"/>
          <w:sz w:val="24"/>
          <w:szCs w:val="24"/>
        </w:rPr>
        <w:t>some</w:t>
      </w:r>
      <w:r w:rsidR="00655F84" w:rsidRPr="006E0BC0">
        <w:rPr>
          <w:rFonts w:ascii="Times New Roman" w:hAnsi="Times New Roman" w:cs="Times New Roman"/>
          <w:sz w:val="24"/>
          <w:szCs w:val="24"/>
        </w:rPr>
        <w:t xml:space="preserve"> cases, </w:t>
      </w:r>
      <w:r w:rsidR="00D60B38" w:rsidRPr="006E0BC0">
        <w:rPr>
          <w:rFonts w:ascii="Times New Roman" w:hAnsi="Times New Roman" w:cs="Times New Roman"/>
          <w:sz w:val="24"/>
          <w:szCs w:val="24"/>
        </w:rPr>
        <w:t xml:space="preserve">an </w:t>
      </w:r>
      <w:r w:rsidR="00655F84" w:rsidRPr="006E0BC0">
        <w:rPr>
          <w:rFonts w:ascii="Times New Roman" w:hAnsi="Times New Roman" w:cs="Times New Roman"/>
          <w:sz w:val="24"/>
          <w:szCs w:val="24"/>
        </w:rPr>
        <w:t xml:space="preserve">individual </w:t>
      </w:r>
      <w:r w:rsidR="005E7A3D" w:rsidRPr="006E0BC0">
        <w:rPr>
          <w:rFonts w:ascii="Times New Roman" w:hAnsi="Times New Roman" w:cs="Times New Roman"/>
          <w:sz w:val="24"/>
          <w:szCs w:val="24"/>
        </w:rPr>
        <w:t xml:space="preserve">may </w:t>
      </w:r>
      <w:r w:rsidR="00655F84" w:rsidRPr="006E0BC0">
        <w:rPr>
          <w:rFonts w:ascii="Times New Roman" w:hAnsi="Times New Roman" w:cs="Times New Roman"/>
          <w:sz w:val="24"/>
          <w:szCs w:val="24"/>
        </w:rPr>
        <w:t>occup</w:t>
      </w:r>
      <w:r w:rsidR="005E7A3D" w:rsidRPr="006E0BC0">
        <w:rPr>
          <w:rFonts w:ascii="Times New Roman" w:hAnsi="Times New Roman" w:cs="Times New Roman"/>
          <w:sz w:val="24"/>
          <w:szCs w:val="24"/>
        </w:rPr>
        <w:t>y</w:t>
      </w:r>
      <w:r w:rsidR="00655F84" w:rsidRPr="006E0BC0">
        <w:rPr>
          <w:rFonts w:ascii="Times New Roman" w:hAnsi="Times New Roman" w:cs="Times New Roman"/>
          <w:sz w:val="24"/>
          <w:szCs w:val="24"/>
        </w:rPr>
        <w:t xml:space="preserve"> a bedroom and share common space with other occupants of the house</w:t>
      </w:r>
      <w:r w:rsidR="009D2A42" w:rsidRPr="006E0BC0">
        <w:rPr>
          <w:rFonts w:ascii="Times New Roman" w:hAnsi="Times New Roman" w:cs="Times New Roman"/>
          <w:sz w:val="24"/>
          <w:szCs w:val="24"/>
        </w:rPr>
        <w:t>, and</w:t>
      </w:r>
      <w:r w:rsidR="005E7A3D" w:rsidRPr="006E0BC0">
        <w:rPr>
          <w:rFonts w:ascii="Times New Roman" w:hAnsi="Times New Roman" w:cs="Times New Roman"/>
          <w:sz w:val="24"/>
          <w:szCs w:val="24"/>
        </w:rPr>
        <w:t>,</w:t>
      </w:r>
      <w:r w:rsidR="009D2A42" w:rsidRPr="006E0BC0">
        <w:rPr>
          <w:rFonts w:ascii="Times New Roman" w:hAnsi="Times New Roman" w:cs="Times New Roman"/>
          <w:sz w:val="24"/>
          <w:szCs w:val="24"/>
        </w:rPr>
        <w:t xml:space="preserve"> in general, a portion of a home may be</w:t>
      </w:r>
      <w:r w:rsidR="00563F4B">
        <w:rPr>
          <w:rFonts w:ascii="Times New Roman" w:hAnsi="Times New Roman" w:cs="Times New Roman"/>
          <w:sz w:val="24"/>
          <w:szCs w:val="24"/>
        </w:rPr>
        <w:t>,</w:t>
      </w:r>
      <w:r w:rsidR="009D2A42" w:rsidRPr="006E0BC0">
        <w:rPr>
          <w:rFonts w:ascii="Times New Roman" w:hAnsi="Times New Roman" w:cs="Times New Roman"/>
          <w:sz w:val="24"/>
          <w:szCs w:val="24"/>
        </w:rPr>
        <w:t xml:space="preserve"> </w:t>
      </w:r>
      <w:r w:rsidR="007C1429" w:rsidRPr="006E0BC0">
        <w:rPr>
          <w:rFonts w:ascii="Times New Roman" w:hAnsi="Times New Roman" w:cs="Times New Roman"/>
          <w:sz w:val="24"/>
          <w:szCs w:val="24"/>
        </w:rPr>
        <w:t>“</w:t>
      </w:r>
      <w:r w:rsidR="007C1429" w:rsidRPr="006E0BC0">
        <w:rPr>
          <w:rStyle w:val="p"/>
          <w:rFonts w:ascii="Times New Roman" w:hAnsi="Times New Roman" w:cs="Times New Roman"/>
          <w:i/>
          <w:iCs/>
          <w:color w:val="000000"/>
          <w:sz w:val="24"/>
          <w:szCs w:val="24"/>
        </w:rPr>
        <w:t>owned, rented or occupied under a legally enforceable agreement by the individual receiving services</w:t>
      </w:r>
      <w:r w:rsidR="00563F4B">
        <w:rPr>
          <w:rStyle w:val="p"/>
          <w:rFonts w:ascii="Times New Roman" w:hAnsi="Times New Roman" w:cs="Times New Roman"/>
          <w:i/>
          <w:iCs/>
          <w:color w:val="000000"/>
          <w:sz w:val="24"/>
          <w:szCs w:val="24"/>
        </w:rPr>
        <w:t xml:space="preserve">.”  </w:t>
      </w:r>
      <w:r w:rsidR="00655F84" w:rsidRPr="006E0BC0">
        <w:rPr>
          <w:rFonts w:ascii="Times New Roman" w:hAnsi="Times New Roman" w:cs="Times New Roman"/>
          <w:sz w:val="24"/>
          <w:szCs w:val="24"/>
        </w:rPr>
        <w:t>However, there may be instances where the unit, or portion of the unit, cannot be</w:t>
      </w:r>
      <w:r w:rsidR="00563F4B">
        <w:rPr>
          <w:rFonts w:ascii="Times New Roman" w:hAnsi="Times New Roman" w:cs="Times New Roman"/>
          <w:sz w:val="24"/>
          <w:szCs w:val="24"/>
        </w:rPr>
        <w:t>,</w:t>
      </w:r>
      <w:r w:rsidR="00655F84" w:rsidRPr="006E0BC0">
        <w:rPr>
          <w:rFonts w:ascii="Times New Roman" w:hAnsi="Times New Roman" w:cs="Times New Roman"/>
          <w:sz w:val="24"/>
          <w:szCs w:val="24"/>
        </w:rPr>
        <w:t xml:space="preserve"> </w:t>
      </w:r>
      <w:r w:rsidR="000269A6" w:rsidRPr="006E0BC0">
        <w:rPr>
          <w:rFonts w:ascii="Times New Roman" w:hAnsi="Times New Roman" w:cs="Times New Roman"/>
          <w:sz w:val="24"/>
          <w:szCs w:val="24"/>
        </w:rPr>
        <w:t>“</w:t>
      </w:r>
      <w:r w:rsidR="00A96D47" w:rsidRPr="006E0BC0">
        <w:rPr>
          <w:rFonts w:ascii="Times New Roman" w:hAnsi="Times New Roman" w:cs="Times New Roman"/>
          <w:sz w:val="24"/>
          <w:szCs w:val="24"/>
        </w:rPr>
        <w:t>owned, rented or occupied</w:t>
      </w:r>
      <w:r w:rsidR="00B00D02" w:rsidRPr="006E0BC0">
        <w:rPr>
          <w:rFonts w:ascii="Times New Roman" w:hAnsi="Times New Roman" w:cs="Times New Roman"/>
          <w:sz w:val="24"/>
          <w:szCs w:val="24"/>
        </w:rPr>
        <w:t xml:space="preserve"> under a</w:t>
      </w:r>
      <w:r w:rsidR="000269A6" w:rsidRPr="006E0BC0">
        <w:rPr>
          <w:rFonts w:ascii="Times New Roman" w:hAnsi="Times New Roman" w:cs="Times New Roman"/>
          <w:sz w:val="24"/>
          <w:szCs w:val="24"/>
        </w:rPr>
        <w:t xml:space="preserve"> legally enforceable agreement by the individual receiving services</w:t>
      </w:r>
      <w:r w:rsidR="00563F4B">
        <w:rPr>
          <w:rFonts w:ascii="Times New Roman" w:hAnsi="Times New Roman" w:cs="Times New Roman"/>
          <w:sz w:val="24"/>
          <w:szCs w:val="24"/>
        </w:rPr>
        <w:t>,</w:t>
      </w:r>
      <w:r w:rsidR="000269A6" w:rsidRPr="006E0BC0">
        <w:rPr>
          <w:rFonts w:ascii="Times New Roman" w:hAnsi="Times New Roman" w:cs="Times New Roman"/>
          <w:sz w:val="24"/>
          <w:szCs w:val="24"/>
        </w:rPr>
        <w:t xml:space="preserve">” </w:t>
      </w:r>
      <w:r w:rsidR="00B00D02" w:rsidRPr="006E0BC0">
        <w:rPr>
          <w:rFonts w:ascii="Times New Roman" w:hAnsi="Times New Roman" w:cs="Times New Roman"/>
          <w:sz w:val="24"/>
          <w:szCs w:val="24"/>
        </w:rPr>
        <w:t xml:space="preserve">because </w:t>
      </w:r>
      <w:r w:rsidR="00A96D47" w:rsidRPr="006E0BC0">
        <w:rPr>
          <w:rFonts w:ascii="Times New Roman" w:hAnsi="Times New Roman" w:cs="Times New Roman"/>
          <w:sz w:val="24"/>
          <w:szCs w:val="24"/>
        </w:rPr>
        <w:t xml:space="preserve">the </w:t>
      </w:r>
      <w:r w:rsidR="00EC5E6E" w:rsidRPr="006E0BC0">
        <w:rPr>
          <w:rFonts w:ascii="Times New Roman" w:hAnsi="Times New Roman" w:cs="Times New Roman"/>
          <w:sz w:val="24"/>
          <w:szCs w:val="24"/>
        </w:rPr>
        <w:t xml:space="preserve">physical </w:t>
      </w:r>
      <w:r w:rsidR="00A96D47" w:rsidRPr="006E0BC0">
        <w:rPr>
          <w:rFonts w:ascii="Times New Roman" w:hAnsi="Times New Roman" w:cs="Times New Roman"/>
          <w:sz w:val="24"/>
          <w:szCs w:val="24"/>
        </w:rPr>
        <w:t xml:space="preserve">space is already </w:t>
      </w:r>
      <w:r w:rsidR="000269A6" w:rsidRPr="006E0BC0">
        <w:rPr>
          <w:rFonts w:ascii="Times New Roman" w:hAnsi="Times New Roman" w:cs="Times New Roman"/>
          <w:sz w:val="24"/>
          <w:szCs w:val="24"/>
        </w:rPr>
        <w:t xml:space="preserve">subject to an agreement that does not permit the individual to become the </w:t>
      </w:r>
      <w:r w:rsidR="00D20433" w:rsidRPr="006E0BC0">
        <w:rPr>
          <w:rFonts w:ascii="Times New Roman" w:hAnsi="Times New Roman" w:cs="Times New Roman"/>
          <w:sz w:val="24"/>
          <w:szCs w:val="24"/>
        </w:rPr>
        <w:t>sub-</w:t>
      </w:r>
      <w:r w:rsidR="000269A6" w:rsidRPr="006E0BC0">
        <w:rPr>
          <w:rFonts w:ascii="Times New Roman" w:hAnsi="Times New Roman" w:cs="Times New Roman"/>
          <w:sz w:val="24"/>
          <w:szCs w:val="24"/>
        </w:rPr>
        <w:t xml:space="preserve">lessee under </w:t>
      </w:r>
      <w:r w:rsidR="00D20433" w:rsidRPr="006E0BC0">
        <w:rPr>
          <w:rFonts w:ascii="Times New Roman" w:hAnsi="Times New Roman" w:cs="Times New Roman"/>
          <w:sz w:val="24"/>
          <w:szCs w:val="24"/>
        </w:rPr>
        <w:t xml:space="preserve">the existing </w:t>
      </w:r>
      <w:r w:rsidR="004F484F" w:rsidRPr="006E0BC0">
        <w:rPr>
          <w:rFonts w:ascii="Times New Roman" w:hAnsi="Times New Roman" w:cs="Times New Roman"/>
          <w:sz w:val="24"/>
          <w:szCs w:val="24"/>
        </w:rPr>
        <w:t xml:space="preserve">agreement </w:t>
      </w:r>
      <w:r w:rsidR="00D20433" w:rsidRPr="006E0BC0">
        <w:rPr>
          <w:rFonts w:ascii="Times New Roman" w:hAnsi="Times New Roman" w:cs="Times New Roman"/>
          <w:sz w:val="24"/>
          <w:szCs w:val="24"/>
        </w:rPr>
        <w:t>to occupy the premises</w:t>
      </w:r>
      <w:r w:rsidR="000269A6" w:rsidRPr="006E0BC0">
        <w:rPr>
          <w:rFonts w:ascii="Times New Roman" w:hAnsi="Times New Roman" w:cs="Times New Roman"/>
          <w:sz w:val="24"/>
          <w:szCs w:val="24"/>
        </w:rPr>
        <w:t>.</w:t>
      </w:r>
      <w:r w:rsidR="009D2A42" w:rsidRPr="006E0BC0">
        <w:rPr>
          <w:rFonts w:ascii="Times New Roman" w:hAnsi="Times New Roman" w:cs="Times New Roman"/>
          <w:sz w:val="24"/>
          <w:szCs w:val="24"/>
        </w:rPr>
        <w:t xml:space="preserve">  </w:t>
      </w:r>
      <w:r w:rsidR="000269A6" w:rsidRPr="006E0BC0">
        <w:rPr>
          <w:rFonts w:ascii="Times New Roman" w:hAnsi="Times New Roman" w:cs="Times New Roman"/>
          <w:sz w:val="24"/>
          <w:szCs w:val="24"/>
        </w:rPr>
        <w:t xml:space="preserve"> For example, the individual may reside in </w:t>
      </w:r>
      <w:r w:rsidR="009D2A42" w:rsidRPr="006E0BC0">
        <w:rPr>
          <w:rFonts w:ascii="Times New Roman" w:hAnsi="Times New Roman" w:cs="Times New Roman"/>
          <w:sz w:val="24"/>
          <w:szCs w:val="24"/>
        </w:rPr>
        <w:t xml:space="preserve">public </w:t>
      </w:r>
      <w:r w:rsidR="000269A6" w:rsidRPr="006E0BC0">
        <w:rPr>
          <w:rFonts w:ascii="Times New Roman" w:hAnsi="Times New Roman" w:cs="Times New Roman"/>
          <w:sz w:val="24"/>
          <w:szCs w:val="24"/>
        </w:rPr>
        <w:t xml:space="preserve">or subsidized </w:t>
      </w:r>
      <w:r w:rsidR="009D2A42" w:rsidRPr="006E0BC0">
        <w:rPr>
          <w:rFonts w:ascii="Times New Roman" w:hAnsi="Times New Roman" w:cs="Times New Roman"/>
          <w:sz w:val="24"/>
          <w:szCs w:val="24"/>
        </w:rPr>
        <w:t xml:space="preserve">housing </w:t>
      </w:r>
      <w:r w:rsidR="000269A6" w:rsidRPr="006E0BC0">
        <w:rPr>
          <w:rFonts w:ascii="Times New Roman" w:hAnsi="Times New Roman" w:cs="Times New Roman"/>
          <w:sz w:val="24"/>
          <w:szCs w:val="24"/>
        </w:rPr>
        <w:t xml:space="preserve">which is already subject to a lease or long term management agreement between </w:t>
      </w:r>
      <w:r w:rsidR="00563F4B">
        <w:rPr>
          <w:rFonts w:ascii="Times New Roman" w:hAnsi="Times New Roman" w:cs="Times New Roman"/>
          <w:sz w:val="24"/>
          <w:szCs w:val="24"/>
        </w:rPr>
        <w:t>a</w:t>
      </w:r>
      <w:r w:rsidR="000269A6" w:rsidRPr="006E0BC0">
        <w:rPr>
          <w:rFonts w:ascii="Times New Roman" w:hAnsi="Times New Roman" w:cs="Times New Roman"/>
          <w:sz w:val="24"/>
          <w:szCs w:val="24"/>
        </w:rPr>
        <w:t xml:space="preserve"> public housing agency</w:t>
      </w:r>
      <w:r w:rsidR="00D20433" w:rsidRPr="006E0BC0">
        <w:rPr>
          <w:rFonts w:ascii="Times New Roman" w:hAnsi="Times New Roman" w:cs="Times New Roman"/>
          <w:sz w:val="24"/>
          <w:szCs w:val="24"/>
        </w:rPr>
        <w:t xml:space="preserve"> </w:t>
      </w:r>
      <w:r w:rsidR="000269A6" w:rsidRPr="006E0BC0">
        <w:rPr>
          <w:rFonts w:ascii="Times New Roman" w:hAnsi="Times New Roman" w:cs="Times New Roman"/>
          <w:sz w:val="24"/>
          <w:szCs w:val="24"/>
        </w:rPr>
        <w:t xml:space="preserve">and the </w:t>
      </w:r>
      <w:r w:rsidR="00563F4B">
        <w:rPr>
          <w:rFonts w:ascii="Times New Roman" w:hAnsi="Times New Roman" w:cs="Times New Roman"/>
          <w:sz w:val="24"/>
          <w:szCs w:val="24"/>
        </w:rPr>
        <w:t>P</w:t>
      </w:r>
      <w:r w:rsidR="000269A6" w:rsidRPr="006E0BC0">
        <w:rPr>
          <w:rFonts w:ascii="Times New Roman" w:hAnsi="Times New Roman" w:cs="Times New Roman"/>
          <w:sz w:val="24"/>
          <w:szCs w:val="24"/>
        </w:rPr>
        <w:t xml:space="preserve">rovider, </w:t>
      </w:r>
      <w:r w:rsidR="00D20433" w:rsidRPr="006E0BC0">
        <w:rPr>
          <w:rFonts w:ascii="Times New Roman" w:hAnsi="Times New Roman" w:cs="Times New Roman"/>
          <w:sz w:val="24"/>
          <w:szCs w:val="24"/>
        </w:rPr>
        <w:t xml:space="preserve">and </w:t>
      </w:r>
      <w:r w:rsidR="000269A6" w:rsidRPr="006E0BC0">
        <w:rPr>
          <w:rFonts w:ascii="Times New Roman" w:hAnsi="Times New Roman" w:cs="Times New Roman"/>
          <w:sz w:val="24"/>
          <w:szCs w:val="24"/>
        </w:rPr>
        <w:t xml:space="preserve">the lease or management agreement does not permit a sublease or subrogation to the individual.  </w:t>
      </w:r>
      <w:r w:rsidR="0081656D" w:rsidRPr="006E0BC0">
        <w:rPr>
          <w:rFonts w:ascii="Times New Roman" w:hAnsi="Times New Roman" w:cs="Times New Roman"/>
          <w:sz w:val="24"/>
          <w:szCs w:val="24"/>
        </w:rPr>
        <w:t xml:space="preserve">   </w:t>
      </w:r>
    </w:p>
    <w:p w:rsidR="009067F5" w:rsidRPr="006E0BC0" w:rsidRDefault="00B00D02" w:rsidP="009067F5">
      <w:pPr>
        <w:ind w:left="720" w:hanging="720"/>
        <w:rPr>
          <w:rFonts w:ascii="Times New Roman" w:hAnsi="Times New Roman" w:cs="Times New Roman"/>
          <w:b/>
          <w:sz w:val="24"/>
          <w:szCs w:val="24"/>
        </w:rPr>
      </w:pPr>
      <w:r w:rsidRPr="006E0BC0">
        <w:rPr>
          <w:rFonts w:ascii="Times New Roman" w:hAnsi="Times New Roman" w:cs="Times New Roman"/>
          <w:b/>
          <w:sz w:val="24"/>
          <w:szCs w:val="24"/>
        </w:rPr>
        <w:t>Q</w:t>
      </w:r>
      <w:r w:rsidR="009067F5" w:rsidRPr="006E0BC0">
        <w:rPr>
          <w:rFonts w:ascii="Times New Roman" w:hAnsi="Times New Roman" w:cs="Times New Roman"/>
          <w:b/>
          <w:sz w:val="24"/>
          <w:szCs w:val="24"/>
        </w:rPr>
        <w:t>:</w:t>
      </w:r>
      <w:r w:rsidRPr="006E0BC0">
        <w:rPr>
          <w:rFonts w:ascii="Times New Roman" w:hAnsi="Times New Roman" w:cs="Times New Roman"/>
          <w:b/>
          <w:sz w:val="24"/>
          <w:szCs w:val="24"/>
        </w:rPr>
        <w:t xml:space="preserve"> </w:t>
      </w:r>
      <w:r w:rsidRPr="006E0BC0">
        <w:rPr>
          <w:rFonts w:ascii="Times New Roman" w:hAnsi="Times New Roman" w:cs="Times New Roman"/>
          <w:b/>
          <w:sz w:val="24"/>
          <w:szCs w:val="24"/>
        </w:rPr>
        <w:tab/>
      </w:r>
      <w:r w:rsidR="009C01B0" w:rsidRPr="006E0BC0">
        <w:rPr>
          <w:rFonts w:ascii="Times New Roman" w:hAnsi="Times New Roman" w:cs="Times New Roman"/>
          <w:b/>
          <w:sz w:val="24"/>
          <w:szCs w:val="24"/>
        </w:rPr>
        <w:t xml:space="preserve">If the unit is owned or controlled by the </w:t>
      </w:r>
      <w:r w:rsidR="006C35B4" w:rsidRPr="006E0BC0">
        <w:rPr>
          <w:rFonts w:ascii="Times New Roman" w:hAnsi="Times New Roman" w:cs="Times New Roman"/>
          <w:b/>
          <w:sz w:val="24"/>
          <w:szCs w:val="24"/>
        </w:rPr>
        <w:t>P</w:t>
      </w:r>
      <w:r w:rsidR="009C01B0" w:rsidRPr="006E0BC0">
        <w:rPr>
          <w:rFonts w:ascii="Times New Roman" w:hAnsi="Times New Roman" w:cs="Times New Roman"/>
          <w:b/>
          <w:sz w:val="24"/>
          <w:szCs w:val="24"/>
        </w:rPr>
        <w:t xml:space="preserve">rovider, and the space may be owned, rented or occupied by the individual, what form of </w:t>
      </w:r>
      <w:r w:rsidR="009C01B0" w:rsidRPr="006E0BC0">
        <w:rPr>
          <w:rStyle w:val="p"/>
          <w:rFonts w:ascii="Times New Roman" w:hAnsi="Times New Roman" w:cs="Times New Roman"/>
          <w:b/>
          <w:iCs/>
          <w:color w:val="000000"/>
          <w:sz w:val="24"/>
          <w:szCs w:val="24"/>
        </w:rPr>
        <w:t xml:space="preserve">“legally enforceable agreement” is required under the </w:t>
      </w:r>
      <w:r w:rsidR="00802EA5" w:rsidRPr="006E0BC0">
        <w:rPr>
          <w:rStyle w:val="p"/>
          <w:rFonts w:ascii="Times New Roman" w:hAnsi="Times New Roman" w:cs="Times New Roman"/>
          <w:b/>
          <w:iCs/>
          <w:color w:val="000000"/>
          <w:sz w:val="24"/>
          <w:szCs w:val="24"/>
        </w:rPr>
        <w:t xml:space="preserve">Community </w:t>
      </w:r>
      <w:r w:rsidR="009C01B0" w:rsidRPr="006E0BC0">
        <w:rPr>
          <w:rStyle w:val="p"/>
          <w:rFonts w:ascii="Times New Roman" w:hAnsi="Times New Roman" w:cs="Times New Roman"/>
          <w:b/>
          <w:iCs/>
          <w:color w:val="000000"/>
          <w:sz w:val="24"/>
          <w:szCs w:val="24"/>
        </w:rPr>
        <w:t xml:space="preserve">Rule? </w:t>
      </w:r>
      <w:r w:rsidR="009C01B0" w:rsidRPr="006E0BC0">
        <w:rPr>
          <w:rFonts w:ascii="Times New Roman" w:hAnsi="Times New Roman" w:cs="Times New Roman"/>
          <w:b/>
          <w:sz w:val="24"/>
          <w:szCs w:val="24"/>
        </w:rPr>
        <w:t xml:space="preserve"> </w:t>
      </w:r>
    </w:p>
    <w:p w:rsidR="005E7A3D" w:rsidRPr="006E0BC0" w:rsidRDefault="00127E65" w:rsidP="009067F5">
      <w:pPr>
        <w:ind w:left="720" w:hanging="720"/>
        <w:rPr>
          <w:rStyle w:val="p"/>
          <w:rFonts w:ascii="Times New Roman" w:hAnsi="Times New Roman" w:cs="Times New Roman"/>
          <w:b/>
          <w:sz w:val="24"/>
          <w:szCs w:val="24"/>
        </w:rPr>
      </w:pPr>
      <w:r w:rsidRPr="006E0BC0">
        <w:rPr>
          <w:rFonts w:ascii="Times New Roman" w:hAnsi="Times New Roman" w:cs="Times New Roman"/>
          <w:b/>
          <w:sz w:val="24"/>
          <w:szCs w:val="24"/>
        </w:rPr>
        <w:t>A</w:t>
      </w:r>
      <w:r w:rsidR="009067F5" w:rsidRPr="006E0BC0">
        <w:rPr>
          <w:rFonts w:ascii="Times New Roman" w:hAnsi="Times New Roman" w:cs="Times New Roman"/>
          <w:b/>
          <w:sz w:val="24"/>
          <w:szCs w:val="24"/>
        </w:rPr>
        <w:t>:</w:t>
      </w:r>
      <w:r w:rsidRPr="006E0BC0">
        <w:rPr>
          <w:rFonts w:ascii="Times New Roman" w:hAnsi="Times New Roman" w:cs="Times New Roman"/>
          <w:b/>
          <w:sz w:val="24"/>
          <w:szCs w:val="24"/>
        </w:rPr>
        <w:tab/>
      </w:r>
      <w:r w:rsidR="009C01B0" w:rsidRPr="006E0BC0">
        <w:rPr>
          <w:rFonts w:ascii="Times New Roman" w:hAnsi="Times New Roman" w:cs="Times New Roman"/>
          <w:sz w:val="24"/>
          <w:szCs w:val="24"/>
        </w:rPr>
        <w:t>Under Massachusetts law</w:t>
      </w:r>
      <w:r w:rsidR="008F355E" w:rsidRPr="006E0BC0">
        <w:rPr>
          <w:rFonts w:ascii="Times New Roman" w:hAnsi="Times New Roman" w:cs="Times New Roman"/>
          <w:sz w:val="24"/>
          <w:szCs w:val="24"/>
        </w:rPr>
        <w:t xml:space="preserve">, the terms of </w:t>
      </w:r>
      <w:r w:rsidR="005E7A3D" w:rsidRPr="006E0BC0">
        <w:rPr>
          <w:rFonts w:ascii="Times New Roman" w:hAnsi="Times New Roman" w:cs="Times New Roman"/>
          <w:sz w:val="24"/>
          <w:szCs w:val="24"/>
        </w:rPr>
        <w:t>a</w:t>
      </w:r>
      <w:r w:rsidR="008F355E" w:rsidRPr="006E0BC0">
        <w:rPr>
          <w:rFonts w:ascii="Times New Roman" w:hAnsi="Times New Roman" w:cs="Times New Roman"/>
          <w:sz w:val="24"/>
          <w:szCs w:val="24"/>
        </w:rPr>
        <w:t xml:space="preserve"> tenancy may vary according to what the landlord and tenant agree to.  See </w:t>
      </w:r>
      <w:hyperlink r:id="rId9" w:history="1">
        <w:r w:rsidR="008F355E" w:rsidRPr="006E0BC0">
          <w:rPr>
            <w:rStyle w:val="Hyperlink"/>
            <w:rFonts w:ascii="Times New Roman" w:hAnsi="Times New Roman" w:cs="Times New Roman"/>
            <w:sz w:val="24"/>
            <w:szCs w:val="24"/>
          </w:rPr>
          <w:t>http://www.mass.gov/ago/consumer-resources/consumer-information/home-and-housing/landlord-and-tenant-law/</w:t>
        </w:r>
      </w:hyperlink>
      <w:r w:rsidR="008F355E" w:rsidRPr="006E0BC0">
        <w:rPr>
          <w:rStyle w:val="Hyperlink"/>
          <w:rFonts w:ascii="Times New Roman" w:hAnsi="Times New Roman" w:cs="Times New Roman"/>
          <w:sz w:val="24"/>
          <w:szCs w:val="24"/>
          <w:u w:val="none"/>
        </w:rPr>
        <w:t xml:space="preserve">. </w:t>
      </w:r>
      <w:r w:rsidR="006670FD">
        <w:rPr>
          <w:rStyle w:val="Hyperlink"/>
          <w:rFonts w:ascii="Times New Roman" w:hAnsi="Times New Roman" w:cs="Times New Roman"/>
          <w:sz w:val="24"/>
          <w:szCs w:val="24"/>
          <w:u w:val="none"/>
        </w:rPr>
        <w:t xml:space="preserve"> </w:t>
      </w:r>
      <w:r w:rsidR="007C1429" w:rsidRPr="006E0BC0">
        <w:rPr>
          <w:rStyle w:val="Hyperlink"/>
          <w:rFonts w:ascii="Times New Roman" w:hAnsi="Times New Roman" w:cs="Times New Roman"/>
          <w:color w:val="auto"/>
          <w:sz w:val="24"/>
          <w:szCs w:val="24"/>
          <w:u w:val="none"/>
        </w:rPr>
        <w:t xml:space="preserve">The requirement under the </w:t>
      </w:r>
      <w:r w:rsidR="008F355E" w:rsidRPr="006E0BC0">
        <w:rPr>
          <w:rStyle w:val="Hyperlink"/>
          <w:rFonts w:ascii="Times New Roman" w:hAnsi="Times New Roman" w:cs="Times New Roman"/>
          <w:color w:val="auto"/>
          <w:sz w:val="24"/>
          <w:szCs w:val="24"/>
          <w:u w:val="none"/>
        </w:rPr>
        <w:t xml:space="preserve">Community Rule </w:t>
      </w:r>
      <w:r w:rsidR="007C1429" w:rsidRPr="006E0BC0">
        <w:rPr>
          <w:rStyle w:val="Hyperlink"/>
          <w:rFonts w:ascii="Times New Roman" w:hAnsi="Times New Roman" w:cs="Times New Roman"/>
          <w:color w:val="auto"/>
          <w:sz w:val="24"/>
          <w:szCs w:val="24"/>
          <w:u w:val="none"/>
        </w:rPr>
        <w:t xml:space="preserve">is that the </w:t>
      </w:r>
      <w:r w:rsidR="006C35B4" w:rsidRPr="006E0BC0">
        <w:rPr>
          <w:rFonts w:ascii="Times New Roman" w:hAnsi="Times New Roman" w:cs="Times New Roman"/>
          <w:sz w:val="24"/>
          <w:szCs w:val="24"/>
        </w:rPr>
        <w:t>P</w:t>
      </w:r>
      <w:r w:rsidR="00B00D02" w:rsidRPr="006E0BC0">
        <w:rPr>
          <w:rFonts w:ascii="Times New Roman" w:hAnsi="Times New Roman" w:cs="Times New Roman"/>
          <w:sz w:val="24"/>
          <w:szCs w:val="24"/>
        </w:rPr>
        <w:t>rovider must ensure that</w:t>
      </w:r>
      <w:r w:rsidR="00802EA5" w:rsidRPr="006E0BC0">
        <w:rPr>
          <w:rFonts w:ascii="Times New Roman" w:hAnsi="Times New Roman" w:cs="Times New Roman"/>
          <w:sz w:val="24"/>
          <w:szCs w:val="24"/>
        </w:rPr>
        <w:t>,</w:t>
      </w:r>
      <w:r w:rsidR="00B00D02" w:rsidRPr="006E0BC0">
        <w:rPr>
          <w:rFonts w:ascii="Times New Roman" w:hAnsi="Times New Roman" w:cs="Times New Roman"/>
          <w:sz w:val="24"/>
          <w:szCs w:val="24"/>
        </w:rPr>
        <w:t xml:space="preserve"> “</w:t>
      </w:r>
      <w:r w:rsidR="00B00D02" w:rsidRPr="006E0BC0">
        <w:rPr>
          <w:rStyle w:val="p"/>
          <w:rFonts w:ascii="Times New Roman" w:hAnsi="Times New Roman" w:cs="Times New Roman"/>
          <w:i/>
          <w:iCs/>
          <w:color w:val="000000"/>
          <w:sz w:val="24"/>
          <w:szCs w:val="24"/>
        </w:rPr>
        <w:t xml:space="preserve">the individual has, at a minimum, the same responsibilities and protections from eviction that </w:t>
      </w:r>
      <w:r w:rsidR="00B00D02" w:rsidRPr="006E0BC0">
        <w:rPr>
          <w:rStyle w:val="p"/>
          <w:rFonts w:ascii="Times New Roman" w:hAnsi="Times New Roman" w:cs="Times New Roman"/>
          <w:i/>
          <w:iCs/>
          <w:color w:val="000000"/>
          <w:sz w:val="24"/>
          <w:szCs w:val="24"/>
        </w:rPr>
        <w:lastRenderedPageBreak/>
        <w:t>tenants have under the landlord tenant law of the State, county, city or other designated entity.”</w:t>
      </w:r>
      <w:r w:rsidR="00BE2D11" w:rsidRPr="006E0BC0">
        <w:rPr>
          <w:rStyle w:val="p"/>
          <w:rFonts w:ascii="Times New Roman" w:hAnsi="Times New Roman" w:cs="Times New Roman"/>
          <w:i/>
          <w:iCs/>
          <w:color w:val="000000"/>
          <w:sz w:val="24"/>
          <w:szCs w:val="24"/>
        </w:rPr>
        <w:t xml:space="preserve"> </w:t>
      </w:r>
    </w:p>
    <w:p w:rsidR="00B00D02" w:rsidRPr="006E0BC0" w:rsidRDefault="007C1429" w:rsidP="002C2F1C">
      <w:pPr>
        <w:ind w:left="720"/>
        <w:rPr>
          <w:rFonts w:ascii="Times New Roman" w:hAnsi="Times New Roman" w:cs="Times New Roman"/>
          <w:sz w:val="24"/>
          <w:szCs w:val="24"/>
        </w:rPr>
      </w:pPr>
      <w:r w:rsidRPr="006E0BC0">
        <w:rPr>
          <w:rStyle w:val="p"/>
          <w:rFonts w:ascii="Times New Roman" w:hAnsi="Times New Roman" w:cs="Times New Roman"/>
          <w:iCs/>
          <w:color w:val="000000"/>
          <w:sz w:val="24"/>
          <w:szCs w:val="24"/>
        </w:rPr>
        <w:t xml:space="preserve">In drafting a “legally enforceable agreement” compliant with these provisions, </w:t>
      </w:r>
      <w:r w:rsidR="006C35B4" w:rsidRPr="006E0BC0">
        <w:rPr>
          <w:rStyle w:val="p"/>
          <w:rFonts w:ascii="Times New Roman" w:hAnsi="Times New Roman" w:cs="Times New Roman"/>
          <w:iCs/>
          <w:color w:val="000000"/>
          <w:sz w:val="24"/>
          <w:szCs w:val="24"/>
        </w:rPr>
        <w:t>P</w:t>
      </w:r>
      <w:r w:rsidR="00BE2D11" w:rsidRPr="006E0BC0">
        <w:rPr>
          <w:rStyle w:val="p"/>
          <w:rFonts w:ascii="Times New Roman" w:hAnsi="Times New Roman" w:cs="Times New Roman"/>
          <w:iCs/>
          <w:color w:val="000000"/>
          <w:sz w:val="24"/>
          <w:szCs w:val="24"/>
        </w:rPr>
        <w:t xml:space="preserve">roviders should refer to sources of Massachusetts landlord tenant law, and to counsel with expertise </w:t>
      </w:r>
      <w:r w:rsidR="00563F4B">
        <w:rPr>
          <w:rStyle w:val="p"/>
          <w:rFonts w:ascii="Times New Roman" w:hAnsi="Times New Roman" w:cs="Times New Roman"/>
          <w:iCs/>
          <w:color w:val="000000"/>
          <w:sz w:val="24"/>
          <w:szCs w:val="24"/>
        </w:rPr>
        <w:t>in</w:t>
      </w:r>
      <w:r w:rsidR="006670FD">
        <w:rPr>
          <w:rStyle w:val="p"/>
          <w:rFonts w:ascii="Times New Roman" w:hAnsi="Times New Roman" w:cs="Times New Roman"/>
          <w:iCs/>
          <w:color w:val="000000"/>
          <w:sz w:val="24"/>
          <w:szCs w:val="24"/>
        </w:rPr>
        <w:t xml:space="preserve"> landlord tenant law.</w:t>
      </w:r>
      <w:r w:rsidR="00BE2D11" w:rsidRPr="006E0BC0">
        <w:rPr>
          <w:rStyle w:val="p"/>
          <w:rFonts w:ascii="Times New Roman" w:hAnsi="Times New Roman" w:cs="Times New Roman"/>
          <w:iCs/>
          <w:color w:val="000000"/>
          <w:sz w:val="24"/>
          <w:szCs w:val="24"/>
        </w:rPr>
        <w:t xml:space="preserve"> </w:t>
      </w:r>
      <w:r w:rsidR="00BE2D11" w:rsidRPr="006E0BC0">
        <w:rPr>
          <w:rStyle w:val="p"/>
          <w:rFonts w:ascii="Times New Roman" w:hAnsi="Times New Roman" w:cs="Times New Roman"/>
          <w:i/>
          <w:iCs/>
          <w:color w:val="000000"/>
          <w:sz w:val="24"/>
          <w:szCs w:val="24"/>
        </w:rPr>
        <w:t xml:space="preserve"> </w:t>
      </w:r>
      <w:proofErr w:type="gramStart"/>
      <w:r w:rsidR="00BE2D11" w:rsidRPr="006E0BC0">
        <w:rPr>
          <w:rStyle w:val="p"/>
          <w:rFonts w:ascii="Times New Roman" w:hAnsi="Times New Roman" w:cs="Times New Roman"/>
          <w:i/>
          <w:iCs/>
          <w:color w:val="000000"/>
          <w:sz w:val="24"/>
          <w:szCs w:val="24"/>
        </w:rPr>
        <w:t xml:space="preserve">See </w:t>
      </w:r>
      <w:r w:rsidR="003F597E" w:rsidRPr="006E0BC0">
        <w:rPr>
          <w:rStyle w:val="p"/>
          <w:rFonts w:ascii="Times New Roman" w:hAnsi="Times New Roman" w:cs="Times New Roman"/>
          <w:i/>
          <w:iCs/>
          <w:color w:val="000000"/>
          <w:sz w:val="24"/>
          <w:szCs w:val="24"/>
        </w:rPr>
        <w:t xml:space="preserve"> </w:t>
      </w:r>
      <w:r w:rsidR="003F597E" w:rsidRPr="006E0BC0">
        <w:rPr>
          <w:rFonts w:ascii="Times New Roman" w:hAnsi="Times New Roman" w:cs="Times New Roman"/>
          <w:sz w:val="24"/>
          <w:szCs w:val="24"/>
        </w:rPr>
        <w:t>G</w:t>
      </w:r>
      <w:r w:rsidR="006528E9" w:rsidRPr="006E0BC0">
        <w:rPr>
          <w:rFonts w:ascii="Times New Roman" w:hAnsi="Times New Roman" w:cs="Times New Roman"/>
          <w:sz w:val="24"/>
          <w:szCs w:val="24"/>
        </w:rPr>
        <w:t>.</w:t>
      </w:r>
      <w:r w:rsidR="003F597E" w:rsidRPr="006E0BC0">
        <w:rPr>
          <w:rFonts w:ascii="Times New Roman" w:hAnsi="Times New Roman" w:cs="Times New Roman"/>
          <w:sz w:val="24"/>
          <w:szCs w:val="24"/>
        </w:rPr>
        <w:t>L</w:t>
      </w:r>
      <w:proofErr w:type="gramEnd"/>
      <w:r w:rsidR="006528E9" w:rsidRPr="006E0BC0">
        <w:rPr>
          <w:rFonts w:ascii="Times New Roman" w:hAnsi="Times New Roman" w:cs="Times New Roman"/>
          <w:sz w:val="24"/>
          <w:szCs w:val="24"/>
        </w:rPr>
        <w:t>.</w:t>
      </w:r>
      <w:r w:rsidR="003F597E" w:rsidRPr="006E0BC0">
        <w:rPr>
          <w:rFonts w:ascii="Times New Roman" w:hAnsi="Times New Roman" w:cs="Times New Roman"/>
          <w:sz w:val="24"/>
          <w:szCs w:val="24"/>
        </w:rPr>
        <w:t xml:space="preserve"> </w:t>
      </w:r>
      <w:r w:rsidR="009067F5" w:rsidRPr="006E0BC0">
        <w:rPr>
          <w:rFonts w:ascii="Times New Roman" w:hAnsi="Times New Roman" w:cs="Times New Roman"/>
          <w:sz w:val="24"/>
          <w:szCs w:val="24"/>
        </w:rPr>
        <w:t>c</w:t>
      </w:r>
      <w:r w:rsidR="003F597E" w:rsidRPr="006E0BC0">
        <w:rPr>
          <w:rFonts w:ascii="Times New Roman" w:hAnsi="Times New Roman" w:cs="Times New Roman"/>
          <w:sz w:val="24"/>
          <w:szCs w:val="24"/>
        </w:rPr>
        <w:t xml:space="preserve">. 239 and </w:t>
      </w:r>
      <w:r w:rsidR="009067F5" w:rsidRPr="006E0BC0">
        <w:rPr>
          <w:rFonts w:ascii="Times New Roman" w:hAnsi="Times New Roman" w:cs="Times New Roman"/>
          <w:sz w:val="24"/>
          <w:szCs w:val="24"/>
        </w:rPr>
        <w:t>c</w:t>
      </w:r>
      <w:r w:rsidR="003F597E" w:rsidRPr="006E0BC0">
        <w:rPr>
          <w:rFonts w:ascii="Times New Roman" w:hAnsi="Times New Roman" w:cs="Times New Roman"/>
          <w:sz w:val="24"/>
          <w:szCs w:val="24"/>
        </w:rPr>
        <w:t>. 186</w:t>
      </w:r>
      <w:r w:rsidR="009067F5" w:rsidRPr="006E0BC0">
        <w:rPr>
          <w:rFonts w:ascii="Times New Roman" w:hAnsi="Times New Roman" w:cs="Times New Roman"/>
          <w:sz w:val="24"/>
          <w:szCs w:val="24"/>
        </w:rPr>
        <w:t>,</w:t>
      </w:r>
      <w:r w:rsidR="003F597E" w:rsidRPr="006E0BC0">
        <w:rPr>
          <w:rFonts w:ascii="Times New Roman" w:hAnsi="Times New Roman" w:cs="Times New Roman"/>
          <w:sz w:val="24"/>
          <w:szCs w:val="24"/>
        </w:rPr>
        <w:t xml:space="preserve"> § 11.</w:t>
      </w:r>
      <w:r w:rsidR="002C2F1C" w:rsidRPr="006E0BC0">
        <w:rPr>
          <w:rFonts w:ascii="Times New Roman" w:hAnsi="Times New Roman" w:cs="Times New Roman"/>
          <w:sz w:val="24"/>
          <w:szCs w:val="24"/>
        </w:rPr>
        <w:t xml:space="preserve"> </w:t>
      </w:r>
      <w:r w:rsidR="0081656D" w:rsidRPr="006E0BC0">
        <w:rPr>
          <w:rFonts w:ascii="Times New Roman" w:hAnsi="Times New Roman" w:cs="Times New Roman"/>
          <w:sz w:val="24"/>
          <w:szCs w:val="24"/>
        </w:rPr>
        <w:t>Providers should be aware that different residential settings, such as assisted living or publicly subsidized housing, may have particular requirements of any agreement</w:t>
      </w:r>
      <w:r w:rsidR="00687623" w:rsidRPr="006E0BC0">
        <w:rPr>
          <w:rFonts w:ascii="Times New Roman" w:hAnsi="Times New Roman" w:cs="Times New Roman"/>
          <w:sz w:val="24"/>
          <w:szCs w:val="24"/>
        </w:rPr>
        <w:t xml:space="preserve"> to occupy the property or unit</w:t>
      </w:r>
      <w:r w:rsidR="0081656D" w:rsidRPr="006E0BC0">
        <w:rPr>
          <w:rFonts w:ascii="Times New Roman" w:hAnsi="Times New Roman" w:cs="Times New Roman"/>
          <w:sz w:val="24"/>
          <w:szCs w:val="24"/>
        </w:rPr>
        <w:t>.</w:t>
      </w:r>
    </w:p>
    <w:p w:rsidR="009067F5" w:rsidRPr="006E0BC0" w:rsidRDefault="00655F84" w:rsidP="009067F5">
      <w:pPr>
        <w:rPr>
          <w:rFonts w:ascii="Times New Roman" w:hAnsi="Times New Roman" w:cs="Times New Roman"/>
          <w:b/>
          <w:sz w:val="24"/>
          <w:szCs w:val="24"/>
        </w:rPr>
      </w:pPr>
      <w:r w:rsidRPr="006E0BC0">
        <w:rPr>
          <w:rFonts w:ascii="Times New Roman" w:hAnsi="Times New Roman" w:cs="Times New Roman"/>
          <w:b/>
          <w:sz w:val="24"/>
          <w:szCs w:val="24"/>
        </w:rPr>
        <w:t>Q</w:t>
      </w:r>
      <w:r w:rsidR="009067F5" w:rsidRPr="006E0BC0">
        <w:rPr>
          <w:rFonts w:ascii="Times New Roman" w:hAnsi="Times New Roman" w:cs="Times New Roman"/>
          <w:b/>
          <w:sz w:val="24"/>
          <w:szCs w:val="24"/>
        </w:rPr>
        <w:t>:</w:t>
      </w:r>
      <w:r w:rsidRPr="006E0BC0">
        <w:rPr>
          <w:rFonts w:ascii="Times New Roman" w:hAnsi="Times New Roman" w:cs="Times New Roman"/>
          <w:b/>
          <w:sz w:val="24"/>
          <w:szCs w:val="24"/>
        </w:rPr>
        <w:t xml:space="preserve"> </w:t>
      </w:r>
      <w:r w:rsidRPr="006E0BC0">
        <w:rPr>
          <w:rFonts w:ascii="Times New Roman" w:hAnsi="Times New Roman" w:cs="Times New Roman"/>
          <w:b/>
          <w:sz w:val="24"/>
          <w:szCs w:val="24"/>
        </w:rPr>
        <w:tab/>
      </w:r>
      <w:r w:rsidR="00D20433" w:rsidRPr="006E0BC0">
        <w:rPr>
          <w:rFonts w:ascii="Times New Roman" w:hAnsi="Times New Roman" w:cs="Times New Roman"/>
          <w:b/>
          <w:sz w:val="24"/>
          <w:szCs w:val="24"/>
        </w:rPr>
        <w:t xml:space="preserve">Where Does </w:t>
      </w:r>
      <w:r w:rsidRPr="006E0BC0">
        <w:rPr>
          <w:rFonts w:ascii="Times New Roman" w:hAnsi="Times New Roman" w:cs="Times New Roman"/>
          <w:b/>
          <w:sz w:val="24"/>
          <w:szCs w:val="24"/>
        </w:rPr>
        <w:t>L</w:t>
      </w:r>
      <w:r w:rsidR="00FD4A58" w:rsidRPr="006E0BC0">
        <w:rPr>
          <w:rFonts w:ascii="Times New Roman" w:hAnsi="Times New Roman" w:cs="Times New Roman"/>
          <w:b/>
          <w:sz w:val="24"/>
          <w:szCs w:val="24"/>
        </w:rPr>
        <w:t xml:space="preserve">andlord Tenant Law </w:t>
      </w:r>
      <w:r w:rsidR="00D20433" w:rsidRPr="006E0BC0">
        <w:rPr>
          <w:rFonts w:ascii="Times New Roman" w:hAnsi="Times New Roman" w:cs="Times New Roman"/>
          <w:b/>
          <w:sz w:val="24"/>
          <w:szCs w:val="24"/>
        </w:rPr>
        <w:t xml:space="preserve">Not </w:t>
      </w:r>
      <w:r w:rsidR="00FD4A58" w:rsidRPr="006E0BC0">
        <w:rPr>
          <w:rFonts w:ascii="Times New Roman" w:hAnsi="Times New Roman" w:cs="Times New Roman"/>
          <w:b/>
          <w:sz w:val="24"/>
          <w:szCs w:val="24"/>
        </w:rPr>
        <w:t>Apply?</w:t>
      </w:r>
    </w:p>
    <w:p w:rsidR="002B4D9A" w:rsidRPr="006E0BC0" w:rsidRDefault="00127E65" w:rsidP="009067F5">
      <w:pPr>
        <w:ind w:left="720" w:hanging="720"/>
        <w:rPr>
          <w:rFonts w:ascii="Times New Roman" w:hAnsi="Times New Roman" w:cs="Times New Roman"/>
          <w:b/>
          <w:sz w:val="24"/>
          <w:szCs w:val="24"/>
        </w:rPr>
      </w:pPr>
      <w:r w:rsidRPr="006E0BC0">
        <w:rPr>
          <w:rFonts w:ascii="Times New Roman" w:hAnsi="Times New Roman" w:cs="Times New Roman"/>
          <w:b/>
          <w:sz w:val="24"/>
          <w:szCs w:val="24"/>
        </w:rPr>
        <w:t>A</w:t>
      </w:r>
      <w:r w:rsidR="009067F5" w:rsidRPr="006E0BC0">
        <w:rPr>
          <w:rFonts w:ascii="Times New Roman" w:hAnsi="Times New Roman" w:cs="Times New Roman"/>
          <w:b/>
          <w:sz w:val="24"/>
          <w:szCs w:val="24"/>
        </w:rPr>
        <w:t>:</w:t>
      </w:r>
      <w:r w:rsidR="00FD4A58" w:rsidRPr="006E0BC0">
        <w:rPr>
          <w:rFonts w:ascii="Times New Roman" w:hAnsi="Times New Roman" w:cs="Times New Roman"/>
          <w:b/>
          <w:sz w:val="24"/>
          <w:szCs w:val="24"/>
        </w:rPr>
        <w:t xml:space="preserve"> </w:t>
      </w:r>
      <w:r w:rsidRPr="006E0BC0">
        <w:rPr>
          <w:rFonts w:ascii="Times New Roman" w:hAnsi="Times New Roman" w:cs="Times New Roman"/>
          <w:b/>
          <w:sz w:val="24"/>
          <w:szCs w:val="24"/>
        </w:rPr>
        <w:tab/>
      </w:r>
      <w:r w:rsidR="00BE2D11" w:rsidRPr="006E0BC0">
        <w:rPr>
          <w:rFonts w:ascii="Times New Roman" w:hAnsi="Times New Roman" w:cs="Times New Roman"/>
          <w:sz w:val="24"/>
          <w:szCs w:val="24"/>
        </w:rPr>
        <w:t xml:space="preserve">The </w:t>
      </w:r>
      <w:r w:rsidR="002C2F1C" w:rsidRPr="006E0BC0">
        <w:rPr>
          <w:rFonts w:ascii="Times New Roman" w:hAnsi="Times New Roman" w:cs="Times New Roman"/>
          <w:sz w:val="24"/>
          <w:szCs w:val="24"/>
        </w:rPr>
        <w:t xml:space="preserve">Community </w:t>
      </w:r>
      <w:r w:rsidR="0085110C" w:rsidRPr="006E0BC0">
        <w:rPr>
          <w:rFonts w:ascii="Times New Roman" w:hAnsi="Times New Roman" w:cs="Times New Roman"/>
          <w:sz w:val="24"/>
          <w:szCs w:val="24"/>
        </w:rPr>
        <w:t>R</w:t>
      </w:r>
      <w:r w:rsidR="00BE2D11" w:rsidRPr="006E0BC0">
        <w:rPr>
          <w:rFonts w:ascii="Times New Roman" w:hAnsi="Times New Roman" w:cs="Times New Roman"/>
          <w:sz w:val="24"/>
          <w:szCs w:val="24"/>
        </w:rPr>
        <w:t xml:space="preserve">ule </w:t>
      </w:r>
      <w:r w:rsidR="0081656D" w:rsidRPr="006E0BC0">
        <w:rPr>
          <w:rFonts w:ascii="Times New Roman" w:hAnsi="Times New Roman" w:cs="Times New Roman"/>
          <w:sz w:val="24"/>
          <w:szCs w:val="24"/>
        </w:rPr>
        <w:t xml:space="preserve">also </w:t>
      </w:r>
      <w:r w:rsidR="00BE2D11" w:rsidRPr="006E0BC0">
        <w:rPr>
          <w:rFonts w:ascii="Times New Roman" w:hAnsi="Times New Roman" w:cs="Times New Roman"/>
          <w:sz w:val="24"/>
          <w:szCs w:val="24"/>
        </w:rPr>
        <w:t xml:space="preserve">acknowledges that an individual may be receiving services in an environment where </w:t>
      </w:r>
      <w:r w:rsidR="0081656D" w:rsidRPr="006E0BC0">
        <w:rPr>
          <w:rFonts w:ascii="Times New Roman" w:hAnsi="Times New Roman" w:cs="Times New Roman"/>
          <w:sz w:val="24"/>
          <w:szCs w:val="24"/>
        </w:rPr>
        <w:t>“</w:t>
      </w:r>
      <w:r w:rsidR="00B20CDA" w:rsidRPr="006E0BC0">
        <w:rPr>
          <w:rStyle w:val="p"/>
          <w:rFonts w:ascii="Times New Roman" w:hAnsi="Times New Roman" w:cs="Times New Roman"/>
          <w:iCs/>
          <w:color w:val="000000"/>
          <w:sz w:val="24"/>
          <w:szCs w:val="24"/>
        </w:rPr>
        <w:t>landlord tenant law does not apply</w:t>
      </w:r>
      <w:r w:rsidR="00BE2D11" w:rsidRPr="006E0BC0">
        <w:rPr>
          <w:rStyle w:val="p"/>
          <w:rFonts w:ascii="Times New Roman" w:hAnsi="Times New Roman" w:cs="Times New Roman"/>
          <w:iCs/>
          <w:color w:val="000000"/>
          <w:sz w:val="24"/>
          <w:szCs w:val="24"/>
        </w:rPr>
        <w:t>.</w:t>
      </w:r>
      <w:r w:rsidR="0081656D" w:rsidRPr="006E0BC0">
        <w:rPr>
          <w:rStyle w:val="p"/>
          <w:rFonts w:ascii="Times New Roman" w:hAnsi="Times New Roman" w:cs="Times New Roman"/>
          <w:iCs/>
          <w:color w:val="000000"/>
          <w:sz w:val="24"/>
          <w:szCs w:val="24"/>
        </w:rPr>
        <w:t xml:space="preserve">”  </w:t>
      </w:r>
      <w:r w:rsidR="00FD4A58" w:rsidRPr="006E0BC0">
        <w:rPr>
          <w:rFonts w:ascii="Times New Roman" w:hAnsi="Times New Roman" w:cs="Times New Roman"/>
          <w:sz w:val="24"/>
          <w:szCs w:val="24"/>
        </w:rPr>
        <w:t xml:space="preserve">If a </w:t>
      </w:r>
      <w:r w:rsidR="006C35B4" w:rsidRPr="006E0BC0">
        <w:rPr>
          <w:rFonts w:ascii="Times New Roman" w:hAnsi="Times New Roman" w:cs="Times New Roman"/>
          <w:sz w:val="24"/>
          <w:szCs w:val="24"/>
        </w:rPr>
        <w:t>P</w:t>
      </w:r>
      <w:r w:rsidR="00FD4A58" w:rsidRPr="006E0BC0">
        <w:rPr>
          <w:rFonts w:ascii="Times New Roman" w:hAnsi="Times New Roman" w:cs="Times New Roman"/>
          <w:sz w:val="24"/>
          <w:szCs w:val="24"/>
        </w:rPr>
        <w:t xml:space="preserve">rovider determines that landlord-tenant law does </w:t>
      </w:r>
      <w:r w:rsidR="00FD4A58" w:rsidRPr="006E0BC0">
        <w:rPr>
          <w:rFonts w:ascii="Times New Roman" w:hAnsi="Times New Roman" w:cs="Times New Roman"/>
          <w:sz w:val="24"/>
          <w:szCs w:val="24"/>
          <w:u w:val="single"/>
        </w:rPr>
        <w:t>not</w:t>
      </w:r>
      <w:r w:rsidR="00FD4A58" w:rsidRPr="006E0BC0">
        <w:rPr>
          <w:rFonts w:ascii="Times New Roman" w:hAnsi="Times New Roman" w:cs="Times New Roman"/>
          <w:sz w:val="24"/>
          <w:szCs w:val="24"/>
        </w:rPr>
        <w:t xml:space="preserve"> apply, it must ensure that</w:t>
      </w:r>
      <w:r w:rsidR="006C35B4" w:rsidRPr="006E0BC0">
        <w:rPr>
          <w:rFonts w:ascii="Times New Roman" w:hAnsi="Times New Roman" w:cs="Times New Roman"/>
          <w:sz w:val="24"/>
          <w:szCs w:val="24"/>
        </w:rPr>
        <w:t>,</w:t>
      </w:r>
      <w:r w:rsidR="00FD4A58" w:rsidRPr="006E0BC0">
        <w:rPr>
          <w:rFonts w:ascii="Times New Roman" w:hAnsi="Times New Roman" w:cs="Times New Roman"/>
          <w:sz w:val="24"/>
          <w:szCs w:val="24"/>
        </w:rPr>
        <w:t xml:space="preserve"> </w:t>
      </w:r>
      <w:r w:rsidR="00FD4A58" w:rsidRPr="006E0BC0">
        <w:rPr>
          <w:rStyle w:val="p"/>
          <w:rFonts w:ascii="Times New Roman" w:hAnsi="Times New Roman" w:cs="Times New Roman"/>
          <w:i/>
          <w:iCs/>
          <w:color w:val="000000"/>
          <w:sz w:val="24"/>
          <w:szCs w:val="24"/>
        </w:rPr>
        <w:t>“a lease, residency agreement or other form of written agreement will be in place for each participant and that the document provides protections that address eviction processes and appeals comparable to those provided under the jurisdiction's landlord tenant law.</w:t>
      </w:r>
      <w:r w:rsidR="00FD4A58" w:rsidRPr="006E0BC0">
        <w:rPr>
          <w:rFonts w:ascii="Times New Roman" w:hAnsi="Times New Roman" w:cs="Times New Roman"/>
          <w:sz w:val="24"/>
          <w:szCs w:val="24"/>
        </w:rPr>
        <w:t>”</w:t>
      </w:r>
      <w:r w:rsidR="003F3C22" w:rsidRPr="006E0BC0">
        <w:rPr>
          <w:rFonts w:ascii="Times New Roman" w:hAnsi="Times New Roman" w:cs="Times New Roman"/>
          <w:sz w:val="24"/>
          <w:szCs w:val="24"/>
        </w:rPr>
        <w:t xml:space="preserve">  If the </w:t>
      </w:r>
      <w:r w:rsidR="006C35B4" w:rsidRPr="006E0BC0">
        <w:rPr>
          <w:rFonts w:ascii="Times New Roman" w:hAnsi="Times New Roman" w:cs="Times New Roman"/>
          <w:sz w:val="24"/>
          <w:szCs w:val="24"/>
        </w:rPr>
        <w:t>P</w:t>
      </w:r>
      <w:r w:rsidR="003F3C22" w:rsidRPr="006E0BC0">
        <w:rPr>
          <w:rFonts w:ascii="Times New Roman" w:hAnsi="Times New Roman" w:cs="Times New Roman"/>
          <w:sz w:val="24"/>
          <w:szCs w:val="24"/>
        </w:rPr>
        <w:t xml:space="preserve">rovider determines that landlord tenant law does not apply, the </w:t>
      </w:r>
      <w:r w:rsidR="00563F4B">
        <w:rPr>
          <w:rFonts w:ascii="Times New Roman" w:hAnsi="Times New Roman" w:cs="Times New Roman"/>
          <w:sz w:val="24"/>
          <w:szCs w:val="24"/>
        </w:rPr>
        <w:t>P</w:t>
      </w:r>
      <w:r w:rsidR="003F3C22" w:rsidRPr="006E0BC0">
        <w:rPr>
          <w:rFonts w:ascii="Times New Roman" w:hAnsi="Times New Roman" w:cs="Times New Roman"/>
          <w:sz w:val="24"/>
          <w:szCs w:val="24"/>
        </w:rPr>
        <w:t xml:space="preserve">rovider may </w:t>
      </w:r>
      <w:r w:rsidR="00137A26" w:rsidRPr="006E0BC0">
        <w:rPr>
          <w:rFonts w:ascii="Times New Roman" w:hAnsi="Times New Roman" w:cs="Times New Roman"/>
          <w:sz w:val="24"/>
          <w:szCs w:val="24"/>
        </w:rPr>
        <w:t>develop a “residency agreement” or “other form of agreement” that</w:t>
      </w:r>
      <w:r w:rsidR="00563F4B">
        <w:rPr>
          <w:rFonts w:ascii="Times New Roman" w:hAnsi="Times New Roman" w:cs="Times New Roman"/>
          <w:sz w:val="24"/>
          <w:szCs w:val="24"/>
        </w:rPr>
        <w:t>,</w:t>
      </w:r>
      <w:r w:rsidR="00137A26" w:rsidRPr="006E0BC0">
        <w:rPr>
          <w:rFonts w:ascii="Times New Roman" w:hAnsi="Times New Roman" w:cs="Times New Roman"/>
          <w:sz w:val="24"/>
          <w:szCs w:val="24"/>
        </w:rPr>
        <w:t xml:space="preserve"> “</w:t>
      </w:r>
      <w:r w:rsidR="00137A26" w:rsidRPr="006E0BC0">
        <w:rPr>
          <w:rStyle w:val="p"/>
          <w:rFonts w:ascii="Times New Roman" w:hAnsi="Times New Roman" w:cs="Times New Roman"/>
          <w:i/>
          <w:iCs/>
          <w:color w:val="000000"/>
          <w:sz w:val="24"/>
          <w:szCs w:val="24"/>
        </w:rPr>
        <w:t xml:space="preserve">provides protections that address eviction processes and appeals comparable to those provided under the jurisdiction's landlord tenant law.” </w:t>
      </w:r>
      <w:r w:rsidR="00137A26" w:rsidRPr="006E0BC0">
        <w:rPr>
          <w:rStyle w:val="p"/>
          <w:rFonts w:ascii="Times New Roman" w:hAnsi="Times New Roman" w:cs="Times New Roman"/>
          <w:iCs/>
          <w:color w:val="000000"/>
          <w:sz w:val="24"/>
          <w:szCs w:val="24"/>
        </w:rPr>
        <w:t xml:space="preserve">If the </w:t>
      </w:r>
      <w:r w:rsidR="00061A6D" w:rsidRPr="006E0BC0">
        <w:rPr>
          <w:rStyle w:val="p"/>
          <w:rFonts w:ascii="Times New Roman" w:hAnsi="Times New Roman" w:cs="Times New Roman"/>
          <w:iCs/>
          <w:color w:val="000000"/>
          <w:sz w:val="24"/>
          <w:szCs w:val="24"/>
        </w:rPr>
        <w:t xml:space="preserve">individual has an intellectual disability and the </w:t>
      </w:r>
      <w:r w:rsidR="00137A26" w:rsidRPr="006E0BC0">
        <w:rPr>
          <w:rStyle w:val="p"/>
          <w:rFonts w:ascii="Times New Roman" w:hAnsi="Times New Roman" w:cs="Times New Roman"/>
          <w:iCs/>
          <w:color w:val="000000"/>
          <w:sz w:val="24"/>
          <w:szCs w:val="24"/>
        </w:rPr>
        <w:t>setting is a D</w:t>
      </w:r>
      <w:r w:rsidR="006C35B4" w:rsidRPr="006E0BC0">
        <w:rPr>
          <w:rStyle w:val="p"/>
          <w:rFonts w:ascii="Times New Roman" w:hAnsi="Times New Roman" w:cs="Times New Roman"/>
          <w:iCs/>
          <w:color w:val="000000"/>
          <w:sz w:val="24"/>
          <w:szCs w:val="24"/>
        </w:rPr>
        <w:t>DS</w:t>
      </w:r>
      <w:r w:rsidR="00137A26" w:rsidRPr="006E0BC0">
        <w:rPr>
          <w:rStyle w:val="p"/>
          <w:rFonts w:ascii="Times New Roman" w:hAnsi="Times New Roman" w:cs="Times New Roman"/>
          <w:iCs/>
          <w:color w:val="000000"/>
          <w:sz w:val="24"/>
          <w:szCs w:val="24"/>
        </w:rPr>
        <w:t xml:space="preserve"> “facility,” </w:t>
      </w:r>
      <w:r w:rsidR="00E75303" w:rsidRPr="006E0BC0">
        <w:rPr>
          <w:rFonts w:ascii="Times New Roman" w:hAnsi="Times New Roman" w:cs="Times New Roman"/>
          <w:sz w:val="24"/>
          <w:szCs w:val="24"/>
        </w:rPr>
        <w:t xml:space="preserve">as defined in </w:t>
      </w:r>
      <w:r w:rsidR="00802EA5" w:rsidRPr="006E0BC0">
        <w:rPr>
          <w:rFonts w:ascii="Times New Roman" w:hAnsi="Times New Roman" w:cs="Times New Roman"/>
          <w:sz w:val="24"/>
          <w:szCs w:val="24"/>
        </w:rPr>
        <w:t xml:space="preserve">G.L. c. </w:t>
      </w:r>
      <w:r w:rsidR="00E75303" w:rsidRPr="006E0BC0">
        <w:rPr>
          <w:rFonts w:ascii="Times New Roman" w:hAnsi="Times New Roman" w:cs="Times New Roman"/>
          <w:sz w:val="24"/>
          <w:szCs w:val="24"/>
        </w:rPr>
        <w:t xml:space="preserve">123B, </w:t>
      </w:r>
      <w:r w:rsidR="00802EA5" w:rsidRPr="006E0BC0">
        <w:rPr>
          <w:rFonts w:ascii="Times New Roman" w:hAnsi="Times New Roman" w:cs="Times New Roman"/>
          <w:sz w:val="24"/>
          <w:szCs w:val="24"/>
        </w:rPr>
        <w:t>§</w:t>
      </w:r>
      <w:r w:rsidR="00E75303" w:rsidRPr="006E0BC0">
        <w:rPr>
          <w:rFonts w:ascii="Times New Roman" w:hAnsi="Times New Roman" w:cs="Times New Roman"/>
          <w:sz w:val="24"/>
          <w:szCs w:val="24"/>
        </w:rPr>
        <w:t xml:space="preserve"> 2, </w:t>
      </w:r>
      <w:r w:rsidR="00137A26" w:rsidRPr="006E0BC0">
        <w:rPr>
          <w:rStyle w:val="p"/>
          <w:rFonts w:ascii="Times New Roman" w:hAnsi="Times New Roman" w:cs="Times New Roman"/>
          <w:iCs/>
          <w:color w:val="000000"/>
          <w:sz w:val="24"/>
          <w:szCs w:val="24"/>
        </w:rPr>
        <w:t xml:space="preserve">the agreement should, at a minimum, incorporate reference to the individual’s rights under </w:t>
      </w:r>
      <w:r w:rsidR="00802EA5" w:rsidRPr="006E0BC0">
        <w:rPr>
          <w:rStyle w:val="p"/>
          <w:rFonts w:ascii="Times New Roman" w:hAnsi="Times New Roman" w:cs="Times New Roman"/>
          <w:iCs/>
          <w:color w:val="000000"/>
          <w:sz w:val="24"/>
          <w:szCs w:val="24"/>
        </w:rPr>
        <w:t>G.L. c.</w:t>
      </w:r>
      <w:r w:rsidR="00137A26" w:rsidRPr="006E0BC0">
        <w:rPr>
          <w:rStyle w:val="p"/>
          <w:rFonts w:ascii="Times New Roman" w:hAnsi="Times New Roman" w:cs="Times New Roman"/>
          <w:iCs/>
          <w:color w:val="000000"/>
          <w:sz w:val="24"/>
          <w:szCs w:val="24"/>
        </w:rPr>
        <w:t xml:space="preserve"> 123B, § 3. </w:t>
      </w:r>
      <w:r w:rsidR="00137A26" w:rsidRPr="006E0BC0">
        <w:rPr>
          <w:rFonts w:ascii="Times New Roman" w:hAnsi="Times New Roman" w:cs="Times New Roman"/>
          <w:sz w:val="24"/>
          <w:szCs w:val="24"/>
        </w:rPr>
        <w:t xml:space="preserve">  </w:t>
      </w:r>
      <w:r w:rsidR="003F3C22" w:rsidRPr="006E0BC0">
        <w:rPr>
          <w:rFonts w:ascii="Times New Roman" w:hAnsi="Times New Roman" w:cs="Times New Roman"/>
          <w:sz w:val="24"/>
          <w:szCs w:val="24"/>
        </w:rPr>
        <w:t xml:space="preserve"> </w:t>
      </w:r>
      <w:r w:rsidR="00773BEA" w:rsidRPr="006E0BC0">
        <w:rPr>
          <w:rFonts w:ascii="Times New Roman" w:hAnsi="Times New Roman" w:cs="Times New Roman"/>
          <w:sz w:val="24"/>
          <w:szCs w:val="24"/>
        </w:rPr>
        <w:t xml:space="preserve">  </w:t>
      </w:r>
    </w:p>
    <w:p w:rsidR="009067F5" w:rsidRPr="006E0BC0" w:rsidRDefault="002B4D9A" w:rsidP="009067F5">
      <w:pPr>
        <w:rPr>
          <w:rFonts w:ascii="Times New Roman" w:hAnsi="Times New Roman" w:cs="Times New Roman"/>
          <w:b/>
          <w:sz w:val="24"/>
          <w:szCs w:val="24"/>
        </w:rPr>
      </w:pPr>
      <w:r w:rsidRPr="006E0BC0">
        <w:rPr>
          <w:rFonts w:ascii="Times New Roman" w:hAnsi="Times New Roman" w:cs="Times New Roman"/>
          <w:b/>
          <w:sz w:val="24"/>
          <w:szCs w:val="24"/>
        </w:rPr>
        <w:t>Q</w:t>
      </w:r>
      <w:r w:rsidR="009067F5" w:rsidRPr="006E0BC0">
        <w:rPr>
          <w:rFonts w:ascii="Times New Roman" w:hAnsi="Times New Roman" w:cs="Times New Roman"/>
          <w:b/>
          <w:sz w:val="24"/>
          <w:szCs w:val="24"/>
        </w:rPr>
        <w:t>:</w:t>
      </w:r>
      <w:r w:rsidRPr="006E0BC0">
        <w:rPr>
          <w:rFonts w:ascii="Times New Roman" w:hAnsi="Times New Roman" w:cs="Times New Roman"/>
          <w:b/>
          <w:sz w:val="24"/>
          <w:szCs w:val="24"/>
        </w:rPr>
        <w:tab/>
        <w:t xml:space="preserve">What is the </w:t>
      </w:r>
      <w:r w:rsidR="006C35B4" w:rsidRPr="006E0BC0">
        <w:rPr>
          <w:rFonts w:ascii="Times New Roman" w:hAnsi="Times New Roman" w:cs="Times New Roman"/>
          <w:b/>
          <w:sz w:val="24"/>
          <w:szCs w:val="24"/>
        </w:rPr>
        <w:t>e</w:t>
      </w:r>
      <w:r w:rsidRPr="006E0BC0">
        <w:rPr>
          <w:rFonts w:ascii="Times New Roman" w:hAnsi="Times New Roman" w:cs="Times New Roman"/>
          <w:b/>
          <w:sz w:val="24"/>
          <w:szCs w:val="24"/>
        </w:rPr>
        <w:t xml:space="preserve">ffect of </w:t>
      </w:r>
      <w:r w:rsidR="00013BCA" w:rsidRPr="006E0BC0">
        <w:rPr>
          <w:rFonts w:ascii="Times New Roman" w:hAnsi="Times New Roman" w:cs="Times New Roman"/>
          <w:b/>
          <w:sz w:val="24"/>
          <w:szCs w:val="24"/>
        </w:rPr>
        <w:t xml:space="preserve">the Transfer Statute? </w:t>
      </w:r>
    </w:p>
    <w:p w:rsidR="009E5B84" w:rsidRPr="006E0BC0" w:rsidRDefault="009067F5" w:rsidP="009067F5">
      <w:pPr>
        <w:ind w:left="720" w:hanging="720"/>
        <w:rPr>
          <w:rStyle w:val="p"/>
          <w:rFonts w:ascii="Times New Roman" w:hAnsi="Times New Roman" w:cs="Times New Roman"/>
          <w:b/>
          <w:sz w:val="24"/>
          <w:szCs w:val="24"/>
        </w:rPr>
      </w:pPr>
      <w:r w:rsidRPr="006E0BC0">
        <w:rPr>
          <w:rFonts w:ascii="Times New Roman" w:hAnsi="Times New Roman" w:cs="Times New Roman"/>
          <w:b/>
          <w:sz w:val="24"/>
          <w:szCs w:val="24"/>
        </w:rPr>
        <w:t>A:</w:t>
      </w:r>
      <w:r w:rsidRPr="006E0BC0">
        <w:rPr>
          <w:rFonts w:ascii="Times New Roman" w:hAnsi="Times New Roman" w:cs="Times New Roman"/>
          <w:b/>
          <w:sz w:val="24"/>
          <w:szCs w:val="24"/>
        </w:rPr>
        <w:tab/>
      </w:r>
      <w:r w:rsidR="00773BEA" w:rsidRPr="006E0BC0">
        <w:rPr>
          <w:rFonts w:ascii="Times New Roman" w:hAnsi="Times New Roman" w:cs="Times New Roman"/>
          <w:sz w:val="24"/>
          <w:szCs w:val="24"/>
        </w:rPr>
        <w:t xml:space="preserve">If </w:t>
      </w:r>
      <w:r w:rsidR="00061A6D" w:rsidRPr="006E0BC0">
        <w:rPr>
          <w:rFonts w:ascii="Times New Roman" w:hAnsi="Times New Roman" w:cs="Times New Roman"/>
          <w:sz w:val="24"/>
          <w:szCs w:val="24"/>
        </w:rPr>
        <w:t xml:space="preserve">an </w:t>
      </w:r>
      <w:r w:rsidR="00773BEA" w:rsidRPr="006E0BC0">
        <w:rPr>
          <w:rFonts w:ascii="Times New Roman" w:hAnsi="Times New Roman" w:cs="Times New Roman"/>
          <w:sz w:val="24"/>
          <w:szCs w:val="24"/>
        </w:rPr>
        <w:t xml:space="preserve">individual </w:t>
      </w:r>
      <w:r w:rsidR="00061A6D" w:rsidRPr="006E0BC0">
        <w:rPr>
          <w:rFonts w:ascii="Times New Roman" w:hAnsi="Times New Roman" w:cs="Times New Roman"/>
          <w:sz w:val="24"/>
          <w:szCs w:val="24"/>
        </w:rPr>
        <w:t xml:space="preserve">with an intellectual disability </w:t>
      </w:r>
      <w:r w:rsidR="00802EA5" w:rsidRPr="006E0BC0">
        <w:rPr>
          <w:rFonts w:ascii="Times New Roman" w:hAnsi="Times New Roman" w:cs="Times New Roman"/>
          <w:sz w:val="24"/>
          <w:szCs w:val="24"/>
        </w:rPr>
        <w:t>receives</w:t>
      </w:r>
      <w:r w:rsidR="00773BEA" w:rsidRPr="006E0BC0">
        <w:rPr>
          <w:rFonts w:ascii="Times New Roman" w:hAnsi="Times New Roman" w:cs="Times New Roman"/>
          <w:sz w:val="24"/>
          <w:szCs w:val="24"/>
        </w:rPr>
        <w:t xml:space="preserve"> services in a “facility” as defined in </w:t>
      </w:r>
      <w:r w:rsidR="00802EA5" w:rsidRPr="006E0BC0">
        <w:rPr>
          <w:rFonts w:ascii="Times New Roman" w:hAnsi="Times New Roman" w:cs="Times New Roman"/>
          <w:sz w:val="24"/>
          <w:szCs w:val="24"/>
        </w:rPr>
        <w:t xml:space="preserve">G.L. c. </w:t>
      </w:r>
      <w:r w:rsidR="00773BEA" w:rsidRPr="006E0BC0">
        <w:rPr>
          <w:rFonts w:ascii="Times New Roman" w:hAnsi="Times New Roman" w:cs="Times New Roman"/>
          <w:sz w:val="24"/>
          <w:szCs w:val="24"/>
        </w:rPr>
        <w:t xml:space="preserve">123B, </w:t>
      </w:r>
      <w:r w:rsidR="00802EA5" w:rsidRPr="006E0BC0">
        <w:rPr>
          <w:rFonts w:ascii="Times New Roman" w:hAnsi="Times New Roman" w:cs="Times New Roman"/>
          <w:sz w:val="24"/>
          <w:szCs w:val="24"/>
        </w:rPr>
        <w:t xml:space="preserve">§ </w:t>
      </w:r>
      <w:r w:rsidR="00773BEA" w:rsidRPr="006E0BC0">
        <w:rPr>
          <w:rFonts w:ascii="Times New Roman" w:hAnsi="Times New Roman" w:cs="Times New Roman"/>
          <w:sz w:val="24"/>
          <w:szCs w:val="24"/>
        </w:rPr>
        <w:t xml:space="preserve">2, </w:t>
      </w:r>
      <w:r w:rsidR="00137A26" w:rsidRPr="006E0BC0">
        <w:rPr>
          <w:rFonts w:ascii="Times New Roman" w:hAnsi="Times New Roman" w:cs="Times New Roman"/>
          <w:sz w:val="24"/>
          <w:szCs w:val="24"/>
        </w:rPr>
        <w:t xml:space="preserve">and </w:t>
      </w:r>
      <w:r w:rsidR="00563F4B">
        <w:rPr>
          <w:rFonts w:ascii="Times New Roman" w:hAnsi="Times New Roman" w:cs="Times New Roman"/>
          <w:sz w:val="24"/>
          <w:szCs w:val="24"/>
        </w:rPr>
        <w:t>DDS</w:t>
      </w:r>
      <w:r w:rsidR="00137A26" w:rsidRPr="006E0BC0">
        <w:rPr>
          <w:rFonts w:ascii="Times New Roman" w:hAnsi="Times New Roman" w:cs="Times New Roman"/>
          <w:sz w:val="24"/>
          <w:szCs w:val="24"/>
        </w:rPr>
        <w:t xml:space="preserve"> proposes to transfer the individual to another “facility,” </w:t>
      </w:r>
      <w:r w:rsidR="00773BEA" w:rsidRPr="006E0BC0">
        <w:rPr>
          <w:rFonts w:ascii="Times New Roman" w:hAnsi="Times New Roman" w:cs="Times New Roman"/>
          <w:sz w:val="24"/>
          <w:szCs w:val="24"/>
        </w:rPr>
        <w:t xml:space="preserve">the </w:t>
      </w:r>
      <w:r w:rsidR="00137A26" w:rsidRPr="006E0BC0">
        <w:rPr>
          <w:rFonts w:ascii="Times New Roman" w:hAnsi="Times New Roman" w:cs="Times New Roman"/>
          <w:sz w:val="24"/>
          <w:szCs w:val="24"/>
        </w:rPr>
        <w:t xml:space="preserve">Transfer Statute provides an opportunity to challenge the transfer through the division of law administrative law appeals, and provides a stay of the transfer pending appeal, unless the emergency conditions are met.  </w:t>
      </w:r>
      <w:proofErr w:type="gramStart"/>
      <w:r w:rsidR="00137A26" w:rsidRPr="006E0BC0">
        <w:rPr>
          <w:rFonts w:ascii="Times New Roman" w:hAnsi="Times New Roman" w:cs="Times New Roman"/>
          <w:i/>
          <w:sz w:val="24"/>
          <w:szCs w:val="24"/>
        </w:rPr>
        <w:t>See</w:t>
      </w:r>
      <w:r w:rsidR="00137A26" w:rsidRPr="006E0BC0">
        <w:rPr>
          <w:rFonts w:ascii="Times New Roman" w:hAnsi="Times New Roman" w:cs="Times New Roman"/>
          <w:sz w:val="24"/>
          <w:szCs w:val="24"/>
        </w:rPr>
        <w:t xml:space="preserve"> </w:t>
      </w:r>
      <w:r w:rsidR="00DA4F0F" w:rsidRPr="006E0BC0">
        <w:rPr>
          <w:rFonts w:ascii="Times New Roman" w:hAnsi="Times New Roman" w:cs="Times New Roman"/>
          <w:sz w:val="24"/>
          <w:szCs w:val="24"/>
        </w:rPr>
        <w:t>G.L. c. 123</w:t>
      </w:r>
      <w:r w:rsidR="00AE5D20" w:rsidRPr="006E0BC0">
        <w:rPr>
          <w:rFonts w:ascii="Times New Roman" w:hAnsi="Times New Roman" w:cs="Times New Roman"/>
          <w:sz w:val="24"/>
          <w:szCs w:val="24"/>
        </w:rPr>
        <w:t>B</w:t>
      </w:r>
      <w:r w:rsidR="00DA4F0F" w:rsidRPr="006E0BC0">
        <w:rPr>
          <w:rFonts w:ascii="Times New Roman" w:hAnsi="Times New Roman" w:cs="Times New Roman"/>
          <w:sz w:val="24"/>
          <w:szCs w:val="24"/>
        </w:rPr>
        <w:t xml:space="preserve">, §3, </w:t>
      </w:r>
      <w:r w:rsidR="00137A26" w:rsidRPr="006E0BC0">
        <w:rPr>
          <w:rFonts w:ascii="Times New Roman" w:hAnsi="Times New Roman" w:cs="Times New Roman"/>
          <w:sz w:val="24"/>
          <w:szCs w:val="24"/>
        </w:rPr>
        <w:t>115 CMR 6.</w:t>
      </w:r>
      <w:r w:rsidR="00DA4F0F" w:rsidRPr="006E0BC0">
        <w:rPr>
          <w:rFonts w:ascii="Times New Roman" w:hAnsi="Times New Roman" w:cs="Times New Roman"/>
          <w:sz w:val="24"/>
          <w:szCs w:val="24"/>
        </w:rPr>
        <w:t>63.</w:t>
      </w:r>
      <w:proofErr w:type="gramEnd"/>
    </w:p>
    <w:sectPr w:rsidR="009E5B84" w:rsidRPr="006E0BC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ABC" w:rsidRDefault="00935ABC" w:rsidP="00CD72F2">
      <w:pPr>
        <w:spacing w:after="0" w:line="240" w:lineRule="auto"/>
      </w:pPr>
      <w:r>
        <w:separator/>
      </w:r>
    </w:p>
  </w:endnote>
  <w:endnote w:type="continuationSeparator" w:id="0">
    <w:p w:rsidR="00935ABC" w:rsidRDefault="00935ABC" w:rsidP="00CD7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6691961"/>
      <w:docPartObj>
        <w:docPartGallery w:val="Page Numbers (Bottom of Page)"/>
        <w:docPartUnique/>
      </w:docPartObj>
    </w:sdtPr>
    <w:sdtEndPr/>
    <w:sdtContent>
      <w:sdt>
        <w:sdtPr>
          <w:id w:val="2040001134"/>
          <w:docPartObj>
            <w:docPartGallery w:val="Page Numbers (Top of Page)"/>
            <w:docPartUnique/>
          </w:docPartObj>
        </w:sdtPr>
        <w:sdtEndPr/>
        <w:sdtContent>
          <w:p w:rsidR="0089482F" w:rsidRDefault="00A00C74">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3E300C">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E300C">
              <w:rPr>
                <w:b/>
                <w:bCs/>
                <w:noProof/>
              </w:rPr>
              <w:t>3</w:t>
            </w:r>
            <w:r>
              <w:rPr>
                <w:b/>
                <w:bCs/>
                <w:sz w:val="24"/>
                <w:szCs w:val="24"/>
              </w:rPr>
              <w:fldChar w:fldCharType="end"/>
            </w:r>
          </w:p>
          <w:p w:rsidR="00A00C74" w:rsidRDefault="003E300C">
            <w:pPr>
              <w:pStyle w:val="Footer"/>
              <w:jc w:val="right"/>
            </w:pPr>
          </w:p>
        </w:sdtContent>
      </w:sdt>
    </w:sdtContent>
  </w:sdt>
  <w:p w:rsidR="00A00C74" w:rsidRPr="00513C9B" w:rsidRDefault="003469F3">
    <w:pPr>
      <w:pStyle w:val="Footer"/>
      <w:rPr>
        <w:rFonts w:ascii="Times New Roman" w:hAnsi="Times New Roman" w:cs="Times New Roman"/>
      </w:rPr>
    </w:pPr>
    <w:r w:rsidRPr="00513C9B">
      <w:rPr>
        <w:rFonts w:ascii="Times New Roman" w:hAnsi="Times New Roman" w:cs="Times New Roman"/>
      </w:rPr>
      <w:t>Guidance on Home and Community-Based Services Waiver</w:t>
    </w:r>
    <w:r w:rsidR="00D75D6C">
      <w:rPr>
        <w:rFonts w:ascii="Times New Roman" w:hAnsi="Times New Roman" w:cs="Times New Roman"/>
      </w:rPr>
      <w:t>, Revised</w:t>
    </w:r>
    <w:r w:rsidR="0089482F">
      <w:rPr>
        <w:rFonts w:ascii="Times New Roman" w:hAnsi="Times New Roman" w:cs="Times New Roman"/>
      </w:rPr>
      <w:t xml:space="preserve">          </w:t>
    </w:r>
    <w:r w:rsidR="0089482F">
      <w:rPr>
        <w:rFonts w:ascii="Times New Roman" w:hAnsi="Times New Roman" w:cs="Times New Roman"/>
      </w:rPr>
      <w:tab/>
      <w:t>July 11</w:t>
    </w:r>
    <w:r w:rsidRPr="00513C9B">
      <w:rPr>
        <w:rFonts w:ascii="Times New Roman" w:hAnsi="Times New Roman" w:cs="Times New Roman"/>
      </w:rPr>
      <w:t>,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ABC" w:rsidRDefault="00935ABC" w:rsidP="00CD72F2">
      <w:pPr>
        <w:spacing w:after="0" w:line="240" w:lineRule="auto"/>
      </w:pPr>
      <w:r>
        <w:separator/>
      </w:r>
    </w:p>
  </w:footnote>
  <w:footnote w:type="continuationSeparator" w:id="0">
    <w:p w:rsidR="00935ABC" w:rsidRDefault="00935ABC" w:rsidP="00CD72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A4B20"/>
    <w:multiLevelType w:val="hybridMultilevel"/>
    <w:tmpl w:val="8084B9A4"/>
    <w:lvl w:ilvl="0" w:tplc="7546615C">
      <w:start w:val="1"/>
      <w:numFmt w:val="upperRoman"/>
      <w:lvlText w:val="%1."/>
      <w:lvlJc w:val="left"/>
      <w:pPr>
        <w:ind w:left="1170" w:hanging="720"/>
      </w:pPr>
      <w:rPr>
        <w:rFonts w:hint="default"/>
      </w:rPr>
    </w:lvl>
    <w:lvl w:ilvl="1" w:tplc="6204C686">
      <w:start w:val="1"/>
      <w:numFmt w:val="lowerLetter"/>
      <w:lvlText w:val="%2."/>
      <w:lvlJc w:val="left"/>
      <w:pPr>
        <w:ind w:left="1710" w:hanging="360"/>
      </w:pPr>
      <w:rPr>
        <w:b/>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9B63D3E"/>
    <w:multiLevelType w:val="multilevel"/>
    <w:tmpl w:val="7B78303A"/>
    <w:lvl w:ilvl="0">
      <w:start w:val="441"/>
      <w:numFmt w:val="decimal"/>
      <w:lvlText w:val="%1"/>
      <w:lvlJc w:val="left"/>
      <w:pPr>
        <w:ind w:left="690" w:hanging="690"/>
      </w:pPr>
      <w:rPr>
        <w:rFonts w:hint="default"/>
        <w:b/>
      </w:rPr>
    </w:lvl>
    <w:lvl w:ilvl="1">
      <w:start w:val="530"/>
      <w:numFmt w:val="decimal"/>
      <w:lvlText w:val="%1.%2"/>
      <w:lvlJc w:val="left"/>
      <w:pPr>
        <w:ind w:left="750" w:hanging="690"/>
      </w:pPr>
      <w:rPr>
        <w:rFonts w:hint="default"/>
        <w:b/>
      </w:rPr>
    </w:lvl>
    <w:lvl w:ilvl="2">
      <w:start w:val="1"/>
      <w:numFmt w:val="decimal"/>
      <w:lvlText w:val="%1.%2.%3"/>
      <w:lvlJc w:val="left"/>
      <w:pPr>
        <w:ind w:left="840" w:hanging="720"/>
      </w:pPr>
      <w:rPr>
        <w:rFonts w:hint="default"/>
        <w:b/>
      </w:rPr>
    </w:lvl>
    <w:lvl w:ilvl="3">
      <w:start w:val="1"/>
      <w:numFmt w:val="decimal"/>
      <w:lvlText w:val="%1.%2.%3.%4"/>
      <w:lvlJc w:val="left"/>
      <w:pPr>
        <w:ind w:left="900" w:hanging="720"/>
      </w:pPr>
      <w:rPr>
        <w:rFonts w:hint="default"/>
        <w:b/>
      </w:rPr>
    </w:lvl>
    <w:lvl w:ilvl="4">
      <w:start w:val="1"/>
      <w:numFmt w:val="decimal"/>
      <w:lvlText w:val="%1.%2.%3.%4.%5"/>
      <w:lvlJc w:val="left"/>
      <w:pPr>
        <w:ind w:left="1320" w:hanging="1080"/>
      </w:pPr>
      <w:rPr>
        <w:rFonts w:hint="default"/>
        <w:b/>
      </w:rPr>
    </w:lvl>
    <w:lvl w:ilvl="5">
      <w:start w:val="1"/>
      <w:numFmt w:val="decimal"/>
      <w:lvlText w:val="%1.%2.%3.%4.%5.%6"/>
      <w:lvlJc w:val="left"/>
      <w:pPr>
        <w:ind w:left="1380" w:hanging="1080"/>
      </w:pPr>
      <w:rPr>
        <w:rFonts w:hint="default"/>
        <w:b/>
      </w:rPr>
    </w:lvl>
    <w:lvl w:ilvl="6">
      <w:start w:val="1"/>
      <w:numFmt w:val="decimal"/>
      <w:lvlText w:val="%1.%2.%3.%4.%5.%6.%7"/>
      <w:lvlJc w:val="left"/>
      <w:pPr>
        <w:ind w:left="1800" w:hanging="1440"/>
      </w:pPr>
      <w:rPr>
        <w:rFonts w:hint="default"/>
        <w:b/>
      </w:rPr>
    </w:lvl>
    <w:lvl w:ilvl="7">
      <w:start w:val="1"/>
      <w:numFmt w:val="decimal"/>
      <w:lvlText w:val="%1.%2.%3.%4.%5.%6.%7.%8"/>
      <w:lvlJc w:val="left"/>
      <w:pPr>
        <w:ind w:left="1860" w:hanging="1440"/>
      </w:pPr>
      <w:rPr>
        <w:rFonts w:hint="default"/>
        <w:b/>
      </w:rPr>
    </w:lvl>
    <w:lvl w:ilvl="8">
      <w:start w:val="1"/>
      <w:numFmt w:val="decimal"/>
      <w:lvlText w:val="%1.%2.%3.%4.%5.%6.%7.%8.%9"/>
      <w:lvlJc w:val="left"/>
      <w:pPr>
        <w:ind w:left="2280" w:hanging="1800"/>
      </w:pPr>
      <w:rPr>
        <w:rFonts w:hint="default"/>
        <w:b/>
      </w:rPr>
    </w:lvl>
  </w:abstractNum>
  <w:abstractNum w:abstractNumId="2">
    <w:nsid w:val="0E0B7255"/>
    <w:multiLevelType w:val="hybridMultilevel"/>
    <w:tmpl w:val="5DA88B38"/>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123D5682"/>
    <w:multiLevelType w:val="hybridMultilevel"/>
    <w:tmpl w:val="AF3AB7AE"/>
    <w:lvl w:ilvl="0" w:tplc="0764E14E">
      <w:start w:val="1"/>
      <w:numFmt w:val="upperRoman"/>
      <w:lvlText w:val="%1."/>
      <w:lvlJc w:val="left"/>
      <w:pPr>
        <w:ind w:left="1080" w:hanging="72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32440E"/>
    <w:multiLevelType w:val="hybridMultilevel"/>
    <w:tmpl w:val="7512CA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A30FBD"/>
    <w:multiLevelType w:val="hybridMultilevel"/>
    <w:tmpl w:val="27A69230"/>
    <w:lvl w:ilvl="0" w:tplc="C72A1808">
      <w:start w:val="2"/>
      <w:numFmt w:val="upperRoman"/>
      <w:lvlText w:val="%1."/>
      <w:lvlJc w:val="left"/>
      <w:pPr>
        <w:ind w:left="1080" w:hanging="72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710614"/>
    <w:multiLevelType w:val="hybridMultilevel"/>
    <w:tmpl w:val="F5A66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FC3035"/>
    <w:multiLevelType w:val="hybridMultilevel"/>
    <w:tmpl w:val="F39C50EE"/>
    <w:lvl w:ilvl="0" w:tplc="7A8A6C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111D98"/>
    <w:multiLevelType w:val="hybridMultilevel"/>
    <w:tmpl w:val="0D84FD80"/>
    <w:lvl w:ilvl="0" w:tplc="52BC548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B1475B"/>
    <w:multiLevelType w:val="hybridMultilevel"/>
    <w:tmpl w:val="25FA5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3C179A"/>
    <w:multiLevelType w:val="hybridMultilevel"/>
    <w:tmpl w:val="EA125F88"/>
    <w:lvl w:ilvl="0" w:tplc="BDB2FC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EFB3F0D"/>
    <w:multiLevelType w:val="hybridMultilevel"/>
    <w:tmpl w:val="80ACCDA6"/>
    <w:lvl w:ilvl="0" w:tplc="CEA88352">
      <w:start w:val="7"/>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2943068"/>
    <w:multiLevelType w:val="hybridMultilevel"/>
    <w:tmpl w:val="C8D62C84"/>
    <w:lvl w:ilvl="0" w:tplc="23F02E66">
      <w:start w:val="1"/>
      <w:numFmt w:val="upperRoman"/>
      <w:lvlText w:val="%1."/>
      <w:lvlJc w:val="left"/>
      <w:pPr>
        <w:ind w:left="810" w:hanging="72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nsid w:val="5DDD30B8"/>
    <w:multiLevelType w:val="hybridMultilevel"/>
    <w:tmpl w:val="46F8154C"/>
    <w:lvl w:ilvl="0" w:tplc="A23E992A">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nsid w:val="5EDB3BB1"/>
    <w:multiLevelType w:val="hybridMultilevel"/>
    <w:tmpl w:val="E654EB5C"/>
    <w:lvl w:ilvl="0" w:tplc="F1AC091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162C1B"/>
    <w:multiLevelType w:val="hybridMultilevel"/>
    <w:tmpl w:val="049071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F272EE"/>
    <w:multiLevelType w:val="hybridMultilevel"/>
    <w:tmpl w:val="D8F6CEC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nsid w:val="76876A10"/>
    <w:multiLevelType w:val="hybridMultilevel"/>
    <w:tmpl w:val="76E4A3BA"/>
    <w:lvl w:ilvl="0" w:tplc="C6A08416">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6F60258"/>
    <w:multiLevelType w:val="hybridMultilevel"/>
    <w:tmpl w:val="B3D6BD56"/>
    <w:lvl w:ilvl="0" w:tplc="394476C6">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5"/>
  </w:num>
  <w:num w:numId="3">
    <w:abstractNumId w:val="14"/>
  </w:num>
  <w:num w:numId="4">
    <w:abstractNumId w:val="2"/>
  </w:num>
  <w:num w:numId="5">
    <w:abstractNumId w:val="8"/>
  </w:num>
  <w:num w:numId="6">
    <w:abstractNumId w:val="9"/>
  </w:num>
  <w:num w:numId="7">
    <w:abstractNumId w:val="0"/>
  </w:num>
  <w:num w:numId="8">
    <w:abstractNumId w:val="3"/>
  </w:num>
  <w:num w:numId="9">
    <w:abstractNumId w:val="18"/>
  </w:num>
  <w:num w:numId="10">
    <w:abstractNumId w:val="6"/>
  </w:num>
  <w:num w:numId="11">
    <w:abstractNumId w:val="5"/>
  </w:num>
  <w:num w:numId="12">
    <w:abstractNumId w:val="17"/>
  </w:num>
  <w:num w:numId="13">
    <w:abstractNumId w:val="4"/>
  </w:num>
  <w:num w:numId="14">
    <w:abstractNumId w:val="10"/>
  </w:num>
  <w:num w:numId="15">
    <w:abstractNumId w:val="7"/>
  </w:num>
  <w:num w:numId="16">
    <w:abstractNumId w:val="1"/>
  </w:num>
  <w:num w:numId="17">
    <w:abstractNumId w:val="13"/>
  </w:num>
  <w:num w:numId="18">
    <w:abstractNumId w:val="16"/>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B43"/>
    <w:rsid w:val="000000FA"/>
    <w:rsid w:val="00000CAC"/>
    <w:rsid w:val="000019E0"/>
    <w:rsid w:val="00004FAE"/>
    <w:rsid w:val="00007438"/>
    <w:rsid w:val="00013BCA"/>
    <w:rsid w:val="000165A2"/>
    <w:rsid w:val="00016BDF"/>
    <w:rsid w:val="0002262E"/>
    <w:rsid w:val="000269A6"/>
    <w:rsid w:val="00026C9F"/>
    <w:rsid w:val="00030E90"/>
    <w:rsid w:val="00031266"/>
    <w:rsid w:val="00040ED1"/>
    <w:rsid w:val="00045424"/>
    <w:rsid w:val="00061A6D"/>
    <w:rsid w:val="000736F2"/>
    <w:rsid w:val="00076887"/>
    <w:rsid w:val="00085E38"/>
    <w:rsid w:val="000A489B"/>
    <w:rsid w:val="000E3DD6"/>
    <w:rsid w:val="000E7613"/>
    <w:rsid w:val="000F21E5"/>
    <w:rsid w:val="001037F4"/>
    <w:rsid w:val="00103A30"/>
    <w:rsid w:val="00104FD9"/>
    <w:rsid w:val="001058CA"/>
    <w:rsid w:val="001112F6"/>
    <w:rsid w:val="00125683"/>
    <w:rsid w:val="00127E65"/>
    <w:rsid w:val="0013113F"/>
    <w:rsid w:val="001334C1"/>
    <w:rsid w:val="00137A26"/>
    <w:rsid w:val="00146AED"/>
    <w:rsid w:val="00165D22"/>
    <w:rsid w:val="0018284C"/>
    <w:rsid w:val="001828C0"/>
    <w:rsid w:val="00185690"/>
    <w:rsid w:val="001875DA"/>
    <w:rsid w:val="00192952"/>
    <w:rsid w:val="00194CD8"/>
    <w:rsid w:val="001A39D7"/>
    <w:rsid w:val="001A7F43"/>
    <w:rsid w:val="001B1BC2"/>
    <w:rsid w:val="001C0EB2"/>
    <w:rsid w:val="001C272B"/>
    <w:rsid w:val="001C30BE"/>
    <w:rsid w:val="001D0E87"/>
    <w:rsid w:val="001D1B43"/>
    <w:rsid w:val="001D581F"/>
    <w:rsid w:val="001E1B46"/>
    <w:rsid w:val="001E57E3"/>
    <w:rsid w:val="00201660"/>
    <w:rsid w:val="00206A30"/>
    <w:rsid w:val="00211FAD"/>
    <w:rsid w:val="002130C5"/>
    <w:rsid w:val="002207DF"/>
    <w:rsid w:val="00220A96"/>
    <w:rsid w:val="00230B0B"/>
    <w:rsid w:val="00244D7F"/>
    <w:rsid w:val="00256782"/>
    <w:rsid w:val="002621A3"/>
    <w:rsid w:val="00265B5C"/>
    <w:rsid w:val="002748ED"/>
    <w:rsid w:val="00294FEE"/>
    <w:rsid w:val="002953B7"/>
    <w:rsid w:val="002A0B86"/>
    <w:rsid w:val="002A3858"/>
    <w:rsid w:val="002A6EEE"/>
    <w:rsid w:val="002B4287"/>
    <w:rsid w:val="002B4D9A"/>
    <w:rsid w:val="002B75C4"/>
    <w:rsid w:val="002C2F1C"/>
    <w:rsid w:val="002F1DAA"/>
    <w:rsid w:val="00337687"/>
    <w:rsid w:val="003469F3"/>
    <w:rsid w:val="00346ADC"/>
    <w:rsid w:val="00347C2B"/>
    <w:rsid w:val="00371580"/>
    <w:rsid w:val="003853FA"/>
    <w:rsid w:val="003939D9"/>
    <w:rsid w:val="00395C95"/>
    <w:rsid w:val="003974F2"/>
    <w:rsid w:val="003A48D2"/>
    <w:rsid w:val="003B074C"/>
    <w:rsid w:val="003D5EE2"/>
    <w:rsid w:val="003E300C"/>
    <w:rsid w:val="003F3C22"/>
    <w:rsid w:val="003F597E"/>
    <w:rsid w:val="00406E7C"/>
    <w:rsid w:val="004129D8"/>
    <w:rsid w:val="00413B4B"/>
    <w:rsid w:val="00416C04"/>
    <w:rsid w:val="00431EFA"/>
    <w:rsid w:val="00432EA4"/>
    <w:rsid w:val="00434CD5"/>
    <w:rsid w:val="004541F8"/>
    <w:rsid w:val="0046188E"/>
    <w:rsid w:val="00462857"/>
    <w:rsid w:val="004703ED"/>
    <w:rsid w:val="00487A79"/>
    <w:rsid w:val="0049171D"/>
    <w:rsid w:val="004946EA"/>
    <w:rsid w:val="004A575F"/>
    <w:rsid w:val="004B0C36"/>
    <w:rsid w:val="004B60B8"/>
    <w:rsid w:val="004B6605"/>
    <w:rsid w:val="004B6E95"/>
    <w:rsid w:val="004B6FCD"/>
    <w:rsid w:val="004D7341"/>
    <w:rsid w:val="004E26CF"/>
    <w:rsid w:val="004E6554"/>
    <w:rsid w:val="004F484F"/>
    <w:rsid w:val="005060F7"/>
    <w:rsid w:val="00506C00"/>
    <w:rsid w:val="00513C9B"/>
    <w:rsid w:val="00513F27"/>
    <w:rsid w:val="00516362"/>
    <w:rsid w:val="00543E5F"/>
    <w:rsid w:val="005632DF"/>
    <w:rsid w:val="00563F4B"/>
    <w:rsid w:val="00565B67"/>
    <w:rsid w:val="0057708E"/>
    <w:rsid w:val="005A3140"/>
    <w:rsid w:val="005A4D5B"/>
    <w:rsid w:val="005A5F4D"/>
    <w:rsid w:val="005B56E2"/>
    <w:rsid w:val="005C1262"/>
    <w:rsid w:val="005C192A"/>
    <w:rsid w:val="005C75B1"/>
    <w:rsid w:val="005E0CCF"/>
    <w:rsid w:val="005E119E"/>
    <w:rsid w:val="005E7A3D"/>
    <w:rsid w:val="00607E4E"/>
    <w:rsid w:val="00624111"/>
    <w:rsid w:val="00625967"/>
    <w:rsid w:val="006261CC"/>
    <w:rsid w:val="006528E9"/>
    <w:rsid w:val="00655F84"/>
    <w:rsid w:val="00660400"/>
    <w:rsid w:val="0066659F"/>
    <w:rsid w:val="006670FD"/>
    <w:rsid w:val="00687623"/>
    <w:rsid w:val="00691A03"/>
    <w:rsid w:val="006A2241"/>
    <w:rsid w:val="006A2D40"/>
    <w:rsid w:val="006B2B1B"/>
    <w:rsid w:val="006B4040"/>
    <w:rsid w:val="006C35B4"/>
    <w:rsid w:val="006D4923"/>
    <w:rsid w:val="006E0BC0"/>
    <w:rsid w:val="0071366D"/>
    <w:rsid w:val="00716A69"/>
    <w:rsid w:val="0072139F"/>
    <w:rsid w:val="00726F48"/>
    <w:rsid w:val="007318F7"/>
    <w:rsid w:val="00740E40"/>
    <w:rsid w:val="007629B4"/>
    <w:rsid w:val="00765D03"/>
    <w:rsid w:val="007667CA"/>
    <w:rsid w:val="00773BEA"/>
    <w:rsid w:val="007820FB"/>
    <w:rsid w:val="00790219"/>
    <w:rsid w:val="007A0DB7"/>
    <w:rsid w:val="007C1429"/>
    <w:rsid w:val="007C441C"/>
    <w:rsid w:val="007C7EED"/>
    <w:rsid w:val="007D78B5"/>
    <w:rsid w:val="007F5A43"/>
    <w:rsid w:val="00802EA5"/>
    <w:rsid w:val="00812C5C"/>
    <w:rsid w:val="0081656D"/>
    <w:rsid w:val="00823ABD"/>
    <w:rsid w:val="00833C6B"/>
    <w:rsid w:val="00835269"/>
    <w:rsid w:val="0085073D"/>
    <w:rsid w:val="0085110C"/>
    <w:rsid w:val="008614C3"/>
    <w:rsid w:val="0086187F"/>
    <w:rsid w:val="0089482F"/>
    <w:rsid w:val="008A2371"/>
    <w:rsid w:val="008B3331"/>
    <w:rsid w:val="008C2F57"/>
    <w:rsid w:val="008C6B6B"/>
    <w:rsid w:val="008D2ED1"/>
    <w:rsid w:val="008E1127"/>
    <w:rsid w:val="008E233E"/>
    <w:rsid w:val="008F355E"/>
    <w:rsid w:val="00905557"/>
    <w:rsid w:val="009067F5"/>
    <w:rsid w:val="00923A29"/>
    <w:rsid w:val="00931C03"/>
    <w:rsid w:val="00933471"/>
    <w:rsid w:val="00935ABC"/>
    <w:rsid w:val="00936294"/>
    <w:rsid w:val="009554D6"/>
    <w:rsid w:val="00963BB4"/>
    <w:rsid w:val="00982C9E"/>
    <w:rsid w:val="009A3A54"/>
    <w:rsid w:val="009C01B0"/>
    <w:rsid w:val="009D2A42"/>
    <w:rsid w:val="009D502A"/>
    <w:rsid w:val="009E132C"/>
    <w:rsid w:val="009E3D0E"/>
    <w:rsid w:val="009E5B84"/>
    <w:rsid w:val="009F09EE"/>
    <w:rsid w:val="009F59C6"/>
    <w:rsid w:val="00A00C74"/>
    <w:rsid w:val="00A026B8"/>
    <w:rsid w:val="00A05388"/>
    <w:rsid w:val="00A05E12"/>
    <w:rsid w:val="00A210E3"/>
    <w:rsid w:val="00A274E3"/>
    <w:rsid w:val="00A34AD0"/>
    <w:rsid w:val="00A3656A"/>
    <w:rsid w:val="00A4481F"/>
    <w:rsid w:val="00A52377"/>
    <w:rsid w:val="00A55173"/>
    <w:rsid w:val="00A61108"/>
    <w:rsid w:val="00A61689"/>
    <w:rsid w:val="00A717B4"/>
    <w:rsid w:val="00A92153"/>
    <w:rsid w:val="00A94834"/>
    <w:rsid w:val="00A95A50"/>
    <w:rsid w:val="00A96D47"/>
    <w:rsid w:val="00A9708B"/>
    <w:rsid w:val="00AA409F"/>
    <w:rsid w:val="00AB405C"/>
    <w:rsid w:val="00AD1730"/>
    <w:rsid w:val="00AE1DD0"/>
    <w:rsid w:val="00AE4621"/>
    <w:rsid w:val="00AE5D20"/>
    <w:rsid w:val="00AF2DCF"/>
    <w:rsid w:val="00AF426C"/>
    <w:rsid w:val="00AF6D37"/>
    <w:rsid w:val="00B00D02"/>
    <w:rsid w:val="00B0183E"/>
    <w:rsid w:val="00B10419"/>
    <w:rsid w:val="00B16D7C"/>
    <w:rsid w:val="00B20CDA"/>
    <w:rsid w:val="00B255D7"/>
    <w:rsid w:val="00B72BE8"/>
    <w:rsid w:val="00B93E37"/>
    <w:rsid w:val="00BA0694"/>
    <w:rsid w:val="00BA38E4"/>
    <w:rsid w:val="00BB00B5"/>
    <w:rsid w:val="00BB56AF"/>
    <w:rsid w:val="00BD661C"/>
    <w:rsid w:val="00BE2D11"/>
    <w:rsid w:val="00BE3061"/>
    <w:rsid w:val="00BE40B8"/>
    <w:rsid w:val="00C04F79"/>
    <w:rsid w:val="00C06BF8"/>
    <w:rsid w:val="00C21301"/>
    <w:rsid w:val="00C53319"/>
    <w:rsid w:val="00C93360"/>
    <w:rsid w:val="00C9779D"/>
    <w:rsid w:val="00CD72F2"/>
    <w:rsid w:val="00CE19AD"/>
    <w:rsid w:val="00CE777E"/>
    <w:rsid w:val="00CF0229"/>
    <w:rsid w:val="00CF239C"/>
    <w:rsid w:val="00CF29B2"/>
    <w:rsid w:val="00D20433"/>
    <w:rsid w:val="00D23256"/>
    <w:rsid w:val="00D27CC7"/>
    <w:rsid w:val="00D40566"/>
    <w:rsid w:val="00D60B38"/>
    <w:rsid w:val="00D716F3"/>
    <w:rsid w:val="00D752D3"/>
    <w:rsid w:val="00D75D6C"/>
    <w:rsid w:val="00D81FF8"/>
    <w:rsid w:val="00D85398"/>
    <w:rsid w:val="00DA1ACA"/>
    <w:rsid w:val="00DA4F0F"/>
    <w:rsid w:val="00DD4B42"/>
    <w:rsid w:val="00E05EFC"/>
    <w:rsid w:val="00E25EC8"/>
    <w:rsid w:val="00E3661B"/>
    <w:rsid w:val="00E40EAE"/>
    <w:rsid w:val="00E5517C"/>
    <w:rsid w:val="00E614B0"/>
    <w:rsid w:val="00E61EE2"/>
    <w:rsid w:val="00E66DA6"/>
    <w:rsid w:val="00E744AA"/>
    <w:rsid w:val="00E74DE7"/>
    <w:rsid w:val="00E75303"/>
    <w:rsid w:val="00E906DB"/>
    <w:rsid w:val="00E96DA2"/>
    <w:rsid w:val="00EB7216"/>
    <w:rsid w:val="00EC25F4"/>
    <w:rsid w:val="00EC5E6E"/>
    <w:rsid w:val="00ED529E"/>
    <w:rsid w:val="00EE0E32"/>
    <w:rsid w:val="00F03CD7"/>
    <w:rsid w:val="00F259D0"/>
    <w:rsid w:val="00F30D9C"/>
    <w:rsid w:val="00F33293"/>
    <w:rsid w:val="00F33833"/>
    <w:rsid w:val="00F402D9"/>
    <w:rsid w:val="00F41068"/>
    <w:rsid w:val="00F43B15"/>
    <w:rsid w:val="00F5205C"/>
    <w:rsid w:val="00F577B9"/>
    <w:rsid w:val="00F639BD"/>
    <w:rsid w:val="00F75BA5"/>
    <w:rsid w:val="00FA5655"/>
    <w:rsid w:val="00FB2DC3"/>
    <w:rsid w:val="00FB5D0E"/>
    <w:rsid w:val="00FC16C9"/>
    <w:rsid w:val="00FC4C5A"/>
    <w:rsid w:val="00FD4A58"/>
    <w:rsid w:val="00FD5FD4"/>
    <w:rsid w:val="00FE168D"/>
    <w:rsid w:val="00FE7C7D"/>
    <w:rsid w:val="00FF6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4D5B"/>
    <w:pPr>
      <w:ind w:left="720"/>
      <w:contextualSpacing/>
    </w:pPr>
  </w:style>
  <w:style w:type="paragraph" w:styleId="FootnoteText">
    <w:name w:val="footnote text"/>
    <w:basedOn w:val="Normal"/>
    <w:link w:val="FootnoteTextChar"/>
    <w:uiPriority w:val="99"/>
    <w:semiHidden/>
    <w:unhideWhenUsed/>
    <w:rsid w:val="00CD72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72F2"/>
    <w:rPr>
      <w:sz w:val="20"/>
      <w:szCs w:val="20"/>
    </w:rPr>
  </w:style>
  <w:style w:type="character" w:styleId="FootnoteReference">
    <w:name w:val="footnote reference"/>
    <w:basedOn w:val="DefaultParagraphFont"/>
    <w:uiPriority w:val="99"/>
    <w:semiHidden/>
    <w:unhideWhenUsed/>
    <w:rsid w:val="00CD72F2"/>
    <w:rPr>
      <w:vertAlign w:val="superscript"/>
    </w:rPr>
  </w:style>
  <w:style w:type="paragraph" w:styleId="Header">
    <w:name w:val="header"/>
    <w:basedOn w:val="Normal"/>
    <w:link w:val="HeaderChar"/>
    <w:uiPriority w:val="99"/>
    <w:unhideWhenUsed/>
    <w:rsid w:val="00A00C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C74"/>
  </w:style>
  <w:style w:type="paragraph" w:styleId="Footer">
    <w:name w:val="footer"/>
    <w:basedOn w:val="Normal"/>
    <w:link w:val="FooterChar"/>
    <w:uiPriority w:val="99"/>
    <w:unhideWhenUsed/>
    <w:rsid w:val="00A00C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C74"/>
  </w:style>
  <w:style w:type="character" w:customStyle="1" w:styleId="p">
    <w:name w:val="p"/>
    <w:basedOn w:val="DefaultParagraphFont"/>
    <w:rsid w:val="001B1BC2"/>
  </w:style>
  <w:style w:type="character" w:customStyle="1" w:styleId="sectno">
    <w:name w:val="sectno"/>
    <w:basedOn w:val="DefaultParagraphFont"/>
    <w:rsid w:val="001B1BC2"/>
  </w:style>
  <w:style w:type="character" w:customStyle="1" w:styleId="apple-converted-space">
    <w:name w:val="apple-converted-space"/>
    <w:basedOn w:val="DefaultParagraphFont"/>
    <w:rsid w:val="001B1BC2"/>
  </w:style>
  <w:style w:type="character" w:customStyle="1" w:styleId="subject">
    <w:name w:val="subject"/>
    <w:basedOn w:val="DefaultParagraphFont"/>
    <w:rsid w:val="001B1BC2"/>
  </w:style>
  <w:style w:type="character" w:styleId="Hyperlink">
    <w:name w:val="Hyperlink"/>
    <w:basedOn w:val="DefaultParagraphFont"/>
    <w:uiPriority w:val="99"/>
    <w:unhideWhenUsed/>
    <w:rsid w:val="00625967"/>
    <w:rPr>
      <w:color w:val="0000FF" w:themeColor="hyperlink"/>
      <w:u w:val="single"/>
    </w:rPr>
  </w:style>
  <w:style w:type="character" w:styleId="FollowedHyperlink">
    <w:name w:val="FollowedHyperlink"/>
    <w:basedOn w:val="DefaultParagraphFont"/>
    <w:uiPriority w:val="99"/>
    <w:semiHidden/>
    <w:unhideWhenUsed/>
    <w:rsid w:val="009C01B0"/>
    <w:rPr>
      <w:color w:val="800080" w:themeColor="followedHyperlink"/>
      <w:u w:val="single"/>
    </w:rPr>
  </w:style>
  <w:style w:type="character" w:styleId="CommentReference">
    <w:name w:val="annotation reference"/>
    <w:basedOn w:val="DefaultParagraphFont"/>
    <w:uiPriority w:val="99"/>
    <w:semiHidden/>
    <w:unhideWhenUsed/>
    <w:rsid w:val="00D60B38"/>
    <w:rPr>
      <w:sz w:val="16"/>
      <w:szCs w:val="16"/>
    </w:rPr>
  </w:style>
  <w:style w:type="paragraph" w:styleId="CommentText">
    <w:name w:val="annotation text"/>
    <w:basedOn w:val="Normal"/>
    <w:link w:val="CommentTextChar"/>
    <w:uiPriority w:val="99"/>
    <w:semiHidden/>
    <w:unhideWhenUsed/>
    <w:rsid w:val="00D60B38"/>
    <w:pPr>
      <w:spacing w:line="240" w:lineRule="auto"/>
    </w:pPr>
    <w:rPr>
      <w:sz w:val="20"/>
      <w:szCs w:val="20"/>
    </w:rPr>
  </w:style>
  <w:style w:type="character" w:customStyle="1" w:styleId="CommentTextChar">
    <w:name w:val="Comment Text Char"/>
    <w:basedOn w:val="DefaultParagraphFont"/>
    <w:link w:val="CommentText"/>
    <w:uiPriority w:val="99"/>
    <w:semiHidden/>
    <w:rsid w:val="00D60B38"/>
    <w:rPr>
      <w:sz w:val="20"/>
      <w:szCs w:val="20"/>
    </w:rPr>
  </w:style>
  <w:style w:type="paragraph" w:styleId="CommentSubject">
    <w:name w:val="annotation subject"/>
    <w:basedOn w:val="CommentText"/>
    <w:next w:val="CommentText"/>
    <w:link w:val="CommentSubjectChar"/>
    <w:uiPriority w:val="99"/>
    <w:semiHidden/>
    <w:unhideWhenUsed/>
    <w:rsid w:val="00D60B38"/>
    <w:rPr>
      <w:b/>
      <w:bCs/>
    </w:rPr>
  </w:style>
  <w:style w:type="character" w:customStyle="1" w:styleId="CommentSubjectChar">
    <w:name w:val="Comment Subject Char"/>
    <w:basedOn w:val="CommentTextChar"/>
    <w:link w:val="CommentSubject"/>
    <w:uiPriority w:val="99"/>
    <w:semiHidden/>
    <w:rsid w:val="00D60B38"/>
    <w:rPr>
      <w:b/>
      <w:bCs/>
      <w:sz w:val="20"/>
      <w:szCs w:val="20"/>
    </w:rPr>
  </w:style>
  <w:style w:type="paragraph" w:styleId="BalloonText">
    <w:name w:val="Balloon Text"/>
    <w:basedOn w:val="Normal"/>
    <w:link w:val="BalloonTextChar"/>
    <w:uiPriority w:val="99"/>
    <w:semiHidden/>
    <w:unhideWhenUsed/>
    <w:rsid w:val="00D60B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B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4D5B"/>
    <w:pPr>
      <w:ind w:left="720"/>
      <w:contextualSpacing/>
    </w:pPr>
  </w:style>
  <w:style w:type="paragraph" w:styleId="FootnoteText">
    <w:name w:val="footnote text"/>
    <w:basedOn w:val="Normal"/>
    <w:link w:val="FootnoteTextChar"/>
    <w:uiPriority w:val="99"/>
    <w:semiHidden/>
    <w:unhideWhenUsed/>
    <w:rsid w:val="00CD72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72F2"/>
    <w:rPr>
      <w:sz w:val="20"/>
      <w:szCs w:val="20"/>
    </w:rPr>
  </w:style>
  <w:style w:type="character" w:styleId="FootnoteReference">
    <w:name w:val="footnote reference"/>
    <w:basedOn w:val="DefaultParagraphFont"/>
    <w:uiPriority w:val="99"/>
    <w:semiHidden/>
    <w:unhideWhenUsed/>
    <w:rsid w:val="00CD72F2"/>
    <w:rPr>
      <w:vertAlign w:val="superscript"/>
    </w:rPr>
  </w:style>
  <w:style w:type="paragraph" w:styleId="Header">
    <w:name w:val="header"/>
    <w:basedOn w:val="Normal"/>
    <w:link w:val="HeaderChar"/>
    <w:uiPriority w:val="99"/>
    <w:unhideWhenUsed/>
    <w:rsid w:val="00A00C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C74"/>
  </w:style>
  <w:style w:type="paragraph" w:styleId="Footer">
    <w:name w:val="footer"/>
    <w:basedOn w:val="Normal"/>
    <w:link w:val="FooterChar"/>
    <w:uiPriority w:val="99"/>
    <w:unhideWhenUsed/>
    <w:rsid w:val="00A00C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C74"/>
  </w:style>
  <w:style w:type="character" w:customStyle="1" w:styleId="p">
    <w:name w:val="p"/>
    <w:basedOn w:val="DefaultParagraphFont"/>
    <w:rsid w:val="001B1BC2"/>
  </w:style>
  <w:style w:type="character" w:customStyle="1" w:styleId="sectno">
    <w:name w:val="sectno"/>
    <w:basedOn w:val="DefaultParagraphFont"/>
    <w:rsid w:val="001B1BC2"/>
  </w:style>
  <w:style w:type="character" w:customStyle="1" w:styleId="apple-converted-space">
    <w:name w:val="apple-converted-space"/>
    <w:basedOn w:val="DefaultParagraphFont"/>
    <w:rsid w:val="001B1BC2"/>
  </w:style>
  <w:style w:type="character" w:customStyle="1" w:styleId="subject">
    <w:name w:val="subject"/>
    <w:basedOn w:val="DefaultParagraphFont"/>
    <w:rsid w:val="001B1BC2"/>
  </w:style>
  <w:style w:type="character" w:styleId="Hyperlink">
    <w:name w:val="Hyperlink"/>
    <w:basedOn w:val="DefaultParagraphFont"/>
    <w:uiPriority w:val="99"/>
    <w:unhideWhenUsed/>
    <w:rsid w:val="00625967"/>
    <w:rPr>
      <w:color w:val="0000FF" w:themeColor="hyperlink"/>
      <w:u w:val="single"/>
    </w:rPr>
  </w:style>
  <w:style w:type="character" w:styleId="FollowedHyperlink">
    <w:name w:val="FollowedHyperlink"/>
    <w:basedOn w:val="DefaultParagraphFont"/>
    <w:uiPriority w:val="99"/>
    <w:semiHidden/>
    <w:unhideWhenUsed/>
    <w:rsid w:val="009C01B0"/>
    <w:rPr>
      <w:color w:val="800080" w:themeColor="followedHyperlink"/>
      <w:u w:val="single"/>
    </w:rPr>
  </w:style>
  <w:style w:type="character" w:styleId="CommentReference">
    <w:name w:val="annotation reference"/>
    <w:basedOn w:val="DefaultParagraphFont"/>
    <w:uiPriority w:val="99"/>
    <w:semiHidden/>
    <w:unhideWhenUsed/>
    <w:rsid w:val="00D60B38"/>
    <w:rPr>
      <w:sz w:val="16"/>
      <w:szCs w:val="16"/>
    </w:rPr>
  </w:style>
  <w:style w:type="paragraph" w:styleId="CommentText">
    <w:name w:val="annotation text"/>
    <w:basedOn w:val="Normal"/>
    <w:link w:val="CommentTextChar"/>
    <w:uiPriority w:val="99"/>
    <w:semiHidden/>
    <w:unhideWhenUsed/>
    <w:rsid w:val="00D60B38"/>
    <w:pPr>
      <w:spacing w:line="240" w:lineRule="auto"/>
    </w:pPr>
    <w:rPr>
      <w:sz w:val="20"/>
      <w:szCs w:val="20"/>
    </w:rPr>
  </w:style>
  <w:style w:type="character" w:customStyle="1" w:styleId="CommentTextChar">
    <w:name w:val="Comment Text Char"/>
    <w:basedOn w:val="DefaultParagraphFont"/>
    <w:link w:val="CommentText"/>
    <w:uiPriority w:val="99"/>
    <w:semiHidden/>
    <w:rsid w:val="00D60B38"/>
    <w:rPr>
      <w:sz w:val="20"/>
      <w:szCs w:val="20"/>
    </w:rPr>
  </w:style>
  <w:style w:type="paragraph" w:styleId="CommentSubject">
    <w:name w:val="annotation subject"/>
    <w:basedOn w:val="CommentText"/>
    <w:next w:val="CommentText"/>
    <w:link w:val="CommentSubjectChar"/>
    <w:uiPriority w:val="99"/>
    <w:semiHidden/>
    <w:unhideWhenUsed/>
    <w:rsid w:val="00D60B38"/>
    <w:rPr>
      <w:b/>
      <w:bCs/>
    </w:rPr>
  </w:style>
  <w:style w:type="character" w:customStyle="1" w:styleId="CommentSubjectChar">
    <w:name w:val="Comment Subject Char"/>
    <w:basedOn w:val="CommentTextChar"/>
    <w:link w:val="CommentSubject"/>
    <w:uiPriority w:val="99"/>
    <w:semiHidden/>
    <w:rsid w:val="00D60B38"/>
    <w:rPr>
      <w:b/>
      <w:bCs/>
      <w:sz w:val="20"/>
      <w:szCs w:val="20"/>
    </w:rPr>
  </w:style>
  <w:style w:type="paragraph" w:styleId="BalloonText">
    <w:name w:val="Balloon Text"/>
    <w:basedOn w:val="Normal"/>
    <w:link w:val="BalloonTextChar"/>
    <w:uiPriority w:val="99"/>
    <w:semiHidden/>
    <w:unhideWhenUsed/>
    <w:rsid w:val="00D60B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B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779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Mode="External" Target="http://www.mass.gov/ago/consumer-resources/consumer-information/home-and-housing/landlord-and-tenant-law/"/>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BA65A-8795-44EC-BA7A-466646AED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1003</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6713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2016-08-10T13:39:00Z</dcterms:created>
  <dc:creator>Brown, Erin (DDS)</dc:creator>
  <lastModifiedBy/>
  <lastPrinted>2016-07-11T13:17:00Z</lastPrinted>
  <dcterms:modified xsi:type="dcterms:W3CDTF">2016-08-10T13:39:00Z</dcterms:modified>
  <revision>2</revision>
</coreProperties>
</file>