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E7" w:rsidRDefault="004159E7" w:rsidP="00CE280D">
      <w:pPr>
        <w:jc w:val="center"/>
        <w:rPr>
          <w:b/>
          <w:sz w:val="28"/>
          <w:szCs w:val="28"/>
          <w:u w:val="single"/>
        </w:rPr>
      </w:pPr>
      <w:r w:rsidRPr="004159E7">
        <w:rPr>
          <w:b/>
          <w:sz w:val="28"/>
          <w:szCs w:val="28"/>
          <w:u w:val="single"/>
        </w:rPr>
        <w:t xml:space="preserve">OPTIONAL Naloxone Program for First Responder Agencies: </w:t>
      </w:r>
      <w:r w:rsidR="003938B5">
        <w:rPr>
          <w:b/>
          <w:sz w:val="28"/>
          <w:szCs w:val="28"/>
          <w:u w:val="single"/>
        </w:rPr>
        <w:t>A How-To</w:t>
      </w:r>
    </w:p>
    <w:p w:rsidR="004159E7" w:rsidRPr="00073AE6" w:rsidRDefault="004159E7" w:rsidP="004159E7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073AE6">
        <w:rPr>
          <w:b/>
          <w:i/>
          <w:u w:val="single"/>
        </w:rPr>
        <w:t>What does a first responder agenc</w:t>
      </w:r>
      <w:r w:rsidR="00CA1BA6">
        <w:rPr>
          <w:b/>
          <w:i/>
          <w:u w:val="single"/>
        </w:rPr>
        <w:t>y need if it chooses to have a n</w:t>
      </w:r>
      <w:r w:rsidRPr="00073AE6">
        <w:rPr>
          <w:b/>
          <w:i/>
          <w:u w:val="single"/>
        </w:rPr>
        <w:t>aloxone program?</w:t>
      </w:r>
    </w:p>
    <w:p w:rsidR="004159E7" w:rsidRPr="00073AE6" w:rsidRDefault="004159E7" w:rsidP="003938B5">
      <w:pPr>
        <w:pStyle w:val="ListParagraph"/>
        <w:numPr>
          <w:ilvl w:val="1"/>
          <w:numId w:val="1"/>
        </w:numPr>
      </w:pPr>
      <w:r w:rsidRPr="00073AE6">
        <w:t>Memorandum of agreement</w:t>
      </w:r>
      <w:r w:rsidR="00E0356D">
        <w:t xml:space="preserve"> (MOA)</w:t>
      </w:r>
      <w:r w:rsidRPr="00073AE6">
        <w:t xml:space="preserve"> for medical oversight</w:t>
      </w:r>
    </w:p>
    <w:p w:rsidR="004159E7" w:rsidRPr="00073AE6" w:rsidRDefault="004159E7" w:rsidP="003938B5">
      <w:pPr>
        <w:pStyle w:val="ListParagraph"/>
        <w:numPr>
          <w:ilvl w:val="1"/>
          <w:numId w:val="1"/>
        </w:numPr>
      </w:pPr>
      <w:r w:rsidRPr="00073AE6">
        <w:t>Training for its first responders, meeting requirements of A/R 2-100</w:t>
      </w:r>
    </w:p>
    <w:p w:rsidR="004159E7" w:rsidRPr="00073AE6" w:rsidRDefault="00686EA7" w:rsidP="003938B5">
      <w:pPr>
        <w:pStyle w:val="ListParagraph"/>
        <w:ind w:left="1170" w:hanging="360"/>
      </w:pPr>
      <w:r>
        <w:t>C</w:t>
      </w:r>
      <w:r w:rsidR="004159E7" w:rsidRPr="00073AE6">
        <w:t xml:space="preserve">. </w:t>
      </w:r>
      <w:r>
        <w:tab/>
      </w:r>
      <w:r w:rsidR="004159E7" w:rsidRPr="00073AE6">
        <w:t>Mass</w:t>
      </w:r>
      <w:r w:rsidR="004C0110">
        <w:t>achusetts</w:t>
      </w:r>
      <w:r w:rsidR="004159E7" w:rsidRPr="00073AE6">
        <w:t xml:space="preserve"> Controlled Substances Registration</w:t>
      </w:r>
    </w:p>
    <w:p w:rsidR="004159E7" w:rsidRPr="00073AE6" w:rsidRDefault="00686EA7" w:rsidP="003938B5">
      <w:pPr>
        <w:pStyle w:val="ListParagraph"/>
        <w:ind w:left="1170" w:hanging="360"/>
      </w:pPr>
      <w:r>
        <w:t>D</w:t>
      </w:r>
      <w:r w:rsidR="004159E7" w:rsidRPr="00073AE6">
        <w:t>.</w:t>
      </w:r>
      <w:r>
        <w:tab/>
      </w:r>
      <w:r w:rsidR="004159E7" w:rsidRPr="00073AE6">
        <w:t xml:space="preserve">Naloxone supply </w:t>
      </w:r>
      <w:r w:rsidR="00E12A80">
        <w:t>(</w:t>
      </w:r>
      <w:r w:rsidR="004159E7" w:rsidRPr="00073AE6">
        <w:t xml:space="preserve">and </w:t>
      </w:r>
      <w:r w:rsidR="00073AE6" w:rsidRPr="00073AE6">
        <w:t xml:space="preserve">atomizer </w:t>
      </w:r>
      <w:r w:rsidR="004159E7" w:rsidRPr="00073AE6">
        <w:t>kit for nasal administration</w:t>
      </w:r>
      <w:r w:rsidR="00E12A80">
        <w:t>; or naloxone auto-injectors)</w:t>
      </w:r>
      <w:r w:rsidR="004159E7" w:rsidRPr="00073AE6">
        <w:t>, in accordance with Statewide Treatment Protocol 2.14 (which provides standing order)</w:t>
      </w:r>
    </w:p>
    <w:p w:rsidR="004159E7" w:rsidRPr="00073AE6" w:rsidRDefault="004159E7" w:rsidP="004159E7">
      <w:pPr>
        <w:pStyle w:val="ListParagraph"/>
        <w:ind w:left="1800" w:hanging="360"/>
      </w:pPr>
    </w:p>
    <w:p w:rsidR="004159E7" w:rsidRPr="00073AE6" w:rsidRDefault="004159E7" w:rsidP="004159E7">
      <w:pPr>
        <w:pStyle w:val="ListParagraph"/>
        <w:numPr>
          <w:ilvl w:val="0"/>
          <w:numId w:val="1"/>
        </w:numPr>
      </w:pPr>
      <w:r w:rsidRPr="00073AE6">
        <w:rPr>
          <w:b/>
          <w:i/>
          <w:u w:val="single"/>
        </w:rPr>
        <w:t xml:space="preserve">Steps to setting up a first responder agency optional </w:t>
      </w:r>
      <w:r w:rsidR="00581183">
        <w:rPr>
          <w:b/>
          <w:i/>
          <w:u w:val="single"/>
        </w:rPr>
        <w:t>n</w:t>
      </w:r>
      <w:r w:rsidRPr="00073AE6">
        <w:rPr>
          <w:b/>
          <w:i/>
          <w:u w:val="single"/>
        </w:rPr>
        <w:t>aloxone program</w:t>
      </w:r>
    </w:p>
    <w:p w:rsidR="00073AE6" w:rsidRDefault="00073AE6" w:rsidP="00073AE6">
      <w:pPr>
        <w:pStyle w:val="ListParagraph"/>
        <w:numPr>
          <w:ilvl w:val="1"/>
          <w:numId w:val="1"/>
        </w:numPr>
      </w:pPr>
      <w:r w:rsidRPr="00686EA7">
        <w:rPr>
          <w:u w:val="single"/>
        </w:rPr>
        <w:t>Memorandum of agreement for medical oversight</w:t>
      </w:r>
      <w:r w:rsidR="00686EA7">
        <w:t xml:space="preserve"> </w:t>
      </w:r>
      <w:r>
        <w:t xml:space="preserve"> </w:t>
      </w:r>
      <w:r w:rsidR="00E0356D">
        <w:t>(see diagram below)</w:t>
      </w:r>
    </w:p>
    <w:p w:rsidR="004159E7" w:rsidRPr="00073AE6" w:rsidRDefault="00E0356D" w:rsidP="00BD5B3B">
      <w:pPr>
        <w:pStyle w:val="ListParagraph"/>
        <w:numPr>
          <w:ilvl w:val="2"/>
          <w:numId w:val="1"/>
        </w:numPr>
        <w:ind w:left="1530" w:hanging="270"/>
      </w:pPr>
      <w:r>
        <w:t xml:space="preserve">If your first responder agency has an MOA </w:t>
      </w:r>
      <w:r w:rsidR="00581183">
        <w:t xml:space="preserve">with a hospital </w:t>
      </w:r>
      <w:r>
        <w:t xml:space="preserve">to carry AEDs or </w:t>
      </w:r>
      <w:proofErr w:type="spellStart"/>
      <w:r>
        <w:t>EpiPens</w:t>
      </w:r>
      <w:proofErr w:type="spellEnd"/>
      <w:r>
        <w:t>, u</w:t>
      </w:r>
      <w:r w:rsidR="004159E7" w:rsidRPr="00073AE6">
        <w:t xml:space="preserve">pdate </w:t>
      </w:r>
      <w:r w:rsidR="00581183" w:rsidRPr="00073AE6">
        <w:t>th</w:t>
      </w:r>
      <w:r w:rsidR="00581183">
        <w:t>at</w:t>
      </w:r>
      <w:r w:rsidR="00581183" w:rsidRPr="00073AE6">
        <w:t xml:space="preserve"> </w:t>
      </w:r>
      <w:r w:rsidR="004159E7" w:rsidRPr="00073AE6">
        <w:t xml:space="preserve">current </w:t>
      </w:r>
      <w:r>
        <w:t>MOA</w:t>
      </w:r>
      <w:r w:rsidR="004159E7" w:rsidRPr="00073AE6">
        <w:t xml:space="preserve"> </w:t>
      </w:r>
      <w:r w:rsidR="00581183">
        <w:t>to include naloxone</w:t>
      </w:r>
      <w:r>
        <w:t>.</w:t>
      </w:r>
    </w:p>
    <w:p w:rsidR="004159E7" w:rsidRPr="00073AE6" w:rsidRDefault="004159E7" w:rsidP="00BD5B3B">
      <w:pPr>
        <w:pStyle w:val="ListParagraph"/>
        <w:numPr>
          <w:ilvl w:val="2"/>
          <w:numId w:val="1"/>
        </w:numPr>
        <w:ind w:left="1530" w:hanging="270"/>
      </w:pPr>
      <w:r w:rsidRPr="00073AE6">
        <w:t xml:space="preserve">If your first responder agency does not have an MOA and carries and uses AEDs and/or </w:t>
      </w:r>
      <w:proofErr w:type="spellStart"/>
      <w:r w:rsidRPr="00073AE6">
        <w:t>EpiPens</w:t>
      </w:r>
      <w:proofErr w:type="spellEnd"/>
      <w:r w:rsidRPr="00073AE6">
        <w:t xml:space="preserve"> please be advised that you must have such an MOA</w:t>
      </w:r>
      <w:r w:rsidR="00CB6C36" w:rsidRPr="00073AE6">
        <w:t xml:space="preserve"> with a hospital</w:t>
      </w:r>
      <w:r w:rsidRPr="00073AE6">
        <w:t xml:space="preserve">, under the </w:t>
      </w:r>
      <w:r w:rsidR="00073AE6" w:rsidRPr="00073AE6">
        <w:t>First Responder Training R</w:t>
      </w:r>
      <w:r w:rsidRPr="00073AE6">
        <w:t xml:space="preserve">egulations, at 105 CMR 171.225 </w:t>
      </w:r>
      <w:r w:rsidR="00CB6C36" w:rsidRPr="00073AE6">
        <w:t>(</w:t>
      </w:r>
      <w:r w:rsidRPr="00073AE6">
        <w:t>AED</w:t>
      </w:r>
      <w:r w:rsidR="00CB6C36" w:rsidRPr="00073AE6">
        <w:t xml:space="preserve">) and 105 CMR 171.225 (EpiPen). See: </w:t>
      </w:r>
      <w:hyperlink r:id="rId6" w:history="1">
        <w:r w:rsidR="00CB6C36" w:rsidRPr="00073AE6">
          <w:rPr>
            <w:rStyle w:val="Hyperlink"/>
          </w:rPr>
          <w:t>http://www.mass.gov/eohhs/docs/dph/regs/105cmr171.pdf</w:t>
        </w:r>
      </w:hyperlink>
      <w:r w:rsidR="00CB6C36" w:rsidRPr="00073AE6">
        <w:t xml:space="preserve">. </w:t>
      </w:r>
    </w:p>
    <w:p w:rsidR="00CB6C36" w:rsidRPr="00073AE6" w:rsidRDefault="00CB6C36" w:rsidP="00BD5B3B">
      <w:pPr>
        <w:pStyle w:val="ListParagraph"/>
        <w:numPr>
          <w:ilvl w:val="2"/>
          <w:numId w:val="1"/>
        </w:numPr>
        <w:ind w:left="1530" w:hanging="270"/>
      </w:pPr>
      <w:r w:rsidRPr="00073AE6">
        <w:t xml:space="preserve">If you are going to now get an MOA with a hospital, to cover your current AED and/or EpiPen program, the Department recommends you have it cover naloxone use as well. To get an MOA with a hospital, approach your local hospital, or your local ambulance service, for assistance. Make sure the hospital knows that the MOA is for a first responder agency, and must address the requirements for such MOAs in the </w:t>
      </w:r>
      <w:r w:rsidR="00073AE6" w:rsidRPr="00073AE6">
        <w:t>First Responder Training regulations, as cited above.</w:t>
      </w:r>
    </w:p>
    <w:p w:rsidR="00073AE6" w:rsidRDefault="00073AE6" w:rsidP="00BD5B3B">
      <w:pPr>
        <w:pStyle w:val="ListParagraph"/>
        <w:numPr>
          <w:ilvl w:val="2"/>
          <w:numId w:val="1"/>
        </w:numPr>
        <w:ind w:left="1530" w:hanging="270"/>
      </w:pPr>
      <w:r w:rsidRPr="00073AE6">
        <w:t xml:space="preserve">If you do not carry AEDs or </w:t>
      </w:r>
      <w:proofErr w:type="spellStart"/>
      <w:r w:rsidRPr="00073AE6">
        <w:t>EpiPens</w:t>
      </w:r>
      <w:proofErr w:type="spellEnd"/>
      <w:r w:rsidRPr="00073AE6">
        <w:t>, and do not have an MOA with a hospital</w:t>
      </w:r>
      <w:r>
        <w:t>:</w:t>
      </w:r>
    </w:p>
    <w:p w:rsidR="00073AE6" w:rsidRPr="00073AE6" w:rsidRDefault="00073AE6" w:rsidP="00BD5B3B">
      <w:pPr>
        <w:pStyle w:val="ListParagraph"/>
        <w:numPr>
          <w:ilvl w:val="3"/>
          <w:numId w:val="1"/>
        </w:numPr>
        <w:ind w:left="1890" w:hanging="270"/>
      </w:pPr>
      <w:r>
        <w:t>T</w:t>
      </w:r>
      <w:r w:rsidRPr="00073AE6">
        <w:t xml:space="preserve">he Department recommends you attempt to obtain an MOA with a hospital for medical oversight of the </w:t>
      </w:r>
      <w:r w:rsidR="00EF6833">
        <w:t>n</w:t>
      </w:r>
      <w:r w:rsidRPr="00073AE6">
        <w:t xml:space="preserve">aloxone program, because it is the most efficient and sustainable way in the long term, for your first responders to get appropriate medical oversight, training and your agency to get </w:t>
      </w:r>
      <w:r w:rsidR="00EF6833">
        <w:t>n</w:t>
      </w:r>
      <w:r w:rsidRPr="00073AE6">
        <w:t>aloxone</w:t>
      </w:r>
      <w:r w:rsidR="00E12A80">
        <w:t xml:space="preserve"> (</w:t>
      </w:r>
      <w:r w:rsidRPr="00073AE6">
        <w:t>and atomizer kit</w:t>
      </w:r>
      <w:r w:rsidR="00E12A80">
        <w:t xml:space="preserve">, as needed) </w:t>
      </w:r>
      <w:r w:rsidRPr="00073AE6">
        <w:t xml:space="preserve">through </w:t>
      </w:r>
      <w:r w:rsidR="00E12A80">
        <w:t xml:space="preserve">the </w:t>
      </w:r>
      <w:r w:rsidRPr="00073AE6">
        <w:t>hospital pharmacy. Follow the recommendations in 2.</w:t>
      </w:r>
      <w:r w:rsidR="00686EA7">
        <w:t xml:space="preserve">A. </w:t>
      </w:r>
      <w:proofErr w:type="gramStart"/>
      <w:r w:rsidR="00686EA7">
        <w:t>iii</w:t>
      </w:r>
      <w:r w:rsidRPr="00073AE6">
        <w:t>.,</w:t>
      </w:r>
      <w:proofErr w:type="gramEnd"/>
      <w:r w:rsidRPr="00073AE6">
        <w:t xml:space="preserve"> above.</w:t>
      </w:r>
    </w:p>
    <w:p w:rsidR="00073AE6" w:rsidRPr="00073AE6" w:rsidRDefault="00073AE6" w:rsidP="00BD5B3B">
      <w:pPr>
        <w:pStyle w:val="ListParagraph"/>
        <w:numPr>
          <w:ilvl w:val="3"/>
          <w:numId w:val="1"/>
        </w:numPr>
        <w:ind w:left="1890" w:hanging="270"/>
      </w:pPr>
      <w:r w:rsidRPr="00073AE6">
        <w:t xml:space="preserve">If you have difficulty obtaining an MOA for medical oversight with a hospital, you have the option, </w:t>
      </w:r>
      <w:r w:rsidR="00E0356D">
        <w:t xml:space="preserve">during this public health emergency, </w:t>
      </w:r>
      <w:r w:rsidRPr="00073AE6">
        <w:t xml:space="preserve">for </w:t>
      </w:r>
      <w:r w:rsidR="00E0356D">
        <w:t>n</w:t>
      </w:r>
      <w:r w:rsidRPr="00073AE6">
        <w:t xml:space="preserve">aloxone only, of obtaining an MOA for oversight with a medical director. </w:t>
      </w:r>
      <w:r w:rsidR="00686EA7">
        <w:t xml:space="preserve">See 105 CMR 171.227. </w:t>
      </w:r>
      <w:r w:rsidRPr="00073AE6">
        <w:t xml:space="preserve">To try this approach, contact your local ambulance service for </w:t>
      </w:r>
      <w:r w:rsidR="00422FA9">
        <w:t xml:space="preserve">a </w:t>
      </w:r>
      <w:r w:rsidRPr="00073AE6">
        <w:t>recommendation of a medical director with experience in EMS or first responder agency oversight.</w:t>
      </w:r>
    </w:p>
    <w:p w:rsidR="00073AE6" w:rsidRDefault="00073AE6" w:rsidP="00BD5B3B">
      <w:pPr>
        <w:pStyle w:val="ListParagraph"/>
        <w:numPr>
          <w:ilvl w:val="3"/>
          <w:numId w:val="1"/>
        </w:numPr>
        <w:ind w:left="1890" w:hanging="270"/>
      </w:pPr>
      <w:r w:rsidRPr="00073AE6">
        <w:t xml:space="preserve">If you have difficulty obtaining an MOA with either a hospital or a medical director, contact the Department, at </w:t>
      </w:r>
      <w:hyperlink r:id="rId7" w:history="1">
        <w:r w:rsidR="00380627" w:rsidRPr="00367C1D">
          <w:rPr>
            <w:rStyle w:val="Hyperlink"/>
          </w:rPr>
          <w:t>sarah.ruiz@state.ma.us</w:t>
        </w:r>
      </w:hyperlink>
      <w:r w:rsidR="00686EA7">
        <w:t>, for</w:t>
      </w:r>
      <w:r>
        <w:t xml:space="preserve"> assist</w:t>
      </w:r>
      <w:r w:rsidR="00686EA7">
        <w:t>ance</w:t>
      </w:r>
      <w:r>
        <w:t xml:space="preserve"> with finding a me</w:t>
      </w:r>
      <w:r w:rsidR="00686EA7">
        <w:t>dical director for your program during the public health emergency.</w:t>
      </w:r>
    </w:p>
    <w:p w:rsidR="00686EA7" w:rsidRPr="00686EA7" w:rsidRDefault="00686EA7" w:rsidP="00BD5B3B">
      <w:pPr>
        <w:tabs>
          <w:tab w:val="left" w:pos="1080"/>
        </w:tabs>
        <w:spacing w:after="0"/>
        <w:ind w:left="1080" w:hanging="270"/>
      </w:pPr>
      <w:r>
        <w:t>B.</w:t>
      </w:r>
      <w:r>
        <w:tab/>
      </w:r>
      <w:r w:rsidRPr="00686EA7">
        <w:rPr>
          <w:u w:val="single"/>
        </w:rPr>
        <w:t>Training for first responders</w:t>
      </w:r>
      <w:r>
        <w:t xml:space="preserve"> – See 105 CMR 171.165</w:t>
      </w:r>
    </w:p>
    <w:p w:rsidR="00686EA7" w:rsidRDefault="00686EA7" w:rsidP="00BD5B3B">
      <w:pPr>
        <w:spacing w:after="0"/>
        <w:ind w:left="1530" w:hanging="450"/>
      </w:pPr>
      <w:proofErr w:type="spellStart"/>
      <w:r>
        <w:t>i</w:t>
      </w:r>
      <w:proofErr w:type="spellEnd"/>
      <w:r>
        <w:t>.</w:t>
      </w:r>
      <w:r w:rsidR="00BD5B3B">
        <w:tab/>
      </w:r>
      <w:r>
        <w:t xml:space="preserve">Training must be approved by your medical director. </w:t>
      </w:r>
    </w:p>
    <w:p w:rsidR="00825586" w:rsidRDefault="00BD5B3B" w:rsidP="00825586">
      <w:pPr>
        <w:ind w:left="1080"/>
        <w:rPr>
          <w:rFonts w:ascii="Arial" w:hAnsi="Arial" w:cs="Arial"/>
          <w:color w:val="000080"/>
          <w:sz w:val="20"/>
          <w:szCs w:val="20"/>
        </w:rPr>
      </w:pPr>
      <w:r>
        <w:t>ii.</w:t>
      </w:r>
      <w:r>
        <w:tab/>
      </w:r>
      <w:r w:rsidR="00686EA7">
        <w:t xml:space="preserve">Training must meet the minimum curriculum requirements of Administrative Requirement 2-100, </w:t>
      </w:r>
      <w:hyperlink r:id="rId8" w:history="1">
        <w:r w:rsidR="00825586">
          <w:rPr>
            <w:rStyle w:val="Hyperlink"/>
            <w:rFonts w:ascii="Arial" w:hAnsi="Arial" w:cs="Arial"/>
            <w:sz w:val="20"/>
            <w:szCs w:val="20"/>
          </w:rPr>
          <w:t>http://www.mass.gov/eohhs/docs/dph/emergency-services/ar/2-100.pdf</w:t>
        </w:r>
      </w:hyperlink>
    </w:p>
    <w:p w:rsidR="00825586" w:rsidRDefault="00825586" w:rsidP="00825586">
      <w:pPr>
        <w:tabs>
          <w:tab w:val="left" w:pos="1080"/>
        </w:tabs>
        <w:spacing w:after="0"/>
      </w:pPr>
      <w:r>
        <w:t xml:space="preserve">               C. </w:t>
      </w:r>
      <w:r>
        <w:tab/>
      </w:r>
      <w:r w:rsidR="00257771" w:rsidRPr="00825586">
        <w:rPr>
          <w:u w:val="single"/>
        </w:rPr>
        <w:t>Massachusetts</w:t>
      </w:r>
      <w:r w:rsidR="00686EA7" w:rsidRPr="00825586">
        <w:rPr>
          <w:u w:val="single"/>
        </w:rPr>
        <w:t xml:space="preserve"> Controlled Substances Registration</w:t>
      </w:r>
      <w:r w:rsidR="00686EA7">
        <w:t xml:space="preserve"> – </w:t>
      </w:r>
      <w:r w:rsidR="004C5D15">
        <w:t>Required under</w:t>
      </w:r>
      <w:r w:rsidR="00686EA7">
        <w:t xml:space="preserve"> 105 CMR 700.003</w:t>
      </w:r>
      <w:r w:rsidR="004C5D15">
        <w:t>(D</w:t>
      </w:r>
      <w:r w:rsidR="008C7322">
        <w:t>)</w:t>
      </w:r>
    </w:p>
    <w:p w:rsidR="004C5D15" w:rsidRDefault="00825586" w:rsidP="00825586">
      <w:pPr>
        <w:tabs>
          <w:tab w:val="left" w:pos="1080"/>
        </w:tabs>
        <w:spacing w:after="0"/>
      </w:pPr>
      <w:r>
        <w:tab/>
      </w:r>
      <w:proofErr w:type="spellStart"/>
      <w:r w:rsidR="001B0DAA">
        <w:t>i</w:t>
      </w:r>
      <w:proofErr w:type="spellEnd"/>
      <w:r w:rsidR="001B0DAA">
        <w:t xml:space="preserve">.           </w:t>
      </w:r>
      <w:r w:rsidR="004C5D15">
        <w:t xml:space="preserve">Print out MCSR form for </w:t>
      </w:r>
      <w:r w:rsidR="008C7322">
        <w:t>n</w:t>
      </w:r>
      <w:r w:rsidR="001B0DAA">
        <w:t>aloxone</w:t>
      </w:r>
      <w:r w:rsidR="004C5D15">
        <w:t xml:space="preserve"> at: </w:t>
      </w:r>
      <w:hyperlink r:id="rId9" w:history="1">
        <w:r w:rsidRPr="00061F2A">
          <w:rPr>
            <w:rStyle w:val="Hyperlink"/>
          </w:rPr>
          <w:t>http://www.mass.gov/eohhs/docs/dph/quality/drugcontrol/naloxone-municipal-and-non-munipal-mcsr.pdf</w:t>
        </w:r>
      </w:hyperlink>
      <w:r>
        <w:t xml:space="preserve"> </w:t>
      </w:r>
      <w:r w:rsidR="001B0DAA">
        <w:t xml:space="preserve">and for Epi-Pen and nerve agent antidotes at: </w:t>
      </w:r>
      <w:r w:rsidRPr="00825586">
        <w:t>http://www.mass.gov/eohhs/docs/dph/quality/drugcontrol/nerve-antidote-epi-</w:t>
      </w:r>
      <w:proofErr w:type="gramStart"/>
      <w:r w:rsidRPr="00825586">
        <w:t>mcsr.pdf</w:t>
      </w:r>
      <w:r>
        <w:t xml:space="preserve"> </w:t>
      </w:r>
      <w:r w:rsidR="001B0DAA">
        <w:t>.</w:t>
      </w:r>
      <w:proofErr w:type="gramEnd"/>
      <w:r w:rsidR="001B0DAA">
        <w:t xml:space="preserve"> </w:t>
      </w:r>
    </w:p>
    <w:p w:rsidR="004C5D15" w:rsidRDefault="004C5D15" w:rsidP="001B0DAA">
      <w:pPr>
        <w:pStyle w:val="ListParagraph"/>
        <w:numPr>
          <w:ilvl w:val="0"/>
          <w:numId w:val="8"/>
        </w:numPr>
        <w:tabs>
          <w:tab w:val="left" w:pos="1080"/>
        </w:tabs>
      </w:pPr>
      <w:r>
        <w:t xml:space="preserve">Complete and send in with fee, if fee is applicable. During the pendency of the public health emergency, if a municipality is registering ONLY for naloxone – that is, your first responder agency does NOT carry nerve agents or </w:t>
      </w:r>
      <w:proofErr w:type="spellStart"/>
      <w:r>
        <w:t>EpiPens</w:t>
      </w:r>
      <w:proofErr w:type="spellEnd"/>
      <w:r>
        <w:t xml:space="preserve"> – the fee is waived. But if the application is to obtain a DCP registration for more than naloxone, as required by 105 CMR 700.003(D), the fee is still applicable.</w:t>
      </w:r>
    </w:p>
    <w:p w:rsidR="004C5D15" w:rsidRPr="004C5D15" w:rsidRDefault="004C5D15" w:rsidP="00407746">
      <w:pPr>
        <w:pStyle w:val="ListParagraph"/>
        <w:tabs>
          <w:tab w:val="left" w:pos="1080"/>
        </w:tabs>
        <w:ind w:left="1620"/>
      </w:pPr>
    </w:p>
    <w:p w:rsidR="004C5D15" w:rsidRPr="004C5D15" w:rsidRDefault="004C5D15" w:rsidP="00825586">
      <w:pPr>
        <w:pStyle w:val="ListParagraph"/>
        <w:numPr>
          <w:ilvl w:val="0"/>
          <w:numId w:val="9"/>
        </w:numPr>
        <w:tabs>
          <w:tab w:val="left" w:pos="1080"/>
        </w:tabs>
      </w:pPr>
      <w:r w:rsidRPr="001B0DAA">
        <w:rPr>
          <w:u w:val="single"/>
        </w:rPr>
        <w:lastRenderedPageBreak/>
        <w:t>Naloxone Supply</w:t>
      </w:r>
      <w:r w:rsidR="001B0DAA">
        <w:rPr>
          <w:u w:val="single"/>
        </w:rPr>
        <w:t>,</w:t>
      </w:r>
      <w:r w:rsidRPr="001B0DAA">
        <w:rPr>
          <w:u w:val="single"/>
        </w:rPr>
        <w:t xml:space="preserve"> per Statewide Treatment Protocol 2.14</w:t>
      </w:r>
    </w:p>
    <w:p w:rsidR="008C7322" w:rsidRDefault="001B0DAA" w:rsidP="001B0DAA">
      <w:pPr>
        <w:ind w:left="1260"/>
      </w:pPr>
      <w:proofErr w:type="spellStart"/>
      <w:r>
        <w:t>i</w:t>
      </w:r>
      <w:proofErr w:type="spellEnd"/>
      <w:r>
        <w:t xml:space="preserve">.        </w:t>
      </w:r>
      <w:r w:rsidR="004C5D15">
        <w:t xml:space="preserve">If you have an MOA with a hospital, your first responder agency obtains your supply of </w:t>
      </w:r>
      <w:r w:rsidR="00581183">
        <w:t>n</w:t>
      </w:r>
      <w:r w:rsidR="004C5D15">
        <w:t xml:space="preserve">aloxone and </w:t>
      </w:r>
      <w:r>
        <w:t xml:space="preserve">   </w:t>
      </w:r>
      <w:r w:rsidR="004C5D15">
        <w:t>atomizer kit from the hospital’s pharmacy.</w:t>
      </w:r>
    </w:p>
    <w:p w:rsidR="004C5D15" w:rsidRDefault="001B0DAA" w:rsidP="001B0DAA">
      <w:pPr>
        <w:ind w:left="1260"/>
      </w:pPr>
      <w:r>
        <w:t xml:space="preserve">ii.        </w:t>
      </w:r>
      <w:r w:rsidR="004C5D15">
        <w:t>If you have an MOA with a medical director, follow his</w:t>
      </w:r>
      <w:r w:rsidR="00422FA9">
        <w:t xml:space="preserve"> or her</w:t>
      </w:r>
      <w:r w:rsidR="004C5D15">
        <w:t xml:space="preserve"> instructions on which pharmacy to access for </w:t>
      </w:r>
      <w:r w:rsidR="003938B5">
        <w:t xml:space="preserve">    </w:t>
      </w:r>
      <w:r w:rsidR="004C5D15">
        <w:t xml:space="preserve">obtaining your supply of </w:t>
      </w:r>
      <w:r w:rsidR="00581183">
        <w:t>n</w:t>
      </w:r>
      <w:r w:rsidR="004C5D15">
        <w:t>aloxone</w:t>
      </w:r>
      <w:r w:rsidR="008C7322">
        <w:t xml:space="preserve"> (</w:t>
      </w:r>
      <w:r w:rsidR="004C5D15">
        <w:t>and atomizer kit</w:t>
      </w:r>
      <w:r w:rsidR="008C7322">
        <w:t>, if using nasal naloxone</w:t>
      </w:r>
      <w:r w:rsidR="004C5D15">
        <w:t>.</w:t>
      </w:r>
    </w:p>
    <w:p w:rsidR="00622793" w:rsidRDefault="001B0DAA" w:rsidP="001B0DAA">
      <w:pPr>
        <w:tabs>
          <w:tab w:val="left" w:pos="2970"/>
        </w:tabs>
        <w:ind w:left="1260"/>
      </w:pPr>
      <w:r>
        <w:t xml:space="preserve">iii. </w:t>
      </w:r>
      <w:r w:rsidR="00622793">
        <w:t xml:space="preserve">First responders are authorized to administer </w:t>
      </w:r>
      <w:r w:rsidR="00581183">
        <w:t>n</w:t>
      </w:r>
      <w:r w:rsidR="00622793">
        <w:t xml:space="preserve">aloxone as a standing order, under Statewide Treatment Protocol 2.14. See: </w:t>
      </w:r>
      <w:hyperlink r:id="rId10" w:history="1">
        <w:r w:rsidR="00825586" w:rsidRPr="00061F2A">
          <w:rPr>
            <w:rStyle w:val="Hyperlink"/>
          </w:rPr>
          <w:t>http://www.mass.gov/eohhs/docs/dph/emergency-services/treatment-protocols-12-03-2-14-poisioning-substance-abuse.pdf</w:t>
        </w:r>
      </w:hyperlink>
      <w:r w:rsidR="00825586">
        <w:t xml:space="preserve"> </w:t>
      </w:r>
      <w:bookmarkStart w:id="0" w:name="_GoBack"/>
      <w:bookmarkEnd w:id="0"/>
      <w:r w:rsidR="003938B5">
        <w:t xml:space="preserve">.  </w:t>
      </w:r>
      <w:r w:rsidR="00622793">
        <w:t xml:space="preserve">There is no need for </w:t>
      </w:r>
      <w:r w:rsidR="00422FA9">
        <w:t xml:space="preserve">a </w:t>
      </w:r>
      <w:r w:rsidR="00622793">
        <w:t>separate medical order from a physician.</w:t>
      </w:r>
    </w:p>
    <w:p w:rsidR="00686EA7" w:rsidRPr="00686EA7" w:rsidRDefault="00686EA7" w:rsidP="00686EA7">
      <w:pPr>
        <w:tabs>
          <w:tab w:val="left" w:pos="1080"/>
        </w:tabs>
      </w:pPr>
      <w:r>
        <w:tab/>
      </w:r>
      <w:r w:rsidR="00FE6D94">
        <w:object w:dxaOrig="10874" w:dyaOrig="12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18.25pt" o:ole="">
            <v:imagedata r:id="rId11" o:title=""/>
          </v:shape>
          <o:OLEObject Type="Embed" ProgID="Visio.Drawing.11" ShapeID="_x0000_i1025" DrawAspect="Content" ObjectID="_1500445687" r:id="rId12"/>
        </w:object>
      </w:r>
      <w:r>
        <w:tab/>
        <w:t xml:space="preserve"> </w:t>
      </w:r>
    </w:p>
    <w:p w:rsidR="004159E7" w:rsidRPr="00E0356D" w:rsidRDefault="00686EA7" w:rsidP="008C7322">
      <w:pPr>
        <w:tabs>
          <w:tab w:val="left" w:pos="1080"/>
        </w:tabs>
        <w:rPr>
          <w:b/>
          <w:i/>
          <w:sz w:val="24"/>
          <w:szCs w:val="24"/>
          <w:u w:val="single"/>
        </w:rPr>
      </w:pPr>
      <w:r>
        <w:tab/>
      </w:r>
      <w:r w:rsidR="00FE6D94">
        <w:t xml:space="preserve">Department contact email: </w:t>
      </w:r>
      <w:hyperlink r:id="rId13" w:history="1">
        <w:r w:rsidR="00393AA9" w:rsidRPr="00367C1D">
          <w:rPr>
            <w:rStyle w:val="Hyperlink"/>
          </w:rPr>
          <w:t>sarah.ruiz@state.ma.us</w:t>
        </w:r>
      </w:hyperlink>
      <w:r w:rsidR="00FE6D94">
        <w:t xml:space="preserve"> </w:t>
      </w:r>
    </w:p>
    <w:sectPr w:rsidR="004159E7" w:rsidRPr="00E0356D" w:rsidSect="00CE280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52E"/>
    <w:multiLevelType w:val="hybridMultilevel"/>
    <w:tmpl w:val="F4BC77EA"/>
    <w:lvl w:ilvl="0" w:tplc="2E8AB114">
      <w:start w:val="3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B432D"/>
    <w:multiLevelType w:val="hybridMultilevel"/>
    <w:tmpl w:val="BC14CE5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D985234"/>
    <w:multiLevelType w:val="hybridMultilevel"/>
    <w:tmpl w:val="C310F4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9F4C75"/>
    <w:multiLevelType w:val="hybridMultilevel"/>
    <w:tmpl w:val="A41C3E8E"/>
    <w:lvl w:ilvl="0" w:tplc="D286DC72">
      <w:start w:val="3"/>
      <w:numFmt w:val="upperLetter"/>
      <w:lvlText w:val="%1."/>
      <w:lvlJc w:val="left"/>
      <w:pPr>
        <w:ind w:left="144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6802E2"/>
    <w:multiLevelType w:val="hybridMultilevel"/>
    <w:tmpl w:val="55E6BB2C"/>
    <w:lvl w:ilvl="0" w:tplc="BEA66F9C">
      <w:start w:val="2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54324436"/>
    <w:multiLevelType w:val="hybridMultilevel"/>
    <w:tmpl w:val="F70AC250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6E549B"/>
    <w:multiLevelType w:val="hybridMultilevel"/>
    <w:tmpl w:val="CECE4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66C780">
      <w:start w:val="1"/>
      <w:numFmt w:val="upperLetter"/>
      <w:lvlText w:val="%2.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E34F0"/>
    <w:multiLevelType w:val="hybridMultilevel"/>
    <w:tmpl w:val="490CA38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777282"/>
    <w:multiLevelType w:val="hybridMultilevel"/>
    <w:tmpl w:val="8F36B24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E7"/>
    <w:rsid w:val="00031863"/>
    <w:rsid w:val="00073AE6"/>
    <w:rsid w:val="00101388"/>
    <w:rsid w:val="001B0DAA"/>
    <w:rsid w:val="00257771"/>
    <w:rsid w:val="00363552"/>
    <w:rsid w:val="00380627"/>
    <w:rsid w:val="003938B5"/>
    <w:rsid w:val="00393AA9"/>
    <w:rsid w:val="00397349"/>
    <w:rsid w:val="00407746"/>
    <w:rsid w:val="004159E7"/>
    <w:rsid w:val="00422FA9"/>
    <w:rsid w:val="00466714"/>
    <w:rsid w:val="004C0110"/>
    <w:rsid w:val="004C5D15"/>
    <w:rsid w:val="004E6D18"/>
    <w:rsid w:val="00537652"/>
    <w:rsid w:val="005402C7"/>
    <w:rsid w:val="00581183"/>
    <w:rsid w:val="00622793"/>
    <w:rsid w:val="00686EA7"/>
    <w:rsid w:val="00775000"/>
    <w:rsid w:val="007F5D91"/>
    <w:rsid w:val="00825586"/>
    <w:rsid w:val="00851A90"/>
    <w:rsid w:val="008C7322"/>
    <w:rsid w:val="008E37EE"/>
    <w:rsid w:val="008F5565"/>
    <w:rsid w:val="009A1FBC"/>
    <w:rsid w:val="00A2218E"/>
    <w:rsid w:val="00A86A20"/>
    <w:rsid w:val="00AE2B6D"/>
    <w:rsid w:val="00AE7E8C"/>
    <w:rsid w:val="00BD5B3B"/>
    <w:rsid w:val="00CA1BA6"/>
    <w:rsid w:val="00CB6C36"/>
    <w:rsid w:val="00CE280D"/>
    <w:rsid w:val="00D91027"/>
    <w:rsid w:val="00DF3597"/>
    <w:rsid w:val="00E0356D"/>
    <w:rsid w:val="00E12A80"/>
    <w:rsid w:val="00E140EF"/>
    <w:rsid w:val="00E57CBA"/>
    <w:rsid w:val="00EF6833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C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6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255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C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6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255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mass.gov/eohhs/docs/dph/emergency-services/treatment-protocols-12-03-2-14-poisioning-substance-abuse.pdf"/>
  <Relationship Id="rId11" Type="http://schemas.openxmlformats.org/officeDocument/2006/relationships/image" Target="media/image1.emf"/>
  <Relationship Id="rId12" Type="http://schemas.openxmlformats.org/officeDocument/2006/relationships/oleObject" Target="embeddings/oleObject1.bin"/>
  <Relationship Id="rId13" Type="http://schemas.openxmlformats.org/officeDocument/2006/relationships/hyperlink" TargetMode="External" Target="mailto:sarah.ruiz@state.ma.us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eohhs/docs/dph/regs/105cmr171.pdf"/>
  <Relationship Id="rId7" Type="http://schemas.openxmlformats.org/officeDocument/2006/relationships/hyperlink" TargetMode="External" Target="mailto:sarah.ruiz@state.ma.us"/>
  <Relationship Id="rId8" Type="http://schemas.openxmlformats.org/officeDocument/2006/relationships/hyperlink" TargetMode="External" Target="http://www.mass.gov/eohhs/docs/dph/emergency-services/ar/2-100.pdf"/>
  <Relationship Id="rId9" Type="http://schemas.openxmlformats.org/officeDocument/2006/relationships/hyperlink" TargetMode="External" Target="http://www.mass.gov/eohhs/docs/dph/quality/drugcontrol/naloxone-municipal-and-non-munipal-mcsr.pd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2015-05-18T14:55:00Z</dcterms:created>
  <dc:creator>Cameron, Silva (DPH)</dc:creator>
  <lastModifiedBy/>
  <lastPrinted>2015-05-18T14:48:00Z</lastPrinted>
  <dcterms:modified xsi:type="dcterms:W3CDTF">2015-08-07T13:42:00Z</dcterms:modified>
  <revision>3</revision>
</coreProperties>
</file>