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D1E" w14:textId="58C8F94A" w:rsidR="00B825A5" w:rsidRPr="00E17457" w:rsidRDefault="00AA2CAE" w:rsidP="00E17457">
      <w:pPr>
        <w:pStyle w:val="Title"/>
        <w:spacing w:before="100" w:beforeAutospacing="1" w:after="100" w:afterAutospacing="1"/>
        <w:rPr>
          <w:rFonts w:asciiTheme="minorHAnsi" w:hAnsiTheme="minorHAnsi" w:cstheme="minorHAnsi"/>
          <w:color w:val="242424"/>
          <w:w w:val="95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Guidelines for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HCV</w:t>
      </w:r>
      <w:r w:rsidR="00DF0BF2" w:rsidRPr="00E17457">
        <w:rPr>
          <w:rFonts w:asciiTheme="minorHAnsi" w:hAnsiTheme="minorHAnsi" w:cstheme="minorHAnsi"/>
          <w:color w:val="242424"/>
          <w:spacing w:val="3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Screening</w:t>
      </w:r>
      <w:r w:rsidR="00DF0BF2" w:rsidRPr="00E17457">
        <w:rPr>
          <w:rFonts w:asciiTheme="minorHAnsi" w:hAnsiTheme="minorHAnsi" w:cstheme="minorHAnsi"/>
          <w:color w:val="242424"/>
          <w:spacing w:val="5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and</w:t>
      </w:r>
      <w:r w:rsidR="00DF0BF2" w:rsidRPr="00E17457">
        <w:rPr>
          <w:rFonts w:asciiTheme="minorHAnsi" w:hAnsiTheme="minorHAnsi" w:cstheme="minorHAnsi"/>
          <w:color w:val="242424"/>
          <w:spacing w:val="-10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Treatment</w:t>
      </w:r>
      <w:r w:rsidR="00DF0BF2" w:rsidRPr="00E17457">
        <w:rPr>
          <w:rFonts w:asciiTheme="minorHAnsi" w:hAnsiTheme="minorHAnsi" w:cstheme="minorHAnsi"/>
          <w:color w:val="242424"/>
          <w:spacing w:val="18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in</w:t>
      </w:r>
      <w:r w:rsidR="00DF0BF2" w:rsidRPr="00E17457">
        <w:rPr>
          <w:rFonts w:asciiTheme="minorHAnsi" w:hAnsiTheme="minorHAnsi" w:cstheme="minorHAnsi"/>
          <w:color w:val="242424"/>
          <w:spacing w:val="-9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Primary</w:t>
      </w:r>
      <w:r w:rsidR="00DF0BF2" w:rsidRPr="00E17457">
        <w:rPr>
          <w:rFonts w:asciiTheme="minorHAnsi" w:hAnsiTheme="minorHAnsi" w:cstheme="minorHAnsi"/>
          <w:color w:val="242424"/>
          <w:spacing w:val="2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Care</w:t>
      </w:r>
      <w:r w:rsidR="00DF0BF2" w:rsidRPr="00E17457">
        <w:rPr>
          <w:rFonts w:asciiTheme="minorHAnsi" w:hAnsiTheme="minorHAnsi" w:cstheme="minorHAnsi"/>
          <w:color w:val="242424"/>
          <w:spacing w:val="-4"/>
          <w:w w:val="95"/>
          <w:sz w:val="24"/>
          <w:szCs w:val="24"/>
        </w:rPr>
        <w:t xml:space="preserve"> </w:t>
      </w:r>
    </w:p>
    <w:p w14:paraId="4DD1204C" w14:textId="057B3556" w:rsidR="00165832" w:rsidRPr="00E17457" w:rsidRDefault="00165832" w:rsidP="00E17457">
      <w:pPr>
        <w:pStyle w:val="Title"/>
        <w:spacing w:before="100" w:beforeAutospacing="1" w:after="100" w:afterAutospacing="1"/>
        <w:rPr>
          <w:rFonts w:asciiTheme="minorHAnsi" w:hAnsiTheme="minorHAnsi" w:cstheme="minorHAnsi"/>
          <w:color w:val="242424"/>
          <w:w w:val="95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Adapted from C</w:t>
      </w:r>
      <w:r w:rsidR="00946CB5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ommunity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H</w:t>
      </w:r>
      <w:r w:rsidR="00946CB5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ealth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C</w:t>
      </w:r>
      <w:r w:rsidR="00946CB5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enter of Franklin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C</w:t>
      </w:r>
      <w:r w:rsidR="00946CB5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ounty</w:t>
      </w:r>
    </w:p>
    <w:p w14:paraId="63491F73" w14:textId="1EB6F256" w:rsidR="00B825A5" w:rsidRPr="00E17457" w:rsidRDefault="00417CE3" w:rsidP="00E17457">
      <w:pPr>
        <w:pStyle w:val="Heading1"/>
        <w:spacing w:before="100" w:beforeAutospacing="1" w:after="100" w:afterAutospacing="1"/>
        <w:ind w:left="1088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0"/>
          <w:sz w:val="24"/>
          <w:szCs w:val="24"/>
        </w:rPr>
        <w:t xml:space="preserve">Section 1: </w:t>
      </w:r>
      <w:r w:rsidR="00F538B0" w:rsidRPr="00E17457">
        <w:rPr>
          <w:rFonts w:asciiTheme="minorHAnsi" w:hAnsiTheme="minorHAnsi" w:cstheme="minorHAnsi"/>
          <w:color w:val="242424"/>
          <w:w w:val="90"/>
          <w:sz w:val="24"/>
          <w:szCs w:val="24"/>
        </w:rPr>
        <w:t>Screening</w:t>
      </w:r>
    </w:p>
    <w:p w14:paraId="3F6B05CF" w14:textId="591F5D31" w:rsidR="00BF0AEB" w:rsidRPr="00E17457" w:rsidRDefault="00BF0AEB" w:rsidP="656F8C4A">
      <w:pPr>
        <w:pStyle w:val="BodyText"/>
        <w:spacing w:before="100" w:beforeAutospacing="1" w:after="100" w:afterAutospacing="1"/>
        <w:ind w:left="140"/>
        <w:rPr>
          <w:rFonts w:asciiTheme="minorHAnsi" w:hAnsiTheme="minorHAnsi" w:cstheme="minorBidi"/>
          <w:color w:val="242424"/>
          <w:w w:val="105"/>
          <w:sz w:val="24"/>
          <w:szCs w:val="24"/>
        </w:rPr>
      </w:pPr>
      <w:r w:rsidRPr="656F8C4A">
        <w:rPr>
          <w:rFonts w:asciiTheme="minorHAnsi" w:hAnsiTheme="minorHAnsi" w:cstheme="minorBidi"/>
          <w:color w:val="242424"/>
          <w:w w:val="105"/>
          <w:sz w:val="24"/>
          <w:szCs w:val="24"/>
          <w:u w:val="single"/>
        </w:rPr>
        <w:t xml:space="preserve">All </w:t>
      </w:r>
      <w:r w:rsidR="00E37D05" w:rsidRPr="656F8C4A">
        <w:rPr>
          <w:rFonts w:asciiTheme="minorHAnsi" w:hAnsiTheme="minorHAnsi" w:cstheme="minorBidi"/>
          <w:color w:val="242424"/>
          <w:w w:val="105"/>
          <w:sz w:val="24"/>
          <w:szCs w:val="24"/>
          <w:u w:val="single"/>
        </w:rPr>
        <w:t>persons aged 18+</w:t>
      </w:r>
      <w:r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 xml:space="preserve"> should be screened </w:t>
      </w:r>
      <w:r w:rsidR="004C05B7"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 xml:space="preserve">once </w:t>
      </w:r>
      <w:r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>for HCV</w:t>
      </w:r>
      <w:r w:rsidR="00E37D05"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 xml:space="preserve">, and </w:t>
      </w:r>
      <w:r w:rsidR="00E37D05" w:rsidRPr="656F8C4A">
        <w:rPr>
          <w:rFonts w:asciiTheme="minorHAnsi" w:hAnsiTheme="minorHAnsi" w:cstheme="minorBidi"/>
          <w:color w:val="242424"/>
          <w:w w:val="105"/>
          <w:sz w:val="24"/>
          <w:szCs w:val="24"/>
          <w:u w:val="single"/>
        </w:rPr>
        <w:t>all pregnant women</w:t>
      </w:r>
      <w:r w:rsidR="00E37D05"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 xml:space="preserve"> should be screened each pregnancy </w:t>
      </w:r>
      <w:r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>(</w:t>
      </w:r>
      <w:r w:rsidR="570A5321"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 xml:space="preserve">in settings </w:t>
      </w:r>
      <w:r w:rsidR="00E37D05" w:rsidRPr="656F8C4A">
        <w:rPr>
          <w:rFonts w:asciiTheme="minorHAnsi" w:hAnsiTheme="minorHAnsi" w:cstheme="minorBidi"/>
          <w:color w:val="242424"/>
          <w:w w:val="105"/>
          <w:sz w:val="24"/>
          <w:szCs w:val="24"/>
        </w:rPr>
        <w:t>where HCV prevalence is &gt; 0.1%; CDC, USPSTF).</w:t>
      </w:r>
    </w:p>
    <w:p w14:paraId="7DA4B542" w14:textId="58520440" w:rsidR="00B825A5" w:rsidRPr="00E17457" w:rsidRDefault="004C05B7" w:rsidP="00E17457">
      <w:pPr>
        <w:pStyle w:val="BodyText"/>
        <w:spacing w:before="100" w:beforeAutospacing="1" w:after="100" w:afterAutospacing="1"/>
        <w:ind w:left="140" w:firstLine="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  <w:u w:val="single"/>
        </w:rPr>
        <w:t>A</w:t>
      </w:r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  <w:u w:val="single"/>
        </w:rPr>
        <w:t>t-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  <w:u w:val="single"/>
        </w:rPr>
        <w:t>risk persons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can be screened more often depending on risk:  IV or intranasal drug use;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transactional sex, sex with IVDU, MSM or anal receptive sex;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clotting factors prior to 1987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or transfusion or organ transplant before 1992; hemophiliacs and persons on hemodialysis;</w:t>
      </w:r>
      <w:r w:rsidR="00DF0BF2" w:rsidRPr="00E17457">
        <w:rPr>
          <w:rFonts w:asciiTheme="minorHAnsi" w:hAnsiTheme="minorHAnsi" w:cstheme="minorHAnsi"/>
          <w:color w:val="242424"/>
          <w:spacing w:val="1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persistent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ly</w:t>
      </w:r>
      <w:r w:rsidR="00DF0BF2" w:rsidRPr="00E17457">
        <w:rPr>
          <w:rFonts w:asciiTheme="minorHAnsi" w:hAnsiTheme="minorHAnsi" w:cstheme="minorHAnsi"/>
          <w:color w:val="242424"/>
          <w:spacing w:val="12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abnormal</w:t>
      </w:r>
      <w:r w:rsidR="00DF0BF2" w:rsidRPr="00E17457">
        <w:rPr>
          <w:rFonts w:asciiTheme="minorHAnsi" w:hAnsiTheme="minorHAnsi" w:cstheme="minorHAnsi"/>
          <w:color w:val="242424"/>
          <w:spacing w:val="6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ALT</w:t>
      </w:r>
      <w:r w:rsidR="00DF0BF2" w:rsidRPr="00E17457">
        <w:rPr>
          <w:rFonts w:asciiTheme="minorHAnsi" w:hAnsiTheme="minorHAnsi" w:cstheme="minorHAnsi"/>
          <w:color w:val="242424"/>
          <w:spacing w:val="-15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levels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;</w:t>
      </w:r>
      <w:r w:rsidR="00DF0BF2" w:rsidRPr="00E17457">
        <w:rPr>
          <w:rFonts w:asciiTheme="minorHAnsi" w:hAnsiTheme="minorHAnsi" w:cstheme="minorHAnsi"/>
          <w:color w:val="242424"/>
          <w:spacing w:val="-10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needle</w:t>
      </w:r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stick</w:t>
      </w:r>
      <w:r w:rsidR="00DF0BF2" w:rsidRPr="00E17457">
        <w:rPr>
          <w:rFonts w:asciiTheme="minorHAnsi" w:hAnsiTheme="minorHAnsi" w:cstheme="minorHAnsi"/>
          <w:color w:val="242424"/>
          <w:spacing w:val="1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exposure;</w:t>
      </w:r>
      <w:r w:rsidR="00DF0BF2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 children of HCV positive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women; persons with HIV; history of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incarceration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or </w:t>
      </w:r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unregulated</w:t>
      </w:r>
      <w:r w:rsidR="00DF0BF2" w:rsidRPr="00E17457">
        <w:rPr>
          <w:rFonts w:asciiTheme="minorHAnsi" w:hAnsiTheme="minorHAnsi" w:cstheme="minorHAnsi"/>
          <w:color w:val="242424"/>
          <w:spacing w:val="-18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tattoos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.</w:t>
      </w:r>
    </w:p>
    <w:p w14:paraId="6BFA9AC7" w14:textId="06255C85" w:rsidR="00E37D05" w:rsidRPr="00E17457" w:rsidRDefault="00E37D05" w:rsidP="00E17457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00" w:beforeAutospacing="1" w:after="100" w:afterAutospacing="1"/>
        <w:ind w:right="361" w:hanging="355"/>
        <w:rPr>
          <w:rFonts w:asciiTheme="minorHAnsi" w:hAnsiTheme="minorHAnsi" w:cstheme="minorHAnsi"/>
          <w:color w:val="242424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Routine testing is best done with reflex testing (antibody-&gt;RNA viral load-&gt;genotype)</w:t>
      </w:r>
    </w:p>
    <w:p w14:paraId="2038C99A" w14:textId="35D283A7" w:rsidR="00B825A5" w:rsidRPr="00E17457" w:rsidRDefault="00E37D05" w:rsidP="00E17457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100" w:beforeAutospacing="1" w:after="100" w:afterAutospacing="1"/>
        <w:ind w:right="361" w:hanging="355"/>
        <w:rPr>
          <w:rFonts w:asciiTheme="minorHAnsi" w:hAnsiTheme="minorHAnsi" w:cstheme="minorHAnsi"/>
          <w:color w:val="242424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For post-exposure testing 2-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12</w:t>
      </w:r>
      <w:r w:rsidR="00DF0BF2" w:rsidRPr="00E17457">
        <w:rPr>
          <w:rFonts w:asciiTheme="minorHAnsi" w:hAnsiTheme="minorHAnsi" w:cstheme="minorHAnsi"/>
          <w:color w:val="242424"/>
          <w:spacing w:val="-3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weeks</w:t>
      </w:r>
      <w:r w:rsidR="00DF0BF2" w:rsidRPr="00E17457">
        <w:rPr>
          <w:rFonts w:asciiTheme="minorHAnsi" w:hAnsiTheme="minorHAnsi" w:cstheme="minorHAnsi"/>
          <w:color w:val="242424"/>
          <w:spacing w:val="-2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after</w:t>
      </w:r>
      <w:r w:rsidR="00DF0BF2" w:rsidRPr="00E17457">
        <w:rPr>
          <w:rFonts w:asciiTheme="minorHAnsi" w:hAnsiTheme="minorHAnsi" w:cstheme="minorHAnsi"/>
          <w:color w:val="242424"/>
          <w:spacing w:val="-5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exposure</w:t>
      </w:r>
      <w:r w:rsidRPr="00E17457">
        <w:rPr>
          <w:rFonts w:asciiTheme="minorHAnsi" w:hAnsiTheme="minorHAnsi" w:cstheme="minorHAnsi"/>
          <w:color w:val="242424"/>
          <w:spacing w:val="5"/>
          <w:w w:val="105"/>
          <w:sz w:val="24"/>
          <w:szCs w:val="24"/>
        </w:rPr>
        <w:t>, order RNA viral load instead, as HCV Ab seroconversion does not occur until 8-12 weeks.</w:t>
      </w:r>
    </w:p>
    <w:p w14:paraId="45F8C6E4" w14:textId="77777777" w:rsidR="00E37D05" w:rsidRPr="00E17457" w:rsidRDefault="00DF0BF2" w:rsidP="00E17457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00" w:beforeAutospacing="1" w:after="100" w:afterAutospacing="1"/>
        <w:ind w:left="847" w:right="410" w:hanging="354"/>
        <w:rPr>
          <w:rFonts w:asciiTheme="minorHAnsi" w:hAnsiTheme="minorHAnsi" w:cstheme="minorHAnsi"/>
          <w:color w:val="242424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HCV</w:t>
      </w:r>
      <w:r w:rsidRPr="00E17457">
        <w:rPr>
          <w:rFonts w:asciiTheme="minorHAnsi" w:hAnsiTheme="minorHAnsi" w:cstheme="minorHAnsi"/>
          <w:color w:val="242424"/>
          <w:spacing w:val="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Ab</w:t>
      </w:r>
      <w:r w:rsidRPr="00E17457">
        <w:rPr>
          <w:rFonts w:asciiTheme="minorHAnsi" w:hAnsiTheme="minorHAnsi" w:cstheme="minorHAnsi"/>
          <w:color w:val="242424"/>
          <w:spacing w:val="7"/>
          <w:w w:val="105"/>
          <w:sz w:val="24"/>
          <w:szCs w:val="24"/>
        </w:rPr>
        <w:t xml:space="preserve"> </w:t>
      </w:r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remains positive for life after exposure, whether chronically infected, self-cleared or cured with medication, so in the latter two cases, subsequent screening must be done using RNA viral load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.</w:t>
      </w:r>
    </w:p>
    <w:p w14:paraId="5A68E20A" w14:textId="3ECE628A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53"/>
          <w:tab w:val="left" w:pos="854"/>
        </w:tabs>
        <w:spacing w:before="100" w:beforeAutospacing="1" w:after="100" w:afterAutospacing="1"/>
        <w:ind w:left="847" w:right="410" w:hanging="354"/>
        <w:rPr>
          <w:rFonts w:asciiTheme="minorHAnsi" w:hAnsiTheme="minorHAnsi" w:cstheme="minorHAnsi"/>
          <w:color w:val="242424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Screening</w:t>
      </w:r>
      <w:r w:rsidRPr="00E17457">
        <w:rPr>
          <w:rFonts w:asciiTheme="minorHAnsi" w:hAnsiTheme="minorHAnsi" w:cstheme="minorHAnsi"/>
          <w:color w:val="242424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should</w:t>
      </w:r>
      <w:r w:rsidRPr="00E17457">
        <w:rPr>
          <w:rFonts w:asciiTheme="minorHAnsi" w:hAnsiTheme="minorHAnsi" w:cstheme="minorHAnsi"/>
          <w:color w:val="242424"/>
          <w:spacing w:val="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be</w:t>
      </w:r>
      <w:r w:rsidRPr="00E17457">
        <w:rPr>
          <w:rFonts w:asciiTheme="minorHAnsi" w:hAnsiTheme="minorHAnsi" w:cstheme="minorHAnsi"/>
          <w:color w:val="242424"/>
          <w:spacing w:val="-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performed</w:t>
      </w:r>
      <w:r w:rsidRPr="00E17457">
        <w:rPr>
          <w:rFonts w:asciiTheme="minorHAnsi" w:hAnsiTheme="minorHAnsi" w:cstheme="minorHAnsi"/>
          <w:color w:val="242424"/>
          <w:spacing w:val="8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at least</w:t>
      </w:r>
      <w:r w:rsidRPr="00E17457">
        <w:rPr>
          <w:rFonts w:asciiTheme="minorHAnsi" w:hAnsiTheme="minorHAnsi" w:cstheme="minorHAnsi"/>
          <w:color w:val="242424"/>
          <w:spacing w:val="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annually</w:t>
      </w:r>
      <w:r w:rsidRPr="00E17457">
        <w:rPr>
          <w:rFonts w:asciiTheme="minorHAnsi" w:hAnsiTheme="minorHAnsi" w:cstheme="minorHAnsi"/>
          <w:color w:val="242424"/>
          <w:spacing w:val="1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for</w:t>
      </w:r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continued</w:t>
      </w:r>
      <w:r w:rsidRPr="00E17457">
        <w:rPr>
          <w:rFonts w:asciiTheme="minorHAnsi" w:hAnsiTheme="minorHAnsi" w:cstheme="minorHAnsi"/>
          <w:color w:val="242424"/>
          <w:spacing w:val="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high</w:t>
      </w:r>
      <w:r w:rsidRPr="00E17457">
        <w:rPr>
          <w:rFonts w:asciiTheme="minorHAnsi" w:hAnsiTheme="minorHAnsi" w:cstheme="minorHAnsi"/>
          <w:color w:val="242424"/>
          <w:spacing w:val="-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risk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 </w:t>
      </w:r>
      <w:proofErr w:type="gramStart"/>
      <w:r w:rsidR="00E37D05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behaviors</w:t>
      </w:r>
      <w:r w:rsidR="00F538B0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, and</w:t>
      </w:r>
      <w:proofErr w:type="gramEnd"/>
      <w:r w:rsidR="00F538B0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can be done as often as every three months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.</w:t>
      </w:r>
    </w:p>
    <w:p w14:paraId="1BB8A3DF" w14:textId="78CC4FF2" w:rsidR="00B825A5" w:rsidRPr="00E17457" w:rsidRDefault="00417CE3" w:rsidP="00E17457">
      <w:pPr>
        <w:pStyle w:val="Heading1"/>
        <w:spacing w:before="100" w:beforeAutospacing="1" w:after="100" w:afterAutospacing="1"/>
        <w:ind w:left="1063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Section 2: </w:t>
      </w:r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Follow Up</w:t>
      </w:r>
      <w:r w:rsidR="00DF0BF2" w:rsidRPr="00E17457">
        <w:rPr>
          <w:rFonts w:asciiTheme="minorHAnsi" w:hAnsiTheme="minorHAnsi" w:cstheme="minorHAnsi"/>
          <w:color w:val="242424"/>
          <w:spacing w:val="-6"/>
          <w:w w:val="95"/>
          <w:sz w:val="24"/>
          <w:szCs w:val="24"/>
        </w:rPr>
        <w:t xml:space="preserve"> </w:t>
      </w:r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Testing</w:t>
      </w:r>
    </w:p>
    <w:p w14:paraId="051C28A7" w14:textId="4E709573" w:rsidR="00B825A5" w:rsidRPr="00E17457" w:rsidRDefault="00E37D05" w:rsidP="00E17457">
      <w:pPr>
        <w:pStyle w:val="ListParagraph"/>
        <w:numPr>
          <w:ilvl w:val="0"/>
          <w:numId w:val="1"/>
        </w:numPr>
        <w:tabs>
          <w:tab w:val="left" w:pos="850"/>
        </w:tabs>
        <w:spacing w:before="100" w:beforeAutospacing="1" w:after="100" w:afterAutospacing="1"/>
        <w:ind w:right="292" w:hanging="365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If reflex testing is not available and </w:t>
      </w:r>
      <w:r w:rsidR="00F538B0" w:rsidRPr="00E17457">
        <w:rPr>
          <w:rFonts w:asciiTheme="minorHAnsi" w:hAnsiTheme="minorHAnsi" w:cstheme="minorHAnsi"/>
          <w:color w:val="242424"/>
          <w:sz w:val="24"/>
          <w:szCs w:val="24"/>
        </w:rPr>
        <w:t>the patient screens positive for HCV Ab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>, order a</w:t>
      </w:r>
      <w:r w:rsidR="00FC3940" w:rsidRPr="00E17457">
        <w:rPr>
          <w:rFonts w:asciiTheme="minorHAnsi" w:hAnsiTheme="minorHAnsi" w:cstheme="minorHAnsi"/>
          <w:color w:val="242424"/>
          <w:sz w:val="24"/>
          <w:szCs w:val="24"/>
        </w:rPr>
        <w:t>n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 H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CV</w:t>
      </w:r>
      <w:r w:rsidR="00DF0BF2" w:rsidRPr="00E17457">
        <w:rPr>
          <w:rFonts w:asciiTheme="minorHAnsi" w:hAnsiTheme="minorHAnsi" w:cstheme="minorHAnsi"/>
          <w:color w:val="242424"/>
          <w:spacing w:val="6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RNA</w:t>
      </w:r>
      <w:r w:rsidR="00DF0BF2" w:rsidRPr="00E17457">
        <w:rPr>
          <w:rFonts w:asciiTheme="minorHAnsi" w:hAnsiTheme="minorHAnsi" w:cstheme="minorHAnsi"/>
          <w:color w:val="242424"/>
          <w:spacing w:val="13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>viral load; if negative</w:t>
      </w:r>
      <w:r w:rsidR="00FC3940" w:rsidRPr="00E17457">
        <w:rPr>
          <w:rFonts w:asciiTheme="minorHAnsi" w:hAnsiTheme="minorHAnsi" w:cstheme="minorHAnsi"/>
          <w:color w:val="242424"/>
          <w:sz w:val="24"/>
          <w:szCs w:val="24"/>
        </w:rPr>
        <w:t>,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 </w:t>
      </w:r>
      <w:r w:rsidR="004966E9" w:rsidRPr="00E17457">
        <w:rPr>
          <w:rFonts w:asciiTheme="minorHAnsi" w:hAnsiTheme="minorHAnsi" w:cstheme="minorHAnsi"/>
          <w:color w:val="242424"/>
          <w:sz w:val="24"/>
          <w:szCs w:val="24"/>
        </w:rPr>
        <w:t>this indicates either cleared infection</w:t>
      </w:r>
      <w:r w:rsidR="00FC3940" w:rsidRPr="00E17457">
        <w:rPr>
          <w:rFonts w:asciiTheme="minorHAnsi" w:hAnsiTheme="minorHAnsi" w:cstheme="minorHAnsi"/>
          <w:color w:val="242424"/>
          <w:sz w:val="24"/>
          <w:szCs w:val="24"/>
        </w:rPr>
        <w:t>, prior treatment,</w:t>
      </w:r>
      <w:r w:rsidR="004966E9"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 or (less commonly) a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false</w:t>
      </w:r>
      <w:r w:rsidR="00DF0BF2" w:rsidRPr="00E17457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positive</w:t>
      </w:r>
      <w:r w:rsidR="00DF0BF2" w:rsidRPr="00E17457">
        <w:rPr>
          <w:rFonts w:asciiTheme="minorHAnsi" w:hAnsiTheme="minorHAnsi" w:cstheme="minorHAnsi"/>
          <w:color w:val="242424"/>
          <w:spacing w:val="2"/>
          <w:sz w:val="24"/>
          <w:szCs w:val="24"/>
        </w:rPr>
        <w:t xml:space="preserve"> </w:t>
      </w:r>
      <w:r w:rsidR="00F538B0" w:rsidRPr="00E17457">
        <w:rPr>
          <w:rFonts w:asciiTheme="minorHAnsi" w:hAnsiTheme="minorHAnsi" w:cstheme="minorHAnsi"/>
          <w:color w:val="242424"/>
          <w:sz w:val="24"/>
          <w:szCs w:val="24"/>
        </w:rPr>
        <w:t>HCV</w:t>
      </w:r>
      <w:r w:rsidR="00DF0BF2" w:rsidRPr="00E17457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Ab.</w:t>
      </w:r>
      <w:r w:rsidR="00DF0BF2" w:rsidRPr="00E17457">
        <w:rPr>
          <w:rFonts w:asciiTheme="minorHAnsi" w:hAnsiTheme="minorHAnsi" w:cstheme="minorHAnsi"/>
          <w:color w:val="242424"/>
          <w:spacing w:val="10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Consider</w:t>
      </w:r>
      <w:r w:rsidR="00DF0BF2" w:rsidRPr="00E17457">
        <w:rPr>
          <w:rFonts w:asciiTheme="minorHAnsi" w:hAnsiTheme="minorHAnsi" w:cstheme="minorHAnsi"/>
          <w:color w:val="242424"/>
          <w:spacing w:val="18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retesting</w:t>
      </w:r>
      <w:r w:rsidR="00DF0BF2" w:rsidRPr="00E17457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in</w:t>
      </w:r>
      <w:r w:rsidR="00DF0BF2" w:rsidRPr="00E17457">
        <w:rPr>
          <w:rFonts w:asciiTheme="minorHAnsi" w:hAnsiTheme="minorHAnsi" w:cstheme="minorHAnsi"/>
          <w:color w:val="242424"/>
          <w:spacing w:val="8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4-6</w:t>
      </w:r>
      <w:r w:rsidR="00DF0BF2" w:rsidRPr="00E17457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months</w:t>
      </w:r>
      <w:r w:rsidR="004966E9"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 depending on level of risk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.</w:t>
      </w:r>
    </w:p>
    <w:p w14:paraId="24A6DFCD" w14:textId="3F6CD622" w:rsidR="00B825A5" w:rsidRPr="00E17457" w:rsidRDefault="004966E9" w:rsidP="00E17457">
      <w:pPr>
        <w:pStyle w:val="ListParagraph"/>
        <w:numPr>
          <w:ilvl w:val="1"/>
          <w:numId w:val="1"/>
        </w:numPr>
        <w:tabs>
          <w:tab w:val="left" w:pos="903"/>
          <w:tab w:val="left" w:pos="904"/>
        </w:tabs>
        <w:spacing w:before="100" w:beforeAutospacing="1" w:after="100" w:afterAutospacing="1"/>
        <w:ind w:right="392" w:hanging="35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If HCV RNA viral load is positive, order HCV genotype (if not already done via reflex),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CBC, LFTs, 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BMP,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HIV, HAV IgG, HBV </w:t>
      </w:r>
      <w:proofErr w:type="spellStart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cAb</w:t>
      </w:r>
      <w:proofErr w:type="spellEnd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/</w:t>
      </w:r>
      <w:proofErr w:type="spellStart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sAb</w:t>
      </w:r>
      <w:proofErr w:type="spellEnd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/</w:t>
      </w:r>
      <w:proofErr w:type="spellStart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sAg</w:t>
      </w:r>
      <w:proofErr w:type="spellEnd"/>
      <w:r w:rsidR="00076F4A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, </w:t>
      </w:r>
      <w:proofErr w:type="gramStart"/>
      <w:r w:rsidR="00076F4A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INR</w:t>
      </w:r>
      <w:proofErr w:type="gramEnd"/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and urine HCG if </w:t>
      </w:r>
      <w:r w:rsidR="00F538B0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of </w:t>
      </w:r>
      <w:r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childbearing potential</w:t>
      </w:r>
      <w:r w:rsidR="00DF0BF2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>.</w:t>
      </w:r>
      <w:r w:rsidR="00076F4A" w:rsidRPr="00E17457">
        <w:rPr>
          <w:rFonts w:asciiTheme="minorHAnsi" w:hAnsiTheme="minorHAnsi" w:cstheme="minorHAnsi"/>
          <w:color w:val="242424"/>
          <w:w w:val="105"/>
          <w:sz w:val="24"/>
          <w:szCs w:val="24"/>
        </w:rPr>
        <w:t xml:space="preserve">  Calculate Child-Pugh class (A=5-6, B=7-8, C=9+)</w:t>
      </w:r>
    </w:p>
    <w:p w14:paraId="30E477F1" w14:textId="743CE038" w:rsidR="00B825A5" w:rsidRPr="00E17457" w:rsidRDefault="00DF0BF2" w:rsidP="00E17457">
      <w:pPr>
        <w:pStyle w:val="ListParagraph"/>
        <w:numPr>
          <w:ilvl w:val="1"/>
          <w:numId w:val="1"/>
        </w:numPr>
        <w:tabs>
          <w:tab w:val="left" w:pos="1556"/>
        </w:tabs>
        <w:spacing w:before="100" w:beforeAutospacing="1" w:after="100" w:afterAutospacing="1"/>
        <w:ind w:right="145" w:hanging="358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b/>
          <w:i/>
          <w:color w:val="242424"/>
          <w:sz w:val="24"/>
          <w:szCs w:val="24"/>
        </w:rPr>
        <w:t xml:space="preserve">Acute Hepatitis C 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>(first</w:t>
      </w:r>
      <w:r w:rsidRPr="00E17457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>6 months of infection)</w:t>
      </w:r>
      <w:r w:rsidR="00F538B0" w:rsidRPr="00E17457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: prior guidance recommended waiting to see if patient will self-clear.  More recently, from a public health standpoint of reducing HCV transmission, patients should now be offered treatment whenever diagnosed, regardless of sobriety, when they are ready and able to engage in treatment.  </w:t>
      </w:r>
    </w:p>
    <w:p w14:paraId="6AD65870" w14:textId="77777777" w:rsidR="00F538B0" w:rsidRPr="00E17457" w:rsidRDefault="00DF0BF2" w:rsidP="00E17457">
      <w:pPr>
        <w:pStyle w:val="ListParagraph"/>
        <w:numPr>
          <w:ilvl w:val="1"/>
          <w:numId w:val="1"/>
        </w:numPr>
        <w:tabs>
          <w:tab w:val="left" w:pos="1554"/>
        </w:tabs>
        <w:spacing w:before="100" w:beforeAutospacing="1" w:after="100" w:afterAutospacing="1"/>
        <w:ind w:left="1555" w:right="20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b/>
          <w:i/>
          <w:color w:val="242424"/>
          <w:w w:val="95"/>
          <w:sz w:val="24"/>
          <w:szCs w:val="24"/>
        </w:rPr>
        <w:t>Chronic</w:t>
      </w:r>
      <w:r w:rsidRPr="00E17457">
        <w:rPr>
          <w:rFonts w:asciiTheme="minorHAnsi" w:hAnsiTheme="minorHAnsi" w:cstheme="minorHAnsi"/>
          <w:b/>
          <w:i/>
          <w:color w:val="242424"/>
          <w:spacing w:val="-10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b/>
          <w:i/>
          <w:color w:val="242424"/>
          <w:w w:val="95"/>
          <w:sz w:val="24"/>
          <w:szCs w:val="24"/>
        </w:rPr>
        <w:t>Hepatitis</w:t>
      </w:r>
      <w:r w:rsidRPr="00E17457">
        <w:rPr>
          <w:rFonts w:asciiTheme="minorHAnsi" w:hAnsiTheme="minorHAnsi" w:cstheme="minorHAnsi"/>
          <w:b/>
          <w:i/>
          <w:color w:val="242424"/>
          <w:spacing w:val="14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b/>
          <w:i/>
          <w:color w:val="242424"/>
          <w:w w:val="95"/>
          <w:sz w:val="24"/>
          <w:szCs w:val="24"/>
        </w:rPr>
        <w:t>C</w:t>
      </w:r>
      <w:r w:rsidRPr="00E17457">
        <w:rPr>
          <w:rFonts w:asciiTheme="minorHAnsi" w:hAnsiTheme="minorHAnsi" w:cstheme="minorHAnsi"/>
          <w:b/>
          <w:i/>
          <w:color w:val="242424"/>
          <w:spacing w:val="5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(infection</w:t>
      </w:r>
      <w:r w:rsidRPr="00E17457">
        <w:rPr>
          <w:rFonts w:asciiTheme="minorHAnsi" w:hAnsiTheme="minorHAnsi" w:cstheme="minorHAnsi"/>
          <w:color w:val="242424"/>
          <w:spacing w:val="27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&gt;</w:t>
      </w:r>
      <w:r w:rsidRPr="00E17457">
        <w:rPr>
          <w:rFonts w:asciiTheme="minorHAnsi" w:hAnsiTheme="minorHAnsi" w:cstheme="minorHAnsi"/>
          <w:color w:val="242424"/>
          <w:spacing w:val="6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6</w:t>
      </w:r>
      <w:r w:rsidRPr="00E17457">
        <w:rPr>
          <w:rFonts w:asciiTheme="minorHAnsi" w:hAnsiTheme="minorHAnsi" w:cstheme="minorHAnsi"/>
          <w:color w:val="242424"/>
          <w:spacing w:val="6"/>
          <w:w w:val="95"/>
          <w:sz w:val="24"/>
          <w:szCs w:val="24"/>
        </w:rPr>
        <w:t xml:space="preserve"> </w:t>
      </w:r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months):  calculate FIB-4 using AST, ALT, </w:t>
      </w:r>
      <w:proofErr w:type="gramStart"/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platelets</w:t>
      </w:r>
      <w:proofErr w:type="gramEnd"/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and age.  </w:t>
      </w:r>
    </w:p>
    <w:p w14:paraId="5BA08EB8" w14:textId="582478D2" w:rsidR="00076F4A" w:rsidRPr="00E17457" w:rsidRDefault="00F538B0" w:rsidP="00E17457">
      <w:pPr>
        <w:pStyle w:val="ListParagraph"/>
        <w:numPr>
          <w:ilvl w:val="2"/>
          <w:numId w:val="1"/>
        </w:numPr>
        <w:tabs>
          <w:tab w:val="left" w:pos="1554"/>
        </w:tabs>
        <w:spacing w:before="100" w:beforeAutospacing="1" w:after="100" w:afterAutospacing="1"/>
        <w:ind w:right="201"/>
        <w:jc w:val="left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F0 or F1</w:t>
      </w:r>
      <w:r w:rsidR="00076F4A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(&lt;1.45)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:  </w:t>
      </w:r>
      <w:r w:rsidR="00076F4A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FIB-4 reliable, 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no further fibrosis testing is </w:t>
      </w:r>
      <w:proofErr w:type="gramStart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needed</w:t>
      </w:r>
      <w:proofErr w:type="gramEnd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and the patient needs no HCC screening pre- or post-treatment.  </w:t>
      </w:r>
    </w:p>
    <w:p w14:paraId="4C7582C2" w14:textId="785859ED" w:rsidR="00076F4A" w:rsidRPr="00E17457" w:rsidRDefault="00076F4A" w:rsidP="00E17457">
      <w:pPr>
        <w:pStyle w:val="ListParagraph"/>
        <w:numPr>
          <w:ilvl w:val="2"/>
          <w:numId w:val="1"/>
        </w:numPr>
        <w:tabs>
          <w:tab w:val="left" w:pos="1554"/>
        </w:tabs>
        <w:spacing w:before="100" w:beforeAutospacing="1" w:after="100" w:afterAutospacing="1"/>
        <w:ind w:right="201"/>
        <w:jc w:val="left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lastRenderedPageBreak/>
        <w:t>F2 or F3 (1.45-3.25): FIB-4 less reliable, so obtain</w:t>
      </w:r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transient elastography (</w:t>
      </w:r>
      <w:proofErr w:type="spellStart"/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Fibroscan</w:t>
      </w:r>
      <w:proofErr w:type="spellEnd"/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) to determine fibrosis stage, as stage 3 or higher warrants HCC screening before and after treatment (lifelong</w:t>
      </w: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q6mo US</w:t>
      </w:r>
      <w:r w:rsidR="00F538B0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).  </w:t>
      </w:r>
    </w:p>
    <w:p w14:paraId="1667B38D" w14:textId="0F1C5DE4" w:rsidR="00B825A5" w:rsidRPr="00E17457" w:rsidRDefault="00076F4A" w:rsidP="00E17457">
      <w:pPr>
        <w:pStyle w:val="ListParagraph"/>
        <w:numPr>
          <w:ilvl w:val="2"/>
          <w:numId w:val="1"/>
        </w:numPr>
        <w:tabs>
          <w:tab w:val="left" w:pos="1554"/>
        </w:tabs>
        <w:spacing w:before="100" w:beforeAutospacing="1" w:after="100" w:afterAutospacing="1"/>
        <w:ind w:right="201"/>
        <w:jc w:val="left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F4 (&gt;3.25) or clinical evidence of cirrhosis:  FIB-4 is reliable, no </w:t>
      </w:r>
      <w:proofErr w:type="spellStart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Fibroscan</w:t>
      </w:r>
      <w:proofErr w:type="spellEnd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needed, need HCC screening with q6mo US (</w:t>
      </w:r>
      <w:proofErr w:type="spellStart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lifeltime</w:t>
      </w:r>
      <w:proofErr w:type="spellEnd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).  Risks for advanced fibrosis </w:t>
      </w:r>
      <w:proofErr w:type="gramStart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include:</w:t>
      </w:r>
      <w:proofErr w:type="gramEnd"/>
      <w:r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 xml:space="preserve"> alcohol a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buse,</w:t>
      </w:r>
      <w:r w:rsidR="00DF0BF2" w:rsidRPr="00E17457">
        <w:rPr>
          <w:rFonts w:asciiTheme="minorHAnsi" w:hAnsiTheme="minorHAnsi" w:cstheme="minorHAnsi"/>
          <w:color w:val="242424"/>
          <w:spacing w:val="21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age</w:t>
      </w:r>
      <w:r w:rsidR="00DF0BF2" w:rsidRPr="00E17457">
        <w:rPr>
          <w:rFonts w:asciiTheme="minorHAnsi" w:hAnsiTheme="minorHAnsi" w:cstheme="minorHAnsi"/>
          <w:color w:val="242424"/>
          <w:spacing w:val="25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&gt;</w:t>
      </w:r>
      <w:r w:rsidR="00DF0BF2" w:rsidRPr="00E17457">
        <w:rPr>
          <w:rFonts w:asciiTheme="minorHAnsi" w:hAnsiTheme="minorHAnsi" w:cstheme="minorHAnsi"/>
          <w:color w:val="242424"/>
          <w:spacing w:val="31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40,</w:t>
      </w:r>
      <w:r w:rsidR="00DF0BF2" w:rsidRPr="00E17457">
        <w:rPr>
          <w:rFonts w:asciiTheme="minorHAnsi" w:hAnsiTheme="minorHAnsi" w:cstheme="minorHAnsi"/>
          <w:color w:val="242424"/>
          <w:spacing w:val="-1"/>
          <w:w w:val="9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w w:val="95"/>
          <w:sz w:val="24"/>
          <w:szCs w:val="24"/>
        </w:rPr>
        <w:t>male</w:t>
      </w:r>
      <w:r w:rsidRPr="00E17457">
        <w:rPr>
          <w:rFonts w:asciiTheme="minorHAnsi" w:hAnsiTheme="minorHAnsi" w:cstheme="minorHAnsi"/>
          <w:color w:val="242424"/>
          <w:spacing w:val="1"/>
          <w:w w:val="95"/>
          <w:sz w:val="24"/>
          <w:szCs w:val="24"/>
        </w:rPr>
        <w:t xml:space="preserve"> sex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,</w:t>
      </w:r>
      <w:r w:rsidR="00DF0BF2" w:rsidRPr="00E17457">
        <w:rPr>
          <w:rFonts w:asciiTheme="minorHAnsi" w:hAnsiTheme="minorHAnsi" w:cstheme="minorHAnsi"/>
          <w:color w:val="242424"/>
          <w:spacing w:val="6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coinfection</w:t>
      </w:r>
      <w:r w:rsidR="00DF0BF2" w:rsidRPr="00E17457">
        <w:rPr>
          <w:rFonts w:asciiTheme="minorHAnsi" w:hAnsiTheme="minorHAnsi" w:cstheme="minorHAnsi"/>
          <w:color w:val="242424"/>
          <w:spacing w:val="17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with</w:t>
      </w:r>
      <w:r w:rsidR="00DF0BF2" w:rsidRPr="00E17457">
        <w:rPr>
          <w:rFonts w:asciiTheme="minorHAnsi" w:hAnsiTheme="minorHAnsi" w:cstheme="minorHAnsi"/>
          <w:color w:val="242424"/>
          <w:spacing w:val="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>HBV or</w:t>
      </w:r>
      <w:r w:rsidR="00DF0BF2" w:rsidRPr="00E17457">
        <w:rPr>
          <w:rFonts w:asciiTheme="minorHAnsi" w:hAnsiTheme="minorHAnsi" w:cstheme="minorHAnsi"/>
          <w:color w:val="242424"/>
          <w:spacing w:val="2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HIV,</w:t>
      </w:r>
      <w:r w:rsidR="00DF0BF2" w:rsidRPr="00E17457">
        <w:rPr>
          <w:rFonts w:asciiTheme="minorHAnsi" w:hAnsiTheme="minorHAnsi" w:cstheme="minorHAnsi"/>
          <w:color w:val="242424"/>
          <w:spacing w:val="-2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NASH</w:t>
      </w:r>
      <w:r w:rsidR="00DF0BF2" w:rsidRPr="00E17457">
        <w:rPr>
          <w:rFonts w:asciiTheme="minorHAnsi" w:hAnsiTheme="minorHAnsi" w:cstheme="minorHAnsi"/>
          <w:color w:val="242424"/>
          <w:spacing w:val="1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42424"/>
          <w:sz w:val="24"/>
          <w:szCs w:val="24"/>
        </w:rPr>
        <w:t xml:space="preserve">and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organ transplant</w:t>
      </w:r>
      <w:r w:rsidR="00DF0BF2" w:rsidRPr="00E17457">
        <w:rPr>
          <w:rFonts w:asciiTheme="minorHAnsi" w:hAnsiTheme="minorHAnsi" w:cstheme="minorHAnsi"/>
          <w:color w:val="242424"/>
          <w:spacing w:val="21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42424"/>
          <w:sz w:val="24"/>
          <w:szCs w:val="24"/>
        </w:rPr>
        <w:t>patients.</w:t>
      </w:r>
    </w:p>
    <w:p w14:paraId="723CFAF0" w14:textId="616FBD0E" w:rsidR="00076F4A" w:rsidRPr="00E17457" w:rsidRDefault="00076F4A" w:rsidP="00E17457">
      <w:pPr>
        <w:pStyle w:val="ListParagraph"/>
        <w:numPr>
          <w:ilvl w:val="2"/>
          <w:numId w:val="1"/>
        </w:numPr>
        <w:tabs>
          <w:tab w:val="left" w:pos="2278"/>
        </w:tabs>
        <w:spacing w:before="100" w:beforeAutospacing="1" w:after="100" w:afterAutospacing="1"/>
        <w:ind w:left="2280" w:right="714" w:hanging="353"/>
        <w:jc w:val="left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Primary care clinicians can treat the vast majority of uncomplicated, Child-Pugh Class A patients, and </w:t>
      </w:r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some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 Class B patients with no history of hepatic decompensation.  </w:t>
      </w:r>
    </w:p>
    <w:p w14:paraId="3989A8C1" w14:textId="77777777" w:rsidR="008C2C3F" w:rsidRPr="00E17457" w:rsidRDefault="00076F4A" w:rsidP="00E17457">
      <w:pPr>
        <w:pStyle w:val="ListParagraph"/>
        <w:numPr>
          <w:ilvl w:val="2"/>
          <w:numId w:val="1"/>
        </w:numPr>
        <w:tabs>
          <w:tab w:val="left" w:pos="2278"/>
        </w:tabs>
        <w:spacing w:before="100" w:beforeAutospacing="1" w:after="100" w:afterAutospacing="1"/>
        <w:ind w:left="2280" w:right="1026" w:hanging="353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Patients with cirrhosis or Child-Pugh Class C </w:t>
      </w:r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disease, particularly t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hose with any history of </w:t>
      </w:r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hepatic 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decompensation (</w:t>
      </w:r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such as with ascites, esophageal varices, </w:t>
      </w:r>
      <w:proofErr w:type="gramStart"/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coagulopathy</w:t>
      </w:r>
      <w:proofErr w:type="gramEnd"/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 or </w:t>
      </w:r>
      <w:r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 xml:space="preserve">encephalopathy) </w:t>
      </w:r>
      <w:r w:rsidR="008C2C3F" w:rsidRPr="00E17457">
        <w:rPr>
          <w:rFonts w:asciiTheme="minorHAnsi" w:hAnsiTheme="minorHAnsi" w:cstheme="minorHAnsi"/>
          <w:color w:val="242424"/>
          <w:spacing w:val="-1"/>
          <w:w w:val="105"/>
          <w:sz w:val="24"/>
          <w:szCs w:val="24"/>
        </w:rPr>
        <w:t>should be referred to Hepatology for HCV treatment, EGD to screen for or follow esophageal varices and to evaluate for liver transplant.</w:t>
      </w:r>
    </w:p>
    <w:p w14:paraId="384B7E72" w14:textId="3E571FE7" w:rsidR="00B825A5" w:rsidRPr="00E17457" w:rsidRDefault="00417CE3" w:rsidP="00E17457">
      <w:pPr>
        <w:tabs>
          <w:tab w:val="left" w:pos="2278"/>
        </w:tabs>
        <w:spacing w:before="100" w:beforeAutospacing="1" w:after="100" w:afterAutospacing="1"/>
        <w:ind w:right="10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457">
        <w:rPr>
          <w:rFonts w:asciiTheme="minorHAnsi" w:hAnsiTheme="minorHAnsi" w:cstheme="minorHAnsi"/>
          <w:b/>
          <w:color w:val="262626"/>
          <w:w w:val="110"/>
          <w:sz w:val="24"/>
          <w:szCs w:val="24"/>
        </w:rPr>
        <w:t xml:space="preserve">Section 3: </w:t>
      </w:r>
      <w:r w:rsidR="00DF0BF2" w:rsidRPr="00E17457">
        <w:rPr>
          <w:rFonts w:asciiTheme="minorHAnsi" w:hAnsiTheme="minorHAnsi" w:cstheme="minorHAnsi"/>
          <w:b/>
          <w:color w:val="262626"/>
          <w:w w:val="110"/>
          <w:sz w:val="24"/>
          <w:szCs w:val="24"/>
        </w:rPr>
        <w:t>Treatment</w:t>
      </w:r>
    </w:p>
    <w:p w14:paraId="562FB922" w14:textId="1A7F2C5E" w:rsidR="00B825A5" w:rsidRPr="00E17457" w:rsidRDefault="008C7E82" w:rsidP="00E17457">
      <w:pPr>
        <w:pStyle w:val="ListParagraph"/>
        <w:numPr>
          <w:ilvl w:val="0"/>
          <w:numId w:val="3"/>
        </w:numPr>
        <w:spacing w:before="100" w:beforeAutospacing="1" w:after="100" w:afterAutospacing="1"/>
        <w:ind w:right="1026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Sobriety is no longer a precondition for treatment; rather, patients must simply be ready to take the medications, do lab work and engage in care.</w:t>
      </w:r>
    </w:p>
    <w:p w14:paraId="6A49ADE3" w14:textId="104FA8B1" w:rsidR="008C2C3F" w:rsidRPr="00E17457" w:rsidRDefault="008C2C3F" w:rsidP="00E17457">
      <w:pPr>
        <w:pStyle w:val="ListParagraph"/>
        <w:numPr>
          <w:ilvl w:val="0"/>
          <w:numId w:val="3"/>
        </w:numPr>
        <w:spacing w:before="100" w:beforeAutospacing="1" w:after="100" w:afterAutospacing="1"/>
        <w:ind w:right="1026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Treatment is guided by genotype, presence or absence of cirrhosis, and prior treatment history.</w:t>
      </w:r>
    </w:p>
    <w:p w14:paraId="5B075110" w14:textId="00612BE7" w:rsidR="008C2C3F" w:rsidRPr="00E17457" w:rsidRDefault="008C2C3F" w:rsidP="00E17457">
      <w:pPr>
        <w:pStyle w:val="ListParagraph"/>
        <w:numPr>
          <w:ilvl w:val="0"/>
          <w:numId w:val="3"/>
        </w:numPr>
        <w:spacing w:before="100" w:beforeAutospacing="1" w:after="100" w:afterAutospacing="1"/>
        <w:ind w:right="1026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Most patients may be treated with pan-genotypic medications for 8 weeks (</w:t>
      </w:r>
      <w:proofErr w:type="spellStart"/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Mavyret</w:t>
      </w:r>
      <w:proofErr w:type="spellEnd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 =</w:t>
      </w:r>
      <w:proofErr w:type="spellStart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glecaprevir</w:t>
      </w:r>
      <w:proofErr w:type="spellEnd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/</w:t>
      </w:r>
      <w:proofErr w:type="spellStart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pibrentasvir</w:t>
      </w:r>
      <w:proofErr w:type="spellEnd"/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) or 12 weeks (Ep</w:t>
      </w:r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clusa = sofosbuvir/</w:t>
      </w:r>
      <w:proofErr w:type="spellStart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>velpatasvir</w:t>
      </w:r>
      <w:proofErr w:type="spellEnd"/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).  Consult </w:t>
      </w:r>
      <w:hyperlink r:id="rId11" w:history="1">
        <w:r w:rsidR="008C7E82" w:rsidRPr="00E17457">
          <w:rPr>
            <w:rStyle w:val="Hyperlink"/>
            <w:rFonts w:asciiTheme="minorHAnsi" w:hAnsiTheme="minorHAnsi" w:cstheme="minorHAnsi"/>
            <w:w w:val="95"/>
            <w:sz w:val="24"/>
            <w:szCs w:val="24"/>
          </w:rPr>
          <w:t>www.hcvguidelines.org</w:t>
        </w:r>
      </w:hyperlink>
      <w:r w:rsidR="008C7E82"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95"/>
          <w:sz w:val="24"/>
          <w:szCs w:val="24"/>
        </w:rPr>
        <w:t xml:space="preserve">to determine the regimen and duration that is appropriate for each individual patient. </w:t>
      </w:r>
    </w:p>
    <w:p w14:paraId="2ADDF664" w14:textId="3862390B" w:rsidR="0047705A" w:rsidRPr="00E17457" w:rsidRDefault="0047705A" w:rsidP="00E17457">
      <w:pPr>
        <w:pStyle w:val="ListParagraph"/>
        <w:numPr>
          <w:ilvl w:val="0"/>
          <w:numId w:val="3"/>
        </w:numPr>
        <w:spacing w:before="100" w:beforeAutospacing="1" w:after="100" w:afterAutospacing="1"/>
        <w:ind w:right="1026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sz w:val="24"/>
          <w:szCs w:val="24"/>
        </w:rPr>
        <w:t xml:space="preserve">Check for drug interactions between the chosen agent and the patient’s other medications; a recommended resource is the Liverpool University HCV Medication Interaction tool, found at </w:t>
      </w:r>
      <w:hyperlink r:id="rId12" w:history="1">
        <w:r w:rsidRPr="00E17457">
          <w:rPr>
            <w:rStyle w:val="Hyperlink"/>
            <w:rFonts w:asciiTheme="minorHAnsi" w:hAnsiTheme="minorHAnsi" w:cstheme="minorHAnsi"/>
            <w:sz w:val="24"/>
            <w:szCs w:val="24"/>
          </w:rPr>
          <w:t>www.hep-druginteractions.org/checker</w:t>
        </w:r>
      </w:hyperlink>
      <w:r w:rsidRPr="00E1745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24C5182" w14:textId="79123511" w:rsidR="00B825A5" w:rsidRPr="00E17457" w:rsidRDefault="00417CE3" w:rsidP="00E17457">
      <w:pPr>
        <w:spacing w:before="100" w:beforeAutospacing="1" w:after="100" w:afterAutospacing="1"/>
        <w:ind w:left="1142" w:right="10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457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Section 4: </w:t>
      </w:r>
      <w:r w:rsidR="00DF0BF2" w:rsidRPr="00E17457">
        <w:rPr>
          <w:rFonts w:asciiTheme="minorHAnsi" w:hAnsiTheme="minorHAnsi" w:cstheme="minorHAnsi"/>
          <w:b/>
          <w:color w:val="262626"/>
          <w:sz w:val="24"/>
          <w:szCs w:val="24"/>
        </w:rPr>
        <w:t>Adverse</w:t>
      </w:r>
      <w:r w:rsidR="00DF0BF2" w:rsidRPr="00E17457">
        <w:rPr>
          <w:rFonts w:asciiTheme="minorHAnsi" w:hAnsiTheme="minorHAnsi" w:cstheme="minorHAnsi"/>
          <w:b/>
          <w:color w:val="262626"/>
          <w:spacing w:val="12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sz w:val="24"/>
          <w:szCs w:val="24"/>
        </w:rPr>
        <w:t>Reactions</w:t>
      </w:r>
    </w:p>
    <w:p w14:paraId="717EDFAE" w14:textId="77777777" w:rsidR="008C7E82" w:rsidRPr="00E17457" w:rsidRDefault="00DF0BF2" w:rsidP="00E17457">
      <w:pPr>
        <w:pStyle w:val="BodyText"/>
        <w:spacing w:before="100" w:beforeAutospacing="1" w:after="100" w:afterAutospacing="1"/>
        <w:ind w:left="164" w:hanging="1"/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  <w:u w:val="thick" w:color="262626"/>
        </w:rPr>
        <w:t>Serious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:</w:t>
      </w:r>
      <w:r w:rsidRPr="00E17457"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  <w:t xml:space="preserve"> </w:t>
      </w:r>
    </w:p>
    <w:p w14:paraId="28079E42" w14:textId="255565FC" w:rsidR="008C7E82" w:rsidRPr="00E17457" w:rsidRDefault="008C7E82" w:rsidP="00E17457">
      <w:pPr>
        <w:pStyle w:val="BodyTex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Patients </w:t>
      </w:r>
      <w:r w:rsidRPr="00E17457"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  <w:t xml:space="preserve">with HBV </w:t>
      </w:r>
      <w:proofErr w:type="spellStart"/>
      <w:r w:rsidRPr="00E17457"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  <w:t>cAb</w:t>
      </w:r>
      <w:proofErr w:type="spellEnd"/>
      <w:r w:rsidRPr="00E17457"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  <w:t xml:space="preserve">+ are at risk for </w:t>
      </w:r>
      <w:r w:rsidR="00DF0BF2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HBV</w:t>
      </w:r>
      <w:r w:rsidR="00DF0BF2" w:rsidRPr="00E17457">
        <w:rPr>
          <w:rFonts w:asciiTheme="minorHAnsi" w:hAnsiTheme="minorHAnsi" w:cstheme="minorHAnsi"/>
          <w:color w:val="262626"/>
          <w:spacing w:val="-6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reactivation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when HCV is treated (risk is higher in patients with HBV viremia);</w:t>
      </w:r>
      <w:r w:rsidR="00241A10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see additional lab monitoring in Section 6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.  </w:t>
      </w:r>
    </w:p>
    <w:p w14:paraId="4F03B57B" w14:textId="1BDDD380" w:rsidR="00B825A5" w:rsidRPr="00E17457" w:rsidRDefault="00DF0BF2" w:rsidP="00E17457">
      <w:pPr>
        <w:pStyle w:val="BodyText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Harvoni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only</w:t>
      </w:r>
      <w:r w:rsidRPr="00E17457">
        <w:rPr>
          <w:rFonts w:asciiTheme="minorHAnsi" w:hAnsiTheme="minorHAnsi" w:cstheme="minorHAnsi"/>
          <w:color w:val="262626"/>
          <w:spacing w:val="-10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-</w:t>
      </w:r>
      <w:r w:rsidRPr="00E17457">
        <w:rPr>
          <w:rFonts w:asciiTheme="minorHAnsi" w:hAnsiTheme="minorHAnsi" w:cstheme="minorHAnsi"/>
          <w:color w:val="262626"/>
          <w:spacing w:val="46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bradycardia,</w:t>
      </w:r>
      <w:r w:rsidRPr="00E17457">
        <w:rPr>
          <w:rFonts w:asciiTheme="minorHAnsi" w:hAnsiTheme="minorHAnsi" w:cstheme="minorHAnsi"/>
          <w:color w:val="262626"/>
          <w:spacing w:val="10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angioedema.</w:t>
      </w:r>
    </w:p>
    <w:p w14:paraId="5C561762" w14:textId="0756CD1A" w:rsidR="00B825A5" w:rsidRPr="00E17457" w:rsidRDefault="00DF0BF2" w:rsidP="00E17457">
      <w:pPr>
        <w:pStyle w:val="BodyText"/>
        <w:spacing w:before="100" w:beforeAutospacing="1" w:after="100" w:afterAutospacing="1"/>
        <w:ind w:left="166" w:hanging="5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  <w:u w:val="thick" w:color="262626"/>
        </w:rPr>
        <w:t>More Common: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Headache, fatigue, pruritis, nausea, asthenia, diarrhea, bilirubin elevation, myalgia, cough,</w:t>
      </w:r>
      <w:r w:rsidRPr="00E17457">
        <w:rPr>
          <w:rFonts w:asciiTheme="minorHAnsi" w:hAnsiTheme="minorHAnsi" w:cstheme="minorHAnsi"/>
          <w:color w:val="262626"/>
          <w:spacing w:val="-59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dizziness,</w:t>
      </w:r>
      <w:r w:rsidRPr="00E17457">
        <w:rPr>
          <w:rFonts w:asciiTheme="minorHAnsi" w:hAnsiTheme="minorHAnsi" w:cstheme="minorHAnsi"/>
          <w:color w:val="262626"/>
          <w:spacing w:val="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irritability,</w:t>
      </w:r>
      <w:r w:rsidRPr="00E17457">
        <w:rPr>
          <w:rFonts w:asciiTheme="minorHAnsi" w:hAnsiTheme="minorHAnsi" w:cstheme="minorHAnsi"/>
          <w:color w:val="262626"/>
          <w:spacing w:val="-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dyspnea.</w:t>
      </w:r>
      <w:r w:rsidR="008C7E82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 However, most patients have no side </w:t>
      </w:r>
      <w:proofErr w:type="gramStart"/>
      <w:r w:rsidR="008C7E82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effects</w:t>
      </w:r>
      <w:proofErr w:type="gramEnd"/>
      <w:r w:rsidR="008C7E82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and these medications are generally very well-tolerated.</w:t>
      </w:r>
    </w:p>
    <w:p w14:paraId="44467ADC" w14:textId="4827BA4A" w:rsidR="00B825A5" w:rsidRPr="00E17457" w:rsidRDefault="00417CE3" w:rsidP="00E17457">
      <w:pPr>
        <w:spacing w:before="100" w:beforeAutospacing="1" w:after="100" w:afterAutospacing="1"/>
        <w:ind w:left="1123" w:right="10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lastRenderedPageBreak/>
        <w:t xml:space="preserve">Section 5: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Treatment</w:t>
      </w:r>
      <w:r w:rsidR="00DF0BF2" w:rsidRPr="00E17457">
        <w:rPr>
          <w:rFonts w:asciiTheme="minorHAnsi" w:hAnsiTheme="minorHAnsi" w:cstheme="minorHAnsi"/>
          <w:b/>
          <w:color w:val="262626"/>
          <w:spacing w:val="27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Initiation</w:t>
      </w:r>
      <w:r w:rsidR="00DF0BF2" w:rsidRPr="00E17457">
        <w:rPr>
          <w:rFonts w:asciiTheme="minorHAnsi" w:hAnsiTheme="minorHAnsi" w:cstheme="minorHAnsi"/>
          <w:b/>
          <w:color w:val="262626"/>
          <w:spacing w:val="22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Appointment/Patient</w:t>
      </w:r>
      <w:r w:rsidR="00DF0BF2" w:rsidRPr="00E17457">
        <w:rPr>
          <w:rFonts w:asciiTheme="minorHAnsi" w:hAnsiTheme="minorHAnsi" w:cstheme="minorHAnsi"/>
          <w:b/>
          <w:color w:val="262626"/>
          <w:spacing w:val="5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Education</w:t>
      </w:r>
    </w:p>
    <w:p w14:paraId="6E686219" w14:textId="1EE270B7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00" w:beforeAutospacing="1" w:after="100" w:afterAutospacing="1"/>
        <w:ind w:left="880" w:hanging="354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Screen</w:t>
      </w:r>
      <w:r w:rsidRPr="00E17457">
        <w:rPr>
          <w:rFonts w:asciiTheme="minorHAnsi" w:hAnsiTheme="minorHAnsi" w:cstheme="minorHAnsi"/>
          <w:color w:val="262626"/>
          <w:spacing w:val="3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and</w:t>
      </w:r>
      <w:r w:rsidRPr="00E17457">
        <w:rPr>
          <w:rFonts w:asciiTheme="minorHAnsi" w:hAnsiTheme="minorHAnsi" w:cstheme="minorHAnsi"/>
          <w:color w:val="262626"/>
          <w:spacing w:val="17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vaccinate</w:t>
      </w:r>
      <w:r w:rsidRPr="00E17457">
        <w:rPr>
          <w:rFonts w:asciiTheme="minorHAnsi" w:hAnsiTheme="minorHAnsi" w:cstheme="minorHAnsi"/>
          <w:color w:val="262626"/>
          <w:spacing w:val="18"/>
          <w:sz w:val="24"/>
          <w:szCs w:val="24"/>
        </w:rPr>
        <w:t xml:space="preserve"> </w:t>
      </w:r>
      <w:r w:rsidR="008C7E82" w:rsidRPr="00E17457">
        <w:rPr>
          <w:rFonts w:asciiTheme="minorHAnsi" w:hAnsiTheme="minorHAnsi" w:cstheme="minorHAnsi"/>
          <w:color w:val="262626"/>
          <w:spacing w:val="18"/>
          <w:sz w:val="24"/>
          <w:szCs w:val="24"/>
        </w:rPr>
        <w:t xml:space="preserve">as needed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for</w:t>
      </w:r>
      <w:r w:rsidRPr="00E17457">
        <w:rPr>
          <w:rFonts w:asciiTheme="minorHAnsi" w:hAnsiTheme="minorHAnsi" w:cstheme="minorHAnsi"/>
          <w:color w:val="262626"/>
          <w:spacing w:val="4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Hepatitis</w:t>
      </w:r>
      <w:r w:rsidRPr="00E17457">
        <w:rPr>
          <w:rFonts w:asciiTheme="minorHAnsi" w:hAnsiTheme="minorHAnsi" w:cstheme="minorHAnsi"/>
          <w:color w:val="262626"/>
          <w:spacing w:val="30"/>
          <w:sz w:val="24"/>
          <w:szCs w:val="24"/>
        </w:rPr>
        <w:t xml:space="preserve"> </w:t>
      </w:r>
      <w:r w:rsidR="008C7E82" w:rsidRPr="00E17457">
        <w:rPr>
          <w:rFonts w:asciiTheme="minorHAnsi" w:hAnsiTheme="minorHAnsi" w:cstheme="minorHAnsi"/>
          <w:color w:val="262626"/>
          <w:sz w:val="24"/>
          <w:szCs w:val="24"/>
        </w:rPr>
        <w:t>A and B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,</w:t>
      </w:r>
      <w:r w:rsidRPr="00E17457">
        <w:rPr>
          <w:rFonts w:asciiTheme="minorHAnsi" w:hAnsiTheme="minorHAnsi" w:cstheme="minorHAnsi"/>
          <w:color w:val="262626"/>
          <w:spacing w:val="4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vaccinate</w:t>
      </w:r>
      <w:r w:rsidRPr="00E17457">
        <w:rPr>
          <w:rFonts w:asciiTheme="minorHAnsi" w:hAnsiTheme="minorHAnsi" w:cstheme="minorHAnsi"/>
          <w:color w:val="262626"/>
          <w:spacing w:val="18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for</w:t>
      </w:r>
      <w:r w:rsidRPr="00E17457">
        <w:rPr>
          <w:rFonts w:asciiTheme="minorHAnsi" w:hAnsiTheme="minorHAnsi" w:cstheme="minorHAnsi"/>
          <w:color w:val="262626"/>
          <w:spacing w:val="53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flu</w:t>
      </w:r>
      <w:r w:rsidRPr="00E17457">
        <w:rPr>
          <w:rFonts w:asciiTheme="minorHAnsi" w:hAnsiTheme="minorHAnsi" w:cstheme="minorHAnsi"/>
          <w:color w:val="262626"/>
          <w:spacing w:val="39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and</w:t>
      </w:r>
      <w:r w:rsidRPr="00E17457">
        <w:rPr>
          <w:rFonts w:asciiTheme="minorHAnsi" w:hAnsiTheme="minorHAnsi" w:cstheme="minorHAnsi"/>
          <w:color w:val="262626"/>
          <w:spacing w:val="1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pneumonia.</w:t>
      </w:r>
    </w:p>
    <w:p w14:paraId="4B2C5363" w14:textId="4DE46383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00" w:beforeAutospacing="1" w:after="100" w:afterAutospacing="1"/>
        <w:ind w:left="880" w:hanging="354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Screen</w:t>
      </w:r>
      <w:r w:rsidRPr="00E17457">
        <w:rPr>
          <w:rFonts w:asciiTheme="minorHAnsi" w:hAnsiTheme="minorHAnsi" w:cstheme="minorHAnsi"/>
          <w:color w:val="262626"/>
          <w:spacing w:val="-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for</w:t>
      </w:r>
      <w:r w:rsidRPr="00E17457">
        <w:rPr>
          <w:rFonts w:asciiTheme="minorHAnsi" w:hAnsiTheme="minorHAnsi" w:cstheme="minorHAnsi"/>
          <w:color w:val="262626"/>
          <w:spacing w:val="2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ETOH</w:t>
      </w:r>
      <w:r w:rsidRPr="00E17457">
        <w:rPr>
          <w:rFonts w:asciiTheme="minorHAnsi" w:hAnsiTheme="minorHAnsi" w:cstheme="minorHAnsi"/>
          <w:color w:val="262626"/>
          <w:spacing w:val="-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use</w:t>
      </w:r>
      <w:r w:rsidRPr="00E17457">
        <w:rPr>
          <w:rFonts w:asciiTheme="minorHAnsi" w:hAnsiTheme="minorHAnsi" w:cstheme="minorHAnsi"/>
          <w:color w:val="262626"/>
          <w:spacing w:val="-1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and</w:t>
      </w:r>
      <w:r w:rsidRPr="00E17457">
        <w:rPr>
          <w:rFonts w:asciiTheme="minorHAnsi" w:hAnsiTheme="minorHAnsi" w:cstheme="minorHAnsi"/>
          <w:color w:val="262626"/>
          <w:spacing w:val="-1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advise</w:t>
      </w:r>
      <w:r w:rsidRPr="00E17457">
        <w:rPr>
          <w:rFonts w:asciiTheme="minorHAnsi" w:hAnsiTheme="minorHAnsi" w:cstheme="minorHAnsi"/>
          <w:color w:val="262626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reduction</w:t>
      </w:r>
      <w:r w:rsidRPr="00E17457">
        <w:rPr>
          <w:rFonts w:asciiTheme="minorHAnsi" w:hAnsiTheme="minorHAnsi" w:cstheme="minorHAnsi"/>
          <w:color w:val="262626"/>
          <w:spacing w:val="-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of</w:t>
      </w:r>
      <w:r w:rsidRPr="00E17457">
        <w:rPr>
          <w:rFonts w:asciiTheme="minorHAnsi" w:hAnsiTheme="minorHAnsi" w:cstheme="minorHAnsi"/>
          <w:color w:val="262626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use</w:t>
      </w:r>
      <w:r w:rsidRPr="00E17457">
        <w:rPr>
          <w:rFonts w:asciiTheme="minorHAnsi" w:hAnsiTheme="minorHAnsi" w:cstheme="minorHAnsi"/>
          <w:color w:val="262626"/>
          <w:spacing w:val="-1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or</w:t>
      </w:r>
      <w:r w:rsidRPr="00E17457">
        <w:rPr>
          <w:rFonts w:asciiTheme="minorHAnsi" w:hAnsiTheme="minorHAnsi" w:cstheme="minorHAnsi"/>
          <w:color w:val="262626"/>
          <w:spacing w:val="-8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cessation.</w:t>
      </w:r>
      <w:r w:rsidRPr="00E17457">
        <w:rPr>
          <w:rFonts w:asciiTheme="minorHAnsi" w:hAnsiTheme="minorHAnsi" w:cstheme="minorHAnsi"/>
          <w:color w:val="262626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Refer</w:t>
      </w:r>
      <w:r w:rsidRPr="00E17457">
        <w:rPr>
          <w:rFonts w:asciiTheme="minorHAnsi" w:hAnsiTheme="minorHAnsi" w:cstheme="minorHAnsi"/>
          <w:color w:val="262626"/>
          <w:spacing w:val="-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to</w:t>
      </w:r>
      <w:r w:rsidRPr="00E17457">
        <w:rPr>
          <w:rFonts w:asciiTheme="minorHAnsi" w:hAnsiTheme="minorHAnsi" w:cstheme="minorHAnsi"/>
          <w:color w:val="262626"/>
          <w:spacing w:val="16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treatment</w:t>
      </w:r>
      <w:r w:rsidRPr="00E17457">
        <w:rPr>
          <w:rFonts w:asciiTheme="minorHAnsi" w:hAnsiTheme="minorHAnsi" w:cstheme="minorHAnsi"/>
          <w:color w:val="262626"/>
          <w:spacing w:val="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if</w:t>
      </w:r>
      <w:r w:rsidRPr="00E17457">
        <w:rPr>
          <w:rFonts w:asciiTheme="minorHAnsi" w:hAnsiTheme="minorHAnsi" w:cstheme="minorHAnsi"/>
          <w:color w:val="262626"/>
          <w:spacing w:val="-8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needed.</w:t>
      </w:r>
    </w:p>
    <w:p w14:paraId="7E87D4C7" w14:textId="77777777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7"/>
          <w:tab w:val="left" w:pos="888"/>
        </w:tabs>
        <w:spacing w:before="100" w:beforeAutospacing="1" w:after="100" w:afterAutospacing="1"/>
        <w:ind w:left="887" w:right="745" w:hanging="360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HCV</w:t>
      </w:r>
      <w:r w:rsidRPr="00E17457">
        <w:rPr>
          <w:rFonts w:asciiTheme="minorHAnsi" w:hAnsiTheme="minorHAnsi" w:cstheme="minorHAnsi"/>
          <w:color w:val="262626"/>
          <w:spacing w:val="1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is</w:t>
      </w:r>
      <w:r w:rsidRPr="00E17457">
        <w:rPr>
          <w:rFonts w:asciiTheme="minorHAnsi" w:hAnsiTheme="minorHAnsi" w:cstheme="minorHAnsi"/>
          <w:color w:val="262626"/>
          <w:spacing w:val="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not</w:t>
      </w:r>
      <w:r w:rsidRPr="00E17457">
        <w:rPr>
          <w:rFonts w:asciiTheme="minorHAnsi" w:hAnsiTheme="minorHAnsi" w:cstheme="minorHAnsi"/>
          <w:color w:val="262626"/>
          <w:spacing w:val="51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spread</w:t>
      </w:r>
      <w:r w:rsidRPr="00E17457">
        <w:rPr>
          <w:rFonts w:asciiTheme="minorHAnsi" w:hAnsiTheme="minorHAnsi" w:cstheme="minorHAnsi"/>
          <w:color w:val="262626"/>
          <w:spacing w:val="2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by</w:t>
      </w:r>
      <w:r w:rsidRPr="00E17457">
        <w:rPr>
          <w:rFonts w:asciiTheme="minorHAnsi" w:hAnsiTheme="minorHAnsi" w:cstheme="minorHAnsi"/>
          <w:color w:val="262626"/>
          <w:spacing w:val="9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kissing,</w:t>
      </w:r>
      <w:r w:rsidRPr="00E17457">
        <w:rPr>
          <w:rFonts w:asciiTheme="minorHAnsi" w:hAnsiTheme="minorHAnsi" w:cstheme="minorHAnsi"/>
          <w:color w:val="262626"/>
          <w:spacing w:val="21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hugging,</w:t>
      </w:r>
      <w:r w:rsidRPr="00E17457">
        <w:rPr>
          <w:rFonts w:asciiTheme="minorHAnsi" w:hAnsiTheme="minorHAnsi" w:cstheme="minorHAnsi"/>
          <w:color w:val="262626"/>
          <w:spacing w:val="9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sneezing,</w:t>
      </w:r>
      <w:r w:rsidRPr="00E17457">
        <w:rPr>
          <w:rFonts w:asciiTheme="minorHAnsi" w:hAnsiTheme="minorHAnsi" w:cstheme="minorHAnsi"/>
          <w:color w:val="262626"/>
          <w:spacing w:val="2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coughing,</w:t>
      </w:r>
      <w:r w:rsidRPr="00E17457">
        <w:rPr>
          <w:rFonts w:asciiTheme="minorHAnsi" w:hAnsiTheme="minorHAnsi" w:cstheme="minorHAnsi"/>
          <w:color w:val="262626"/>
          <w:spacing w:val="24"/>
          <w:sz w:val="24"/>
          <w:szCs w:val="24"/>
        </w:rPr>
        <w:t xml:space="preserve"> </w:t>
      </w:r>
      <w:proofErr w:type="gramStart"/>
      <w:r w:rsidRPr="00E17457">
        <w:rPr>
          <w:rFonts w:asciiTheme="minorHAnsi" w:hAnsiTheme="minorHAnsi" w:cstheme="minorHAnsi"/>
          <w:color w:val="262626"/>
          <w:sz w:val="24"/>
          <w:szCs w:val="24"/>
        </w:rPr>
        <w:t>food</w:t>
      </w:r>
      <w:proofErr w:type="gramEnd"/>
      <w:r w:rsidRPr="00E17457">
        <w:rPr>
          <w:rFonts w:asciiTheme="minorHAnsi" w:hAnsiTheme="minorHAnsi" w:cstheme="minorHAnsi"/>
          <w:color w:val="262626"/>
          <w:spacing w:val="1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or</w:t>
      </w:r>
      <w:r w:rsidRPr="00E17457">
        <w:rPr>
          <w:rFonts w:asciiTheme="minorHAnsi" w:hAnsiTheme="minorHAnsi" w:cstheme="minorHAnsi"/>
          <w:color w:val="262626"/>
          <w:spacing w:val="2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water</w:t>
      </w:r>
      <w:r w:rsidRPr="00E17457">
        <w:rPr>
          <w:rFonts w:asciiTheme="minorHAnsi" w:hAnsiTheme="minorHAnsi" w:cstheme="minorHAnsi"/>
          <w:color w:val="262626"/>
          <w:spacing w:val="2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sharing,</w:t>
      </w:r>
      <w:r w:rsidRPr="00E17457">
        <w:rPr>
          <w:rFonts w:asciiTheme="minorHAnsi" w:hAnsiTheme="minorHAnsi" w:cstheme="minorHAnsi"/>
          <w:color w:val="262626"/>
          <w:spacing w:val="1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eating</w:t>
      </w:r>
      <w:r w:rsidRPr="00E17457">
        <w:rPr>
          <w:rFonts w:asciiTheme="minorHAnsi" w:hAnsiTheme="minorHAnsi" w:cstheme="minorHAnsi"/>
          <w:color w:val="262626"/>
          <w:spacing w:val="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utensils,</w:t>
      </w:r>
      <w:r w:rsidRPr="00E17457">
        <w:rPr>
          <w:rFonts w:asciiTheme="minorHAnsi" w:hAnsiTheme="minorHAnsi" w:cstheme="minorHAnsi"/>
          <w:color w:val="262626"/>
          <w:spacing w:val="-5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drinking</w:t>
      </w:r>
      <w:r w:rsidRPr="00E17457">
        <w:rPr>
          <w:rFonts w:asciiTheme="minorHAnsi" w:hAnsiTheme="minorHAnsi" w:cstheme="minorHAnsi"/>
          <w:color w:val="262626"/>
          <w:spacing w:val="-1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glasses</w:t>
      </w:r>
      <w:r w:rsidRPr="00E17457">
        <w:rPr>
          <w:rFonts w:asciiTheme="minorHAnsi" w:hAnsiTheme="minorHAnsi" w:cstheme="minorHAnsi"/>
          <w:color w:val="262626"/>
          <w:spacing w:val="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or</w:t>
      </w:r>
      <w:r w:rsidRPr="00E17457">
        <w:rPr>
          <w:rFonts w:asciiTheme="minorHAnsi" w:hAnsiTheme="minorHAnsi" w:cstheme="minorHAnsi"/>
          <w:color w:val="262626"/>
          <w:spacing w:val="-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casual</w:t>
      </w:r>
      <w:r w:rsidRPr="00E17457">
        <w:rPr>
          <w:rFonts w:asciiTheme="minorHAnsi" w:hAnsiTheme="minorHAnsi" w:cstheme="minorHAnsi"/>
          <w:color w:val="262626"/>
          <w:spacing w:val="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contact.</w:t>
      </w:r>
    </w:p>
    <w:p w14:paraId="3BFAD200" w14:textId="7298CBAF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4"/>
          <w:tab w:val="left" w:pos="885"/>
        </w:tabs>
        <w:spacing w:before="100" w:beforeAutospacing="1" w:after="100" w:afterAutospacing="1"/>
        <w:ind w:left="880" w:right="886" w:hanging="358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 xml:space="preserve">Counsel on the importance of using clean needles, cookers,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cottons, water. Provide naloxone if</w:t>
      </w:r>
      <w:r w:rsidRPr="00E17457">
        <w:rPr>
          <w:rFonts w:asciiTheme="minorHAnsi" w:hAnsiTheme="minorHAnsi" w:cstheme="minorHAnsi"/>
          <w:color w:val="262626"/>
          <w:spacing w:val="-59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needed.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Advise</w:t>
      </w:r>
      <w:r w:rsidRPr="00E17457">
        <w:rPr>
          <w:rFonts w:asciiTheme="minorHAnsi" w:hAnsiTheme="minorHAnsi" w:cstheme="minorHAnsi"/>
          <w:color w:val="262626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cessation</w:t>
      </w:r>
      <w:r w:rsidRPr="00E17457">
        <w:rPr>
          <w:rFonts w:asciiTheme="minorHAnsi" w:hAnsiTheme="minorHAnsi" w:cstheme="minorHAnsi"/>
          <w:color w:val="262626"/>
          <w:spacing w:val="8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of street</w:t>
      </w:r>
      <w:r w:rsidRPr="00E17457">
        <w:rPr>
          <w:rFonts w:asciiTheme="minorHAnsi" w:hAnsiTheme="minorHAnsi" w:cstheme="minorHAnsi"/>
          <w:color w:val="262626"/>
          <w:spacing w:val="-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drugs</w:t>
      </w:r>
      <w:r w:rsidRPr="00E17457">
        <w:rPr>
          <w:rFonts w:asciiTheme="minorHAnsi" w:hAnsiTheme="minorHAnsi" w:cstheme="minorHAnsi"/>
          <w:color w:val="262626"/>
          <w:spacing w:val="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and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offer</w:t>
      </w:r>
      <w:r w:rsidRPr="00E17457">
        <w:rPr>
          <w:rFonts w:asciiTheme="minorHAnsi" w:hAnsiTheme="minorHAnsi" w:cstheme="minorHAnsi"/>
          <w:color w:val="262626"/>
          <w:spacing w:val="-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treatment.</w:t>
      </w:r>
      <w:r w:rsidR="0002026A"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  Refer to </w:t>
      </w:r>
      <w:hyperlink r:id="rId13" w:history="1">
        <w:r w:rsidR="0002026A" w:rsidRPr="00E17457">
          <w:rPr>
            <w:rStyle w:val="Hyperlink"/>
            <w:rFonts w:asciiTheme="minorHAnsi" w:hAnsiTheme="minorHAnsi" w:cstheme="minorHAnsi"/>
            <w:sz w:val="24"/>
            <w:szCs w:val="24"/>
          </w:rPr>
          <w:t>https://www.mass.gov/info-details/syringe-service-program-locator</w:t>
        </w:r>
      </w:hyperlink>
      <w:r w:rsidR="0002026A" w:rsidRPr="00E17457">
        <w:rPr>
          <w:rFonts w:asciiTheme="minorHAnsi" w:hAnsiTheme="minorHAnsi" w:cstheme="minorHAnsi"/>
          <w:sz w:val="24"/>
          <w:szCs w:val="24"/>
        </w:rPr>
        <w:t xml:space="preserve"> for syringe services toolkit.</w:t>
      </w:r>
    </w:p>
    <w:p w14:paraId="20571FA5" w14:textId="77777777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00" w:beforeAutospacing="1" w:after="100" w:afterAutospacing="1"/>
        <w:ind w:left="885" w:hanging="359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Avoid</w:t>
      </w:r>
      <w:r w:rsidRPr="00E17457">
        <w:rPr>
          <w:rFonts w:asciiTheme="minorHAnsi" w:hAnsiTheme="minorHAnsi" w:cstheme="minorHAnsi"/>
          <w:color w:val="262626"/>
          <w:spacing w:val="-2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sharing</w:t>
      </w:r>
      <w:r w:rsidRPr="00E17457">
        <w:rPr>
          <w:rFonts w:asciiTheme="minorHAnsi" w:hAnsiTheme="minorHAnsi" w:cstheme="minorHAnsi"/>
          <w:color w:val="262626"/>
          <w:spacing w:val="-1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toothbrushes,</w:t>
      </w:r>
      <w:r w:rsidRPr="00E17457">
        <w:rPr>
          <w:rFonts w:asciiTheme="minorHAnsi" w:hAnsiTheme="minorHAnsi" w:cstheme="minorHAnsi"/>
          <w:color w:val="262626"/>
          <w:spacing w:val="1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razors.</w:t>
      </w:r>
    </w:p>
    <w:p w14:paraId="4965C805" w14:textId="73251D16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5"/>
          <w:tab w:val="left" w:pos="886"/>
        </w:tabs>
        <w:spacing w:before="100" w:beforeAutospacing="1" w:after="100" w:afterAutospacing="1"/>
        <w:ind w:left="885" w:hanging="363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Advise</w:t>
      </w:r>
      <w:r w:rsidRPr="00E17457">
        <w:rPr>
          <w:rFonts w:asciiTheme="minorHAnsi" w:hAnsiTheme="minorHAnsi" w:cstheme="minorHAnsi"/>
          <w:color w:val="262626"/>
          <w:spacing w:val="6"/>
          <w:sz w:val="24"/>
          <w:szCs w:val="24"/>
        </w:rPr>
        <w:t xml:space="preserve"> </w:t>
      </w:r>
      <w:r w:rsidR="008C7E82" w:rsidRPr="00E17457">
        <w:rPr>
          <w:rFonts w:asciiTheme="minorHAnsi" w:hAnsiTheme="minorHAnsi" w:cstheme="minorHAnsi"/>
          <w:color w:val="262626"/>
          <w:spacing w:val="6"/>
          <w:sz w:val="24"/>
          <w:szCs w:val="24"/>
        </w:rPr>
        <w:t xml:space="preserve">condom </w:t>
      </w:r>
      <w:proofErr w:type="gramStart"/>
      <w:r w:rsidR="008C7E82" w:rsidRPr="00E17457">
        <w:rPr>
          <w:rFonts w:asciiTheme="minorHAnsi" w:hAnsiTheme="minorHAnsi" w:cstheme="minorHAnsi"/>
          <w:color w:val="262626"/>
          <w:spacing w:val="6"/>
          <w:sz w:val="24"/>
          <w:szCs w:val="24"/>
        </w:rPr>
        <w:t>use</w:t>
      </w:r>
      <w:proofErr w:type="gramEnd"/>
      <w:r w:rsidR="008C7E82" w:rsidRPr="00E17457">
        <w:rPr>
          <w:rFonts w:asciiTheme="minorHAnsi" w:hAnsiTheme="minorHAnsi" w:cstheme="minorHAnsi"/>
          <w:color w:val="262626"/>
          <w:spacing w:val="6"/>
          <w:sz w:val="24"/>
          <w:szCs w:val="24"/>
        </w:rPr>
        <w:t xml:space="preserve"> for anal intercourse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.</w:t>
      </w:r>
    </w:p>
    <w:p w14:paraId="71645B71" w14:textId="6D9B43AC" w:rsidR="00B825A5" w:rsidRPr="00E17457" w:rsidRDefault="00DF0BF2" w:rsidP="00E17457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spacing w:before="100" w:beforeAutospacing="1" w:after="100" w:afterAutospacing="1"/>
        <w:ind w:left="883" w:hanging="361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NSAIDs</w:t>
      </w:r>
      <w:r w:rsidRPr="00E17457">
        <w:rPr>
          <w:rFonts w:asciiTheme="minorHAnsi" w:hAnsiTheme="minorHAnsi" w:cstheme="minorHAnsi"/>
          <w:color w:val="262626"/>
          <w:spacing w:val="21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should</w:t>
      </w:r>
      <w:r w:rsidRPr="00E17457">
        <w:rPr>
          <w:rFonts w:asciiTheme="minorHAnsi" w:hAnsiTheme="minorHAnsi" w:cstheme="minorHAnsi"/>
          <w:color w:val="262626"/>
          <w:spacing w:val="1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be</w:t>
      </w:r>
      <w:r w:rsidRPr="00E17457">
        <w:rPr>
          <w:rFonts w:asciiTheme="minorHAnsi" w:hAnsiTheme="minorHAnsi" w:cstheme="minorHAnsi"/>
          <w:color w:val="262626"/>
          <w:spacing w:val="1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avoided</w:t>
      </w:r>
      <w:r w:rsidRPr="00E17457">
        <w:rPr>
          <w:rFonts w:asciiTheme="minorHAnsi" w:hAnsiTheme="minorHAnsi" w:cstheme="minorHAnsi"/>
          <w:color w:val="262626"/>
          <w:spacing w:val="2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in</w:t>
      </w:r>
      <w:r w:rsidRPr="00E17457">
        <w:rPr>
          <w:rFonts w:asciiTheme="minorHAnsi" w:hAnsiTheme="minorHAnsi" w:cstheme="minorHAnsi"/>
          <w:color w:val="262626"/>
          <w:spacing w:val="14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those</w:t>
      </w:r>
      <w:r w:rsidRPr="00E17457">
        <w:rPr>
          <w:rFonts w:asciiTheme="minorHAnsi" w:hAnsiTheme="minorHAnsi" w:cstheme="minorHAnsi"/>
          <w:color w:val="262626"/>
          <w:spacing w:val="2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with</w:t>
      </w:r>
      <w:r w:rsidRPr="00E17457">
        <w:rPr>
          <w:rFonts w:asciiTheme="minorHAnsi" w:hAnsiTheme="minorHAnsi" w:cstheme="minorHAnsi"/>
          <w:color w:val="262626"/>
          <w:spacing w:val="12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cirrhosis</w:t>
      </w:r>
      <w:r w:rsidRPr="00E17457">
        <w:rPr>
          <w:rFonts w:asciiTheme="minorHAnsi" w:hAnsiTheme="minorHAnsi" w:cstheme="minorHAnsi"/>
          <w:color w:val="262626"/>
          <w:spacing w:val="23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due</w:t>
      </w:r>
      <w:r w:rsidRPr="00E17457">
        <w:rPr>
          <w:rFonts w:asciiTheme="minorHAnsi" w:hAnsiTheme="minorHAnsi" w:cstheme="minorHAnsi"/>
          <w:color w:val="262626"/>
          <w:spacing w:val="8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to</w:t>
      </w:r>
      <w:r w:rsidRPr="00E17457">
        <w:rPr>
          <w:rFonts w:asciiTheme="minorHAnsi" w:hAnsiTheme="minorHAnsi" w:cstheme="minorHAnsi"/>
          <w:color w:val="262626"/>
          <w:spacing w:val="37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risk</w:t>
      </w:r>
      <w:r w:rsidRPr="00E17457">
        <w:rPr>
          <w:rFonts w:asciiTheme="minorHAnsi" w:hAnsiTheme="minorHAnsi" w:cstheme="minorHAnsi"/>
          <w:color w:val="262626"/>
          <w:spacing w:val="10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of</w:t>
      </w:r>
      <w:r w:rsidRPr="00E17457">
        <w:rPr>
          <w:rFonts w:asciiTheme="minorHAnsi" w:hAnsiTheme="minorHAnsi" w:cstheme="minorHAnsi"/>
          <w:color w:val="262626"/>
          <w:spacing w:val="26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bleeding</w:t>
      </w:r>
      <w:r w:rsidRPr="00E17457">
        <w:rPr>
          <w:rFonts w:asciiTheme="minorHAnsi" w:hAnsiTheme="minorHAnsi" w:cstheme="minorHAnsi"/>
          <w:color w:val="262626"/>
          <w:spacing w:val="3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varices.</w:t>
      </w:r>
    </w:p>
    <w:p w14:paraId="5BAABDAD" w14:textId="77777777" w:rsidR="0002026A" w:rsidRPr="00E17457" w:rsidRDefault="0002026A" w:rsidP="00E17457">
      <w:pPr>
        <w:pStyle w:val="ListParagraph"/>
        <w:numPr>
          <w:ilvl w:val="0"/>
          <w:numId w:val="2"/>
        </w:numPr>
        <w:tabs>
          <w:tab w:val="left" w:pos="882"/>
          <w:tab w:val="left" w:pos="883"/>
        </w:tabs>
        <w:spacing w:before="100" w:beforeAutospacing="1" w:after="100" w:afterAutospacing="1"/>
        <w:ind w:left="882" w:hanging="360"/>
        <w:rPr>
          <w:rFonts w:asciiTheme="minorHAnsi" w:hAnsiTheme="minorHAnsi" w:cstheme="minorHAnsi"/>
          <w:color w:val="262626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Use of up</w:t>
      </w:r>
      <w:r w:rsidRPr="00E17457">
        <w:rPr>
          <w:rFonts w:asciiTheme="minorHAnsi" w:hAnsiTheme="minorHAnsi" w:cstheme="minorHAnsi"/>
          <w:color w:val="262626"/>
          <w:spacing w:val="-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to</w:t>
      </w:r>
      <w:r w:rsidRPr="00E17457">
        <w:rPr>
          <w:rFonts w:asciiTheme="minorHAnsi" w:hAnsiTheme="minorHAnsi" w:cstheme="minorHAnsi"/>
          <w:color w:val="262626"/>
          <w:spacing w:val="24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4</w:t>
      </w:r>
      <w:r w:rsidRPr="00E17457">
        <w:rPr>
          <w:rFonts w:asciiTheme="minorHAnsi" w:hAnsiTheme="minorHAnsi" w:cstheme="minorHAnsi"/>
          <w:color w:val="262626"/>
          <w:spacing w:val="-15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grams</w:t>
      </w:r>
      <w:r w:rsidRPr="00E17457">
        <w:rPr>
          <w:rFonts w:asciiTheme="minorHAnsi" w:hAnsiTheme="minorHAnsi" w:cstheme="minorHAnsi"/>
          <w:color w:val="262626"/>
          <w:spacing w:val="1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of</w:t>
      </w:r>
      <w:r w:rsidRPr="00E17457">
        <w:rPr>
          <w:rFonts w:asciiTheme="minorHAnsi" w:hAnsiTheme="minorHAnsi" w:cstheme="minorHAnsi"/>
          <w:color w:val="262626"/>
          <w:spacing w:val="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Tylenol</w:t>
      </w:r>
      <w:r w:rsidRPr="00E17457">
        <w:rPr>
          <w:rFonts w:asciiTheme="minorHAnsi" w:hAnsiTheme="minorHAnsi" w:cstheme="minorHAnsi"/>
          <w:color w:val="262626"/>
          <w:spacing w:val="-8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in</w:t>
      </w:r>
      <w:r w:rsidRPr="00E17457">
        <w:rPr>
          <w:rFonts w:asciiTheme="minorHAnsi" w:hAnsiTheme="minorHAnsi" w:cstheme="minorHAnsi"/>
          <w:color w:val="262626"/>
          <w:spacing w:val="10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24</w:t>
      </w:r>
      <w:r w:rsidRPr="00E17457">
        <w:rPr>
          <w:rFonts w:asciiTheme="minorHAnsi" w:hAnsiTheme="minorHAnsi" w:cstheme="minorHAnsi"/>
          <w:color w:val="262626"/>
          <w:spacing w:val="-15"/>
          <w:w w:val="105"/>
          <w:sz w:val="24"/>
          <w:szCs w:val="24"/>
        </w:rPr>
        <w:t>-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hour</w:t>
      </w:r>
      <w:r w:rsidRPr="00E17457">
        <w:rPr>
          <w:rFonts w:asciiTheme="minorHAnsi" w:hAnsiTheme="minorHAnsi" w:cstheme="minorHAnsi"/>
          <w:color w:val="262626"/>
          <w:spacing w:val="3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period is</w:t>
      </w:r>
      <w:r w:rsidRPr="00E17457">
        <w:rPr>
          <w:rFonts w:asciiTheme="minorHAnsi" w:hAnsiTheme="minorHAnsi" w:cstheme="minorHAnsi"/>
          <w:color w:val="262626"/>
          <w:spacing w:val="-7"/>
          <w:w w:val="105"/>
          <w:sz w:val="24"/>
          <w:szCs w:val="24"/>
        </w:rPr>
        <w:t xml:space="preserve"> </w:t>
      </w:r>
      <w:r w:rsidRPr="00E17457">
        <w:rPr>
          <w:rFonts w:asciiTheme="minorHAnsi" w:hAnsiTheme="minorHAnsi" w:cstheme="minorHAnsi"/>
          <w:color w:val="262626"/>
          <w:spacing w:val="-1"/>
          <w:w w:val="105"/>
          <w:sz w:val="24"/>
          <w:szCs w:val="24"/>
        </w:rPr>
        <w:t>safe for non-cirrhotic patients, 2 grams if cirrhotic</w:t>
      </w: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.</w:t>
      </w:r>
    </w:p>
    <w:p w14:paraId="691D645C" w14:textId="42117BD5" w:rsidR="00B825A5" w:rsidRPr="00E17457" w:rsidRDefault="00417CE3" w:rsidP="00E17457">
      <w:pPr>
        <w:spacing w:before="100" w:beforeAutospacing="1" w:after="100" w:afterAutospacing="1"/>
        <w:ind w:left="1134" w:right="10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 xml:space="preserve">Section 6: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Follow</w:t>
      </w:r>
      <w:r w:rsidR="00DF0BF2" w:rsidRPr="00E17457">
        <w:rPr>
          <w:rFonts w:asciiTheme="minorHAnsi" w:hAnsiTheme="minorHAnsi" w:cstheme="minorHAnsi"/>
          <w:b/>
          <w:color w:val="262626"/>
          <w:spacing w:val="3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Up</w:t>
      </w:r>
      <w:r w:rsidR="00DF0BF2" w:rsidRPr="00E17457">
        <w:rPr>
          <w:rFonts w:asciiTheme="minorHAnsi" w:hAnsiTheme="minorHAnsi" w:cstheme="minorHAnsi"/>
          <w:b/>
          <w:color w:val="262626"/>
          <w:spacing w:val="-7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Appointments</w:t>
      </w:r>
      <w:r w:rsidR="00DF0BF2" w:rsidRPr="00E17457">
        <w:rPr>
          <w:rFonts w:asciiTheme="minorHAnsi" w:hAnsiTheme="minorHAnsi" w:cstheme="minorHAnsi"/>
          <w:b/>
          <w:color w:val="262626"/>
          <w:spacing w:val="-1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and</w:t>
      </w:r>
      <w:r w:rsidR="00DF0BF2" w:rsidRPr="00E17457">
        <w:rPr>
          <w:rFonts w:asciiTheme="minorHAnsi" w:hAnsiTheme="minorHAnsi" w:cstheme="minorHAnsi"/>
          <w:b/>
          <w:color w:val="262626"/>
          <w:spacing w:val="-12"/>
          <w:w w:val="105"/>
          <w:sz w:val="24"/>
          <w:szCs w:val="24"/>
        </w:rPr>
        <w:t xml:space="preserve"> </w:t>
      </w:r>
      <w:r w:rsidR="00DF0BF2" w:rsidRPr="00E17457">
        <w:rPr>
          <w:rFonts w:asciiTheme="minorHAnsi" w:hAnsiTheme="minorHAnsi" w:cstheme="minorHAnsi"/>
          <w:b/>
          <w:color w:val="262626"/>
          <w:w w:val="105"/>
          <w:sz w:val="24"/>
          <w:szCs w:val="24"/>
        </w:rPr>
        <w:t>Testing</w:t>
      </w:r>
    </w:p>
    <w:p w14:paraId="1D2C91FE" w14:textId="764A7C50" w:rsidR="00CC7465" w:rsidRPr="00E17457" w:rsidRDefault="00CC7465" w:rsidP="00E17457">
      <w:pPr>
        <w:pStyle w:val="BodyText"/>
        <w:numPr>
          <w:ilvl w:val="0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Appointments: (basic schedule; more may be added depending on patient need</w:t>
      </w:r>
      <w:r w:rsidR="00286710" w:rsidRPr="00E17457">
        <w:rPr>
          <w:rFonts w:asciiTheme="minorHAnsi" w:hAnsiTheme="minorHAnsi" w:cstheme="minorHAnsi"/>
          <w:color w:val="262626"/>
          <w:sz w:val="24"/>
          <w:szCs w:val="24"/>
        </w:rPr>
        <w:t>; may do in-person or via telehealth depending on patient preference, stage of disease and comorbidities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)</w:t>
      </w:r>
    </w:p>
    <w:p w14:paraId="09291788" w14:textId="2919CBD4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Pre-treatment assessment, order labs.</w:t>
      </w:r>
    </w:p>
    <w:p w14:paraId="42344A06" w14:textId="40B9E591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Review labs, prescribe medication if patient ready.</w:t>
      </w:r>
    </w:p>
    <w:p w14:paraId="36A8C404" w14:textId="444BE394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Week 1:  adherence check-in phone call from HCV patient navigator.</w:t>
      </w:r>
    </w:p>
    <w:p w14:paraId="5425B429" w14:textId="7594BEA0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Week 4: reminder call from HCV patient navigator to do 4wk labs</w:t>
      </w:r>
    </w:p>
    <w:p w14:paraId="20A250CF" w14:textId="10B9033B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Week 5:  provider visit to review </w:t>
      </w:r>
      <w:proofErr w:type="gramStart"/>
      <w:r w:rsidRPr="00E17457">
        <w:rPr>
          <w:rFonts w:asciiTheme="minorHAnsi" w:hAnsiTheme="minorHAnsi" w:cstheme="minorHAnsi"/>
          <w:color w:val="262626"/>
          <w:sz w:val="24"/>
          <w:szCs w:val="24"/>
        </w:rPr>
        <w:t>4 week</w:t>
      </w:r>
      <w:proofErr w:type="gramEnd"/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v</w:t>
      </w:r>
      <w:r w:rsidR="00286710" w:rsidRPr="00E17457">
        <w:rPr>
          <w:rFonts w:asciiTheme="minorHAnsi" w:hAnsiTheme="minorHAnsi" w:cstheme="minorHAnsi"/>
          <w:color w:val="262626"/>
          <w:sz w:val="24"/>
          <w:szCs w:val="24"/>
        </w:rPr>
        <w:t>iral load, check adherence, manage side effects, etc.</w:t>
      </w:r>
    </w:p>
    <w:p w14:paraId="6E532052" w14:textId="0590036D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Week 8 or 12:  end-of-treatment phone call from HCV patient navigator to confirm treatment completion</w:t>
      </w:r>
      <w:r w:rsidR="00286710" w:rsidRPr="00E17457">
        <w:rPr>
          <w:rFonts w:asciiTheme="minorHAnsi" w:hAnsiTheme="minorHAnsi" w:cstheme="minorHAnsi"/>
          <w:color w:val="262626"/>
          <w:sz w:val="24"/>
          <w:szCs w:val="24"/>
        </w:rPr>
        <w:t>, check for adherence problems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.</w:t>
      </w:r>
    </w:p>
    <w:p w14:paraId="75CD2A4A" w14:textId="0040DD59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Week 12 post-treatment:  lab reminder phone call from HCV patient navigator </w:t>
      </w:r>
    </w:p>
    <w:p w14:paraId="5310E6D8" w14:textId="090BFD79" w:rsidR="00CC7465" w:rsidRPr="00E17457" w:rsidRDefault="00CC7465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Week 13 post-treatment:  provider visit to review SVR result.</w:t>
      </w:r>
    </w:p>
    <w:p w14:paraId="681D362D" w14:textId="77777777" w:rsidR="00E17457" w:rsidRPr="00E17457" w:rsidRDefault="00E17457" w:rsidP="00E17457">
      <w:pPr>
        <w:pStyle w:val="BodyText"/>
        <w:spacing w:before="100" w:beforeAutospacing="1" w:after="100" w:afterAutospacing="1"/>
        <w:ind w:left="515" w:right="281"/>
        <w:rPr>
          <w:rFonts w:asciiTheme="minorHAnsi" w:hAnsiTheme="minorHAnsi" w:cstheme="minorHAnsi"/>
          <w:sz w:val="24"/>
          <w:szCs w:val="24"/>
        </w:rPr>
      </w:pPr>
    </w:p>
    <w:p w14:paraId="60DC0A22" w14:textId="10D21FDE" w:rsidR="00286710" w:rsidRPr="00E17457" w:rsidRDefault="0002026A" w:rsidP="00E17457">
      <w:pPr>
        <w:pStyle w:val="BodyText"/>
        <w:numPr>
          <w:ilvl w:val="0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Testing</w:t>
      </w:r>
      <w:r w:rsidR="00286710"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(routine)</w:t>
      </w:r>
      <w:r w:rsidR="00CC7465" w:rsidRPr="00E17457">
        <w:rPr>
          <w:rFonts w:asciiTheme="minorHAnsi" w:hAnsiTheme="minorHAnsi" w:cstheme="minorHAnsi"/>
          <w:color w:val="262626"/>
          <w:sz w:val="24"/>
          <w:szCs w:val="24"/>
        </w:rPr>
        <w:t>:  this is moving</w:t>
      </w:r>
      <w:r w:rsidR="00286710"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towards a minimalist approach:</w:t>
      </w:r>
    </w:p>
    <w:p w14:paraId="1D11684C" w14:textId="77777777" w:rsidR="00286710" w:rsidRPr="00E17457" w:rsidRDefault="0002026A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proofErr w:type="gramStart"/>
      <w:r w:rsidRPr="00E17457">
        <w:rPr>
          <w:rFonts w:asciiTheme="minorHAnsi" w:hAnsiTheme="minorHAnsi" w:cstheme="minorHAnsi"/>
          <w:color w:val="262626"/>
          <w:sz w:val="24"/>
          <w:szCs w:val="24"/>
        </w:rPr>
        <w:t>4 week</w:t>
      </w:r>
      <w:proofErr w:type="gramEnd"/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viral load to confirm treatment adherence and efficacy</w:t>
      </w:r>
    </w:p>
    <w:p w14:paraId="2D4FC02E" w14:textId="77777777" w:rsidR="00286710" w:rsidRPr="00E17457" w:rsidRDefault="00286710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proofErr w:type="gramStart"/>
      <w:r w:rsidRPr="00E17457">
        <w:rPr>
          <w:rFonts w:asciiTheme="minorHAnsi" w:hAnsiTheme="minorHAnsi" w:cstheme="minorHAnsi"/>
          <w:color w:val="262626"/>
          <w:sz w:val="24"/>
          <w:szCs w:val="24"/>
        </w:rPr>
        <w:t>12 week</w:t>
      </w:r>
      <w:proofErr w:type="gramEnd"/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post-treatment vi</w:t>
      </w:r>
      <w:r w:rsidR="0002026A"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ral load to confirm a sustained virologic response (SVR), or cure.  </w:t>
      </w:r>
    </w:p>
    <w:p w14:paraId="3B1B0163" w14:textId="67B2BB26" w:rsidR="0002026A" w:rsidRPr="00E17457" w:rsidRDefault="0002026A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proofErr w:type="gramStart"/>
      <w:r w:rsidRPr="00E17457">
        <w:rPr>
          <w:rFonts w:asciiTheme="minorHAnsi" w:hAnsiTheme="minorHAnsi" w:cstheme="minorHAnsi"/>
          <w:color w:val="262626"/>
          <w:sz w:val="24"/>
          <w:szCs w:val="24"/>
        </w:rPr>
        <w:t>24 week</w:t>
      </w:r>
      <w:proofErr w:type="gramEnd"/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 post-treatment viral load confirmation of SVR is recommended if th</w:t>
      </w:r>
      <w:r w:rsidR="00241A10"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e 4 week viral load was not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undetectable, or if there were any issues with adherence.</w:t>
      </w:r>
    </w:p>
    <w:p w14:paraId="5E1CB206" w14:textId="77777777" w:rsidR="00286710" w:rsidRPr="00E17457" w:rsidRDefault="00286710" w:rsidP="00E17457">
      <w:pPr>
        <w:pStyle w:val="BodyText"/>
        <w:numPr>
          <w:ilvl w:val="0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t>Testing (special cases):</w:t>
      </w:r>
    </w:p>
    <w:p w14:paraId="1C6C4D21" w14:textId="77777777" w:rsidR="00286710" w:rsidRPr="00E17457" w:rsidRDefault="0002026A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sz w:val="24"/>
          <w:szCs w:val="24"/>
        </w:rPr>
        <w:lastRenderedPageBreak/>
        <w:t xml:space="preserve">For patients with initial transaminitis, check LFTs along with the 4wk labs to look for paradoxical worsening liver inflammation, which is extremely rare with the direct-acting antiviral </w:t>
      </w:r>
      <w:r w:rsidR="00241A10"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(DAA) meds, 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>as oppose</w:t>
      </w:r>
      <w:r w:rsidR="00241A10" w:rsidRPr="00E17457">
        <w:rPr>
          <w:rFonts w:asciiTheme="minorHAnsi" w:hAnsiTheme="minorHAnsi" w:cstheme="minorHAnsi"/>
          <w:color w:val="262626"/>
          <w:sz w:val="24"/>
          <w:szCs w:val="24"/>
        </w:rPr>
        <w:t>d to prior interferon-based treatments</w:t>
      </w:r>
      <w:r w:rsidRPr="00E17457">
        <w:rPr>
          <w:rFonts w:asciiTheme="minorHAnsi" w:hAnsiTheme="minorHAnsi" w:cstheme="minorHAnsi"/>
          <w:color w:val="262626"/>
          <w:sz w:val="24"/>
          <w:szCs w:val="24"/>
        </w:rPr>
        <w:t xml:space="preserve">.  </w:t>
      </w:r>
    </w:p>
    <w:p w14:paraId="5CE56724" w14:textId="77777777" w:rsidR="00286710" w:rsidRPr="00E17457" w:rsidRDefault="00241A10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 xml:space="preserve">For patients with HBV </w:t>
      </w:r>
      <w:proofErr w:type="spellStart"/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cAb</w:t>
      </w:r>
      <w:proofErr w:type="spellEnd"/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+:  follow LFTs q4wks during and for one month after treatment and check HBV VL if see worsening transaminitis.  Refer to GI or an FM/HBV specialist for management of HBV flares.</w:t>
      </w:r>
    </w:p>
    <w:p w14:paraId="661988DF" w14:textId="2E71C027" w:rsidR="00241A10" w:rsidRPr="00E17457" w:rsidRDefault="00241A10" w:rsidP="00E17457">
      <w:pPr>
        <w:pStyle w:val="BodyText"/>
        <w:numPr>
          <w:ilvl w:val="1"/>
          <w:numId w:val="5"/>
        </w:numPr>
        <w:spacing w:before="100" w:beforeAutospacing="1" w:after="100" w:afterAutospacing="1"/>
        <w:ind w:right="281"/>
        <w:rPr>
          <w:rFonts w:asciiTheme="minorHAnsi" w:hAnsiTheme="minorHAnsi" w:cstheme="minorHAnsi"/>
          <w:sz w:val="24"/>
          <w:szCs w:val="24"/>
        </w:rPr>
      </w:pPr>
      <w:r w:rsidRPr="00E17457">
        <w:rPr>
          <w:rFonts w:asciiTheme="minorHAnsi" w:hAnsiTheme="minorHAnsi" w:cstheme="minorHAnsi"/>
          <w:color w:val="262626"/>
          <w:w w:val="105"/>
          <w:sz w:val="24"/>
          <w:szCs w:val="24"/>
        </w:rPr>
        <w:t>For patients of childbearing potential:  ensure effective contraception and/or test for pregnancy during treatment (DAA medications are not approved for use in pregnancy).</w:t>
      </w:r>
    </w:p>
    <w:p w14:paraId="719C5CAE" w14:textId="5D4B0748" w:rsidR="00B825A5" w:rsidRDefault="00B825A5" w:rsidP="00286710">
      <w:pPr>
        <w:pStyle w:val="ListParagraph"/>
        <w:tabs>
          <w:tab w:val="left" w:pos="875"/>
          <w:tab w:val="left" w:pos="876"/>
        </w:tabs>
        <w:spacing w:before="78"/>
        <w:ind w:left="875" w:firstLine="0"/>
        <w:rPr>
          <w:color w:val="262626"/>
          <w:sz w:val="21"/>
        </w:rPr>
      </w:pPr>
    </w:p>
    <w:sectPr w:rsidR="00B825A5" w:rsidSect="00E17457">
      <w:headerReference w:type="default" r:id="rId14"/>
      <w:pgSz w:w="12240" w:h="15840"/>
      <w:pgMar w:top="1440" w:right="1440" w:bottom="1440" w:left="1440" w:header="5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824C" w14:textId="77777777" w:rsidR="00471A57" w:rsidRDefault="00471A57">
      <w:r>
        <w:separator/>
      </w:r>
    </w:p>
  </w:endnote>
  <w:endnote w:type="continuationSeparator" w:id="0">
    <w:p w14:paraId="1461F16F" w14:textId="77777777" w:rsidR="00471A57" w:rsidRDefault="004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235A" w14:textId="77777777" w:rsidR="00471A57" w:rsidRDefault="00471A57">
      <w:r>
        <w:separator/>
      </w:r>
    </w:p>
  </w:footnote>
  <w:footnote w:type="continuationSeparator" w:id="0">
    <w:p w14:paraId="410592D9" w14:textId="77777777" w:rsidR="00471A57" w:rsidRDefault="0047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C903" w14:textId="410754ED" w:rsidR="00B825A5" w:rsidRDefault="00B825A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469"/>
    <w:multiLevelType w:val="hybridMultilevel"/>
    <w:tmpl w:val="63088F16"/>
    <w:lvl w:ilvl="0" w:tplc="C5AE49B8">
      <w:start w:val="1"/>
      <w:numFmt w:val="decimal"/>
      <w:lvlText w:val="%1)"/>
      <w:lvlJc w:val="left"/>
      <w:pPr>
        <w:ind w:left="847" w:hanging="367"/>
      </w:pPr>
      <w:rPr>
        <w:rFonts w:ascii="Arial" w:eastAsia="Arial" w:hAnsi="Arial" w:cs="Arial" w:hint="default"/>
        <w:color w:val="242424"/>
        <w:spacing w:val="-1"/>
        <w:w w:val="105"/>
        <w:sz w:val="21"/>
        <w:szCs w:val="21"/>
      </w:rPr>
    </w:lvl>
    <w:lvl w:ilvl="1" w:tplc="7B340854">
      <w:start w:val="1"/>
      <w:numFmt w:val="lowerLetter"/>
      <w:lvlText w:val="%2."/>
      <w:lvlJc w:val="left"/>
      <w:pPr>
        <w:ind w:left="1560" w:hanging="353"/>
      </w:pPr>
      <w:rPr>
        <w:rFonts w:ascii="Arial" w:eastAsia="Arial" w:hAnsi="Arial" w:cs="Arial" w:hint="default"/>
        <w:color w:val="242424"/>
        <w:spacing w:val="-1"/>
        <w:w w:val="101"/>
        <w:sz w:val="21"/>
        <w:szCs w:val="21"/>
      </w:rPr>
    </w:lvl>
    <w:lvl w:ilvl="2" w:tplc="F2BCB6C0">
      <w:start w:val="1"/>
      <w:numFmt w:val="lowerRoman"/>
      <w:lvlText w:val="%3."/>
      <w:lvlJc w:val="left"/>
      <w:pPr>
        <w:ind w:left="2281" w:hanging="301"/>
        <w:jc w:val="right"/>
      </w:pPr>
      <w:rPr>
        <w:rFonts w:ascii="Arial" w:eastAsia="Arial" w:hAnsi="Arial" w:cs="Arial" w:hint="default"/>
        <w:color w:val="242424"/>
        <w:spacing w:val="-1"/>
        <w:w w:val="107"/>
        <w:sz w:val="21"/>
        <w:szCs w:val="21"/>
      </w:rPr>
    </w:lvl>
    <w:lvl w:ilvl="3" w:tplc="89980576">
      <w:numFmt w:val="bullet"/>
      <w:lvlText w:val="•"/>
      <w:lvlJc w:val="left"/>
      <w:pPr>
        <w:ind w:left="3372" w:hanging="301"/>
      </w:pPr>
      <w:rPr>
        <w:rFonts w:hint="default"/>
      </w:rPr>
    </w:lvl>
    <w:lvl w:ilvl="4" w:tplc="D7D48AE6">
      <w:numFmt w:val="bullet"/>
      <w:lvlText w:val="•"/>
      <w:lvlJc w:val="left"/>
      <w:pPr>
        <w:ind w:left="4465" w:hanging="301"/>
      </w:pPr>
      <w:rPr>
        <w:rFonts w:hint="default"/>
      </w:rPr>
    </w:lvl>
    <w:lvl w:ilvl="5" w:tplc="446C417A">
      <w:numFmt w:val="bullet"/>
      <w:lvlText w:val="•"/>
      <w:lvlJc w:val="left"/>
      <w:pPr>
        <w:ind w:left="5557" w:hanging="301"/>
      </w:pPr>
      <w:rPr>
        <w:rFonts w:hint="default"/>
      </w:rPr>
    </w:lvl>
    <w:lvl w:ilvl="6" w:tplc="7A12964A">
      <w:numFmt w:val="bullet"/>
      <w:lvlText w:val="•"/>
      <w:lvlJc w:val="left"/>
      <w:pPr>
        <w:ind w:left="6650" w:hanging="301"/>
      </w:pPr>
      <w:rPr>
        <w:rFonts w:hint="default"/>
      </w:rPr>
    </w:lvl>
    <w:lvl w:ilvl="7" w:tplc="20BE8192">
      <w:numFmt w:val="bullet"/>
      <w:lvlText w:val="•"/>
      <w:lvlJc w:val="left"/>
      <w:pPr>
        <w:ind w:left="7742" w:hanging="301"/>
      </w:pPr>
      <w:rPr>
        <w:rFonts w:hint="default"/>
      </w:rPr>
    </w:lvl>
    <w:lvl w:ilvl="8" w:tplc="3F200EDE">
      <w:numFmt w:val="bullet"/>
      <w:lvlText w:val="•"/>
      <w:lvlJc w:val="left"/>
      <w:pPr>
        <w:ind w:left="8835" w:hanging="301"/>
      </w:pPr>
      <w:rPr>
        <w:rFonts w:hint="default"/>
      </w:rPr>
    </w:lvl>
  </w:abstractNum>
  <w:abstractNum w:abstractNumId="1" w15:restartNumberingAfterBreak="0">
    <w:nsid w:val="0944190F"/>
    <w:multiLevelType w:val="hybridMultilevel"/>
    <w:tmpl w:val="AFF2697A"/>
    <w:lvl w:ilvl="0" w:tplc="F8DA5266">
      <w:start w:val="1"/>
      <w:numFmt w:val="decimal"/>
      <w:lvlText w:val="%1)"/>
      <w:lvlJc w:val="left"/>
      <w:pPr>
        <w:ind w:left="523" w:hanging="360"/>
      </w:pPr>
      <w:rPr>
        <w:rFonts w:hint="default"/>
        <w:color w:val="262626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0FE32C13"/>
    <w:multiLevelType w:val="hybridMultilevel"/>
    <w:tmpl w:val="5BAAF0BC"/>
    <w:lvl w:ilvl="0" w:tplc="07E408F8">
      <w:start w:val="1"/>
      <w:numFmt w:val="decimal"/>
      <w:lvlText w:val="%1)"/>
      <w:lvlJc w:val="left"/>
      <w:pPr>
        <w:ind w:left="515" w:hanging="360"/>
      </w:pPr>
      <w:rPr>
        <w:rFonts w:hint="default"/>
        <w:color w:val="262626"/>
      </w:rPr>
    </w:lvl>
    <w:lvl w:ilvl="1" w:tplc="04090019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4ABF33ED"/>
    <w:multiLevelType w:val="hybridMultilevel"/>
    <w:tmpl w:val="A2BEE010"/>
    <w:lvl w:ilvl="0" w:tplc="7070E79A">
      <w:numFmt w:val="bullet"/>
      <w:lvlText w:val="•"/>
      <w:lvlJc w:val="left"/>
      <w:pPr>
        <w:ind w:left="853" w:hanging="353"/>
      </w:pPr>
      <w:rPr>
        <w:rFonts w:hint="default"/>
        <w:w w:val="107"/>
      </w:rPr>
    </w:lvl>
    <w:lvl w:ilvl="1" w:tplc="C41CF8D6">
      <w:numFmt w:val="bullet"/>
      <w:lvlText w:val="•"/>
      <w:lvlJc w:val="left"/>
      <w:pPr>
        <w:ind w:left="1876" w:hanging="353"/>
      </w:pPr>
      <w:rPr>
        <w:rFonts w:hint="default"/>
      </w:rPr>
    </w:lvl>
    <w:lvl w:ilvl="2" w:tplc="AAF88840">
      <w:numFmt w:val="bullet"/>
      <w:lvlText w:val="•"/>
      <w:lvlJc w:val="left"/>
      <w:pPr>
        <w:ind w:left="2892" w:hanging="353"/>
      </w:pPr>
      <w:rPr>
        <w:rFonts w:hint="default"/>
      </w:rPr>
    </w:lvl>
    <w:lvl w:ilvl="3" w:tplc="708C35AE">
      <w:numFmt w:val="bullet"/>
      <w:lvlText w:val="•"/>
      <w:lvlJc w:val="left"/>
      <w:pPr>
        <w:ind w:left="3908" w:hanging="353"/>
      </w:pPr>
      <w:rPr>
        <w:rFonts w:hint="default"/>
      </w:rPr>
    </w:lvl>
    <w:lvl w:ilvl="4" w:tplc="D4601052">
      <w:numFmt w:val="bullet"/>
      <w:lvlText w:val="•"/>
      <w:lvlJc w:val="left"/>
      <w:pPr>
        <w:ind w:left="4924" w:hanging="353"/>
      </w:pPr>
      <w:rPr>
        <w:rFonts w:hint="default"/>
      </w:rPr>
    </w:lvl>
    <w:lvl w:ilvl="5" w:tplc="72FCC1E4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C69008C4">
      <w:numFmt w:val="bullet"/>
      <w:lvlText w:val="•"/>
      <w:lvlJc w:val="left"/>
      <w:pPr>
        <w:ind w:left="6956" w:hanging="353"/>
      </w:pPr>
      <w:rPr>
        <w:rFonts w:hint="default"/>
      </w:rPr>
    </w:lvl>
    <w:lvl w:ilvl="7" w:tplc="AB78ADB6">
      <w:numFmt w:val="bullet"/>
      <w:lvlText w:val="•"/>
      <w:lvlJc w:val="left"/>
      <w:pPr>
        <w:ind w:left="7972" w:hanging="353"/>
      </w:pPr>
      <w:rPr>
        <w:rFonts w:hint="default"/>
      </w:rPr>
    </w:lvl>
    <w:lvl w:ilvl="8" w:tplc="8DEAC42A">
      <w:numFmt w:val="bullet"/>
      <w:lvlText w:val="•"/>
      <w:lvlJc w:val="left"/>
      <w:pPr>
        <w:ind w:left="8988" w:hanging="353"/>
      </w:pPr>
      <w:rPr>
        <w:rFonts w:hint="default"/>
      </w:rPr>
    </w:lvl>
  </w:abstractNum>
  <w:abstractNum w:abstractNumId="4" w15:restartNumberingAfterBreak="0">
    <w:nsid w:val="74715C19"/>
    <w:multiLevelType w:val="hybridMultilevel"/>
    <w:tmpl w:val="8766E06E"/>
    <w:lvl w:ilvl="0" w:tplc="C4FED930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A5"/>
    <w:rsid w:val="0002026A"/>
    <w:rsid w:val="00063A40"/>
    <w:rsid w:val="00076F4A"/>
    <w:rsid w:val="00101237"/>
    <w:rsid w:val="00143146"/>
    <w:rsid w:val="00165832"/>
    <w:rsid w:val="00241A10"/>
    <w:rsid w:val="00286710"/>
    <w:rsid w:val="003D5338"/>
    <w:rsid w:val="00417CE3"/>
    <w:rsid w:val="00471A57"/>
    <w:rsid w:val="0047705A"/>
    <w:rsid w:val="004966E9"/>
    <w:rsid w:val="004C05B7"/>
    <w:rsid w:val="00595715"/>
    <w:rsid w:val="00740D80"/>
    <w:rsid w:val="0085647C"/>
    <w:rsid w:val="00896E05"/>
    <w:rsid w:val="008A1DFB"/>
    <w:rsid w:val="008C2C3F"/>
    <w:rsid w:val="008C7E82"/>
    <w:rsid w:val="00946CB5"/>
    <w:rsid w:val="00A76895"/>
    <w:rsid w:val="00AA2CAE"/>
    <w:rsid w:val="00B26A33"/>
    <w:rsid w:val="00B40680"/>
    <w:rsid w:val="00B65C6A"/>
    <w:rsid w:val="00B80236"/>
    <w:rsid w:val="00B825A5"/>
    <w:rsid w:val="00BF0AEB"/>
    <w:rsid w:val="00CA3B12"/>
    <w:rsid w:val="00CC7465"/>
    <w:rsid w:val="00D7123C"/>
    <w:rsid w:val="00DF0BF2"/>
    <w:rsid w:val="00E17457"/>
    <w:rsid w:val="00E37D05"/>
    <w:rsid w:val="00F538B0"/>
    <w:rsid w:val="00F7361C"/>
    <w:rsid w:val="00FC3940"/>
    <w:rsid w:val="00FD1B80"/>
    <w:rsid w:val="3BF0E3F9"/>
    <w:rsid w:val="3D9C08FF"/>
    <w:rsid w:val="570A5321"/>
    <w:rsid w:val="656F8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2D315"/>
  <w15:docId w15:val="{DB0160E7-DFF7-4D67-BD60-8D64A6A2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 w:right="102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2"/>
      <w:ind w:left="1103" w:right="1026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8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0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0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F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71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3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3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B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4740093EF1498A5C438829F68559" ma:contentTypeVersion="11" ma:contentTypeDescription="Create a new document." ma:contentTypeScope="" ma:versionID="befa0e0450500b9c5678d09493eb24e9">
  <xsd:schema xmlns:xsd="http://www.w3.org/2001/XMLSchema" xmlns:xs="http://www.w3.org/2001/XMLSchema" xmlns:p="http://schemas.microsoft.com/office/2006/metadata/properties" xmlns:ns3="94064097-2571-4b59-be25-dd8671d3c47e" targetNamespace="http://schemas.microsoft.com/office/2006/metadata/properties" ma:root="true" ma:fieldsID="8ef56eb915bdb67ac94079f9b25cd0c9" ns3:_="">
    <xsd:import namespace="94064097-2571-4b59-be25-dd8671d3c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097-2571-4b59-be25-dd8671d3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746D-B0A0-4CAF-854F-3E6061FBC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DC280-EBB9-4036-811C-E99E2D79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449C5-8949-41B4-B3DE-601680B65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097-2571-4b59-be25-dd8671d3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77359-F0F6-4E2E-98A5-2806A3A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HCV Screening and Treatment in Primary Care - Adapted from CHC Franklin County</dc:title>
  <dc:creator>LM Randall</dc:creator>
  <cp:lastModifiedBy>Yeaple, Jennifer (DPH)</cp:lastModifiedBy>
  <cp:revision>2</cp:revision>
  <dcterms:created xsi:type="dcterms:W3CDTF">2022-09-12T11:54:00Z</dcterms:created>
  <dcterms:modified xsi:type="dcterms:W3CDTF">2022-09-12T11:54:00Z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0x0101005C0C4740093EF1498A5C438829F68559</vt:lpwstr>
  </property>
</Properties>
</file>