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037E7" w14:textId="77777777" w:rsidR="00066A94" w:rsidRDefault="00667562" w:rsidP="00215DBD">
      <w:pPr>
        <w:spacing w:after="0" w:line="240" w:lineRule="auto"/>
        <w:jc w:val="center"/>
        <w:rPr>
          <w:rFonts w:cs="Arial"/>
          <w:b/>
          <w:i/>
          <w:sz w:val="24"/>
          <w:szCs w:val="24"/>
        </w:rPr>
      </w:pPr>
      <w:r w:rsidRPr="00D33511">
        <w:rPr>
          <w:rFonts w:cs="Arial"/>
          <w:b/>
          <w:sz w:val="24"/>
          <w:szCs w:val="24"/>
        </w:rPr>
        <w:t>DMH Guidelines for Implementat</w:t>
      </w:r>
      <w:r w:rsidR="003F5DFE" w:rsidRPr="00D33511">
        <w:rPr>
          <w:rFonts w:cs="Arial"/>
          <w:b/>
          <w:sz w:val="24"/>
          <w:szCs w:val="24"/>
        </w:rPr>
        <w:t xml:space="preserve">ion of </w:t>
      </w:r>
      <w:r w:rsidR="00D33511">
        <w:rPr>
          <w:rFonts w:cs="Arial"/>
          <w:b/>
          <w:sz w:val="24"/>
          <w:szCs w:val="24"/>
        </w:rPr>
        <w:t>Policy #</w:t>
      </w:r>
      <w:r w:rsidR="00425D7B" w:rsidRPr="00D33511">
        <w:rPr>
          <w:rFonts w:cs="Arial"/>
          <w:b/>
          <w:sz w:val="24"/>
          <w:szCs w:val="24"/>
        </w:rPr>
        <w:t>21-01</w:t>
      </w:r>
      <w:r w:rsidR="00D33511">
        <w:rPr>
          <w:rFonts w:cs="Arial"/>
          <w:b/>
          <w:i/>
          <w:sz w:val="24"/>
          <w:szCs w:val="24"/>
        </w:rPr>
        <w:t xml:space="preserve"> </w:t>
      </w:r>
      <w:r w:rsidR="003F5DFE" w:rsidRPr="00204102">
        <w:rPr>
          <w:rFonts w:cs="Arial"/>
          <w:b/>
          <w:i/>
          <w:sz w:val="24"/>
          <w:szCs w:val="24"/>
        </w:rPr>
        <w:t>-- LGBTQ</w:t>
      </w:r>
      <w:r w:rsidR="003F5DFE" w:rsidRPr="00FB7FE2">
        <w:rPr>
          <w:rFonts w:cs="Arial"/>
          <w:b/>
          <w:i/>
          <w:sz w:val="24"/>
          <w:szCs w:val="24"/>
        </w:rPr>
        <w:t xml:space="preserve"> </w:t>
      </w:r>
      <w:bookmarkStart w:id="0" w:name="_Hlk53571303"/>
      <w:r w:rsidRPr="00FB7FE2">
        <w:rPr>
          <w:rFonts w:cs="Arial"/>
          <w:b/>
          <w:i/>
          <w:sz w:val="24"/>
          <w:szCs w:val="24"/>
        </w:rPr>
        <w:t>Non-Discrimination</w:t>
      </w:r>
      <w:r w:rsidR="007C5BE5" w:rsidRPr="00FB7FE2">
        <w:rPr>
          <w:rFonts w:cs="Arial"/>
          <w:b/>
          <w:i/>
          <w:sz w:val="24"/>
          <w:szCs w:val="24"/>
        </w:rPr>
        <w:t xml:space="preserve"> </w:t>
      </w:r>
      <w:bookmarkEnd w:id="0"/>
      <w:r w:rsidR="007C5BE5" w:rsidRPr="00FB7FE2">
        <w:rPr>
          <w:rFonts w:cs="Arial"/>
          <w:b/>
          <w:i/>
          <w:sz w:val="24"/>
          <w:szCs w:val="24"/>
        </w:rPr>
        <w:t>Policy</w:t>
      </w:r>
    </w:p>
    <w:p w14:paraId="18BD70E3" w14:textId="77777777" w:rsidR="00215DBD" w:rsidRPr="00215DBD" w:rsidRDefault="0004674C" w:rsidP="00215DBD">
      <w:pPr>
        <w:spacing w:after="0" w:line="240" w:lineRule="auto"/>
        <w:jc w:val="center"/>
        <w:rPr>
          <w:rFonts w:cs="Arial"/>
          <w:b/>
          <w:sz w:val="24"/>
          <w:szCs w:val="24"/>
        </w:rPr>
      </w:pPr>
      <w:r>
        <w:rPr>
          <w:rFonts w:cs="Arial"/>
          <w:b/>
          <w:sz w:val="24"/>
          <w:szCs w:val="24"/>
        </w:rPr>
        <w:t>August</w:t>
      </w:r>
      <w:r w:rsidR="00215DBD">
        <w:rPr>
          <w:rFonts w:cs="Arial"/>
          <w:b/>
          <w:sz w:val="24"/>
          <w:szCs w:val="24"/>
        </w:rPr>
        <w:t>, 2021</w:t>
      </w:r>
    </w:p>
    <w:p w14:paraId="36A07162" w14:textId="77777777" w:rsidR="00D055FF" w:rsidRPr="006A4C7C" w:rsidRDefault="00D055FF" w:rsidP="00B41FE8">
      <w:pPr>
        <w:spacing w:after="0" w:line="240" w:lineRule="auto"/>
        <w:rPr>
          <w:b/>
        </w:rPr>
      </w:pPr>
    </w:p>
    <w:p w14:paraId="442A89ED" w14:textId="77777777" w:rsidR="00B41FE8" w:rsidRPr="00DA492C" w:rsidRDefault="007C5BE5" w:rsidP="00B41FE8">
      <w:pPr>
        <w:spacing w:after="0" w:line="240" w:lineRule="auto"/>
        <w:rPr>
          <w:rFonts w:eastAsia="Times New Roman" w:cs="Times New Roman"/>
        </w:rPr>
      </w:pPr>
      <w:r w:rsidRPr="00B41FE8">
        <w:t xml:space="preserve">In conjunction with the </w:t>
      </w:r>
      <w:r w:rsidR="005A4DFC">
        <w:t xml:space="preserve">DMH LGBTQ Non-Discrimination </w:t>
      </w:r>
      <w:r w:rsidRPr="00B41FE8">
        <w:t xml:space="preserve">Policy, the following operational </w:t>
      </w:r>
      <w:r w:rsidR="00EE4C74">
        <w:t>guidelines have been set forth</w:t>
      </w:r>
      <w:r w:rsidRPr="00B41FE8">
        <w:t xml:space="preserve"> </w:t>
      </w:r>
      <w:r w:rsidR="002B3D88">
        <w:t xml:space="preserve">in an effort to </w:t>
      </w:r>
      <w:r w:rsidRPr="00B41FE8">
        <w:t>establish</w:t>
      </w:r>
      <w:r w:rsidR="002C3059">
        <w:t xml:space="preserve"> best practices for </w:t>
      </w:r>
      <w:r w:rsidRPr="00B41FE8">
        <w:t>deliver</w:t>
      </w:r>
      <w:r w:rsidR="003717BD">
        <w:t>ing</w:t>
      </w:r>
      <w:r w:rsidRPr="00B41FE8">
        <w:t xml:space="preserve"> culturally competent services </w:t>
      </w:r>
      <w:r w:rsidR="003717BD">
        <w:t>to</w:t>
      </w:r>
      <w:r w:rsidR="003717BD" w:rsidRPr="00B41FE8">
        <w:t xml:space="preserve"> </w:t>
      </w:r>
      <w:r w:rsidR="00633067">
        <w:t>lesbian, gay, bisexual, transgender, queer</w:t>
      </w:r>
      <w:r w:rsidR="00F758D7">
        <w:t>/questioning</w:t>
      </w:r>
      <w:r w:rsidR="00633067">
        <w:t xml:space="preserve"> (LGBTQ</w:t>
      </w:r>
      <w:r w:rsidR="00824254">
        <w:t>)</w:t>
      </w:r>
      <w:r w:rsidR="00050FA2">
        <w:t>,</w:t>
      </w:r>
      <w:r w:rsidRPr="00633067">
        <w:t xml:space="preserve"> </w:t>
      </w:r>
      <w:r w:rsidR="009A3C56" w:rsidRPr="00633067">
        <w:t xml:space="preserve">and </w:t>
      </w:r>
      <w:r w:rsidR="00633067">
        <w:t>gender non</w:t>
      </w:r>
      <w:r w:rsidR="00182FAA">
        <w:t>-</w:t>
      </w:r>
      <w:r w:rsidR="00633067">
        <w:t>conforming (GNC)</w:t>
      </w:r>
      <w:r w:rsidR="009A3C56">
        <w:t xml:space="preserve"> </w:t>
      </w:r>
      <w:r w:rsidRPr="00B41FE8">
        <w:t>per</w:t>
      </w:r>
      <w:r w:rsidR="00B41FE8" w:rsidRPr="00B41FE8">
        <w:t>sons</w:t>
      </w:r>
      <w:r w:rsidR="005A4DFC">
        <w:rPr>
          <w:rStyle w:val="FootnoteReference"/>
        </w:rPr>
        <w:footnoteReference w:id="1"/>
      </w:r>
      <w:r w:rsidR="00B41FE8" w:rsidRPr="00B41FE8">
        <w:t xml:space="preserve">.  </w:t>
      </w:r>
      <w:r w:rsidR="00B41FE8" w:rsidRPr="00DA492C">
        <w:rPr>
          <w:rFonts w:eastAsia="Times New Roman" w:cs="Times New Roman"/>
        </w:rPr>
        <w:t>In some instances, DMH will need to tailor and adapt the guidelines, as necessary, depending on the workplace/treatment setting</w:t>
      </w:r>
      <w:r w:rsidR="00C34DAA" w:rsidRPr="00DA492C">
        <w:rPr>
          <w:rFonts w:eastAsia="Times New Roman" w:cs="Times New Roman"/>
        </w:rPr>
        <w:t xml:space="preserve"> and upon approval of the </w:t>
      </w:r>
      <w:r w:rsidR="00633067" w:rsidRPr="00DA492C">
        <w:rPr>
          <w:rFonts w:eastAsia="Times New Roman" w:cs="Times New Roman"/>
        </w:rPr>
        <w:t>Commissioner or designee.</w:t>
      </w:r>
    </w:p>
    <w:p w14:paraId="2EFA3452" w14:textId="77777777" w:rsidR="00B41FE8" w:rsidRPr="00DA492C" w:rsidRDefault="00B41FE8" w:rsidP="00B41FE8">
      <w:pPr>
        <w:spacing w:after="0" w:line="240" w:lineRule="auto"/>
        <w:rPr>
          <w:rFonts w:eastAsia="Times New Roman" w:cs="Times New Roman"/>
        </w:rPr>
      </w:pPr>
    </w:p>
    <w:p w14:paraId="4FB604DB" w14:textId="77777777" w:rsidR="00B41FE8" w:rsidRPr="00B41FE8" w:rsidRDefault="00CA54B5" w:rsidP="00B41FE8">
      <w:pPr>
        <w:spacing w:after="0" w:line="240" w:lineRule="auto"/>
        <w:rPr>
          <w:rFonts w:eastAsia="Times New Roman" w:cs="Times New Roman"/>
        </w:rPr>
      </w:pPr>
      <w:r>
        <w:rPr>
          <w:rFonts w:eastAsia="Times New Roman" w:cs="Times New Roman"/>
        </w:rPr>
        <w:t>These guidelines</w:t>
      </w:r>
      <w:r w:rsidR="002529C6">
        <w:rPr>
          <w:rFonts w:eastAsia="Times New Roman" w:cs="Times New Roman"/>
        </w:rPr>
        <w:t>:</w:t>
      </w:r>
    </w:p>
    <w:p w14:paraId="14E521F3" w14:textId="77777777" w:rsidR="00B41FE8" w:rsidRPr="00B41FE8" w:rsidRDefault="00B41FE8" w:rsidP="00B41FE8">
      <w:pPr>
        <w:numPr>
          <w:ilvl w:val="0"/>
          <w:numId w:val="13"/>
        </w:numPr>
        <w:spacing w:after="0" w:line="240" w:lineRule="auto"/>
        <w:contextualSpacing/>
        <w:rPr>
          <w:rFonts w:eastAsia="Times New Roman" w:cs="Times New Roman"/>
        </w:rPr>
      </w:pPr>
      <w:r w:rsidRPr="00B41FE8">
        <w:rPr>
          <w:rFonts w:eastAsia="Times New Roman" w:cs="Times New Roman"/>
        </w:rPr>
        <w:t xml:space="preserve">facilitate </w:t>
      </w:r>
      <w:r w:rsidR="007D7693">
        <w:rPr>
          <w:rFonts w:eastAsia="Times New Roman" w:cs="Times New Roman"/>
        </w:rPr>
        <w:t xml:space="preserve">voluntary </w:t>
      </w:r>
      <w:r w:rsidRPr="00B41FE8">
        <w:rPr>
          <w:rFonts w:eastAsia="Times New Roman" w:cs="Times New Roman"/>
        </w:rPr>
        <w:t xml:space="preserve">disclosure and documentation of sexual orientation </w:t>
      </w:r>
      <w:r w:rsidR="00C34DAA">
        <w:rPr>
          <w:rFonts w:eastAsia="Times New Roman" w:cs="Times New Roman"/>
        </w:rPr>
        <w:t>and/</w:t>
      </w:r>
      <w:r w:rsidRPr="00B41FE8">
        <w:rPr>
          <w:rFonts w:eastAsia="Times New Roman" w:cs="Times New Roman"/>
        </w:rPr>
        <w:t>or gender identity;</w:t>
      </w:r>
    </w:p>
    <w:p w14:paraId="35541955" w14:textId="77777777" w:rsidR="00B41FE8" w:rsidRPr="00B41FE8" w:rsidRDefault="00B41FE8" w:rsidP="00B41FE8">
      <w:pPr>
        <w:numPr>
          <w:ilvl w:val="0"/>
          <w:numId w:val="13"/>
        </w:numPr>
        <w:spacing w:after="0" w:line="240" w:lineRule="auto"/>
        <w:contextualSpacing/>
        <w:rPr>
          <w:rFonts w:eastAsia="Times New Roman" w:cs="Times New Roman"/>
        </w:rPr>
      </w:pPr>
      <w:r w:rsidRPr="00B41FE8">
        <w:rPr>
          <w:rFonts w:eastAsia="Times New Roman" w:cs="Times New Roman"/>
        </w:rPr>
        <w:t xml:space="preserve">support neutral and inclusive language; and </w:t>
      </w:r>
    </w:p>
    <w:p w14:paraId="765C923D" w14:textId="77777777" w:rsidR="00B41FE8" w:rsidRPr="00B41FE8" w:rsidRDefault="00B41FE8" w:rsidP="00B41FE8">
      <w:pPr>
        <w:numPr>
          <w:ilvl w:val="0"/>
          <w:numId w:val="13"/>
        </w:numPr>
        <w:spacing w:after="0" w:line="240" w:lineRule="auto"/>
        <w:contextualSpacing/>
        <w:rPr>
          <w:rFonts w:eastAsia="Times New Roman" w:cs="Times New Roman"/>
        </w:rPr>
      </w:pPr>
      <w:r w:rsidRPr="00B41FE8">
        <w:rPr>
          <w:rFonts w:eastAsia="Times New Roman" w:cs="Times New Roman"/>
        </w:rPr>
        <w:t>create a welcoming e</w:t>
      </w:r>
      <w:r>
        <w:rPr>
          <w:rFonts w:eastAsia="Times New Roman" w:cs="Times New Roman"/>
        </w:rPr>
        <w:t>nvironment of care</w:t>
      </w:r>
      <w:r w:rsidR="00425D7B">
        <w:rPr>
          <w:rFonts w:eastAsia="Times New Roman" w:cs="Times New Roman"/>
        </w:rPr>
        <w:t xml:space="preserve"> and work setting</w:t>
      </w:r>
      <w:r w:rsidR="002529C6">
        <w:rPr>
          <w:rFonts w:eastAsia="Times New Roman" w:cs="Times New Roman"/>
        </w:rPr>
        <w:t>.</w:t>
      </w:r>
    </w:p>
    <w:p w14:paraId="58632F7C" w14:textId="77777777" w:rsidR="00F757B0" w:rsidRPr="00726A04" w:rsidRDefault="00F757B0" w:rsidP="00824254">
      <w:pPr>
        <w:spacing w:after="0" w:line="240" w:lineRule="auto"/>
        <w:rPr>
          <w:bCs/>
          <w:iCs/>
        </w:rPr>
      </w:pPr>
    </w:p>
    <w:p w14:paraId="702195AA" w14:textId="77777777" w:rsidR="007C5BE5" w:rsidRPr="00726A04" w:rsidRDefault="00824254" w:rsidP="0004674C">
      <w:pPr>
        <w:pBdr>
          <w:top w:val="single" w:sz="4" w:space="1" w:color="auto"/>
          <w:left w:val="single" w:sz="4" w:space="4" w:color="auto"/>
          <w:bottom w:val="single" w:sz="4" w:space="1" w:color="auto"/>
          <w:right w:val="single" w:sz="4" w:space="4" w:color="auto"/>
        </w:pBdr>
        <w:shd w:val="clear" w:color="auto" w:fill="C6D9F1" w:themeFill="text2" w:themeFillTint="33"/>
        <w:tabs>
          <w:tab w:val="left" w:pos="4215"/>
        </w:tabs>
        <w:spacing w:after="0" w:line="240" w:lineRule="auto"/>
        <w:jc w:val="center"/>
        <w:rPr>
          <w:b/>
          <w:iCs/>
        </w:rPr>
      </w:pPr>
      <w:r w:rsidRPr="00824254">
        <w:rPr>
          <w:b/>
          <w:iCs/>
        </w:rPr>
        <w:t>DISCLOSURE</w:t>
      </w:r>
      <w:r w:rsidR="00172163">
        <w:rPr>
          <w:b/>
          <w:iCs/>
        </w:rPr>
        <w:t xml:space="preserve"> &amp; </w:t>
      </w:r>
      <w:r w:rsidRPr="00824254">
        <w:rPr>
          <w:b/>
          <w:iCs/>
        </w:rPr>
        <w:t>CONFIDENTIALITY</w:t>
      </w:r>
    </w:p>
    <w:p w14:paraId="537790FE" w14:textId="77777777" w:rsidR="00F757B0" w:rsidRDefault="001F160C" w:rsidP="00667562">
      <w:pPr>
        <w:spacing w:after="0" w:line="240" w:lineRule="auto"/>
      </w:pPr>
      <w:r>
        <w:t xml:space="preserve">An individual’s sexual orientation </w:t>
      </w:r>
      <w:r w:rsidR="00824254">
        <w:t xml:space="preserve">and </w:t>
      </w:r>
      <w:r>
        <w:t>gender identity shall be exclusively determined by that individual</w:t>
      </w:r>
      <w:r w:rsidR="00824254">
        <w:t>;</w:t>
      </w:r>
      <w:r>
        <w:t xml:space="preserve"> not </w:t>
      </w:r>
      <w:r w:rsidR="00824254">
        <w:t xml:space="preserve">by </w:t>
      </w:r>
      <w:r>
        <w:t xml:space="preserve">their legal guardian, </w:t>
      </w:r>
      <w:r w:rsidR="00FA769F">
        <w:t xml:space="preserve">a </w:t>
      </w:r>
      <w:r>
        <w:t>clinician, or anyone else.</w:t>
      </w:r>
      <w:r w:rsidR="00726A04">
        <w:t xml:space="preserve"> </w:t>
      </w:r>
      <w:r>
        <w:t xml:space="preserve"> </w:t>
      </w:r>
      <w:r w:rsidR="000A7B66">
        <w:t xml:space="preserve">In addition, the degree to which </w:t>
      </w:r>
      <w:r w:rsidR="00824254">
        <w:t xml:space="preserve">an </w:t>
      </w:r>
      <w:r w:rsidR="000A7B66">
        <w:t xml:space="preserve">individual chooses to </w:t>
      </w:r>
      <w:r>
        <w:t xml:space="preserve">publicly </w:t>
      </w:r>
      <w:r w:rsidR="000A7B66">
        <w:t xml:space="preserve">identify as LGBTQ </w:t>
      </w:r>
      <w:r w:rsidR="009A3C56">
        <w:t xml:space="preserve">or GNC </w:t>
      </w:r>
      <w:r w:rsidR="000A7B66">
        <w:t>shall</w:t>
      </w:r>
      <w:r w:rsidR="00FA769F">
        <w:t xml:space="preserve"> be exclusively decided and acted on by </w:t>
      </w:r>
      <w:r w:rsidR="00404D8A">
        <w:t>th</w:t>
      </w:r>
      <w:r w:rsidR="00FA769F">
        <w:t>at</w:t>
      </w:r>
      <w:r w:rsidR="00404D8A">
        <w:t xml:space="preserve"> individual</w:t>
      </w:r>
      <w:r w:rsidR="000A7B66">
        <w:t>.</w:t>
      </w:r>
      <w:r w:rsidR="00726A04">
        <w:t xml:space="preserve">  </w:t>
      </w:r>
      <w:r w:rsidR="000A7B66">
        <w:t>For</w:t>
      </w:r>
      <w:r w:rsidR="001C1515">
        <w:t xml:space="preserve"> various</w:t>
      </w:r>
      <w:r w:rsidR="000A7B66">
        <w:t xml:space="preserve"> reasons</w:t>
      </w:r>
      <w:r w:rsidR="001C1515">
        <w:t xml:space="preserve"> (including</w:t>
      </w:r>
      <w:r w:rsidR="00F757B0">
        <w:t xml:space="preserve"> personal safety</w:t>
      </w:r>
      <w:r w:rsidR="00FA769F">
        <w:t xml:space="preserve"> and </w:t>
      </w:r>
      <w:r w:rsidR="00F757B0">
        <w:t>comfort</w:t>
      </w:r>
      <w:r w:rsidR="001C1515">
        <w:t>)</w:t>
      </w:r>
      <w:r w:rsidR="00AE78D3">
        <w:t xml:space="preserve"> </w:t>
      </w:r>
      <w:r w:rsidR="001C1515">
        <w:t xml:space="preserve">an </w:t>
      </w:r>
      <w:r w:rsidR="00AE78D3">
        <w:t xml:space="preserve">LGBTQ or GNC </w:t>
      </w:r>
      <w:r w:rsidR="001C1515">
        <w:t>individual may</w:t>
      </w:r>
      <w:r w:rsidR="00404D8A">
        <w:t xml:space="preserve"> choose</w:t>
      </w:r>
      <w:r w:rsidR="00F757B0">
        <w:t xml:space="preserve"> to not </w:t>
      </w:r>
      <w:r w:rsidR="00500EAF">
        <w:t>disclose this information</w:t>
      </w:r>
      <w:r w:rsidR="00F757B0">
        <w:t>.</w:t>
      </w:r>
    </w:p>
    <w:p w14:paraId="2D025264" w14:textId="77777777" w:rsidR="002529C6" w:rsidRDefault="002529C6" w:rsidP="00F757B0">
      <w:pPr>
        <w:spacing w:after="0" w:line="240" w:lineRule="auto"/>
        <w:rPr>
          <w:b/>
          <w:i/>
        </w:rPr>
      </w:pPr>
    </w:p>
    <w:p w14:paraId="4D1F924E" w14:textId="77777777" w:rsidR="00F757B0" w:rsidRPr="00C90C80" w:rsidRDefault="00172163"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Pr>
          <w:b/>
          <w:iCs/>
        </w:rPr>
        <w:t>NAMES &amp;</w:t>
      </w:r>
      <w:r w:rsidR="006E191C">
        <w:rPr>
          <w:b/>
          <w:iCs/>
        </w:rPr>
        <w:t xml:space="preserve"> PRONOUNS</w:t>
      </w:r>
    </w:p>
    <w:p w14:paraId="4F3C9B38" w14:textId="77777777" w:rsidR="00502350" w:rsidRDefault="00F757B0" w:rsidP="00D72FD2">
      <w:pPr>
        <w:spacing w:after="0" w:line="240" w:lineRule="auto"/>
      </w:pPr>
      <w:r>
        <w:t>All persons shall</w:t>
      </w:r>
      <w:r w:rsidR="00502350">
        <w:t xml:space="preserve"> be addressed by their </w:t>
      </w:r>
      <w:bookmarkStart w:id="1" w:name="_Hlk53568049"/>
      <w:r w:rsidR="00502350" w:rsidRPr="008F3E14">
        <w:t>self-identif</w:t>
      </w:r>
      <w:r w:rsidR="00C34521">
        <w:t>i</w:t>
      </w:r>
      <w:r w:rsidR="00502350" w:rsidRPr="008F3E14">
        <w:t>ed/chosen</w:t>
      </w:r>
      <w:r>
        <w:t xml:space="preserve"> nam</w:t>
      </w:r>
      <w:r w:rsidR="00D25759">
        <w:t>e</w:t>
      </w:r>
      <w:bookmarkEnd w:id="1"/>
      <w:r w:rsidR="00D25759">
        <w:t>.</w:t>
      </w:r>
      <w:r w:rsidR="004C2170">
        <w:t xml:space="preserve">  </w:t>
      </w:r>
      <w:r w:rsidR="00D25759">
        <w:t xml:space="preserve"> </w:t>
      </w:r>
      <w:r>
        <w:t>Accordingly, the use of pronouns shall be determined by the individual, including the use of gender</w:t>
      </w:r>
      <w:r w:rsidR="00D72FD2">
        <w:t>-</w:t>
      </w:r>
      <w:r>
        <w:t>neutral pronouns such as “they</w:t>
      </w:r>
      <w:r w:rsidR="00D25759">
        <w:t>” or “</w:t>
      </w:r>
      <w:proofErr w:type="spellStart"/>
      <w:r w:rsidR="00D25759">
        <w:t>ze</w:t>
      </w:r>
      <w:proofErr w:type="spellEnd"/>
      <w:r w:rsidR="00D25759">
        <w:t>/</w:t>
      </w:r>
      <w:proofErr w:type="spellStart"/>
      <w:r w:rsidR="00D25759">
        <w:t>hir</w:t>
      </w:r>
      <w:proofErr w:type="spellEnd"/>
      <w:r w:rsidR="00502350">
        <w:t>”</w:t>
      </w:r>
      <w:r w:rsidR="00D72FD2">
        <w:t xml:space="preserve">. </w:t>
      </w:r>
      <w:r w:rsidR="00C90C80">
        <w:t xml:space="preserve"> </w:t>
      </w:r>
      <w:r w:rsidR="00502350" w:rsidRPr="008F3E14">
        <w:t>It is not considered rude to ask someone wh</w:t>
      </w:r>
      <w:r w:rsidR="00AE78D3">
        <w:t xml:space="preserve">ich pronouns </w:t>
      </w:r>
      <w:proofErr w:type="gramStart"/>
      <w:r w:rsidR="00AE78D3">
        <w:t>they  use</w:t>
      </w:r>
      <w:proofErr w:type="gramEnd"/>
      <w:r w:rsidR="00AE78D3">
        <w:t>;</w:t>
      </w:r>
      <w:r w:rsidR="00C90C80">
        <w:t xml:space="preserve"> </w:t>
      </w:r>
      <w:r w:rsidR="00AE78D3">
        <w:t xml:space="preserve">it is </w:t>
      </w:r>
      <w:r w:rsidR="00D72FD2">
        <w:t xml:space="preserve">actually </w:t>
      </w:r>
      <w:r w:rsidR="00AE78D3">
        <w:t>good practice to do so.</w:t>
      </w:r>
    </w:p>
    <w:p w14:paraId="631B87DC" w14:textId="77777777" w:rsidR="006D2997" w:rsidRDefault="006D2997" w:rsidP="00D72FD2">
      <w:pPr>
        <w:spacing w:after="0" w:line="240" w:lineRule="auto"/>
      </w:pPr>
    </w:p>
    <w:p w14:paraId="3237FEEE" w14:textId="77777777" w:rsidR="006D2997" w:rsidRDefault="006D2997" w:rsidP="00D72FD2">
      <w:pPr>
        <w:spacing w:after="0" w:line="240" w:lineRule="auto"/>
      </w:pPr>
      <w:r>
        <w:t xml:space="preserve">The following are appropriate ways to use self-identified/chosen names and pronouns in existing procedures: </w:t>
      </w:r>
    </w:p>
    <w:p w14:paraId="293BBB8A" w14:textId="77777777" w:rsidR="00F757B0" w:rsidRDefault="00F757B0" w:rsidP="00F757B0">
      <w:pPr>
        <w:spacing w:after="0" w:line="240" w:lineRule="auto"/>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7984"/>
      </w:tblGrid>
      <w:tr w:rsidR="006D2997" w14:paraId="3E3EF80C" w14:textId="77777777" w:rsidTr="00B44932">
        <w:tc>
          <w:tcPr>
            <w:tcW w:w="1728" w:type="dxa"/>
          </w:tcPr>
          <w:p w14:paraId="7396771E" w14:textId="77777777" w:rsidR="006D2997" w:rsidRPr="00792437" w:rsidRDefault="006D2997" w:rsidP="00F757B0">
            <w:pPr>
              <w:rPr>
                <w:b/>
                <w:bCs/>
              </w:rPr>
            </w:pPr>
            <w:r w:rsidRPr="00792437">
              <w:rPr>
                <w:b/>
                <w:bCs/>
              </w:rPr>
              <w:t xml:space="preserve">Official </w:t>
            </w:r>
            <w:r w:rsidR="000450B5">
              <w:rPr>
                <w:b/>
                <w:bCs/>
              </w:rPr>
              <w:t>Communications</w:t>
            </w:r>
          </w:p>
        </w:tc>
        <w:tc>
          <w:tcPr>
            <w:tcW w:w="8010" w:type="dxa"/>
          </w:tcPr>
          <w:p w14:paraId="6E64BFDE" w14:textId="77777777" w:rsidR="006D2997" w:rsidRDefault="006D2997" w:rsidP="006D2997">
            <w:r>
              <w:t xml:space="preserve">Official DMH documents may require the use of an individual’s legal name. </w:t>
            </w:r>
            <w:r w:rsidR="004956E6">
              <w:t xml:space="preserve"> </w:t>
            </w:r>
            <w:r>
              <w:t>However, t</w:t>
            </w:r>
            <w:r w:rsidR="004C2170">
              <w:t>hose forms must do so by including</w:t>
            </w:r>
            <w:r>
              <w:t xml:space="preserve"> spaces for the following:</w:t>
            </w:r>
          </w:p>
          <w:p w14:paraId="2A219F29" w14:textId="77777777" w:rsidR="006D2997" w:rsidRDefault="006D2997" w:rsidP="006D2997">
            <w:pPr>
              <w:pStyle w:val="ListParagraph"/>
              <w:numPr>
                <w:ilvl w:val="0"/>
                <w:numId w:val="36"/>
              </w:numPr>
            </w:pPr>
            <w:r>
              <w:t>Legal name</w:t>
            </w:r>
          </w:p>
          <w:p w14:paraId="66E3B6F1" w14:textId="77777777" w:rsidR="006D2997" w:rsidRDefault="006D2997" w:rsidP="006D2997">
            <w:pPr>
              <w:pStyle w:val="ListParagraph"/>
              <w:numPr>
                <w:ilvl w:val="0"/>
                <w:numId w:val="36"/>
              </w:numPr>
            </w:pPr>
            <w:r>
              <w:t xml:space="preserve">Chosen/Preferred </w:t>
            </w:r>
            <w:r w:rsidR="00F758D7">
              <w:t>n</w:t>
            </w:r>
            <w:r>
              <w:t>ame (if applicable)</w:t>
            </w:r>
          </w:p>
          <w:p w14:paraId="48EE2D97" w14:textId="77777777" w:rsidR="006D2997" w:rsidRDefault="006D2997" w:rsidP="006D2997">
            <w:pPr>
              <w:pStyle w:val="ListParagraph"/>
              <w:numPr>
                <w:ilvl w:val="0"/>
                <w:numId w:val="36"/>
              </w:numPr>
            </w:pPr>
            <w:r>
              <w:t>Gender identity</w:t>
            </w:r>
          </w:p>
          <w:p w14:paraId="7457E53A" w14:textId="77777777" w:rsidR="006D2997" w:rsidRDefault="006D2997" w:rsidP="006D2997">
            <w:pPr>
              <w:pStyle w:val="ListParagraph"/>
              <w:numPr>
                <w:ilvl w:val="0"/>
                <w:numId w:val="36"/>
              </w:numPr>
            </w:pPr>
            <w:r>
              <w:t>Pronouns</w:t>
            </w:r>
          </w:p>
          <w:p w14:paraId="6B01C712" w14:textId="77777777" w:rsidR="006D2997" w:rsidRDefault="006D2997" w:rsidP="00F757B0"/>
        </w:tc>
      </w:tr>
      <w:tr w:rsidR="006D2997" w14:paraId="69CF332E" w14:textId="77777777" w:rsidTr="00B44932">
        <w:tc>
          <w:tcPr>
            <w:tcW w:w="1728" w:type="dxa"/>
          </w:tcPr>
          <w:p w14:paraId="10BEBD9A" w14:textId="77777777" w:rsidR="006D2997" w:rsidRPr="00792437" w:rsidRDefault="006D2997" w:rsidP="00F757B0">
            <w:pPr>
              <w:rPr>
                <w:b/>
                <w:bCs/>
              </w:rPr>
            </w:pPr>
            <w:r w:rsidRPr="00792437">
              <w:rPr>
                <w:b/>
                <w:bCs/>
              </w:rPr>
              <w:t>Record Management</w:t>
            </w:r>
          </w:p>
        </w:tc>
        <w:tc>
          <w:tcPr>
            <w:tcW w:w="8010" w:type="dxa"/>
          </w:tcPr>
          <w:p w14:paraId="007C7D3D" w14:textId="77777777" w:rsidR="006D2997" w:rsidRDefault="006D2997" w:rsidP="006D2997">
            <w:r w:rsidRPr="006D2997">
              <w:t xml:space="preserve">There shall be a process by which persons served can have </w:t>
            </w:r>
            <w:proofErr w:type="gramStart"/>
            <w:r w:rsidRPr="006D2997">
              <w:t>their  name</w:t>
            </w:r>
            <w:proofErr w:type="gramEnd"/>
            <w:r w:rsidRPr="006D2997">
              <w:t xml:space="preserve"> and/or gender entered in their records from the date of request onward.</w:t>
            </w:r>
            <w:r w:rsidR="004956E6">
              <w:t xml:space="preserve"> </w:t>
            </w:r>
            <w:r w:rsidRPr="006D2997">
              <w:t xml:space="preserve"> Any entry in the </w:t>
            </w:r>
            <w:r w:rsidR="00953171">
              <w:t>medical record</w:t>
            </w:r>
            <w:r w:rsidRPr="006D2997">
              <w:t>, however, cannot be modified or changed.  Rec</w:t>
            </w:r>
            <w:r w:rsidR="00470D7A">
              <w:t>o</w:t>
            </w:r>
            <w:r w:rsidRPr="006D2997">
              <w:t xml:space="preserve">rds may include biological sex assigned at birth when it differs from stated gender and </w:t>
            </w:r>
            <w:r w:rsidR="004E6884">
              <w:t xml:space="preserve">when </w:t>
            </w:r>
            <w:r w:rsidRPr="006D2997">
              <w:t>there is a reason that this medical information is needed in the care or planning for benefits for the person.</w:t>
            </w:r>
          </w:p>
          <w:p w14:paraId="42DD3ACB" w14:textId="77777777" w:rsidR="00953171" w:rsidRDefault="00953171" w:rsidP="006D2997"/>
          <w:p w14:paraId="3C2548FA" w14:textId="77777777" w:rsidR="00953171" w:rsidRDefault="00953171" w:rsidP="006D2997">
            <w:r>
              <w:lastRenderedPageBreak/>
              <w:t xml:space="preserve">Employees who wish to change their name and/or gender may do so following Human Resources procedures.  </w:t>
            </w:r>
          </w:p>
          <w:p w14:paraId="7D6D6BD8" w14:textId="77777777" w:rsidR="006D2997" w:rsidRDefault="006D2997" w:rsidP="006D2997"/>
        </w:tc>
      </w:tr>
      <w:tr w:rsidR="006D2997" w14:paraId="54B65D76" w14:textId="77777777" w:rsidTr="00B44932">
        <w:tc>
          <w:tcPr>
            <w:tcW w:w="1728" w:type="dxa"/>
          </w:tcPr>
          <w:p w14:paraId="4CEB5356" w14:textId="77777777" w:rsidR="006D2997" w:rsidRPr="00792437" w:rsidRDefault="006D2997" w:rsidP="00F757B0">
            <w:pPr>
              <w:rPr>
                <w:b/>
                <w:bCs/>
              </w:rPr>
            </w:pPr>
          </w:p>
        </w:tc>
        <w:tc>
          <w:tcPr>
            <w:tcW w:w="8010" w:type="dxa"/>
          </w:tcPr>
          <w:p w14:paraId="7AE8EC18" w14:textId="77777777" w:rsidR="006D2997" w:rsidRDefault="006D2997" w:rsidP="00F757B0"/>
        </w:tc>
      </w:tr>
      <w:tr w:rsidR="006D2997" w14:paraId="76C9ECA2" w14:textId="77777777" w:rsidTr="00B44932">
        <w:tc>
          <w:tcPr>
            <w:tcW w:w="1728" w:type="dxa"/>
          </w:tcPr>
          <w:p w14:paraId="732C64BC" w14:textId="77777777" w:rsidR="006D2997" w:rsidRPr="00792437" w:rsidRDefault="008F1ED6" w:rsidP="00F757B0">
            <w:pPr>
              <w:rPr>
                <w:b/>
                <w:bCs/>
              </w:rPr>
            </w:pPr>
            <w:r>
              <w:rPr>
                <w:b/>
                <w:bCs/>
              </w:rPr>
              <w:t>Emai</w:t>
            </w:r>
            <w:r w:rsidR="009519F5">
              <w:rPr>
                <w:b/>
                <w:bCs/>
              </w:rPr>
              <w:t>l</w:t>
            </w:r>
          </w:p>
        </w:tc>
        <w:tc>
          <w:tcPr>
            <w:tcW w:w="8010" w:type="dxa"/>
          </w:tcPr>
          <w:p w14:paraId="09217D95" w14:textId="77777777" w:rsidR="006D2997" w:rsidRPr="006D2997" w:rsidRDefault="00EB20E9" w:rsidP="006D2997">
            <w:r>
              <w:t>Staff are</w:t>
            </w:r>
            <w:r w:rsidR="00470D7A">
              <w:t xml:space="preserve"> </w:t>
            </w:r>
            <w:r w:rsidR="006D2997">
              <w:t>encouraged</w:t>
            </w:r>
            <w:r w:rsidR="006D2997" w:rsidRPr="006D2997">
              <w:t xml:space="preserve"> </w:t>
            </w:r>
            <w:r w:rsidR="007079B6">
              <w:t>to share</w:t>
            </w:r>
            <w:r w:rsidR="006D2997" w:rsidRPr="006D2997">
              <w:t xml:space="preserve"> which pronouns </w:t>
            </w:r>
            <w:r w:rsidR="007079B6">
              <w:t>are</w:t>
            </w:r>
            <w:r w:rsidR="00470D7A">
              <w:t xml:space="preserve"> </w:t>
            </w:r>
            <w:r w:rsidR="006D2997" w:rsidRPr="006D2997">
              <w:t>prefer</w:t>
            </w:r>
            <w:r w:rsidR="007079B6">
              <w:t>red</w:t>
            </w:r>
            <w:r w:rsidR="006D2997" w:rsidRPr="006D2997">
              <w:t xml:space="preserve"> as part of </w:t>
            </w:r>
            <w:r w:rsidR="007079B6">
              <w:t>a</w:t>
            </w:r>
            <w:r w:rsidR="006D2997" w:rsidRPr="006D2997">
              <w:t xml:space="preserve"> “signature.”</w:t>
            </w:r>
          </w:p>
          <w:p w14:paraId="64DB6537" w14:textId="77777777" w:rsidR="006D2997" w:rsidRPr="00300E5B" w:rsidRDefault="00300E5B" w:rsidP="006D2997">
            <w:pPr>
              <w:rPr>
                <w:b/>
                <w:i/>
              </w:rPr>
            </w:pPr>
            <w:r>
              <w:rPr>
                <w:b/>
                <w:i/>
              </w:rPr>
              <w:tab/>
            </w:r>
            <w:r w:rsidR="006D2997" w:rsidRPr="00464401">
              <w:rPr>
                <w:b/>
                <w:i/>
              </w:rPr>
              <w:t xml:space="preserve">Example:  </w:t>
            </w:r>
            <w:r w:rsidR="006D2997" w:rsidRPr="00792437">
              <w:rPr>
                <w:bCs/>
                <w:i/>
              </w:rPr>
              <w:t>Jess Miller, LICSW</w:t>
            </w:r>
          </w:p>
          <w:p w14:paraId="4FC6CFA3" w14:textId="77777777" w:rsidR="006D2997" w:rsidRPr="00792437" w:rsidRDefault="006D2997" w:rsidP="006D2997">
            <w:pPr>
              <w:rPr>
                <w:bCs/>
                <w:i/>
              </w:rPr>
            </w:pPr>
            <w:r w:rsidRPr="00792437">
              <w:rPr>
                <w:bCs/>
                <w:i/>
              </w:rPr>
              <w:tab/>
            </w:r>
            <w:r w:rsidR="00300E5B">
              <w:rPr>
                <w:bCs/>
                <w:i/>
              </w:rPr>
              <w:tab/>
              <w:t xml:space="preserve">    </w:t>
            </w:r>
            <w:r w:rsidRPr="00792437">
              <w:rPr>
                <w:bCs/>
                <w:i/>
              </w:rPr>
              <w:t>Clinical Social Worker</w:t>
            </w:r>
          </w:p>
          <w:p w14:paraId="19188632" w14:textId="77777777" w:rsidR="006D2997" w:rsidRPr="00792437" w:rsidRDefault="006D2997" w:rsidP="006D2997">
            <w:pPr>
              <w:rPr>
                <w:bCs/>
                <w:i/>
              </w:rPr>
            </w:pPr>
            <w:r w:rsidRPr="00792437">
              <w:rPr>
                <w:bCs/>
                <w:i/>
              </w:rPr>
              <w:tab/>
            </w:r>
            <w:r w:rsidR="00300E5B">
              <w:rPr>
                <w:bCs/>
                <w:i/>
              </w:rPr>
              <w:tab/>
              <w:t xml:space="preserve">    </w:t>
            </w:r>
            <w:r w:rsidRPr="00792437">
              <w:rPr>
                <w:bCs/>
                <w:i/>
              </w:rPr>
              <w:t>Pronouns: he, him, his</w:t>
            </w:r>
          </w:p>
          <w:p w14:paraId="5CE0E7CE" w14:textId="77777777" w:rsidR="006D2997" w:rsidRPr="006D2997" w:rsidRDefault="006D2997" w:rsidP="006D2997">
            <w:pPr>
              <w:rPr>
                <w:bCs/>
              </w:rPr>
            </w:pPr>
            <w:r w:rsidRPr="006D2997">
              <w:rPr>
                <w:bCs/>
              </w:rPr>
              <w:tab/>
            </w:r>
            <w:r w:rsidR="00300E5B">
              <w:rPr>
                <w:bCs/>
              </w:rPr>
              <w:tab/>
              <w:t xml:space="preserve">    </w:t>
            </w:r>
            <w:r w:rsidRPr="006D2997">
              <w:rPr>
                <w:bCs/>
              </w:rPr>
              <w:t>Or</w:t>
            </w:r>
          </w:p>
          <w:p w14:paraId="3B29BA27" w14:textId="77777777" w:rsidR="006D2997" w:rsidRPr="00792437" w:rsidRDefault="006D2997" w:rsidP="006D2997">
            <w:pPr>
              <w:rPr>
                <w:bCs/>
                <w:i/>
              </w:rPr>
            </w:pPr>
            <w:r w:rsidRPr="00792437">
              <w:rPr>
                <w:bCs/>
                <w:i/>
              </w:rPr>
              <w:tab/>
            </w:r>
            <w:r w:rsidR="00300E5B">
              <w:rPr>
                <w:bCs/>
                <w:i/>
              </w:rPr>
              <w:tab/>
              <w:t xml:space="preserve">    </w:t>
            </w:r>
            <w:r w:rsidRPr="00792437">
              <w:rPr>
                <w:bCs/>
                <w:i/>
              </w:rPr>
              <w:t>Gabe Smith</w:t>
            </w:r>
          </w:p>
          <w:p w14:paraId="4AD74EB9" w14:textId="77777777" w:rsidR="006D2997" w:rsidRPr="00792437" w:rsidRDefault="006D2997" w:rsidP="006D2997">
            <w:pPr>
              <w:rPr>
                <w:bCs/>
                <w:i/>
              </w:rPr>
            </w:pPr>
            <w:r w:rsidRPr="00792437">
              <w:rPr>
                <w:bCs/>
                <w:i/>
              </w:rPr>
              <w:tab/>
            </w:r>
            <w:r w:rsidR="00300E5B">
              <w:rPr>
                <w:bCs/>
                <w:i/>
              </w:rPr>
              <w:tab/>
              <w:t xml:space="preserve">    </w:t>
            </w:r>
            <w:r w:rsidRPr="00792437">
              <w:rPr>
                <w:bCs/>
                <w:i/>
              </w:rPr>
              <w:t>MHW</w:t>
            </w:r>
          </w:p>
          <w:p w14:paraId="40F3DFE8" w14:textId="77777777" w:rsidR="006D2997" w:rsidRPr="00792437" w:rsidRDefault="006D2997" w:rsidP="006D2997">
            <w:pPr>
              <w:rPr>
                <w:bCs/>
                <w:i/>
              </w:rPr>
            </w:pPr>
            <w:r w:rsidRPr="00792437">
              <w:rPr>
                <w:bCs/>
                <w:i/>
              </w:rPr>
              <w:tab/>
            </w:r>
            <w:r w:rsidR="00300E5B">
              <w:rPr>
                <w:bCs/>
                <w:i/>
              </w:rPr>
              <w:tab/>
              <w:t xml:space="preserve">    </w:t>
            </w:r>
            <w:r w:rsidRPr="00792437">
              <w:rPr>
                <w:bCs/>
                <w:i/>
              </w:rPr>
              <w:t>Pronouns:  they, them, their</w:t>
            </w:r>
          </w:p>
          <w:p w14:paraId="66E192CF" w14:textId="77777777" w:rsidR="006D2997" w:rsidRDefault="006D2997" w:rsidP="00F757B0"/>
        </w:tc>
      </w:tr>
    </w:tbl>
    <w:p w14:paraId="3B87F019" w14:textId="77777777" w:rsidR="00F757B0" w:rsidRDefault="00F757B0" w:rsidP="00F757B0">
      <w:pPr>
        <w:spacing w:after="0" w:line="240" w:lineRule="auto"/>
      </w:pPr>
    </w:p>
    <w:p w14:paraId="6912C2A0" w14:textId="77777777" w:rsidR="00FC513F" w:rsidRPr="004956E6" w:rsidRDefault="00172163" w:rsidP="0004674C">
      <w:pPr>
        <w:pStyle w:val="Pa4"/>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center"/>
        <w:rPr>
          <w:rFonts w:ascii="Calibri" w:hAnsi="Calibri" w:cs="Cambria"/>
          <w:iCs/>
          <w:sz w:val="22"/>
          <w:szCs w:val="22"/>
        </w:rPr>
      </w:pPr>
      <w:r>
        <w:rPr>
          <w:rFonts w:ascii="Calibri" w:hAnsi="Calibri" w:cs="Cambria"/>
          <w:b/>
          <w:bCs/>
          <w:iCs/>
          <w:sz w:val="22"/>
          <w:szCs w:val="22"/>
        </w:rPr>
        <w:t xml:space="preserve">REFERRAL, INTAKE, </w:t>
      </w:r>
      <w:r w:rsidR="006E191C" w:rsidRPr="006E191C">
        <w:rPr>
          <w:rFonts w:ascii="Calibri" w:hAnsi="Calibri" w:cs="Cambria"/>
          <w:b/>
          <w:bCs/>
          <w:iCs/>
          <w:sz w:val="22"/>
          <w:szCs w:val="22"/>
        </w:rPr>
        <w:t>SCREENING</w:t>
      </w:r>
    </w:p>
    <w:p w14:paraId="0FC16246" w14:textId="77777777" w:rsidR="00050FA2" w:rsidRPr="00792437" w:rsidRDefault="00DE39C0" w:rsidP="0022212A">
      <w:pPr>
        <w:spacing w:after="0" w:line="240" w:lineRule="auto"/>
        <w:rPr>
          <w:rFonts w:ascii="Calibri" w:hAnsi="Calibri"/>
        </w:rPr>
      </w:pPr>
      <w:r w:rsidRPr="009748EA">
        <w:rPr>
          <w:rFonts w:ascii="Calibri" w:hAnsi="Calibri"/>
        </w:rPr>
        <w:t xml:space="preserve">Throughout the </w:t>
      </w:r>
      <w:r>
        <w:rPr>
          <w:rFonts w:ascii="Calibri" w:hAnsi="Calibri"/>
        </w:rPr>
        <w:t xml:space="preserve">intake and screening process, </w:t>
      </w:r>
      <w:r w:rsidRPr="009748EA">
        <w:rPr>
          <w:rFonts w:ascii="Calibri" w:hAnsi="Calibri"/>
        </w:rPr>
        <w:t>staff should avoid m</w:t>
      </w:r>
      <w:r>
        <w:rPr>
          <w:rFonts w:ascii="Calibri" w:hAnsi="Calibri"/>
        </w:rPr>
        <w:t>aking assumptions about a</w:t>
      </w:r>
      <w:r w:rsidR="007E0062">
        <w:rPr>
          <w:rFonts w:ascii="Calibri" w:hAnsi="Calibri"/>
        </w:rPr>
        <w:t xml:space="preserve">n individual’s </w:t>
      </w:r>
      <w:r w:rsidRPr="009748EA">
        <w:rPr>
          <w:rFonts w:ascii="Calibri" w:hAnsi="Calibri"/>
        </w:rPr>
        <w:t xml:space="preserve">gender based </w:t>
      </w:r>
      <w:r>
        <w:rPr>
          <w:rFonts w:ascii="Calibri" w:hAnsi="Calibri"/>
        </w:rPr>
        <w:t xml:space="preserve">on anything other than </w:t>
      </w:r>
      <w:r w:rsidR="007E0062">
        <w:rPr>
          <w:rFonts w:ascii="Calibri" w:hAnsi="Calibri"/>
        </w:rPr>
        <w:t>their own gender</w:t>
      </w:r>
      <w:r w:rsidRPr="009748EA">
        <w:rPr>
          <w:rFonts w:ascii="Calibri" w:hAnsi="Calibri"/>
        </w:rPr>
        <w:t xml:space="preserve"> description</w:t>
      </w:r>
      <w:r>
        <w:rPr>
          <w:rFonts w:ascii="Calibri" w:hAnsi="Calibri"/>
        </w:rPr>
        <w:t>.</w:t>
      </w:r>
      <w:r w:rsidR="00792437">
        <w:rPr>
          <w:rFonts w:ascii="Calibri" w:hAnsi="Calibri"/>
        </w:rPr>
        <w:t xml:space="preserve"> </w:t>
      </w:r>
      <w:r>
        <w:rPr>
          <w:rFonts w:ascii="Calibri" w:hAnsi="Calibri"/>
        </w:rPr>
        <w:t xml:space="preserve"> </w:t>
      </w:r>
      <w:r w:rsidRPr="00404D8A">
        <w:rPr>
          <w:rFonts w:ascii="Calibri" w:hAnsi="Calibri"/>
        </w:rPr>
        <w:t xml:space="preserve">This is particularly critical for </w:t>
      </w:r>
      <w:r>
        <w:rPr>
          <w:rFonts w:ascii="Calibri" w:hAnsi="Calibri"/>
        </w:rPr>
        <w:t>personnel</w:t>
      </w:r>
      <w:r w:rsidRPr="00404D8A">
        <w:rPr>
          <w:rFonts w:ascii="Calibri" w:hAnsi="Calibri"/>
        </w:rPr>
        <w:t xml:space="preserve"> who are the first to have contact with individuals up</w:t>
      </w:r>
      <w:r>
        <w:rPr>
          <w:rFonts w:ascii="Calibri" w:hAnsi="Calibri"/>
        </w:rPr>
        <w:t>on entry to a facility/program.</w:t>
      </w:r>
      <w:r w:rsidR="0022212A" w:rsidRPr="0022212A">
        <w:t xml:space="preserve"> </w:t>
      </w:r>
    </w:p>
    <w:p w14:paraId="08E3CB5C" w14:textId="77777777" w:rsidR="00792437" w:rsidRDefault="00792437" w:rsidP="00792437">
      <w:pPr>
        <w:spacing w:after="0" w:line="240" w:lineRule="auto"/>
        <w:ind w:left="720"/>
        <w:rPr>
          <w:b/>
          <w:bCs/>
          <w:i/>
          <w:iCs/>
        </w:rPr>
      </w:pPr>
    </w:p>
    <w:p w14:paraId="25FD372E" w14:textId="77777777" w:rsidR="0022212A" w:rsidRPr="004A2685" w:rsidRDefault="00050FA2" w:rsidP="004A2685">
      <w:pPr>
        <w:pStyle w:val="ListParagraph"/>
        <w:numPr>
          <w:ilvl w:val="0"/>
          <w:numId w:val="44"/>
        </w:numPr>
        <w:spacing w:after="0" w:line="240" w:lineRule="auto"/>
        <w:rPr>
          <w:i/>
          <w:iCs/>
        </w:rPr>
      </w:pPr>
      <w:r w:rsidRPr="004A2685">
        <w:rPr>
          <w:i/>
          <w:iCs/>
        </w:rPr>
        <w:t xml:space="preserve">Staff should not assume gender based on a person’s voice, clothing, appearance, or documentation, or ID.  </w:t>
      </w:r>
    </w:p>
    <w:p w14:paraId="7E3AA05F" w14:textId="77777777" w:rsidR="00792437" w:rsidRDefault="00792437" w:rsidP="00DE39C0">
      <w:pPr>
        <w:pStyle w:val="Default"/>
        <w:rPr>
          <w:rFonts w:asciiTheme="minorHAnsi" w:hAnsiTheme="minorHAnsi" w:cstheme="minorHAnsi"/>
        </w:rPr>
      </w:pPr>
    </w:p>
    <w:p w14:paraId="2A27535A" w14:textId="77777777" w:rsidR="00DE39C0" w:rsidRPr="00202010" w:rsidRDefault="00050FA2" w:rsidP="00DE39C0">
      <w:pPr>
        <w:pStyle w:val="Default"/>
        <w:rPr>
          <w:rFonts w:asciiTheme="minorHAnsi" w:hAnsiTheme="minorHAnsi" w:cstheme="minorHAnsi"/>
          <w:sz w:val="22"/>
          <w:szCs w:val="22"/>
        </w:rPr>
      </w:pPr>
      <w:r w:rsidRPr="00202010">
        <w:rPr>
          <w:rFonts w:asciiTheme="minorHAnsi" w:hAnsiTheme="minorHAnsi" w:cstheme="minorHAnsi"/>
          <w:sz w:val="22"/>
          <w:szCs w:val="22"/>
        </w:rPr>
        <w:t>Questions regarding referrals should be made t</w:t>
      </w:r>
      <w:r w:rsidR="00CA7C24" w:rsidRPr="00202010">
        <w:rPr>
          <w:rFonts w:asciiTheme="minorHAnsi" w:hAnsiTheme="minorHAnsi" w:cstheme="minorHAnsi"/>
          <w:sz w:val="22"/>
          <w:szCs w:val="22"/>
        </w:rPr>
        <w:t xml:space="preserve">o the facility medical director or </w:t>
      </w:r>
      <w:r w:rsidRPr="00202010">
        <w:rPr>
          <w:rFonts w:asciiTheme="minorHAnsi" w:hAnsiTheme="minorHAnsi" w:cstheme="minorHAnsi"/>
          <w:sz w:val="22"/>
          <w:szCs w:val="22"/>
        </w:rPr>
        <w:t>area medical director for persons in the community.</w:t>
      </w:r>
    </w:p>
    <w:p w14:paraId="41B55A78" w14:textId="77777777" w:rsidR="00050FA2" w:rsidRPr="00792437" w:rsidRDefault="00050FA2" w:rsidP="00DE39C0">
      <w:pPr>
        <w:pStyle w:val="Default"/>
        <w:rPr>
          <w:rFonts w:asciiTheme="minorHAnsi" w:hAnsiTheme="minorHAnsi" w:cstheme="minorHAnsi"/>
        </w:rPr>
      </w:pPr>
    </w:p>
    <w:p w14:paraId="655C7EF7" w14:textId="77777777" w:rsidR="00DE39C0" w:rsidRDefault="00DE39C0" w:rsidP="00DE39C0">
      <w:pPr>
        <w:pStyle w:val="Default"/>
        <w:rPr>
          <w:rFonts w:asciiTheme="minorHAnsi" w:hAnsiTheme="minorHAnsi"/>
          <w:sz w:val="22"/>
          <w:szCs w:val="22"/>
        </w:rPr>
      </w:pPr>
      <w:r w:rsidRPr="00786072">
        <w:rPr>
          <w:rFonts w:asciiTheme="minorHAnsi" w:hAnsiTheme="minorHAnsi"/>
          <w:sz w:val="22"/>
          <w:szCs w:val="22"/>
        </w:rPr>
        <w:t xml:space="preserve">It is appropriate </w:t>
      </w:r>
      <w:r w:rsidR="00202010">
        <w:rPr>
          <w:rFonts w:asciiTheme="minorHAnsi" w:hAnsiTheme="minorHAnsi"/>
          <w:sz w:val="22"/>
          <w:szCs w:val="22"/>
        </w:rPr>
        <w:t xml:space="preserve">to ask a person served if they </w:t>
      </w:r>
      <w:r w:rsidRPr="00786072">
        <w:rPr>
          <w:rFonts w:asciiTheme="minorHAnsi" w:hAnsiTheme="minorHAnsi"/>
          <w:sz w:val="22"/>
          <w:szCs w:val="22"/>
        </w:rPr>
        <w:t xml:space="preserve">use a name other than their legal name or the name on file. </w:t>
      </w:r>
      <w:r w:rsidR="00CA7C24">
        <w:rPr>
          <w:rFonts w:asciiTheme="minorHAnsi" w:hAnsiTheme="minorHAnsi"/>
          <w:sz w:val="22"/>
          <w:szCs w:val="22"/>
        </w:rPr>
        <w:t xml:space="preserve"> </w:t>
      </w:r>
      <w:r w:rsidRPr="00786072">
        <w:rPr>
          <w:rFonts w:asciiTheme="minorHAnsi" w:hAnsiTheme="minorHAnsi"/>
          <w:sz w:val="22"/>
          <w:szCs w:val="22"/>
        </w:rPr>
        <w:t xml:space="preserve">If they do, record their </w:t>
      </w:r>
      <w:r w:rsidR="00593C42" w:rsidRPr="00593C42">
        <w:rPr>
          <w:rFonts w:asciiTheme="minorHAnsi" w:hAnsiTheme="minorHAnsi"/>
          <w:sz w:val="22"/>
          <w:szCs w:val="22"/>
        </w:rPr>
        <w:t xml:space="preserve">self-identified/chosen </w:t>
      </w:r>
      <w:r w:rsidRPr="00786072">
        <w:rPr>
          <w:rFonts w:asciiTheme="minorHAnsi" w:hAnsiTheme="minorHAnsi"/>
          <w:sz w:val="22"/>
          <w:szCs w:val="22"/>
        </w:rPr>
        <w:t xml:space="preserve">name in the </w:t>
      </w:r>
      <w:r w:rsidR="006A689B">
        <w:rPr>
          <w:rFonts w:asciiTheme="minorHAnsi" w:hAnsiTheme="minorHAnsi"/>
          <w:sz w:val="22"/>
          <w:szCs w:val="22"/>
        </w:rPr>
        <w:t>“</w:t>
      </w:r>
      <w:r w:rsidR="00593C42">
        <w:rPr>
          <w:rFonts w:asciiTheme="minorHAnsi" w:hAnsiTheme="minorHAnsi"/>
          <w:sz w:val="22"/>
          <w:szCs w:val="22"/>
        </w:rPr>
        <w:t>also known as</w:t>
      </w:r>
      <w:r w:rsidR="006A689B">
        <w:rPr>
          <w:rFonts w:asciiTheme="minorHAnsi" w:hAnsiTheme="minorHAnsi"/>
          <w:sz w:val="22"/>
          <w:szCs w:val="22"/>
        </w:rPr>
        <w:t>”</w:t>
      </w:r>
      <w:r w:rsidR="00593C42">
        <w:rPr>
          <w:rFonts w:asciiTheme="minorHAnsi" w:hAnsiTheme="minorHAnsi"/>
          <w:sz w:val="22"/>
          <w:szCs w:val="22"/>
        </w:rPr>
        <w:t xml:space="preserve"> (</w:t>
      </w:r>
      <w:r w:rsidRPr="00786072">
        <w:rPr>
          <w:rFonts w:asciiTheme="minorHAnsi" w:hAnsiTheme="minorHAnsi"/>
          <w:sz w:val="22"/>
          <w:szCs w:val="22"/>
        </w:rPr>
        <w:t>A</w:t>
      </w:r>
      <w:r>
        <w:rPr>
          <w:rFonts w:asciiTheme="minorHAnsi" w:hAnsiTheme="minorHAnsi"/>
          <w:sz w:val="22"/>
          <w:szCs w:val="22"/>
        </w:rPr>
        <w:t>KA</w:t>
      </w:r>
      <w:r w:rsidR="00593C42">
        <w:rPr>
          <w:rFonts w:asciiTheme="minorHAnsi" w:hAnsiTheme="minorHAnsi"/>
          <w:sz w:val="22"/>
          <w:szCs w:val="22"/>
        </w:rPr>
        <w:t>)</w:t>
      </w:r>
      <w:r>
        <w:rPr>
          <w:rFonts w:asciiTheme="minorHAnsi" w:hAnsiTheme="minorHAnsi"/>
          <w:sz w:val="22"/>
          <w:szCs w:val="22"/>
        </w:rPr>
        <w:t xml:space="preserve"> field. </w:t>
      </w:r>
      <w:r w:rsidR="009271F4">
        <w:rPr>
          <w:rFonts w:asciiTheme="minorHAnsi" w:hAnsiTheme="minorHAnsi"/>
          <w:sz w:val="22"/>
          <w:szCs w:val="22"/>
        </w:rPr>
        <w:t xml:space="preserve">  </w:t>
      </w:r>
      <w:r>
        <w:rPr>
          <w:rFonts w:asciiTheme="minorHAnsi" w:hAnsiTheme="minorHAnsi"/>
          <w:sz w:val="22"/>
          <w:szCs w:val="22"/>
        </w:rPr>
        <w:t xml:space="preserve">It is </w:t>
      </w:r>
      <w:r w:rsidR="00FC513F">
        <w:rPr>
          <w:rFonts w:asciiTheme="minorHAnsi" w:hAnsiTheme="minorHAnsi"/>
          <w:sz w:val="22"/>
          <w:szCs w:val="22"/>
        </w:rPr>
        <w:t xml:space="preserve">also </w:t>
      </w:r>
      <w:r>
        <w:rPr>
          <w:rFonts w:asciiTheme="minorHAnsi" w:hAnsiTheme="minorHAnsi"/>
          <w:sz w:val="22"/>
          <w:szCs w:val="22"/>
        </w:rPr>
        <w:t>recommended</w:t>
      </w:r>
      <w:r w:rsidRPr="00786072">
        <w:rPr>
          <w:rFonts w:asciiTheme="minorHAnsi" w:hAnsiTheme="minorHAnsi"/>
          <w:sz w:val="22"/>
          <w:szCs w:val="22"/>
        </w:rPr>
        <w:t xml:space="preserve"> to ask what pronouns a person uses.</w:t>
      </w:r>
      <w:r w:rsidR="0059674C">
        <w:rPr>
          <w:rFonts w:asciiTheme="minorHAnsi" w:hAnsiTheme="minorHAnsi"/>
          <w:sz w:val="22"/>
          <w:szCs w:val="22"/>
        </w:rPr>
        <w:t xml:space="preserve">  </w:t>
      </w:r>
      <w:r w:rsidR="00FC513F">
        <w:rPr>
          <w:rFonts w:asciiTheme="minorHAnsi" w:hAnsiTheme="minorHAnsi"/>
          <w:sz w:val="22"/>
          <w:szCs w:val="22"/>
        </w:rPr>
        <w:t>It should be n</w:t>
      </w:r>
      <w:r>
        <w:rPr>
          <w:rFonts w:asciiTheme="minorHAnsi" w:hAnsiTheme="minorHAnsi"/>
          <w:sz w:val="22"/>
          <w:szCs w:val="22"/>
        </w:rPr>
        <w:t>ote</w:t>
      </w:r>
      <w:r w:rsidR="00FC513F">
        <w:rPr>
          <w:rFonts w:asciiTheme="minorHAnsi" w:hAnsiTheme="minorHAnsi"/>
          <w:sz w:val="22"/>
          <w:szCs w:val="22"/>
        </w:rPr>
        <w:t>d</w:t>
      </w:r>
      <w:r>
        <w:rPr>
          <w:rFonts w:asciiTheme="minorHAnsi" w:hAnsiTheme="minorHAnsi"/>
          <w:sz w:val="22"/>
          <w:szCs w:val="22"/>
        </w:rPr>
        <w:t xml:space="preserve"> that a person’s presentation and gender identity may be fluid and this should be a continuous dialogue.</w:t>
      </w:r>
    </w:p>
    <w:p w14:paraId="287FAD9D" w14:textId="77777777" w:rsidR="00DE39C0" w:rsidRDefault="00DE39C0" w:rsidP="00DE39C0">
      <w:pPr>
        <w:pStyle w:val="Default"/>
        <w:rPr>
          <w:rFonts w:asciiTheme="minorHAnsi" w:hAnsiTheme="minorHAnsi"/>
          <w:sz w:val="22"/>
          <w:szCs w:val="22"/>
        </w:rPr>
      </w:pPr>
    </w:p>
    <w:p w14:paraId="45341862" w14:textId="77777777" w:rsidR="00204102" w:rsidRDefault="00C020E7" w:rsidP="00DE39C0">
      <w:pPr>
        <w:pStyle w:val="Pa4"/>
        <w:spacing w:line="240" w:lineRule="auto"/>
        <w:rPr>
          <w:rFonts w:asciiTheme="minorHAnsi" w:hAnsiTheme="minorHAnsi"/>
          <w:sz w:val="22"/>
          <w:szCs w:val="22"/>
        </w:rPr>
      </w:pPr>
      <w:r w:rsidRPr="00C020E7">
        <w:rPr>
          <w:rFonts w:asciiTheme="minorHAnsi" w:hAnsiTheme="minorHAnsi"/>
          <w:sz w:val="22"/>
          <w:szCs w:val="22"/>
        </w:rPr>
        <w:t xml:space="preserve">MHIS data fields for gender identity, pronouns, and sexual orientation have been updated effective August 17, 2020.  All existing clients will have their Electronic Medical Records data updated according to the preferences of the individual </w:t>
      </w:r>
      <w:r w:rsidR="00172163">
        <w:rPr>
          <w:rFonts w:asciiTheme="minorHAnsi" w:hAnsiTheme="minorHAnsi"/>
          <w:sz w:val="22"/>
          <w:szCs w:val="22"/>
        </w:rPr>
        <w:t xml:space="preserve">and no later than </w:t>
      </w:r>
      <w:r w:rsidRPr="00C020E7">
        <w:rPr>
          <w:rFonts w:asciiTheme="minorHAnsi" w:hAnsiTheme="minorHAnsi"/>
          <w:sz w:val="22"/>
          <w:szCs w:val="22"/>
        </w:rPr>
        <w:t>at their next regularly sche</w:t>
      </w:r>
      <w:r w:rsidR="00172163">
        <w:rPr>
          <w:rFonts w:asciiTheme="minorHAnsi" w:hAnsiTheme="minorHAnsi"/>
          <w:sz w:val="22"/>
          <w:szCs w:val="22"/>
        </w:rPr>
        <w:t>duled review</w:t>
      </w:r>
      <w:r w:rsidRPr="00172163">
        <w:rPr>
          <w:rFonts w:asciiTheme="minorHAnsi" w:hAnsiTheme="minorHAnsi"/>
          <w:sz w:val="22"/>
          <w:szCs w:val="22"/>
        </w:rPr>
        <w:t>.</w:t>
      </w:r>
      <w:r w:rsidR="0059674C">
        <w:rPr>
          <w:rFonts w:asciiTheme="minorHAnsi" w:hAnsiTheme="minorHAnsi"/>
          <w:sz w:val="22"/>
          <w:szCs w:val="22"/>
        </w:rPr>
        <w:t xml:space="preserve"> </w:t>
      </w:r>
    </w:p>
    <w:p w14:paraId="7A9831DA" w14:textId="77777777" w:rsidR="0059674C" w:rsidRPr="0059674C" w:rsidRDefault="0059674C" w:rsidP="0059674C">
      <w:pPr>
        <w:pStyle w:val="Default"/>
      </w:pPr>
    </w:p>
    <w:p w14:paraId="3BBD789F" w14:textId="77777777" w:rsidR="00DE39C0" w:rsidRDefault="00DE39C0" w:rsidP="00DE39C0">
      <w:pPr>
        <w:pStyle w:val="Pa4"/>
        <w:spacing w:line="240" w:lineRule="auto"/>
        <w:rPr>
          <w:rFonts w:ascii="Calibri" w:hAnsi="Calibri"/>
          <w:sz w:val="22"/>
          <w:szCs w:val="22"/>
        </w:rPr>
      </w:pPr>
      <w:r w:rsidRPr="006A3181">
        <w:rPr>
          <w:rFonts w:ascii="Calibri" w:hAnsi="Calibri"/>
          <w:sz w:val="22"/>
          <w:szCs w:val="22"/>
        </w:rPr>
        <w:t xml:space="preserve">If the intake </w:t>
      </w:r>
      <w:r w:rsidR="00907AEF">
        <w:rPr>
          <w:rFonts w:ascii="Calibri" w:hAnsi="Calibri"/>
          <w:sz w:val="22"/>
          <w:szCs w:val="22"/>
        </w:rPr>
        <w:t>process</w:t>
      </w:r>
      <w:r w:rsidR="00907AEF" w:rsidRPr="006A3181">
        <w:rPr>
          <w:rFonts w:ascii="Calibri" w:hAnsi="Calibri"/>
          <w:sz w:val="22"/>
          <w:szCs w:val="22"/>
        </w:rPr>
        <w:t xml:space="preserve"> </w:t>
      </w:r>
      <w:r w:rsidRPr="006A3181">
        <w:rPr>
          <w:rFonts w:ascii="Calibri" w:hAnsi="Calibri"/>
          <w:sz w:val="22"/>
          <w:szCs w:val="22"/>
        </w:rPr>
        <w:t xml:space="preserve">results in the </w:t>
      </w:r>
      <w:r w:rsidR="00907AEF">
        <w:rPr>
          <w:rFonts w:ascii="Calibri" w:hAnsi="Calibri"/>
          <w:sz w:val="22"/>
          <w:szCs w:val="22"/>
        </w:rPr>
        <w:t xml:space="preserve">close </w:t>
      </w:r>
      <w:r w:rsidRPr="006A3181">
        <w:rPr>
          <w:rFonts w:ascii="Calibri" w:hAnsi="Calibri"/>
          <w:sz w:val="22"/>
          <w:szCs w:val="22"/>
        </w:rPr>
        <w:t>contact</w:t>
      </w:r>
      <w:r w:rsidR="00762A42">
        <w:rPr>
          <w:rFonts w:ascii="Calibri" w:hAnsi="Calibri"/>
          <w:sz w:val="22"/>
          <w:szCs w:val="22"/>
        </w:rPr>
        <w:t xml:space="preserve"> with</w:t>
      </w:r>
      <w:r w:rsidR="00CE2521">
        <w:rPr>
          <w:rFonts w:ascii="Calibri" w:hAnsi="Calibri"/>
          <w:sz w:val="22"/>
          <w:szCs w:val="22"/>
        </w:rPr>
        <w:t>,</w:t>
      </w:r>
      <w:r w:rsidR="00762A42">
        <w:rPr>
          <w:rFonts w:ascii="Calibri" w:hAnsi="Calibri"/>
          <w:sz w:val="22"/>
          <w:szCs w:val="22"/>
        </w:rPr>
        <w:t xml:space="preserve"> or </w:t>
      </w:r>
      <w:r w:rsidR="00907AEF">
        <w:rPr>
          <w:rFonts w:ascii="Calibri" w:hAnsi="Calibri"/>
          <w:sz w:val="22"/>
          <w:szCs w:val="22"/>
        </w:rPr>
        <w:t xml:space="preserve">the </w:t>
      </w:r>
      <w:r w:rsidRPr="006A3181">
        <w:rPr>
          <w:rFonts w:ascii="Calibri" w:hAnsi="Calibri"/>
          <w:sz w:val="22"/>
          <w:szCs w:val="22"/>
        </w:rPr>
        <w:t>exposure of</w:t>
      </w:r>
      <w:r w:rsidR="00CE2521">
        <w:rPr>
          <w:rFonts w:ascii="Calibri" w:hAnsi="Calibri"/>
          <w:sz w:val="22"/>
          <w:szCs w:val="22"/>
        </w:rPr>
        <w:t>,</w:t>
      </w:r>
      <w:r w:rsidRPr="006A3181">
        <w:rPr>
          <w:rFonts w:ascii="Calibri" w:hAnsi="Calibri"/>
          <w:sz w:val="22"/>
          <w:szCs w:val="22"/>
        </w:rPr>
        <w:t xml:space="preserve"> an individual’s body</w:t>
      </w:r>
      <w:r w:rsidR="00762A42">
        <w:rPr>
          <w:rFonts w:ascii="Calibri" w:hAnsi="Calibri"/>
          <w:sz w:val="22"/>
          <w:szCs w:val="22"/>
        </w:rPr>
        <w:t xml:space="preserve"> </w:t>
      </w:r>
      <w:r w:rsidR="00CE2521">
        <w:rPr>
          <w:rFonts w:ascii="Calibri" w:hAnsi="Calibri"/>
          <w:sz w:val="22"/>
          <w:szCs w:val="22"/>
        </w:rPr>
        <w:t>(</w:t>
      </w:r>
      <w:r w:rsidR="00762A42">
        <w:rPr>
          <w:rFonts w:ascii="Calibri" w:hAnsi="Calibri"/>
          <w:sz w:val="22"/>
          <w:szCs w:val="22"/>
        </w:rPr>
        <w:t>such as searches</w:t>
      </w:r>
      <w:r w:rsidR="00CE2521">
        <w:rPr>
          <w:rFonts w:ascii="Calibri" w:hAnsi="Calibri"/>
          <w:sz w:val="22"/>
          <w:szCs w:val="22"/>
        </w:rPr>
        <w:t>),</w:t>
      </w:r>
      <w:r w:rsidR="00907AEF">
        <w:rPr>
          <w:rFonts w:ascii="Calibri" w:hAnsi="Calibri"/>
          <w:sz w:val="22"/>
          <w:szCs w:val="22"/>
        </w:rPr>
        <w:t xml:space="preserve"> </w:t>
      </w:r>
      <w:r w:rsidRPr="006A3181">
        <w:rPr>
          <w:rFonts w:ascii="Calibri" w:hAnsi="Calibri"/>
          <w:sz w:val="22"/>
          <w:szCs w:val="22"/>
        </w:rPr>
        <w:t xml:space="preserve">staff should </w:t>
      </w:r>
      <w:r w:rsidR="002962EF">
        <w:rPr>
          <w:rFonts w:ascii="Calibri" w:hAnsi="Calibri"/>
          <w:sz w:val="22"/>
          <w:szCs w:val="22"/>
        </w:rPr>
        <w:t>m</w:t>
      </w:r>
      <w:r w:rsidR="00D76A2E">
        <w:rPr>
          <w:rFonts w:ascii="Calibri" w:hAnsi="Calibri"/>
          <w:sz w:val="22"/>
          <w:szCs w:val="22"/>
        </w:rPr>
        <w:t xml:space="preserve">ake all reasonable attempts to </w:t>
      </w:r>
      <w:r w:rsidRPr="006A3181">
        <w:rPr>
          <w:rFonts w:ascii="Calibri" w:hAnsi="Calibri"/>
          <w:sz w:val="22"/>
          <w:szCs w:val="22"/>
        </w:rPr>
        <w:t>ensure</w:t>
      </w:r>
      <w:r w:rsidR="00762A42">
        <w:rPr>
          <w:rFonts w:ascii="Calibri" w:hAnsi="Calibri"/>
          <w:sz w:val="22"/>
          <w:szCs w:val="22"/>
        </w:rPr>
        <w:t xml:space="preserve"> </w:t>
      </w:r>
      <w:r w:rsidRPr="006A3181">
        <w:rPr>
          <w:rFonts w:ascii="Calibri" w:hAnsi="Calibri"/>
          <w:sz w:val="22"/>
          <w:szCs w:val="22"/>
        </w:rPr>
        <w:t>that individual</w:t>
      </w:r>
      <w:r w:rsidR="00762A42">
        <w:rPr>
          <w:rFonts w:ascii="Calibri" w:hAnsi="Calibri"/>
          <w:sz w:val="22"/>
          <w:szCs w:val="22"/>
        </w:rPr>
        <w:t>s</w:t>
      </w:r>
      <w:r w:rsidRPr="006A3181">
        <w:rPr>
          <w:rFonts w:ascii="Calibri" w:hAnsi="Calibri"/>
          <w:sz w:val="22"/>
          <w:szCs w:val="22"/>
        </w:rPr>
        <w:t xml:space="preserve"> </w:t>
      </w:r>
      <w:r w:rsidR="00762A42">
        <w:rPr>
          <w:rFonts w:ascii="Calibri" w:hAnsi="Calibri"/>
          <w:sz w:val="22"/>
          <w:szCs w:val="22"/>
        </w:rPr>
        <w:t>are</w:t>
      </w:r>
      <w:r w:rsidRPr="006A3181">
        <w:rPr>
          <w:rFonts w:ascii="Calibri" w:hAnsi="Calibri"/>
          <w:sz w:val="22"/>
          <w:szCs w:val="22"/>
        </w:rPr>
        <w:t xml:space="preserve"> comfortable with the gender identity of the staff member </w:t>
      </w:r>
      <w:r w:rsidR="00762A42">
        <w:rPr>
          <w:rFonts w:ascii="Calibri" w:hAnsi="Calibri"/>
          <w:sz w:val="22"/>
          <w:szCs w:val="22"/>
        </w:rPr>
        <w:t>conducting</w:t>
      </w:r>
      <w:r w:rsidRPr="006A3181">
        <w:rPr>
          <w:rFonts w:ascii="Calibri" w:hAnsi="Calibri"/>
          <w:sz w:val="22"/>
          <w:szCs w:val="22"/>
        </w:rPr>
        <w:t xml:space="preserve"> </w:t>
      </w:r>
      <w:r w:rsidR="00762A42">
        <w:rPr>
          <w:rFonts w:ascii="Calibri" w:hAnsi="Calibri"/>
          <w:sz w:val="22"/>
          <w:szCs w:val="22"/>
        </w:rPr>
        <w:t>and</w:t>
      </w:r>
      <w:r w:rsidRPr="006A3181">
        <w:rPr>
          <w:rFonts w:ascii="Calibri" w:hAnsi="Calibri"/>
          <w:sz w:val="22"/>
          <w:szCs w:val="22"/>
        </w:rPr>
        <w:t xml:space="preserve"> overseeing </w:t>
      </w:r>
      <w:r w:rsidR="00762A42">
        <w:rPr>
          <w:rFonts w:ascii="Calibri" w:hAnsi="Calibri"/>
          <w:sz w:val="22"/>
          <w:szCs w:val="22"/>
        </w:rPr>
        <w:t>the process</w:t>
      </w:r>
      <w:r w:rsidR="00907AEF">
        <w:rPr>
          <w:rFonts w:ascii="Calibri" w:hAnsi="Calibri"/>
          <w:sz w:val="22"/>
          <w:szCs w:val="22"/>
        </w:rPr>
        <w:t>.</w:t>
      </w:r>
      <w:r w:rsidRPr="009748EA">
        <w:rPr>
          <w:rFonts w:ascii="Calibri" w:hAnsi="Calibri"/>
          <w:sz w:val="22"/>
          <w:szCs w:val="22"/>
        </w:rPr>
        <w:t xml:space="preserve"> </w:t>
      </w:r>
    </w:p>
    <w:p w14:paraId="6EC9527C" w14:textId="77777777" w:rsidR="009271F4" w:rsidRDefault="009271F4" w:rsidP="0059674C">
      <w:pPr>
        <w:pStyle w:val="Pa4"/>
        <w:spacing w:line="240" w:lineRule="auto"/>
        <w:ind w:left="720"/>
        <w:rPr>
          <w:rFonts w:ascii="Calibri" w:hAnsi="Calibri"/>
          <w:b/>
          <w:i/>
          <w:sz w:val="22"/>
          <w:szCs w:val="22"/>
        </w:rPr>
      </w:pPr>
    </w:p>
    <w:p w14:paraId="3C6E6060" w14:textId="77777777" w:rsidR="00DE39C0" w:rsidRPr="0059674C" w:rsidRDefault="00DE39C0" w:rsidP="004A2685">
      <w:pPr>
        <w:pStyle w:val="Pa4"/>
        <w:numPr>
          <w:ilvl w:val="0"/>
          <w:numId w:val="44"/>
        </w:numPr>
        <w:spacing w:line="240" w:lineRule="auto"/>
        <w:rPr>
          <w:rFonts w:ascii="Calibri" w:hAnsi="Calibri"/>
          <w:bCs/>
          <w:i/>
          <w:sz w:val="22"/>
          <w:szCs w:val="22"/>
        </w:rPr>
      </w:pPr>
      <w:r w:rsidRPr="0059674C">
        <w:rPr>
          <w:rFonts w:ascii="Calibri" w:hAnsi="Calibri"/>
          <w:bCs/>
          <w:i/>
          <w:sz w:val="22"/>
          <w:szCs w:val="22"/>
        </w:rPr>
        <w:t xml:space="preserve">A transgender, intersex, or gender non-conforming individual may be more comfortable with a staff member whose gender may or may not match their gender identity. </w:t>
      </w:r>
    </w:p>
    <w:p w14:paraId="71740A21" w14:textId="77777777" w:rsidR="001B5882" w:rsidRDefault="001B5882" w:rsidP="00DE39C0">
      <w:pPr>
        <w:spacing w:after="0" w:line="240" w:lineRule="auto"/>
      </w:pPr>
    </w:p>
    <w:p w14:paraId="0BB58A3B" w14:textId="77777777" w:rsidR="009271F4" w:rsidRDefault="009271F4" w:rsidP="00DE39C0">
      <w:pPr>
        <w:spacing w:after="0" w:line="240" w:lineRule="auto"/>
      </w:pPr>
    </w:p>
    <w:p w14:paraId="4E849ED2" w14:textId="77777777" w:rsidR="00D3438A" w:rsidRDefault="00D3438A" w:rsidP="00DE39C0">
      <w:pPr>
        <w:spacing w:after="0" w:line="240" w:lineRule="auto"/>
      </w:pPr>
    </w:p>
    <w:p w14:paraId="50CDD0A1" w14:textId="77777777" w:rsidR="00172163" w:rsidRDefault="00172163" w:rsidP="00DE39C0">
      <w:pPr>
        <w:spacing w:after="0" w:line="240" w:lineRule="auto"/>
      </w:pPr>
    </w:p>
    <w:p w14:paraId="02C99160" w14:textId="77777777" w:rsidR="008F1ED6" w:rsidRDefault="008F1ED6" w:rsidP="00DE39C0">
      <w:pPr>
        <w:spacing w:after="0" w:line="240" w:lineRule="auto"/>
      </w:pPr>
    </w:p>
    <w:p w14:paraId="09DABE09" w14:textId="77777777" w:rsidR="008F1ED6" w:rsidRDefault="008F1ED6" w:rsidP="00DE39C0">
      <w:pPr>
        <w:spacing w:after="0" w:line="240" w:lineRule="auto"/>
      </w:pPr>
    </w:p>
    <w:p w14:paraId="27B90E8E" w14:textId="77777777" w:rsidR="000953CD" w:rsidRDefault="000953CD" w:rsidP="00DE39C0">
      <w:pPr>
        <w:spacing w:after="0" w:line="240" w:lineRule="auto"/>
      </w:pPr>
    </w:p>
    <w:tbl>
      <w:tblPr>
        <w:tblStyle w:val="TableGrid"/>
        <w:tblW w:w="0" w:type="auto"/>
        <w:tblLook w:val="04A0" w:firstRow="1" w:lastRow="0" w:firstColumn="1" w:lastColumn="0" w:noHBand="0" w:noVBand="1"/>
      </w:tblPr>
      <w:tblGrid>
        <w:gridCol w:w="9350"/>
      </w:tblGrid>
      <w:tr w:rsidR="001B5882" w14:paraId="4E392E3B" w14:textId="77777777" w:rsidTr="00762A42">
        <w:tc>
          <w:tcPr>
            <w:tcW w:w="9576" w:type="dxa"/>
          </w:tcPr>
          <w:p w14:paraId="0170194C" w14:textId="77777777" w:rsidR="001B5882" w:rsidRDefault="001B5882" w:rsidP="00762A42">
            <w:pPr>
              <w:rPr>
                <w:b/>
              </w:rPr>
            </w:pPr>
          </w:p>
          <w:p w14:paraId="44873A49" w14:textId="77777777" w:rsidR="001B5882" w:rsidRDefault="001B5882" w:rsidP="00762A42">
            <w:pPr>
              <w:rPr>
                <w:b/>
              </w:rPr>
            </w:pPr>
            <w:r>
              <w:rPr>
                <w:b/>
              </w:rPr>
              <w:t xml:space="preserve">*Special </w:t>
            </w:r>
            <w:r w:rsidR="009271F4">
              <w:rPr>
                <w:b/>
              </w:rPr>
              <w:t>c</w:t>
            </w:r>
            <w:r>
              <w:rPr>
                <w:b/>
              </w:rPr>
              <w:t xml:space="preserve">onsiderations when </w:t>
            </w:r>
            <w:r w:rsidR="009271F4">
              <w:rPr>
                <w:b/>
              </w:rPr>
              <w:t>w</w:t>
            </w:r>
            <w:r>
              <w:rPr>
                <w:b/>
              </w:rPr>
              <w:t xml:space="preserve">orking </w:t>
            </w:r>
            <w:r w:rsidR="00D3438A">
              <w:rPr>
                <w:b/>
              </w:rPr>
              <w:t xml:space="preserve">with </w:t>
            </w:r>
            <w:r w:rsidR="009271F4">
              <w:rPr>
                <w:b/>
              </w:rPr>
              <w:t>m</w:t>
            </w:r>
            <w:r w:rsidR="00464401">
              <w:rPr>
                <w:b/>
              </w:rPr>
              <w:t>inors</w:t>
            </w:r>
            <w:r>
              <w:rPr>
                <w:b/>
              </w:rPr>
              <w:t xml:space="preserve"> and </w:t>
            </w:r>
            <w:r w:rsidR="009271F4">
              <w:rPr>
                <w:b/>
              </w:rPr>
              <w:t>f</w:t>
            </w:r>
            <w:r>
              <w:rPr>
                <w:b/>
              </w:rPr>
              <w:t>amilies</w:t>
            </w:r>
          </w:p>
          <w:p w14:paraId="12D3D129" w14:textId="77777777" w:rsidR="001B5882" w:rsidRPr="00443580" w:rsidRDefault="001B5882" w:rsidP="00762A42">
            <w:pPr>
              <w:rPr>
                <w:b/>
                <w:i/>
                <w:highlight w:val="yellow"/>
              </w:rPr>
            </w:pPr>
          </w:p>
          <w:p w14:paraId="630BD5ED" w14:textId="77777777" w:rsidR="001B5882" w:rsidRDefault="001B5882" w:rsidP="00762A42">
            <w:r>
              <w:t>When working with minors</w:t>
            </w:r>
            <w:r w:rsidRPr="00F34F73">
              <w:t xml:space="preserve"> who have a goal of</w:t>
            </w:r>
            <w:r>
              <w:t xml:space="preserve"> social transition and support of their gender or</w:t>
            </w:r>
            <w:r w:rsidRPr="00F34F73">
              <w:t xml:space="preserve"> medical </w:t>
            </w:r>
            <w:r>
              <w:t xml:space="preserve">treatment related to their gender dysphoria, including various forms of gender affirmation such as puberty blockers, cross-hormone treatment, or surgical intervention, </w:t>
            </w:r>
            <w:r w:rsidRPr="00F34F73">
              <w:t xml:space="preserve">but </w:t>
            </w:r>
            <w:r>
              <w:t xml:space="preserve">who </w:t>
            </w:r>
            <w:r w:rsidRPr="00F34F73">
              <w:t>do not have the support of their</w:t>
            </w:r>
            <w:r>
              <w:t xml:space="preserve"> parents/</w:t>
            </w:r>
            <w:r w:rsidRPr="00F34F73">
              <w:t>legal guardians</w:t>
            </w:r>
            <w:r>
              <w:t>, providers should:</w:t>
            </w:r>
          </w:p>
          <w:p w14:paraId="581AE29A" w14:textId="77777777" w:rsidR="001B5882" w:rsidRDefault="001B5882" w:rsidP="00762A42"/>
          <w:p w14:paraId="1A74114E" w14:textId="77777777" w:rsidR="001B5882" w:rsidRPr="00F21B23" w:rsidRDefault="001B5882" w:rsidP="001B5882">
            <w:pPr>
              <w:pStyle w:val="ListParagraph"/>
              <w:numPr>
                <w:ilvl w:val="0"/>
                <w:numId w:val="31"/>
              </w:numPr>
            </w:pPr>
            <w:r>
              <w:t>Consult with the DMH legal office if there are concerns with disclosing or withholding information from a minor’s parents or LARs.  While parents or LAR are entitled under Massachusetts law to a minor’s health information and/or records, i</w:t>
            </w:r>
            <w:r w:rsidRPr="00F21B23">
              <w:t>deally, a minor’s gender iden</w:t>
            </w:r>
            <w:r>
              <w:t>tity or sexual orientation should</w:t>
            </w:r>
            <w:r w:rsidRPr="00F21B23">
              <w:t xml:space="preserve"> not be disclosed to their parents or legal guardians without their consent, and shall include a discuss</w:t>
            </w:r>
            <w:r>
              <w:t xml:space="preserve">ion of options and implications. </w:t>
            </w:r>
            <w:r w:rsidRPr="00F21B23">
              <w:t xml:space="preserve">  </w:t>
            </w:r>
          </w:p>
          <w:p w14:paraId="71C88B44" w14:textId="77777777" w:rsidR="001B5882" w:rsidRPr="00051015" w:rsidRDefault="001B5882" w:rsidP="001B5882">
            <w:pPr>
              <w:pStyle w:val="ListParagraph"/>
              <w:numPr>
                <w:ilvl w:val="0"/>
                <w:numId w:val="31"/>
              </w:numPr>
            </w:pPr>
            <w:r>
              <w:t>Seek clinical consultation regarding the options for social and medical interventions available for the youth, and the risks and benefits to the youth’s health and mental health for these options, as well as the risks and benefits of not exercising these options.</w:t>
            </w:r>
          </w:p>
          <w:p w14:paraId="359396CE" w14:textId="77777777" w:rsidR="001B5882" w:rsidRDefault="001B5882" w:rsidP="001B5882">
            <w:pPr>
              <w:pStyle w:val="ListParagraph"/>
              <w:numPr>
                <w:ilvl w:val="0"/>
                <w:numId w:val="31"/>
              </w:numPr>
            </w:pPr>
            <w:r>
              <w:t>A</w:t>
            </w:r>
            <w:r w:rsidRPr="00F34F73">
              <w:t>ctive</w:t>
            </w:r>
            <w:r>
              <w:t>ly</w:t>
            </w:r>
            <w:r w:rsidRPr="00F34F73">
              <w:t xml:space="preserve"> engage</w:t>
            </w:r>
            <w:r>
              <w:t xml:space="preserve"> families in ways that acknowledge where they are in the process of understanding their child’s gender and gender presentation as well as their cultural background.</w:t>
            </w:r>
          </w:p>
          <w:p w14:paraId="7A0D3446" w14:textId="77777777" w:rsidR="001B5882" w:rsidRDefault="001B5882" w:rsidP="001B5882">
            <w:pPr>
              <w:pStyle w:val="ListParagraph"/>
              <w:numPr>
                <w:ilvl w:val="0"/>
                <w:numId w:val="31"/>
              </w:numPr>
            </w:pPr>
            <w:r>
              <w:t>Work to help families decrease risk and increase well-being for their LGBTQ and GNC children.</w:t>
            </w:r>
          </w:p>
          <w:p w14:paraId="679B60A8" w14:textId="77777777" w:rsidR="001B5882" w:rsidRPr="00DE39C0" w:rsidRDefault="001B5882" w:rsidP="001B5882">
            <w:pPr>
              <w:pStyle w:val="ListParagraph"/>
              <w:numPr>
                <w:ilvl w:val="0"/>
                <w:numId w:val="31"/>
              </w:numPr>
            </w:pPr>
            <w:r>
              <w:t xml:space="preserve">Be knowledgeable about resources to help parents, families, and guardians with LGBTQ and GNC children, such as PFLAG groups and publications, SAMHSA’s “Helping Families to Support Their LGBT Children,” Sidney </w:t>
            </w:r>
            <w:proofErr w:type="spellStart"/>
            <w:r>
              <w:t>Borum’s</w:t>
            </w:r>
            <w:proofErr w:type="spellEnd"/>
            <w:r>
              <w:t xml:space="preserve"> Monthly Drop-in Night for Parents of Transgender Young People in Boston,” etc. </w:t>
            </w:r>
          </w:p>
          <w:p w14:paraId="4ED7F75B" w14:textId="77777777" w:rsidR="001B5882" w:rsidRDefault="001B5882" w:rsidP="00762A42">
            <w:pPr>
              <w:rPr>
                <w:b/>
              </w:rPr>
            </w:pPr>
          </w:p>
        </w:tc>
      </w:tr>
    </w:tbl>
    <w:p w14:paraId="02AF74EA" w14:textId="77777777" w:rsidR="008F1ED6" w:rsidRDefault="008F1ED6" w:rsidP="00DE39C0">
      <w:pPr>
        <w:spacing w:after="0" w:line="240" w:lineRule="auto"/>
      </w:pPr>
    </w:p>
    <w:p w14:paraId="2024E291" w14:textId="77777777" w:rsidR="001F35A3" w:rsidRPr="00881808" w:rsidRDefault="00905EC5"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905EC5">
        <w:rPr>
          <w:b/>
          <w:iCs/>
        </w:rPr>
        <w:t>ROOM ASSIGNMENTS</w:t>
      </w:r>
    </w:p>
    <w:p w14:paraId="421498F0" w14:textId="77777777" w:rsidR="00905EC5" w:rsidRDefault="001F35A3" w:rsidP="00905EC5">
      <w:pPr>
        <w:pStyle w:val="Pa4"/>
        <w:spacing w:after="200"/>
        <w:rPr>
          <w:rFonts w:ascii="Calibri" w:hAnsi="Calibri"/>
          <w:b/>
          <w:i/>
          <w:sz w:val="22"/>
          <w:szCs w:val="22"/>
        </w:rPr>
      </w:pPr>
      <w:r w:rsidRPr="001F35A3">
        <w:rPr>
          <w:rFonts w:ascii="Calibri" w:hAnsi="Calibri"/>
          <w:sz w:val="22"/>
          <w:szCs w:val="22"/>
        </w:rPr>
        <w:t>In programs and/or housing</w:t>
      </w:r>
      <w:r w:rsidR="00464401">
        <w:rPr>
          <w:rFonts w:ascii="Calibri" w:hAnsi="Calibri"/>
          <w:sz w:val="22"/>
          <w:szCs w:val="22"/>
        </w:rPr>
        <w:t xml:space="preserve"> segregated by</w:t>
      </w:r>
      <w:r w:rsidR="00464401" w:rsidRPr="001F35A3">
        <w:rPr>
          <w:rFonts w:ascii="Calibri" w:hAnsi="Calibri"/>
          <w:sz w:val="22"/>
          <w:szCs w:val="22"/>
        </w:rPr>
        <w:t xml:space="preserve"> </w:t>
      </w:r>
      <w:r w:rsidRPr="001F35A3">
        <w:rPr>
          <w:rFonts w:ascii="Calibri" w:hAnsi="Calibri"/>
          <w:sz w:val="22"/>
          <w:szCs w:val="22"/>
        </w:rPr>
        <w:t>sex, transge</w:t>
      </w:r>
      <w:r>
        <w:rPr>
          <w:rFonts w:ascii="Calibri" w:hAnsi="Calibri"/>
          <w:sz w:val="22"/>
          <w:szCs w:val="22"/>
        </w:rPr>
        <w:t>nder</w:t>
      </w:r>
      <w:r w:rsidR="00BD45ED">
        <w:rPr>
          <w:rFonts w:ascii="Calibri" w:hAnsi="Calibri"/>
          <w:sz w:val="22"/>
          <w:szCs w:val="22"/>
        </w:rPr>
        <w:t xml:space="preserve"> and intersex</w:t>
      </w:r>
      <w:r>
        <w:rPr>
          <w:rFonts w:ascii="Calibri" w:hAnsi="Calibri"/>
          <w:sz w:val="22"/>
          <w:szCs w:val="22"/>
        </w:rPr>
        <w:t xml:space="preserve"> individuals</w:t>
      </w:r>
      <w:r w:rsidRPr="001F35A3">
        <w:rPr>
          <w:rFonts w:ascii="Calibri" w:hAnsi="Calibri"/>
          <w:sz w:val="22"/>
          <w:szCs w:val="22"/>
        </w:rPr>
        <w:t xml:space="preserve"> m</w:t>
      </w:r>
      <w:r w:rsidR="00EC37C3">
        <w:rPr>
          <w:rFonts w:ascii="Calibri" w:hAnsi="Calibri"/>
          <w:sz w:val="22"/>
          <w:szCs w:val="22"/>
        </w:rPr>
        <w:t>ay</w:t>
      </w:r>
      <w:r w:rsidRPr="001F35A3">
        <w:rPr>
          <w:rFonts w:ascii="Calibri" w:hAnsi="Calibri"/>
          <w:sz w:val="22"/>
          <w:szCs w:val="22"/>
        </w:rPr>
        <w:t xml:space="preserve"> be</w:t>
      </w:r>
      <w:r>
        <w:rPr>
          <w:rFonts w:ascii="Calibri" w:hAnsi="Calibri"/>
          <w:sz w:val="22"/>
          <w:szCs w:val="22"/>
        </w:rPr>
        <w:t xml:space="preserve"> placed in the rooms</w:t>
      </w:r>
      <w:r w:rsidRPr="001F35A3">
        <w:rPr>
          <w:rFonts w:ascii="Calibri" w:hAnsi="Calibri"/>
          <w:sz w:val="22"/>
          <w:szCs w:val="22"/>
        </w:rPr>
        <w:t xml:space="preserve">, programs, and/or housing </w:t>
      </w:r>
      <w:r w:rsidR="00905EC5">
        <w:rPr>
          <w:rFonts w:ascii="Calibri" w:hAnsi="Calibri"/>
          <w:sz w:val="22"/>
          <w:szCs w:val="22"/>
        </w:rPr>
        <w:t>that corresponds to the</w:t>
      </w:r>
      <w:r w:rsidRPr="001F35A3">
        <w:rPr>
          <w:rFonts w:ascii="Calibri" w:hAnsi="Calibri"/>
          <w:sz w:val="22"/>
          <w:szCs w:val="22"/>
        </w:rPr>
        <w:t xml:space="preserve"> gender </w:t>
      </w:r>
      <w:r w:rsidR="00CE2521">
        <w:rPr>
          <w:rFonts w:ascii="Calibri" w:hAnsi="Calibri"/>
          <w:sz w:val="22"/>
          <w:szCs w:val="22"/>
        </w:rPr>
        <w:t>an</w:t>
      </w:r>
      <w:r w:rsidR="00464401" w:rsidRPr="001F35A3">
        <w:rPr>
          <w:rFonts w:ascii="Calibri" w:hAnsi="Calibri"/>
          <w:sz w:val="22"/>
          <w:szCs w:val="22"/>
        </w:rPr>
        <w:t xml:space="preserve"> </w:t>
      </w:r>
      <w:r w:rsidRPr="001F35A3">
        <w:rPr>
          <w:rFonts w:ascii="Calibri" w:hAnsi="Calibri"/>
          <w:sz w:val="22"/>
          <w:szCs w:val="22"/>
        </w:rPr>
        <w:t>ind</w:t>
      </w:r>
      <w:r>
        <w:rPr>
          <w:rFonts w:ascii="Calibri" w:hAnsi="Calibri"/>
          <w:sz w:val="22"/>
          <w:szCs w:val="22"/>
        </w:rPr>
        <w:t>i</w:t>
      </w:r>
      <w:r w:rsidRPr="001F35A3">
        <w:rPr>
          <w:rFonts w:ascii="Calibri" w:hAnsi="Calibri"/>
          <w:sz w:val="22"/>
          <w:szCs w:val="22"/>
        </w:rPr>
        <w:t>vidual lives and identifies as.</w:t>
      </w:r>
      <w:r w:rsidR="00EC37C3">
        <w:rPr>
          <w:rFonts w:ascii="Calibri" w:hAnsi="Calibri"/>
          <w:sz w:val="22"/>
          <w:szCs w:val="22"/>
        </w:rPr>
        <w:t xml:space="preserve"> </w:t>
      </w:r>
      <w:r w:rsidR="007E405B">
        <w:rPr>
          <w:rFonts w:ascii="Calibri" w:hAnsi="Calibri"/>
          <w:sz w:val="22"/>
          <w:szCs w:val="22"/>
        </w:rPr>
        <w:t xml:space="preserve"> </w:t>
      </w:r>
      <w:r w:rsidR="00EC37C3">
        <w:rPr>
          <w:rFonts w:ascii="Calibri" w:hAnsi="Calibri"/>
          <w:sz w:val="22"/>
          <w:szCs w:val="22"/>
        </w:rPr>
        <w:t>Decis</w:t>
      </w:r>
      <w:r w:rsidR="00CB4CCB">
        <w:rPr>
          <w:rFonts w:ascii="Calibri" w:hAnsi="Calibri"/>
          <w:sz w:val="22"/>
          <w:szCs w:val="22"/>
        </w:rPr>
        <w:t xml:space="preserve">ions regarding room assignments, including placement of persons in a single room, </w:t>
      </w:r>
      <w:r w:rsidR="00EC37C3">
        <w:rPr>
          <w:rFonts w:ascii="Calibri" w:hAnsi="Calibri"/>
          <w:sz w:val="22"/>
          <w:szCs w:val="22"/>
        </w:rPr>
        <w:t>should be made in con</w:t>
      </w:r>
      <w:r w:rsidR="00E72A50">
        <w:rPr>
          <w:rFonts w:ascii="Calibri" w:hAnsi="Calibri"/>
          <w:sz w:val="22"/>
          <w:szCs w:val="22"/>
        </w:rPr>
        <w:t>sultation with the individual</w:t>
      </w:r>
      <w:r w:rsidR="00CE2521">
        <w:rPr>
          <w:rFonts w:ascii="Calibri" w:hAnsi="Calibri"/>
          <w:sz w:val="22"/>
          <w:szCs w:val="22"/>
        </w:rPr>
        <w:t>,</w:t>
      </w:r>
      <w:r w:rsidR="00E72A50">
        <w:rPr>
          <w:rFonts w:ascii="Calibri" w:hAnsi="Calibri"/>
          <w:sz w:val="22"/>
          <w:szCs w:val="22"/>
        </w:rPr>
        <w:t xml:space="preserve"> </w:t>
      </w:r>
      <w:r w:rsidR="00314AD0" w:rsidRPr="008F3E14">
        <w:rPr>
          <w:rFonts w:ascii="Calibri" w:hAnsi="Calibri"/>
          <w:sz w:val="22"/>
          <w:szCs w:val="22"/>
        </w:rPr>
        <w:t xml:space="preserve">and parent/LAR of minors </w:t>
      </w:r>
      <w:r w:rsidR="00E72A50" w:rsidRPr="008F3E14">
        <w:rPr>
          <w:rFonts w:ascii="Calibri" w:hAnsi="Calibri"/>
          <w:sz w:val="22"/>
          <w:szCs w:val="22"/>
        </w:rPr>
        <w:t>as necessary.</w:t>
      </w:r>
      <w:r w:rsidR="00CA7C24">
        <w:rPr>
          <w:rFonts w:ascii="Calibri" w:hAnsi="Calibri"/>
          <w:sz w:val="22"/>
          <w:szCs w:val="22"/>
        </w:rPr>
        <w:t xml:space="preserve"> </w:t>
      </w:r>
      <w:r w:rsidR="00E72A50" w:rsidRPr="008F3E14">
        <w:rPr>
          <w:rFonts w:ascii="Calibri" w:hAnsi="Calibri"/>
          <w:sz w:val="22"/>
          <w:szCs w:val="22"/>
        </w:rPr>
        <w:t xml:space="preserve"> </w:t>
      </w:r>
      <w:r w:rsidR="00EC37C3" w:rsidRPr="008F3E14">
        <w:rPr>
          <w:rFonts w:ascii="Calibri" w:hAnsi="Calibri"/>
          <w:sz w:val="22"/>
          <w:szCs w:val="22"/>
        </w:rPr>
        <w:t>Pl</w:t>
      </w:r>
      <w:r w:rsidR="00EC37C3">
        <w:rPr>
          <w:rFonts w:ascii="Calibri" w:hAnsi="Calibri"/>
          <w:sz w:val="22"/>
          <w:szCs w:val="22"/>
        </w:rPr>
        <w:t xml:space="preserve">acements </w:t>
      </w:r>
      <w:r w:rsidR="002063D6">
        <w:rPr>
          <w:rFonts w:ascii="Calibri" w:hAnsi="Calibri"/>
          <w:sz w:val="22"/>
          <w:szCs w:val="22"/>
        </w:rPr>
        <w:t xml:space="preserve">shall be assigned based on </w:t>
      </w:r>
      <w:r w:rsidR="00EC37C3">
        <w:rPr>
          <w:rFonts w:ascii="Calibri" w:hAnsi="Calibri"/>
          <w:sz w:val="22"/>
          <w:szCs w:val="22"/>
        </w:rPr>
        <w:t xml:space="preserve">the wishes of </w:t>
      </w:r>
      <w:r w:rsidR="002063D6">
        <w:rPr>
          <w:rFonts w:ascii="Calibri" w:hAnsi="Calibri"/>
          <w:sz w:val="22"/>
          <w:szCs w:val="22"/>
        </w:rPr>
        <w:t>the</w:t>
      </w:r>
      <w:r w:rsidR="00EC37C3">
        <w:rPr>
          <w:rFonts w:ascii="Calibri" w:hAnsi="Calibri"/>
          <w:sz w:val="22"/>
          <w:szCs w:val="22"/>
        </w:rPr>
        <w:t xml:space="preserve"> transgender</w:t>
      </w:r>
      <w:r w:rsidR="00376B20">
        <w:rPr>
          <w:rFonts w:ascii="Calibri" w:hAnsi="Calibri"/>
          <w:sz w:val="22"/>
          <w:szCs w:val="22"/>
        </w:rPr>
        <w:t xml:space="preserve"> and/or intersex</w:t>
      </w:r>
      <w:r w:rsidR="00EC37C3">
        <w:rPr>
          <w:rFonts w:ascii="Calibri" w:hAnsi="Calibri"/>
          <w:sz w:val="22"/>
          <w:szCs w:val="22"/>
        </w:rPr>
        <w:t xml:space="preserve"> </w:t>
      </w:r>
      <w:r w:rsidR="00905EC5">
        <w:rPr>
          <w:rFonts w:ascii="Calibri" w:hAnsi="Calibri"/>
          <w:sz w:val="22"/>
          <w:szCs w:val="22"/>
        </w:rPr>
        <w:t>individual</w:t>
      </w:r>
      <w:r w:rsidR="00204102">
        <w:rPr>
          <w:rFonts w:ascii="Calibri" w:hAnsi="Calibri"/>
          <w:sz w:val="22"/>
          <w:szCs w:val="22"/>
        </w:rPr>
        <w:t xml:space="preserve">. </w:t>
      </w:r>
      <w:r w:rsidR="00CA7C24">
        <w:rPr>
          <w:rFonts w:ascii="Calibri" w:hAnsi="Calibri"/>
          <w:sz w:val="22"/>
          <w:szCs w:val="22"/>
        </w:rPr>
        <w:t xml:space="preserve"> </w:t>
      </w:r>
      <w:r w:rsidR="00F939EC" w:rsidRPr="001F35A3">
        <w:rPr>
          <w:rFonts w:ascii="Calibri" w:hAnsi="Calibri"/>
          <w:sz w:val="22"/>
          <w:szCs w:val="22"/>
        </w:rPr>
        <w:t>Some transgender and/or gender non-conforming individuals may not feel ready to be in the gendered space with which they i</w:t>
      </w:r>
      <w:r w:rsidR="00F939EC">
        <w:rPr>
          <w:rFonts w:ascii="Calibri" w:hAnsi="Calibri"/>
          <w:sz w:val="22"/>
          <w:szCs w:val="22"/>
        </w:rPr>
        <w:t xml:space="preserve">dentify.  Concerns for privacy and emotional and physical safety should always be taken into consideration. </w:t>
      </w:r>
      <w:r w:rsidR="00905EC5">
        <w:rPr>
          <w:rFonts w:ascii="Calibri" w:hAnsi="Calibri"/>
          <w:sz w:val="22"/>
          <w:szCs w:val="22"/>
        </w:rPr>
        <w:t>P</w:t>
      </w:r>
      <w:r w:rsidR="00EC37C3">
        <w:rPr>
          <w:rFonts w:ascii="Calibri" w:hAnsi="Calibri"/>
          <w:sz w:val="22"/>
          <w:szCs w:val="22"/>
        </w:rPr>
        <w:t>lacements that go against the wishes of a transgende</w:t>
      </w:r>
      <w:r w:rsidR="00BD45ED">
        <w:rPr>
          <w:rFonts w:ascii="Calibri" w:hAnsi="Calibri"/>
          <w:sz w:val="22"/>
          <w:szCs w:val="22"/>
        </w:rPr>
        <w:t>r</w:t>
      </w:r>
      <w:r w:rsidR="00376B20">
        <w:rPr>
          <w:rFonts w:ascii="Calibri" w:hAnsi="Calibri"/>
          <w:sz w:val="22"/>
          <w:szCs w:val="22"/>
        </w:rPr>
        <w:t xml:space="preserve"> and/or intersex </w:t>
      </w:r>
      <w:r w:rsidR="00905EC5">
        <w:rPr>
          <w:rFonts w:ascii="Calibri" w:hAnsi="Calibri"/>
          <w:sz w:val="22"/>
          <w:szCs w:val="22"/>
        </w:rPr>
        <w:t xml:space="preserve">individual </w:t>
      </w:r>
      <w:r w:rsidR="00376B20">
        <w:rPr>
          <w:rFonts w:ascii="Calibri" w:hAnsi="Calibri"/>
          <w:sz w:val="22"/>
          <w:szCs w:val="22"/>
        </w:rPr>
        <w:t>shall</w:t>
      </w:r>
      <w:r w:rsidR="00BD45ED">
        <w:rPr>
          <w:rFonts w:ascii="Calibri" w:hAnsi="Calibri"/>
          <w:sz w:val="22"/>
          <w:szCs w:val="22"/>
        </w:rPr>
        <w:t xml:space="preserve"> have a specific documented credible</w:t>
      </w:r>
      <w:r w:rsidR="00314AD0">
        <w:rPr>
          <w:rFonts w:ascii="Calibri" w:hAnsi="Calibri"/>
          <w:sz w:val="22"/>
          <w:szCs w:val="22"/>
        </w:rPr>
        <w:t xml:space="preserve"> basis and shall not be </w:t>
      </w:r>
      <w:r w:rsidR="00BD45ED">
        <w:rPr>
          <w:rFonts w:ascii="Calibri" w:hAnsi="Calibri"/>
          <w:sz w:val="22"/>
          <w:szCs w:val="22"/>
        </w:rPr>
        <w:t>based on a gender identity reason.</w:t>
      </w:r>
      <w:r w:rsidR="00951763">
        <w:rPr>
          <w:rFonts w:ascii="Calibri" w:hAnsi="Calibri"/>
          <w:sz w:val="22"/>
          <w:szCs w:val="22"/>
        </w:rPr>
        <w:t xml:space="preserve">  </w:t>
      </w:r>
      <w:r w:rsidR="00D76A2E">
        <w:rPr>
          <w:rFonts w:ascii="Calibri" w:hAnsi="Calibri"/>
          <w:sz w:val="22"/>
          <w:szCs w:val="22"/>
        </w:rPr>
        <w:t xml:space="preserve">Absent a clinical review of necessity, </w:t>
      </w:r>
      <w:r w:rsidR="00D76A2E" w:rsidRPr="006A3181">
        <w:rPr>
          <w:rFonts w:ascii="Calibri" w:hAnsi="Calibri"/>
          <w:sz w:val="22"/>
          <w:szCs w:val="22"/>
        </w:rPr>
        <w:t>t</w:t>
      </w:r>
      <w:r w:rsidR="00951763" w:rsidRPr="006A3181">
        <w:rPr>
          <w:rFonts w:ascii="Calibri" w:hAnsi="Calibri"/>
          <w:sz w:val="22"/>
          <w:szCs w:val="22"/>
        </w:rPr>
        <w:t>ransgender individuals shall not be placed in a single room against their wishes</w:t>
      </w:r>
      <w:r w:rsidR="0022212A">
        <w:rPr>
          <w:rFonts w:ascii="Calibri" w:hAnsi="Calibri"/>
          <w:sz w:val="22"/>
          <w:szCs w:val="22"/>
        </w:rPr>
        <w:t xml:space="preserve"> if the program has the capacity to provide multiple occupancy rooms</w:t>
      </w:r>
      <w:r w:rsidR="00D76A2E" w:rsidRPr="002063D6">
        <w:rPr>
          <w:rFonts w:ascii="Calibri" w:hAnsi="Calibri"/>
          <w:sz w:val="22"/>
          <w:szCs w:val="22"/>
        </w:rPr>
        <w:t>.</w:t>
      </w:r>
      <w:r w:rsidR="00CB4CCB">
        <w:rPr>
          <w:rFonts w:ascii="Calibri" w:hAnsi="Calibri"/>
          <w:sz w:val="22"/>
          <w:szCs w:val="22"/>
        </w:rPr>
        <w:t xml:space="preserve"> </w:t>
      </w:r>
    </w:p>
    <w:p w14:paraId="2B3C0BE0" w14:textId="77777777" w:rsidR="001F35A3" w:rsidRPr="00881808" w:rsidRDefault="001F35A3" w:rsidP="00F74C3D">
      <w:pPr>
        <w:pStyle w:val="Pa4"/>
        <w:numPr>
          <w:ilvl w:val="0"/>
          <w:numId w:val="18"/>
        </w:numPr>
        <w:spacing w:line="240" w:lineRule="auto"/>
        <w:rPr>
          <w:rFonts w:ascii="Calibri" w:hAnsi="Calibri"/>
          <w:bCs/>
          <w:i/>
          <w:sz w:val="22"/>
          <w:szCs w:val="22"/>
        </w:rPr>
      </w:pPr>
      <w:r w:rsidRPr="00881808">
        <w:rPr>
          <w:rFonts w:ascii="Calibri" w:hAnsi="Calibri"/>
          <w:bCs/>
          <w:i/>
          <w:sz w:val="22"/>
          <w:szCs w:val="22"/>
        </w:rPr>
        <w:t xml:space="preserve">A transgender woman (MTF) should be placed in rooms, programs and/or housing for women, and a transgender man (FTM) should be placed in rooms, programs and/or housing for men, unless the individual indicates that they wish to be placed elsewhere. </w:t>
      </w:r>
    </w:p>
    <w:p w14:paraId="39A05E4D" w14:textId="77777777" w:rsidR="00F74C3D" w:rsidRPr="007E405B" w:rsidRDefault="00F74C3D" w:rsidP="00881808">
      <w:pPr>
        <w:pStyle w:val="Default"/>
        <w:numPr>
          <w:ilvl w:val="0"/>
          <w:numId w:val="18"/>
        </w:numPr>
        <w:rPr>
          <w:rFonts w:ascii="Calibri" w:hAnsi="Calibri"/>
          <w:sz w:val="22"/>
          <w:szCs w:val="22"/>
        </w:rPr>
      </w:pPr>
      <w:r w:rsidRPr="007E405B">
        <w:rPr>
          <w:rFonts w:ascii="Calibri" w:hAnsi="Calibri"/>
          <w:bCs/>
          <w:i/>
          <w:sz w:val="22"/>
          <w:szCs w:val="22"/>
        </w:rPr>
        <w:t>A non-binary</w:t>
      </w:r>
      <w:r w:rsidR="00F8579D" w:rsidRPr="007E405B">
        <w:rPr>
          <w:rFonts w:ascii="Calibri" w:hAnsi="Calibri"/>
          <w:bCs/>
          <w:i/>
          <w:sz w:val="22"/>
          <w:szCs w:val="22"/>
        </w:rPr>
        <w:t xml:space="preserve"> </w:t>
      </w:r>
      <w:r w:rsidR="008F01AB" w:rsidRPr="007E405B">
        <w:rPr>
          <w:rFonts w:ascii="Calibri" w:hAnsi="Calibri"/>
          <w:bCs/>
          <w:i/>
          <w:sz w:val="22"/>
          <w:szCs w:val="22"/>
        </w:rPr>
        <w:t xml:space="preserve">individual </w:t>
      </w:r>
      <w:r w:rsidR="004A692E" w:rsidRPr="007E405B">
        <w:rPr>
          <w:rFonts w:ascii="Calibri" w:hAnsi="Calibri"/>
          <w:bCs/>
          <w:i/>
          <w:sz w:val="22"/>
          <w:szCs w:val="22"/>
        </w:rPr>
        <w:t>(an</w:t>
      </w:r>
      <w:r w:rsidR="00F8579D" w:rsidRPr="007E405B">
        <w:rPr>
          <w:rFonts w:ascii="Calibri" w:hAnsi="Calibri"/>
          <w:bCs/>
          <w:i/>
          <w:sz w:val="22"/>
          <w:szCs w:val="22"/>
        </w:rPr>
        <w:t xml:space="preserve"> individual who does not identify as a man or a woman)</w:t>
      </w:r>
      <w:r w:rsidR="008F01AB" w:rsidRPr="007E405B">
        <w:rPr>
          <w:rFonts w:ascii="Calibri" w:hAnsi="Calibri"/>
          <w:bCs/>
          <w:i/>
          <w:sz w:val="22"/>
          <w:szCs w:val="22"/>
        </w:rPr>
        <w:t xml:space="preserve"> </w:t>
      </w:r>
      <w:r w:rsidRPr="007E405B">
        <w:rPr>
          <w:rFonts w:ascii="Calibri" w:hAnsi="Calibri"/>
          <w:bCs/>
          <w:i/>
          <w:sz w:val="22"/>
          <w:szCs w:val="22"/>
        </w:rPr>
        <w:t>should be placed in rooms, programs</w:t>
      </w:r>
      <w:r w:rsidR="008F01AB" w:rsidRPr="007E405B">
        <w:rPr>
          <w:rFonts w:ascii="Calibri" w:hAnsi="Calibri"/>
          <w:bCs/>
          <w:i/>
          <w:sz w:val="22"/>
          <w:szCs w:val="22"/>
        </w:rPr>
        <w:t>,</w:t>
      </w:r>
      <w:r w:rsidRPr="007E405B">
        <w:rPr>
          <w:rFonts w:ascii="Calibri" w:hAnsi="Calibri"/>
          <w:bCs/>
          <w:i/>
          <w:sz w:val="22"/>
          <w:szCs w:val="22"/>
        </w:rPr>
        <w:t xml:space="preserve"> and/or housing that the individual feels is appropriate for their care.</w:t>
      </w:r>
    </w:p>
    <w:p w14:paraId="584E8637" w14:textId="77777777" w:rsidR="00CA7C24" w:rsidRDefault="00CA7C24" w:rsidP="001F35A3">
      <w:pPr>
        <w:pStyle w:val="Pa4"/>
        <w:spacing w:after="200"/>
        <w:rPr>
          <w:rFonts w:ascii="Calibri" w:hAnsi="Calibri"/>
          <w:sz w:val="22"/>
          <w:szCs w:val="22"/>
        </w:rPr>
      </w:pPr>
    </w:p>
    <w:p w14:paraId="577FC871" w14:textId="77777777" w:rsidR="00AE78D3" w:rsidRDefault="00AE78D3" w:rsidP="00404D8A">
      <w:pPr>
        <w:spacing w:after="0" w:line="240" w:lineRule="auto"/>
        <w:rPr>
          <w:b/>
          <w:i/>
        </w:rPr>
      </w:pPr>
    </w:p>
    <w:p w14:paraId="5C39766F" w14:textId="77777777" w:rsidR="006A4C7C" w:rsidRPr="00881808" w:rsidRDefault="00172163"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Pr>
          <w:b/>
          <w:iCs/>
        </w:rPr>
        <w:lastRenderedPageBreak/>
        <w:t xml:space="preserve">BATHROOM&amp; </w:t>
      </w:r>
      <w:r w:rsidR="00905EC5" w:rsidRPr="00905EC5">
        <w:rPr>
          <w:b/>
          <w:iCs/>
        </w:rPr>
        <w:t>SHOWER FACILITIES</w:t>
      </w:r>
    </w:p>
    <w:p w14:paraId="238162EF" w14:textId="77777777" w:rsidR="00404D8A" w:rsidRDefault="00404D8A" w:rsidP="007E405B">
      <w:pPr>
        <w:pStyle w:val="Pa4"/>
        <w:spacing w:line="240" w:lineRule="auto"/>
        <w:rPr>
          <w:rFonts w:asciiTheme="minorHAnsi" w:hAnsiTheme="minorHAnsi"/>
          <w:sz w:val="22"/>
          <w:szCs w:val="22"/>
        </w:rPr>
      </w:pPr>
      <w:r w:rsidRPr="00EB2C91">
        <w:rPr>
          <w:rFonts w:asciiTheme="minorHAnsi" w:hAnsiTheme="minorHAnsi"/>
          <w:sz w:val="22"/>
          <w:szCs w:val="22"/>
        </w:rPr>
        <w:t xml:space="preserve">Allow </w:t>
      </w:r>
      <w:r w:rsidR="005366FC">
        <w:rPr>
          <w:rFonts w:asciiTheme="minorHAnsi" w:hAnsiTheme="minorHAnsi"/>
          <w:sz w:val="22"/>
          <w:szCs w:val="22"/>
        </w:rPr>
        <w:t>individuals</w:t>
      </w:r>
      <w:r w:rsidRPr="00EB2C91">
        <w:rPr>
          <w:rFonts w:asciiTheme="minorHAnsi" w:hAnsiTheme="minorHAnsi"/>
          <w:sz w:val="22"/>
          <w:szCs w:val="22"/>
        </w:rPr>
        <w:t xml:space="preserve"> to use bathrooms</w:t>
      </w:r>
      <w:r w:rsidR="00D80FE1">
        <w:rPr>
          <w:rFonts w:asciiTheme="minorHAnsi" w:hAnsiTheme="minorHAnsi"/>
          <w:sz w:val="22"/>
          <w:szCs w:val="22"/>
        </w:rPr>
        <w:t xml:space="preserve"> and showers </w:t>
      </w:r>
      <w:r w:rsidRPr="00EB2C91">
        <w:rPr>
          <w:rFonts w:asciiTheme="minorHAnsi" w:hAnsiTheme="minorHAnsi"/>
          <w:sz w:val="22"/>
          <w:szCs w:val="22"/>
        </w:rPr>
        <w:t>that correspond to their gender identity.</w:t>
      </w:r>
      <w:r w:rsidR="00CA7C24">
        <w:rPr>
          <w:rFonts w:asciiTheme="minorHAnsi" w:hAnsiTheme="minorHAnsi"/>
          <w:sz w:val="22"/>
          <w:szCs w:val="22"/>
        </w:rPr>
        <w:t xml:space="preserve"> </w:t>
      </w:r>
      <w:r w:rsidRPr="00EB2C91">
        <w:rPr>
          <w:rFonts w:asciiTheme="minorHAnsi" w:hAnsiTheme="minorHAnsi"/>
          <w:sz w:val="22"/>
          <w:szCs w:val="22"/>
        </w:rPr>
        <w:t xml:space="preserve"> </w:t>
      </w:r>
      <w:r w:rsidR="00D80FE1">
        <w:rPr>
          <w:rFonts w:asciiTheme="minorHAnsi" w:hAnsiTheme="minorHAnsi"/>
          <w:sz w:val="22"/>
          <w:szCs w:val="22"/>
        </w:rPr>
        <w:t>Offer the facilities based on a person’s concerns regarding safety and comfort.</w:t>
      </w:r>
    </w:p>
    <w:p w14:paraId="35BD1FCD" w14:textId="77777777" w:rsidR="007E405B" w:rsidRDefault="007E405B" w:rsidP="007E405B">
      <w:pPr>
        <w:pStyle w:val="Pa4"/>
        <w:spacing w:line="240" w:lineRule="auto"/>
        <w:rPr>
          <w:rFonts w:asciiTheme="minorHAnsi" w:hAnsiTheme="minorHAnsi"/>
          <w:sz w:val="22"/>
          <w:szCs w:val="22"/>
        </w:rPr>
      </w:pPr>
    </w:p>
    <w:p w14:paraId="3379BF0F" w14:textId="77777777" w:rsidR="00404D8A" w:rsidRPr="00EB2C91" w:rsidRDefault="00D80FE1" w:rsidP="007E405B">
      <w:pPr>
        <w:pStyle w:val="Pa4"/>
        <w:spacing w:line="240" w:lineRule="auto"/>
        <w:rPr>
          <w:rFonts w:asciiTheme="minorHAnsi" w:hAnsiTheme="minorHAnsi"/>
          <w:sz w:val="22"/>
          <w:szCs w:val="22"/>
        </w:rPr>
      </w:pPr>
      <w:r>
        <w:rPr>
          <w:rFonts w:asciiTheme="minorHAnsi" w:hAnsiTheme="minorHAnsi"/>
          <w:sz w:val="22"/>
          <w:szCs w:val="22"/>
        </w:rPr>
        <w:t>If possible, p</w:t>
      </w:r>
      <w:r w:rsidR="00404D8A" w:rsidRPr="00EB2C91">
        <w:rPr>
          <w:rFonts w:asciiTheme="minorHAnsi" w:hAnsiTheme="minorHAnsi"/>
          <w:sz w:val="22"/>
          <w:szCs w:val="22"/>
        </w:rPr>
        <w:t>rovide</w:t>
      </w:r>
      <w:r w:rsidR="00404D8A" w:rsidRPr="00701092">
        <w:rPr>
          <w:rFonts w:asciiTheme="minorHAnsi" w:hAnsiTheme="minorHAnsi"/>
          <w:sz w:val="22"/>
          <w:szCs w:val="22"/>
        </w:rPr>
        <w:t xml:space="preserve"> </w:t>
      </w:r>
      <w:r w:rsidR="00677015" w:rsidRPr="00701092">
        <w:rPr>
          <w:rFonts w:asciiTheme="minorHAnsi" w:hAnsiTheme="minorHAnsi"/>
          <w:sz w:val="22"/>
          <w:szCs w:val="22"/>
        </w:rPr>
        <w:t>single-stall</w:t>
      </w:r>
      <w:r w:rsidR="00677015">
        <w:rPr>
          <w:rFonts w:asciiTheme="minorHAnsi" w:hAnsiTheme="minorHAnsi"/>
          <w:sz w:val="22"/>
          <w:szCs w:val="22"/>
        </w:rPr>
        <w:t xml:space="preserve"> </w:t>
      </w:r>
      <w:r w:rsidR="00404D8A" w:rsidRPr="00EB2C91">
        <w:rPr>
          <w:rFonts w:asciiTheme="minorHAnsi" w:hAnsiTheme="minorHAnsi"/>
          <w:sz w:val="22"/>
          <w:szCs w:val="22"/>
        </w:rPr>
        <w:t xml:space="preserve">gender-neutral bathrooms for all </w:t>
      </w:r>
      <w:r w:rsidR="00CE60A8">
        <w:rPr>
          <w:rFonts w:asciiTheme="minorHAnsi" w:hAnsiTheme="minorHAnsi"/>
          <w:sz w:val="22"/>
          <w:szCs w:val="22"/>
        </w:rPr>
        <w:t>individuals</w:t>
      </w:r>
      <w:r w:rsidR="00404D8A" w:rsidRPr="00EB2C91">
        <w:rPr>
          <w:rFonts w:asciiTheme="minorHAnsi" w:hAnsiTheme="minorHAnsi"/>
          <w:sz w:val="22"/>
          <w:szCs w:val="22"/>
        </w:rPr>
        <w:t xml:space="preserve"> to use. </w:t>
      </w:r>
      <w:r w:rsidR="007E405B">
        <w:rPr>
          <w:rFonts w:asciiTheme="minorHAnsi" w:hAnsiTheme="minorHAnsi"/>
          <w:sz w:val="22"/>
          <w:szCs w:val="22"/>
        </w:rPr>
        <w:t xml:space="preserve"> </w:t>
      </w:r>
      <w:r w:rsidR="00404D8A" w:rsidRPr="00D80FE1">
        <w:rPr>
          <w:rFonts w:asciiTheme="minorHAnsi" w:hAnsiTheme="minorHAnsi"/>
          <w:sz w:val="22"/>
          <w:szCs w:val="22"/>
        </w:rPr>
        <w:t xml:space="preserve">Do not </w:t>
      </w:r>
      <w:r w:rsidRPr="00881808">
        <w:rPr>
          <w:rFonts w:asciiTheme="minorHAnsi" w:hAnsiTheme="minorHAnsi"/>
          <w:sz w:val="22"/>
          <w:szCs w:val="22"/>
        </w:rPr>
        <w:t>offer</w:t>
      </w:r>
      <w:r w:rsidRPr="00D80FE1">
        <w:rPr>
          <w:rFonts w:asciiTheme="minorHAnsi" w:hAnsiTheme="minorHAnsi"/>
          <w:sz w:val="22"/>
          <w:szCs w:val="22"/>
        </w:rPr>
        <w:t xml:space="preserve"> </w:t>
      </w:r>
      <w:r w:rsidR="00404D8A" w:rsidRPr="00D80FE1">
        <w:rPr>
          <w:rFonts w:asciiTheme="minorHAnsi" w:hAnsiTheme="minorHAnsi"/>
          <w:sz w:val="22"/>
          <w:szCs w:val="22"/>
        </w:rPr>
        <w:t>this as the only option for transgender and gender non-conforming guests.</w:t>
      </w:r>
      <w:r w:rsidR="00404D8A" w:rsidRPr="00EB2C91">
        <w:rPr>
          <w:rFonts w:asciiTheme="minorHAnsi" w:hAnsiTheme="minorHAnsi"/>
          <w:sz w:val="22"/>
          <w:szCs w:val="22"/>
        </w:rPr>
        <w:t xml:space="preserve"> </w:t>
      </w:r>
      <w:r w:rsidR="007E405B">
        <w:rPr>
          <w:rFonts w:asciiTheme="minorHAnsi" w:hAnsiTheme="minorHAnsi"/>
          <w:sz w:val="22"/>
          <w:szCs w:val="22"/>
        </w:rPr>
        <w:t xml:space="preserve"> </w:t>
      </w:r>
      <w:r w:rsidR="00404D8A" w:rsidRPr="00EB2C91">
        <w:rPr>
          <w:rFonts w:asciiTheme="minorHAnsi" w:hAnsiTheme="minorHAnsi"/>
          <w:sz w:val="22"/>
          <w:szCs w:val="22"/>
        </w:rPr>
        <w:t>Restricting choices in this way may draw unwanted attention to the individual or situation.</w:t>
      </w:r>
    </w:p>
    <w:p w14:paraId="60A37624" w14:textId="77777777" w:rsidR="007E405B" w:rsidRDefault="007E405B" w:rsidP="007E405B">
      <w:pPr>
        <w:pStyle w:val="Pa4"/>
        <w:spacing w:line="240" w:lineRule="auto"/>
        <w:rPr>
          <w:rFonts w:asciiTheme="minorHAnsi" w:hAnsiTheme="minorHAnsi"/>
          <w:sz w:val="22"/>
          <w:szCs w:val="22"/>
        </w:rPr>
      </w:pPr>
    </w:p>
    <w:p w14:paraId="79F83F28" w14:textId="77777777" w:rsidR="00404D8A" w:rsidRPr="006838BB" w:rsidRDefault="00404D8A" w:rsidP="007E405B">
      <w:pPr>
        <w:pStyle w:val="Pa4"/>
        <w:spacing w:line="240" w:lineRule="auto"/>
        <w:rPr>
          <w:rFonts w:asciiTheme="minorHAnsi" w:hAnsiTheme="minorHAnsi"/>
          <w:sz w:val="22"/>
          <w:szCs w:val="22"/>
        </w:rPr>
      </w:pPr>
      <w:r w:rsidRPr="00EB2C91">
        <w:rPr>
          <w:rFonts w:asciiTheme="minorHAnsi" w:hAnsiTheme="minorHAnsi"/>
          <w:sz w:val="22"/>
          <w:szCs w:val="22"/>
        </w:rPr>
        <w:t>Ensure bathrooms</w:t>
      </w:r>
      <w:r w:rsidR="00172163">
        <w:rPr>
          <w:rFonts w:asciiTheme="minorHAnsi" w:hAnsiTheme="minorHAnsi"/>
          <w:sz w:val="22"/>
          <w:szCs w:val="22"/>
        </w:rPr>
        <w:t xml:space="preserve"> and shower</w:t>
      </w:r>
      <w:r w:rsidR="00881808">
        <w:rPr>
          <w:rFonts w:asciiTheme="minorHAnsi" w:hAnsiTheme="minorHAnsi"/>
          <w:sz w:val="22"/>
          <w:szCs w:val="22"/>
        </w:rPr>
        <w:t xml:space="preserve"> stalls </w:t>
      </w:r>
      <w:r w:rsidR="00D80FE1">
        <w:rPr>
          <w:rFonts w:asciiTheme="minorHAnsi" w:hAnsiTheme="minorHAnsi"/>
          <w:sz w:val="22"/>
          <w:szCs w:val="22"/>
        </w:rPr>
        <w:t>accommodate the need</w:t>
      </w:r>
      <w:r w:rsidR="00D80FE1" w:rsidRPr="00EB2C91">
        <w:rPr>
          <w:rFonts w:asciiTheme="minorHAnsi" w:hAnsiTheme="minorHAnsi"/>
          <w:sz w:val="22"/>
          <w:szCs w:val="22"/>
        </w:rPr>
        <w:t xml:space="preserve"> </w:t>
      </w:r>
      <w:r w:rsidRPr="00EB2C91">
        <w:rPr>
          <w:rFonts w:asciiTheme="minorHAnsi" w:hAnsiTheme="minorHAnsi"/>
          <w:sz w:val="22"/>
          <w:szCs w:val="22"/>
        </w:rPr>
        <w:t>fo</w:t>
      </w:r>
      <w:r w:rsidR="00D80FE1">
        <w:rPr>
          <w:rFonts w:asciiTheme="minorHAnsi" w:hAnsiTheme="minorHAnsi"/>
          <w:sz w:val="22"/>
          <w:szCs w:val="22"/>
        </w:rPr>
        <w:t>r</w:t>
      </w:r>
      <w:r w:rsidR="00C73BFA">
        <w:rPr>
          <w:rFonts w:asciiTheme="minorHAnsi" w:hAnsiTheme="minorHAnsi"/>
          <w:sz w:val="22"/>
          <w:szCs w:val="22"/>
        </w:rPr>
        <w:t xml:space="preserve"> privacy and safety of all individuals</w:t>
      </w:r>
      <w:r>
        <w:rPr>
          <w:rFonts w:asciiTheme="minorHAnsi" w:hAnsiTheme="minorHAnsi"/>
          <w:sz w:val="22"/>
          <w:szCs w:val="22"/>
        </w:rPr>
        <w:t xml:space="preserve">. </w:t>
      </w:r>
    </w:p>
    <w:p w14:paraId="439BD9F1" w14:textId="77777777" w:rsidR="007E405B" w:rsidRDefault="007E405B" w:rsidP="007E405B">
      <w:pPr>
        <w:pStyle w:val="Pa4"/>
        <w:spacing w:line="240" w:lineRule="auto"/>
        <w:rPr>
          <w:rFonts w:ascii="Calibri" w:hAnsi="Calibri"/>
          <w:sz w:val="22"/>
          <w:szCs w:val="22"/>
        </w:rPr>
      </w:pPr>
    </w:p>
    <w:p w14:paraId="4D04C87E" w14:textId="77777777" w:rsidR="00404D8A" w:rsidRDefault="00701092" w:rsidP="007E405B">
      <w:pPr>
        <w:pStyle w:val="Pa4"/>
        <w:spacing w:line="240" w:lineRule="auto"/>
        <w:rPr>
          <w:rFonts w:ascii="Calibri" w:hAnsi="Calibri"/>
          <w:sz w:val="22"/>
          <w:szCs w:val="22"/>
        </w:rPr>
      </w:pPr>
      <w:r>
        <w:rPr>
          <w:rFonts w:ascii="Calibri" w:hAnsi="Calibri"/>
          <w:sz w:val="22"/>
          <w:szCs w:val="22"/>
        </w:rPr>
        <w:t>Where available, offer</w:t>
      </w:r>
      <w:r w:rsidR="00D4303A">
        <w:rPr>
          <w:rFonts w:ascii="Calibri" w:hAnsi="Calibri"/>
          <w:sz w:val="22"/>
          <w:szCs w:val="22"/>
        </w:rPr>
        <w:t xml:space="preserve"> – but do not mandate </w:t>
      </w:r>
      <w:r w:rsidR="00CB4CCB">
        <w:rPr>
          <w:rFonts w:ascii="Calibri" w:hAnsi="Calibri"/>
          <w:sz w:val="22"/>
          <w:szCs w:val="22"/>
        </w:rPr>
        <w:t>–</w:t>
      </w:r>
      <w:r w:rsidR="00404D8A" w:rsidRPr="006838BB">
        <w:rPr>
          <w:rFonts w:ascii="Calibri" w:hAnsi="Calibri"/>
          <w:sz w:val="22"/>
          <w:szCs w:val="22"/>
        </w:rPr>
        <w:t xml:space="preserve"> </w:t>
      </w:r>
      <w:r w:rsidR="00CB4CCB">
        <w:rPr>
          <w:rFonts w:ascii="Calibri" w:hAnsi="Calibri"/>
          <w:sz w:val="22"/>
          <w:szCs w:val="22"/>
        </w:rPr>
        <w:t xml:space="preserve">to all </w:t>
      </w:r>
      <w:r w:rsidR="00C73BFA">
        <w:rPr>
          <w:rFonts w:ascii="Calibri" w:hAnsi="Calibri"/>
          <w:sz w:val="22"/>
          <w:szCs w:val="22"/>
        </w:rPr>
        <w:t>persons</w:t>
      </w:r>
      <w:r w:rsidR="00404D8A" w:rsidRPr="006838BB">
        <w:rPr>
          <w:rFonts w:ascii="Calibri" w:hAnsi="Calibri"/>
          <w:sz w:val="22"/>
          <w:szCs w:val="22"/>
        </w:rPr>
        <w:t xml:space="preserve"> t</w:t>
      </w:r>
      <w:r w:rsidR="002063D6">
        <w:rPr>
          <w:rFonts w:ascii="Calibri" w:hAnsi="Calibri"/>
          <w:sz w:val="22"/>
          <w:szCs w:val="22"/>
        </w:rPr>
        <w:t>he</w:t>
      </w:r>
      <w:r w:rsidR="00404D8A" w:rsidRPr="006838BB">
        <w:rPr>
          <w:rFonts w:ascii="Calibri" w:hAnsi="Calibri"/>
          <w:sz w:val="22"/>
          <w:szCs w:val="22"/>
        </w:rPr>
        <w:t xml:space="preserve"> use </w:t>
      </w:r>
      <w:r w:rsidR="002063D6">
        <w:rPr>
          <w:rFonts w:ascii="Calibri" w:hAnsi="Calibri"/>
          <w:sz w:val="22"/>
          <w:szCs w:val="22"/>
        </w:rPr>
        <w:t xml:space="preserve">of </w:t>
      </w:r>
      <w:r w:rsidR="00404D8A" w:rsidRPr="006838BB">
        <w:rPr>
          <w:rFonts w:ascii="Calibri" w:hAnsi="Calibri"/>
          <w:sz w:val="22"/>
          <w:szCs w:val="22"/>
        </w:rPr>
        <w:t xml:space="preserve">individual </w:t>
      </w:r>
      <w:r w:rsidR="009B06C7">
        <w:rPr>
          <w:rFonts w:ascii="Calibri" w:hAnsi="Calibri"/>
          <w:sz w:val="22"/>
          <w:szCs w:val="22"/>
        </w:rPr>
        <w:t xml:space="preserve">shower </w:t>
      </w:r>
      <w:r w:rsidR="007E405B">
        <w:rPr>
          <w:rFonts w:ascii="Calibri" w:hAnsi="Calibri"/>
          <w:sz w:val="22"/>
          <w:szCs w:val="22"/>
        </w:rPr>
        <w:t xml:space="preserve">stalls.  </w:t>
      </w:r>
      <w:r w:rsidR="00AE78D3">
        <w:rPr>
          <w:rFonts w:ascii="Calibri" w:hAnsi="Calibri"/>
          <w:sz w:val="22"/>
          <w:szCs w:val="22"/>
        </w:rPr>
        <w:t>I</w:t>
      </w:r>
      <w:r w:rsidR="00404D8A" w:rsidRPr="006838BB">
        <w:rPr>
          <w:rFonts w:ascii="Calibri" w:hAnsi="Calibri"/>
          <w:sz w:val="22"/>
          <w:szCs w:val="22"/>
        </w:rPr>
        <w:t xml:space="preserve">f only open stalls exist in the facility, </w:t>
      </w:r>
      <w:r w:rsidR="00F2156B">
        <w:rPr>
          <w:rFonts w:ascii="Calibri" w:hAnsi="Calibri"/>
          <w:sz w:val="22"/>
          <w:szCs w:val="22"/>
        </w:rPr>
        <w:t>staff should make accommodations to ensure</w:t>
      </w:r>
      <w:r w:rsidR="00B12AC0">
        <w:rPr>
          <w:rFonts w:ascii="Calibri" w:hAnsi="Calibri"/>
          <w:sz w:val="22"/>
          <w:szCs w:val="22"/>
        </w:rPr>
        <w:t xml:space="preserve"> </w:t>
      </w:r>
      <w:r w:rsidR="00404D8A" w:rsidRPr="006838BB">
        <w:rPr>
          <w:rFonts w:ascii="Calibri" w:hAnsi="Calibri"/>
          <w:sz w:val="22"/>
          <w:szCs w:val="22"/>
        </w:rPr>
        <w:t xml:space="preserve">the </w:t>
      </w:r>
      <w:r w:rsidR="00C73BFA">
        <w:rPr>
          <w:rFonts w:ascii="Calibri" w:hAnsi="Calibri"/>
          <w:sz w:val="22"/>
          <w:szCs w:val="22"/>
        </w:rPr>
        <w:t>privacy and safety of all</w:t>
      </w:r>
      <w:r w:rsidR="00404D8A" w:rsidRPr="006838BB">
        <w:rPr>
          <w:rFonts w:ascii="Calibri" w:hAnsi="Calibri"/>
          <w:sz w:val="22"/>
          <w:szCs w:val="22"/>
        </w:rPr>
        <w:t xml:space="preserve">. </w:t>
      </w:r>
      <w:r w:rsidR="007E405B">
        <w:rPr>
          <w:rFonts w:ascii="Calibri" w:hAnsi="Calibri"/>
          <w:sz w:val="22"/>
          <w:szCs w:val="22"/>
        </w:rPr>
        <w:t xml:space="preserve"> </w:t>
      </w:r>
      <w:r w:rsidR="00404D8A" w:rsidRPr="006838BB">
        <w:rPr>
          <w:rFonts w:ascii="Calibri" w:hAnsi="Calibri"/>
          <w:sz w:val="22"/>
          <w:szCs w:val="22"/>
        </w:rPr>
        <w:t xml:space="preserve">For example, staff can divide shower stalls with curtains or </w:t>
      </w:r>
      <w:r w:rsidR="00F2156B">
        <w:rPr>
          <w:rFonts w:ascii="Calibri" w:hAnsi="Calibri"/>
          <w:sz w:val="22"/>
          <w:szCs w:val="22"/>
        </w:rPr>
        <w:t xml:space="preserve">may </w:t>
      </w:r>
      <w:r w:rsidR="00404D8A" w:rsidRPr="006838BB">
        <w:rPr>
          <w:rFonts w:ascii="Calibri" w:hAnsi="Calibri"/>
          <w:sz w:val="22"/>
          <w:szCs w:val="22"/>
        </w:rPr>
        <w:t xml:space="preserve">make </w:t>
      </w:r>
      <w:r w:rsidR="00C73BFA">
        <w:rPr>
          <w:rFonts w:ascii="Calibri" w:hAnsi="Calibri"/>
          <w:sz w:val="22"/>
          <w:szCs w:val="22"/>
        </w:rPr>
        <w:t>arrangements for people</w:t>
      </w:r>
      <w:r w:rsidR="00404D8A" w:rsidRPr="006838BB">
        <w:rPr>
          <w:rFonts w:ascii="Calibri" w:hAnsi="Calibri"/>
          <w:sz w:val="22"/>
          <w:szCs w:val="22"/>
        </w:rPr>
        <w:t xml:space="preserve"> to use the shower at a time when the showe</w:t>
      </w:r>
      <w:r w:rsidR="00C73BFA">
        <w:rPr>
          <w:rFonts w:ascii="Calibri" w:hAnsi="Calibri"/>
          <w:sz w:val="22"/>
          <w:szCs w:val="22"/>
        </w:rPr>
        <w:t>r area is closed to others</w:t>
      </w:r>
      <w:r w:rsidR="00404D8A" w:rsidRPr="006838BB">
        <w:rPr>
          <w:rFonts w:ascii="Calibri" w:hAnsi="Calibri"/>
          <w:sz w:val="22"/>
          <w:szCs w:val="22"/>
        </w:rPr>
        <w:t xml:space="preserve">. </w:t>
      </w:r>
      <w:r w:rsidR="007E405B">
        <w:rPr>
          <w:rFonts w:ascii="Calibri" w:hAnsi="Calibri"/>
          <w:sz w:val="22"/>
          <w:szCs w:val="22"/>
        </w:rPr>
        <w:t xml:space="preserve"> </w:t>
      </w:r>
      <w:r w:rsidR="00404D8A" w:rsidRPr="006838BB">
        <w:rPr>
          <w:rFonts w:ascii="Calibri" w:hAnsi="Calibri"/>
          <w:sz w:val="22"/>
          <w:szCs w:val="22"/>
        </w:rPr>
        <w:t>As with bathroom facilities, do not require this as the only option for transgender</w:t>
      </w:r>
      <w:r w:rsidR="00C73BFA">
        <w:rPr>
          <w:rFonts w:ascii="Calibri" w:hAnsi="Calibri"/>
          <w:sz w:val="22"/>
          <w:szCs w:val="22"/>
        </w:rPr>
        <w:t xml:space="preserve"> and gender non-conforming person</w:t>
      </w:r>
      <w:r w:rsidR="00404D8A" w:rsidRPr="006838BB">
        <w:rPr>
          <w:rFonts w:ascii="Calibri" w:hAnsi="Calibri"/>
          <w:sz w:val="22"/>
          <w:szCs w:val="22"/>
        </w:rPr>
        <w:t xml:space="preserve">s. </w:t>
      </w:r>
      <w:r w:rsidR="007E405B">
        <w:rPr>
          <w:rFonts w:ascii="Calibri" w:hAnsi="Calibri"/>
          <w:sz w:val="22"/>
          <w:szCs w:val="22"/>
        </w:rPr>
        <w:t xml:space="preserve"> </w:t>
      </w:r>
      <w:r w:rsidR="00404D8A" w:rsidRPr="006838BB">
        <w:rPr>
          <w:rFonts w:ascii="Calibri" w:hAnsi="Calibri"/>
          <w:sz w:val="22"/>
          <w:szCs w:val="22"/>
        </w:rPr>
        <w:t>Restricting choices in this way may draw unwanted attention to the i</w:t>
      </w:r>
      <w:r w:rsidR="00684D45">
        <w:rPr>
          <w:rFonts w:ascii="Calibri" w:hAnsi="Calibri"/>
          <w:sz w:val="22"/>
          <w:szCs w:val="22"/>
        </w:rPr>
        <w:t xml:space="preserve">ndividual or situation. </w:t>
      </w:r>
      <w:r w:rsidR="00CB4CCB">
        <w:rPr>
          <w:rFonts w:ascii="Calibri" w:hAnsi="Calibri"/>
          <w:sz w:val="22"/>
          <w:szCs w:val="22"/>
        </w:rPr>
        <w:t xml:space="preserve">  </w:t>
      </w:r>
    </w:p>
    <w:p w14:paraId="4B8C70B9" w14:textId="77777777" w:rsidR="00204102" w:rsidRPr="00204102" w:rsidRDefault="00204102" w:rsidP="00204102">
      <w:pPr>
        <w:pStyle w:val="Default"/>
      </w:pPr>
    </w:p>
    <w:p w14:paraId="65CD5913" w14:textId="77777777" w:rsidR="00DE39C0" w:rsidRPr="008B3AF8" w:rsidRDefault="00D80FE1"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D80FE1">
        <w:rPr>
          <w:b/>
          <w:iCs/>
        </w:rPr>
        <w:t>CLOTHING/GROOMING</w:t>
      </w:r>
    </w:p>
    <w:p w14:paraId="11DF0F03" w14:textId="77777777" w:rsidR="00DE39C0" w:rsidRDefault="00320CB9" w:rsidP="00DE39C0">
      <w:pPr>
        <w:spacing w:after="0" w:line="240" w:lineRule="auto"/>
        <w:rPr>
          <w:b/>
          <w:i/>
        </w:rPr>
      </w:pPr>
      <w:r>
        <w:t>Expectations for attire</w:t>
      </w:r>
      <w:r w:rsidR="00DE39C0">
        <w:t xml:space="preserve"> should not be based on </w:t>
      </w:r>
      <w:r>
        <w:t xml:space="preserve">gender or </w:t>
      </w:r>
      <w:r w:rsidR="00DE39C0">
        <w:t xml:space="preserve">gender identity.  Gender non-conforming clothing and grooming practices should be </w:t>
      </w:r>
      <w:r w:rsidR="00DE39C0" w:rsidRPr="008F3E14">
        <w:t>accepted.</w:t>
      </w:r>
      <w:r w:rsidR="00DE39C0">
        <w:t xml:space="preserve"> The goal of this is to allow personal freedom </w:t>
      </w:r>
      <w:r w:rsidR="00DE39C0" w:rsidRPr="008F3E14">
        <w:t>and exploration</w:t>
      </w:r>
      <w:r w:rsidR="00DE39C0">
        <w:t xml:space="preserve"> in dress, gender expression, and presentation.</w:t>
      </w:r>
    </w:p>
    <w:p w14:paraId="354FA927" w14:textId="77777777" w:rsidR="00320CB9" w:rsidRDefault="00DE39C0" w:rsidP="008B3AF8">
      <w:pPr>
        <w:spacing w:after="0" w:line="240" w:lineRule="auto"/>
        <w:ind w:firstLine="360"/>
        <w:rPr>
          <w:b/>
          <w:i/>
        </w:rPr>
      </w:pPr>
      <w:r>
        <w:rPr>
          <w:b/>
          <w:i/>
        </w:rPr>
        <w:t>Example</w:t>
      </w:r>
      <w:r w:rsidR="00320CB9">
        <w:rPr>
          <w:b/>
          <w:i/>
        </w:rPr>
        <w:t>s</w:t>
      </w:r>
      <w:r>
        <w:rPr>
          <w:b/>
          <w:i/>
        </w:rPr>
        <w:t xml:space="preserve">:  </w:t>
      </w:r>
    </w:p>
    <w:p w14:paraId="4C190673" w14:textId="77777777" w:rsidR="00320CB9" w:rsidRPr="008B3AF8" w:rsidRDefault="00DE39C0" w:rsidP="00320CB9">
      <w:pPr>
        <w:pStyle w:val="ListParagraph"/>
        <w:numPr>
          <w:ilvl w:val="0"/>
          <w:numId w:val="35"/>
        </w:numPr>
        <w:spacing w:after="0" w:line="240" w:lineRule="auto"/>
        <w:rPr>
          <w:bCs/>
          <w:i/>
        </w:rPr>
      </w:pPr>
      <w:r w:rsidRPr="008B3AF8">
        <w:rPr>
          <w:bCs/>
          <w:i/>
        </w:rPr>
        <w:t xml:space="preserve">A </w:t>
      </w:r>
      <w:r w:rsidR="00320CB9" w:rsidRPr="008B3AF8">
        <w:rPr>
          <w:bCs/>
          <w:i/>
        </w:rPr>
        <w:t>requirement</w:t>
      </w:r>
      <w:r w:rsidRPr="008B3AF8">
        <w:rPr>
          <w:bCs/>
          <w:i/>
        </w:rPr>
        <w:t xml:space="preserve"> that all persons wear clothing that covers their body from the chest to the knees is not based on gender.</w:t>
      </w:r>
    </w:p>
    <w:p w14:paraId="771935FA" w14:textId="77777777" w:rsidR="00DE39C0" w:rsidRPr="008B3AF8" w:rsidRDefault="00320CB9" w:rsidP="00320CB9">
      <w:pPr>
        <w:pStyle w:val="ListParagraph"/>
        <w:numPr>
          <w:ilvl w:val="0"/>
          <w:numId w:val="35"/>
        </w:numPr>
        <w:spacing w:after="0" w:line="240" w:lineRule="auto"/>
        <w:rPr>
          <w:bCs/>
          <w:i/>
        </w:rPr>
      </w:pPr>
      <w:r w:rsidRPr="008B3AF8">
        <w:rPr>
          <w:bCs/>
          <w:i/>
        </w:rPr>
        <w:t>If a skirt is appropriate for your environment th</w:t>
      </w:r>
      <w:r w:rsidR="00AC4E89">
        <w:rPr>
          <w:bCs/>
          <w:i/>
        </w:rPr>
        <w:t>e</w:t>
      </w:r>
      <w:r w:rsidRPr="008B3AF8">
        <w:rPr>
          <w:bCs/>
          <w:i/>
        </w:rPr>
        <w:t>n it is appropriate for anyone.</w:t>
      </w:r>
      <w:r w:rsidR="00DE39C0" w:rsidRPr="008B3AF8">
        <w:rPr>
          <w:bCs/>
          <w:i/>
        </w:rPr>
        <w:t xml:space="preserve"> </w:t>
      </w:r>
    </w:p>
    <w:p w14:paraId="1D38AD9C" w14:textId="77777777" w:rsidR="00DE39C0" w:rsidRDefault="00DE39C0" w:rsidP="00DE39C0">
      <w:pPr>
        <w:spacing w:after="0" w:line="240" w:lineRule="auto"/>
      </w:pPr>
    </w:p>
    <w:p w14:paraId="226901D4" w14:textId="77777777" w:rsidR="00DE39C0" w:rsidRDefault="00DE39C0" w:rsidP="00DE39C0">
      <w:pPr>
        <w:spacing w:after="0" w:line="240" w:lineRule="auto"/>
      </w:pPr>
      <w:r>
        <w:t xml:space="preserve">There may be instances where </w:t>
      </w:r>
      <w:r w:rsidR="002063D6">
        <w:t>clothing or grooming</w:t>
      </w:r>
      <w:r>
        <w:t xml:space="preserve"> may need to be modified in order to adhere to safety and security practices.</w:t>
      </w:r>
    </w:p>
    <w:p w14:paraId="3177F8C9" w14:textId="77777777" w:rsidR="00DE39C0" w:rsidRPr="001A77A1" w:rsidRDefault="00DE39C0" w:rsidP="008B3AF8">
      <w:pPr>
        <w:spacing w:after="0" w:line="240" w:lineRule="auto"/>
        <w:ind w:firstLine="360"/>
        <w:rPr>
          <w:b/>
          <w:i/>
        </w:rPr>
      </w:pPr>
      <w:r w:rsidRPr="001A77A1">
        <w:rPr>
          <w:b/>
          <w:i/>
        </w:rPr>
        <w:t>Examples:</w:t>
      </w:r>
    </w:p>
    <w:p w14:paraId="628FF788" w14:textId="77777777" w:rsidR="00DE39C0" w:rsidRPr="008B3AF8" w:rsidRDefault="00DE39C0" w:rsidP="00DE39C0">
      <w:pPr>
        <w:pStyle w:val="ListParagraph"/>
        <w:numPr>
          <w:ilvl w:val="0"/>
          <w:numId w:val="14"/>
        </w:numPr>
        <w:spacing w:after="0" w:line="240" w:lineRule="auto"/>
        <w:rPr>
          <w:bCs/>
          <w:i/>
        </w:rPr>
      </w:pPr>
      <w:r w:rsidRPr="008B3AF8">
        <w:rPr>
          <w:bCs/>
          <w:i/>
        </w:rPr>
        <w:t>Long hair can be tied back.</w:t>
      </w:r>
    </w:p>
    <w:p w14:paraId="4818054E" w14:textId="77777777" w:rsidR="00DE39C0" w:rsidRPr="008B3AF8" w:rsidRDefault="00DE39C0" w:rsidP="00DE39C0">
      <w:pPr>
        <w:pStyle w:val="ListParagraph"/>
        <w:numPr>
          <w:ilvl w:val="0"/>
          <w:numId w:val="14"/>
        </w:numPr>
        <w:spacing w:after="0" w:line="240" w:lineRule="auto"/>
        <w:rPr>
          <w:bCs/>
          <w:i/>
        </w:rPr>
      </w:pPr>
      <w:r w:rsidRPr="008B3AF8">
        <w:rPr>
          <w:bCs/>
          <w:i/>
        </w:rPr>
        <w:t>Fingernails must be maintained at a length that adheres to DMH safety and security practices.</w:t>
      </w:r>
    </w:p>
    <w:p w14:paraId="5C906690" w14:textId="77777777" w:rsidR="00DE39C0" w:rsidRPr="008B3AF8" w:rsidRDefault="00DE39C0" w:rsidP="00DE39C0">
      <w:pPr>
        <w:pStyle w:val="ListParagraph"/>
        <w:numPr>
          <w:ilvl w:val="0"/>
          <w:numId w:val="14"/>
        </w:numPr>
        <w:spacing w:after="0" w:line="240" w:lineRule="auto"/>
        <w:rPr>
          <w:bCs/>
          <w:i/>
          <w:vanish/>
          <w:specVanish/>
        </w:rPr>
      </w:pPr>
      <w:r w:rsidRPr="008B3AF8">
        <w:rPr>
          <w:bCs/>
          <w:i/>
        </w:rPr>
        <w:t>Jewelry may be worn as permitted by DMH safety and security practices.</w:t>
      </w:r>
    </w:p>
    <w:p w14:paraId="2ABB8B5D" w14:textId="77777777" w:rsidR="00DE39C0" w:rsidRPr="008B3AF8" w:rsidRDefault="00DE39C0" w:rsidP="00DE39C0">
      <w:pPr>
        <w:spacing w:after="0" w:line="240" w:lineRule="auto"/>
        <w:rPr>
          <w:bCs/>
          <w:i/>
        </w:rPr>
      </w:pPr>
    </w:p>
    <w:p w14:paraId="77DE3B95" w14:textId="77777777" w:rsidR="00AE78D3" w:rsidRDefault="00AE78D3" w:rsidP="00667562">
      <w:pPr>
        <w:spacing w:after="0" w:line="240" w:lineRule="auto"/>
        <w:rPr>
          <w:b/>
        </w:rPr>
      </w:pPr>
    </w:p>
    <w:p w14:paraId="23A0CA4D" w14:textId="77777777" w:rsidR="002B5249" w:rsidRPr="008B3AF8" w:rsidRDefault="00300E5B"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300E5B">
        <w:rPr>
          <w:b/>
          <w:iCs/>
        </w:rPr>
        <w:t>INTEGRATED HEALTH SERVICES</w:t>
      </w:r>
    </w:p>
    <w:p w14:paraId="6A7DB985" w14:textId="77777777" w:rsidR="00300E5B" w:rsidRPr="00C553E0" w:rsidRDefault="002303D9" w:rsidP="00300E5B">
      <w:pPr>
        <w:spacing w:after="0" w:line="240" w:lineRule="auto"/>
      </w:pPr>
      <w:r>
        <w:t>The provision of physical, mental</w:t>
      </w:r>
      <w:r w:rsidR="002962EF">
        <w:t xml:space="preserve"> </w:t>
      </w:r>
      <w:r>
        <w:t>health, and substance use care requires that</w:t>
      </w:r>
      <w:r w:rsidR="00300E5B">
        <w:t xml:space="preserve"> a</w:t>
      </w:r>
      <w:r w:rsidR="00172163">
        <w:t xml:space="preserve">ll staff </w:t>
      </w:r>
      <w:r w:rsidR="005736C0" w:rsidRPr="00C553E0">
        <w:t xml:space="preserve">have a foundational knowledge and awareness of </w:t>
      </w:r>
      <w:r w:rsidR="00AE78D3">
        <w:t>special considerations in caring for LGBTQ and GNC individuals,</w:t>
      </w:r>
      <w:r w:rsidR="005736C0" w:rsidRPr="00C553E0">
        <w:t xml:space="preserve"> including:</w:t>
      </w:r>
    </w:p>
    <w:p w14:paraId="74432371" w14:textId="77777777" w:rsidR="00300E5B" w:rsidRDefault="0049634A" w:rsidP="008B3AF8">
      <w:pPr>
        <w:pStyle w:val="ListParagraph"/>
        <w:numPr>
          <w:ilvl w:val="0"/>
          <w:numId w:val="39"/>
        </w:numPr>
      </w:pPr>
      <w:r>
        <w:t>Understanding</w:t>
      </w:r>
      <w:r w:rsidR="005736C0" w:rsidRPr="00C553E0">
        <w:t xml:space="preserve"> mental health issues </w:t>
      </w:r>
      <w:r>
        <w:t xml:space="preserve">in the context of </w:t>
      </w:r>
      <w:r w:rsidR="005736C0" w:rsidRPr="00C553E0">
        <w:t>gende</w:t>
      </w:r>
      <w:r w:rsidR="005736C0">
        <w:t>r identity</w:t>
      </w:r>
      <w:r w:rsidR="00120BC4">
        <w:t xml:space="preserve"> or sexual orientation</w:t>
      </w:r>
      <w:r w:rsidR="002A262D">
        <w:t>.</w:t>
      </w:r>
      <w:r w:rsidR="005736C0">
        <w:t xml:space="preserve"> </w:t>
      </w:r>
    </w:p>
    <w:p w14:paraId="4EB3971E" w14:textId="77777777" w:rsidR="00300E5B" w:rsidRPr="00C553E0" w:rsidRDefault="0049634A" w:rsidP="008B3AF8">
      <w:pPr>
        <w:pStyle w:val="ListParagraph"/>
        <w:numPr>
          <w:ilvl w:val="0"/>
          <w:numId w:val="39"/>
        </w:numPr>
      </w:pPr>
      <w:r>
        <w:t>The ways in which oppression and minority stress have negative impacts on the mental and physical health of LGBTQ and GNC persons.</w:t>
      </w:r>
    </w:p>
    <w:p w14:paraId="5AB9377C" w14:textId="77777777" w:rsidR="0049634A" w:rsidRDefault="005736C0" w:rsidP="008B3AF8">
      <w:pPr>
        <w:pStyle w:val="ListParagraph"/>
        <w:numPr>
          <w:ilvl w:val="0"/>
          <w:numId w:val="39"/>
        </w:numPr>
      </w:pPr>
      <w:r w:rsidRPr="00C553E0">
        <w:t xml:space="preserve">The benefits of working in an interdisciplinary approach when working with LGBTQ </w:t>
      </w:r>
      <w:r w:rsidR="00AE78D3">
        <w:t xml:space="preserve">and GNC </w:t>
      </w:r>
      <w:r w:rsidRPr="00C553E0">
        <w:t>individuals and the importance of working collab</w:t>
      </w:r>
      <w:r w:rsidR="00165A5E">
        <w:t>oratively with</w:t>
      </w:r>
      <w:r w:rsidR="002303D9">
        <w:t xml:space="preserve"> families</w:t>
      </w:r>
      <w:r w:rsidR="0049634A">
        <w:t xml:space="preserve"> (or other natural supports)</w:t>
      </w:r>
      <w:r w:rsidR="002303D9">
        <w:t xml:space="preserve"> and</w:t>
      </w:r>
      <w:r w:rsidR="00165A5E">
        <w:t xml:space="preserve"> other providers</w:t>
      </w:r>
      <w:r w:rsidR="00120BC4">
        <w:t xml:space="preserve"> to meet the needs of LGBTQ individuals.</w:t>
      </w:r>
    </w:p>
    <w:p w14:paraId="0E9264DE" w14:textId="77777777" w:rsidR="00FA3017" w:rsidRDefault="00FA3017" w:rsidP="00FA3017">
      <w:pPr>
        <w:spacing w:after="0" w:line="240" w:lineRule="auto"/>
      </w:pPr>
      <w:r>
        <w:t xml:space="preserve">It is appropriate to </w:t>
      </w:r>
      <w:r w:rsidR="002063D6">
        <w:t>support</w:t>
      </w:r>
      <w:r>
        <w:t xml:space="preserve"> a person</w:t>
      </w:r>
      <w:r w:rsidR="00612CE8">
        <w:t xml:space="preserve">’s </w:t>
      </w:r>
      <w:r>
        <w:t>served</w:t>
      </w:r>
      <w:r w:rsidR="00612CE8">
        <w:t xml:space="preserve"> </w:t>
      </w:r>
      <w:r w:rsidR="005800C2">
        <w:t>goals</w:t>
      </w:r>
      <w:r w:rsidR="00613A01">
        <w:t>.</w:t>
      </w:r>
    </w:p>
    <w:p w14:paraId="213463CE" w14:textId="77777777" w:rsidR="00613A01" w:rsidRDefault="00613A01" w:rsidP="00D86515">
      <w:pPr>
        <w:spacing w:after="0" w:line="240" w:lineRule="auto"/>
      </w:pPr>
    </w:p>
    <w:p w14:paraId="71E5906D" w14:textId="77777777" w:rsidR="00D86515" w:rsidRPr="00252BDB" w:rsidRDefault="00D86515" w:rsidP="00D86515">
      <w:pPr>
        <w:spacing w:after="0" w:line="240" w:lineRule="auto"/>
      </w:pPr>
      <w:r w:rsidRPr="00252BDB">
        <w:t xml:space="preserve">Transgender and gender non-conforming individuals should have access to </w:t>
      </w:r>
      <w:r w:rsidR="0049634A">
        <w:t xml:space="preserve">consultation with </w:t>
      </w:r>
      <w:r w:rsidRPr="00252BDB">
        <w:t xml:space="preserve">health care professionals </w:t>
      </w:r>
      <w:r w:rsidR="00226D1E">
        <w:t xml:space="preserve">who have specialized knowledge and training in the medical care of gender-diverse patients </w:t>
      </w:r>
      <w:r w:rsidRPr="00252BDB">
        <w:t>for all health care.</w:t>
      </w:r>
    </w:p>
    <w:p w14:paraId="0EE2A774" w14:textId="77777777" w:rsidR="00D86515" w:rsidRPr="00252BDB" w:rsidRDefault="00D86515" w:rsidP="00D86515">
      <w:pPr>
        <w:spacing w:after="0" w:line="240" w:lineRule="auto"/>
      </w:pPr>
    </w:p>
    <w:p w14:paraId="283EB860" w14:textId="77777777" w:rsidR="002C3FCC" w:rsidRDefault="00D86515" w:rsidP="00D86515">
      <w:pPr>
        <w:spacing w:after="0" w:line="240" w:lineRule="auto"/>
      </w:pPr>
      <w:r w:rsidRPr="00252BDB">
        <w:t>Transgender and gender non-conforming individuals seeking transition</w:t>
      </w:r>
      <w:r w:rsidR="00710CF7">
        <w:t>-</w:t>
      </w:r>
      <w:r w:rsidRPr="00252BDB">
        <w:t xml:space="preserve">related health </w:t>
      </w:r>
      <w:r w:rsidR="0078341C">
        <w:t xml:space="preserve">care, including hormone </w:t>
      </w:r>
      <w:r w:rsidRPr="00252BDB">
        <w:t>therapy or gender confirming surgery, should have access to knowledgeable and experienced care that follows the current standards of care and is not con</w:t>
      </w:r>
      <w:r w:rsidR="002063D6">
        <w:t>tingent</w:t>
      </w:r>
      <w:r w:rsidRPr="00252BDB">
        <w:t xml:space="preserve"> </w:t>
      </w:r>
      <w:r w:rsidR="002063D6">
        <w:t>on</w:t>
      </w:r>
      <w:r w:rsidRPr="00252BDB">
        <w:t xml:space="preserve"> rewards or</w:t>
      </w:r>
      <w:r w:rsidR="002063D6">
        <w:t xml:space="preserve"> prescribed</w:t>
      </w:r>
      <w:r w:rsidRPr="00252BDB">
        <w:t xml:space="preserve"> behavior.</w:t>
      </w:r>
      <w:r w:rsidR="00B44E8D">
        <w:rPr>
          <w:rStyle w:val="FootnoteReference"/>
        </w:rPr>
        <w:footnoteReference w:id="2"/>
      </w:r>
    </w:p>
    <w:p w14:paraId="09340D4D" w14:textId="77777777" w:rsidR="00BD282E" w:rsidRDefault="00BD282E" w:rsidP="00667562">
      <w:pPr>
        <w:spacing w:after="0" w:line="240" w:lineRule="auto"/>
      </w:pPr>
    </w:p>
    <w:p w14:paraId="2CEEEEF5" w14:textId="77777777" w:rsidR="00051015" w:rsidRPr="00051015" w:rsidRDefault="00051015" w:rsidP="00667562">
      <w:pPr>
        <w:spacing w:after="0" w:line="240" w:lineRule="auto"/>
      </w:pPr>
      <w:r>
        <w:t xml:space="preserve">Transgender </w:t>
      </w:r>
      <w:r w:rsidR="00714D5B">
        <w:t>and gender non-conforming individuals who are currently undergoing hormone therapy should have readily available access to these medications, just as any other individual has the right to obtain medications that have been prescribed to them.</w:t>
      </w:r>
    </w:p>
    <w:p w14:paraId="6551F861" w14:textId="77777777" w:rsidR="00047155" w:rsidRDefault="00047155" w:rsidP="00667562">
      <w:pPr>
        <w:spacing w:after="0" w:line="240" w:lineRule="auto"/>
        <w:rPr>
          <w:b/>
        </w:rPr>
      </w:pPr>
    </w:p>
    <w:p w14:paraId="14B2971A" w14:textId="77777777" w:rsidR="000145BA" w:rsidRDefault="00204102" w:rsidP="00204102">
      <w:pPr>
        <w:pStyle w:val="CommentText"/>
      </w:pPr>
      <w:r w:rsidRPr="00204102">
        <w:rPr>
          <w:sz w:val="22"/>
          <w:szCs w:val="22"/>
        </w:rPr>
        <w:t xml:space="preserve">Consultation with a knowledgeable and experienced medical professional shall be provided to transgender and GNC individuals who are accessing hormones that are not prescribed by a DMH physician </w:t>
      </w:r>
      <w:r w:rsidR="007A0797">
        <w:rPr>
          <w:sz w:val="22"/>
          <w:szCs w:val="22"/>
        </w:rPr>
        <w:t>and who are admitted to</w:t>
      </w:r>
      <w:r w:rsidRPr="00204102">
        <w:rPr>
          <w:sz w:val="22"/>
          <w:szCs w:val="22"/>
        </w:rPr>
        <w:t xml:space="preserve"> </w:t>
      </w:r>
      <w:r w:rsidR="008C74E5">
        <w:rPr>
          <w:sz w:val="22"/>
          <w:szCs w:val="22"/>
        </w:rPr>
        <w:t xml:space="preserve">a </w:t>
      </w:r>
      <w:r w:rsidRPr="00204102">
        <w:rPr>
          <w:sz w:val="22"/>
          <w:szCs w:val="22"/>
        </w:rPr>
        <w:t>DMH</w:t>
      </w:r>
      <w:r w:rsidR="00982EC3">
        <w:rPr>
          <w:sz w:val="22"/>
          <w:szCs w:val="22"/>
        </w:rPr>
        <w:t xml:space="preserve"> Inpatient Facility</w:t>
      </w:r>
      <w:r w:rsidRPr="00204102">
        <w:rPr>
          <w:sz w:val="22"/>
          <w:szCs w:val="22"/>
        </w:rPr>
        <w:t>.</w:t>
      </w:r>
    </w:p>
    <w:p w14:paraId="225B8F92" w14:textId="77777777" w:rsidR="00460453" w:rsidRPr="00BB5F5A" w:rsidRDefault="00321778" w:rsidP="00460453">
      <w:pPr>
        <w:spacing w:after="0" w:line="240" w:lineRule="auto"/>
        <w:rPr>
          <w:rFonts w:cs="Times New Roman"/>
          <w:color w:val="333333"/>
          <w:lang w:val="en"/>
        </w:rPr>
      </w:pPr>
      <w:r w:rsidRPr="006A3181">
        <w:t>DMH DOES NOT CONDONE OR ENDORSE CONVERSION THERAPY.</w:t>
      </w:r>
      <w:r w:rsidR="00AE740B">
        <w:t xml:space="preserve">  </w:t>
      </w:r>
      <w:r w:rsidR="00460453">
        <w:t xml:space="preserve">Chapter 8 of the Acts of 2019, </w:t>
      </w:r>
      <w:r w:rsidR="00460453" w:rsidRPr="00460453">
        <w:rPr>
          <w:rFonts w:cs="Times New Roman"/>
          <w:i/>
          <w:color w:val="333333"/>
          <w:lang w:val="en"/>
        </w:rPr>
        <w:t>AN ACT RELATIVE TO ABUSIVE PRACTICES TO CHANGE SEXUAL ORIENTATION AND GENDER IDENTITY IN MINORS</w:t>
      </w:r>
      <w:r w:rsidR="00C020E7">
        <w:rPr>
          <w:rFonts w:cs="Times New Roman"/>
          <w:i/>
          <w:color w:val="333333"/>
          <w:lang w:val="en"/>
        </w:rPr>
        <w:t xml:space="preserve"> </w:t>
      </w:r>
      <w:r w:rsidR="00C020E7" w:rsidRPr="00BB5F5A">
        <w:rPr>
          <w:rFonts w:cs="Times New Roman"/>
          <w:color w:val="333333"/>
          <w:lang w:val="en"/>
        </w:rPr>
        <w:t>makes such therapy illegal.</w:t>
      </w:r>
    </w:p>
    <w:p w14:paraId="2D9FA6B0" w14:textId="77777777" w:rsidR="009B6DE6" w:rsidRDefault="00460453" w:rsidP="004B2F31">
      <w:pPr>
        <w:spacing w:after="0" w:line="240" w:lineRule="auto"/>
        <w:rPr>
          <w:b/>
        </w:rPr>
      </w:pPr>
      <w:r>
        <w:t xml:space="preserve"> </w:t>
      </w:r>
    </w:p>
    <w:p w14:paraId="60CA6ED3" w14:textId="77777777" w:rsidR="004B2F31" w:rsidRPr="008B3AF8" w:rsidRDefault="00300E5B"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300E5B">
        <w:rPr>
          <w:b/>
          <w:iCs/>
        </w:rPr>
        <w:t>ENVIRONMENT</w:t>
      </w:r>
    </w:p>
    <w:p w14:paraId="510A7A08" w14:textId="77777777" w:rsidR="00C5007E" w:rsidRDefault="004B2F31" w:rsidP="00047155">
      <w:pPr>
        <w:spacing w:after="0" w:line="240" w:lineRule="auto"/>
      </w:pPr>
      <w:r w:rsidRPr="004B2F31">
        <w:t>Before engaging in services, individuals need to know that they are welcome.</w:t>
      </w:r>
      <w:r>
        <w:t xml:space="preserve"> A receptive, inclusive</w:t>
      </w:r>
      <w:r w:rsidR="00E673D3">
        <w:t xml:space="preserve"> living and working</w:t>
      </w:r>
      <w:r>
        <w:t xml:space="preserve"> environment can he</w:t>
      </w:r>
      <w:r w:rsidR="00E673D3">
        <w:t>lp communicate to LGBTQ</w:t>
      </w:r>
      <w:r w:rsidR="00A451B2">
        <w:t xml:space="preserve"> and GNC</w:t>
      </w:r>
      <w:r w:rsidR="00E673D3">
        <w:t xml:space="preserve"> individuals</w:t>
      </w:r>
      <w:r>
        <w:t xml:space="preserve"> that they are</w:t>
      </w:r>
      <w:r w:rsidR="00300E5B">
        <w:t xml:space="preserve"> </w:t>
      </w:r>
      <w:r>
        <w:t xml:space="preserve">welcome, </w:t>
      </w:r>
      <w:r w:rsidR="00300E5B">
        <w:t xml:space="preserve">will be </w:t>
      </w:r>
      <w:r>
        <w:t>safe, and that services are going to be culturally competent. Toward this end, suggestions include:</w:t>
      </w:r>
    </w:p>
    <w:p w14:paraId="19F85588" w14:textId="77777777" w:rsidR="00BB5F5A" w:rsidRDefault="00BB5F5A" w:rsidP="00047155">
      <w:pPr>
        <w:spacing w:after="0" w:line="240" w:lineRule="auto"/>
      </w:pPr>
    </w:p>
    <w:p w14:paraId="66F606F7" w14:textId="77777777" w:rsidR="00BF5F9F" w:rsidRPr="008A2B0F" w:rsidRDefault="00100253" w:rsidP="00047155">
      <w:pPr>
        <w:pStyle w:val="ListParagraph"/>
        <w:numPr>
          <w:ilvl w:val="0"/>
          <w:numId w:val="17"/>
        </w:numPr>
        <w:spacing w:after="0" w:line="240" w:lineRule="auto"/>
        <w:rPr>
          <w:bCs/>
          <w:i/>
        </w:rPr>
      </w:pPr>
      <w:r w:rsidRPr="008A2B0F">
        <w:rPr>
          <w:bCs/>
          <w:i/>
        </w:rPr>
        <w:t xml:space="preserve">Having </w:t>
      </w:r>
      <w:r w:rsidR="00C5007E" w:rsidRPr="008A2B0F">
        <w:rPr>
          <w:bCs/>
          <w:i/>
        </w:rPr>
        <w:t xml:space="preserve">LGBTQ staff </w:t>
      </w:r>
      <w:r w:rsidR="00150EC0" w:rsidRPr="008A2B0F">
        <w:rPr>
          <w:bCs/>
          <w:i/>
        </w:rPr>
        <w:t>at all leve</w:t>
      </w:r>
      <w:r w:rsidR="000741AE">
        <w:rPr>
          <w:bCs/>
          <w:i/>
        </w:rPr>
        <w:t xml:space="preserve">ls throughout the agency to create a </w:t>
      </w:r>
      <w:r w:rsidR="00150EC0" w:rsidRPr="008A2B0F">
        <w:rPr>
          <w:bCs/>
          <w:i/>
        </w:rPr>
        <w:t>welcoming environment, and toward the delivery of competent services throughout the system.</w:t>
      </w:r>
    </w:p>
    <w:p w14:paraId="0776134A" w14:textId="77777777" w:rsidR="00BF5F9F" w:rsidRPr="008B3AF8" w:rsidRDefault="004B2F31" w:rsidP="00443580">
      <w:pPr>
        <w:pStyle w:val="ListParagraph"/>
        <w:numPr>
          <w:ilvl w:val="0"/>
          <w:numId w:val="16"/>
        </w:numPr>
        <w:spacing w:after="0" w:line="240" w:lineRule="auto"/>
        <w:rPr>
          <w:bCs/>
          <w:i/>
        </w:rPr>
      </w:pPr>
      <w:r w:rsidRPr="008B3AF8">
        <w:rPr>
          <w:bCs/>
          <w:i/>
        </w:rPr>
        <w:t>Use of images, via artwork, signage, brochures,</w:t>
      </w:r>
      <w:r w:rsidR="00D86515" w:rsidRPr="008B3AF8">
        <w:rPr>
          <w:bCs/>
          <w:i/>
        </w:rPr>
        <w:t xml:space="preserve"> “safe space” stickers,</w:t>
      </w:r>
      <w:r w:rsidRPr="008B3AF8">
        <w:rPr>
          <w:bCs/>
          <w:i/>
        </w:rPr>
        <w:t xml:space="preserve"> etc. that include </w:t>
      </w:r>
      <w:r w:rsidR="00BF5F9F" w:rsidRPr="008B3AF8">
        <w:rPr>
          <w:bCs/>
          <w:i/>
        </w:rPr>
        <w:t>LGBTQ-friendly themes such as rainbows, transgender symbols, photos of LGBTQ people</w:t>
      </w:r>
      <w:r w:rsidR="00176DB6" w:rsidRPr="008B3AF8">
        <w:rPr>
          <w:bCs/>
          <w:i/>
        </w:rPr>
        <w:t>.</w:t>
      </w:r>
    </w:p>
    <w:p w14:paraId="57CEC464" w14:textId="77777777" w:rsidR="004B2F31" w:rsidRPr="008F1ED6" w:rsidRDefault="00BF5F9F" w:rsidP="00047155">
      <w:pPr>
        <w:pStyle w:val="ListParagraph"/>
        <w:numPr>
          <w:ilvl w:val="0"/>
          <w:numId w:val="16"/>
        </w:numPr>
        <w:spacing w:after="0" w:line="240" w:lineRule="auto"/>
        <w:rPr>
          <w:bCs/>
          <w:i/>
        </w:rPr>
      </w:pPr>
      <w:r w:rsidRPr="008B3AF8">
        <w:rPr>
          <w:bCs/>
          <w:i/>
        </w:rPr>
        <w:t xml:space="preserve">Websites that </w:t>
      </w:r>
      <w:r w:rsidR="003E068F" w:rsidRPr="008B3AF8">
        <w:rPr>
          <w:bCs/>
          <w:i/>
        </w:rPr>
        <w:t xml:space="preserve">clearly post non-discrimination </w:t>
      </w:r>
      <w:r w:rsidRPr="008B3AF8">
        <w:rPr>
          <w:bCs/>
          <w:i/>
        </w:rPr>
        <w:t>policies, and that include images that are LGBTQ-themed.</w:t>
      </w:r>
    </w:p>
    <w:p w14:paraId="3251073F" w14:textId="77777777" w:rsidR="00300E5B" w:rsidRDefault="00300E5B" w:rsidP="00047155">
      <w:pPr>
        <w:spacing w:after="0" w:line="240" w:lineRule="auto"/>
        <w:rPr>
          <w:b/>
        </w:rPr>
      </w:pPr>
    </w:p>
    <w:p w14:paraId="698FCA56" w14:textId="77777777" w:rsidR="00DE39C0" w:rsidRPr="008B3AF8" w:rsidRDefault="00300E5B"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300E5B">
        <w:rPr>
          <w:b/>
          <w:iCs/>
        </w:rPr>
        <w:t>HARASSMENT</w:t>
      </w:r>
    </w:p>
    <w:p w14:paraId="4C5225E6" w14:textId="77777777" w:rsidR="00DE39C0" w:rsidRDefault="00DE39C0" w:rsidP="00DE39C0">
      <w:pPr>
        <w:spacing w:after="0" w:line="240" w:lineRule="auto"/>
      </w:pPr>
      <w:r>
        <w:t>The DMH LGBTQ Policy</w:t>
      </w:r>
      <w:r w:rsidR="008C74E5">
        <w:t xml:space="preserve">, Executive Order 592, </w:t>
      </w:r>
      <w:r>
        <w:t>and the EOHHS Sexual Harassment Policy</w:t>
      </w:r>
      <w:r w:rsidR="008C74E5">
        <w:t xml:space="preserve"> all</w:t>
      </w:r>
      <w:r>
        <w:t xml:space="preserve"> affirm that all LGBTQ </w:t>
      </w:r>
      <w:r w:rsidR="00A451B2">
        <w:t xml:space="preserve">and GNC </w:t>
      </w:r>
      <w:r>
        <w:t>persons shall be treated with respect and shall be free from harassment</w:t>
      </w:r>
      <w:r w:rsidR="00F823AE">
        <w:t xml:space="preserve"> due to an individual’s</w:t>
      </w:r>
      <w:r w:rsidR="00600D17">
        <w:t xml:space="preserve"> sexual orientation, or gender identification</w:t>
      </w:r>
      <w:r>
        <w:t xml:space="preserve">. </w:t>
      </w:r>
      <w:r w:rsidR="008A2B0F">
        <w:t xml:space="preserve"> </w:t>
      </w:r>
      <w:r>
        <w:t xml:space="preserve">Toward this goal, </w:t>
      </w:r>
      <w:r w:rsidR="00710CF7">
        <w:t xml:space="preserve">the agency shall work </w:t>
      </w:r>
      <w:r>
        <w:t>toward the creation of an environment that is safe and welcoming for all, including LGBTQ and GNC individuals</w:t>
      </w:r>
      <w:r w:rsidR="008C74E5">
        <w:t xml:space="preserve">, and </w:t>
      </w:r>
      <w:r w:rsidR="00710CF7">
        <w:t xml:space="preserve">encourage </w:t>
      </w:r>
      <w:r w:rsidR="008C74E5">
        <w:t>interven</w:t>
      </w:r>
      <w:r w:rsidR="00710CF7">
        <w:t>tion</w:t>
      </w:r>
      <w:r w:rsidR="008C74E5">
        <w:t xml:space="preserve"> in instances where there is harassment</w:t>
      </w:r>
      <w:r w:rsidR="008A2B0F">
        <w:t>.</w:t>
      </w:r>
    </w:p>
    <w:p w14:paraId="0684CE89" w14:textId="77777777" w:rsidR="00DE39C0" w:rsidRPr="00366D9F" w:rsidRDefault="00DE39C0" w:rsidP="008B3AF8">
      <w:pPr>
        <w:spacing w:after="0" w:line="240" w:lineRule="auto"/>
        <w:ind w:firstLine="360"/>
        <w:rPr>
          <w:b/>
          <w:i/>
        </w:rPr>
      </w:pPr>
      <w:r w:rsidRPr="00366D9F">
        <w:rPr>
          <w:b/>
          <w:i/>
        </w:rPr>
        <w:t xml:space="preserve">Examples of </w:t>
      </w:r>
      <w:r w:rsidR="002063D6">
        <w:rPr>
          <w:b/>
          <w:i/>
        </w:rPr>
        <w:t xml:space="preserve">behavior that may constitute </w:t>
      </w:r>
      <w:r w:rsidRPr="00366D9F">
        <w:rPr>
          <w:b/>
          <w:i/>
        </w:rPr>
        <w:t xml:space="preserve">harassment of LGBTQ </w:t>
      </w:r>
      <w:r>
        <w:rPr>
          <w:b/>
          <w:i/>
        </w:rPr>
        <w:t xml:space="preserve">and GNC </w:t>
      </w:r>
      <w:r w:rsidRPr="00366D9F">
        <w:rPr>
          <w:b/>
          <w:i/>
        </w:rPr>
        <w:t>persons include:</w:t>
      </w:r>
    </w:p>
    <w:p w14:paraId="2FF4196A" w14:textId="77777777" w:rsidR="00DE39C0" w:rsidRPr="008B3AF8" w:rsidRDefault="00DE39C0" w:rsidP="00DE39C0">
      <w:pPr>
        <w:pStyle w:val="ListParagraph"/>
        <w:numPr>
          <w:ilvl w:val="0"/>
          <w:numId w:val="12"/>
        </w:numPr>
        <w:spacing w:after="0" w:line="240" w:lineRule="auto"/>
        <w:rPr>
          <w:bCs/>
          <w:i/>
        </w:rPr>
      </w:pPr>
      <w:r w:rsidRPr="008B3AF8">
        <w:rPr>
          <w:bCs/>
          <w:i/>
        </w:rPr>
        <w:t>Deliberately not using the person’s self-identified</w:t>
      </w:r>
      <w:r w:rsidR="00C020E7">
        <w:rPr>
          <w:bCs/>
          <w:i/>
        </w:rPr>
        <w:t>/</w:t>
      </w:r>
      <w:r w:rsidRPr="008B3AF8">
        <w:rPr>
          <w:bCs/>
          <w:i/>
        </w:rPr>
        <w:t>chosen</w:t>
      </w:r>
      <w:r w:rsidR="00176DB6" w:rsidRPr="008B3AF8">
        <w:rPr>
          <w:bCs/>
          <w:i/>
        </w:rPr>
        <w:t xml:space="preserve"> </w:t>
      </w:r>
      <w:r w:rsidRPr="008B3AF8">
        <w:rPr>
          <w:bCs/>
          <w:i/>
        </w:rPr>
        <w:t>name and/or pronouns</w:t>
      </w:r>
      <w:r w:rsidR="002A262D" w:rsidRPr="008B3AF8">
        <w:rPr>
          <w:bCs/>
          <w:i/>
        </w:rPr>
        <w:t>.</w:t>
      </w:r>
    </w:p>
    <w:p w14:paraId="427FC176" w14:textId="77777777" w:rsidR="00DE39C0" w:rsidRPr="008B3AF8" w:rsidRDefault="008A2B0F" w:rsidP="00DE39C0">
      <w:pPr>
        <w:pStyle w:val="ListParagraph"/>
        <w:numPr>
          <w:ilvl w:val="0"/>
          <w:numId w:val="12"/>
        </w:numPr>
        <w:spacing w:after="0" w:line="240" w:lineRule="auto"/>
        <w:rPr>
          <w:bCs/>
          <w:i/>
        </w:rPr>
      </w:pPr>
      <w:r>
        <w:rPr>
          <w:bCs/>
          <w:i/>
        </w:rPr>
        <w:t xml:space="preserve">Asking </w:t>
      </w:r>
      <w:r w:rsidR="00DE39C0" w:rsidRPr="008B3AF8">
        <w:rPr>
          <w:bCs/>
          <w:i/>
        </w:rPr>
        <w:t>a person’s former name for unnecessary reasons</w:t>
      </w:r>
      <w:r w:rsidR="002A262D" w:rsidRPr="008B3AF8">
        <w:rPr>
          <w:bCs/>
          <w:i/>
        </w:rPr>
        <w:t>.</w:t>
      </w:r>
    </w:p>
    <w:p w14:paraId="3A2DB06C" w14:textId="77777777" w:rsidR="00DE39C0" w:rsidRPr="008B3AF8" w:rsidRDefault="00DE39C0" w:rsidP="00DE39C0">
      <w:pPr>
        <w:pStyle w:val="ListParagraph"/>
        <w:numPr>
          <w:ilvl w:val="0"/>
          <w:numId w:val="12"/>
        </w:numPr>
        <w:spacing w:after="0" w:line="240" w:lineRule="auto"/>
        <w:rPr>
          <w:bCs/>
          <w:i/>
        </w:rPr>
      </w:pPr>
      <w:r w:rsidRPr="008B3AF8">
        <w:rPr>
          <w:bCs/>
          <w:i/>
        </w:rPr>
        <w:lastRenderedPageBreak/>
        <w:t>Inappropriate questions such as questions about a person’s body, genitals, whether or not a person has had or plans to have surgery, or about their sexual activity for unnecessary reasons</w:t>
      </w:r>
      <w:r w:rsidR="002A262D" w:rsidRPr="008B3AF8">
        <w:rPr>
          <w:bCs/>
          <w:i/>
        </w:rPr>
        <w:t>.</w:t>
      </w:r>
    </w:p>
    <w:p w14:paraId="05D5EFF0" w14:textId="77777777" w:rsidR="00DE39C0" w:rsidRPr="008B3AF8" w:rsidRDefault="00DE39C0" w:rsidP="00DE39C0">
      <w:pPr>
        <w:pStyle w:val="ListParagraph"/>
        <w:numPr>
          <w:ilvl w:val="0"/>
          <w:numId w:val="12"/>
        </w:numPr>
        <w:spacing w:after="0" w:line="240" w:lineRule="auto"/>
        <w:rPr>
          <w:bCs/>
          <w:i/>
        </w:rPr>
      </w:pPr>
      <w:r w:rsidRPr="008B3AF8">
        <w:rPr>
          <w:bCs/>
          <w:i/>
        </w:rPr>
        <w:t>Derogatory remarks, jokes, insults, threats, or epithets about a person’s sexual orientation, gender identity, gender expression, or other anti-LGBTQ-GNC comments</w:t>
      </w:r>
      <w:r w:rsidR="002A262D" w:rsidRPr="008B3AF8">
        <w:rPr>
          <w:bCs/>
          <w:i/>
        </w:rPr>
        <w:t>.</w:t>
      </w:r>
    </w:p>
    <w:p w14:paraId="7B626F59" w14:textId="77777777" w:rsidR="00DE39C0" w:rsidRPr="008B3AF8" w:rsidRDefault="00DE39C0" w:rsidP="00DE39C0">
      <w:pPr>
        <w:pStyle w:val="ListParagraph"/>
        <w:numPr>
          <w:ilvl w:val="0"/>
          <w:numId w:val="12"/>
        </w:numPr>
        <w:spacing w:after="0" w:line="240" w:lineRule="auto"/>
        <w:rPr>
          <w:bCs/>
          <w:i/>
        </w:rPr>
      </w:pPr>
      <w:r w:rsidRPr="008B3AF8">
        <w:rPr>
          <w:bCs/>
          <w:i/>
        </w:rPr>
        <w:t>Deliberately disclosing someone’s sexual orientation, gender identity, or intersex condition without their consent</w:t>
      </w:r>
      <w:r w:rsidR="002A262D" w:rsidRPr="008B3AF8">
        <w:rPr>
          <w:bCs/>
          <w:i/>
        </w:rPr>
        <w:t>.</w:t>
      </w:r>
    </w:p>
    <w:p w14:paraId="0A56AD22" w14:textId="77777777" w:rsidR="00DE39C0" w:rsidRPr="008B3AF8" w:rsidRDefault="00DE39C0" w:rsidP="00DE39C0">
      <w:pPr>
        <w:pStyle w:val="ListParagraph"/>
        <w:numPr>
          <w:ilvl w:val="0"/>
          <w:numId w:val="12"/>
        </w:numPr>
        <w:spacing w:after="0" w:line="240" w:lineRule="auto"/>
        <w:rPr>
          <w:bCs/>
          <w:i/>
        </w:rPr>
      </w:pPr>
      <w:r w:rsidRPr="008B3AF8">
        <w:rPr>
          <w:bCs/>
          <w:i/>
        </w:rPr>
        <w:t>Deliberately disclosing, without consent, that someone cross-dresses or dresses in a gender non-conforming manner.</w:t>
      </w:r>
    </w:p>
    <w:p w14:paraId="3A3CB84F" w14:textId="77777777" w:rsidR="004E1D5D" w:rsidRPr="008B3AF8" w:rsidRDefault="00C020E7" w:rsidP="00DE39C0">
      <w:pPr>
        <w:pStyle w:val="ListParagraph"/>
        <w:numPr>
          <w:ilvl w:val="0"/>
          <w:numId w:val="12"/>
        </w:numPr>
        <w:spacing w:after="0" w:line="240" w:lineRule="auto"/>
        <w:rPr>
          <w:bCs/>
          <w:i/>
        </w:rPr>
      </w:pPr>
      <w:r w:rsidRPr="008B3AF8">
        <w:rPr>
          <w:bCs/>
          <w:i/>
        </w:rPr>
        <w:t>Telling someone that they cannot</w:t>
      </w:r>
      <w:r w:rsidRPr="00C020E7" w:rsidDel="00C020E7">
        <w:rPr>
          <w:bCs/>
          <w:i/>
        </w:rPr>
        <w:t xml:space="preserve"> </w:t>
      </w:r>
      <w:r w:rsidR="004E1D5D" w:rsidRPr="008B3AF8">
        <w:rPr>
          <w:bCs/>
          <w:i/>
        </w:rPr>
        <w:t xml:space="preserve">use a </w:t>
      </w:r>
      <w:r>
        <w:rPr>
          <w:bCs/>
          <w:i/>
        </w:rPr>
        <w:t xml:space="preserve">specific </w:t>
      </w:r>
      <w:r w:rsidR="004E1D5D" w:rsidRPr="008B3AF8">
        <w:rPr>
          <w:bCs/>
          <w:i/>
        </w:rPr>
        <w:t>bathroom.</w:t>
      </w:r>
    </w:p>
    <w:p w14:paraId="46778910" w14:textId="77777777" w:rsidR="00DE39C0" w:rsidRDefault="00DE39C0" w:rsidP="00047155">
      <w:pPr>
        <w:spacing w:after="0" w:line="240" w:lineRule="auto"/>
        <w:rPr>
          <w:b/>
        </w:rPr>
      </w:pPr>
    </w:p>
    <w:p w14:paraId="72D206E6" w14:textId="77777777" w:rsidR="00DE39C0" w:rsidRPr="00D90C0B" w:rsidRDefault="00D90C0B" w:rsidP="00047155">
      <w:pPr>
        <w:spacing w:after="0" w:line="240" w:lineRule="auto"/>
      </w:pPr>
      <w:r w:rsidRPr="00D90C0B">
        <w:t>A violation of the LGBTQ Non Discrimination Policy may subject an employee to disciplinary action even though such violation may not constitute unlawful harassment.</w:t>
      </w:r>
    </w:p>
    <w:p w14:paraId="7E5F8875" w14:textId="77777777" w:rsidR="00176DB6" w:rsidRDefault="00176DB6" w:rsidP="00047155">
      <w:pPr>
        <w:spacing w:after="0" w:line="240" w:lineRule="auto"/>
        <w:rPr>
          <w:b/>
        </w:rPr>
      </w:pPr>
    </w:p>
    <w:p w14:paraId="3202E7B7" w14:textId="77777777" w:rsidR="00047155" w:rsidRPr="008B3AF8" w:rsidRDefault="00C020E7"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C020E7">
        <w:rPr>
          <w:b/>
          <w:iCs/>
        </w:rPr>
        <w:t>HUMAN RESOURCES</w:t>
      </w:r>
    </w:p>
    <w:p w14:paraId="34803105" w14:textId="77777777" w:rsidR="00C020E7" w:rsidRDefault="003E068F" w:rsidP="00047155">
      <w:pPr>
        <w:spacing w:after="0" w:line="240" w:lineRule="auto"/>
      </w:pPr>
      <w:r w:rsidRPr="00BD748E">
        <w:t>All LGBTQ</w:t>
      </w:r>
      <w:r w:rsidR="00100253">
        <w:t xml:space="preserve"> and GNC</w:t>
      </w:r>
      <w:r w:rsidRPr="00BD748E">
        <w:t xml:space="preserve"> persons are protected by </w:t>
      </w:r>
      <w:r w:rsidR="00E673D3">
        <w:t xml:space="preserve">applicable </w:t>
      </w:r>
      <w:r w:rsidRPr="00BD748E">
        <w:t>state and federal non-discrimination laws</w:t>
      </w:r>
      <w:r w:rsidR="00C020E7">
        <w:t xml:space="preserve"> including, but not limited to:</w:t>
      </w:r>
    </w:p>
    <w:p w14:paraId="34E568FB" w14:textId="77777777" w:rsidR="00C020E7" w:rsidRPr="00C020E7" w:rsidRDefault="00C020E7" w:rsidP="008B3AF8">
      <w:pPr>
        <w:pStyle w:val="ListParagraph"/>
        <w:numPr>
          <w:ilvl w:val="0"/>
          <w:numId w:val="40"/>
        </w:numPr>
        <w:spacing w:after="0" w:line="240" w:lineRule="auto"/>
      </w:pPr>
      <w:r w:rsidRPr="00C020E7">
        <w:t>Title VII of the Civil Rights Act of 1964</w:t>
      </w:r>
    </w:p>
    <w:p w14:paraId="5FF928B1" w14:textId="77777777" w:rsidR="00C020E7" w:rsidRPr="00C020E7" w:rsidRDefault="00C020E7" w:rsidP="008B3AF8">
      <w:pPr>
        <w:pStyle w:val="ListParagraph"/>
        <w:numPr>
          <w:ilvl w:val="0"/>
          <w:numId w:val="40"/>
        </w:numPr>
        <w:spacing w:after="0" w:line="240" w:lineRule="auto"/>
      </w:pPr>
      <w:r w:rsidRPr="00C020E7">
        <w:t>MGL, c151B</w:t>
      </w:r>
    </w:p>
    <w:p w14:paraId="749B0163" w14:textId="77777777" w:rsidR="00C020E7" w:rsidRPr="00C020E7" w:rsidRDefault="00C020E7" w:rsidP="008B3AF8">
      <w:pPr>
        <w:pStyle w:val="ListParagraph"/>
        <w:numPr>
          <w:ilvl w:val="0"/>
          <w:numId w:val="40"/>
        </w:numPr>
        <w:spacing w:after="0" w:line="240" w:lineRule="auto"/>
      </w:pPr>
      <w:r w:rsidRPr="00C020E7">
        <w:t>MGL, c272</w:t>
      </w:r>
    </w:p>
    <w:p w14:paraId="7991332A" w14:textId="77777777" w:rsidR="00C020E7" w:rsidRPr="00C020E7" w:rsidRDefault="00C020E7" w:rsidP="008B3AF8">
      <w:pPr>
        <w:pStyle w:val="ListParagraph"/>
        <w:numPr>
          <w:ilvl w:val="0"/>
          <w:numId w:val="40"/>
        </w:numPr>
        <w:spacing w:after="0" w:line="240" w:lineRule="auto"/>
      </w:pPr>
      <w:r w:rsidRPr="00C020E7">
        <w:t>Executive Order 5</w:t>
      </w:r>
      <w:r w:rsidR="00BB183E">
        <w:t>92</w:t>
      </w:r>
    </w:p>
    <w:p w14:paraId="5264CA5E" w14:textId="77777777" w:rsidR="004A2685" w:rsidRDefault="004A2685" w:rsidP="00047155">
      <w:pPr>
        <w:spacing w:after="0" w:line="240" w:lineRule="auto"/>
      </w:pPr>
    </w:p>
    <w:p w14:paraId="7FB45894" w14:textId="77777777" w:rsidR="00DA492C" w:rsidRDefault="003E068F" w:rsidP="00047155">
      <w:pPr>
        <w:spacing w:after="0" w:line="240" w:lineRule="auto"/>
      </w:pPr>
      <w:r w:rsidRPr="00BD748E">
        <w:t>DMH employees and persons receiving services are also protected by the DMH LGBTQ</w:t>
      </w:r>
      <w:r w:rsidR="00C020E7">
        <w:t xml:space="preserve"> Non-discrimination</w:t>
      </w:r>
      <w:r w:rsidRPr="00BD748E">
        <w:t xml:space="preserve"> policy. </w:t>
      </w:r>
    </w:p>
    <w:p w14:paraId="44B71D34" w14:textId="77777777" w:rsidR="00DA492C" w:rsidRDefault="00DA492C" w:rsidP="00047155">
      <w:pPr>
        <w:spacing w:after="0" w:line="240" w:lineRule="auto"/>
      </w:pPr>
    </w:p>
    <w:p w14:paraId="3FE81C0C" w14:textId="77777777" w:rsidR="004160A7" w:rsidRPr="008B3AF8" w:rsidRDefault="00DA492C" w:rsidP="008B3AF8">
      <w:pPr>
        <w:spacing w:after="0" w:line="240" w:lineRule="auto"/>
        <w:rPr>
          <w:bCs/>
          <w:iCs/>
        </w:rPr>
      </w:pPr>
      <w:r>
        <w:t>P</w:t>
      </w:r>
      <w:r w:rsidR="003E068F" w:rsidRPr="00BD748E">
        <w:t xml:space="preserve">rivacy and confidentiality </w:t>
      </w:r>
      <w:r w:rsidR="0034761A">
        <w:t>may be</w:t>
      </w:r>
      <w:r w:rsidR="003E068F" w:rsidRPr="00BD748E">
        <w:t xml:space="preserve"> critical for transgender employees who may be transitioning. </w:t>
      </w:r>
      <w:r w:rsidR="008A2B0F">
        <w:t xml:space="preserve"> </w:t>
      </w:r>
      <w:r w:rsidR="003E068F" w:rsidRPr="00BD748E">
        <w:t>For such individuals, Human Resources</w:t>
      </w:r>
      <w:r>
        <w:t xml:space="preserve"> (HR)</w:t>
      </w:r>
      <w:r w:rsidR="003E068F" w:rsidRPr="00BD748E">
        <w:t xml:space="preserve">, in conjunction </w:t>
      </w:r>
      <w:r w:rsidR="00E5196D">
        <w:t>with a</w:t>
      </w:r>
      <w:r w:rsidR="00C928B8">
        <w:t>n appropriate</w:t>
      </w:r>
      <w:r w:rsidR="00E5196D">
        <w:t xml:space="preserve"> manager and</w:t>
      </w:r>
      <w:r w:rsidR="003E068F" w:rsidRPr="00BD748E">
        <w:t xml:space="preserve"> the Diversity Officer, shall ensure that workplace gender identity and transition issues are handled appropriately. </w:t>
      </w:r>
      <w:r w:rsidR="008A2B0F">
        <w:t xml:space="preserve"> </w:t>
      </w:r>
      <w:r>
        <w:t>This includes having HR</w:t>
      </w:r>
      <w:r w:rsidR="004160A7" w:rsidRPr="008B3AF8">
        <w:rPr>
          <w:bCs/>
          <w:iCs/>
        </w:rPr>
        <w:t xml:space="preserve"> </w:t>
      </w:r>
      <w:r w:rsidR="00236A28" w:rsidRPr="008B3AF8">
        <w:rPr>
          <w:bCs/>
          <w:iCs/>
        </w:rPr>
        <w:t xml:space="preserve">work with managers and employees to ensure that employees </w:t>
      </w:r>
      <w:r>
        <w:rPr>
          <w:bCs/>
          <w:iCs/>
        </w:rPr>
        <w:t xml:space="preserve">fully </w:t>
      </w:r>
      <w:r w:rsidR="00236A28" w:rsidRPr="008B3AF8">
        <w:rPr>
          <w:bCs/>
          <w:iCs/>
        </w:rPr>
        <w:t xml:space="preserve">understand their </w:t>
      </w:r>
      <w:r w:rsidR="004160A7" w:rsidRPr="008B3AF8">
        <w:rPr>
          <w:bCs/>
          <w:iCs/>
        </w:rPr>
        <w:t xml:space="preserve">health benefits, leave and time off, and process for changing identification.  </w:t>
      </w:r>
    </w:p>
    <w:p w14:paraId="4688CF20" w14:textId="77777777" w:rsidR="00C34DAA" w:rsidRDefault="00C34DAA" w:rsidP="00047155">
      <w:pPr>
        <w:spacing w:after="0" w:line="240" w:lineRule="auto"/>
        <w:rPr>
          <w:b/>
        </w:rPr>
      </w:pPr>
    </w:p>
    <w:p w14:paraId="097EE581" w14:textId="77777777" w:rsidR="00DA492C" w:rsidRPr="008B3AF8" w:rsidRDefault="00DA492C" w:rsidP="00F34F73">
      <w:pPr>
        <w:spacing w:after="0" w:line="240" w:lineRule="auto"/>
      </w:pPr>
      <w:r w:rsidRPr="008B3AF8">
        <w:t>The following efforts should be made regarding r</w:t>
      </w:r>
      <w:r w:rsidR="00F34F73" w:rsidRPr="008B3AF8">
        <w:t>ecruitment/</w:t>
      </w:r>
      <w:r w:rsidRPr="008B3AF8">
        <w:t>h</w:t>
      </w:r>
      <w:r w:rsidR="00F34F73" w:rsidRPr="008B3AF8">
        <w:t>iring</w:t>
      </w:r>
      <w:r w:rsidRPr="008B3AF8">
        <w:t xml:space="preserve">: </w:t>
      </w:r>
    </w:p>
    <w:p w14:paraId="64374866" w14:textId="77777777" w:rsidR="00165A5E" w:rsidRDefault="00100253" w:rsidP="008B3AF8">
      <w:pPr>
        <w:pStyle w:val="ListParagraph"/>
        <w:numPr>
          <w:ilvl w:val="0"/>
          <w:numId w:val="42"/>
        </w:numPr>
        <w:spacing w:after="0" w:line="240" w:lineRule="auto"/>
      </w:pPr>
      <w:r w:rsidRPr="006A3181">
        <w:t>Welcome LGBTQ and GNC job applicants and</w:t>
      </w:r>
      <w:r>
        <w:t xml:space="preserve"> </w:t>
      </w:r>
      <w:r w:rsidR="00165A5E">
        <w:t>staff at all level</w:t>
      </w:r>
      <w:r w:rsidR="00A451B2">
        <w:t xml:space="preserve">s throughout the agency toward </w:t>
      </w:r>
      <w:r w:rsidR="00165A5E">
        <w:t>the creation of an aware and welcoming environment, and toward the delivery of competent services throughout the system.</w:t>
      </w:r>
    </w:p>
    <w:p w14:paraId="37E15649" w14:textId="77777777" w:rsidR="00E5196D" w:rsidRDefault="00E5196D" w:rsidP="008B3AF8">
      <w:pPr>
        <w:pStyle w:val="ListParagraph"/>
        <w:numPr>
          <w:ilvl w:val="0"/>
          <w:numId w:val="42"/>
        </w:numPr>
        <w:spacing w:after="0" w:line="240" w:lineRule="auto"/>
      </w:pPr>
      <w:r>
        <w:t xml:space="preserve">Recruitment efforts shall include outreach to LGBTQ organizations/groups.  </w:t>
      </w:r>
    </w:p>
    <w:p w14:paraId="5AB7F134" w14:textId="77777777" w:rsidR="00E5196D" w:rsidRDefault="008C74E5" w:rsidP="008B3AF8">
      <w:pPr>
        <w:pStyle w:val="ListParagraph"/>
        <w:numPr>
          <w:ilvl w:val="0"/>
          <w:numId w:val="42"/>
        </w:numPr>
        <w:spacing w:after="0" w:line="240" w:lineRule="auto"/>
      </w:pPr>
      <w:r>
        <w:t>A</w:t>
      </w:r>
      <w:r w:rsidR="00E5196D">
        <w:t>ware</w:t>
      </w:r>
      <w:r>
        <w:t>ness</w:t>
      </w:r>
      <w:r w:rsidR="00E5196D">
        <w:t xml:space="preserve"> of responses to </w:t>
      </w:r>
      <w:r w:rsidR="00DA492C">
        <w:t>d</w:t>
      </w:r>
      <w:r w:rsidR="00E5196D">
        <w:t>iversity ques</w:t>
      </w:r>
      <w:r w:rsidR="00A451B2">
        <w:t>tion</w:t>
      </w:r>
      <w:r w:rsidR="00236A28">
        <w:t>s</w:t>
      </w:r>
      <w:r w:rsidR="00A451B2">
        <w:t xml:space="preserve"> in interviews that reflect</w:t>
      </w:r>
      <w:r w:rsidR="00E5196D">
        <w:t xml:space="preserve"> LGBTQ knowledge, skills, experience, and/or competence.</w:t>
      </w:r>
    </w:p>
    <w:p w14:paraId="5DAD4B0E" w14:textId="77777777" w:rsidR="00176DB6" w:rsidRDefault="00176DB6" w:rsidP="00047155">
      <w:pPr>
        <w:spacing w:after="0" w:line="240" w:lineRule="auto"/>
        <w:rPr>
          <w:b/>
        </w:rPr>
      </w:pPr>
    </w:p>
    <w:p w14:paraId="5C2538E4" w14:textId="77777777" w:rsidR="00C34DAA" w:rsidRPr="004B1D3F" w:rsidRDefault="00DA492C" w:rsidP="0004674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sidRPr="00DA492C">
        <w:rPr>
          <w:b/>
          <w:iCs/>
        </w:rPr>
        <w:t>TRAINING</w:t>
      </w:r>
    </w:p>
    <w:p w14:paraId="1B0476BF" w14:textId="77777777" w:rsidR="005736C0" w:rsidRPr="00C553E0" w:rsidRDefault="005736C0" w:rsidP="005736C0">
      <w:pPr>
        <w:spacing w:after="0" w:line="240" w:lineRule="auto"/>
      </w:pPr>
      <w:r w:rsidRPr="00C553E0">
        <w:t xml:space="preserve"> </w:t>
      </w:r>
      <w:r w:rsidR="008D306B">
        <w:t>S</w:t>
      </w:r>
      <w:r w:rsidRPr="00C553E0">
        <w:t>taff need to have a foundational knowledge and awareness of LGBTQ</w:t>
      </w:r>
      <w:r w:rsidR="00A451B2">
        <w:t xml:space="preserve"> and GNC</w:t>
      </w:r>
      <w:r w:rsidRPr="00C553E0">
        <w:t xml:space="preserve"> issues, including:</w:t>
      </w:r>
    </w:p>
    <w:p w14:paraId="154C30CA" w14:textId="77777777" w:rsidR="005736C0" w:rsidRPr="00C553E0" w:rsidRDefault="005736C0" w:rsidP="005736C0">
      <w:pPr>
        <w:pStyle w:val="ListParagraph"/>
        <w:numPr>
          <w:ilvl w:val="0"/>
          <w:numId w:val="22"/>
        </w:numPr>
        <w:spacing w:after="0" w:line="240" w:lineRule="auto"/>
      </w:pPr>
      <w:r w:rsidRPr="00C553E0">
        <w:t>How mental health issues may or may not be related to gende</w:t>
      </w:r>
      <w:r>
        <w:t xml:space="preserve">r identity and the </w:t>
      </w:r>
      <w:r w:rsidRPr="00C553E0">
        <w:t>impact of minority stress;</w:t>
      </w:r>
    </w:p>
    <w:p w14:paraId="26F88017" w14:textId="77777777" w:rsidR="005736C0" w:rsidRPr="00C553E0" w:rsidRDefault="005736C0" w:rsidP="005736C0">
      <w:pPr>
        <w:pStyle w:val="ListParagraph"/>
        <w:numPr>
          <w:ilvl w:val="0"/>
          <w:numId w:val="22"/>
        </w:numPr>
        <w:spacing w:after="0" w:line="240" w:lineRule="auto"/>
      </w:pPr>
      <w:r w:rsidRPr="00C553E0">
        <w:t>The benefits of working in an interdisciplinary approach when working with LGBTQ</w:t>
      </w:r>
      <w:r w:rsidR="00A451B2">
        <w:t xml:space="preserve"> and GNC</w:t>
      </w:r>
      <w:r w:rsidRPr="00C553E0">
        <w:t xml:space="preserve"> individuals and the importance of working collaboratively with</w:t>
      </w:r>
      <w:r w:rsidR="00B63ECB">
        <w:t xml:space="preserve"> family</w:t>
      </w:r>
      <w:r w:rsidRPr="00C553E0">
        <w:t xml:space="preserve"> </w:t>
      </w:r>
      <w:r w:rsidR="008C74E5">
        <w:t xml:space="preserve">and/or </w:t>
      </w:r>
      <w:r w:rsidRPr="00C553E0">
        <w:t xml:space="preserve">other providers; </w:t>
      </w:r>
      <w:r w:rsidR="00792467">
        <w:t>and</w:t>
      </w:r>
    </w:p>
    <w:p w14:paraId="2656A981" w14:textId="77777777" w:rsidR="005736C0" w:rsidRDefault="00B63ECB" w:rsidP="004A2685">
      <w:pPr>
        <w:pStyle w:val="ListParagraph"/>
        <w:numPr>
          <w:ilvl w:val="0"/>
          <w:numId w:val="22"/>
        </w:numPr>
        <w:spacing w:after="0" w:line="240" w:lineRule="auto"/>
      </w:pPr>
      <w:r>
        <w:lastRenderedPageBreak/>
        <w:t>The impact of culture, including language, and implications for assessment and treatment</w:t>
      </w:r>
      <w:r w:rsidR="00792467">
        <w:t>.</w:t>
      </w:r>
      <w:r w:rsidR="002A262D">
        <w:t xml:space="preserve"> </w:t>
      </w:r>
    </w:p>
    <w:p w14:paraId="65B187B6" w14:textId="77777777" w:rsidR="00B63ECB" w:rsidRDefault="00B63ECB" w:rsidP="00047155">
      <w:pPr>
        <w:spacing w:after="0" w:line="240" w:lineRule="auto"/>
      </w:pPr>
    </w:p>
    <w:p w14:paraId="66B046C1" w14:textId="77777777" w:rsidR="007137A3" w:rsidRPr="004B1D3F" w:rsidRDefault="007137A3" w:rsidP="00047155">
      <w:pPr>
        <w:spacing w:after="0" w:line="240" w:lineRule="auto"/>
      </w:pPr>
      <w:r w:rsidRPr="004B1D3F">
        <w:t>Foundational training sh</w:t>
      </w:r>
      <w:r w:rsidR="00792467">
        <w:t>all</w:t>
      </w:r>
      <w:r w:rsidRPr="004B1D3F">
        <w:t>:</w:t>
      </w:r>
    </w:p>
    <w:p w14:paraId="13973AB3" w14:textId="77777777" w:rsidR="007137A3" w:rsidRDefault="007137A3" w:rsidP="000741AE">
      <w:pPr>
        <w:pStyle w:val="ListParagraph"/>
        <w:numPr>
          <w:ilvl w:val="0"/>
          <w:numId w:val="48"/>
        </w:numPr>
        <w:spacing w:after="0" w:line="240" w:lineRule="auto"/>
        <w:ind w:left="720"/>
      </w:pPr>
      <w:r>
        <w:t>Be mandatory for all staff</w:t>
      </w:r>
      <w:r w:rsidR="002A262D">
        <w:t>.</w:t>
      </w:r>
    </w:p>
    <w:p w14:paraId="2BB39DAD" w14:textId="77777777" w:rsidR="007137A3" w:rsidRDefault="0009459B" w:rsidP="0009459B">
      <w:pPr>
        <w:pStyle w:val="ListParagraph"/>
        <w:numPr>
          <w:ilvl w:val="0"/>
          <w:numId w:val="26"/>
        </w:numPr>
        <w:spacing w:after="0" w:line="240" w:lineRule="auto"/>
      </w:pPr>
      <w:r>
        <w:t>Be i</w:t>
      </w:r>
      <w:r w:rsidR="007137A3">
        <w:t>ncluded in all new employee orientation</w:t>
      </w:r>
      <w:r w:rsidR="002A262D">
        <w:t>.</w:t>
      </w:r>
    </w:p>
    <w:p w14:paraId="24B4B59D" w14:textId="77777777" w:rsidR="007137A3" w:rsidRDefault="007137A3" w:rsidP="0009459B">
      <w:pPr>
        <w:pStyle w:val="ListParagraph"/>
        <w:numPr>
          <w:ilvl w:val="0"/>
          <w:numId w:val="26"/>
        </w:numPr>
        <w:spacing w:after="0" w:line="240" w:lineRule="auto"/>
      </w:pPr>
      <w:r>
        <w:t>Include local resources for LGBTQ</w:t>
      </w:r>
      <w:r w:rsidR="00A451B2">
        <w:t xml:space="preserve"> and GNC</w:t>
      </w:r>
      <w:r>
        <w:t xml:space="preserve"> individuals</w:t>
      </w:r>
      <w:r w:rsidR="002A262D">
        <w:t>.</w:t>
      </w:r>
    </w:p>
    <w:p w14:paraId="43A8119D" w14:textId="77777777" w:rsidR="007137A3" w:rsidRDefault="007137A3" w:rsidP="007137A3">
      <w:pPr>
        <w:spacing w:after="0" w:line="240" w:lineRule="auto"/>
      </w:pPr>
    </w:p>
    <w:p w14:paraId="21B89C1D" w14:textId="77777777" w:rsidR="007137A3" w:rsidRPr="004B1D3F" w:rsidRDefault="007137A3" w:rsidP="007137A3">
      <w:pPr>
        <w:spacing w:after="0" w:line="240" w:lineRule="auto"/>
      </w:pPr>
      <w:r w:rsidRPr="004B1D3F">
        <w:t xml:space="preserve">Specialized </w:t>
      </w:r>
      <w:r w:rsidR="00DA492C" w:rsidRPr="004B1D3F">
        <w:t>t</w:t>
      </w:r>
      <w:r w:rsidRPr="004B1D3F">
        <w:t>raining sh</w:t>
      </w:r>
      <w:r w:rsidR="000D05EE">
        <w:t>all</w:t>
      </w:r>
      <w:r w:rsidRPr="004B1D3F">
        <w:t>:</w:t>
      </w:r>
    </w:p>
    <w:p w14:paraId="4249C37A" w14:textId="77777777" w:rsidR="007137A3" w:rsidRDefault="007137A3" w:rsidP="008A2B0F">
      <w:pPr>
        <w:pStyle w:val="ListParagraph"/>
        <w:numPr>
          <w:ilvl w:val="0"/>
          <w:numId w:val="47"/>
        </w:numPr>
        <w:spacing w:after="0" w:line="240" w:lineRule="auto"/>
        <w:ind w:left="720"/>
      </w:pPr>
      <w:r>
        <w:t>Be provided for supervisors/managers regarding supporting LGBTQ staff and/or staff working with LGBTQ</w:t>
      </w:r>
      <w:r w:rsidR="00A451B2">
        <w:t xml:space="preserve"> and GNC</w:t>
      </w:r>
      <w:r>
        <w:t xml:space="preserve"> individuals</w:t>
      </w:r>
      <w:r w:rsidR="002A262D">
        <w:t>.</w:t>
      </w:r>
    </w:p>
    <w:p w14:paraId="22DCE8FA" w14:textId="77777777" w:rsidR="007137A3" w:rsidRDefault="007137A3" w:rsidP="00F5287C">
      <w:pPr>
        <w:pStyle w:val="ListParagraph"/>
        <w:numPr>
          <w:ilvl w:val="0"/>
          <w:numId w:val="27"/>
        </w:numPr>
        <w:spacing w:after="0" w:line="240" w:lineRule="auto"/>
      </w:pPr>
      <w:r>
        <w:t>Explore different tracks to be developed for differen</w:t>
      </w:r>
      <w:r w:rsidRPr="000C6B10">
        <w:t>t</w:t>
      </w:r>
      <w:r>
        <w:t xml:space="preserve"> disciplines and job titles, and offer specialized trainings for each</w:t>
      </w:r>
      <w:r w:rsidR="002A262D">
        <w:t>.</w:t>
      </w:r>
    </w:p>
    <w:p w14:paraId="0FE28781" w14:textId="77777777" w:rsidR="00C63755" w:rsidRDefault="007137A3" w:rsidP="00F5287C">
      <w:pPr>
        <w:pStyle w:val="ListParagraph"/>
        <w:numPr>
          <w:ilvl w:val="0"/>
          <w:numId w:val="27"/>
        </w:numPr>
        <w:spacing w:after="0" w:line="240" w:lineRule="auto"/>
        <w:rPr>
          <w:bCs/>
        </w:rPr>
      </w:pPr>
      <w:r w:rsidRPr="00F5287C">
        <w:rPr>
          <w:bCs/>
        </w:rPr>
        <w:t>Train</w:t>
      </w:r>
      <w:r w:rsidR="0009459B" w:rsidRPr="00F5287C">
        <w:rPr>
          <w:bCs/>
        </w:rPr>
        <w:t xml:space="preserve"> </w:t>
      </w:r>
      <w:r w:rsidR="008D306B">
        <w:rPr>
          <w:bCs/>
        </w:rPr>
        <w:t xml:space="preserve">Child, Youth, and Family </w:t>
      </w:r>
      <w:r w:rsidRPr="00F5287C">
        <w:rPr>
          <w:bCs/>
        </w:rPr>
        <w:t xml:space="preserve">staff on the </w:t>
      </w:r>
      <w:r w:rsidR="00C63755">
        <w:rPr>
          <w:bCs/>
        </w:rPr>
        <w:t>specialized medical needs</w:t>
      </w:r>
      <w:r w:rsidR="007A0E59">
        <w:rPr>
          <w:bCs/>
        </w:rPr>
        <w:t xml:space="preserve"> and options</w:t>
      </w:r>
      <w:r w:rsidRPr="00F5287C">
        <w:rPr>
          <w:bCs/>
        </w:rPr>
        <w:t xml:space="preserve"> for </w:t>
      </w:r>
      <w:r w:rsidR="00C63755">
        <w:rPr>
          <w:bCs/>
        </w:rPr>
        <w:t xml:space="preserve">transgender, intersex, and gender fluid </w:t>
      </w:r>
      <w:r w:rsidRPr="00F5287C">
        <w:rPr>
          <w:bCs/>
        </w:rPr>
        <w:t>children under the age of 18 – for instance</w:t>
      </w:r>
      <w:r w:rsidR="008C74E5">
        <w:rPr>
          <w:bCs/>
        </w:rPr>
        <w:t>,</w:t>
      </w:r>
      <w:r w:rsidRPr="00F5287C">
        <w:rPr>
          <w:bCs/>
        </w:rPr>
        <w:t xml:space="preserve"> the different types of</w:t>
      </w:r>
      <w:r w:rsidR="004A33AE">
        <w:rPr>
          <w:bCs/>
        </w:rPr>
        <w:t xml:space="preserve"> puberty blockers and</w:t>
      </w:r>
      <w:r w:rsidRPr="00F5287C">
        <w:rPr>
          <w:bCs/>
        </w:rPr>
        <w:t xml:space="preserve"> hormone treatment, how </w:t>
      </w:r>
      <w:r w:rsidR="004A33AE">
        <w:rPr>
          <w:bCs/>
        </w:rPr>
        <w:t>these may</w:t>
      </w:r>
      <w:r w:rsidRPr="00F5287C">
        <w:rPr>
          <w:bCs/>
        </w:rPr>
        <w:t xml:space="preserve"> help, </w:t>
      </w:r>
      <w:r w:rsidR="004A33AE">
        <w:rPr>
          <w:bCs/>
        </w:rPr>
        <w:t xml:space="preserve">which physical </w:t>
      </w:r>
      <w:r w:rsidRPr="00F5287C">
        <w:rPr>
          <w:bCs/>
        </w:rPr>
        <w:t xml:space="preserve">changes that </w:t>
      </w:r>
      <w:r w:rsidR="004A33AE">
        <w:rPr>
          <w:bCs/>
        </w:rPr>
        <w:t>puberty or medications</w:t>
      </w:r>
      <w:r w:rsidRPr="00F5287C">
        <w:rPr>
          <w:bCs/>
        </w:rPr>
        <w:t xml:space="preserve"> may cause </w:t>
      </w:r>
      <w:r w:rsidR="008C74E5">
        <w:rPr>
          <w:bCs/>
        </w:rPr>
        <w:t xml:space="preserve">and </w:t>
      </w:r>
      <w:r w:rsidRPr="00F5287C">
        <w:rPr>
          <w:bCs/>
        </w:rPr>
        <w:t>are</w:t>
      </w:r>
      <w:r w:rsidR="004A33AE">
        <w:rPr>
          <w:bCs/>
        </w:rPr>
        <w:t xml:space="preserve"> reversible and which are</w:t>
      </w:r>
      <w:r w:rsidRPr="00F5287C">
        <w:rPr>
          <w:bCs/>
        </w:rPr>
        <w:t xml:space="preserve"> not</w:t>
      </w:r>
      <w:r w:rsidR="00C63755">
        <w:rPr>
          <w:bCs/>
        </w:rPr>
        <w:t>.</w:t>
      </w:r>
    </w:p>
    <w:p w14:paraId="00751AB0" w14:textId="77777777" w:rsidR="00A451B2" w:rsidRDefault="00C63755" w:rsidP="00F5287C">
      <w:pPr>
        <w:pStyle w:val="ListParagraph"/>
        <w:numPr>
          <w:ilvl w:val="0"/>
          <w:numId w:val="27"/>
        </w:numPr>
        <w:spacing w:after="0" w:line="240" w:lineRule="auto"/>
        <w:rPr>
          <w:bCs/>
        </w:rPr>
      </w:pPr>
      <w:r>
        <w:rPr>
          <w:bCs/>
        </w:rPr>
        <w:t xml:space="preserve">Train staff to understand the need to help such children engage with </w:t>
      </w:r>
      <w:r w:rsidR="008605DB">
        <w:rPr>
          <w:bCs/>
        </w:rPr>
        <w:t xml:space="preserve">pediatricians who have training and experience in working with gender diversity </w:t>
      </w:r>
      <w:r w:rsidR="00816598">
        <w:rPr>
          <w:bCs/>
        </w:rPr>
        <w:t>and who</w:t>
      </w:r>
      <w:r w:rsidR="008605DB">
        <w:rPr>
          <w:bCs/>
        </w:rPr>
        <w:t xml:space="preserve"> can</w:t>
      </w:r>
      <w:r w:rsidR="007137A3" w:rsidRPr="00F5287C">
        <w:rPr>
          <w:bCs/>
        </w:rPr>
        <w:t xml:space="preserve"> talk to youth and their families about</w:t>
      </w:r>
      <w:r w:rsidR="00816598">
        <w:rPr>
          <w:bCs/>
        </w:rPr>
        <w:t xml:space="preserve"> gender identity</w:t>
      </w:r>
      <w:r w:rsidR="008C74E5">
        <w:rPr>
          <w:bCs/>
        </w:rPr>
        <w:t>;</w:t>
      </w:r>
      <w:r w:rsidR="00816598">
        <w:rPr>
          <w:bCs/>
        </w:rPr>
        <w:t xml:space="preserve"> gender dysphoria</w:t>
      </w:r>
      <w:r w:rsidR="008C74E5">
        <w:rPr>
          <w:bCs/>
        </w:rPr>
        <w:t>;</w:t>
      </w:r>
      <w:r w:rsidR="00816598">
        <w:rPr>
          <w:bCs/>
        </w:rPr>
        <w:t xml:space="preserve"> options for delaying puberty</w:t>
      </w:r>
      <w:r w:rsidR="00B911BA">
        <w:rPr>
          <w:bCs/>
        </w:rPr>
        <w:t xml:space="preserve"> and/or </w:t>
      </w:r>
      <w:r w:rsidR="00816598">
        <w:rPr>
          <w:bCs/>
        </w:rPr>
        <w:t>ensuring a puberty which conforms to a child’s gender identity</w:t>
      </w:r>
      <w:r w:rsidR="008C74E5">
        <w:rPr>
          <w:bCs/>
        </w:rPr>
        <w:t>;</w:t>
      </w:r>
      <w:r w:rsidR="007137A3" w:rsidRPr="00F5287C">
        <w:rPr>
          <w:bCs/>
        </w:rPr>
        <w:t xml:space="preserve"> </w:t>
      </w:r>
      <w:r w:rsidR="008605DB">
        <w:rPr>
          <w:bCs/>
        </w:rPr>
        <w:t>sexual health</w:t>
      </w:r>
      <w:r w:rsidR="008C74E5">
        <w:rPr>
          <w:bCs/>
        </w:rPr>
        <w:t>;</w:t>
      </w:r>
      <w:r w:rsidR="008605DB">
        <w:rPr>
          <w:bCs/>
        </w:rPr>
        <w:t xml:space="preserve"> family planning and reproductive options for the future.</w:t>
      </w:r>
      <w:r w:rsidR="008605DB" w:rsidRPr="00F5287C" w:rsidDel="008605DB">
        <w:rPr>
          <w:bCs/>
        </w:rPr>
        <w:t xml:space="preserve"> </w:t>
      </w:r>
    </w:p>
    <w:p w14:paraId="278D759B" w14:textId="77777777" w:rsidR="0009459B" w:rsidRPr="00F5287C" w:rsidRDefault="0009459B" w:rsidP="00F5287C">
      <w:pPr>
        <w:pStyle w:val="ListParagraph"/>
        <w:numPr>
          <w:ilvl w:val="0"/>
          <w:numId w:val="27"/>
        </w:numPr>
        <w:spacing w:after="0" w:line="240" w:lineRule="auto"/>
        <w:rPr>
          <w:bCs/>
        </w:rPr>
      </w:pPr>
      <w:r w:rsidRPr="00F5287C">
        <w:rPr>
          <w:bCs/>
        </w:rPr>
        <w:t>Train st</w:t>
      </w:r>
      <w:r w:rsidR="00A451B2">
        <w:rPr>
          <w:bCs/>
        </w:rPr>
        <w:t xml:space="preserve">aff working with children on </w:t>
      </w:r>
      <w:r w:rsidR="000C6B10">
        <w:rPr>
          <w:bCs/>
        </w:rPr>
        <w:t>the legal rights of LGBTQ</w:t>
      </w:r>
      <w:r w:rsidR="00A451B2">
        <w:rPr>
          <w:bCs/>
        </w:rPr>
        <w:t xml:space="preserve"> and GNC</w:t>
      </w:r>
      <w:r w:rsidR="000C6B10">
        <w:rPr>
          <w:bCs/>
        </w:rPr>
        <w:t xml:space="preserve"> minors a</w:t>
      </w:r>
      <w:r w:rsidR="00B07B65">
        <w:rPr>
          <w:bCs/>
        </w:rPr>
        <w:t>s</w:t>
      </w:r>
      <w:r w:rsidR="000C6B10">
        <w:rPr>
          <w:bCs/>
        </w:rPr>
        <w:t xml:space="preserve"> well as the</w:t>
      </w:r>
      <w:r w:rsidRPr="00F5287C">
        <w:rPr>
          <w:bCs/>
        </w:rPr>
        <w:t xml:space="preserve"> legal rights of the parents</w:t>
      </w:r>
      <w:r w:rsidR="000C6B10">
        <w:rPr>
          <w:bCs/>
        </w:rPr>
        <w:t xml:space="preserve">/guardian </w:t>
      </w:r>
      <w:r w:rsidRPr="00F5287C">
        <w:rPr>
          <w:bCs/>
        </w:rPr>
        <w:t>in relation to these guidelines</w:t>
      </w:r>
      <w:r w:rsidR="00B07B65">
        <w:rPr>
          <w:bCs/>
        </w:rPr>
        <w:t>,</w:t>
      </w:r>
      <w:r w:rsidRPr="00F5287C">
        <w:rPr>
          <w:bCs/>
        </w:rPr>
        <w:t xml:space="preserve"> and </w:t>
      </w:r>
      <w:r w:rsidR="00B911BA">
        <w:rPr>
          <w:bCs/>
        </w:rPr>
        <w:t>ideas on how to work through</w:t>
      </w:r>
      <w:r w:rsidR="004A33AE">
        <w:rPr>
          <w:bCs/>
        </w:rPr>
        <w:t xml:space="preserve"> the </w:t>
      </w:r>
      <w:r w:rsidR="00B911BA">
        <w:rPr>
          <w:bCs/>
        </w:rPr>
        <w:t>common</w:t>
      </w:r>
      <w:r w:rsidR="000C6B10">
        <w:rPr>
          <w:bCs/>
        </w:rPr>
        <w:t xml:space="preserve"> conflicts </w:t>
      </w:r>
      <w:r w:rsidR="00B911BA">
        <w:rPr>
          <w:bCs/>
        </w:rPr>
        <w:t xml:space="preserve">and ethical dilemmas </w:t>
      </w:r>
      <w:r w:rsidR="000C6B10">
        <w:rPr>
          <w:bCs/>
        </w:rPr>
        <w:t>which exist when providing care</w:t>
      </w:r>
      <w:r w:rsidR="00447752">
        <w:rPr>
          <w:bCs/>
        </w:rPr>
        <w:t xml:space="preserve">; </w:t>
      </w:r>
      <w:r w:rsidR="00B911BA">
        <w:rPr>
          <w:bCs/>
        </w:rPr>
        <w:t xml:space="preserve">Provide resources within DMH and </w:t>
      </w:r>
      <w:r w:rsidR="00456945">
        <w:rPr>
          <w:bCs/>
        </w:rPr>
        <w:t>at</w:t>
      </w:r>
      <w:r w:rsidR="00B911BA">
        <w:rPr>
          <w:bCs/>
        </w:rPr>
        <w:t xml:space="preserve"> community agencies </w:t>
      </w:r>
      <w:r w:rsidR="00456945">
        <w:rPr>
          <w:bCs/>
        </w:rPr>
        <w:t>which advocate for</w:t>
      </w:r>
      <w:r w:rsidR="00B911BA">
        <w:rPr>
          <w:bCs/>
        </w:rPr>
        <w:t xml:space="preserve"> LGBTQ</w:t>
      </w:r>
      <w:r w:rsidR="00A451B2">
        <w:rPr>
          <w:bCs/>
        </w:rPr>
        <w:t xml:space="preserve"> and GNC</w:t>
      </w:r>
      <w:r w:rsidR="00B911BA">
        <w:rPr>
          <w:bCs/>
        </w:rPr>
        <w:t xml:space="preserve"> </w:t>
      </w:r>
      <w:r w:rsidR="00456945">
        <w:rPr>
          <w:bCs/>
        </w:rPr>
        <w:t>persons and person</w:t>
      </w:r>
      <w:r w:rsidR="00447752">
        <w:rPr>
          <w:bCs/>
        </w:rPr>
        <w:t>s</w:t>
      </w:r>
      <w:r w:rsidR="00456945">
        <w:rPr>
          <w:bCs/>
        </w:rPr>
        <w:t xml:space="preserve"> with lived </w:t>
      </w:r>
      <w:r w:rsidR="00B911BA">
        <w:rPr>
          <w:bCs/>
        </w:rPr>
        <w:t xml:space="preserve">mental health </w:t>
      </w:r>
      <w:r w:rsidR="00456945">
        <w:rPr>
          <w:bCs/>
        </w:rPr>
        <w:t xml:space="preserve">experience </w:t>
      </w:r>
      <w:r w:rsidR="00B911BA">
        <w:rPr>
          <w:bCs/>
        </w:rPr>
        <w:t>which can be accessed when trying to address these issues.</w:t>
      </w:r>
    </w:p>
    <w:p w14:paraId="78E58077" w14:textId="77777777" w:rsidR="00F5287C" w:rsidRDefault="0009459B" w:rsidP="00F5287C">
      <w:pPr>
        <w:pStyle w:val="ListParagraph"/>
        <w:numPr>
          <w:ilvl w:val="0"/>
          <w:numId w:val="27"/>
        </w:numPr>
        <w:spacing w:line="240" w:lineRule="auto"/>
        <w:rPr>
          <w:bCs/>
        </w:rPr>
      </w:pPr>
      <w:r w:rsidRPr="00F5287C">
        <w:rPr>
          <w:bCs/>
        </w:rPr>
        <w:t xml:space="preserve">Train staff on the rights of the transitioning and transgender person in relation to medical benefits and coverages for transition, ongoing specialized care if needed, etc.  </w:t>
      </w:r>
    </w:p>
    <w:p w14:paraId="177E53AD" w14:textId="77777777" w:rsidR="007137A3" w:rsidRPr="00F5287C" w:rsidRDefault="00F5287C" w:rsidP="00F5287C">
      <w:pPr>
        <w:pStyle w:val="ListParagraph"/>
        <w:numPr>
          <w:ilvl w:val="0"/>
          <w:numId w:val="27"/>
        </w:numPr>
        <w:spacing w:line="240" w:lineRule="auto"/>
        <w:rPr>
          <w:bCs/>
        </w:rPr>
      </w:pPr>
      <w:r>
        <w:t>Training</w:t>
      </w:r>
      <w:r w:rsidR="007137A3">
        <w:t xml:space="preserve"> staff on MHIS changes</w:t>
      </w:r>
      <w:r w:rsidR="002A262D">
        <w:t>.</w:t>
      </w:r>
    </w:p>
    <w:p w14:paraId="645CC812" w14:textId="77777777" w:rsidR="007137A3" w:rsidRDefault="007137A3" w:rsidP="007137A3">
      <w:pPr>
        <w:spacing w:after="0" w:line="240" w:lineRule="auto"/>
      </w:pPr>
      <w:r>
        <w:t>All staff should be made aware of other educational resources/opportunities such as webinars, websites, listservs, trainings, etc.  Explore multiple options for dissemination of this information.</w:t>
      </w:r>
    </w:p>
    <w:p w14:paraId="56744B88" w14:textId="77777777" w:rsidR="007137A3" w:rsidRDefault="007137A3" w:rsidP="007137A3">
      <w:pPr>
        <w:spacing w:after="0" w:line="240" w:lineRule="auto"/>
      </w:pPr>
    </w:p>
    <w:p w14:paraId="468276F3" w14:textId="77777777" w:rsidR="007137A3" w:rsidRPr="00FE7CA1" w:rsidRDefault="007137A3" w:rsidP="00047155">
      <w:pPr>
        <w:spacing w:after="0" w:line="240" w:lineRule="auto"/>
      </w:pPr>
      <w:r w:rsidRPr="00FE7CA1">
        <w:t>In the development of LGBTQ training:</w:t>
      </w:r>
    </w:p>
    <w:p w14:paraId="161A1A40" w14:textId="77777777" w:rsidR="007137A3" w:rsidRDefault="007137A3" w:rsidP="00FE7CA1">
      <w:pPr>
        <w:pStyle w:val="ListParagraph"/>
        <w:numPr>
          <w:ilvl w:val="0"/>
          <w:numId w:val="43"/>
        </w:numPr>
        <w:spacing w:after="0" w:line="240" w:lineRule="auto"/>
      </w:pPr>
      <w:r>
        <w:t>Training should include strategies for meeting individuals in a respectful manner.</w:t>
      </w:r>
    </w:p>
    <w:p w14:paraId="026DD827" w14:textId="77777777" w:rsidR="000F1940" w:rsidRDefault="000F1940" w:rsidP="00FE7CA1">
      <w:pPr>
        <w:pStyle w:val="ListParagraph"/>
        <w:numPr>
          <w:ilvl w:val="0"/>
          <w:numId w:val="43"/>
        </w:numPr>
        <w:spacing w:after="0" w:line="240" w:lineRule="auto"/>
      </w:pPr>
      <w:r>
        <w:t>Training should include recognition of personal biases, including cultural and religious biases.</w:t>
      </w:r>
    </w:p>
    <w:p w14:paraId="4B0A0DE9" w14:textId="77777777" w:rsidR="000F1940" w:rsidRDefault="000F1940" w:rsidP="00FE7CA1">
      <w:pPr>
        <w:pStyle w:val="ListParagraph"/>
        <w:numPr>
          <w:ilvl w:val="0"/>
          <w:numId w:val="43"/>
        </w:numPr>
        <w:spacing w:after="0" w:line="240" w:lineRule="auto"/>
      </w:pPr>
      <w:r>
        <w:t>Training should understand hallmarks of tokenism/stigmatization.</w:t>
      </w:r>
    </w:p>
    <w:p w14:paraId="5BC470E6" w14:textId="77777777" w:rsidR="007137A3" w:rsidRDefault="007137A3" w:rsidP="00FE7CA1">
      <w:pPr>
        <w:pStyle w:val="ListParagraph"/>
        <w:numPr>
          <w:ilvl w:val="0"/>
          <w:numId w:val="43"/>
        </w:numPr>
        <w:spacing w:after="0" w:line="240" w:lineRule="auto"/>
      </w:pPr>
      <w:r>
        <w:t xml:space="preserve">Trainings should be developed and delivered by appropriate trainers, including LGBTQ </w:t>
      </w:r>
      <w:r w:rsidR="00A451B2">
        <w:t xml:space="preserve">and GNC </w:t>
      </w:r>
      <w:r>
        <w:t>individuals.</w:t>
      </w:r>
    </w:p>
    <w:p w14:paraId="1A2BFC73" w14:textId="77777777" w:rsidR="007137A3" w:rsidRDefault="007137A3" w:rsidP="00FE7CA1">
      <w:pPr>
        <w:pStyle w:val="ListParagraph"/>
        <w:numPr>
          <w:ilvl w:val="0"/>
          <w:numId w:val="43"/>
        </w:numPr>
        <w:spacing w:after="0" w:line="240" w:lineRule="auto"/>
      </w:pPr>
      <w:r>
        <w:t>Trainings should ideally be developed collaboratively and offered to the larger DMH “community,” including vendors, families, and persons served.</w:t>
      </w:r>
    </w:p>
    <w:p w14:paraId="248099E7" w14:textId="77777777" w:rsidR="007137A3" w:rsidRDefault="007137A3" w:rsidP="00FE7CA1">
      <w:pPr>
        <w:pStyle w:val="ListParagraph"/>
        <w:numPr>
          <w:ilvl w:val="0"/>
          <w:numId w:val="43"/>
        </w:numPr>
        <w:spacing w:after="0" w:line="240" w:lineRule="auto"/>
      </w:pPr>
      <w:r>
        <w:t>Are</w:t>
      </w:r>
      <w:r w:rsidR="00F5287C">
        <w:t xml:space="preserve">a Diversity Committees should </w:t>
      </w:r>
      <w:r>
        <w:t>include LGBTQ</w:t>
      </w:r>
      <w:r w:rsidR="00A451B2">
        <w:t xml:space="preserve"> and GNC</w:t>
      </w:r>
      <w:r>
        <w:t xml:space="preserve"> issues and be consulted with for these issues.</w:t>
      </w:r>
    </w:p>
    <w:p w14:paraId="749CE963" w14:textId="77777777" w:rsidR="00B63ECB" w:rsidRDefault="00B63ECB" w:rsidP="00047155">
      <w:pPr>
        <w:spacing w:after="0" w:line="240" w:lineRule="auto"/>
      </w:pPr>
    </w:p>
    <w:p w14:paraId="42B27D31" w14:textId="77777777" w:rsidR="00C26DCD" w:rsidRDefault="00C26DCD" w:rsidP="00047155">
      <w:pPr>
        <w:spacing w:after="0" w:line="240" w:lineRule="auto"/>
      </w:pPr>
    </w:p>
    <w:p w14:paraId="54798EF3" w14:textId="77777777" w:rsidR="00215DBD" w:rsidRDefault="00215DBD" w:rsidP="006A4C7C">
      <w:pPr>
        <w:rPr>
          <w:b/>
        </w:rPr>
      </w:pPr>
    </w:p>
    <w:p w14:paraId="566DEB6C" w14:textId="77777777" w:rsidR="008F1ED6" w:rsidRDefault="008F1ED6" w:rsidP="008F1ED6">
      <w:pPr>
        <w:spacing w:after="0" w:line="240" w:lineRule="auto"/>
        <w:rPr>
          <w:b/>
        </w:rPr>
      </w:pPr>
    </w:p>
    <w:p w14:paraId="51ED84B2" w14:textId="77777777" w:rsidR="00EA50D6" w:rsidRPr="008F1ED6" w:rsidRDefault="008F1ED6" w:rsidP="008F1ED6">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b/>
          <w:iCs/>
        </w:rPr>
      </w:pPr>
      <w:r>
        <w:rPr>
          <w:b/>
          <w:iCs/>
        </w:rPr>
        <w:t>GLOSSARY</w:t>
      </w:r>
    </w:p>
    <w:p w14:paraId="2008812D" w14:textId="77777777" w:rsidR="00D72FD2" w:rsidRDefault="00D72FD2" w:rsidP="008A2B0F">
      <w:pPr>
        <w:spacing w:after="0" w:line="240" w:lineRule="auto"/>
        <w:rPr>
          <w:rFonts w:eastAsia="Times New Roman" w:cs="Times New Roman"/>
          <w:b/>
        </w:rPr>
      </w:pPr>
      <w:r w:rsidRPr="00D72FD2">
        <w:rPr>
          <w:rFonts w:eastAsia="Times New Roman" w:cs="Times New Roman"/>
          <w:b/>
        </w:rPr>
        <w:t>Chosen name</w:t>
      </w:r>
      <w:r>
        <w:rPr>
          <w:rFonts w:eastAsia="Times New Roman" w:cs="Times New Roman"/>
          <w:b/>
        </w:rPr>
        <w:t>:</w:t>
      </w:r>
      <w:r w:rsidRPr="00D72FD2">
        <w:rPr>
          <w:rFonts w:eastAsia="Times New Roman" w:cs="Times New Roman"/>
          <w:b/>
        </w:rPr>
        <w:t xml:space="preserve"> </w:t>
      </w:r>
      <w:r w:rsidRPr="004A2685">
        <w:rPr>
          <w:rFonts w:eastAsia="Times New Roman" w:cs="Times New Roman"/>
          <w:bCs/>
        </w:rPr>
        <w:t>The name a person identifies with for the purposes of self-identification and how they expect to be referred to by others during their care or their employment.</w:t>
      </w:r>
    </w:p>
    <w:p w14:paraId="01504D07" w14:textId="77777777" w:rsidR="008A2B0F" w:rsidRDefault="008A2B0F" w:rsidP="008A2B0F">
      <w:pPr>
        <w:spacing w:after="0" w:line="240" w:lineRule="auto"/>
        <w:rPr>
          <w:rFonts w:eastAsia="Times New Roman" w:cs="Times New Roman"/>
          <w:b/>
        </w:rPr>
      </w:pPr>
    </w:p>
    <w:p w14:paraId="00A7C96F" w14:textId="77777777" w:rsidR="00EA50D6" w:rsidRPr="00EA50D6" w:rsidRDefault="00EA50D6" w:rsidP="008A2B0F">
      <w:pPr>
        <w:spacing w:after="0" w:line="240" w:lineRule="auto"/>
        <w:rPr>
          <w:rFonts w:eastAsia="Times New Roman" w:cs="Times New Roman"/>
        </w:rPr>
      </w:pPr>
      <w:r w:rsidRPr="00EA50D6">
        <w:rPr>
          <w:rFonts w:eastAsia="Times New Roman" w:cs="Times New Roman"/>
          <w:b/>
        </w:rPr>
        <w:t xml:space="preserve">Disability: </w:t>
      </w:r>
      <w:r w:rsidRPr="00EA50D6">
        <w:rPr>
          <w:rFonts w:eastAsia="Times New Roman" w:cs="Times New Roman"/>
        </w:rPr>
        <w:t>A physical or mental condition that substantially limits one or more major life activities of a person</w:t>
      </w:r>
      <w:r w:rsidRPr="00EA50D6">
        <w:rPr>
          <w:rFonts w:eastAsia="Times New Roman" w:cs="Times New Roman"/>
          <w:color w:val="444444"/>
          <w:shd w:val="clear" w:color="auto" w:fill="FFFFFF"/>
        </w:rPr>
        <w:t>; a record of having such impairment; or being regarded as having such impairment</w:t>
      </w:r>
      <w:r w:rsidRPr="00EA50D6">
        <w:rPr>
          <w:rFonts w:eastAsia="Times New Roman" w:cs="Times New Roman"/>
        </w:rPr>
        <w:t>.</w:t>
      </w:r>
    </w:p>
    <w:p w14:paraId="3FE74A2B" w14:textId="77777777" w:rsidR="008A2B0F" w:rsidRDefault="008A2B0F" w:rsidP="008A2B0F">
      <w:pPr>
        <w:spacing w:after="0" w:line="240" w:lineRule="auto"/>
        <w:rPr>
          <w:rFonts w:eastAsia="Times New Roman" w:cs="Times New Roman"/>
          <w:b/>
        </w:rPr>
      </w:pPr>
    </w:p>
    <w:p w14:paraId="2715245B" w14:textId="77777777" w:rsidR="00EA50D6" w:rsidRPr="00EA50D6" w:rsidRDefault="00EA50D6" w:rsidP="008A2B0F">
      <w:pPr>
        <w:spacing w:after="0" w:line="240" w:lineRule="auto"/>
        <w:rPr>
          <w:rFonts w:eastAsia="Times New Roman" w:cs="Times New Roman"/>
        </w:rPr>
      </w:pPr>
      <w:r w:rsidRPr="00EA50D6">
        <w:rPr>
          <w:rFonts w:eastAsia="Times New Roman" w:cs="Times New Roman"/>
          <w:b/>
        </w:rPr>
        <w:t>Discrimination:</w:t>
      </w:r>
      <w:r w:rsidRPr="00EA50D6">
        <w:rPr>
          <w:rFonts w:eastAsia="Times New Roman" w:cs="Times New Roman"/>
        </w:rPr>
        <w:t xml:space="preserve"> Any unlawful work-related act, policy or practice by which DMH or a contracted vendor</w:t>
      </w:r>
      <w:r w:rsidRPr="00EA50D6">
        <w:rPr>
          <w:rFonts w:eastAsia="Times New Roman" w:cs="Times New Roman"/>
          <w:color w:val="444444"/>
          <w:shd w:val="clear" w:color="auto" w:fill="FFFFFF"/>
        </w:rPr>
        <w:t>, by itself or through its agent, and because of actual or perceived membership in a Protect</w:t>
      </w:r>
      <w:r w:rsidR="00D86515">
        <w:rPr>
          <w:rFonts w:eastAsia="Times New Roman" w:cs="Times New Roman"/>
          <w:color w:val="444444"/>
          <w:shd w:val="clear" w:color="auto" w:fill="FFFFFF"/>
        </w:rPr>
        <w:t>ed Class status, commits Harass</w:t>
      </w:r>
      <w:r w:rsidRPr="00EA50D6">
        <w:rPr>
          <w:rFonts w:eastAsia="Times New Roman" w:cs="Times New Roman"/>
          <w:color w:val="444444"/>
          <w:shd w:val="clear" w:color="auto" w:fill="FFFFFF"/>
        </w:rPr>
        <w:t>ment, discharges or refuses to hire or employ an individual, or discriminates against an individual in compensation or in terms, conditions or privileges of employment, unless based upon a bona fide occupational qualification.</w:t>
      </w:r>
    </w:p>
    <w:p w14:paraId="71208249" w14:textId="77777777" w:rsidR="008A2B0F" w:rsidRDefault="008A2B0F" w:rsidP="008A2B0F">
      <w:pPr>
        <w:spacing w:after="0" w:line="240" w:lineRule="auto"/>
        <w:rPr>
          <w:rFonts w:eastAsia="Times New Roman" w:cs="Times New Roman"/>
          <w:b/>
        </w:rPr>
      </w:pPr>
    </w:p>
    <w:p w14:paraId="07331273" w14:textId="77777777" w:rsidR="00EA50D6" w:rsidRPr="00EA50D6" w:rsidRDefault="00EA50D6" w:rsidP="008A2B0F">
      <w:pPr>
        <w:spacing w:after="0" w:line="240" w:lineRule="auto"/>
        <w:rPr>
          <w:rFonts w:eastAsia="Times New Roman" w:cs="Times New Roman"/>
        </w:rPr>
      </w:pPr>
      <w:r w:rsidRPr="00EA50D6">
        <w:rPr>
          <w:rFonts w:eastAsia="Times New Roman" w:cs="Times New Roman"/>
          <w:b/>
        </w:rPr>
        <w:t xml:space="preserve">Diversity Officer:  </w:t>
      </w:r>
      <w:r w:rsidRPr="00EA50D6">
        <w:rPr>
          <w:rFonts w:eastAsia="Times New Roman" w:cs="Times New Roman"/>
        </w:rPr>
        <w:t xml:space="preserve">The DMH Employee designated by the Commissioner who is responsible for planning, organizing and directing all aspects of diversity, affirmative action, and equal employment within the DMH.  </w:t>
      </w:r>
    </w:p>
    <w:p w14:paraId="4D5776DB" w14:textId="77777777" w:rsidR="008A2B0F" w:rsidRDefault="008A2B0F" w:rsidP="008A2B0F">
      <w:pPr>
        <w:tabs>
          <w:tab w:val="left" w:pos="720"/>
        </w:tabs>
        <w:spacing w:after="0" w:line="240" w:lineRule="auto"/>
        <w:rPr>
          <w:rFonts w:eastAsia="Times New Roman" w:cs="Times New Roman"/>
          <w:b/>
        </w:rPr>
      </w:pPr>
    </w:p>
    <w:p w14:paraId="2F77886D" w14:textId="77777777" w:rsidR="00EA50D6" w:rsidRPr="00EA50D6" w:rsidRDefault="00EA50D6" w:rsidP="008A2B0F">
      <w:pPr>
        <w:tabs>
          <w:tab w:val="left" w:pos="720"/>
        </w:tabs>
        <w:spacing w:after="0" w:line="240" w:lineRule="auto"/>
        <w:rPr>
          <w:rFonts w:eastAsia="Times New Roman" w:cs="Times New Roman"/>
        </w:rPr>
      </w:pPr>
      <w:r w:rsidRPr="00EA50D6">
        <w:rPr>
          <w:rFonts w:eastAsia="Times New Roman" w:cs="Times New Roman"/>
          <w:b/>
        </w:rPr>
        <w:t xml:space="preserve">Employee:  </w:t>
      </w:r>
      <w:r w:rsidRPr="00EA50D6">
        <w:rPr>
          <w:rFonts w:eastAsia="Times New Roman" w:cs="Times New Roman"/>
        </w:rPr>
        <w:t>Any individual holding a full or part-time position, including a state employee, contract employee, individual consultant, temporary employee, volunteer, trainee, intern, or student, regardless of whether the individual receives compensation and the source of funding for the position.  A current client of a facility or program who provides services at that facility or program will not be considered an employee at that facility or program.</w:t>
      </w:r>
    </w:p>
    <w:p w14:paraId="17B98169" w14:textId="77777777" w:rsidR="00EA50D6" w:rsidRPr="00EA50D6" w:rsidRDefault="00EA50D6" w:rsidP="008A2B0F">
      <w:pPr>
        <w:tabs>
          <w:tab w:val="left" w:pos="720"/>
        </w:tabs>
        <w:spacing w:after="0" w:line="240" w:lineRule="auto"/>
        <w:rPr>
          <w:rFonts w:eastAsia="Times New Roman" w:cs="Times New Roman"/>
        </w:rPr>
      </w:pPr>
    </w:p>
    <w:p w14:paraId="42A65B62" w14:textId="77777777" w:rsidR="00EA50D6" w:rsidRPr="00EA50D6" w:rsidRDefault="00EA50D6" w:rsidP="008A2B0F">
      <w:pPr>
        <w:tabs>
          <w:tab w:val="left" w:pos="720"/>
        </w:tabs>
        <w:spacing w:after="0" w:line="240" w:lineRule="auto"/>
        <w:rPr>
          <w:rFonts w:eastAsia="Times New Roman" w:cs="Times New Roman"/>
        </w:rPr>
      </w:pPr>
      <w:r w:rsidRPr="00EA50D6">
        <w:rPr>
          <w:rFonts w:eastAsia="Times New Roman" w:cs="Times New Roman"/>
          <w:b/>
        </w:rPr>
        <w:t xml:space="preserve">Gender Expression: </w:t>
      </w:r>
      <w:r w:rsidRPr="00EA50D6">
        <w:rPr>
          <w:rFonts w:eastAsia="Times New Roman" w:cs="Times New Roman"/>
        </w:rPr>
        <w:t xml:space="preserve">The </w:t>
      </w:r>
      <w:proofErr w:type="gramStart"/>
      <w:r w:rsidRPr="00EA50D6">
        <w:rPr>
          <w:rFonts w:eastAsia="Times New Roman" w:cs="Times New Roman"/>
        </w:rPr>
        <w:t>manner in which</w:t>
      </w:r>
      <w:proofErr w:type="gramEnd"/>
      <w:r w:rsidRPr="00EA50D6">
        <w:rPr>
          <w:rFonts w:eastAsia="Times New Roman" w:cs="Times New Roman"/>
        </w:rPr>
        <w:t xml:space="preserve"> a person </w:t>
      </w:r>
      <w:r w:rsidRPr="00342614">
        <w:rPr>
          <w:rFonts w:eastAsia="Times New Roman" w:cs="Times New Roman"/>
        </w:rPr>
        <w:t>expresses gender</w:t>
      </w:r>
      <w:r w:rsidRPr="00EA50D6">
        <w:rPr>
          <w:rFonts w:eastAsia="Times New Roman" w:cs="Times New Roman"/>
        </w:rPr>
        <w:t xml:space="preserve"> through clothing, appearance, behavior, speech, etc.  A person’s gender expression may vary from the norms traditionally associated with the person’s assigned sex at birth.  Gender expression is a separate concept from sexual orientation and gender identity.  For example, a male may exhibit an effeminate manner, but identify as a heterosexual male</w:t>
      </w:r>
      <w:r w:rsidRPr="00342614">
        <w:rPr>
          <w:rFonts w:eastAsia="Times New Roman" w:cs="Times New Roman"/>
        </w:rPr>
        <w:t>.</w:t>
      </w:r>
      <w:r w:rsidR="00D86515" w:rsidRPr="00342614">
        <w:rPr>
          <w:rFonts w:eastAsia="Times New Roman" w:cs="Times New Roman"/>
        </w:rPr>
        <w:t xml:space="preserve">  Gender expression may look different throughout time and in different cultures.</w:t>
      </w:r>
    </w:p>
    <w:p w14:paraId="030C87F6" w14:textId="77777777" w:rsidR="00EA50D6" w:rsidRPr="00EA50D6" w:rsidRDefault="00EA50D6" w:rsidP="008A2B0F">
      <w:pPr>
        <w:tabs>
          <w:tab w:val="left" w:pos="720"/>
        </w:tabs>
        <w:spacing w:after="0" w:line="240" w:lineRule="auto"/>
        <w:rPr>
          <w:rFonts w:eastAsia="Times New Roman" w:cs="Times New Roman"/>
          <w:b/>
        </w:rPr>
      </w:pPr>
    </w:p>
    <w:p w14:paraId="12C8952D" w14:textId="77777777" w:rsidR="00EA50D6" w:rsidRPr="00EA50D6" w:rsidRDefault="00EA50D6" w:rsidP="008A2B0F">
      <w:pPr>
        <w:tabs>
          <w:tab w:val="left" w:pos="720"/>
        </w:tabs>
        <w:spacing w:after="0" w:line="240" w:lineRule="auto"/>
        <w:rPr>
          <w:rFonts w:eastAsia="Times New Roman" w:cs="Times New Roman"/>
          <w:b/>
        </w:rPr>
      </w:pPr>
      <w:r w:rsidRPr="00EA50D6">
        <w:rPr>
          <w:rFonts w:eastAsia="Times New Roman" w:cs="Times New Roman"/>
          <w:b/>
        </w:rPr>
        <w:t xml:space="preserve">Gender Identity:  </w:t>
      </w:r>
      <w:r w:rsidRPr="00EA50D6">
        <w:rPr>
          <w:rFonts w:eastAsia="Times New Roman" w:cs="Times New Roman"/>
        </w:rPr>
        <w:t xml:space="preserve">An individual’s internal view of the person’s gender; one’s innermost sense of being male, female, both or neither. </w:t>
      </w:r>
      <w:r w:rsidRPr="00EA50D6">
        <w:rPr>
          <w:rFonts w:eastAsia="Calibri" w:cs="Times New Roman"/>
        </w:rPr>
        <w:t>One's gender identity may or may not correspond to the sex assigned at birth. Gender identity includes, but is not limited to trans woman, woman, trans man, man, agender, genderqueer, genderfluid, non-binary, and many others.</w:t>
      </w:r>
    </w:p>
    <w:p w14:paraId="340FAAA7" w14:textId="77777777" w:rsidR="00EA50D6" w:rsidRPr="00EA50D6" w:rsidRDefault="00EA50D6" w:rsidP="008A2B0F">
      <w:pPr>
        <w:tabs>
          <w:tab w:val="left" w:pos="720"/>
        </w:tabs>
        <w:spacing w:after="0" w:line="240" w:lineRule="auto"/>
        <w:rPr>
          <w:rFonts w:eastAsia="Times New Roman" w:cs="Times New Roman"/>
          <w:b/>
        </w:rPr>
      </w:pPr>
    </w:p>
    <w:p w14:paraId="5812A833" w14:textId="77777777" w:rsidR="00EA50D6" w:rsidRPr="00EA50D6" w:rsidRDefault="00EA50D6" w:rsidP="008A2B0F">
      <w:pPr>
        <w:tabs>
          <w:tab w:val="left" w:pos="720"/>
        </w:tabs>
        <w:spacing w:after="0" w:line="240" w:lineRule="auto"/>
        <w:rPr>
          <w:rFonts w:eastAsia="Times New Roman" w:cs="Times New Roman"/>
          <w:b/>
        </w:rPr>
      </w:pPr>
      <w:r w:rsidRPr="00EA50D6">
        <w:rPr>
          <w:rFonts w:eastAsia="Times New Roman" w:cs="Times New Roman"/>
          <w:b/>
        </w:rPr>
        <w:t>Gender Non-Conforming (GNC):</w:t>
      </w:r>
      <w:r w:rsidRPr="00EA50D6">
        <w:rPr>
          <w:rFonts w:eastAsia="Times New Roman" w:cs="Times New Roman"/>
        </w:rPr>
        <w:t xml:space="preserve"> A person wh</w:t>
      </w:r>
      <w:r w:rsidR="0086259C">
        <w:rPr>
          <w:rFonts w:eastAsia="Times New Roman" w:cs="Times New Roman"/>
        </w:rPr>
        <w:t xml:space="preserve">o does not </w:t>
      </w:r>
      <w:r w:rsidR="0086259C" w:rsidRPr="00342614">
        <w:rPr>
          <w:rFonts w:eastAsia="Times New Roman" w:cs="Times New Roman"/>
        </w:rPr>
        <w:t>follow culturally dominant</w:t>
      </w:r>
      <w:r w:rsidRPr="00EA50D6">
        <w:rPr>
          <w:rFonts w:eastAsia="Times New Roman" w:cs="Times New Roman"/>
        </w:rPr>
        <w:t xml:space="preserve"> ideas and/or stereotypes about how the person should look or act based on the male or female sex they were assigned at birth.</w:t>
      </w:r>
    </w:p>
    <w:p w14:paraId="5ECB9D11" w14:textId="77777777" w:rsidR="00EA50D6" w:rsidRPr="00EA50D6" w:rsidRDefault="00EA50D6" w:rsidP="008A2B0F">
      <w:pPr>
        <w:tabs>
          <w:tab w:val="left" w:pos="720"/>
        </w:tabs>
        <w:spacing w:after="0" w:line="240" w:lineRule="auto"/>
        <w:rPr>
          <w:rFonts w:eastAsia="Times New Roman" w:cs="Times New Roman"/>
          <w:b/>
        </w:rPr>
      </w:pPr>
    </w:p>
    <w:p w14:paraId="44558EA2" w14:textId="77777777" w:rsidR="00EA50D6" w:rsidRPr="00EA50D6" w:rsidRDefault="00EA50D6" w:rsidP="008A2B0F">
      <w:pPr>
        <w:tabs>
          <w:tab w:val="left" w:pos="720"/>
        </w:tabs>
        <w:spacing w:after="0" w:line="240" w:lineRule="auto"/>
        <w:rPr>
          <w:rFonts w:eastAsia="Times New Roman" w:cs="Times New Roman"/>
          <w:b/>
        </w:rPr>
      </w:pPr>
      <w:r w:rsidRPr="00EA50D6">
        <w:rPr>
          <w:rFonts w:eastAsia="Times New Roman" w:cs="Times New Roman"/>
          <w:b/>
        </w:rPr>
        <w:t>Harassment:</w:t>
      </w:r>
      <w:r w:rsidRPr="00EA50D6">
        <w:rPr>
          <w:rFonts w:eastAsia="Times New Roman" w:cs="Times New Roman"/>
        </w:rPr>
        <w:t xml:space="preserve"> Any unlawful work-related speech or behavior that is subjectively and objectively unwelcome, offensive, or intimidating, and is based on actual or perceived membership in or association with a Protected Class </w:t>
      </w:r>
      <w:r w:rsidRPr="00EA50D6">
        <w:rPr>
          <w:rFonts w:eastAsia="Times New Roman" w:cs="Times New Roman"/>
          <w:color w:val="333333"/>
          <w:shd w:val="clear" w:color="auto" w:fill="FFFFFF"/>
        </w:rPr>
        <w:t xml:space="preserve"> that creates an abusive working environment.</w:t>
      </w:r>
    </w:p>
    <w:p w14:paraId="214DC78D" w14:textId="77777777" w:rsidR="00EA50D6" w:rsidRPr="00EA50D6" w:rsidRDefault="00EA50D6" w:rsidP="008A2B0F">
      <w:pPr>
        <w:tabs>
          <w:tab w:val="left" w:pos="0"/>
          <w:tab w:val="num" w:pos="720"/>
        </w:tabs>
        <w:spacing w:after="0" w:line="240" w:lineRule="auto"/>
        <w:rPr>
          <w:rFonts w:eastAsia="Times New Roman" w:cs="Times New Roman"/>
          <w:b/>
        </w:rPr>
      </w:pPr>
    </w:p>
    <w:p w14:paraId="3FED38E0" w14:textId="77777777" w:rsidR="00EA50D6" w:rsidRPr="00EA50D6" w:rsidRDefault="00EA50D6" w:rsidP="008A2B0F">
      <w:pPr>
        <w:spacing w:after="0" w:line="240" w:lineRule="auto"/>
        <w:rPr>
          <w:rFonts w:eastAsia="Times New Roman" w:cs="Times New Roman"/>
          <w:color w:val="000000"/>
        </w:rPr>
      </w:pPr>
      <w:r w:rsidRPr="00EA50D6">
        <w:rPr>
          <w:rFonts w:eastAsia="Times New Roman" w:cs="Times New Roman"/>
          <w:b/>
        </w:rPr>
        <w:t xml:space="preserve">Individual Served:  </w:t>
      </w:r>
      <w:r w:rsidRPr="00EA50D6">
        <w:rPr>
          <w:rFonts w:eastAsia="Times New Roman" w:cs="Times New Roman"/>
        </w:rPr>
        <w:t xml:space="preserve">A person who </w:t>
      </w:r>
      <w:r w:rsidRPr="00EA50D6">
        <w:rPr>
          <w:rFonts w:eastAsia="Times New Roman" w:cs="Times New Roman"/>
          <w:color w:val="000000"/>
        </w:rPr>
        <w:t xml:space="preserve">is receiving DMH services at a DMH operated or contracted inpatient facility, mental health center, or other community program. </w:t>
      </w:r>
    </w:p>
    <w:p w14:paraId="0AABBC40" w14:textId="77777777" w:rsidR="00EA50D6" w:rsidRPr="00EA50D6" w:rsidRDefault="00EA50D6" w:rsidP="008A2B0F">
      <w:pPr>
        <w:tabs>
          <w:tab w:val="left" w:pos="0"/>
          <w:tab w:val="num" w:pos="720"/>
        </w:tabs>
        <w:spacing w:after="0" w:line="240" w:lineRule="auto"/>
        <w:rPr>
          <w:rFonts w:eastAsia="Times New Roman" w:cs="Times New Roman"/>
          <w:b/>
        </w:rPr>
      </w:pPr>
    </w:p>
    <w:p w14:paraId="796192AD" w14:textId="77777777" w:rsidR="00EA50D6" w:rsidRPr="00EA50D6" w:rsidRDefault="00EA50D6" w:rsidP="008A2B0F">
      <w:pPr>
        <w:tabs>
          <w:tab w:val="left" w:pos="0"/>
          <w:tab w:val="num" w:pos="720"/>
        </w:tabs>
        <w:spacing w:after="0" w:line="240" w:lineRule="auto"/>
        <w:rPr>
          <w:rFonts w:eastAsia="Times New Roman" w:cs="Times New Roman"/>
          <w:bCs/>
        </w:rPr>
      </w:pPr>
      <w:r w:rsidRPr="00EA50D6">
        <w:rPr>
          <w:rFonts w:eastAsia="Times New Roman" w:cs="Times New Roman"/>
          <w:b/>
          <w:bCs/>
        </w:rPr>
        <w:lastRenderedPageBreak/>
        <w:t xml:space="preserve">Intersex Condition:  </w:t>
      </w:r>
      <w:r w:rsidRPr="00EA50D6">
        <w:rPr>
          <w:rFonts w:eastAsia="Calibri" w:cs="Times New Roman"/>
        </w:rPr>
        <w:t>A spectrum of conditions involving natural variations of the sex chromosomes, reproductive systems, and/or genitalia, outside of what is typically considered "male" or "female."</w:t>
      </w:r>
    </w:p>
    <w:p w14:paraId="2F44F63A" w14:textId="77777777" w:rsidR="00EA50D6" w:rsidRPr="00EA50D6" w:rsidRDefault="00EA50D6" w:rsidP="008A2B0F">
      <w:pPr>
        <w:tabs>
          <w:tab w:val="left" w:pos="0"/>
          <w:tab w:val="num" w:pos="720"/>
        </w:tabs>
        <w:spacing w:after="0" w:line="240" w:lineRule="auto"/>
        <w:rPr>
          <w:rFonts w:eastAsia="Times New Roman" w:cs="Times New Roman"/>
          <w:b/>
          <w:bCs/>
        </w:rPr>
      </w:pPr>
    </w:p>
    <w:p w14:paraId="03A6E0D2" w14:textId="77777777" w:rsidR="00EA50D6" w:rsidRPr="00EA50D6" w:rsidRDefault="00EA50D6" w:rsidP="008A2B0F">
      <w:pPr>
        <w:tabs>
          <w:tab w:val="left" w:pos="0"/>
          <w:tab w:val="num" w:pos="720"/>
        </w:tabs>
        <w:spacing w:after="0" w:line="240" w:lineRule="auto"/>
        <w:rPr>
          <w:rFonts w:eastAsia="Times New Roman" w:cs="Times New Roman"/>
          <w:b/>
        </w:rPr>
      </w:pPr>
      <w:r w:rsidRPr="00EA50D6">
        <w:rPr>
          <w:rFonts w:eastAsia="Times New Roman" w:cs="Times New Roman"/>
          <w:b/>
          <w:bCs/>
        </w:rPr>
        <w:t xml:space="preserve">Legally Authorized Representative (LAR): </w:t>
      </w:r>
      <w:r w:rsidRPr="00EA50D6">
        <w:rPr>
          <w:rFonts w:eastAsia="Times New Roman" w:cs="Times New Roman"/>
        </w:rPr>
        <w:t>A guardian or other fiduciary granted applicable authority by a court of competent jurisdiction, or, in the case of a minor, the parent(s) or other individual or entity with legal custody of the minor.</w:t>
      </w:r>
    </w:p>
    <w:p w14:paraId="340B9249" w14:textId="77777777" w:rsidR="00EA50D6" w:rsidRPr="00EA50D6" w:rsidRDefault="00EA50D6" w:rsidP="008A2B0F">
      <w:pPr>
        <w:tabs>
          <w:tab w:val="left" w:pos="0"/>
          <w:tab w:val="num" w:pos="720"/>
        </w:tabs>
        <w:spacing w:after="0" w:line="240" w:lineRule="auto"/>
        <w:rPr>
          <w:rFonts w:eastAsia="Times New Roman" w:cs="Times New Roman"/>
          <w:b/>
        </w:rPr>
      </w:pPr>
    </w:p>
    <w:p w14:paraId="3AF7C4A0" w14:textId="77777777" w:rsidR="00230377" w:rsidRPr="00D3338D" w:rsidRDefault="00EA50D6" w:rsidP="008A2B0F">
      <w:pPr>
        <w:tabs>
          <w:tab w:val="left" w:pos="0"/>
        </w:tabs>
        <w:spacing w:after="0" w:line="240" w:lineRule="auto"/>
        <w:rPr>
          <w:rFonts w:eastAsia="Calibri"/>
        </w:rPr>
      </w:pPr>
      <w:r w:rsidRPr="00EA50D6">
        <w:rPr>
          <w:rFonts w:eastAsia="Times New Roman" w:cs="Times New Roman"/>
          <w:b/>
        </w:rPr>
        <w:t>LGBTQ:</w:t>
      </w:r>
      <w:r w:rsidRPr="00EA50D6">
        <w:rPr>
          <w:rFonts w:eastAsia="Times New Roman" w:cs="Times New Roman"/>
        </w:rPr>
        <w:t xml:space="preserve">  </w:t>
      </w:r>
      <w:r w:rsidRPr="00EA50D6">
        <w:rPr>
          <w:rFonts w:eastAsia="Calibri" w:cs="Times New Roman"/>
        </w:rPr>
        <w:t xml:space="preserve">Individuals who identify as, or are known to be, lesbian, gay, bisexual, transgender, queer, </w:t>
      </w:r>
      <w:r w:rsidR="00D72FD2">
        <w:rPr>
          <w:rFonts w:eastAsia="Calibri" w:cs="Times New Roman"/>
        </w:rPr>
        <w:t xml:space="preserve">or </w:t>
      </w:r>
      <w:r w:rsidRPr="00EA50D6">
        <w:rPr>
          <w:rFonts w:eastAsia="Calibri" w:cs="Times New Roman"/>
        </w:rPr>
        <w:t xml:space="preserve">questioning. </w:t>
      </w:r>
      <w:r w:rsidR="008A2B0F">
        <w:rPr>
          <w:rFonts w:eastAsia="Calibri" w:cs="Times New Roman"/>
        </w:rPr>
        <w:t xml:space="preserve"> </w:t>
      </w:r>
      <w:r w:rsidR="00230377" w:rsidRPr="00D3338D">
        <w:rPr>
          <w:rFonts w:eastAsia="Calibri"/>
        </w:rPr>
        <w:t>For the purposes of th</w:t>
      </w:r>
      <w:r w:rsidR="00230377">
        <w:rPr>
          <w:rFonts w:eastAsia="Calibri"/>
        </w:rPr>
        <w:t>e</w:t>
      </w:r>
      <w:r w:rsidR="00230377" w:rsidRPr="00D3338D">
        <w:rPr>
          <w:rFonts w:eastAsia="Calibri"/>
        </w:rPr>
        <w:t xml:space="preserve"> policy, DMH is using the ter</w:t>
      </w:r>
      <w:r w:rsidR="00230377">
        <w:rPr>
          <w:rFonts w:eastAsia="Calibri"/>
        </w:rPr>
        <w:t xml:space="preserve">m “LGBTQ.”  However, the intent </w:t>
      </w:r>
      <w:r w:rsidR="00230377" w:rsidRPr="00D3338D">
        <w:rPr>
          <w:rFonts w:eastAsia="Calibri"/>
        </w:rPr>
        <w:t>of the polic</w:t>
      </w:r>
      <w:r w:rsidR="00230377">
        <w:rPr>
          <w:rFonts w:eastAsia="Calibri"/>
        </w:rPr>
        <w:t xml:space="preserve">y and this guidance </w:t>
      </w:r>
      <w:r w:rsidR="00230377" w:rsidRPr="00D3338D">
        <w:rPr>
          <w:rFonts w:eastAsia="Calibri"/>
        </w:rPr>
        <w:t xml:space="preserve">is to include all persons who, in any way or manner, identify </w:t>
      </w:r>
      <w:r w:rsidR="00230377">
        <w:rPr>
          <w:rFonts w:eastAsia="Calibri"/>
        </w:rPr>
        <w:t>on the spectrum of diverse Sexual Orientations and Gender Identities</w:t>
      </w:r>
      <w:r w:rsidR="00230377" w:rsidRPr="00D3338D">
        <w:rPr>
          <w:rFonts w:eastAsia="Calibri"/>
        </w:rPr>
        <w:t xml:space="preserve">.  </w:t>
      </w:r>
    </w:p>
    <w:p w14:paraId="4E3EFA40" w14:textId="77777777" w:rsidR="00577DFB" w:rsidRDefault="00577DFB" w:rsidP="008A2B0F">
      <w:pPr>
        <w:spacing w:after="0" w:line="240" w:lineRule="auto"/>
        <w:rPr>
          <w:rFonts w:eastAsia="Calibri" w:cs="Times New Roman"/>
        </w:rPr>
      </w:pPr>
    </w:p>
    <w:p w14:paraId="61135811" w14:textId="77777777" w:rsidR="00577DFB" w:rsidRPr="00C5423F" w:rsidRDefault="00577DFB" w:rsidP="008A2B0F">
      <w:pPr>
        <w:tabs>
          <w:tab w:val="left" w:pos="0"/>
          <w:tab w:val="num" w:pos="720"/>
        </w:tabs>
        <w:spacing w:after="0" w:line="240" w:lineRule="auto"/>
        <w:rPr>
          <w:rFonts w:eastAsia="Times New Roman" w:cs="Times New Roman"/>
        </w:rPr>
      </w:pPr>
      <w:r w:rsidRPr="00862476">
        <w:rPr>
          <w:rFonts w:eastAsia="Times New Roman" w:cs="Times New Roman"/>
          <w:b/>
        </w:rPr>
        <w:t xml:space="preserve">Non-Binary: </w:t>
      </w:r>
      <w:r w:rsidRPr="00862476">
        <w:rPr>
          <w:rFonts w:eastAsia="Times New Roman" w:cs="Times New Roman"/>
        </w:rPr>
        <w:t xml:space="preserve">Individuals who do not identify their gender identity as </w:t>
      </w:r>
      <w:r w:rsidR="00BC5A0B">
        <w:rPr>
          <w:rFonts w:eastAsia="Times New Roman" w:cs="Times New Roman"/>
        </w:rPr>
        <w:t>male or female</w:t>
      </w:r>
      <w:r w:rsidRPr="00862476">
        <w:rPr>
          <w:rFonts w:eastAsia="Times New Roman" w:cs="Times New Roman"/>
        </w:rPr>
        <w:t xml:space="preserve">, but might identify as both </w:t>
      </w:r>
      <w:r w:rsidR="00BC5A0B">
        <w:rPr>
          <w:rFonts w:eastAsia="Times New Roman" w:cs="Times New Roman"/>
        </w:rPr>
        <w:t>male and female</w:t>
      </w:r>
      <w:r w:rsidRPr="00862476">
        <w:rPr>
          <w:rFonts w:eastAsia="Times New Roman" w:cs="Times New Roman"/>
        </w:rPr>
        <w:t xml:space="preserve">, an identity in between the spectrum of </w:t>
      </w:r>
      <w:r w:rsidR="00BC5A0B">
        <w:rPr>
          <w:rFonts w:eastAsia="Times New Roman" w:cs="Times New Roman"/>
        </w:rPr>
        <w:t>male and female</w:t>
      </w:r>
      <w:r w:rsidRPr="00862476">
        <w:rPr>
          <w:rFonts w:eastAsia="Times New Roman" w:cs="Times New Roman"/>
        </w:rPr>
        <w:t>, or completely outside of the spectrum of m</w:t>
      </w:r>
      <w:r w:rsidR="00BC5A0B">
        <w:rPr>
          <w:rFonts w:eastAsia="Times New Roman" w:cs="Times New Roman"/>
        </w:rPr>
        <w:t>ale or female</w:t>
      </w:r>
      <w:r w:rsidRPr="00862476">
        <w:rPr>
          <w:rFonts w:eastAsia="Times New Roman" w:cs="Times New Roman"/>
        </w:rPr>
        <w:t>. Non-binary individuals reject the idea that there are just two genders.  Other terms that often fall under this umbrella are genderqueer, gender fluid, agender, and many others.</w:t>
      </w:r>
    </w:p>
    <w:p w14:paraId="3E2676D1" w14:textId="77777777" w:rsidR="00EA50D6" w:rsidRPr="00EA50D6" w:rsidRDefault="00EA50D6" w:rsidP="008A2B0F">
      <w:pPr>
        <w:tabs>
          <w:tab w:val="left" w:pos="0"/>
          <w:tab w:val="num" w:pos="720"/>
        </w:tabs>
        <w:spacing w:after="0" w:line="240" w:lineRule="auto"/>
        <w:rPr>
          <w:rFonts w:eastAsia="Times New Roman" w:cs="Times New Roman"/>
          <w:b/>
        </w:rPr>
      </w:pPr>
    </w:p>
    <w:p w14:paraId="64A90651" w14:textId="77777777" w:rsidR="00EA50D6" w:rsidRDefault="00EA50D6" w:rsidP="008A2B0F">
      <w:pPr>
        <w:tabs>
          <w:tab w:val="left" w:pos="0"/>
          <w:tab w:val="num" w:pos="720"/>
        </w:tabs>
        <w:spacing w:after="0" w:line="240" w:lineRule="auto"/>
        <w:rPr>
          <w:rFonts w:eastAsia="Times New Roman" w:cs="Times New Roman"/>
        </w:rPr>
      </w:pPr>
      <w:r w:rsidRPr="00EA50D6">
        <w:rPr>
          <w:rFonts w:eastAsia="Times New Roman" w:cs="Times New Roman"/>
          <w:b/>
        </w:rPr>
        <w:t xml:space="preserve">Protected Category:  </w:t>
      </w:r>
      <w:r w:rsidRPr="00EA50D6">
        <w:rPr>
          <w:rFonts w:eastAsia="Times New Roman" w:cs="Arial"/>
          <w:color w:val="222222"/>
          <w:lang w:val="en"/>
        </w:rPr>
        <w:t xml:space="preserve">A group of people protected by law from discrimination or harassment based on their membership or association in the group.  Pursuant to M.G.L. 151B, </w:t>
      </w:r>
      <w:r w:rsidRPr="00EA50D6">
        <w:rPr>
          <w:rFonts w:eastAsia="Times New Roman" w:cs="Times New Roman"/>
        </w:rPr>
        <w:t>protected categories include race, color, religion, national origin, ethnicity, ancestry, age, disability, sexual orientation, gender identity, gender expression, intersex condition, military status, and criminal record (for employment applications only).</w:t>
      </w:r>
      <w:r w:rsidR="00FE7078">
        <w:rPr>
          <w:rFonts w:eastAsia="Times New Roman" w:cs="Times New Roman"/>
        </w:rPr>
        <w:t xml:space="preserve">  </w:t>
      </w:r>
    </w:p>
    <w:p w14:paraId="43643BD3" w14:textId="77777777" w:rsidR="00862476" w:rsidRPr="00EA50D6" w:rsidRDefault="00862476" w:rsidP="008A2B0F">
      <w:pPr>
        <w:tabs>
          <w:tab w:val="left" w:pos="0"/>
          <w:tab w:val="num" w:pos="720"/>
        </w:tabs>
        <w:spacing w:after="0" w:line="240" w:lineRule="auto"/>
        <w:rPr>
          <w:rFonts w:eastAsia="Times New Roman" w:cs="Times New Roman"/>
        </w:rPr>
      </w:pPr>
    </w:p>
    <w:p w14:paraId="7757E4CA" w14:textId="77777777" w:rsidR="00EA50D6" w:rsidRPr="00EA50D6" w:rsidRDefault="00EA50D6" w:rsidP="008A2B0F">
      <w:pPr>
        <w:tabs>
          <w:tab w:val="left" w:pos="0"/>
          <w:tab w:val="num" w:pos="720"/>
        </w:tabs>
        <w:spacing w:after="0" w:line="240" w:lineRule="auto"/>
        <w:rPr>
          <w:rFonts w:eastAsia="Times New Roman" w:cs="Times New Roman"/>
        </w:rPr>
      </w:pPr>
      <w:r w:rsidRPr="00EA50D6">
        <w:rPr>
          <w:rFonts w:eastAsia="Times New Roman" w:cs="Times New Roman"/>
          <w:b/>
        </w:rPr>
        <w:t>Sexual Orientation:</w:t>
      </w:r>
      <w:r w:rsidRPr="00EA50D6">
        <w:rPr>
          <w:rFonts w:eastAsia="Times New Roman" w:cs="Times New Roman"/>
        </w:rPr>
        <w:t xml:space="preserve">  A person’s emotional, romantic, and/or sexual attraction to persons of the same or different gender.</w:t>
      </w:r>
    </w:p>
    <w:p w14:paraId="01F1231B" w14:textId="77777777" w:rsidR="00EA50D6" w:rsidRPr="00EA50D6" w:rsidRDefault="00EA50D6" w:rsidP="00667562">
      <w:pPr>
        <w:spacing w:after="0" w:line="240" w:lineRule="auto"/>
        <w:rPr>
          <w:b/>
        </w:rPr>
      </w:pPr>
    </w:p>
    <w:p w14:paraId="1ADC70E4" w14:textId="77777777" w:rsidR="002B5249" w:rsidRPr="00EA50D6" w:rsidRDefault="002B5249" w:rsidP="00667562">
      <w:pPr>
        <w:spacing w:after="0" w:line="240" w:lineRule="auto"/>
      </w:pPr>
    </w:p>
    <w:p w14:paraId="15E3A982" w14:textId="77777777" w:rsidR="004B2F31" w:rsidRDefault="004B2F31" w:rsidP="00667562">
      <w:pPr>
        <w:spacing w:after="0" w:line="240" w:lineRule="auto"/>
        <w:rPr>
          <w:b/>
        </w:rPr>
      </w:pPr>
    </w:p>
    <w:p w14:paraId="59EAA010" w14:textId="77777777" w:rsidR="004B2F31" w:rsidRDefault="004B2F31" w:rsidP="00667562">
      <w:pPr>
        <w:spacing w:after="0" w:line="240" w:lineRule="auto"/>
        <w:rPr>
          <w:b/>
        </w:rPr>
      </w:pPr>
    </w:p>
    <w:p w14:paraId="190B7CBA" w14:textId="77777777" w:rsidR="004B2F31" w:rsidRDefault="004B2F31" w:rsidP="00667562">
      <w:pPr>
        <w:spacing w:after="0" w:line="240" w:lineRule="auto"/>
        <w:rPr>
          <w:b/>
        </w:rPr>
      </w:pPr>
    </w:p>
    <w:sectPr w:rsidR="004B2F31" w:rsidSect="00215DBD">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681D3" w14:textId="77777777" w:rsidR="00705A0B" w:rsidRDefault="00705A0B" w:rsidP="00971104">
      <w:pPr>
        <w:spacing w:after="0" w:line="240" w:lineRule="auto"/>
      </w:pPr>
      <w:r>
        <w:separator/>
      </w:r>
    </w:p>
  </w:endnote>
  <w:endnote w:type="continuationSeparator" w:id="0">
    <w:p w14:paraId="1E02595D" w14:textId="77777777" w:rsidR="00705A0B" w:rsidRDefault="00705A0B" w:rsidP="0097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CDA97" w14:textId="77777777" w:rsidR="0004674C" w:rsidRPr="0004674C" w:rsidRDefault="0004674C">
    <w:pPr>
      <w:pStyle w:val="Footer"/>
      <w:rPr>
        <w:sz w:val="28"/>
        <w:szCs w:val="28"/>
      </w:rPr>
    </w:pPr>
    <w:r w:rsidRPr="0004674C">
      <w:rPr>
        <w:sz w:val="28"/>
        <w:szCs w:val="28"/>
      </w:rPr>
      <w:t>_______________________________________________________</w:t>
    </w:r>
    <w:r>
      <w:rPr>
        <w:sz w:val="28"/>
        <w:szCs w:val="28"/>
      </w:rPr>
      <w:t>____________</w:t>
    </w:r>
  </w:p>
  <w:p w14:paraId="2FCA95EB" w14:textId="77777777" w:rsidR="00215DBD" w:rsidRPr="0004674C" w:rsidRDefault="00215DBD">
    <w:pPr>
      <w:pStyle w:val="Footer"/>
      <w:rPr>
        <w:sz w:val="18"/>
        <w:szCs w:val="18"/>
      </w:rPr>
    </w:pPr>
    <w:r w:rsidRPr="0004674C">
      <w:rPr>
        <w:sz w:val="18"/>
        <w:szCs w:val="18"/>
      </w:rPr>
      <w:t>DMH Guidelines for Implementation of Policy #21-01</w:t>
    </w:r>
    <w:r w:rsidRPr="0004674C">
      <w:rPr>
        <w:sz w:val="18"/>
        <w:szCs w:val="18"/>
      </w:rPr>
      <w:tab/>
    </w:r>
    <w:sdt>
      <w:sdtPr>
        <w:rPr>
          <w:sz w:val="18"/>
          <w:szCs w:val="18"/>
        </w:rPr>
        <w:id w:val="-1305921811"/>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r w:rsidR="0004674C">
              <w:rPr>
                <w:sz w:val="18"/>
                <w:szCs w:val="18"/>
              </w:rPr>
              <w:tab/>
            </w:r>
            <w:r w:rsidRPr="0004674C">
              <w:rPr>
                <w:sz w:val="18"/>
                <w:szCs w:val="18"/>
              </w:rPr>
              <w:t xml:space="preserve">Page </w:t>
            </w:r>
            <w:r w:rsidRPr="0004674C">
              <w:rPr>
                <w:b/>
                <w:bCs/>
                <w:sz w:val="18"/>
                <w:szCs w:val="18"/>
              </w:rPr>
              <w:fldChar w:fldCharType="begin"/>
            </w:r>
            <w:r w:rsidRPr="0004674C">
              <w:rPr>
                <w:b/>
                <w:bCs/>
                <w:sz w:val="18"/>
                <w:szCs w:val="18"/>
              </w:rPr>
              <w:instrText xml:space="preserve"> PAGE </w:instrText>
            </w:r>
            <w:r w:rsidRPr="0004674C">
              <w:rPr>
                <w:b/>
                <w:bCs/>
                <w:sz w:val="18"/>
                <w:szCs w:val="18"/>
              </w:rPr>
              <w:fldChar w:fldCharType="separate"/>
            </w:r>
            <w:r w:rsidR="0054121B">
              <w:rPr>
                <w:b/>
                <w:bCs/>
                <w:noProof/>
                <w:sz w:val="18"/>
                <w:szCs w:val="18"/>
              </w:rPr>
              <w:t>2</w:t>
            </w:r>
            <w:r w:rsidRPr="0004674C">
              <w:rPr>
                <w:b/>
                <w:bCs/>
                <w:sz w:val="18"/>
                <w:szCs w:val="18"/>
              </w:rPr>
              <w:fldChar w:fldCharType="end"/>
            </w:r>
            <w:r w:rsidRPr="0004674C">
              <w:rPr>
                <w:sz w:val="18"/>
                <w:szCs w:val="18"/>
              </w:rPr>
              <w:t xml:space="preserve"> of </w:t>
            </w:r>
            <w:r w:rsidRPr="0004674C">
              <w:rPr>
                <w:b/>
                <w:bCs/>
                <w:sz w:val="18"/>
                <w:szCs w:val="18"/>
              </w:rPr>
              <w:fldChar w:fldCharType="begin"/>
            </w:r>
            <w:r w:rsidRPr="0004674C">
              <w:rPr>
                <w:b/>
                <w:bCs/>
                <w:sz w:val="18"/>
                <w:szCs w:val="18"/>
              </w:rPr>
              <w:instrText xml:space="preserve"> NUMPAGES  </w:instrText>
            </w:r>
            <w:r w:rsidRPr="0004674C">
              <w:rPr>
                <w:b/>
                <w:bCs/>
                <w:sz w:val="18"/>
                <w:szCs w:val="18"/>
              </w:rPr>
              <w:fldChar w:fldCharType="separate"/>
            </w:r>
            <w:r w:rsidR="0054121B">
              <w:rPr>
                <w:b/>
                <w:bCs/>
                <w:noProof/>
                <w:sz w:val="18"/>
                <w:szCs w:val="18"/>
              </w:rPr>
              <w:t>9</w:t>
            </w:r>
            <w:r w:rsidRPr="0004674C">
              <w:rPr>
                <w:b/>
                <w:bCs/>
                <w:sz w:val="18"/>
                <w:szCs w:val="18"/>
              </w:rPr>
              <w:fldChar w:fldCharType="end"/>
            </w:r>
          </w:sdtContent>
        </w:sdt>
      </w:sdtContent>
    </w:sdt>
  </w:p>
  <w:p w14:paraId="09E621A8" w14:textId="77777777" w:rsidR="00762A42" w:rsidRPr="0004674C" w:rsidRDefault="0004674C">
    <w:pPr>
      <w:pStyle w:val="Footer"/>
      <w:rPr>
        <w:sz w:val="18"/>
        <w:szCs w:val="18"/>
      </w:rPr>
    </w:pPr>
    <w:r w:rsidRPr="0004674C">
      <w:rPr>
        <w:sz w:val="18"/>
        <w:szCs w:val="18"/>
      </w:rPr>
      <w:t>August</w:t>
    </w:r>
    <w:r w:rsidR="00215DBD" w:rsidRPr="0004674C">
      <w:rPr>
        <w:sz w:val="18"/>
        <w:szCs w:val="18"/>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35CF0" w14:textId="77777777" w:rsidR="00705A0B" w:rsidRDefault="00705A0B" w:rsidP="00971104">
      <w:pPr>
        <w:spacing w:after="0" w:line="240" w:lineRule="auto"/>
      </w:pPr>
      <w:r>
        <w:separator/>
      </w:r>
    </w:p>
  </w:footnote>
  <w:footnote w:type="continuationSeparator" w:id="0">
    <w:p w14:paraId="139A71E5" w14:textId="77777777" w:rsidR="00705A0B" w:rsidRDefault="00705A0B" w:rsidP="00971104">
      <w:pPr>
        <w:spacing w:after="0" w:line="240" w:lineRule="auto"/>
      </w:pPr>
      <w:r>
        <w:continuationSeparator/>
      </w:r>
    </w:p>
  </w:footnote>
  <w:footnote w:id="1">
    <w:p w14:paraId="708729D7" w14:textId="77777777" w:rsidR="00762A42" w:rsidRPr="00971104" w:rsidRDefault="00762A42" w:rsidP="005A4DFC">
      <w:pPr>
        <w:spacing w:after="0" w:line="240" w:lineRule="auto"/>
      </w:pPr>
      <w:r>
        <w:rPr>
          <w:rStyle w:val="FootnoteReference"/>
        </w:rPr>
        <w:footnoteRef/>
      </w:r>
      <w:r>
        <w:t xml:space="preserve"> The Glossary at the end of these Guidelines includes definitions of commonly used terms that are used in the Policy and Guidelines. </w:t>
      </w:r>
    </w:p>
    <w:p w14:paraId="0C5D1A3D" w14:textId="77777777" w:rsidR="00762A42" w:rsidRDefault="00762A42">
      <w:pPr>
        <w:pStyle w:val="FootnoteText"/>
      </w:pPr>
    </w:p>
  </w:footnote>
  <w:footnote w:id="2">
    <w:p w14:paraId="6AC456D2" w14:textId="77777777" w:rsidR="00762A42" w:rsidRDefault="00762A42">
      <w:pPr>
        <w:pStyle w:val="FootnoteText"/>
      </w:pPr>
      <w:r>
        <w:rPr>
          <w:rStyle w:val="FootnoteReference"/>
        </w:rPr>
        <w:footnoteRef/>
      </w:r>
      <w:r>
        <w:t xml:space="preserve"> See section on “Special Considerations when Working with Children, Youth, and Families”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19AE" w14:textId="77777777" w:rsidR="00762A42" w:rsidRDefault="0076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7069"/>
    <w:multiLevelType w:val="hybridMultilevel"/>
    <w:tmpl w:val="5A445AB6"/>
    <w:lvl w:ilvl="0" w:tplc="CF70A0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D7228"/>
    <w:multiLevelType w:val="hybridMultilevel"/>
    <w:tmpl w:val="6872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9417F2"/>
    <w:multiLevelType w:val="hybridMultilevel"/>
    <w:tmpl w:val="8A508D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F934B3"/>
    <w:multiLevelType w:val="hybridMultilevel"/>
    <w:tmpl w:val="E7485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A7A6D"/>
    <w:multiLevelType w:val="hybridMultilevel"/>
    <w:tmpl w:val="A716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A29AC"/>
    <w:multiLevelType w:val="hybridMultilevel"/>
    <w:tmpl w:val="A768C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262C0"/>
    <w:multiLevelType w:val="hybridMultilevel"/>
    <w:tmpl w:val="3788E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5251AE"/>
    <w:multiLevelType w:val="hybridMultilevel"/>
    <w:tmpl w:val="774AA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CD4970"/>
    <w:multiLevelType w:val="hybridMultilevel"/>
    <w:tmpl w:val="67FA7792"/>
    <w:lvl w:ilvl="0" w:tplc="7D50C4E4">
      <w:start w:val="2"/>
      <w:numFmt w:val="decimal"/>
      <w:lvlText w:val="%1."/>
      <w:lvlJc w:val="left"/>
      <w:pPr>
        <w:tabs>
          <w:tab w:val="num" w:pos="720"/>
        </w:tabs>
        <w:ind w:left="720" w:hanging="360"/>
      </w:pPr>
      <w:rPr>
        <w:rFonts w:hint="default"/>
        <w:b/>
      </w:rPr>
    </w:lvl>
    <w:lvl w:ilvl="1" w:tplc="E55204E4">
      <w:start w:val="5"/>
      <w:numFmt w:val="upp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D7460C"/>
    <w:multiLevelType w:val="hybridMultilevel"/>
    <w:tmpl w:val="C122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8423A"/>
    <w:multiLevelType w:val="hybridMultilevel"/>
    <w:tmpl w:val="5D5C0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049FA"/>
    <w:multiLevelType w:val="hybridMultilevel"/>
    <w:tmpl w:val="E0549B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7472DC9"/>
    <w:multiLevelType w:val="hybridMultilevel"/>
    <w:tmpl w:val="524EE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B215CB"/>
    <w:multiLevelType w:val="hybridMultilevel"/>
    <w:tmpl w:val="3B46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B62388"/>
    <w:multiLevelType w:val="hybridMultilevel"/>
    <w:tmpl w:val="45461BA8"/>
    <w:lvl w:ilvl="0" w:tplc="C95A3464">
      <w:start w:val="2"/>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1C633FEF"/>
    <w:multiLevelType w:val="hybridMultilevel"/>
    <w:tmpl w:val="C6C0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434BA"/>
    <w:multiLevelType w:val="hybridMultilevel"/>
    <w:tmpl w:val="5206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80824"/>
    <w:multiLevelType w:val="hybridMultilevel"/>
    <w:tmpl w:val="1F9E4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95C74A9"/>
    <w:multiLevelType w:val="hybridMultilevel"/>
    <w:tmpl w:val="F93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A0AC3"/>
    <w:multiLevelType w:val="hybridMultilevel"/>
    <w:tmpl w:val="ABAC84AA"/>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F3F1B"/>
    <w:multiLevelType w:val="hybridMultilevel"/>
    <w:tmpl w:val="D5745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A934F4"/>
    <w:multiLevelType w:val="hybridMultilevel"/>
    <w:tmpl w:val="505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C51E8"/>
    <w:multiLevelType w:val="hybridMultilevel"/>
    <w:tmpl w:val="6F963D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F0AC4"/>
    <w:multiLevelType w:val="hybridMultilevel"/>
    <w:tmpl w:val="79A2B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D966FF"/>
    <w:multiLevelType w:val="hybridMultilevel"/>
    <w:tmpl w:val="CDC816EC"/>
    <w:lvl w:ilvl="0" w:tplc="A08C8828">
      <w:start w:val="2"/>
      <w:numFmt w:val="decimal"/>
      <w:lvlText w:val="%1."/>
      <w:lvlJc w:val="left"/>
      <w:pPr>
        <w:tabs>
          <w:tab w:val="num" w:pos="1080"/>
        </w:tabs>
        <w:ind w:left="1080" w:hanging="360"/>
      </w:pPr>
      <w:rPr>
        <w:rFonts w:hint="default"/>
        <w:b w:val="0"/>
      </w:rPr>
    </w:lvl>
    <w:lvl w:ilvl="1" w:tplc="E8A812F6">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CF77A1"/>
    <w:multiLevelType w:val="hybridMultilevel"/>
    <w:tmpl w:val="60E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47113"/>
    <w:multiLevelType w:val="hybridMultilevel"/>
    <w:tmpl w:val="83C47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FD2DFA"/>
    <w:multiLevelType w:val="hybridMultilevel"/>
    <w:tmpl w:val="274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F1915"/>
    <w:multiLevelType w:val="hybridMultilevel"/>
    <w:tmpl w:val="04E6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E399A"/>
    <w:multiLevelType w:val="hybridMultilevel"/>
    <w:tmpl w:val="6C48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E345B"/>
    <w:multiLevelType w:val="hybridMultilevel"/>
    <w:tmpl w:val="6AF82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D331CC"/>
    <w:multiLevelType w:val="hybridMultilevel"/>
    <w:tmpl w:val="D6D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D7C3C"/>
    <w:multiLevelType w:val="hybridMultilevel"/>
    <w:tmpl w:val="E3B6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C90034"/>
    <w:multiLevelType w:val="hybridMultilevel"/>
    <w:tmpl w:val="DBD0465E"/>
    <w:lvl w:ilvl="0" w:tplc="0E542FFC">
      <w:start w:val="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ACA855E6">
      <w:start w:val="1"/>
      <w:numFmt w:val="decimal"/>
      <w:lvlText w:val="%3."/>
      <w:lvlJc w:val="left"/>
      <w:pPr>
        <w:tabs>
          <w:tab w:val="num" w:pos="2700"/>
        </w:tabs>
        <w:ind w:left="2700" w:hanging="360"/>
      </w:pPr>
      <w:rPr>
        <w:rFonts w:hint="default"/>
      </w:rPr>
    </w:lvl>
    <w:lvl w:ilvl="3" w:tplc="FA5AE4E0">
      <w:start w:val="2"/>
      <w:numFmt w:val="lowerLetter"/>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380526"/>
    <w:multiLevelType w:val="hybridMultilevel"/>
    <w:tmpl w:val="CF6C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22AFC"/>
    <w:multiLevelType w:val="hybridMultilevel"/>
    <w:tmpl w:val="F8241490"/>
    <w:lvl w:ilvl="0" w:tplc="2F289210">
      <w:start w:val="3"/>
      <w:numFmt w:val="decimal"/>
      <w:lvlText w:val="%1."/>
      <w:lvlJc w:val="left"/>
      <w:pPr>
        <w:tabs>
          <w:tab w:val="num" w:pos="2700"/>
        </w:tabs>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B12C8"/>
    <w:multiLevelType w:val="hybridMultilevel"/>
    <w:tmpl w:val="87CE8B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1F40E89"/>
    <w:multiLevelType w:val="hybridMultilevel"/>
    <w:tmpl w:val="18D4C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A4F4A"/>
    <w:multiLevelType w:val="hybridMultilevel"/>
    <w:tmpl w:val="02FE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F1FE5"/>
    <w:multiLevelType w:val="hybridMultilevel"/>
    <w:tmpl w:val="EE28169A"/>
    <w:lvl w:ilvl="0" w:tplc="AC7C81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077621"/>
    <w:multiLevelType w:val="hybridMultilevel"/>
    <w:tmpl w:val="3E0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72301"/>
    <w:multiLevelType w:val="hybridMultilevel"/>
    <w:tmpl w:val="2E3E5B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A1876B6"/>
    <w:multiLevelType w:val="hybridMultilevel"/>
    <w:tmpl w:val="075CCC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57BD3"/>
    <w:multiLevelType w:val="hybridMultilevel"/>
    <w:tmpl w:val="03120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4C5F04"/>
    <w:multiLevelType w:val="hybridMultilevel"/>
    <w:tmpl w:val="D56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80C54"/>
    <w:multiLevelType w:val="hybridMultilevel"/>
    <w:tmpl w:val="42C03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E263B"/>
    <w:multiLevelType w:val="hybridMultilevel"/>
    <w:tmpl w:val="CE72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801B1"/>
    <w:multiLevelType w:val="hybridMultilevel"/>
    <w:tmpl w:val="460E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8"/>
  </w:num>
  <w:num w:numId="4">
    <w:abstractNumId w:val="11"/>
  </w:num>
  <w:num w:numId="5">
    <w:abstractNumId w:val="41"/>
  </w:num>
  <w:num w:numId="6">
    <w:abstractNumId w:val="14"/>
  </w:num>
  <w:num w:numId="7">
    <w:abstractNumId w:val="35"/>
  </w:num>
  <w:num w:numId="8">
    <w:abstractNumId w:val="39"/>
  </w:num>
  <w:num w:numId="9">
    <w:abstractNumId w:val="0"/>
  </w:num>
  <w:num w:numId="10">
    <w:abstractNumId w:val="12"/>
  </w:num>
  <w:num w:numId="11">
    <w:abstractNumId w:val="47"/>
  </w:num>
  <w:num w:numId="12">
    <w:abstractNumId w:val="20"/>
  </w:num>
  <w:num w:numId="13">
    <w:abstractNumId w:val="36"/>
  </w:num>
  <w:num w:numId="14">
    <w:abstractNumId w:val="1"/>
  </w:num>
  <w:num w:numId="15">
    <w:abstractNumId w:val="22"/>
  </w:num>
  <w:num w:numId="16">
    <w:abstractNumId w:val="18"/>
  </w:num>
  <w:num w:numId="17">
    <w:abstractNumId w:val="31"/>
  </w:num>
  <w:num w:numId="18">
    <w:abstractNumId w:val="13"/>
  </w:num>
  <w:num w:numId="19">
    <w:abstractNumId w:val="16"/>
  </w:num>
  <w:num w:numId="20">
    <w:abstractNumId w:val="29"/>
  </w:num>
  <w:num w:numId="21">
    <w:abstractNumId w:val="27"/>
  </w:num>
  <w:num w:numId="22">
    <w:abstractNumId w:val="9"/>
  </w:num>
  <w:num w:numId="23">
    <w:abstractNumId w:val="15"/>
  </w:num>
  <w:num w:numId="24">
    <w:abstractNumId w:val="37"/>
  </w:num>
  <w:num w:numId="25">
    <w:abstractNumId w:val="45"/>
  </w:num>
  <w:num w:numId="26">
    <w:abstractNumId w:val="34"/>
  </w:num>
  <w:num w:numId="27">
    <w:abstractNumId w:val="19"/>
  </w:num>
  <w:num w:numId="28">
    <w:abstractNumId w:val="10"/>
  </w:num>
  <w:num w:numId="29">
    <w:abstractNumId w:val="38"/>
  </w:num>
  <w:num w:numId="30">
    <w:abstractNumId w:val="42"/>
  </w:num>
  <w:num w:numId="31">
    <w:abstractNumId w:val="44"/>
  </w:num>
  <w:num w:numId="32">
    <w:abstractNumId w:val="3"/>
  </w:num>
  <w:num w:numId="33">
    <w:abstractNumId w:val="3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0"/>
  </w:num>
  <w:num w:numId="37">
    <w:abstractNumId w:val="26"/>
  </w:num>
  <w:num w:numId="38">
    <w:abstractNumId w:val="2"/>
  </w:num>
  <w:num w:numId="39">
    <w:abstractNumId w:val="25"/>
  </w:num>
  <w:num w:numId="40">
    <w:abstractNumId w:val="46"/>
  </w:num>
  <w:num w:numId="41">
    <w:abstractNumId w:val="5"/>
  </w:num>
  <w:num w:numId="42">
    <w:abstractNumId w:val="21"/>
  </w:num>
  <w:num w:numId="43">
    <w:abstractNumId w:val="28"/>
  </w:num>
  <w:num w:numId="44">
    <w:abstractNumId w:val="4"/>
  </w:num>
  <w:num w:numId="45">
    <w:abstractNumId w:val="43"/>
  </w:num>
  <w:num w:numId="46">
    <w:abstractNumId w:val="6"/>
  </w:num>
  <w:num w:numId="47">
    <w:abstractNumId w:val="2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62"/>
    <w:rsid w:val="00000078"/>
    <w:rsid w:val="000145BA"/>
    <w:rsid w:val="00016F67"/>
    <w:rsid w:val="000268ED"/>
    <w:rsid w:val="000360C1"/>
    <w:rsid w:val="00036E46"/>
    <w:rsid w:val="000404FB"/>
    <w:rsid w:val="000450B5"/>
    <w:rsid w:val="0004674C"/>
    <w:rsid w:val="00047155"/>
    <w:rsid w:val="00050FA2"/>
    <w:rsid w:val="00051015"/>
    <w:rsid w:val="00053F54"/>
    <w:rsid w:val="000541BE"/>
    <w:rsid w:val="00066A94"/>
    <w:rsid w:val="000741AE"/>
    <w:rsid w:val="0007723E"/>
    <w:rsid w:val="00092DCB"/>
    <w:rsid w:val="00093E91"/>
    <w:rsid w:val="0009459B"/>
    <w:rsid w:val="000953CD"/>
    <w:rsid w:val="000A4183"/>
    <w:rsid w:val="000A7B66"/>
    <w:rsid w:val="000B4BFF"/>
    <w:rsid w:val="000B72F6"/>
    <w:rsid w:val="000C1206"/>
    <w:rsid w:val="000C4B3B"/>
    <w:rsid w:val="000C6B10"/>
    <w:rsid w:val="000D03AA"/>
    <w:rsid w:val="000D05EE"/>
    <w:rsid w:val="000D39AE"/>
    <w:rsid w:val="000E29C2"/>
    <w:rsid w:val="000F0FD4"/>
    <w:rsid w:val="000F1940"/>
    <w:rsid w:val="00100214"/>
    <w:rsid w:val="00100253"/>
    <w:rsid w:val="00106E5B"/>
    <w:rsid w:val="0011739C"/>
    <w:rsid w:val="00117900"/>
    <w:rsid w:val="00120BC4"/>
    <w:rsid w:val="00130AE0"/>
    <w:rsid w:val="00130B5E"/>
    <w:rsid w:val="00135589"/>
    <w:rsid w:val="001356B3"/>
    <w:rsid w:val="00150EC0"/>
    <w:rsid w:val="00155D1D"/>
    <w:rsid w:val="00165A5E"/>
    <w:rsid w:val="00166D75"/>
    <w:rsid w:val="00172163"/>
    <w:rsid w:val="00176DB6"/>
    <w:rsid w:val="00182FAA"/>
    <w:rsid w:val="0018489A"/>
    <w:rsid w:val="00193CE4"/>
    <w:rsid w:val="00195C83"/>
    <w:rsid w:val="00196A32"/>
    <w:rsid w:val="001970A9"/>
    <w:rsid w:val="001A77A1"/>
    <w:rsid w:val="001B0A5F"/>
    <w:rsid w:val="001B5882"/>
    <w:rsid w:val="001B7561"/>
    <w:rsid w:val="001C13AF"/>
    <w:rsid w:val="001C1515"/>
    <w:rsid w:val="001C3616"/>
    <w:rsid w:val="001D5ABD"/>
    <w:rsid w:val="001E0E2F"/>
    <w:rsid w:val="001E7147"/>
    <w:rsid w:val="001E7A9B"/>
    <w:rsid w:val="001F0B37"/>
    <w:rsid w:val="001F160C"/>
    <w:rsid w:val="001F35A3"/>
    <w:rsid w:val="001F4747"/>
    <w:rsid w:val="00202010"/>
    <w:rsid w:val="00202F33"/>
    <w:rsid w:val="00204102"/>
    <w:rsid w:val="002063D6"/>
    <w:rsid w:val="00210D49"/>
    <w:rsid w:val="002112C8"/>
    <w:rsid w:val="00211765"/>
    <w:rsid w:val="00215DBD"/>
    <w:rsid w:val="0022212A"/>
    <w:rsid w:val="00226D1E"/>
    <w:rsid w:val="00230377"/>
    <w:rsid w:val="002303D9"/>
    <w:rsid w:val="0023086D"/>
    <w:rsid w:val="00236A28"/>
    <w:rsid w:val="002529C6"/>
    <w:rsid w:val="00252BDB"/>
    <w:rsid w:val="00262150"/>
    <w:rsid w:val="002655B8"/>
    <w:rsid w:val="002679B4"/>
    <w:rsid w:val="00280102"/>
    <w:rsid w:val="00283ED6"/>
    <w:rsid w:val="002864D6"/>
    <w:rsid w:val="002962EF"/>
    <w:rsid w:val="002A262D"/>
    <w:rsid w:val="002A670C"/>
    <w:rsid w:val="002A6833"/>
    <w:rsid w:val="002B3D88"/>
    <w:rsid w:val="002B5249"/>
    <w:rsid w:val="002C3059"/>
    <w:rsid w:val="002C3FCC"/>
    <w:rsid w:val="002C6106"/>
    <w:rsid w:val="002D2326"/>
    <w:rsid w:val="002D7DD3"/>
    <w:rsid w:val="002F3216"/>
    <w:rsid w:val="002F45DF"/>
    <w:rsid w:val="002F77B0"/>
    <w:rsid w:val="00300E5B"/>
    <w:rsid w:val="00303042"/>
    <w:rsid w:val="00304723"/>
    <w:rsid w:val="003054B2"/>
    <w:rsid w:val="00314AD0"/>
    <w:rsid w:val="00320CB9"/>
    <w:rsid w:val="00321778"/>
    <w:rsid w:val="00325A9E"/>
    <w:rsid w:val="00337605"/>
    <w:rsid w:val="00342614"/>
    <w:rsid w:val="003437F2"/>
    <w:rsid w:val="0034761A"/>
    <w:rsid w:val="00350934"/>
    <w:rsid w:val="003521EA"/>
    <w:rsid w:val="00356C2B"/>
    <w:rsid w:val="00363FAD"/>
    <w:rsid w:val="00366D9F"/>
    <w:rsid w:val="003717BD"/>
    <w:rsid w:val="003725DC"/>
    <w:rsid w:val="0037594F"/>
    <w:rsid w:val="00376B20"/>
    <w:rsid w:val="003802A1"/>
    <w:rsid w:val="00382517"/>
    <w:rsid w:val="003840A1"/>
    <w:rsid w:val="0038460F"/>
    <w:rsid w:val="003A48BD"/>
    <w:rsid w:val="003B1842"/>
    <w:rsid w:val="003D6E43"/>
    <w:rsid w:val="003E068F"/>
    <w:rsid w:val="003F5DFE"/>
    <w:rsid w:val="003F6258"/>
    <w:rsid w:val="00404D8A"/>
    <w:rsid w:val="004160A7"/>
    <w:rsid w:val="0041679A"/>
    <w:rsid w:val="00425D7B"/>
    <w:rsid w:val="00435642"/>
    <w:rsid w:val="00437866"/>
    <w:rsid w:val="00440028"/>
    <w:rsid w:val="00441EAF"/>
    <w:rsid w:val="00443580"/>
    <w:rsid w:val="00447752"/>
    <w:rsid w:val="00456945"/>
    <w:rsid w:val="00456D04"/>
    <w:rsid w:val="00460453"/>
    <w:rsid w:val="00464401"/>
    <w:rsid w:val="0046526C"/>
    <w:rsid w:val="0046618A"/>
    <w:rsid w:val="00470D7A"/>
    <w:rsid w:val="00480CF8"/>
    <w:rsid w:val="004956E6"/>
    <w:rsid w:val="0049634A"/>
    <w:rsid w:val="004A2685"/>
    <w:rsid w:val="004A33AE"/>
    <w:rsid w:val="004A692E"/>
    <w:rsid w:val="004A783E"/>
    <w:rsid w:val="004B1D3F"/>
    <w:rsid w:val="004B2F31"/>
    <w:rsid w:val="004C2170"/>
    <w:rsid w:val="004C6466"/>
    <w:rsid w:val="004E04E2"/>
    <w:rsid w:val="004E1D5D"/>
    <w:rsid w:val="004E4C72"/>
    <w:rsid w:val="004E6884"/>
    <w:rsid w:val="004F64CA"/>
    <w:rsid w:val="004F6CFE"/>
    <w:rsid w:val="00500EAF"/>
    <w:rsid w:val="00502350"/>
    <w:rsid w:val="0050602A"/>
    <w:rsid w:val="005103BA"/>
    <w:rsid w:val="005206F0"/>
    <w:rsid w:val="005273D7"/>
    <w:rsid w:val="005366FC"/>
    <w:rsid w:val="0054121B"/>
    <w:rsid w:val="00544EFC"/>
    <w:rsid w:val="005615A3"/>
    <w:rsid w:val="005736C0"/>
    <w:rsid w:val="00577DFB"/>
    <w:rsid w:val="005800C2"/>
    <w:rsid w:val="00593C42"/>
    <w:rsid w:val="0059674C"/>
    <w:rsid w:val="005A4DFC"/>
    <w:rsid w:val="005B044C"/>
    <w:rsid w:val="005C7F59"/>
    <w:rsid w:val="005D7492"/>
    <w:rsid w:val="005D75CF"/>
    <w:rsid w:val="005F41D0"/>
    <w:rsid w:val="00600D17"/>
    <w:rsid w:val="006113F1"/>
    <w:rsid w:val="00612CE8"/>
    <w:rsid w:val="00613A01"/>
    <w:rsid w:val="0062345D"/>
    <w:rsid w:val="00633067"/>
    <w:rsid w:val="0063307D"/>
    <w:rsid w:val="0063672C"/>
    <w:rsid w:val="00641024"/>
    <w:rsid w:val="00667562"/>
    <w:rsid w:val="00677015"/>
    <w:rsid w:val="006775FE"/>
    <w:rsid w:val="006838BB"/>
    <w:rsid w:val="00684D45"/>
    <w:rsid w:val="00685D2F"/>
    <w:rsid w:val="006A3181"/>
    <w:rsid w:val="006A4C7C"/>
    <w:rsid w:val="006A689B"/>
    <w:rsid w:val="006A7AA5"/>
    <w:rsid w:val="006B2D64"/>
    <w:rsid w:val="006B3A1A"/>
    <w:rsid w:val="006B5694"/>
    <w:rsid w:val="006C4291"/>
    <w:rsid w:val="006D2997"/>
    <w:rsid w:val="006E191C"/>
    <w:rsid w:val="006E340D"/>
    <w:rsid w:val="006E3A3C"/>
    <w:rsid w:val="006F5166"/>
    <w:rsid w:val="006F5C6A"/>
    <w:rsid w:val="00701092"/>
    <w:rsid w:val="00705A0B"/>
    <w:rsid w:val="007079B6"/>
    <w:rsid w:val="00707A79"/>
    <w:rsid w:val="00710CF7"/>
    <w:rsid w:val="007137A3"/>
    <w:rsid w:val="00714D5B"/>
    <w:rsid w:val="00726A04"/>
    <w:rsid w:val="00740A6D"/>
    <w:rsid w:val="007546DC"/>
    <w:rsid w:val="00757C50"/>
    <w:rsid w:val="0076041B"/>
    <w:rsid w:val="007626F3"/>
    <w:rsid w:val="00762A42"/>
    <w:rsid w:val="00762C23"/>
    <w:rsid w:val="007637DB"/>
    <w:rsid w:val="007818EA"/>
    <w:rsid w:val="00782262"/>
    <w:rsid w:val="0078341C"/>
    <w:rsid w:val="00786072"/>
    <w:rsid w:val="00790C28"/>
    <w:rsid w:val="00792437"/>
    <w:rsid w:val="00792467"/>
    <w:rsid w:val="007A0797"/>
    <w:rsid w:val="007A0E59"/>
    <w:rsid w:val="007A6601"/>
    <w:rsid w:val="007A688A"/>
    <w:rsid w:val="007C5BE5"/>
    <w:rsid w:val="007D6D8A"/>
    <w:rsid w:val="007D7693"/>
    <w:rsid w:val="007E0062"/>
    <w:rsid w:val="007E405B"/>
    <w:rsid w:val="00816598"/>
    <w:rsid w:val="00824254"/>
    <w:rsid w:val="00827532"/>
    <w:rsid w:val="0083344C"/>
    <w:rsid w:val="008340A5"/>
    <w:rsid w:val="00854882"/>
    <w:rsid w:val="008605DB"/>
    <w:rsid w:val="00862476"/>
    <w:rsid w:val="0086259C"/>
    <w:rsid w:val="008626BF"/>
    <w:rsid w:val="008635F4"/>
    <w:rsid w:val="0086430F"/>
    <w:rsid w:val="00881808"/>
    <w:rsid w:val="00894461"/>
    <w:rsid w:val="008A2B0F"/>
    <w:rsid w:val="008A6E38"/>
    <w:rsid w:val="008B3AF8"/>
    <w:rsid w:val="008C74E5"/>
    <w:rsid w:val="008D306B"/>
    <w:rsid w:val="008D6ECC"/>
    <w:rsid w:val="008F01AB"/>
    <w:rsid w:val="008F1ED6"/>
    <w:rsid w:val="008F3225"/>
    <w:rsid w:val="008F3E14"/>
    <w:rsid w:val="008F7146"/>
    <w:rsid w:val="00905EC5"/>
    <w:rsid w:val="00907AEF"/>
    <w:rsid w:val="00912341"/>
    <w:rsid w:val="0091338A"/>
    <w:rsid w:val="00917C84"/>
    <w:rsid w:val="009271F4"/>
    <w:rsid w:val="00951763"/>
    <w:rsid w:val="009519F5"/>
    <w:rsid w:val="00953171"/>
    <w:rsid w:val="0095343E"/>
    <w:rsid w:val="009563D6"/>
    <w:rsid w:val="00964E02"/>
    <w:rsid w:val="00971104"/>
    <w:rsid w:val="00973EF4"/>
    <w:rsid w:val="00974426"/>
    <w:rsid w:val="009748EA"/>
    <w:rsid w:val="00982EC3"/>
    <w:rsid w:val="00997367"/>
    <w:rsid w:val="009A3C56"/>
    <w:rsid w:val="009A5CD7"/>
    <w:rsid w:val="009B06C7"/>
    <w:rsid w:val="009B6DE6"/>
    <w:rsid w:val="009C70D9"/>
    <w:rsid w:val="009D35D0"/>
    <w:rsid w:val="009D7815"/>
    <w:rsid w:val="009E7578"/>
    <w:rsid w:val="009F2744"/>
    <w:rsid w:val="00A0288F"/>
    <w:rsid w:val="00A07E41"/>
    <w:rsid w:val="00A210BE"/>
    <w:rsid w:val="00A24416"/>
    <w:rsid w:val="00A451B2"/>
    <w:rsid w:val="00A61A5C"/>
    <w:rsid w:val="00A61BE5"/>
    <w:rsid w:val="00A72BEB"/>
    <w:rsid w:val="00A748F1"/>
    <w:rsid w:val="00A90CA5"/>
    <w:rsid w:val="00A953C5"/>
    <w:rsid w:val="00AA50C6"/>
    <w:rsid w:val="00AB0B47"/>
    <w:rsid w:val="00AC4E89"/>
    <w:rsid w:val="00AC5CFA"/>
    <w:rsid w:val="00AE740B"/>
    <w:rsid w:val="00AE78D3"/>
    <w:rsid w:val="00AE7E9E"/>
    <w:rsid w:val="00AF6E64"/>
    <w:rsid w:val="00B07B65"/>
    <w:rsid w:val="00B11E6B"/>
    <w:rsid w:val="00B12AC0"/>
    <w:rsid w:val="00B26E82"/>
    <w:rsid w:val="00B33B5D"/>
    <w:rsid w:val="00B354FB"/>
    <w:rsid w:val="00B36A7A"/>
    <w:rsid w:val="00B41FE8"/>
    <w:rsid w:val="00B44932"/>
    <w:rsid w:val="00B44E8D"/>
    <w:rsid w:val="00B45F55"/>
    <w:rsid w:val="00B63ECB"/>
    <w:rsid w:val="00B832EF"/>
    <w:rsid w:val="00B911BA"/>
    <w:rsid w:val="00B9382A"/>
    <w:rsid w:val="00B97388"/>
    <w:rsid w:val="00BB183E"/>
    <w:rsid w:val="00BB5F5A"/>
    <w:rsid w:val="00BC5A0B"/>
    <w:rsid w:val="00BD282E"/>
    <w:rsid w:val="00BD45ED"/>
    <w:rsid w:val="00BD5D60"/>
    <w:rsid w:val="00BD6103"/>
    <w:rsid w:val="00BD748E"/>
    <w:rsid w:val="00BF5F9F"/>
    <w:rsid w:val="00C020E7"/>
    <w:rsid w:val="00C027BF"/>
    <w:rsid w:val="00C14696"/>
    <w:rsid w:val="00C26DCD"/>
    <w:rsid w:val="00C30F98"/>
    <w:rsid w:val="00C34521"/>
    <w:rsid w:val="00C34DAA"/>
    <w:rsid w:val="00C45880"/>
    <w:rsid w:val="00C46A4D"/>
    <w:rsid w:val="00C5007E"/>
    <w:rsid w:val="00C553E0"/>
    <w:rsid w:val="00C573F9"/>
    <w:rsid w:val="00C63755"/>
    <w:rsid w:val="00C73BFA"/>
    <w:rsid w:val="00C75A5B"/>
    <w:rsid w:val="00C75D02"/>
    <w:rsid w:val="00C90C80"/>
    <w:rsid w:val="00C91790"/>
    <w:rsid w:val="00C928B8"/>
    <w:rsid w:val="00CA278D"/>
    <w:rsid w:val="00CA2CE6"/>
    <w:rsid w:val="00CA54B5"/>
    <w:rsid w:val="00CA7C24"/>
    <w:rsid w:val="00CB3801"/>
    <w:rsid w:val="00CB4CCB"/>
    <w:rsid w:val="00CB5CD1"/>
    <w:rsid w:val="00CE173E"/>
    <w:rsid w:val="00CE2521"/>
    <w:rsid w:val="00CE3C3B"/>
    <w:rsid w:val="00CE60A8"/>
    <w:rsid w:val="00D055FF"/>
    <w:rsid w:val="00D068F0"/>
    <w:rsid w:val="00D25759"/>
    <w:rsid w:val="00D26B31"/>
    <w:rsid w:val="00D31B06"/>
    <w:rsid w:val="00D33511"/>
    <w:rsid w:val="00D3388E"/>
    <w:rsid w:val="00D3438A"/>
    <w:rsid w:val="00D4303A"/>
    <w:rsid w:val="00D44E2F"/>
    <w:rsid w:val="00D46943"/>
    <w:rsid w:val="00D533AF"/>
    <w:rsid w:val="00D7168E"/>
    <w:rsid w:val="00D72FD2"/>
    <w:rsid w:val="00D75BFC"/>
    <w:rsid w:val="00D76A2E"/>
    <w:rsid w:val="00D80FE1"/>
    <w:rsid w:val="00D86515"/>
    <w:rsid w:val="00D90C0B"/>
    <w:rsid w:val="00DA492C"/>
    <w:rsid w:val="00DB3EB2"/>
    <w:rsid w:val="00DB456D"/>
    <w:rsid w:val="00DB6F68"/>
    <w:rsid w:val="00DC2B94"/>
    <w:rsid w:val="00DC48FA"/>
    <w:rsid w:val="00DD351B"/>
    <w:rsid w:val="00DE39C0"/>
    <w:rsid w:val="00E06783"/>
    <w:rsid w:val="00E26C60"/>
    <w:rsid w:val="00E41597"/>
    <w:rsid w:val="00E41B7B"/>
    <w:rsid w:val="00E445FD"/>
    <w:rsid w:val="00E5196D"/>
    <w:rsid w:val="00E61423"/>
    <w:rsid w:val="00E64B74"/>
    <w:rsid w:val="00E673D3"/>
    <w:rsid w:val="00E71F13"/>
    <w:rsid w:val="00E72A50"/>
    <w:rsid w:val="00E822D2"/>
    <w:rsid w:val="00EA02FB"/>
    <w:rsid w:val="00EA0595"/>
    <w:rsid w:val="00EA50D6"/>
    <w:rsid w:val="00EA6888"/>
    <w:rsid w:val="00EB20E9"/>
    <w:rsid w:val="00EB2C91"/>
    <w:rsid w:val="00EC21DE"/>
    <w:rsid w:val="00EC33CD"/>
    <w:rsid w:val="00EC37C3"/>
    <w:rsid w:val="00EC38BC"/>
    <w:rsid w:val="00EC5E52"/>
    <w:rsid w:val="00EE4C74"/>
    <w:rsid w:val="00EE7351"/>
    <w:rsid w:val="00EF19BD"/>
    <w:rsid w:val="00EF71B0"/>
    <w:rsid w:val="00F122EE"/>
    <w:rsid w:val="00F20F3D"/>
    <w:rsid w:val="00F2156B"/>
    <w:rsid w:val="00F21B23"/>
    <w:rsid w:val="00F2483A"/>
    <w:rsid w:val="00F24AD8"/>
    <w:rsid w:val="00F34F73"/>
    <w:rsid w:val="00F418A2"/>
    <w:rsid w:val="00F5287C"/>
    <w:rsid w:val="00F60A5C"/>
    <w:rsid w:val="00F64539"/>
    <w:rsid w:val="00F74C3D"/>
    <w:rsid w:val="00F754CB"/>
    <w:rsid w:val="00F757B0"/>
    <w:rsid w:val="00F758D7"/>
    <w:rsid w:val="00F8032E"/>
    <w:rsid w:val="00F823AE"/>
    <w:rsid w:val="00F8579D"/>
    <w:rsid w:val="00F86C06"/>
    <w:rsid w:val="00F877DE"/>
    <w:rsid w:val="00F92174"/>
    <w:rsid w:val="00F939EC"/>
    <w:rsid w:val="00FA3017"/>
    <w:rsid w:val="00FA3864"/>
    <w:rsid w:val="00FA769F"/>
    <w:rsid w:val="00FB7FE2"/>
    <w:rsid w:val="00FC3556"/>
    <w:rsid w:val="00FC513F"/>
    <w:rsid w:val="00FC62D6"/>
    <w:rsid w:val="00FE2EF6"/>
    <w:rsid w:val="00FE7078"/>
    <w:rsid w:val="00FE7CA1"/>
    <w:rsid w:val="00FF4D5C"/>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A2778"/>
  <w15:docId w15:val="{EE3FDC25-CBDA-401E-9638-6F08FB76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35A3"/>
    <w:pPr>
      <w:autoSpaceDE w:val="0"/>
      <w:autoSpaceDN w:val="0"/>
      <w:adjustRightInd w:val="0"/>
      <w:spacing w:after="0" w:line="240" w:lineRule="auto"/>
    </w:pPr>
    <w:rPr>
      <w:rFonts w:ascii="Cambria" w:hAnsi="Cambria" w:cs="Cambria"/>
      <w:color w:val="000000"/>
      <w:sz w:val="24"/>
      <w:szCs w:val="24"/>
    </w:rPr>
  </w:style>
  <w:style w:type="paragraph" w:customStyle="1" w:styleId="Pa4">
    <w:name w:val="Pa4"/>
    <w:basedOn w:val="Default"/>
    <w:next w:val="Default"/>
    <w:uiPriority w:val="99"/>
    <w:rsid w:val="001F35A3"/>
    <w:pPr>
      <w:spacing w:line="221" w:lineRule="atLeast"/>
    </w:pPr>
    <w:rPr>
      <w:rFonts w:cstheme="minorBidi"/>
      <w:color w:val="auto"/>
    </w:rPr>
  </w:style>
  <w:style w:type="paragraph" w:styleId="ListParagraph">
    <w:name w:val="List Paragraph"/>
    <w:basedOn w:val="Normal"/>
    <w:uiPriority w:val="34"/>
    <w:qFormat/>
    <w:rsid w:val="00F2483A"/>
    <w:pPr>
      <w:ind w:left="720"/>
      <w:contextualSpacing/>
    </w:pPr>
  </w:style>
  <w:style w:type="paragraph" w:customStyle="1" w:styleId="n1">
    <w:name w:val="n1"/>
    <w:basedOn w:val="Normal"/>
    <w:rsid w:val="0097110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1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04"/>
  </w:style>
  <w:style w:type="paragraph" w:styleId="Footer">
    <w:name w:val="footer"/>
    <w:basedOn w:val="Normal"/>
    <w:link w:val="FooterChar"/>
    <w:uiPriority w:val="99"/>
    <w:unhideWhenUsed/>
    <w:rsid w:val="00971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04"/>
  </w:style>
  <w:style w:type="paragraph" w:styleId="BalloonText">
    <w:name w:val="Balloon Text"/>
    <w:basedOn w:val="Normal"/>
    <w:link w:val="BalloonTextChar"/>
    <w:uiPriority w:val="99"/>
    <w:semiHidden/>
    <w:unhideWhenUsed/>
    <w:rsid w:val="0036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AD"/>
    <w:rPr>
      <w:rFonts w:ascii="Tahoma" w:hAnsi="Tahoma" w:cs="Tahoma"/>
      <w:sz w:val="16"/>
      <w:szCs w:val="16"/>
    </w:rPr>
  </w:style>
  <w:style w:type="character" w:styleId="CommentReference">
    <w:name w:val="annotation reference"/>
    <w:basedOn w:val="DefaultParagraphFont"/>
    <w:uiPriority w:val="99"/>
    <w:semiHidden/>
    <w:unhideWhenUsed/>
    <w:rsid w:val="00677015"/>
    <w:rPr>
      <w:sz w:val="16"/>
      <w:szCs w:val="16"/>
    </w:rPr>
  </w:style>
  <w:style w:type="paragraph" w:styleId="CommentText">
    <w:name w:val="annotation text"/>
    <w:basedOn w:val="Normal"/>
    <w:link w:val="CommentTextChar"/>
    <w:uiPriority w:val="99"/>
    <w:unhideWhenUsed/>
    <w:rsid w:val="00677015"/>
    <w:pPr>
      <w:spacing w:line="240" w:lineRule="auto"/>
    </w:pPr>
    <w:rPr>
      <w:sz w:val="20"/>
      <w:szCs w:val="20"/>
    </w:rPr>
  </w:style>
  <w:style w:type="character" w:customStyle="1" w:styleId="CommentTextChar">
    <w:name w:val="Comment Text Char"/>
    <w:basedOn w:val="DefaultParagraphFont"/>
    <w:link w:val="CommentText"/>
    <w:uiPriority w:val="99"/>
    <w:rsid w:val="00677015"/>
    <w:rPr>
      <w:sz w:val="20"/>
      <w:szCs w:val="20"/>
    </w:rPr>
  </w:style>
  <w:style w:type="paragraph" w:styleId="CommentSubject">
    <w:name w:val="annotation subject"/>
    <w:basedOn w:val="CommentText"/>
    <w:next w:val="CommentText"/>
    <w:link w:val="CommentSubjectChar"/>
    <w:uiPriority w:val="99"/>
    <w:semiHidden/>
    <w:unhideWhenUsed/>
    <w:rsid w:val="00677015"/>
    <w:rPr>
      <w:b/>
      <w:bCs/>
    </w:rPr>
  </w:style>
  <w:style w:type="character" w:customStyle="1" w:styleId="CommentSubjectChar">
    <w:name w:val="Comment Subject Char"/>
    <w:basedOn w:val="CommentTextChar"/>
    <w:link w:val="CommentSubject"/>
    <w:uiPriority w:val="99"/>
    <w:semiHidden/>
    <w:rsid w:val="00677015"/>
    <w:rPr>
      <w:b/>
      <w:bCs/>
      <w:sz w:val="20"/>
      <w:szCs w:val="20"/>
    </w:rPr>
  </w:style>
  <w:style w:type="paragraph" w:styleId="FootnoteText">
    <w:name w:val="footnote text"/>
    <w:basedOn w:val="Normal"/>
    <w:link w:val="FootnoteTextChar"/>
    <w:uiPriority w:val="99"/>
    <w:semiHidden/>
    <w:unhideWhenUsed/>
    <w:rsid w:val="005D74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492"/>
    <w:rPr>
      <w:sz w:val="20"/>
      <w:szCs w:val="20"/>
    </w:rPr>
  </w:style>
  <w:style w:type="character" w:styleId="FootnoteReference">
    <w:name w:val="footnote reference"/>
    <w:basedOn w:val="DefaultParagraphFont"/>
    <w:uiPriority w:val="99"/>
    <w:semiHidden/>
    <w:unhideWhenUsed/>
    <w:rsid w:val="005D7492"/>
    <w:rPr>
      <w:vertAlign w:val="superscript"/>
    </w:rPr>
  </w:style>
  <w:style w:type="character" w:styleId="Hyperlink">
    <w:name w:val="Hyperlink"/>
    <w:basedOn w:val="DefaultParagraphFont"/>
    <w:uiPriority w:val="99"/>
    <w:semiHidden/>
    <w:unhideWhenUsed/>
    <w:rsid w:val="005D7492"/>
    <w:rPr>
      <w:color w:val="0000FF"/>
      <w:u w:val="single"/>
    </w:rPr>
  </w:style>
  <w:style w:type="paragraph" w:styleId="NormalWeb">
    <w:name w:val="Normal (Web)"/>
    <w:basedOn w:val="Normal"/>
    <w:uiPriority w:val="99"/>
    <w:semiHidden/>
    <w:unhideWhenUsed/>
    <w:rsid w:val="005D7492"/>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2C3F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3FCC"/>
    <w:rPr>
      <w:sz w:val="20"/>
      <w:szCs w:val="20"/>
    </w:rPr>
  </w:style>
  <w:style w:type="character" w:styleId="EndnoteReference">
    <w:name w:val="endnote reference"/>
    <w:basedOn w:val="DefaultParagraphFont"/>
    <w:uiPriority w:val="99"/>
    <w:semiHidden/>
    <w:unhideWhenUsed/>
    <w:rsid w:val="002C3FCC"/>
    <w:rPr>
      <w:vertAlign w:val="superscript"/>
    </w:rPr>
  </w:style>
  <w:style w:type="table" w:styleId="TableGrid">
    <w:name w:val="Table Grid"/>
    <w:basedOn w:val="TableNormal"/>
    <w:uiPriority w:val="59"/>
    <w:rsid w:val="00DE3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1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0980">
      <w:bodyDiv w:val="1"/>
      <w:marLeft w:val="0"/>
      <w:marRight w:val="0"/>
      <w:marTop w:val="0"/>
      <w:marBottom w:val="0"/>
      <w:divBdr>
        <w:top w:val="none" w:sz="0" w:space="0" w:color="auto"/>
        <w:left w:val="none" w:sz="0" w:space="0" w:color="auto"/>
        <w:bottom w:val="none" w:sz="0" w:space="0" w:color="auto"/>
        <w:right w:val="none" w:sz="0" w:space="0" w:color="auto"/>
      </w:divBdr>
    </w:div>
    <w:div w:id="229384150">
      <w:bodyDiv w:val="1"/>
      <w:marLeft w:val="0"/>
      <w:marRight w:val="0"/>
      <w:marTop w:val="0"/>
      <w:marBottom w:val="0"/>
      <w:divBdr>
        <w:top w:val="none" w:sz="0" w:space="0" w:color="auto"/>
        <w:left w:val="none" w:sz="0" w:space="0" w:color="auto"/>
        <w:bottom w:val="none" w:sz="0" w:space="0" w:color="auto"/>
        <w:right w:val="none" w:sz="0" w:space="0" w:color="auto"/>
      </w:divBdr>
    </w:div>
    <w:div w:id="836963470">
      <w:bodyDiv w:val="1"/>
      <w:marLeft w:val="0"/>
      <w:marRight w:val="0"/>
      <w:marTop w:val="0"/>
      <w:marBottom w:val="0"/>
      <w:divBdr>
        <w:top w:val="none" w:sz="0" w:space="0" w:color="auto"/>
        <w:left w:val="none" w:sz="0" w:space="0" w:color="auto"/>
        <w:bottom w:val="none" w:sz="0" w:space="0" w:color="auto"/>
        <w:right w:val="none" w:sz="0" w:space="0" w:color="auto"/>
      </w:divBdr>
    </w:div>
    <w:div w:id="1794708601">
      <w:bodyDiv w:val="1"/>
      <w:marLeft w:val="0"/>
      <w:marRight w:val="0"/>
      <w:marTop w:val="0"/>
      <w:marBottom w:val="0"/>
      <w:divBdr>
        <w:top w:val="none" w:sz="0" w:space="0" w:color="auto"/>
        <w:left w:val="none" w:sz="0" w:space="0" w:color="auto"/>
        <w:bottom w:val="none" w:sz="0" w:space="0" w:color="auto"/>
        <w:right w:val="none" w:sz="0" w:space="0" w:color="auto"/>
      </w:divBdr>
    </w:div>
    <w:div w:id="1920672417">
      <w:bodyDiv w:val="1"/>
      <w:marLeft w:val="0"/>
      <w:marRight w:val="0"/>
      <w:marTop w:val="0"/>
      <w:marBottom w:val="0"/>
      <w:divBdr>
        <w:top w:val="none" w:sz="0" w:space="0" w:color="auto"/>
        <w:left w:val="none" w:sz="0" w:space="0" w:color="auto"/>
        <w:bottom w:val="none" w:sz="0" w:space="0" w:color="auto"/>
        <w:right w:val="none" w:sz="0" w:space="0" w:color="auto"/>
      </w:divBdr>
    </w:div>
    <w:div w:id="2030176637">
      <w:bodyDiv w:val="1"/>
      <w:marLeft w:val="0"/>
      <w:marRight w:val="0"/>
      <w:marTop w:val="0"/>
      <w:marBottom w:val="0"/>
      <w:divBdr>
        <w:top w:val="none" w:sz="0" w:space="0" w:color="auto"/>
        <w:left w:val="none" w:sz="0" w:space="0" w:color="auto"/>
        <w:bottom w:val="none" w:sz="0" w:space="0" w:color="auto"/>
        <w:right w:val="none" w:sz="0" w:space="0" w:color="auto"/>
      </w:divBdr>
    </w:div>
    <w:div w:id="20399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1624-C833-4856-9E77-50CCB610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Joy (DMH)</dc:creator>
  <cp:lastModifiedBy>Fox, Jonathan (DMH)</cp:lastModifiedBy>
  <cp:revision>2</cp:revision>
  <cp:lastPrinted>2021-08-10T14:44:00Z</cp:lastPrinted>
  <dcterms:created xsi:type="dcterms:W3CDTF">2021-10-06T19:06:00Z</dcterms:created>
  <dcterms:modified xsi:type="dcterms:W3CDTF">2021-10-06T19:06:00Z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-2136209098</vt:i4>
  </property>
</Properties>
</file>