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91EB" w14:textId="73B66257" w:rsidR="00777350" w:rsidRPr="00187C34" w:rsidRDefault="00523C0C" w:rsidP="00187C34">
      <w:pPr>
        <w:pStyle w:val="Heading1"/>
      </w:pPr>
      <w:r w:rsidRPr="00187C34">
        <w:t xml:space="preserve">Guidelines for Medical Necessity Determination for Augmentative and Alternative Communication </w:t>
      </w:r>
      <w:r w:rsidR="008523F0" w:rsidRPr="00187C34">
        <w:t xml:space="preserve">Devices, </w:t>
      </w:r>
      <w:r w:rsidR="00EA7579" w:rsidRPr="00187C34">
        <w:t>Including Speech</w:t>
      </w:r>
      <w:r w:rsidR="00C91851" w:rsidRPr="00187C34">
        <w:t>-</w:t>
      </w:r>
      <w:r w:rsidR="00EA7579" w:rsidRPr="00187C34">
        <w:t xml:space="preserve">Generating Devices </w:t>
      </w:r>
    </w:p>
    <w:p w14:paraId="280A91EC" w14:textId="7C9EEB4A" w:rsidR="00777350" w:rsidRDefault="00523C0C">
      <w:pPr>
        <w:pStyle w:val="Normal1"/>
      </w:pPr>
      <w:r>
        <w:t xml:space="preserve">These </w:t>
      </w:r>
      <w:r w:rsidR="00311586">
        <w:t xml:space="preserve">guidelines for medical necessity determination </w:t>
      </w:r>
      <w:r>
        <w:t>(</w:t>
      </w:r>
      <w:r w:rsidR="00311586">
        <w:t>g</w:t>
      </w:r>
      <w:r>
        <w:t>uidelines</w:t>
      </w:r>
      <w:r w:rsidR="008A560B">
        <w:t>)</w:t>
      </w:r>
      <w:r>
        <w:t xml:space="preserve"> identify the clinical information that MassHealth needs to determine medical necessity for coverage of speech</w:t>
      </w:r>
      <w:r w:rsidR="00C91851">
        <w:t>-</w:t>
      </w:r>
      <w:r>
        <w:t>generating devices</w:t>
      </w:r>
      <w:r w:rsidR="0082758C">
        <w:t xml:space="preserve"> (SGD)</w:t>
      </w:r>
      <w:r>
        <w:t xml:space="preserve">. </w:t>
      </w:r>
      <w:r w:rsidR="00EE0D8D">
        <w:t xml:space="preserve">For the purposes of these </w:t>
      </w:r>
      <w:r w:rsidR="00311586">
        <w:t>g</w:t>
      </w:r>
      <w:r w:rsidR="00EE0D8D">
        <w:t xml:space="preserve">uidelines, the term </w:t>
      </w:r>
      <w:r w:rsidR="00026A71">
        <w:t xml:space="preserve">SGD is a category of alternatives for expressive communication within the broader scope of </w:t>
      </w:r>
      <w:r w:rsidR="00D00BE4">
        <w:t xml:space="preserve">augmentative and alternative communication </w:t>
      </w:r>
      <w:r w:rsidR="00782D1A">
        <w:t>(</w:t>
      </w:r>
      <w:r w:rsidR="00EE0D8D">
        <w:t>AAC</w:t>
      </w:r>
      <w:r w:rsidR="00782D1A">
        <w:t>)</w:t>
      </w:r>
      <w:r w:rsidR="00026A71">
        <w:t>.</w:t>
      </w:r>
      <w:r w:rsidR="00691CEB">
        <w:t xml:space="preserve"> </w:t>
      </w:r>
      <w:r>
        <w:t xml:space="preserve">MassHealth bases these </w:t>
      </w:r>
      <w:r w:rsidR="00D00BE4">
        <w:t>g</w:t>
      </w:r>
      <w:r>
        <w:t xml:space="preserve">uidelines on generally accepted standards of practice, review of the medical literature, and federal and state policies and laws applicable to Medicaid programs. </w:t>
      </w:r>
    </w:p>
    <w:p w14:paraId="782EB930" w14:textId="68301FD4" w:rsidR="0042327B" w:rsidRDefault="00523C0C" w:rsidP="00C22AD0">
      <w:pPr>
        <w:pStyle w:val="Normal1"/>
      </w:pPr>
      <w:r>
        <w:t xml:space="preserve">Providers should consult MassHealth regulations at </w:t>
      </w:r>
      <w:hyperlink r:id="rId8" w:history="1">
        <w:r w:rsidR="006A706B" w:rsidRPr="000572A1">
          <w:rPr>
            <w:i/>
            <w:iCs/>
            <w:color w:val="0000FF"/>
            <w:u w:val="single"/>
          </w:rPr>
          <w:t>130 CMR 409.000: Durable Medical Equipment Services</w:t>
        </w:r>
      </w:hyperlink>
      <w:r w:rsidR="006A706B">
        <w:t xml:space="preserve"> </w:t>
      </w:r>
      <w:r>
        <w:t>giving particular attention to Section 409.428</w:t>
      </w:r>
      <w:r w:rsidR="00C22AD0">
        <w:t xml:space="preserve">: </w:t>
      </w:r>
      <w:r w:rsidR="00C22AD0" w:rsidRPr="00E50F71">
        <w:rPr>
          <w:i/>
          <w:iCs/>
        </w:rPr>
        <w:t>Augmentative and Alternative Communication Devices and Speech Generation Devices (AAC)</w:t>
      </w:r>
      <w:r>
        <w:t xml:space="preserve"> </w:t>
      </w:r>
      <w:r w:rsidR="00691CEB">
        <w:t xml:space="preserve">and the </w:t>
      </w:r>
      <w:r w:rsidR="00691CEB" w:rsidRPr="00AF3D38">
        <w:t xml:space="preserve">MassHealth DME and Oxygen Payment and </w:t>
      </w:r>
      <w:hyperlink r:id="rId9" w:history="1">
        <w:r w:rsidR="00691CEB" w:rsidRPr="00AF3D38">
          <w:rPr>
            <w:rStyle w:val="Hyperlink"/>
          </w:rPr>
          <w:t>Coverage Guidelines Tool</w:t>
        </w:r>
      </w:hyperlink>
      <w:r w:rsidR="00691CEB">
        <w:t xml:space="preserve"> for information about coverage, limitations, service conditions, and other prior-authorization (PA) requirements. Providers serving members enrolled in a MassHealth-contracted accountable care partnership plan (ACPP) or managed care organization (MCO) should refer to the ACPP’s or MCO’s medical policies for covered services. </w:t>
      </w:r>
    </w:p>
    <w:p w14:paraId="280A91ED" w14:textId="7D8AAC45" w:rsidR="00777350" w:rsidRDefault="0042327B" w:rsidP="00691CEB">
      <w:pPr>
        <w:pStyle w:val="Normal1"/>
      </w:pPr>
      <w:r>
        <w:t xml:space="preserve">Providers serving members enrolled in a MassHealth-contracted accountable care partnership plan (ACPP), managed care organization (MCO), integrated care organization (ICO), </w:t>
      </w:r>
      <w:r w:rsidR="007F087A">
        <w:t xml:space="preserve">Senior Care Organization </w:t>
      </w:r>
      <w:r>
        <w:t xml:space="preserve">(SCO), or </w:t>
      </w:r>
      <w:r w:rsidR="007F087A">
        <w:t xml:space="preserve">Program </w:t>
      </w:r>
      <w:r>
        <w:t xml:space="preserve">of </w:t>
      </w:r>
      <w:r w:rsidR="007F087A">
        <w:t>All</w:t>
      </w:r>
      <w:r>
        <w:t xml:space="preserve">-inclusive </w:t>
      </w:r>
      <w:r w:rsidR="007F087A">
        <w:t xml:space="preserve">Care </w:t>
      </w:r>
      <w:r>
        <w:t xml:space="preserve">for the </w:t>
      </w:r>
      <w:r w:rsidR="007F087A">
        <w:t xml:space="preserve">Elderly </w:t>
      </w:r>
      <w:r>
        <w:t>(PACE) should refer to the ACPP’s, MCO’s, ICO’s, SCO’s</w:t>
      </w:r>
      <w:r w:rsidR="00C22AD0">
        <w:t>,</w:t>
      </w:r>
      <w:r>
        <w:t xml:space="preserve"> or PACE’s medical policies</w:t>
      </w:r>
      <w:r w:rsidR="004F1F08">
        <w:t>, respectively,</w:t>
      </w:r>
      <w:r>
        <w:t xml:space="preserve"> for covered services.</w:t>
      </w:r>
    </w:p>
    <w:p w14:paraId="280A91EE" w14:textId="77777777" w:rsidR="00777350" w:rsidRDefault="00523C0C">
      <w:pPr>
        <w:pStyle w:val="Normal1"/>
      </w:pPr>
      <w:r>
        <w:t xml:space="preserve">MassHealth reviews requests for prior authorization (PA) </w:t>
      </w:r>
      <w:proofErr w:type="gramStart"/>
      <w:r>
        <w:t>on the basis of</w:t>
      </w:r>
      <w:proofErr w:type="gramEnd"/>
      <w:r>
        <w:t xml:space="preserve"> medical necessity. If MassHealth approves the request, payment is still subject to all general conditions of MassHealth, including member eligibility, other insurance, and program restrictions. </w:t>
      </w:r>
    </w:p>
    <w:p w14:paraId="21E516BA" w14:textId="6CA59B02" w:rsidR="00C42CC8" w:rsidRPr="00F43A16" w:rsidRDefault="00523C0C" w:rsidP="00F43A16">
      <w:pPr>
        <w:pStyle w:val="Heading2"/>
      </w:pPr>
      <w:r w:rsidRPr="00F43A16">
        <w:t>Section I. General Information</w:t>
      </w:r>
      <w:r w:rsidR="00A54A59" w:rsidRPr="00F43A16">
        <w:t xml:space="preserve"> </w:t>
      </w:r>
    </w:p>
    <w:p w14:paraId="280A91EF" w14:textId="6D285A90" w:rsidR="00777350" w:rsidRPr="00B6689D" w:rsidRDefault="00A54A59" w:rsidP="00397AAB">
      <w:pPr>
        <w:pStyle w:val="Heading3"/>
      </w:pPr>
      <w:r>
        <w:t xml:space="preserve">Augmentative and Alternative Communication </w:t>
      </w:r>
    </w:p>
    <w:p w14:paraId="280A91F0" w14:textId="696AB04D" w:rsidR="00777350" w:rsidRDefault="00B261B9">
      <w:pPr>
        <w:pStyle w:val="Normal1"/>
      </w:pPr>
      <w:r w:rsidRPr="00571ADD">
        <w:rPr>
          <w:rStyle w:val="Strong"/>
          <w:rFonts w:asciiTheme="majorHAnsi" w:hAnsiTheme="majorHAnsi" w:cstheme="majorHAnsi"/>
          <w:b w:val="0"/>
          <w:bCs w:val="0"/>
          <w:shd w:val="clear" w:color="auto" w:fill="FFFFFF"/>
        </w:rPr>
        <w:t>Augmentative and alternative communication</w:t>
      </w:r>
      <w:r w:rsidRPr="00571ADD">
        <w:rPr>
          <w:rFonts w:asciiTheme="majorHAnsi" w:hAnsiTheme="majorHAnsi" w:cstheme="majorHAnsi"/>
          <w:shd w:val="clear" w:color="auto" w:fill="FFFFFF"/>
        </w:rPr>
        <w:t> (AAC) is an area of clinical practice that supplements or compensates for impairments in speech-language production and/or comprehension, including spoken and written modes of communication.</w:t>
      </w:r>
      <w:r w:rsidRPr="00571ADD">
        <w:rPr>
          <w:rFonts w:asciiTheme="minorHAnsi" w:hAnsiTheme="minorHAnsi" w:cstheme="minorHAnsi"/>
          <w:shd w:val="clear" w:color="auto" w:fill="FFFFFF"/>
        </w:rPr>
        <w:t> </w:t>
      </w:r>
      <w:r w:rsidR="00523C0C">
        <w:t xml:space="preserve">Strategies to augment communication or provide alternative communication employ various methods to assist individuals who are unable to effectively use speech to communicate. Augmentative and alternative communication strategies may supplement existing speech or replace it when it is not functional for communication. Such strategies may be unaided, and </w:t>
      </w:r>
      <w:r w:rsidR="00523C0C">
        <w:lastRenderedPageBreak/>
        <w:t xml:space="preserve">include gestures, body language, and/or sign language; or aided, and include paper/pencil, communication books/boards, and/or voice output </w:t>
      </w:r>
      <w:r w:rsidR="00C91851">
        <w:t>s</w:t>
      </w:r>
      <w:r w:rsidR="00523C0C">
        <w:t>peech</w:t>
      </w:r>
      <w:r w:rsidR="00C91851">
        <w:t>-g</w:t>
      </w:r>
      <w:r w:rsidR="00523C0C">
        <w:t xml:space="preserve">enerating </w:t>
      </w:r>
      <w:r w:rsidR="00C91851">
        <w:t>d</w:t>
      </w:r>
      <w:r w:rsidR="00523C0C">
        <w:t xml:space="preserve">evices (SGD). </w:t>
      </w:r>
    </w:p>
    <w:p w14:paraId="472822B3" w14:textId="66AF4649" w:rsidR="00A54A59" w:rsidRPr="00571ADD" w:rsidRDefault="00A54A59" w:rsidP="00397AAB">
      <w:pPr>
        <w:pStyle w:val="Heading3"/>
      </w:pPr>
      <w:r w:rsidRPr="00571ADD">
        <w:t>Communication Aids and Devices</w:t>
      </w:r>
    </w:p>
    <w:p w14:paraId="280A91F1" w14:textId="25E89516" w:rsidR="00777350" w:rsidRDefault="00523C0C">
      <w:pPr>
        <w:pStyle w:val="Normal1"/>
      </w:pPr>
      <w:r>
        <w:t xml:space="preserve">The technological complexity of communication aids ranges from low- to high-tech. Low-tech communication aids typically include simple non-electronic aids created by placing pictures, symbols, letters, or words on a board or in a book. The individual then accesses the aids by direct selection or eye gaze, or by using a pointer with the head or mouth or a switch. </w:t>
      </w:r>
      <w:r w:rsidRPr="00E50F71">
        <w:rPr>
          <w:rStyle w:val="Emphasis"/>
        </w:rPr>
        <w:t>Low-tech</w:t>
      </w:r>
      <w:r>
        <w:t xml:space="preserve"> aids usually do not need batteries, electricity, or electronics. In contrast, </w:t>
      </w:r>
      <w:r w:rsidRPr="00E50F71">
        <w:rPr>
          <w:rStyle w:val="Emphasis"/>
        </w:rPr>
        <w:t>high-tech</w:t>
      </w:r>
      <w:r>
        <w:t xml:space="preserve"> communication aids </w:t>
      </w:r>
      <w:r w:rsidR="000C6119">
        <w:t xml:space="preserve">such </w:t>
      </w:r>
      <w:r w:rsidR="00925DC0">
        <w:t>as SGDs</w:t>
      </w:r>
      <w:r w:rsidR="000C6119">
        <w:t xml:space="preserve"> </w:t>
      </w:r>
      <w:r>
        <w:t xml:space="preserve">are electronic devices that allow for the storage and retrieval of electronic messages, as well as communication through speech output. High-tech </w:t>
      </w:r>
      <w:r w:rsidR="00A54A59">
        <w:t xml:space="preserve">SGD </w:t>
      </w:r>
      <w:r>
        <w:t xml:space="preserve">devices can use similar methods of access as low-tech, including pointers and direct selection.   </w:t>
      </w:r>
    </w:p>
    <w:p w14:paraId="280A91F3" w14:textId="0D67EB01" w:rsidR="00777350" w:rsidRDefault="00042879">
      <w:pPr>
        <w:pStyle w:val="Normal1"/>
      </w:pPr>
      <w:r>
        <w:t>SGD</w:t>
      </w:r>
      <w:r w:rsidR="007766D6">
        <w:t>s</w:t>
      </w:r>
      <w:r w:rsidR="00925DC0">
        <w:t xml:space="preserve"> </w:t>
      </w:r>
      <w:r w:rsidR="00523C0C">
        <w:t>aid</w:t>
      </w:r>
      <w:r w:rsidR="00A977E6">
        <w:t xml:space="preserve"> </w:t>
      </w:r>
      <w:r w:rsidR="00523C0C">
        <w:t>communication for people with severe expressive communication impairment due to developmental and acquired conditions including, but not limited to, cerebral palsy, autism, aphasia, and amyotrophic lateral sclerosis. Successful use of a</w:t>
      </w:r>
      <w:r w:rsidR="00C91851">
        <w:t>n</w:t>
      </w:r>
      <w:r w:rsidR="00611989">
        <w:t xml:space="preserve"> </w:t>
      </w:r>
      <w:r w:rsidR="00100C73">
        <w:t>SGD</w:t>
      </w:r>
      <w:r w:rsidR="00523C0C">
        <w:t xml:space="preserve"> requires both the ability to learn to communicate using the output as well as the physical ability to manipulate the device independently for communication. Detailed assessment of the person’s communication abilities and needs, cognition, motor abilities, and vision is required to match the capability of the device to the person’s medical needs. The person’s ability to learn to communicate must be </w:t>
      </w:r>
      <w:proofErr w:type="gramStart"/>
      <w:r w:rsidR="00523C0C">
        <w:t>taken into account</w:t>
      </w:r>
      <w:proofErr w:type="gramEnd"/>
      <w:r w:rsidR="00523C0C">
        <w:t xml:space="preserve"> when choosing an appropriate device. </w:t>
      </w:r>
    </w:p>
    <w:p w14:paraId="4915C258" w14:textId="171B5CD3" w:rsidR="000E7221" w:rsidRPr="00923704" w:rsidRDefault="000E7221" w:rsidP="00397AAB">
      <w:pPr>
        <w:pStyle w:val="Heading3"/>
      </w:pPr>
      <w:r w:rsidRPr="00923704">
        <w:t xml:space="preserve">Dedicated versus </w:t>
      </w:r>
      <w:r w:rsidR="00514030">
        <w:t>n</w:t>
      </w:r>
      <w:r w:rsidR="00514030" w:rsidRPr="00923704">
        <w:t>on</w:t>
      </w:r>
      <w:r w:rsidRPr="00923704">
        <w:t>-dedicated SGD</w:t>
      </w:r>
    </w:p>
    <w:p w14:paraId="389E71A8" w14:textId="6BC434D8" w:rsidR="00F36600" w:rsidRDefault="00327B33">
      <w:pPr>
        <w:pStyle w:val="Normal1"/>
      </w:pPr>
      <w:r>
        <w:t xml:space="preserve">For the purposes of </w:t>
      </w:r>
      <w:r w:rsidR="00311586">
        <w:t xml:space="preserve">these </w:t>
      </w:r>
      <w:r>
        <w:t>guideline</w:t>
      </w:r>
      <w:r w:rsidR="00311586">
        <w:t>s</w:t>
      </w:r>
      <w:r>
        <w:t xml:space="preserve">, SGDs are categorized as two types: </w:t>
      </w:r>
    </w:p>
    <w:p w14:paraId="456FF746" w14:textId="612C242C" w:rsidR="00F36600" w:rsidRDefault="00327B33">
      <w:pPr>
        <w:pStyle w:val="Normal1"/>
      </w:pPr>
      <w:r>
        <w:t xml:space="preserve">1) </w:t>
      </w:r>
      <w:r w:rsidR="00D00BE4">
        <w:t>dedicated</w:t>
      </w:r>
      <w:r w:rsidR="00C91851">
        <w:t>;</w:t>
      </w:r>
      <w:r>
        <w:t xml:space="preserve"> or</w:t>
      </w:r>
    </w:p>
    <w:p w14:paraId="6A3C9083" w14:textId="7574A6CA" w:rsidR="00F36600" w:rsidRDefault="00327B33">
      <w:pPr>
        <w:pStyle w:val="Normal1"/>
      </w:pPr>
      <w:r>
        <w:t xml:space="preserve">2) </w:t>
      </w:r>
      <w:r w:rsidR="00D00BE4">
        <w:t>n</w:t>
      </w:r>
      <w:r>
        <w:t>on-dedicated</w:t>
      </w:r>
      <w:r w:rsidR="00F36600">
        <w:t xml:space="preserve">. </w:t>
      </w:r>
    </w:p>
    <w:p w14:paraId="7C4B8E4E" w14:textId="2696B1ED" w:rsidR="00611C37" w:rsidRDefault="008523F0">
      <w:pPr>
        <w:pStyle w:val="Normal1"/>
      </w:pPr>
      <w:r w:rsidRPr="008523F0">
        <w:t xml:space="preserve">Dedicated </w:t>
      </w:r>
      <w:r w:rsidR="00C4332A">
        <w:t>SGD</w:t>
      </w:r>
      <w:r w:rsidRPr="008523F0">
        <w:t xml:space="preserve"> devices are devices originally designed to primarily serve a medical purpose (e.g., solely for the purpose of expressive communication) such that they are generally </w:t>
      </w:r>
      <w:r w:rsidR="00E50F71">
        <w:rPr>
          <w:i/>
          <w:iCs/>
        </w:rPr>
        <w:t xml:space="preserve">not </w:t>
      </w:r>
      <w:r w:rsidRPr="008523F0">
        <w:t xml:space="preserve">useful in the absence of disability, illness, or injury. </w:t>
      </w:r>
      <w:r>
        <w:t>Dedicated devices</w:t>
      </w:r>
      <w:r w:rsidRPr="008523F0">
        <w:t xml:space="preserve"> qualify for Medicaid </w:t>
      </w:r>
      <w:r w:rsidR="000D2EFD">
        <w:t>f</w:t>
      </w:r>
      <w:r w:rsidR="000D2EFD" w:rsidRPr="008523F0">
        <w:t xml:space="preserve">ederal </w:t>
      </w:r>
      <w:r w:rsidRPr="008523F0">
        <w:t>matching funds</w:t>
      </w:r>
      <w:r>
        <w:t>. I</w:t>
      </w:r>
      <w:r w:rsidRPr="008523F0">
        <w:t xml:space="preserve">n contrast, non-dedicated </w:t>
      </w:r>
      <w:r w:rsidR="00C4332A">
        <w:t xml:space="preserve">SGD </w:t>
      </w:r>
      <w:r w:rsidRPr="008523F0">
        <w:t>devices are devices originally designed for non-medical purposes and are generally useful even in the absence of disability, illness, or injury; however, they may also include functionality for use as a communication tool.</w:t>
      </w:r>
      <w:r w:rsidR="00327B33" w:rsidRPr="007748D6">
        <w:t xml:space="preserve"> </w:t>
      </w:r>
    </w:p>
    <w:p w14:paraId="2A146671" w14:textId="00D56F4C" w:rsidR="00F83AB2" w:rsidRDefault="00611C37">
      <w:pPr>
        <w:pStyle w:val="Normal1"/>
      </w:pPr>
      <w:r>
        <w:t>N</w:t>
      </w:r>
      <w:r w:rsidR="00327B33" w:rsidRPr="007748D6">
        <w:t xml:space="preserve">on-dedicated SGDs are devices designed for a non-medical purpose and </w:t>
      </w:r>
      <w:r w:rsidR="00E50F71">
        <w:rPr>
          <w:i/>
          <w:iCs/>
        </w:rPr>
        <w:t>are</w:t>
      </w:r>
      <w:r w:rsidR="00E50F71" w:rsidRPr="007748D6">
        <w:t xml:space="preserve"> </w:t>
      </w:r>
      <w:r w:rsidR="00327B33" w:rsidRPr="007748D6">
        <w:t>generally useful in the absence of disability, illness, or injury</w:t>
      </w:r>
      <w:r w:rsidR="00F83AB2">
        <w:t xml:space="preserve">. Non-dedicated devices are not considered medical devices and therefore do </w:t>
      </w:r>
      <w:r w:rsidR="00F83AB2" w:rsidRPr="008523F0">
        <w:t xml:space="preserve">not </w:t>
      </w:r>
      <w:r w:rsidR="00F83AB2" w:rsidRPr="00196CD1">
        <w:t xml:space="preserve">qualify for Medicaid </w:t>
      </w:r>
      <w:r w:rsidR="000D2EFD">
        <w:t>f</w:t>
      </w:r>
      <w:r w:rsidR="000D2EFD" w:rsidRPr="00196CD1">
        <w:t xml:space="preserve">ederal </w:t>
      </w:r>
      <w:r w:rsidR="00F83AB2" w:rsidRPr="00196CD1">
        <w:t>matching funds</w:t>
      </w:r>
      <w:r w:rsidR="00F83AB2" w:rsidRPr="008523F0">
        <w:t xml:space="preserve">.  </w:t>
      </w:r>
    </w:p>
    <w:p w14:paraId="280A91F4" w14:textId="19A4BFE7" w:rsidR="00777350" w:rsidRDefault="00311586">
      <w:pPr>
        <w:pStyle w:val="Normal1"/>
      </w:pPr>
      <w:r>
        <w:t xml:space="preserve">These </w:t>
      </w:r>
      <w:r w:rsidR="00523C0C">
        <w:t>guideline</w:t>
      </w:r>
      <w:r>
        <w:t>s</w:t>
      </w:r>
      <w:r w:rsidR="00523C0C">
        <w:t xml:space="preserve"> address</w:t>
      </w:r>
      <w:r w:rsidR="00877329">
        <w:t xml:space="preserve"> </w:t>
      </w:r>
      <w:r w:rsidR="00523C0C">
        <w:t>PA for</w:t>
      </w:r>
      <w:r w:rsidR="0082758C">
        <w:t xml:space="preserve"> both dedicated or non-dedicated</w:t>
      </w:r>
      <w:r w:rsidR="00523C0C">
        <w:t xml:space="preserve"> </w:t>
      </w:r>
      <w:r w:rsidR="00327B33">
        <w:t>SGD</w:t>
      </w:r>
      <w:r w:rsidR="00F83AB2">
        <w:t xml:space="preserve">s, </w:t>
      </w:r>
      <w:r w:rsidR="00523C0C">
        <w:t>software</w:t>
      </w:r>
      <w:r w:rsidR="00B1596F">
        <w:t xml:space="preserve">, and accessories </w:t>
      </w:r>
      <w:r w:rsidR="00523C0C">
        <w:t xml:space="preserve">for </w:t>
      </w:r>
      <w:r w:rsidR="008523F0">
        <w:t>medical</w:t>
      </w:r>
      <w:r w:rsidR="00721DE4">
        <w:t>ly</w:t>
      </w:r>
      <w:r w:rsidR="00923704">
        <w:t xml:space="preserve"> </w:t>
      </w:r>
      <w:r w:rsidR="002277DC">
        <w:t>indicated purposes</w:t>
      </w:r>
      <w:r w:rsidR="00523C0C">
        <w:t xml:space="preserve"> </w:t>
      </w:r>
      <w:r w:rsidR="002277DC">
        <w:t xml:space="preserve">that require </w:t>
      </w:r>
      <w:r w:rsidR="00523C0C">
        <w:t>speech</w:t>
      </w:r>
      <w:r w:rsidR="00E512C0">
        <w:t xml:space="preserve"> to be produced</w:t>
      </w:r>
      <w:r w:rsidR="00523C0C">
        <w:t xml:space="preserve"> for people with severe expressive communication impairments. When medical necessity for a </w:t>
      </w:r>
      <w:r w:rsidR="001F2044">
        <w:t>SGD</w:t>
      </w:r>
      <w:r w:rsidR="00523C0C">
        <w:t xml:space="preserve"> is established, such coverage may </w:t>
      </w:r>
      <w:r w:rsidR="00523C0C">
        <w:lastRenderedPageBreak/>
        <w:t>include both dedicated devices and—</w:t>
      </w:r>
      <w:r w:rsidR="00523C0C" w:rsidRPr="00E50F71">
        <w:rPr>
          <w:i/>
          <w:iCs/>
        </w:rPr>
        <w:t xml:space="preserve">under certain circumstances set forth in state law, for </w:t>
      </w:r>
      <w:r w:rsidR="009346B2" w:rsidRPr="00E50F71">
        <w:rPr>
          <w:i/>
          <w:iCs/>
        </w:rPr>
        <w:t>individuals younger than</w:t>
      </w:r>
      <w:r w:rsidR="00523C0C" w:rsidRPr="00E50F71">
        <w:rPr>
          <w:i/>
          <w:iCs/>
        </w:rPr>
        <w:t xml:space="preserve"> 21 years of age with </w:t>
      </w:r>
      <w:r w:rsidR="00D00BE4" w:rsidRPr="00E50F71">
        <w:rPr>
          <w:i/>
          <w:iCs/>
        </w:rPr>
        <w:t>autism spectrum disorder</w:t>
      </w:r>
      <w:r w:rsidR="00523C0C">
        <w:t>—non-dedicated devices. The medical necessity for a</w:t>
      </w:r>
      <w:r w:rsidR="00C91851">
        <w:t>n</w:t>
      </w:r>
      <w:r w:rsidR="00327B33">
        <w:t xml:space="preserve"> </w:t>
      </w:r>
      <w:r w:rsidR="00383607">
        <w:t>SGD must</w:t>
      </w:r>
      <w:r w:rsidR="00523C0C">
        <w:t xml:space="preserve"> be met regardless of whether the member’s provider recommends a dedicated or non-dedicated device. This device or software must be an integral part of a treatment plan for a person with severe expressive communication impairment who is otherwise unable to communicate basic functional needs or more complex concepts, such as ideas and questions. In addition, the device must be medically necessary for use in all environments, including in the home and community. </w:t>
      </w:r>
    </w:p>
    <w:p w14:paraId="280A91F5" w14:textId="29D0F882" w:rsidR="00777350" w:rsidRDefault="00523C0C" w:rsidP="00721DE4">
      <w:pPr>
        <w:pStyle w:val="Normal1"/>
      </w:pPr>
      <w:r>
        <w:t xml:space="preserve">MassHealth reviews requests for PA for </w:t>
      </w:r>
      <w:r w:rsidR="00327B33">
        <w:t>a</w:t>
      </w:r>
      <w:r w:rsidR="00C91851">
        <w:t>n</w:t>
      </w:r>
      <w:r w:rsidR="00327B33">
        <w:t xml:space="preserve"> SGD</w:t>
      </w:r>
      <w:r w:rsidR="007748D6">
        <w:t xml:space="preserve">, software, and accessories </w:t>
      </w:r>
      <w:r w:rsidR="00721DE4">
        <w:t>on an individual, case-by-case basis, and considers approval for coverage in accordance with</w:t>
      </w:r>
      <w:r>
        <w:t xml:space="preserve"> 130 CMR 450.204</w:t>
      </w:r>
      <w:r w:rsidR="000D2EFD">
        <w:t xml:space="preserve">: </w:t>
      </w:r>
      <w:r w:rsidR="000D2EFD" w:rsidRPr="00EF7AD1">
        <w:rPr>
          <w:i/>
          <w:iCs/>
        </w:rPr>
        <w:t>Medical Necessity</w:t>
      </w:r>
      <w:r>
        <w:t xml:space="preserve"> and 130 CMR 409.000, and</w:t>
      </w:r>
      <w:proofErr w:type="gramStart"/>
      <w:r>
        <w:t>, in particular, section</w:t>
      </w:r>
      <w:proofErr w:type="gramEnd"/>
      <w:r>
        <w:t xml:space="preserve"> 130 CMR 409.428</w:t>
      </w:r>
      <w:r w:rsidR="003F734D">
        <w:t>. PA review focuses on the</w:t>
      </w:r>
      <w:r w:rsidR="00721DE4">
        <w:t xml:space="preserve"> medical </w:t>
      </w:r>
      <w:r>
        <w:t xml:space="preserve">need to augment or replace communication skills </w:t>
      </w:r>
      <w:r w:rsidR="00721DE4">
        <w:t xml:space="preserve">for </w:t>
      </w:r>
      <w:r>
        <w:t xml:space="preserve">people with severe expressive communication impairment. PA to obtain </w:t>
      </w:r>
      <w:r w:rsidR="00196CD1">
        <w:t>a</w:t>
      </w:r>
      <w:r w:rsidR="00C91851">
        <w:t>n</w:t>
      </w:r>
      <w:r w:rsidR="00196CD1">
        <w:t xml:space="preserve"> SGD</w:t>
      </w:r>
      <w:r>
        <w:t>, relevant software</w:t>
      </w:r>
      <w:r w:rsidR="007748D6">
        <w:t>, and accessories</w:t>
      </w:r>
      <w:r>
        <w:t xml:space="preserve"> requires submission of a comprehensive AAC assessment documenting both medical necessity and information gathered during a trial period to demonstrate the ability to use the requested device effectively to communicate. If MassHealth approves the request, payment is still subject to all general conditions of MassHealth, including member eligibility, other insurance, and program restrictions.</w:t>
      </w:r>
    </w:p>
    <w:p w14:paraId="280A91F6" w14:textId="77777777" w:rsidR="00777350" w:rsidRPr="00B6689D" w:rsidRDefault="00523C0C" w:rsidP="00F43A16">
      <w:pPr>
        <w:pStyle w:val="Heading2"/>
      </w:pPr>
      <w:r w:rsidRPr="00B6689D">
        <w:t>Section II. Clinical Guidelines</w:t>
      </w:r>
    </w:p>
    <w:p w14:paraId="280A91F7" w14:textId="77777777" w:rsidR="00777350" w:rsidRPr="00397AAB" w:rsidRDefault="00523C0C" w:rsidP="00397AAB">
      <w:pPr>
        <w:pStyle w:val="Heading3"/>
      </w:pPr>
      <w:r w:rsidRPr="00397AAB">
        <w:t>A. Clinical Coverage</w:t>
      </w:r>
    </w:p>
    <w:p w14:paraId="752CD3D4" w14:textId="77BA9CF9" w:rsidR="00EA7821" w:rsidRDefault="00523C0C">
      <w:pPr>
        <w:pStyle w:val="Normal1"/>
      </w:pPr>
      <w:r>
        <w:t xml:space="preserve">MassHealth bases its determination of medical necessity for </w:t>
      </w:r>
      <w:r w:rsidR="00A977E6">
        <w:t>a</w:t>
      </w:r>
      <w:r w:rsidR="00C91851">
        <w:t>n</w:t>
      </w:r>
      <w:r w:rsidR="00A977E6">
        <w:t xml:space="preserve"> </w:t>
      </w:r>
      <w:r w:rsidR="00383607">
        <w:t>SGD,</w:t>
      </w:r>
      <w:r w:rsidR="00B1596F">
        <w:t xml:space="preserve"> software, and accessories </w:t>
      </w:r>
      <w:r>
        <w:t xml:space="preserve">that produce speech on clinical data including, but not limited to, indicators that would affect the relative risks and medical benefits related to the use of the equipment. </w:t>
      </w:r>
    </w:p>
    <w:p w14:paraId="280A91F8" w14:textId="57E03216" w:rsidR="00777350" w:rsidRDefault="00EA7821" w:rsidP="0028067E">
      <w:pPr>
        <w:pStyle w:val="Normal1"/>
        <w:spacing w:after="120"/>
      </w:pPr>
      <w:bookmarkStart w:id="0" w:name="_Hlk125541093"/>
      <w:r>
        <w:t xml:space="preserve">For </w:t>
      </w:r>
      <w:r w:rsidRPr="00EF7AD1">
        <w:rPr>
          <w:rStyle w:val="Emphasis"/>
        </w:rPr>
        <w:t>any S</w:t>
      </w:r>
      <w:r w:rsidR="00384923" w:rsidRPr="00EF7AD1">
        <w:rPr>
          <w:rStyle w:val="Emphasis"/>
        </w:rPr>
        <w:t>GD</w:t>
      </w:r>
      <w:bookmarkEnd w:id="0"/>
      <w:r w:rsidR="008F712A" w:rsidRPr="00EF7AD1">
        <w:t>,</w:t>
      </w:r>
      <w:r>
        <w:t xml:space="preserve"> </w:t>
      </w:r>
      <w:r w:rsidR="00384923">
        <w:t>criteria include</w:t>
      </w:r>
      <w:r w:rsidR="00523C0C">
        <w:t>, but are not limited to,</w:t>
      </w:r>
      <w:r w:rsidR="00384923">
        <w:t xml:space="preserve"> </w:t>
      </w:r>
      <w:r w:rsidR="008F712A">
        <w:t>the following.</w:t>
      </w:r>
      <w:r w:rsidR="00523C0C">
        <w:t xml:space="preserve"> </w:t>
      </w:r>
    </w:p>
    <w:p w14:paraId="280A91F9" w14:textId="7EBF6284" w:rsidR="00777350" w:rsidRDefault="00523C0C" w:rsidP="0028067E">
      <w:pPr>
        <w:pStyle w:val="Normal1"/>
        <w:spacing w:after="120"/>
        <w:ind w:left="504" w:hanging="504"/>
      </w:pPr>
      <w:r>
        <w:t>1.</w:t>
      </w:r>
      <w:r>
        <w:tab/>
        <w:t>The member has a severe expressive communication impairment related to a medical condition or developmental disability that severely limits daily functional communication</w:t>
      </w:r>
      <w:r w:rsidR="008F712A">
        <w:t xml:space="preserve">; </w:t>
      </w:r>
      <w:r>
        <w:t>AND</w:t>
      </w:r>
    </w:p>
    <w:p w14:paraId="280A91FA" w14:textId="0F334E4E" w:rsidR="00777350" w:rsidRDefault="00523C0C" w:rsidP="0028067E">
      <w:pPr>
        <w:pStyle w:val="Normal1"/>
        <w:spacing w:after="120"/>
        <w:ind w:left="504" w:hanging="504"/>
      </w:pPr>
      <w:r>
        <w:t>2.</w:t>
      </w:r>
      <w:r>
        <w:tab/>
        <w:t>The member cannot meet daily functional communication needs by using unaided strategies</w:t>
      </w:r>
      <w:r w:rsidR="008F712A">
        <w:t xml:space="preserve">; </w:t>
      </w:r>
      <w:r>
        <w:t>AND</w:t>
      </w:r>
    </w:p>
    <w:p w14:paraId="280A91FB" w14:textId="119E4900" w:rsidR="00777350" w:rsidRDefault="00523C0C" w:rsidP="0028067E">
      <w:pPr>
        <w:pStyle w:val="Normal1"/>
        <w:spacing w:after="120"/>
        <w:ind w:left="504" w:hanging="504"/>
      </w:pPr>
      <w:r>
        <w:t>3.</w:t>
      </w:r>
      <w:r>
        <w:tab/>
        <w:t xml:space="preserve">The member has the cognitive, visual, language, and physical abilities to effectively use </w:t>
      </w:r>
      <w:proofErr w:type="gramStart"/>
      <w:r>
        <w:t>a</w:t>
      </w:r>
      <w:proofErr w:type="gramEnd"/>
      <w:r>
        <w:t xml:space="preserve"> </w:t>
      </w:r>
      <w:r w:rsidR="00383607">
        <w:t>SGD</w:t>
      </w:r>
      <w:r w:rsidR="008F712A">
        <w:t>;</w:t>
      </w:r>
      <w:r>
        <w:t xml:space="preserve"> AND</w:t>
      </w:r>
    </w:p>
    <w:p w14:paraId="280A91FC" w14:textId="273A32E6" w:rsidR="00777350" w:rsidRDefault="00523C0C">
      <w:pPr>
        <w:pStyle w:val="Normal1"/>
        <w:ind w:left="504" w:hanging="504"/>
      </w:pPr>
      <w:r>
        <w:t>4.</w:t>
      </w:r>
      <w:r>
        <w:tab/>
        <w:t>A multidisciplinary team must recommend the device</w:t>
      </w:r>
      <w:r w:rsidR="00394341">
        <w:t xml:space="preserve">, </w:t>
      </w:r>
      <w:r>
        <w:t>software</w:t>
      </w:r>
      <w:r w:rsidR="00394341">
        <w:t>, and accessories</w:t>
      </w:r>
      <w:r>
        <w:t>. The team must include a licensed, certified speech-language pathologist meeting nationally accepted knowledge and skill qualifications for augmentative and alternative communication service delivery.</w:t>
      </w:r>
      <w:r w:rsidRPr="002F7A3D">
        <w:rPr>
          <w:rFonts w:asciiTheme="majorHAnsi" w:hAnsiTheme="majorHAnsi" w:cstheme="majorHAnsi"/>
        </w:rPr>
        <w:t xml:space="preserve"> </w:t>
      </w:r>
      <w:r>
        <w:t xml:space="preserve">Other professionals may be included as needed for determining motor or other needs, such as physical access to the device. </w:t>
      </w:r>
      <w:r w:rsidR="004A1172">
        <w:rPr>
          <w:rFonts w:asciiTheme="majorHAnsi" w:eastAsia="Arial" w:hAnsiTheme="majorHAnsi" w:cstheme="majorHAnsi"/>
          <w:color w:val="000000" w:themeColor="text1"/>
        </w:rPr>
        <w:t>Pursuant to</w:t>
      </w:r>
      <w:r w:rsidR="004A1172" w:rsidRPr="002F7A3D">
        <w:rPr>
          <w:rFonts w:asciiTheme="majorHAnsi" w:eastAsia="Arial" w:hAnsiTheme="majorHAnsi" w:cstheme="majorHAnsi"/>
          <w:color w:val="000000" w:themeColor="text1"/>
        </w:rPr>
        <w:t xml:space="preserve"> 130 CMR 409.402</w:t>
      </w:r>
      <w:r w:rsidR="00FA4407">
        <w:rPr>
          <w:rFonts w:asciiTheme="majorHAnsi" w:eastAsia="Arial" w:hAnsiTheme="majorHAnsi" w:cstheme="majorHAnsi"/>
          <w:color w:val="000000" w:themeColor="text1"/>
        </w:rPr>
        <w:t xml:space="preserve">: </w:t>
      </w:r>
      <w:r w:rsidR="00FA4407" w:rsidRPr="00EF7AD1">
        <w:rPr>
          <w:rFonts w:asciiTheme="majorHAnsi" w:eastAsia="Arial" w:hAnsiTheme="majorHAnsi" w:cstheme="majorHAnsi"/>
          <w:i/>
          <w:iCs/>
          <w:color w:val="000000" w:themeColor="text1"/>
        </w:rPr>
        <w:t>Definitions</w:t>
      </w:r>
      <w:r w:rsidR="004A1172" w:rsidRPr="002F7A3D">
        <w:rPr>
          <w:rFonts w:asciiTheme="majorHAnsi" w:eastAsia="Arial" w:hAnsiTheme="majorHAnsi" w:cstheme="majorHAnsi"/>
          <w:color w:val="000000" w:themeColor="text1"/>
        </w:rPr>
        <w:t xml:space="preserve"> and in accordance with 130 CMR 409.416</w:t>
      </w:r>
      <w:r w:rsidR="00FA4407">
        <w:rPr>
          <w:rFonts w:asciiTheme="majorHAnsi" w:eastAsia="Arial" w:hAnsiTheme="majorHAnsi" w:cstheme="majorHAnsi"/>
          <w:color w:val="000000" w:themeColor="text1"/>
        </w:rPr>
        <w:t xml:space="preserve">: </w:t>
      </w:r>
      <w:r w:rsidR="00FA4407" w:rsidRPr="00EF7AD1">
        <w:rPr>
          <w:i/>
          <w:iCs/>
        </w:rPr>
        <w:t>Requirements for Prescriptions or Letters of Medical Necessity Completed by the Ordering Practitioner</w:t>
      </w:r>
      <w:r w:rsidR="004A1172" w:rsidRPr="002F7A3D">
        <w:rPr>
          <w:rFonts w:asciiTheme="majorHAnsi" w:eastAsia="Arial" w:hAnsiTheme="majorHAnsi" w:cstheme="majorHAnsi"/>
          <w:color w:val="000000" w:themeColor="text1"/>
        </w:rPr>
        <w:t xml:space="preserve">, </w:t>
      </w:r>
      <w:r w:rsidR="004A1172">
        <w:rPr>
          <w:rFonts w:asciiTheme="majorHAnsi" w:eastAsia="Arial" w:hAnsiTheme="majorHAnsi" w:cstheme="majorHAnsi"/>
          <w:color w:val="000000"/>
        </w:rPr>
        <w:t>t</w:t>
      </w:r>
      <w:r w:rsidR="004A1172" w:rsidRPr="002F7A3D">
        <w:rPr>
          <w:rFonts w:asciiTheme="majorHAnsi" w:eastAsia="Arial" w:hAnsiTheme="majorHAnsi" w:cstheme="majorHAnsi"/>
          <w:color w:val="000000"/>
        </w:rPr>
        <w:t xml:space="preserve">he </w:t>
      </w:r>
      <w:r w:rsidR="004A1172" w:rsidRPr="002F7A3D">
        <w:rPr>
          <w:rFonts w:asciiTheme="majorHAnsi" w:eastAsia="Arial" w:hAnsiTheme="majorHAnsi" w:cstheme="majorHAnsi"/>
          <w:color w:val="000000" w:themeColor="text1"/>
        </w:rPr>
        <w:t>ordering practitioner must prescribe the device, software, and accessories being requested</w:t>
      </w:r>
      <w:r w:rsidR="008F712A">
        <w:rPr>
          <w:rFonts w:asciiTheme="majorHAnsi" w:eastAsia="Arial" w:hAnsiTheme="majorHAnsi" w:cstheme="majorHAnsi"/>
          <w:color w:val="000000" w:themeColor="text1"/>
        </w:rPr>
        <w:t>;</w:t>
      </w:r>
      <w:r w:rsidR="008F712A" w:rsidRPr="002F7A3D">
        <w:rPr>
          <w:rFonts w:asciiTheme="majorHAnsi" w:eastAsia="Arial" w:hAnsiTheme="majorHAnsi" w:cstheme="majorHAnsi"/>
          <w:color w:val="000000" w:themeColor="text1"/>
        </w:rPr>
        <w:t xml:space="preserve"> </w:t>
      </w:r>
      <w:r>
        <w:t>AND</w:t>
      </w:r>
    </w:p>
    <w:p w14:paraId="280A9205" w14:textId="3539F38B" w:rsidR="00777350" w:rsidRDefault="000E1C15" w:rsidP="0028067E">
      <w:pPr>
        <w:pStyle w:val="Normal1"/>
        <w:spacing w:after="120"/>
        <w:ind w:left="504" w:hanging="504"/>
      </w:pPr>
      <w:r>
        <w:lastRenderedPageBreak/>
        <w:t>5</w:t>
      </w:r>
      <w:r w:rsidR="00523C0C">
        <w:t>.</w:t>
      </w:r>
      <w:r w:rsidR="00523C0C">
        <w:tab/>
        <w:t>The recommended device or software matches the cognitive and physical capabilities of the member</w:t>
      </w:r>
      <w:r w:rsidR="008F712A">
        <w:t xml:space="preserve">; </w:t>
      </w:r>
      <w:r w:rsidR="00523C0C">
        <w:t>AND</w:t>
      </w:r>
    </w:p>
    <w:p w14:paraId="280A9206" w14:textId="0B40FB68" w:rsidR="00777350" w:rsidRDefault="000E1C15" w:rsidP="0028067E">
      <w:pPr>
        <w:pStyle w:val="Normal1"/>
        <w:spacing w:after="120"/>
        <w:ind w:left="504" w:hanging="504"/>
      </w:pPr>
      <w:r>
        <w:t>6</w:t>
      </w:r>
      <w:r w:rsidR="00523C0C">
        <w:t>.</w:t>
      </w:r>
      <w:r w:rsidR="00523C0C">
        <w:tab/>
        <w:t>Device recommendations include the consideration of the impact of the presence of significant behaviors, if applicable, such as physical aggression and property destruction</w:t>
      </w:r>
      <w:r w:rsidR="008F712A">
        <w:t xml:space="preserve">; </w:t>
      </w:r>
      <w:r w:rsidR="00523C0C">
        <w:t>AND</w:t>
      </w:r>
    </w:p>
    <w:p w14:paraId="688C7539" w14:textId="56F98B70" w:rsidR="00384923" w:rsidRDefault="000E1C15" w:rsidP="0028067E">
      <w:pPr>
        <w:pStyle w:val="Normal1"/>
        <w:spacing w:after="120"/>
        <w:ind w:left="504" w:hanging="504"/>
      </w:pPr>
      <w:r>
        <w:t>7</w:t>
      </w:r>
      <w:r w:rsidR="00523C0C">
        <w:t>.</w:t>
      </w:r>
      <w:r w:rsidR="00523C0C">
        <w:tab/>
        <w:t xml:space="preserve">The member has demonstrated the ability to learn to effectively use the recommended device and accessories or software for functional communication as evidenced by a data-driven device trial supporting the ability to </w:t>
      </w:r>
      <w:r w:rsidR="00FA4407">
        <w:t xml:space="preserve">functionally </w:t>
      </w:r>
      <w:r w:rsidR="00523C0C">
        <w:t xml:space="preserve">use the device and any necessary accessories for communication. </w:t>
      </w:r>
    </w:p>
    <w:p w14:paraId="1B226124" w14:textId="3E672C8B" w:rsidR="000E1C15" w:rsidRDefault="000E1C15" w:rsidP="0028067E">
      <w:pPr>
        <w:pStyle w:val="Normal1"/>
        <w:spacing w:after="120"/>
        <w:ind w:left="504" w:hanging="504"/>
      </w:pPr>
      <w:r>
        <w:t>8.</w:t>
      </w:r>
      <w:r>
        <w:tab/>
        <w:t xml:space="preserve">The recommended </w:t>
      </w:r>
      <w:r w:rsidRPr="000E1C15">
        <w:rPr>
          <w:i/>
          <w:iCs/>
        </w:rPr>
        <w:t>dedicated SGD</w:t>
      </w:r>
      <w:r>
        <w:t xml:space="preserve">, system, or software must be the least costly, medically appropriate alternative eligible for federal matching </w:t>
      </w:r>
      <w:r w:rsidRPr="008E2752">
        <w:t>funds</w:t>
      </w:r>
      <w:r>
        <w:t xml:space="preserve">.    </w:t>
      </w:r>
    </w:p>
    <w:p w14:paraId="2620D792" w14:textId="10C085E8" w:rsidR="00A05D1B" w:rsidRDefault="00384923" w:rsidP="0028067E">
      <w:pPr>
        <w:pStyle w:val="Normal1"/>
        <w:tabs>
          <w:tab w:val="left" w:pos="270"/>
          <w:tab w:val="left" w:pos="360"/>
        </w:tabs>
        <w:spacing w:after="120"/>
        <w:ind w:left="504" w:hanging="504"/>
      </w:pPr>
      <w:r>
        <w:t>9</w:t>
      </w:r>
      <w:r w:rsidR="00A05D1B">
        <w:t xml:space="preserve">.  </w:t>
      </w:r>
      <w:r w:rsidR="00D00BE4">
        <w:tab/>
      </w:r>
      <w:r w:rsidR="00D00BE4">
        <w:tab/>
        <w:t xml:space="preserve">   </w:t>
      </w:r>
      <w:r w:rsidR="006F20CE">
        <w:t xml:space="preserve">For </w:t>
      </w:r>
      <w:r w:rsidR="006F20CE" w:rsidRPr="0053271E">
        <w:rPr>
          <w:rStyle w:val="Emphasis"/>
        </w:rPr>
        <w:t>any</w:t>
      </w:r>
      <w:r w:rsidR="006F20CE">
        <w:rPr>
          <w:rStyle w:val="Emphasis"/>
        </w:rPr>
        <w:t xml:space="preserve"> non-dedicated</w:t>
      </w:r>
      <w:r w:rsidR="006F20CE" w:rsidRPr="0053271E">
        <w:rPr>
          <w:rStyle w:val="Emphasis"/>
        </w:rPr>
        <w:t xml:space="preserve"> SGD</w:t>
      </w:r>
      <w:r w:rsidR="00907599">
        <w:t>, a</w:t>
      </w:r>
      <w:r w:rsidRPr="00EF7AD1">
        <w:t>dditional criteria apply</w:t>
      </w:r>
      <w:r w:rsidR="00907599">
        <w:t>.</w:t>
      </w:r>
      <w:r w:rsidR="003E5A1B">
        <w:t xml:space="preserve"> </w:t>
      </w:r>
      <w:r w:rsidR="00E6764B" w:rsidRPr="000E4058">
        <w:rPr>
          <w:rStyle w:val="Emphasis"/>
        </w:rPr>
        <w:t>C</w:t>
      </w:r>
      <w:r w:rsidR="004A1172" w:rsidRPr="00EF7AD1">
        <w:rPr>
          <w:rStyle w:val="Emphasis"/>
        </w:rPr>
        <w:t>overage of non-dedicated devices</w:t>
      </w:r>
      <w:r w:rsidR="000E4058" w:rsidRPr="000E4058">
        <w:rPr>
          <w:rStyle w:val="Emphasis"/>
        </w:rPr>
        <w:t xml:space="preserve"> is</w:t>
      </w:r>
      <w:r w:rsidR="004A1172" w:rsidRPr="00EF7AD1">
        <w:rPr>
          <w:rStyle w:val="Emphasis"/>
        </w:rPr>
        <w:t xml:space="preserve"> for members </w:t>
      </w:r>
      <w:r w:rsidR="00532640" w:rsidRPr="00EF7AD1">
        <w:rPr>
          <w:rStyle w:val="Emphasis"/>
        </w:rPr>
        <w:t>younger than</w:t>
      </w:r>
      <w:r w:rsidR="004A1172" w:rsidRPr="00EF7AD1">
        <w:rPr>
          <w:rStyle w:val="Emphasis"/>
        </w:rPr>
        <w:t xml:space="preserve"> 21</w:t>
      </w:r>
      <w:r w:rsidR="007D20A4">
        <w:rPr>
          <w:i/>
          <w:iCs/>
        </w:rPr>
        <w:t>,</w:t>
      </w:r>
      <w:r w:rsidR="007D20A4" w:rsidRPr="00EF7AD1">
        <w:rPr>
          <w:i/>
          <w:iCs/>
        </w:rPr>
        <w:t xml:space="preserve"> </w:t>
      </w:r>
      <w:r w:rsidR="00A05D1B" w:rsidRPr="00EF7AD1">
        <w:rPr>
          <w:i/>
          <w:iCs/>
        </w:rPr>
        <w:t>under certain circumstances</w:t>
      </w:r>
      <w:r w:rsidR="00A05D1B">
        <w:t xml:space="preserve">. </w:t>
      </w:r>
      <w:r w:rsidR="00A05D1B" w:rsidRPr="000308BD">
        <w:t xml:space="preserve"> </w:t>
      </w:r>
    </w:p>
    <w:p w14:paraId="54FAC77E" w14:textId="1D5DDD5B" w:rsidR="00A05D1B" w:rsidRDefault="00A05D1B" w:rsidP="0028067E">
      <w:pPr>
        <w:pStyle w:val="Normal1"/>
        <w:spacing w:after="120"/>
        <w:ind w:left="504"/>
      </w:pPr>
      <w:r>
        <w:t>Specifically, MassHealth covers non-dedicated devices for</w:t>
      </w:r>
      <w:r w:rsidR="008F712A">
        <w:t xml:space="preserve"> members who</w:t>
      </w:r>
      <w:r>
        <w:t>:</w:t>
      </w:r>
    </w:p>
    <w:p w14:paraId="33C4033E" w14:textId="3074314A" w:rsidR="00A05D1B" w:rsidRDefault="008F712A" w:rsidP="0028067E">
      <w:pPr>
        <w:pStyle w:val="Normal1"/>
        <w:numPr>
          <w:ilvl w:val="0"/>
          <w:numId w:val="4"/>
        </w:numPr>
        <w:spacing w:after="60"/>
        <w:ind w:left="1440"/>
      </w:pPr>
      <w:r>
        <w:t>are younger than</w:t>
      </w:r>
      <w:r w:rsidR="00A05D1B">
        <w:t xml:space="preserve"> 21;</w:t>
      </w:r>
      <w:r w:rsidR="003D07E5">
        <w:t xml:space="preserve"> AND</w:t>
      </w:r>
    </w:p>
    <w:p w14:paraId="01BD2C88" w14:textId="7493B03B" w:rsidR="00A05D1B" w:rsidRDefault="008F712A" w:rsidP="0028067E">
      <w:pPr>
        <w:pStyle w:val="Normal1"/>
        <w:numPr>
          <w:ilvl w:val="0"/>
          <w:numId w:val="4"/>
        </w:numPr>
        <w:spacing w:after="60"/>
        <w:ind w:left="1440"/>
      </w:pPr>
      <w:r>
        <w:t xml:space="preserve">have </w:t>
      </w:r>
      <w:r w:rsidR="00A05D1B">
        <w:t>a diagnosis of an autism spectrum disorder;</w:t>
      </w:r>
      <w:r w:rsidR="003D07E5">
        <w:t xml:space="preserve"> AND</w:t>
      </w:r>
    </w:p>
    <w:p w14:paraId="51620A10" w14:textId="5D5D0718" w:rsidR="00A05D1B" w:rsidRDefault="00A05D1B" w:rsidP="0028067E">
      <w:pPr>
        <w:pStyle w:val="Normal1"/>
        <w:numPr>
          <w:ilvl w:val="0"/>
          <w:numId w:val="4"/>
        </w:numPr>
        <w:spacing w:after="60"/>
        <w:ind w:left="1440"/>
      </w:pPr>
      <w:r>
        <w:t>meet MassHealth’s PA</w:t>
      </w:r>
      <w:r w:rsidR="00B50E20">
        <w:t xml:space="preserve"> </w:t>
      </w:r>
      <w:r>
        <w:t>requirements set forth in these guidelines;</w:t>
      </w:r>
      <w:r w:rsidR="003D07E5">
        <w:t xml:space="preserve"> AND</w:t>
      </w:r>
    </w:p>
    <w:p w14:paraId="452C3A7F" w14:textId="30730D87" w:rsidR="00A15A08" w:rsidRDefault="008F712A" w:rsidP="0028067E">
      <w:pPr>
        <w:pStyle w:val="Normal1"/>
        <w:numPr>
          <w:ilvl w:val="0"/>
          <w:numId w:val="4"/>
        </w:numPr>
        <w:spacing w:after="60"/>
        <w:ind w:left="1440"/>
      </w:pPr>
      <w:r>
        <w:t xml:space="preserve">have evidence that the </w:t>
      </w:r>
      <w:r w:rsidR="00A05D1B">
        <w:t xml:space="preserve">non-dedicated SGD is determined to be the most clinically appropriate communication device versus a dedicated SGD and all attempts </w:t>
      </w:r>
      <w:r w:rsidR="00532640">
        <w:t xml:space="preserve">have been </w:t>
      </w:r>
      <w:r w:rsidR="00A05D1B">
        <w:t>made to obtain coverage of the non-dedicated SGD through the member’s insurance other than MassHealth (third</w:t>
      </w:r>
      <w:r w:rsidR="00D00BE4">
        <w:t>-</w:t>
      </w:r>
      <w:r w:rsidR="00A05D1B">
        <w:t xml:space="preserve">party liability </w:t>
      </w:r>
      <w:r w:rsidR="00D00BE4">
        <w:t>(</w:t>
      </w:r>
      <w:r w:rsidR="00A05D1B">
        <w:t>TPL</w:t>
      </w:r>
      <w:r w:rsidR="00D00BE4">
        <w:t>)</w:t>
      </w:r>
      <w:r>
        <w:t xml:space="preserve">); </w:t>
      </w:r>
      <w:r w:rsidR="00782D1A">
        <w:t xml:space="preserve">AND </w:t>
      </w:r>
    </w:p>
    <w:p w14:paraId="71E11B45" w14:textId="631CBFE8" w:rsidR="00A05D1B" w:rsidRDefault="00A05D1B" w:rsidP="0028067E">
      <w:pPr>
        <w:pStyle w:val="Normal1"/>
        <w:numPr>
          <w:ilvl w:val="0"/>
          <w:numId w:val="4"/>
        </w:numPr>
        <w:spacing w:after="120"/>
        <w:ind w:left="1440"/>
      </w:pPr>
      <w:r w:rsidRPr="00FA6DF0">
        <w:t xml:space="preserve">MassHealth </w:t>
      </w:r>
      <w:r w:rsidR="007D20A4">
        <w:t xml:space="preserve">has </w:t>
      </w:r>
      <w:r w:rsidRPr="00FA6DF0">
        <w:t>determine</w:t>
      </w:r>
      <w:r w:rsidR="007D20A4">
        <w:t>d</w:t>
      </w:r>
      <w:r w:rsidRPr="00FA6DF0">
        <w:t xml:space="preserve"> that the device meets the cost comparison requirement of M.G.L. c. 118E section 10H.</w:t>
      </w:r>
    </w:p>
    <w:p w14:paraId="17EE257C" w14:textId="68DD35C4" w:rsidR="00A05D1B" w:rsidRDefault="00384923" w:rsidP="00CF6DCA">
      <w:pPr>
        <w:pStyle w:val="Normal1"/>
        <w:ind w:left="504" w:hanging="504"/>
      </w:pPr>
      <w:r>
        <w:t>10</w:t>
      </w:r>
      <w:r w:rsidRPr="00384923">
        <w:t>.</w:t>
      </w:r>
      <w:r w:rsidRPr="00384923">
        <w:tab/>
      </w:r>
      <w:r w:rsidR="007D20A4">
        <w:rPr>
          <w:rStyle w:val="Emphasis"/>
        </w:rPr>
        <w:t>C</w:t>
      </w:r>
      <w:r w:rsidR="007D20A4" w:rsidRPr="00EF7AD1">
        <w:rPr>
          <w:rStyle w:val="Emphasis"/>
        </w:rPr>
        <w:t xml:space="preserve">overage </w:t>
      </w:r>
      <w:r w:rsidR="00E7305A" w:rsidRPr="00EF7AD1">
        <w:rPr>
          <w:rStyle w:val="Emphasis"/>
        </w:rPr>
        <w:t xml:space="preserve">of </w:t>
      </w:r>
      <w:r w:rsidRPr="00EF7AD1">
        <w:rPr>
          <w:rStyle w:val="Emphasis"/>
        </w:rPr>
        <w:t>subsequent upgrade of a previously provided SGD</w:t>
      </w:r>
      <w:r w:rsidR="00E7305A" w:rsidRPr="00EF7AD1">
        <w:rPr>
          <w:rStyle w:val="Emphasis"/>
          <w:i w:val="0"/>
          <w:iCs w:val="0"/>
        </w:rPr>
        <w:t>.</w:t>
      </w:r>
      <w:r w:rsidRPr="00D00BE4">
        <w:t xml:space="preserve"> </w:t>
      </w:r>
      <w:r w:rsidRPr="00384923">
        <w:t>For subsequent upgrade of a previously provided SGD device or software, MassHealth’s determination of medical necessity will also be based on additional clinical data including, but not limited to, clinical data-driven information that demonstrates why the initially covered SGD device or software is no longer clinically effective in meeting the member’s medical need and that supports the functional medical benefit of the upgrade to the member in comparison to the initially provided SGD device or software.</w:t>
      </w:r>
    </w:p>
    <w:p w14:paraId="280A9209" w14:textId="4D650F80" w:rsidR="00BE6B31" w:rsidRDefault="00BE6B31">
      <w:pPr>
        <w:pStyle w:val="Normal1"/>
      </w:pPr>
      <w:r>
        <w:br w:type="page"/>
      </w:r>
    </w:p>
    <w:p w14:paraId="280A920A" w14:textId="77777777" w:rsidR="00777350" w:rsidRPr="005D4957" w:rsidRDefault="00523C0C" w:rsidP="00397AAB">
      <w:pPr>
        <w:pStyle w:val="Heading3"/>
      </w:pPr>
      <w:r w:rsidRPr="005D4957">
        <w:lastRenderedPageBreak/>
        <w:t>B. Noncoverage</w:t>
      </w:r>
    </w:p>
    <w:p w14:paraId="280A920B" w14:textId="6344D880" w:rsidR="00777350" w:rsidRDefault="00523C0C" w:rsidP="0028067E">
      <w:pPr>
        <w:pStyle w:val="Normal1"/>
        <w:spacing w:after="120"/>
      </w:pPr>
      <w:r>
        <w:t xml:space="preserve">Under certain circumstances, MassHealth does not cover </w:t>
      </w:r>
      <w:r w:rsidR="00042879">
        <w:t>a</w:t>
      </w:r>
      <w:r w:rsidR="00B50E20">
        <w:t>n</w:t>
      </w:r>
      <w:r w:rsidR="00042879">
        <w:t xml:space="preserve"> </w:t>
      </w:r>
      <w:r w:rsidR="0085776C">
        <w:t xml:space="preserve">SGD </w:t>
      </w:r>
      <w:r>
        <w:t>or software for devices that produce speech. Examples of such circumstances include, but are not limited to, the following</w:t>
      </w:r>
      <w:r w:rsidR="001F2044">
        <w:t>:</w:t>
      </w:r>
    </w:p>
    <w:p w14:paraId="280A920C" w14:textId="77777777" w:rsidR="00777350" w:rsidRDefault="00523C0C" w:rsidP="0028067E">
      <w:pPr>
        <w:pStyle w:val="Normal1"/>
        <w:spacing w:after="120"/>
        <w:ind w:left="504" w:hanging="504"/>
      </w:pPr>
      <w:r>
        <w:t>1.</w:t>
      </w:r>
      <w:r>
        <w:tab/>
        <w:t>Devices or software used primarily for school or educational purposes.</w:t>
      </w:r>
    </w:p>
    <w:p w14:paraId="280A920D" w14:textId="70C7315A" w:rsidR="00777350" w:rsidRDefault="00523C0C" w:rsidP="0028067E">
      <w:pPr>
        <w:pStyle w:val="Normal1"/>
        <w:spacing w:after="120"/>
        <w:ind w:left="504" w:hanging="504"/>
      </w:pPr>
      <w:r>
        <w:t>2.</w:t>
      </w:r>
      <w:r>
        <w:tab/>
      </w:r>
      <w:r w:rsidR="004A1172">
        <w:t>N</w:t>
      </w:r>
      <w:r>
        <w:t xml:space="preserve">on-dedicated devices that </w:t>
      </w:r>
      <w:r w:rsidR="004A1172">
        <w:t xml:space="preserve">DO </w:t>
      </w:r>
      <w:r w:rsidR="007D20A4" w:rsidRPr="00EC0889">
        <w:t>NOT</w:t>
      </w:r>
      <w:r w:rsidR="007D20A4" w:rsidRPr="007D20A4">
        <w:t xml:space="preserve"> </w:t>
      </w:r>
      <w:r>
        <w:t xml:space="preserve">meet the </w:t>
      </w:r>
      <w:r w:rsidR="005E3B4A">
        <w:t>requirements</w:t>
      </w:r>
      <w:r>
        <w:t xml:space="preserve"> described in Section II.A.</w:t>
      </w:r>
      <w:r w:rsidR="00384923">
        <w:t>9</w:t>
      </w:r>
      <w:r>
        <w:t xml:space="preserve">. for </w:t>
      </w:r>
      <w:r w:rsidR="009346B2">
        <w:t xml:space="preserve">individuals younger than </w:t>
      </w:r>
      <w:r>
        <w:t xml:space="preserve">21 years of age with autism spectrum disorder. </w:t>
      </w:r>
    </w:p>
    <w:p w14:paraId="280A920E" w14:textId="053FC34D" w:rsidR="00777350" w:rsidRDefault="00523C0C" w:rsidP="0028067E">
      <w:pPr>
        <w:pStyle w:val="Normal1"/>
        <w:spacing w:after="120"/>
        <w:ind w:left="504" w:hanging="504"/>
      </w:pPr>
      <w:r>
        <w:t>3.</w:t>
      </w:r>
      <w:r>
        <w:tab/>
        <w:t>Multiuse and general use devices not configured to limit the primary use to a medical purpose, such as for use as a speech-generating device, and not configured to prevent uses unrelated to communication</w:t>
      </w:r>
      <w:r w:rsidR="00515800">
        <w:t>. This does not apply to coverage of non</w:t>
      </w:r>
      <w:r w:rsidR="009346B2">
        <w:t>-</w:t>
      </w:r>
      <w:r w:rsidR="00515800">
        <w:t xml:space="preserve">dedicated devices </w:t>
      </w:r>
      <w:r>
        <w:t xml:space="preserve">for </w:t>
      </w:r>
      <w:r w:rsidR="009346B2">
        <w:t xml:space="preserve">individuals younger than </w:t>
      </w:r>
      <w:r>
        <w:t>21 years of age with autism spectrum disorder</w:t>
      </w:r>
      <w:r w:rsidR="00515800">
        <w:t xml:space="preserve"> pursuant to the requirements of Section II.A.</w:t>
      </w:r>
      <w:r w:rsidR="00451E88">
        <w:t>9</w:t>
      </w:r>
      <w:r w:rsidR="00923704">
        <w:t>.</w:t>
      </w:r>
      <w:r w:rsidR="00515800">
        <w:t xml:space="preserve"> </w:t>
      </w:r>
      <w:r w:rsidR="00031E79">
        <w:t>above</w:t>
      </w:r>
      <w:r>
        <w:t xml:space="preserve">. </w:t>
      </w:r>
    </w:p>
    <w:p w14:paraId="280A920F" w14:textId="77777777" w:rsidR="00777350" w:rsidRDefault="00523C0C" w:rsidP="0028067E">
      <w:pPr>
        <w:pStyle w:val="Normal1"/>
        <w:spacing w:after="120"/>
        <w:ind w:left="504" w:hanging="504"/>
      </w:pPr>
      <w:r>
        <w:t>4.</w:t>
      </w:r>
      <w:r>
        <w:tab/>
        <w:t xml:space="preserve">Devices without accessories to protect them from damage. </w:t>
      </w:r>
    </w:p>
    <w:p w14:paraId="280A9210" w14:textId="77777777" w:rsidR="00777350" w:rsidRDefault="00523C0C" w:rsidP="0028067E">
      <w:pPr>
        <w:pStyle w:val="Normal1"/>
        <w:spacing w:after="120"/>
        <w:ind w:left="504" w:hanging="504"/>
      </w:pPr>
      <w:r>
        <w:t>5.</w:t>
      </w:r>
      <w:r>
        <w:tab/>
        <w:t xml:space="preserve">Duplicate devices or software, including accessories for mounting and protection. </w:t>
      </w:r>
    </w:p>
    <w:p w14:paraId="280A9211" w14:textId="3B88F836" w:rsidR="00777350" w:rsidRDefault="00523C0C" w:rsidP="0028067E">
      <w:pPr>
        <w:pStyle w:val="Normal1"/>
        <w:spacing w:after="120"/>
        <w:ind w:left="504" w:hanging="504"/>
      </w:pPr>
      <w:r>
        <w:t>6.</w:t>
      </w:r>
      <w:r>
        <w:tab/>
        <w:t xml:space="preserve">Web, cellular, or other device connectivity </w:t>
      </w:r>
      <w:r w:rsidR="00C15EB9">
        <w:t>costs</w:t>
      </w:r>
      <w:r>
        <w:t xml:space="preserve">, and home modifications. </w:t>
      </w:r>
    </w:p>
    <w:p w14:paraId="280A9212" w14:textId="7A340CA7" w:rsidR="00777350" w:rsidRDefault="00523C0C">
      <w:pPr>
        <w:pStyle w:val="Normal1"/>
        <w:ind w:left="504" w:hanging="504"/>
      </w:pPr>
      <w:r>
        <w:t>7.</w:t>
      </w:r>
      <w:r>
        <w:tab/>
        <w:t xml:space="preserve">Failure to demonstrate during the trial period or at any subsequent time the ability to learn to </w:t>
      </w:r>
      <w:r w:rsidR="00E27361">
        <w:t xml:space="preserve">functionally </w:t>
      </w:r>
      <w:r>
        <w:t xml:space="preserve">use the device or software for communication. </w:t>
      </w:r>
    </w:p>
    <w:p w14:paraId="280A9213" w14:textId="77777777" w:rsidR="00777350" w:rsidRPr="00630C11" w:rsidRDefault="00523C0C" w:rsidP="00F43A16">
      <w:pPr>
        <w:pStyle w:val="Heading2"/>
      </w:pPr>
      <w:r w:rsidRPr="00630C11">
        <w:t>Section III. Submitting Clinical Documentation</w:t>
      </w:r>
    </w:p>
    <w:p w14:paraId="280A9214" w14:textId="50F9A480" w:rsidR="00777350" w:rsidRPr="0079545C" w:rsidRDefault="00523C0C">
      <w:pPr>
        <w:pStyle w:val="Normal1"/>
      </w:pPr>
      <w:r>
        <w:t xml:space="preserve">All </w:t>
      </w:r>
      <w:r w:rsidR="008352A7">
        <w:t xml:space="preserve">SGD, </w:t>
      </w:r>
      <w:r>
        <w:t>software</w:t>
      </w:r>
      <w:r w:rsidR="0085776C">
        <w:t>, and accessories</w:t>
      </w:r>
      <w:r>
        <w:t xml:space="preserve"> require PA from MassHealth. Requests for PA for </w:t>
      </w:r>
      <w:r w:rsidR="008352A7">
        <w:t>SGD must</w:t>
      </w:r>
      <w:r>
        <w:t xml:space="preserve"> be accompanied by clinical documentation that supports the medical necessity for </w:t>
      </w:r>
      <w:r w:rsidR="009125E2">
        <w:t>SGD,</w:t>
      </w:r>
      <w:r>
        <w:t xml:space="preserve"> as described in Section III.A. below, and must be submitted to MassHealth in accordance with 130 CMR 450.204 and 130 CMR 409.000, and</w:t>
      </w:r>
      <w:proofErr w:type="gramStart"/>
      <w:r>
        <w:t>, in particular, section</w:t>
      </w:r>
      <w:proofErr w:type="gramEnd"/>
      <w:r>
        <w:t xml:space="preserve"> 130 CMR 409.428. Required clinical documentation can be found </w:t>
      </w:r>
      <w:r w:rsidRPr="0079545C">
        <w:t xml:space="preserve">below in subsection A and </w:t>
      </w:r>
      <w:r w:rsidR="00C0376D">
        <w:t xml:space="preserve">in the </w:t>
      </w:r>
      <w:r w:rsidRPr="0079545C">
        <w:t>instructions for submission of the PA request in subsection B.</w:t>
      </w:r>
    </w:p>
    <w:p w14:paraId="280A9215" w14:textId="014A7B0E" w:rsidR="00777350" w:rsidRPr="0079545C" w:rsidRDefault="00523C0C" w:rsidP="0028067E">
      <w:pPr>
        <w:pStyle w:val="Heading3"/>
        <w:spacing w:after="120"/>
      </w:pPr>
      <w:r w:rsidRPr="0079545C">
        <w:t>A.</w:t>
      </w:r>
      <w:r w:rsidR="00397AAB">
        <w:t xml:space="preserve"> </w:t>
      </w:r>
      <w:r w:rsidRPr="0079545C">
        <w:t xml:space="preserve">Documentation of medical necessity </w:t>
      </w:r>
      <w:r w:rsidRPr="0079545C">
        <w:rPr>
          <w:i/>
        </w:rPr>
        <w:t xml:space="preserve">for all </w:t>
      </w:r>
      <w:r w:rsidR="0085776C">
        <w:rPr>
          <w:i/>
        </w:rPr>
        <w:t>SGD, software</w:t>
      </w:r>
      <w:r w:rsidR="009B0064">
        <w:rPr>
          <w:i/>
        </w:rPr>
        <w:t>,</w:t>
      </w:r>
      <w:r w:rsidR="0085776C">
        <w:rPr>
          <w:i/>
        </w:rPr>
        <w:t xml:space="preserve"> and </w:t>
      </w:r>
      <w:r w:rsidR="009125E2">
        <w:rPr>
          <w:i/>
        </w:rPr>
        <w:t xml:space="preserve">accessories </w:t>
      </w:r>
      <w:r w:rsidR="009125E2" w:rsidRPr="0079545C">
        <w:t>must</w:t>
      </w:r>
      <w:r w:rsidRPr="0079545C">
        <w:t xml:space="preserve"> include </w:t>
      </w:r>
      <w:proofErr w:type="gramStart"/>
      <w:r w:rsidRPr="0079545C">
        <w:t>all of</w:t>
      </w:r>
      <w:proofErr w:type="gramEnd"/>
      <w:r w:rsidRPr="0079545C">
        <w:t xml:space="preserve"> the following:</w:t>
      </w:r>
    </w:p>
    <w:p w14:paraId="280A9216" w14:textId="18A5E9EF" w:rsidR="00777350" w:rsidRDefault="00523C0C" w:rsidP="0028067E">
      <w:pPr>
        <w:pStyle w:val="Normal1"/>
        <w:pBdr>
          <w:top w:val="nil"/>
          <w:left w:val="nil"/>
          <w:bottom w:val="nil"/>
          <w:right w:val="nil"/>
          <w:between w:val="nil"/>
        </w:pBdr>
        <w:spacing w:after="120"/>
        <w:ind w:left="504" w:hanging="504"/>
        <w:rPr>
          <w:color w:val="000000"/>
        </w:rPr>
      </w:pPr>
      <w:r w:rsidRPr="0079545C">
        <w:rPr>
          <w:color w:val="000000"/>
        </w:rPr>
        <w:t>1.</w:t>
      </w:r>
      <w:r w:rsidRPr="0079545C">
        <w:rPr>
          <w:color w:val="000000"/>
        </w:rPr>
        <w:tab/>
        <w:t xml:space="preserve">A prescription </w:t>
      </w:r>
      <w:r w:rsidR="00C360C1">
        <w:rPr>
          <w:color w:val="211D1E"/>
        </w:rPr>
        <w:t xml:space="preserve">or a </w:t>
      </w:r>
      <w:hyperlink r:id="rId10" w:history="1">
        <w:r w:rsidR="00C360C1" w:rsidRPr="00514030">
          <w:rPr>
            <w:rStyle w:val="Hyperlink"/>
          </w:rPr>
          <w:t xml:space="preserve">MassHealth </w:t>
        </w:r>
        <w:r w:rsidR="007437BD" w:rsidRPr="00514030">
          <w:rPr>
            <w:rStyle w:val="Hyperlink"/>
          </w:rPr>
          <w:t xml:space="preserve">DME </w:t>
        </w:r>
        <w:r w:rsidR="00C360C1" w:rsidRPr="00514030">
          <w:rPr>
            <w:rStyle w:val="Hyperlink"/>
          </w:rPr>
          <w:t>Prescription and Medical Necessity Review Form</w:t>
        </w:r>
      </w:hyperlink>
      <w:r w:rsidR="00C360C1">
        <w:rPr>
          <w:color w:val="000000"/>
        </w:rPr>
        <w:t xml:space="preserve"> </w:t>
      </w:r>
      <w:r w:rsidR="00C0376D">
        <w:rPr>
          <w:color w:val="211D1E"/>
        </w:rPr>
        <w:t>completed</w:t>
      </w:r>
      <w:r w:rsidR="00C360C1">
        <w:rPr>
          <w:color w:val="000000"/>
        </w:rPr>
        <w:t xml:space="preserve"> </w:t>
      </w:r>
      <w:r w:rsidRPr="0079545C">
        <w:rPr>
          <w:color w:val="000000"/>
        </w:rPr>
        <w:t xml:space="preserve">by the </w:t>
      </w:r>
      <w:r w:rsidR="00630C11">
        <w:rPr>
          <w:color w:val="000000"/>
        </w:rPr>
        <w:t xml:space="preserve">ordering practitioner </w:t>
      </w:r>
      <w:r w:rsidR="008F12F0">
        <w:rPr>
          <w:color w:val="000000"/>
        </w:rPr>
        <w:t xml:space="preserve">in accordance </w:t>
      </w:r>
      <w:r w:rsidR="00431DBF">
        <w:rPr>
          <w:color w:val="000000"/>
        </w:rPr>
        <w:t>with</w:t>
      </w:r>
      <w:r w:rsidR="008F12F0">
        <w:rPr>
          <w:color w:val="000000"/>
        </w:rPr>
        <w:t xml:space="preserve"> 130 CMR 409.416</w:t>
      </w:r>
      <w:r w:rsidR="00C0376D">
        <w:rPr>
          <w:color w:val="000000"/>
        </w:rPr>
        <w:t>,</w:t>
      </w:r>
      <w:r w:rsidR="008F12F0">
        <w:rPr>
          <w:color w:val="000000"/>
        </w:rPr>
        <w:t xml:space="preserve"> </w:t>
      </w:r>
      <w:r w:rsidRPr="0079545C">
        <w:rPr>
          <w:color w:val="000000"/>
        </w:rPr>
        <w:t>documenting</w:t>
      </w:r>
      <w:r>
        <w:rPr>
          <w:color w:val="000000"/>
        </w:rPr>
        <w:t xml:space="preserve"> the following information:</w:t>
      </w:r>
    </w:p>
    <w:p w14:paraId="5CB15C12" w14:textId="1593C5B8" w:rsidR="008F12F0" w:rsidRPr="008F12F0" w:rsidRDefault="008F12F0" w:rsidP="0028067E">
      <w:pPr>
        <w:pStyle w:val="Normal1"/>
        <w:numPr>
          <w:ilvl w:val="0"/>
          <w:numId w:val="18"/>
        </w:numPr>
        <w:pBdr>
          <w:top w:val="nil"/>
          <w:left w:val="nil"/>
          <w:bottom w:val="nil"/>
          <w:right w:val="nil"/>
          <w:between w:val="nil"/>
        </w:pBdr>
        <w:spacing w:after="120"/>
        <w:rPr>
          <w:color w:val="000000"/>
        </w:rPr>
      </w:pPr>
      <w:r w:rsidRPr="008F12F0">
        <w:rPr>
          <w:color w:val="000000"/>
        </w:rPr>
        <w:t xml:space="preserve">the member’s </w:t>
      </w:r>
      <w:proofErr w:type="gramStart"/>
      <w:r w:rsidRPr="008F12F0">
        <w:rPr>
          <w:color w:val="000000"/>
        </w:rPr>
        <w:t>name;</w:t>
      </w:r>
      <w:proofErr w:type="gramEnd"/>
      <w:r w:rsidRPr="008F12F0">
        <w:rPr>
          <w:color w:val="000000"/>
        </w:rPr>
        <w:t xml:space="preserve"> </w:t>
      </w:r>
    </w:p>
    <w:p w14:paraId="1B260019" w14:textId="79F69B0A" w:rsidR="008F12F0" w:rsidRPr="008F12F0" w:rsidRDefault="008F12F0" w:rsidP="0028067E">
      <w:pPr>
        <w:pStyle w:val="Normal1"/>
        <w:numPr>
          <w:ilvl w:val="0"/>
          <w:numId w:val="18"/>
        </w:numPr>
        <w:pBdr>
          <w:top w:val="nil"/>
          <w:left w:val="nil"/>
          <w:bottom w:val="nil"/>
          <w:right w:val="nil"/>
          <w:between w:val="nil"/>
        </w:pBdr>
        <w:spacing w:after="120"/>
        <w:rPr>
          <w:color w:val="000000"/>
        </w:rPr>
      </w:pPr>
      <w:r w:rsidRPr="008F12F0">
        <w:rPr>
          <w:color w:val="000000"/>
        </w:rPr>
        <w:t xml:space="preserve">the date of the </w:t>
      </w:r>
      <w:proofErr w:type="gramStart"/>
      <w:r w:rsidRPr="008F12F0">
        <w:rPr>
          <w:color w:val="000000"/>
        </w:rPr>
        <w:t>prescription;</w:t>
      </w:r>
      <w:proofErr w:type="gramEnd"/>
      <w:r w:rsidRPr="008F12F0">
        <w:rPr>
          <w:color w:val="000000"/>
        </w:rPr>
        <w:t xml:space="preserve"> </w:t>
      </w:r>
    </w:p>
    <w:p w14:paraId="1BDE8598" w14:textId="0F95EB44" w:rsidR="008F12F0" w:rsidRPr="008F12F0" w:rsidRDefault="008F12F0" w:rsidP="0028067E">
      <w:pPr>
        <w:pStyle w:val="Normal1"/>
        <w:numPr>
          <w:ilvl w:val="0"/>
          <w:numId w:val="18"/>
        </w:numPr>
        <w:pBdr>
          <w:top w:val="nil"/>
          <w:left w:val="nil"/>
          <w:bottom w:val="nil"/>
          <w:right w:val="nil"/>
          <w:between w:val="nil"/>
        </w:pBdr>
        <w:spacing w:after="120"/>
        <w:rPr>
          <w:color w:val="000000"/>
        </w:rPr>
      </w:pPr>
      <w:r w:rsidRPr="008F12F0">
        <w:rPr>
          <w:color w:val="000000"/>
        </w:rPr>
        <w:t>the name and quantity of the prescribed item and the number of refills (if appropriate</w:t>
      </w:r>
      <w:proofErr w:type="gramStart"/>
      <w:r w:rsidRPr="008F12F0">
        <w:rPr>
          <w:color w:val="000000"/>
        </w:rPr>
        <w:t>);</w:t>
      </w:r>
      <w:proofErr w:type="gramEnd"/>
      <w:r w:rsidRPr="008F12F0">
        <w:rPr>
          <w:color w:val="000000"/>
        </w:rPr>
        <w:t xml:space="preserve"> </w:t>
      </w:r>
    </w:p>
    <w:p w14:paraId="42B7C8C6" w14:textId="4755DE1F" w:rsidR="008F12F0" w:rsidRPr="008F12F0" w:rsidRDefault="008F12F0" w:rsidP="0028067E">
      <w:pPr>
        <w:pStyle w:val="Normal1"/>
        <w:numPr>
          <w:ilvl w:val="0"/>
          <w:numId w:val="18"/>
        </w:numPr>
        <w:pBdr>
          <w:top w:val="nil"/>
          <w:left w:val="nil"/>
          <w:bottom w:val="nil"/>
          <w:right w:val="nil"/>
          <w:between w:val="nil"/>
        </w:pBdr>
        <w:spacing w:after="120"/>
        <w:rPr>
          <w:color w:val="000000"/>
        </w:rPr>
      </w:pPr>
      <w:r w:rsidRPr="008F12F0">
        <w:rPr>
          <w:color w:val="000000"/>
        </w:rPr>
        <w:t xml:space="preserve">the name, </w:t>
      </w:r>
      <w:r w:rsidR="00C0376D">
        <w:rPr>
          <w:color w:val="000000"/>
        </w:rPr>
        <w:t>National Provider Identifier (</w:t>
      </w:r>
      <w:r w:rsidRPr="008F12F0">
        <w:rPr>
          <w:color w:val="000000"/>
        </w:rPr>
        <w:t>NPI</w:t>
      </w:r>
      <w:r w:rsidR="00C0376D">
        <w:rPr>
          <w:color w:val="000000"/>
        </w:rPr>
        <w:t>)</w:t>
      </w:r>
      <w:r w:rsidRPr="008F12F0">
        <w:rPr>
          <w:color w:val="000000"/>
        </w:rPr>
        <w:t xml:space="preserve"> number, and signature of the ordering practitioner and date </w:t>
      </w:r>
      <w:proofErr w:type="gramStart"/>
      <w:r w:rsidRPr="008F12F0">
        <w:rPr>
          <w:color w:val="000000"/>
        </w:rPr>
        <w:t>signed;</w:t>
      </w:r>
      <w:proofErr w:type="gramEnd"/>
      <w:r w:rsidRPr="008F12F0">
        <w:rPr>
          <w:color w:val="000000"/>
        </w:rPr>
        <w:t xml:space="preserve"> </w:t>
      </w:r>
    </w:p>
    <w:p w14:paraId="1F9E2262" w14:textId="32231E39" w:rsidR="008F12F0" w:rsidRPr="008F12F0" w:rsidRDefault="008F12F0" w:rsidP="0028067E">
      <w:pPr>
        <w:pStyle w:val="Normal1"/>
        <w:numPr>
          <w:ilvl w:val="0"/>
          <w:numId w:val="18"/>
        </w:numPr>
        <w:pBdr>
          <w:top w:val="nil"/>
          <w:left w:val="nil"/>
          <w:bottom w:val="nil"/>
          <w:right w:val="nil"/>
          <w:between w:val="nil"/>
        </w:pBdr>
        <w:spacing w:after="120"/>
        <w:rPr>
          <w:color w:val="000000"/>
        </w:rPr>
      </w:pPr>
      <w:r w:rsidRPr="008F12F0">
        <w:rPr>
          <w:color w:val="000000"/>
        </w:rPr>
        <w:t xml:space="preserve">medical justification for the item(s) being requested, including diagnosis or ICD-10 </w:t>
      </w:r>
      <w:proofErr w:type="gramStart"/>
      <w:r w:rsidRPr="008F12F0">
        <w:rPr>
          <w:color w:val="000000"/>
        </w:rPr>
        <w:t>code;</w:t>
      </w:r>
      <w:proofErr w:type="gramEnd"/>
      <w:r w:rsidRPr="008F12F0">
        <w:rPr>
          <w:color w:val="000000"/>
        </w:rPr>
        <w:t xml:space="preserve"> </w:t>
      </w:r>
    </w:p>
    <w:p w14:paraId="18B1BADA" w14:textId="7AC88D4A" w:rsidR="00D00BE4" w:rsidRPr="008F12F0" w:rsidRDefault="008F12F0" w:rsidP="0028067E">
      <w:pPr>
        <w:pStyle w:val="Normal1"/>
        <w:numPr>
          <w:ilvl w:val="0"/>
          <w:numId w:val="18"/>
        </w:numPr>
        <w:pBdr>
          <w:top w:val="nil"/>
          <w:left w:val="nil"/>
          <w:bottom w:val="nil"/>
          <w:right w:val="nil"/>
          <w:between w:val="nil"/>
        </w:pBdr>
        <w:spacing w:after="120"/>
        <w:rPr>
          <w:color w:val="000000"/>
        </w:rPr>
      </w:pPr>
      <w:r w:rsidRPr="008F12F0">
        <w:rPr>
          <w:color w:val="000000"/>
        </w:rPr>
        <w:lastRenderedPageBreak/>
        <w:t xml:space="preserve">the equipment settings, hours to be used per day, options, or additional features, as they pertain to the </w:t>
      </w:r>
      <w:proofErr w:type="gramStart"/>
      <w:r w:rsidRPr="008F12F0">
        <w:rPr>
          <w:color w:val="000000"/>
        </w:rPr>
        <w:t>equipment;</w:t>
      </w:r>
      <w:proofErr w:type="gramEnd"/>
      <w:r w:rsidRPr="008F12F0">
        <w:rPr>
          <w:color w:val="000000"/>
        </w:rPr>
        <w:t xml:space="preserve"> </w:t>
      </w:r>
    </w:p>
    <w:p w14:paraId="081569A2" w14:textId="1A7955FA" w:rsidR="008F12F0" w:rsidRPr="008F12F0" w:rsidRDefault="001F2044" w:rsidP="0028067E">
      <w:pPr>
        <w:pStyle w:val="Normal1"/>
        <w:numPr>
          <w:ilvl w:val="0"/>
          <w:numId w:val="18"/>
        </w:numPr>
        <w:pBdr>
          <w:top w:val="nil"/>
          <w:left w:val="nil"/>
          <w:bottom w:val="nil"/>
          <w:right w:val="nil"/>
          <w:between w:val="nil"/>
        </w:pBdr>
        <w:spacing w:after="120"/>
        <w:rPr>
          <w:color w:val="000000"/>
        </w:rPr>
      </w:pPr>
      <w:r>
        <w:rPr>
          <w:color w:val="000000"/>
        </w:rPr>
        <w:t xml:space="preserve">anticipated </w:t>
      </w:r>
      <w:r w:rsidR="008F12F0" w:rsidRPr="008F12F0">
        <w:rPr>
          <w:color w:val="000000"/>
        </w:rPr>
        <w:t xml:space="preserve">length of </w:t>
      </w:r>
      <w:proofErr w:type="gramStart"/>
      <w:r w:rsidR="008F12F0" w:rsidRPr="008F12F0">
        <w:rPr>
          <w:color w:val="000000"/>
        </w:rPr>
        <w:t>need;</w:t>
      </w:r>
      <w:proofErr w:type="gramEnd"/>
      <w:r w:rsidR="008F12F0" w:rsidRPr="008F12F0">
        <w:rPr>
          <w:color w:val="000000"/>
        </w:rPr>
        <w:t xml:space="preserve"> </w:t>
      </w:r>
    </w:p>
    <w:p w14:paraId="7097469A" w14:textId="39B43033" w:rsidR="008F12F0" w:rsidRPr="008F12F0" w:rsidRDefault="008F12F0" w:rsidP="0028067E">
      <w:pPr>
        <w:pStyle w:val="Normal1"/>
        <w:numPr>
          <w:ilvl w:val="0"/>
          <w:numId w:val="18"/>
        </w:numPr>
        <w:pBdr>
          <w:top w:val="nil"/>
          <w:left w:val="nil"/>
          <w:bottom w:val="nil"/>
          <w:right w:val="nil"/>
          <w:between w:val="nil"/>
        </w:pBdr>
        <w:spacing w:after="120"/>
        <w:rPr>
          <w:color w:val="000000"/>
        </w:rPr>
      </w:pPr>
      <w:r w:rsidRPr="008F12F0">
        <w:rPr>
          <w:color w:val="000000"/>
        </w:rPr>
        <w:t xml:space="preserve">the expected outcome and therapeutic benefit of providing the requested item(s) or </w:t>
      </w:r>
      <w:r w:rsidR="003F45F6" w:rsidRPr="008F12F0">
        <w:rPr>
          <w:color w:val="000000"/>
        </w:rPr>
        <w:t>treatment, when</w:t>
      </w:r>
      <w:r w:rsidRPr="008F12F0">
        <w:rPr>
          <w:color w:val="000000"/>
        </w:rPr>
        <w:t xml:space="preserve"> requested; and </w:t>
      </w:r>
    </w:p>
    <w:p w14:paraId="5586875D" w14:textId="22443CA9" w:rsidR="008F12F0" w:rsidRDefault="00C35403" w:rsidP="00FC1480">
      <w:pPr>
        <w:pStyle w:val="Normal1"/>
        <w:numPr>
          <w:ilvl w:val="0"/>
          <w:numId w:val="18"/>
        </w:numPr>
        <w:pBdr>
          <w:top w:val="nil"/>
          <w:left w:val="nil"/>
          <w:bottom w:val="nil"/>
          <w:right w:val="nil"/>
          <w:between w:val="nil"/>
        </w:pBdr>
        <w:rPr>
          <w:color w:val="000000"/>
        </w:rPr>
      </w:pPr>
      <w:r>
        <w:rPr>
          <w:color w:val="000000"/>
        </w:rPr>
        <w:t xml:space="preserve">upon request, </w:t>
      </w:r>
      <w:r w:rsidR="008F12F0" w:rsidRPr="008F12F0">
        <w:rPr>
          <w:color w:val="000000"/>
        </w:rPr>
        <w:t xml:space="preserve">a summary of any previous treatment plan, including outcomes, that was used to treat the diagnosed condition for which the prescribed treatment is being recommended. </w:t>
      </w:r>
    </w:p>
    <w:p w14:paraId="280A9223" w14:textId="60B85CB1" w:rsidR="00777350" w:rsidRDefault="00523C0C" w:rsidP="0028067E">
      <w:pPr>
        <w:pStyle w:val="Normal1"/>
        <w:pBdr>
          <w:top w:val="nil"/>
          <w:left w:val="nil"/>
          <w:bottom w:val="nil"/>
          <w:right w:val="nil"/>
          <w:between w:val="nil"/>
        </w:pBdr>
        <w:spacing w:after="120"/>
        <w:ind w:left="504" w:hanging="504"/>
        <w:rPr>
          <w:color w:val="000000"/>
        </w:rPr>
      </w:pPr>
      <w:r>
        <w:rPr>
          <w:color w:val="000000"/>
        </w:rPr>
        <w:t>2.</w:t>
      </w:r>
      <w:r>
        <w:rPr>
          <w:color w:val="000000"/>
        </w:rPr>
        <w:tab/>
        <w:t xml:space="preserve">A formal </w:t>
      </w:r>
      <w:r w:rsidR="007437BD">
        <w:rPr>
          <w:color w:val="000000"/>
        </w:rPr>
        <w:t xml:space="preserve">evaluation </w:t>
      </w:r>
      <w:r>
        <w:rPr>
          <w:color w:val="000000"/>
        </w:rPr>
        <w:t xml:space="preserve">and assessment by a licensed speech-language pathologist </w:t>
      </w:r>
      <w:r>
        <w:rPr>
          <w:color w:val="211D1E"/>
        </w:rPr>
        <w:t>experienced in AAC service delivery</w:t>
      </w:r>
      <w:r>
        <w:rPr>
          <w:color w:val="000000"/>
        </w:rPr>
        <w:t xml:space="preserve"> within six months </w:t>
      </w:r>
      <w:r w:rsidR="00964188">
        <w:rPr>
          <w:color w:val="000000"/>
        </w:rPr>
        <w:t>before</w:t>
      </w:r>
      <w:r>
        <w:rPr>
          <w:color w:val="000000"/>
        </w:rPr>
        <w:t xml:space="preserve"> the date of the written PA request. The evaluation of communication skills and needs, cognition, and motor and visual abilities conducted must include the following elements</w:t>
      </w:r>
      <w:r w:rsidR="007437BD">
        <w:rPr>
          <w:color w:val="000000"/>
        </w:rPr>
        <w:t>:</w:t>
      </w:r>
      <w:r>
        <w:rPr>
          <w:color w:val="000000"/>
        </w:rPr>
        <w:t xml:space="preserve"> </w:t>
      </w:r>
    </w:p>
    <w:p w14:paraId="280A9224" w14:textId="77777777" w:rsidR="00777350" w:rsidRDefault="00523C0C" w:rsidP="0028067E">
      <w:pPr>
        <w:pStyle w:val="Normal1"/>
        <w:pBdr>
          <w:top w:val="nil"/>
          <w:left w:val="nil"/>
          <w:bottom w:val="nil"/>
          <w:right w:val="nil"/>
          <w:between w:val="nil"/>
        </w:pBdr>
        <w:spacing w:after="120"/>
        <w:ind w:left="1008" w:hanging="504"/>
        <w:rPr>
          <w:color w:val="000000"/>
        </w:rPr>
      </w:pPr>
      <w:r>
        <w:rPr>
          <w:color w:val="000000"/>
        </w:rPr>
        <w:t>a.</w:t>
      </w:r>
      <w:r>
        <w:rPr>
          <w:color w:val="000000"/>
        </w:rPr>
        <w:tab/>
        <w:t>Communication abilities and levels of function (including results of most recent formal and informal testing, name of test, and date performed, as appropriate):</w:t>
      </w:r>
    </w:p>
    <w:p w14:paraId="280A9225" w14:textId="585BCC03" w:rsidR="00777350" w:rsidRDefault="00523C0C" w:rsidP="0028067E">
      <w:pPr>
        <w:pStyle w:val="Normal1"/>
        <w:pBdr>
          <w:top w:val="nil"/>
          <w:left w:val="nil"/>
          <w:bottom w:val="nil"/>
          <w:right w:val="nil"/>
          <w:between w:val="nil"/>
        </w:pBdr>
        <w:spacing w:after="120"/>
        <w:ind w:left="1512" w:hanging="504"/>
        <w:rPr>
          <w:color w:val="000000"/>
        </w:rPr>
      </w:pPr>
      <w:proofErr w:type="spellStart"/>
      <w:r>
        <w:rPr>
          <w:color w:val="000000"/>
        </w:rPr>
        <w:t>i</w:t>
      </w:r>
      <w:proofErr w:type="spellEnd"/>
      <w:r>
        <w:rPr>
          <w:color w:val="000000"/>
        </w:rPr>
        <w:t>.</w:t>
      </w:r>
      <w:r>
        <w:rPr>
          <w:color w:val="000000"/>
        </w:rPr>
        <w:tab/>
        <w:t>Speech (articulation/intelligibility, oral-motor function, respiratory insufficiency, and other relevant information</w:t>
      </w:r>
      <w:proofErr w:type="gramStart"/>
      <w:r>
        <w:rPr>
          <w:color w:val="000000"/>
        </w:rPr>
        <w:t>)</w:t>
      </w:r>
      <w:r w:rsidR="00964188">
        <w:rPr>
          <w:color w:val="000000"/>
        </w:rPr>
        <w:t>;</w:t>
      </w:r>
      <w:proofErr w:type="gramEnd"/>
    </w:p>
    <w:p w14:paraId="280A9226" w14:textId="54AE72BE" w:rsidR="00777350" w:rsidRDefault="00523C0C" w:rsidP="0028067E">
      <w:pPr>
        <w:pStyle w:val="Normal1"/>
        <w:pBdr>
          <w:top w:val="nil"/>
          <w:left w:val="nil"/>
          <w:bottom w:val="nil"/>
          <w:right w:val="nil"/>
          <w:between w:val="nil"/>
        </w:pBdr>
        <w:spacing w:after="120"/>
        <w:ind w:left="1512" w:hanging="504"/>
        <w:rPr>
          <w:color w:val="000000"/>
        </w:rPr>
      </w:pPr>
      <w:r>
        <w:rPr>
          <w:color w:val="000000"/>
        </w:rPr>
        <w:t>ii.</w:t>
      </w:r>
      <w:r>
        <w:rPr>
          <w:color w:val="000000"/>
        </w:rPr>
        <w:tab/>
        <w:t xml:space="preserve">Expressive </w:t>
      </w:r>
      <w:proofErr w:type="gramStart"/>
      <w:r>
        <w:rPr>
          <w:color w:val="000000"/>
        </w:rPr>
        <w:t>language</w:t>
      </w:r>
      <w:r w:rsidR="00964188">
        <w:rPr>
          <w:color w:val="000000"/>
        </w:rPr>
        <w:t>;</w:t>
      </w:r>
      <w:proofErr w:type="gramEnd"/>
    </w:p>
    <w:p w14:paraId="280A9227" w14:textId="4374D331" w:rsidR="00777350" w:rsidRDefault="00523C0C" w:rsidP="0028067E">
      <w:pPr>
        <w:pStyle w:val="Normal1"/>
        <w:pBdr>
          <w:top w:val="nil"/>
          <w:left w:val="nil"/>
          <w:bottom w:val="nil"/>
          <w:right w:val="nil"/>
          <w:between w:val="nil"/>
        </w:pBdr>
        <w:spacing w:after="120"/>
        <w:ind w:left="1512" w:hanging="504"/>
        <w:rPr>
          <w:color w:val="000000"/>
        </w:rPr>
      </w:pPr>
      <w:r>
        <w:rPr>
          <w:color w:val="000000"/>
        </w:rPr>
        <w:t>iii.</w:t>
      </w:r>
      <w:r>
        <w:rPr>
          <w:color w:val="000000"/>
        </w:rPr>
        <w:tab/>
        <w:t xml:space="preserve">Receptive </w:t>
      </w:r>
      <w:proofErr w:type="gramStart"/>
      <w:r>
        <w:rPr>
          <w:color w:val="000000"/>
        </w:rPr>
        <w:t>language</w:t>
      </w:r>
      <w:r w:rsidR="00964188">
        <w:rPr>
          <w:color w:val="000000"/>
        </w:rPr>
        <w:t>;</w:t>
      </w:r>
      <w:proofErr w:type="gramEnd"/>
    </w:p>
    <w:p w14:paraId="280A9228" w14:textId="73D6D56A" w:rsidR="00777350" w:rsidRDefault="00523C0C" w:rsidP="0028067E">
      <w:pPr>
        <w:pStyle w:val="Normal1"/>
        <w:pBdr>
          <w:top w:val="nil"/>
          <w:left w:val="nil"/>
          <w:bottom w:val="nil"/>
          <w:right w:val="nil"/>
          <w:between w:val="nil"/>
        </w:pBdr>
        <w:spacing w:after="120"/>
        <w:ind w:left="1512" w:hanging="504"/>
        <w:rPr>
          <w:color w:val="000000"/>
        </w:rPr>
      </w:pPr>
      <w:r>
        <w:rPr>
          <w:color w:val="000000"/>
        </w:rPr>
        <w:t>iv.</w:t>
      </w:r>
      <w:r>
        <w:rPr>
          <w:color w:val="000000"/>
        </w:rPr>
        <w:tab/>
        <w:t>Use of nonverbal communication strategies (signs, eye gaze, gestures, or other nonverbal communication strategies</w:t>
      </w:r>
      <w:proofErr w:type="gramStart"/>
      <w:r>
        <w:rPr>
          <w:color w:val="000000"/>
        </w:rPr>
        <w:t>)</w:t>
      </w:r>
      <w:r w:rsidR="00964188">
        <w:rPr>
          <w:color w:val="000000"/>
        </w:rPr>
        <w:t>;</w:t>
      </w:r>
      <w:proofErr w:type="gramEnd"/>
      <w:r>
        <w:rPr>
          <w:color w:val="000000"/>
        </w:rPr>
        <w:t xml:space="preserve"> </w:t>
      </w:r>
    </w:p>
    <w:p w14:paraId="280A9229" w14:textId="13C642D0" w:rsidR="00777350" w:rsidRDefault="00523C0C" w:rsidP="0028067E">
      <w:pPr>
        <w:pStyle w:val="Normal1"/>
        <w:pBdr>
          <w:top w:val="nil"/>
          <w:left w:val="nil"/>
          <w:bottom w:val="nil"/>
          <w:right w:val="nil"/>
          <w:between w:val="nil"/>
        </w:pBdr>
        <w:spacing w:after="120"/>
        <w:ind w:left="1512" w:hanging="504"/>
        <w:rPr>
          <w:color w:val="000000"/>
        </w:rPr>
      </w:pPr>
      <w:r>
        <w:rPr>
          <w:color w:val="000000"/>
        </w:rPr>
        <w:t>v.</w:t>
      </w:r>
      <w:r>
        <w:rPr>
          <w:color w:val="000000"/>
        </w:rPr>
        <w:tab/>
      </w:r>
      <w:proofErr w:type="gramStart"/>
      <w:r>
        <w:rPr>
          <w:color w:val="000000"/>
        </w:rPr>
        <w:t>Other</w:t>
      </w:r>
      <w:proofErr w:type="gramEnd"/>
      <w:r>
        <w:rPr>
          <w:color w:val="000000"/>
        </w:rPr>
        <w:t xml:space="preserve"> language skills (reading, writing, telephone, and computer)</w:t>
      </w:r>
      <w:r w:rsidR="00964188">
        <w:rPr>
          <w:color w:val="000000"/>
        </w:rPr>
        <w:t>;</w:t>
      </w:r>
    </w:p>
    <w:p w14:paraId="280A922A" w14:textId="1BC8D0F0" w:rsidR="00777350" w:rsidRDefault="00523C0C" w:rsidP="0028067E">
      <w:pPr>
        <w:pStyle w:val="Normal1"/>
        <w:pBdr>
          <w:top w:val="nil"/>
          <w:left w:val="nil"/>
          <w:bottom w:val="nil"/>
          <w:right w:val="nil"/>
          <w:between w:val="nil"/>
        </w:pBdr>
        <w:spacing w:after="120"/>
        <w:ind w:left="1512" w:hanging="504"/>
        <w:rPr>
          <w:color w:val="000000"/>
        </w:rPr>
      </w:pPr>
      <w:r>
        <w:rPr>
          <w:color w:val="000000"/>
        </w:rPr>
        <w:t>vi.</w:t>
      </w:r>
      <w:r>
        <w:rPr>
          <w:color w:val="000000"/>
        </w:rPr>
        <w:tab/>
        <w:t xml:space="preserve">Current and previous history using AAC devices, including dates </w:t>
      </w:r>
      <w:r w:rsidR="00C35403">
        <w:rPr>
          <w:color w:val="000000"/>
        </w:rPr>
        <w:t>used</w:t>
      </w:r>
      <w:r>
        <w:rPr>
          <w:color w:val="000000"/>
        </w:rPr>
        <w:t>, and, if applicable, the reason the currently used device no longer meets communication needs</w:t>
      </w:r>
      <w:r w:rsidR="00964188">
        <w:rPr>
          <w:color w:val="000000"/>
        </w:rPr>
        <w:t>; and</w:t>
      </w:r>
    </w:p>
    <w:p w14:paraId="280A922B" w14:textId="23FCFDF5" w:rsidR="00777350" w:rsidRDefault="00523C0C">
      <w:pPr>
        <w:pStyle w:val="Normal1"/>
        <w:pBdr>
          <w:top w:val="nil"/>
          <w:left w:val="nil"/>
          <w:bottom w:val="nil"/>
          <w:right w:val="nil"/>
          <w:between w:val="nil"/>
        </w:pBdr>
        <w:ind w:left="1512" w:hanging="504"/>
        <w:rPr>
          <w:color w:val="000000"/>
        </w:rPr>
      </w:pPr>
      <w:r>
        <w:rPr>
          <w:color w:val="000000"/>
        </w:rPr>
        <w:t>vii.</w:t>
      </w:r>
      <w:r>
        <w:rPr>
          <w:color w:val="000000"/>
        </w:rPr>
        <w:tab/>
        <w:t xml:space="preserve">Projected course of speech progress and </w:t>
      </w:r>
      <w:proofErr w:type="gramStart"/>
      <w:r>
        <w:rPr>
          <w:color w:val="000000"/>
        </w:rPr>
        <w:t>needs</w:t>
      </w:r>
      <w:r w:rsidR="00964188">
        <w:rPr>
          <w:color w:val="000000"/>
        </w:rPr>
        <w:t>;</w:t>
      </w:r>
      <w:proofErr w:type="gramEnd"/>
      <w:r>
        <w:rPr>
          <w:color w:val="000000"/>
        </w:rPr>
        <w:t xml:space="preserve"> </w:t>
      </w:r>
    </w:p>
    <w:p w14:paraId="280A922C" w14:textId="77777777" w:rsidR="00777350" w:rsidRDefault="00523C0C" w:rsidP="0028067E">
      <w:pPr>
        <w:pStyle w:val="Normal1"/>
        <w:pBdr>
          <w:top w:val="nil"/>
          <w:left w:val="nil"/>
          <w:bottom w:val="nil"/>
          <w:right w:val="nil"/>
          <w:between w:val="nil"/>
        </w:pBdr>
        <w:spacing w:after="120"/>
        <w:ind w:left="1008" w:hanging="504"/>
        <w:rPr>
          <w:color w:val="000000"/>
        </w:rPr>
      </w:pPr>
      <w:r>
        <w:rPr>
          <w:color w:val="000000"/>
        </w:rPr>
        <w:t>b.</w:t>
      </w:r>
      <w:r>
        <w:rPr>
          <w:color w:val="000000"/>
        </w:rPr>
        <w:tab/>
        <w:t>Sensory functioning:</w:t>
      </w:r>
    </w:p>
    <w:p w14:paraId="280A922D" w14:textId="134A47DB" w:rsidR="00777350" w:rsidRDefault="00523C0C" w:rsidP="0028067E">
      <w:pPr>
        <w:pStyle w:val="Normal1"/>
        <w:pBdr>
          <w:top w:val="nil"/>
          <w:left w:val="nil"/>
          <w:bottom w:val="nil"/>
          <w:right w:val="nil"/>
          <w:between w:val="nil"/>
        </w:pBdr>
        <w:spacing w:after="120"/>
        <w:ind w:left="1512" w:hanging="504"/>
        <w:rPr>
          <w:color w:val="000000"/>
        </w:rPr>
      </w:pPr>
      <w:proofErr w:type="spellStart"/>
      <w:r>
        <w:rPr>
          <w:color w:val="000000"/>
        </w:rPr>
        <w:t>i</w:t>
      </w:r>
      <w:proofErr w:type="spellEnd"/>
      <w:r>
        <w:rPr>
          <w:color w:val="000000"/>
        </w:rPr>
        <w:t>.</w:t>
      </w:r>
      <w:r>
        <w:rPr>
          <w:color w:val="000000"/>
        </w:rPr>
        <w:tab/>
        <w:t>Hearing ability</w:t>
      </w:r>
      <w:r w:rsidR="00964188">
        <w:rPr>
          <w:color w:val="000000"/>
        </w:rPr>
        <w:t>; and</w:t>
      </w:r>
    </w:p>
    <w:p w14:paraId="280A922F" w14:textId="02044A7A" w:rsidR="00777350" w:rsidRDefault="00523C0C" w:rsidP="0028067E">
      <w:pPr>
        <w:pStyle w:val="Normal1"/>
        <w:pBdr>
          <w:top w:val="nil"/>
          <w:left w:val="nil"/>
          <w:bottom w:val="nil"/>
          <w:right w:val="nil"/>
          <w:between w:val="nil"/>
        </w:pBdr>
        <w:spacing w:after="120"/>
        <w:ind w:left="1512" w:hanging="504"/>
        <w:rPr>
          <w:color w:val="000000"/>
        </w:rPr>
      </w:pPr>
      <w:r>
        <w:rPr>
          <w:color w:val="000000"/>
        </w:rPr>
        <w:t>ii.</w:t>
      </w:r>
      <w:r>
        <w:rPr>
          <w:color w:val="000000"/>
        </w:rPr>
        <w:tab/>
        <w:t xml:space="preserve">Visual </w:t>
      </w:r>
      <w:proofErr w:type="gramStart"/>
      <w:r>
        <w:rPr>
          <w:color w:val="000000"/>
        </w:rPr>
        <w:t>abilities</w:t>
      </w:r>
      <w:r w:rsidR="00964188">
        <w:rPr>
          <w:color w:val="000000"/>
        </w:rPr>
        <w:t>;</w:t>
      </w:r>
      <w:proofErr w:type="gramEnd"/>
    </w:p>
    <w:p w14:paraId="280A9230" w14:textId="29FD8846" w:rsidR="00777350" w:rsidRDefault="00C43A70" w:rsidP="0028067E">
      <w:pPr>
        <w:pStyle w:val="Normal1"/>
        <w:pBdr>
          <w:top w:val="nil"/>
          <w:left w:val="nil"/>
          <w:bottom w:val="nil"/>
          <w:right w:val="nil"/>
          <w:between w:val="nil"/>
        </w:pBdr>
        <w:spacing w:after="120"/>
        <w:ind w:left="1008" w:hanging="504"/>
        <w:rPr>
          <w:color w:val="000000"/>
        </w:rPr>
      </w:pPr>
      <w:r>
        <w:rPr>
          <w:color w:val="000000"/>
        </w:rPr>
        <w:t>c</w:t>
      </w:r>
      <w:r w:rsidR="00523C0C">
        <w:rPr>
          <w:color w:val="000000"/>
        </w:rPr>
        <w:t>.</w:t>
      </w:r>
      <w:r w:rsidR="00523C0C">
        <w:rPr>
          <w:color w:val="000000"/>
        </w:rPr>
        <w:tab/>
        <w:t>Behavioral and learning abilities observed, evaluated, or gathered from records of evaluations:</w:t>
      </w:r>
    </w:p>
    <w:p w14:paraId="280A9231" w14:textId="35146CC6" w:rsidR="00777350" w:rsidRDefault="00523C0C" w:rsidP="0028067E">
      <w:pPr>
        <w:pStyle w:val="Normal1"/>
        <w:pBdr>
          <w:top w:val="nil"/>
          <w:left w:val="nil"/>
          <w:bottom w:val="nil"/>
          <w:right w:val="nil"/>
          <w:between w:val="nil"/>
        </w:pBdr>
        <w:spacing w:after="120"/>
        <w:ind w:left="1512" w:hanging="504"/>
        <w:rPr>
          <w:color w:val="000000"/>
        </w:rPr>
      </w:pPr>
      <w:proofErr w:type="spellStart"/>
      <w:r>
        <w:rPr>
          <w:color w:val="000000"/>
        </w:rPr>
        <w:t>i</w:t>
      </w:r>
      <w:proofErr w:type="spellEnd"/>
      <w:r>
        <w:rPr>
          <w:color w:val="000000"/>
        </w:rPr>
        <w:t>.</w:t>
      </w:r>
      <w:r>
        <w:rPr>
          <w:color w:val="000000"/>
        </w:rPr>
        <w:tab/>
        <w:t xml:space="preserve">Executive-function skills, including attention </w:t>
      </w:r>
      <w:proofErr w:type="gramStart"/>
      <w:r>
        <w:rPr>
          <w:color w:val="000000"/>
        </w:rPr>
        <w:t>span</w:t>
      </w:r>
      <w:r w:rsidR="00964188">
        <w:rPr>
          <w:color w:val="000000"/>
        </w:rPr>
        <w:t>;</w:t>
      </w:r>
      <w:proofErr w:type="gramEnd"/>
    </w:p>
    <w:p w14:paraId="280A9232" w14:textId="6B9DB3E8" w:rsidR="00777350" w:rsidRDefault="00523C0C" w:rsidP="0028067E">
      <w:pPr>
        <w:pStyle w:val="Normal1"/>
        <w:pBdr>
          <w:top w:val="nil"/>
          <w:left w:val="nil"/>
          <w:bottom w:val="nil"/>
          <w:right w:val="nil"/>
          <w:between w:val="nil"/>
        </w:pBdr>
        <w:spacing w:after="120"/>
        <w:ind w:left="1512" w:hanging="504"/>
        <w:rPr>
          <w:color w:val="000000"/>
        </w:rPr>
      </w:pPr>
      <w:r>
        <w:rPr>
          <w:color w:val="000000"/>
        </w:rPr>
        <w:t>ii.</w:t>
      </w:r>
      <w:r>
        <w:rPr>
          <w:color w:val="000000"/>
        </w:rPr>
        <w:tab/>
      </w:r>
      <w:proofErr w:type="gramStart"/>
      <w:r>
        <w:rPr>
          <w:color w:val="000000"/>
        </w:rPr>
        <w:t>Memory</w:t>
      </w:r>
      <w:r w:rsidR="00964188">
        <w:rPr>
          <w:color w:val="000000"/>
        </w:rPr>
        <w:t>;</w:t>
      </w:r>
      <w:proofErr w:type="gramEnd"/>
    </w:p>
    <w:p w14:paraId="280A9233" w14:textId="1C0BAC2B" w:rsidR="00777350" w:rsidRDefault="00523C0C" w:rsidP="0028067E">
      <w:pPr>
        <w:pStyle w:val="Normal1"/>
        <w:pBdr>
          <w:top w:val="nil"/>
          <w:left w:val="nil"/>
          <w:bottom w:val="nil"/>
          <w:right w:val="nil"/>
          <w:between w:val="nil"/>
        </w:pBdr>
        <w:spacing w:after="120"/>
        <w:ind w:left="1512" w:hanging="504"/>
        <w:rPr>
          <w:color w:val="000000"/>
        </w:rPr>
      </w:pPr>
      <w:r>
        <w:rPr>
          <w:color w:val="000000"/>
        </w:rPr>
        <w:t>iii.</w:t>
      </w:r>
      <w:r>
        <w:rPr>
          <w:color w:val="000000"/>
        </w:rPr>
        <w:tab/>
        <w:t xml:space="preserve">Problem-solving </w:t>
      </w:r>
      <w:proofErr w:type="gramStart"/>
      <w:r>
        <w:rPr>
          <w:color w:val="000000"/>
        </w:rPr>
        <w:t>skills</w:t>
      </w:r>
      <w:r w:rsidR="00964188">
        <w:rPr>
          <w:color w:val="000000"/>
        </w:rPr>
        <w:t>;</w:t>
      </w:r>
      <w:proofErr w:type="gramEnd"/>
      <w:r>
        <w:rPr>
          <w:color w:val="000000"/>
        </w:rPr>
        <w:t xml:space="preserve"> </w:t>
      </w:r>
    </w:p>
    <w:p w14:paraId="280A9234" w14:textId="17A5FF48" w:rsidR="00777350" w:rsidRDefault="00523C0C" w:rsidP="0028067E">
      <w:pPr>
        <w:pStyle w:val="Normal1"/>
        <w:pBdr>
          <w:top w:val="nil"/>
          <w:left w:val="nil"/>
          <w:bottom w:val="nil"/>
          <w:right w:val="nil"/>
          <w:between w:val="nil"/>
        </w:pBdr>
        <w:spacing w:after="120"/>
        <w:ind w:left="1512" w:hanging="504"/>
        <w:rPr>
          <w:color w:val="000000"/>
        </w:rPr>
      </w:pPr>
      <w:r>
        <w:rPr>
          <w:color w:val="000000"/>
        </w:rPr>
        <w:t>iv.</w:t>
      </w:r>
      <w:r>
        <w:rPr>
          <w:color w:val="000000"/>
        </w:rPr>
        <w:tab/>
        <w:t>Ability to understand cause and effect</w:t>
      </w:r>
      <w:r w:rsidR="00964188">
        <w:rPr>
          <w:color w:val="000000"/>
        </w:rPr>
        <w:t>; and</w:t>
      </w:r>
    </w:p>
    <w:p w14:paraId="280A9235" w14:textId="563F29B3" w:rsidR="00777350" w:rsidRDefault="00523C0C">
      <w:pPr>
        <w:pStyle w:val="Normal1"/>
        <w:pBdr>
          <w:top w:val="nil"/>
          <w:left w:val="nil"/>
          <w:bottom w:val="nil"/>
          <w:right w:val="nil"/>
          <w:between w:val="nil"/>
        </w:pBdr>
        <w:ind w:left="1512" w:hanging="504"/>
        <w:rPr>
          <w:color w:val="000000"/>
        </w:rPr>
      </w:pPr>
      <w:r>
        <w:rPr>
          <w:color w:val="000000"/>
        </w:rPr>
        <w:t>v.</w:t>
      </w:r>
      <w:r>
        <w:rPr>
          <w:color w:val="000000"/>
        </w:rPr>
        <w:tab/>
        <w:t xml:space="preserve">Presence of significant behaviors, such as physical aggression and property </w:t>
      </w:r>
      <w:proofErr w:type="gramStart"/>
      <w:r>
        <w:rPr>
          <w:color w:val="000000"/>
        </w:rPr>
        <w:t>destruction</w:t>
      </w:r>
      <w:r w:rsidR="00964188">
        <w:rPr>
          <w:color w:val="000000"/>
        </w:rPr>
        <w:t>;</w:t>
      </w:r>
      <w:proofErr w:type="gramEnd"/>
      <w:r>
        <w:rPr>
          <w:color w:val="000000"/>
        </w:rPr>
        <w:t xml:space="preserve"> </w:t>
      </w:r>
    </w:p>
    <w:p w14:paraId="280A9236" w14:textId="7E61B633" w:rsidR="00777350" w:rsidRDefault="00C43A70" w:rsidP="0028067E">
      <w:pPr>
        <w:pStyle w:val="Normal1"/>
        <w:pBdr>
          <w:top w:val="nil"/>
          <w:left w:val="nil"/>
          <w:bottom w:val="nil"/>
          <w:right w:val="nil"/>
          <w:between w:val="nil"/>
        </w:pBdr>
        <w:spacing w:after="120"/>
        <w:ind w:left="1008" w:hanging="504"/>
        <w:rPr>
          <w:color w:val="000000"/>
        </w:rPr>
      </w:pPr>
      <w:r>
        <w:rPr>
          <w:color w:val="000000"/>
        </w:rPr>
        <w:lastRenderedPageBreak/>
        <w:t>d</w:t>
      </w:r>
      <w:r w:rsidR="00523C0C">
        <w:rPr>
          <w:color w:val="000000"/>
        </w:rPr>
        <w:t>.</w:t>
      </w:r>
      <w:r w:rsidR="00523C0C">
        <w:rPr>
          <w:color w:val="000000"/>
        </w:rPr>
        <w:tab/>
        <w:t xml:space="preserve">Motor abilities and assessments: </w:t>
      </w:r>
    </w:p>
    <w:p w14:paraId="280A9237" w14:textId="502F88E0" w:rsidR="00777350" w:rsidRDefault="00523C0C" w:rsidP="0028067E">
      <w:pPr>
        <w:pStyle w:val="Normal1"/>
        <w:pBdr>
          <w:top w:val="nil"/>
          <w:left w:val="nil"/>
          <w:bottom w:val="nil"/>
          <w:right w:val="nil"/>
          <w:between w:val="nil"/>
        </w:pBdr>
        <w:spacing w:after="120"/>
        <w:ind w:left="1512" w:hanging="504"/>
        <w:rPr>
          <w:color w:val="000000"/>
        </w:rPr>
      </w:pPr>
      <w:proofErr w:type="spellStart"/>
      <w:r>
        <w:rPr>
          <w:color w:val="000000"/>
        </w:rPr>
        <w:t>i</w:t>
      </w:r>
      <w:proofErr w:type="spellEnd"/>
      <w:r>
        <w:rPr>
          <w:color w:val="000000"/>
        </w:rPr>
        <w:t>.</w:t>
      </w:r>
      <w:r>
        <w:rPr>
          <w:color w:val="000000"/>
        </w:rPr>
        <w:tab/>
        <w:t>Gross motor abilities (ambulatory, or walks with crutches/walker, or uses wheelchair; seating and positioning/posture; head control and trunk mobility; ability to use head stick</w:t>
      </w:r>
      <w:proofErr w:type="gramStart"/>
      <w:r>
        <w:rPr>
          <w:color w:val="000000"/>
        </w:rPr>
        <w:t>)</w:t>
      </w:r>
      <w:r w:rsidR="00964188">
        <w:rPr>
          <w:color w:val="000000"/>
        </w:rPr>
        <w:t>;</w:t>
      </w:r>
      <w:proofErr w:type="gramEnd"/>
    </w:p>
    <w:p w14:paraId="280A9238" w14:textId="1B79AAC2" w:rsidR="00777350" w:rsidRDefault="00523C0C" w:rsidP="0028067E">
      <w:pPr>
        <w:pStyle w:val="Normal1"/>
        <w:pBdr>
          <w:top w:val="nil"/>
          <w:left w:val="nil"/>
          <w:bottom w:val="nil"/>
          <w:right w:val="nil"/>
          <w:between w:val="nil"/>
        </w:pBdr>
        <w:spacing w:after="120"/>
        <w:ind w:left="1512" w:hanging="504"/>
        <w:rPr>
          <w:color w:val="000000"/>
        </w:rPr>
      </w:pPr>
      <w:r>
        <w:rPr>
          <w:color w:val="000000"/>
        </w:rPr>
        <w:t>ii.</w:t>
      </w:r>
      <w:r>
        <w:rPr>
          <w:color w:val="000000"/>
        </w:rPr>
        <w:tab/>
        <w:t>Fine motor and upper-extremity abilities and function (ability to point, type, write, access a device via direct selection)</w:t>
      </w:r>
      <w:r w:rsidR="00964188">
        <w:rPr>
          <w:color w:val="000000"/>
        </w:rPr>
        <w:t>; and</w:t>
      </w:r>
    </w:p>
    <w:p w14:paraId="280A9239" w14:textId="25989464" w:rsidR="00777350" w:rsidRDefault="00523C0C" w:rsidP="0028067E">
      <w:pPr>
        <w:pStyle w:val="Normal1"/>
        <w:pBdr>
          <w:top w:val="nil"/>
          <w:left w:val="nil"/>
          <w:bottom w:val="nil"/>
          <w:right w:val="nil"/>
          <w:between w:val="nil"/>
        </w:pBdr>
        <w:spacing w:after="120"/>
        <w:ind w:left="1512" w:hanging="504"/>
        <w:rPr>
          <w:color w:val="000000"/>
        </w:rPr>
      </w:pPr>
      <w:r>
        <w:rPr>
          <w:color w:val="000000"/>
        </w:rPr>
        <w:t>iii.</w:t>
      </w:r>
      <w:r>
        <w:rPr>
          <w:color w:val="000000"/>
        </w:rPr>
        <w:tab/>
        <w:t xml:space="preserve">Ability to access via gaze, head mouse, single-switch or multiple-switch scanning, or other alternative access </w:t>
      </w:r>
      <w:proofErr w:type="gramStart"/>
      <w:r>
        <w:rPr>
          <w:color w:val="000000"/>
        </w:rPr>
        <w:t>method</w:t>
      </w:r>
      <w:r w:rsidR="00964188">
        <w:rPr>
          <w:color w:val="000000"/>
        </w:rPr>
        <w:t>;</w:t>
      </w:r>
      <w:proofErr w:type="gramEnd"/>
    </w:p>
    <w:p w14:paraId="280A923A" w14:textId="05556549" w:rsidR="00777350" w:rsidRDefault="00523C0C" w:rsidP="0028067E">
      <w:pPr>
        <w:pStyle w:val="Normal1"/>
        <w:pBdr>
          <w:top w:val="nil"/>
          <w:left w:val="nil"/>
          <w:bottom w:val="nil"/>
          <w:right w:val="nil"/>
          <w:between w:val="nil"/>
        </w:pBdr>
        <w:spacing w:after="120"/>
        <w:ind w:left="504" w:hanging="504"/>
        <w:rPr>
          <w:color w:val="000000"/>
        </w:rPr>
      </w:pPr>
      <w:r>
        <w:rPr>
          <w:color w:val="000000"/>
        </w:rPr>
        <w:t>3.</w:t>
      </w:r>
      <w:r>
        <w:rPr>
          <w:color w:val="000000"/>
        </w:rPr>
        <w:tab/>
      </w:r>
      <w:r w:rsidR="00C35403">
        <w:rPr>
          <w:color w:val="000000"/>
        </w:rPr>
        <w:t xml:space="preserve">A detailed </w:t>
      </w:r>
      <w:r>
        <w:rPr>
          <w:color w:val="000000"/>
        </w:rPr>
        <w:t xml:space="preserve">plan of care by the evaluating </w:t>
      </w:r>
      <w:r w:rsidR="00964188">
        <w:rPr>
          <w:color w:val="000000"/>
        </w:rPr>
        <w:t>speech language pathologist</w:t>
      </w:r>
      <w:r w:rsidR="00C35403">
        <w:rPr>
          <w:color w:val="000000"/>
        </w:rPr>
        <w:t xml:space="preserve"> must include the following elements:</w:t>
      </w:r>
    </w:p>
    <w:p w14:paraId="280A923B" w14:textId="093EF17B" w:rsidR="00777350" w:rsidRDefault="00523C0C" w:rsidP="0028067E">
      <w:pPr>
        <w:pStyle w:val="Normal1"/>
        <w:pBdr>
          <w:top w:val="nil"/>
          <w:left w:val="nil"/>
          <w:bottom w:val="nil"/>
          <w:right w:val="nil"/>
          <w:between w:val="nil"/>
        </w:pBdr>
        <w:spacing w:after="120"/>
        <w:ind w:left="1008" w:hanging="504"/>
        <w:rPr>
          <w:color w:val="000000"/>
        </w:rPr>
      </w:pPr>
      <w:r>
        <w:rPr>
          <w:color w:val="000000"/>
        </w:rPr>
        <w:t>a.</w:t>
      </w:r>
      <w:r>
        <w:rPr>
          <w:color w:val="000000"/>
        </w:rPr>
        <w:tab/>
        <w:t xml:space="preserve">Detailed description of the short- and long-term communication goals for device </w:t>
      </w:r>
      <w:proofErr w:type="gramStart"/>
      <w:r>
        <w:rPr>
          <w:color w:val="000000"/>
        </w:rPr>
        <w:t>use</w:t>
      </w:r>
      <w:r w:rsidR="00964188">
        <w:rPr>
          <w:color w:val="000000"/>
        </w:rPr>
        <w:t>;</w:t>
      </w:r>
      <w:proofErr w:type="gramEnd"/>
    </w:p>
    <w:p w14:paraId="280A923C" w14:textId="4EC2A591" w:rsidR="00777350" w:rsidRDefault="00523C0C" w:rsidP="0028067E">
      <w:pPr>
        <w:pStyle w:val="Normal1"/>
        <w:pBdr>
          <w:top w:val="nil"/>
          <w:left w:val="nil"/>
          <w:bottom w:val="nil"/>
          <w:right w:val="nil"/>
          <w:between w:val="nil"/>
        </w:pBdr>
        <w:spacing w:after="120"/>
        <w:ind w:left="1008" w:hanging="504"/>
        <w:rPr>
          <w:color w:val="000000"/>
        </w:rPr>
      </w:pPr>
      <w:r>
        <w:rPr>
          <w:color w:val="000000"/>
        </w:rPr>
        <w:t>b.</w:t>
      </w:r>
      <w:r>
        <w:rPr>
          <w:color w:val="000000"/>
        </w:rPr>
        <w:tab/>
        <w:t xml:space="preserve">Treatment options considered, including types of communication support used in the past to meet goals, and why each is or is not </w:t>
      </w:r>
      <w:proofErr w:type="gramStart"/>
      <w:r>
        <w:rPr>
          <w:color w:val="000000"/>
        </w:rPr>
        <w:t>appropriate</w:t>
      </w:r>
      <w:r w:rsidR="00964188">
        <w:rPr>
          <w:color w:val="000000"/>
        </w:rPr>
        <w:t>;</w:t>
      </w:r>
      <w:proofErr w:type="gramEnd"/>
    </w:p>
    <w:p w14:paraId="280A923D" w14:textId="506F72D0" w:rsidR="00777350" w:rsidRDefault="00523C0C" w:rsidP="0028067E">
      <w:pPr>
        <w:pStyle w:val="Normal1"/>
        <w:pBdr>
          <w:top w:val="nil"/>
          <w:left w:val="nil"/>
          <w:bottom w:val="nil"/>
          <w:right w:val="nil"/>
          <w:between w:val="nil"/>
        </w:pBdr>
        <w:spacing w:after="120"/>
        <w:ind w:left="1008" w:hanging="504"/>
        <w:rPr>
          <w:color w:val="000000"/>
        </w:rPr>
      </w:pPr>
      <w:r>
        <w:rPr>
          <w:color w:val="000000"/>
        </w:rPr>
        <w:t>c.</w:t>
      </w:r>
      <w:r>
        <w:rPr>
          <w:color w:val="000000"/>
        </w:rPr>
        <w:tab/>
      </w:r>
      <w:r w:rsidRPr="00BF0583">
        <w:rPr>
          <w:color w:val="000000"/>
        </w:rPr>
        <w:t xml:space="preserve">Data-driven </w:t>
      </w:r>
      <w:r w:rsidR="0085776C">
        <w:rPr>
          <w:color w:val="000000"/>
        </w:rPr>
        <w:t xml:space="preserve">SGD </w:t>
      </w:r>
      <w:r w:rsidRPr="00BF0583">
        <w:rPr>
          <w:color w:val="000000"/>
        </w:rPr>
        <w:t>or software trials, including the following information for each device or software tried:</w:t>
      </w:r>
    </w:p>
    <w:p w14:paraId="280A923E" w14:textId="1C569A1F" w:rsidR="00777350" w:rsidRDefault="00523C0C" w:rsidP="0028067E">
      <w:pPr>
        <w:pStyle w:val="Normal1"/>
        <w:pBdr>
          <w:top w:val="nil"/>
          <w:left w:val="nil"/>
          <w:bottom w:val="nil"/>
          <w:right w:val="nil"/>
          <w:between w:val="nil"/>
        </w:pBdr>
        <w:spacing w:after="120"/>
        <w:ind w:left="1512" w:hanging="504"/>
        <w:rPr>
          <w:color w:val="000000"/>
        </w:rPr>
      </w:pPr>
      <w:proofErr w:type="spellStart"/>
      <w:r>
        <w:rPr>
          <w:color w:val="000000"/>
        </w:rPr>
        <w:t>i</w:t>
      </w:r>
      <w:proofErr w:type="spellEnd"/>
      <w:r>
        <w:rPr>
          <w:color w:val="000000"/>
        </w:rPr>
        <w:t>.</w:t>
      </w:r>
      <w:r>
        <w:rPr>
          <w:color w:val="000000"/>
        </w:rPr>
        <w:tab/>
        <w:t xml:space="preserve">Length of </w:t>
      </w:r>
      <w:proofErr w:type="gramStart"/>
      <w:r>
        <w:rPr>
          <w:color w:val="000000"/>
        </w:rPr>
        <w:t>trial</w:t>
      </w:r>
      <w:r w:rsidR="00964188">
        <w:rPr>
          <w:color w:val="000000"/>
        </w:rPr>
        <w:t>;</w:t>
      </w:r>
      <w:proofErr w:type="gramEnd"/>
    </w:p>
    <w:p w14:paraId="280A923F" w14:textId="41636710" w:rsidR="00777350" w:rsidRDefault="00523C0C" w:rsidP="0028067E">
      <w:pPr>
        <w:pStyle w:val="Normal1"/>
        <w:pBdr>
          <w:top w:val="nil"/>
          <w:left w:val="nil"/>
          <w:bottom w:val="nil"/>
          <w:right w:val="nil"/>
          <w:between w:val="nil"/>
        </w:pBdr>
        <w:spacing w:after="120"/>
        <w:ind w:left="1512" w:hanging="504"/>
        <w:rPr>
          <w:color w:val="000000"/>
        </w:rPr>
      </w:pPr>
      <w:r>
        <w:rPr>
          <w:color w:val="000000"/>
        </w:rPr>
        <w:t>ii.</w:t>
      </w:r>
      <w:r>
        <w:rPr>
          <w:color w:val="000000"/>
        </w:rPr>
        <w:tab/>
        <w:t xml:space="preserve">Data collected during the </w:t>
      </w:r>
      <w:proofErr w:type="gramStart"/>
      <w:r>
        <w:rPr>
          <w:color w:val="000000"/>
        </w:rPr>
        <w:t>trial</w:t>
      </w:r>
      <w:r w:rsidR="00964188">
        <w:rPr>
          <w:color w:val="000000"/>
        </w:rPr>
        <w:t>;</w:t>
      </w:r>
      <w:proofErr w:type="gramEnd"/>
    </w:p>
    <w:p w14:paraId="280A9240" w14:textId="1D759573" w:rsidR="00777350" w:rsidRDefault="00523C0C" w:rsidP="0028067E">
      <w:pPr>
        <w:pStyle w:val="Normal1"/>
        <w:pBdr>
          <w:top w:val="nil"/>
          <w:left w:val="nil"/>
          <w:bottom w:val="nil"/>
          <w:right w:val="nil"/>
          <w:between w:val="nil"/>
        </w:pBdr>
        <w:spacing w:after="120"/>
        <w:ind w:left="1512" w:hanging="504"/>
        <w:rPr>
          <w:color w:val="000000"/>
        </w:rPr>
      </w:pPr>
      <w:r>
        <w:rPr>
          <w:color w:val="000000"/>
        </w:rPr>
        <w:t>iii.</w:t>
      </w:r>
      <w:r>
        <w:rPr>
          <w:color w:val="000000"/>
        </w:rPr>
        <w:tab/>
        <w:t>Environment in which the SGD or software trial took place (e.g., home, school, community</w:t>
      </w:r>
      <w:proofErr w:type="gramStart"/>
      <w:r>
        <w:rPr>
          <w:color w:val="000000"/>
        </w:rPr>
        <w:t>)</w:t>
      </w:r>
      <w:r w:rsidR="00964188">
        <w:rPr>
          <w:color w:val="000000"/>
        </w:rPr>
        <w:t>;</w:t>
      </w:r>
      <w:proofErr w:type="gramEnd"/>
    </w:p>
    <w:p w14:paraId="280A9241" w14:textId="42F31EF0" w:rsidR="00777350" w:rsidRDefault="00523C0C" w:rsidP="0028067E">
      <w:pPr>
        <w:pStyle w:val="Normal1"/>
        <w:pBdr>
          <w:top w:val="nil"/>
          <w:left w:val="nil"/>
          <w:bottom w:val="nil"/>
          <w:right w:val="nil"/>
          <w:between w:val="nil"/>
        </w:pBdr>
        <w:spacing w:after="120"/>
        <w:ind w:left="1512" w:hanging="504"/>
        <w:rPr>
          <w:color w:val="000000"/>
        </w:rPr>
      </w:pPr>
      <w:r>
        <w:rPr>
          <w:color w:val="000000"/>
        </w:rPr>
        <w:t>iv.</w:t>
      </w:r>
      <w:r>
        <w:rPr>
          <w:color w:val="000000"/>
        </w:rPr>
        <w:tab/>
        <w:t>Manner in which the device or software was accessed (e.g., gaze, direct selection, scanning</w:t>
      </w:r>
      <w:proofErr w:type="gramStart"/>
      <w:r>
        <w:rPr>
          <w:color w:val="000000"/>
        </w:rPr>
        <w:t>)</w:t>
      </w:r>
      <w:r w:rsidR="00964188">
        <w:rPr>
          <w:color w:val="000000"/>
        </w:rPr>
        <w:t>;</w:t>
      </w:r>
      <w:proofErr w:type="gramEnd"/>
    </w:p>
    <w:p w14:paraId="280A9242" w14:textId="03F6C5F1" w:rsidR="00777350" w:rsidRDefault="00523C0C" w:rsidP="0028067E">
      <w:pPr>
        <w:pStyle w:val="Normal1"/>
        <w:pBdr>
          <w:top w:val="nil"/>
          <w:left w:val="nil"/>
          <w:bottom w:val="nil"/>
          <w:right w:val="nil"/>
          <w:between w:val="nil"/>
        </w:pBdr>
        <w:spacing w:after="120"/>
        <w:ind w:left="1512" w:hanging="504"/>
        <w:rPr>
          <w:color w:val="000000"/>
        </w:rPr>
      </w:pPr>
      <w:r>
        <w:rPr>
          <w:color w:val="000000"/>
        </w:rPr>
        <w:t>v.</w:t>
      </w:r>
      <w:r>
        <w:rPr>
          <w:color w:val="000000"/>
        </w:rPr>
        <w:tab/>
        <w:t xml:space="preserve">Member’s ability to learn to use the device or software functionally for </w:t>
      </w:r>
      <w:proofErr w:type="gramStart"/>
      <w:r>
        <w:rPr>
          <w:color w:val="000000"/>
        </w:rPr>
        <w:t>communication</w:t>
      </w:r>
      <w:r w:rsidR="00964188">
        <w:rPr>
          <w:color w:val="000000"/>
        </w:rPr>
        <w:t>;</w:t>
      </w:r>
      <w:proofErr w:type="gramEnd"/>
    </w:p>
    <w:p w14:paraId="280A9243" w14:textId="019FBC9E" w:rsidR="00777350" w:rsidRDefault="00523C0C" w:rsidP="0028067E">
      <w:pPr>
        <w:pStyle w:val="Normal1"/>
        <w:pBdr>
          <w:top w:val="nil"/>
          <w:left w:val="nil"/>
          <w:bottom w:val="nil"/>
          <w:right w:val="nil"/>
          <w:between w:val="nil"/>
        </w:pBdr>
        <w:spacing w:after="120"/>
        <w:ind w:left="1512" w:hanging="504"/>
        <w:rPr>
          <w:color w:val="000000"/>
        </w:rPr>
      </w:pPr>
      <w:r>
        <w:rPr>
          <w:color w:val="000000"/>
        </w:rPr>
        <w:t>vi.</w:t>
      </w:r>
      <w:r>
        <w:rPr>
          <w:color w:val="000000"/>
        </w:rPr>
        <w:tab/>
      </w:r>
      <w:r w:rsidR="008458EA">
        <w:rPr>
          <w:color w:val="000000"/>
        </w:rPr>
        <w:t>Dat</w:t>
      </w:r>
      <w:r w:rsidR="00451E88">
        <w:rPr>
          <w:color w:val="000000"/>
        </w:rPr>
        <w:t>a</w:t>
      </w:r>
      <w:r w:rsidR="008458EA">
        <w:rPr>
          <w:color w:val="000000"/>
        </w:rPr>
        <w:t xml:space="preserve"> sheets</w:t>
      </w:r>
      <w:r w:rsidR="00964188">
        <w:rPr>
          <w:color w:val="000000"/>
        </w:rPr>
        <w:t>,</w:t>
      </w:r>
      <w:r w:rsidR="008458EA">
        <w:rPr>
          <w:color w:val="000000"/>
        </w:rPr>
        <w:t xml:space="preserve"> including </w:t>
      </w:r>
      <w:r>
        <w:rPr>
          <w:color w:val="000000"/>
        </w:rPr>
        <w:t xml:space="preserve">messages communicated, frequency, level of cueing, and communication </w:t>
      </w:r>
      <w:proofErr w:type="gramStart"/>
      <w:r>
        <w:rPr>
          <w:color w:val="000000"/>
        </w:rPr>
        <w:t>partner</w:t>
      </w:r>
      <w:r w:rsidR="00964188">
        <w:rPr>
          <w:color w:val="000000"/>
        </w:rPr>
        <w:t>;</w:t>
      </w:r>
      <w:proofErr w:type="gramEnd"/>
    </w:p>
    <w:p w14:paraId="280A9244" w14:textId="68139F16" w:rsidR="00777350" w:rsidRDefault="00523C0C" w:rsidP="0028067E">
      <w:pPr>
        <w:pStyle w:val="Normal1"/>
        <w:pBdr>
          <w:top w:val="nil"/>
          <w:left w:val="nil"/>
          <w:bottom w:val="nil"/>
          <w:right w:val="nil"/>
          <w:between w:val="nil"/>
        </w:pBdr>
        <w:spacing w:after="120"/>
        <w:ind w:left="1512" w:hanging="504"/>
        <w:rPr>
          <w:color w:val="000000"/>
        </w:rPr>
      </w:pPr>
      <w:r>
        <w:rPr>
          <w:color w:val="000000"/>
        </w:rPr>
        <w:t>vii.</w:t>
      </w:r>
      <w:r>
        <w:rPr>
          <w:color w:val="000000"/>
        </w:rPr>
        <w:tab/>
        <w:t xml:space="preserve">Number of messages expressed in a time period and level of cueing required for expression of such </w:t>
      </w:r>
      <w:proofErr w:type="gramStart"/>
      <w:r>
        <w:rPr>
          <w:color w:val="000000"/>
        </w:rPr>
        <w:t>messages</w:t>
      </w:r>
      <w:r w:rsidR="00964188">
        <w:rPr>
          <w:color w:val="000000"/>
        </w:rPr>
        <w:t>;</w:t>
      </w:r>
      <w:proofErr w:type="gramEnd"/>
    </w:p>
    <w:p w14:paraId="280A9245" w14:textId="79E3589D" w:rsidR="00777350" w:rsidRDefault="00523C0C" w:rsidP="0028067E">
      <w:pPr>
        <w:pStyle w:val="Normal1"/>
        <w:pBdr>
          <w:top w:val="nil"/>
          <w:left w:val="nil"/>
          <w:bottom w:val="nil"/>
          <w:right w:val="nil"/>
          <w:between w:val="nil"/>
        </w:pBdr>
        <w:spacing w:after="120"/>
        <w:ind w:left="1512" w:hanging="504"/>
        <w:rPr>
          <w:color w:val="000000"/>
        </w:rPr>
      </w:pPr>
      <w:r>
        <w:rPr>
          <w:color w:val="000000"/>
        </w:rPr>
        <w:t>viii.</w:t>
      </w:r>
      <w:r>
        <w:rPr>
          <w:color w:val="000000"/>
        </w:rPr>
        <w:tab/>
        <w:t>Degree to which the member was able to move beyond the exploratory phase and use the device or software to communicate intentionally; whether such progress occurred in both structured and unstructured settings; and with what level of proficiency progress beyond the exploratory phase occurred</w:t>
      </w:r>
      <w:r w:rsidR="00964188">
        <w:rPr>
          <w:color w:val="000000"/>
        </w:rPr>
        <w:t>; and</w:t>
      </w:r>
      <w:r>
        <w:rPr>
          <w:color w:val="000000"/>
        </w:rPr>
        <w:t xml:space="preserve"> </w:t>
      </w:r>
    </w:p>
    <w:p w14:paraId="280A9246" w14:textId="21CB8529" w:rsidR="00777350" w:rsidRDefault="00523C0C" w:rsidP="0028067E">
      <w:pPr>
        <w:pStyle w:val="Normal1"/>
        <w:pBdr>
          <w:top w:val="nil"/>
          <w:left w:val="nil"/>
          <w:bottom w:val="nil"/>
          <w:right w:val="nil"/>
          <w:between w:val="nil"/>
        </w:pBdr>
        <w:spacing w:after="120"/>
        <w:ind w:left="1512" w:hanging="504"/>
        <w:rPr>
          <w:color w:val="000000"/>
        </w:rPr>
      </w:pPr>
      <w:r>
        <w:rPr>
          <w:color w:val="000000"/>
        </w:rPr>
        <w:t>ix.</w:t>
      </w:r>
      <w:r>
        <w:rPr>
          <w:color w:val="000000"/>
        </w:rPr>
        <w:tab/>
        <w:t xml:space="preserve">Communicative intents </w:t>
      </w:r>
      <w:proofErr w:type="gramStart"/>
      <w:r>
        <w:rPr>
          <w:color w:val="000000"/>
        </w:rPr>
        <w:t>expressed</w:t>
      </w:r>
      <w:r w:rsidR="00964188">
        <w:rPr>
          <w:color w:val="000000"/>
        </w:rPr>
        <w:t>;</w:t>
      </w:r>
      <w:proofErr w:type="gramEnd"/>
    </w:p>
    <w:p w14:paraId="280A9247" w14:textId="6717C169" w:rsidR="00777350" w:rsidRDefault="00523C0C">
      <w:pPr>
        <w:pStyle w:val="Normal1"/>
        <w:pBdr>
          <w:top w:val="nil"/>
          <w:left w:val="nil"/>
          <w:bottom w:val="nil"/>
          <w:right w:val="nil"/>
          <w:between w:val="nil"/>
        </w:pBdr>
        <w:ind w:left="1008" w:hanging="504"/>
        <w:rPr>
          <w:color w:val="000000"/>
        </w:rPr>
      </w:pPr>
      <w:r>
        <w:rPr>
          <w:color w:val="000000"/>
        </w:rPr>
        <w:t>d.</w:t>
      </w:r>
      <w:r>
        <w:rPr>
          <w:color w:val="000000"/>
        </w:rPr>
        <w:tab/>
        <w:t xml:space="preserve">Description of the recommended device/accessory/software; the rationale for selection, and how the recommended option meets the communication needs of the member. </w:t>
      </w:r>
      <w:r w:rsidRPr="00434612">
        <w:rPr>
          <w:color w:val="000000"/>
        </w:rPr>
        <w:t xml:space="preserve">Documentation in the recommendation must specify that the devices/accessories/software </w:t>
      </w:r>
      <w:r w:rsidR="00EA04E7" w:rsidRPr="00E56D41">
        <w:rPr>
          <w:color w:val="000000"/>
        </w:rPr>
        <w:t>will be</w:t>
      </w:r>
      <w:r w:rsidR="00EA04E7" w:rsidRPr="00434612">
        <w:rPr>
          <w:color w:val="000000"/>
        </w:rPr>
        <w:t xml:space="preserve"> </w:t>
      </w:r>
      <w:r w:rsidRPr="00434612">
        <w:rPr>
          <w:color w:val="000000"/>
        </w:rPr>
        <w:t xml:space="preserve">limited to or configured to limit use to the purpose of </w:t>
      </w:r>
      <w:proofErr w:type="gramStart"/>
      <w:r w:rsidRPr="00434612">
        <w:rPr>
          <w:color w:val="000000"/>
        </w:rPr>
        <w:t>communication</w:t>
      </w:r>
      <w:r w:rsidR="00964188">
        <w:rPr>
          <w:color w:val="000000"/>
        </w:rPr>
        <w:t>;</w:t>
      </w:r>
      <w:proofErr w:type="gramEnd"/>
    </w:p>
    <w:p w14:paraId="280A9248" w14:textId="1AC1EB92" w:rsidR="00777350" w:rsidRDefault="00523C0C" w:rsidP="0028067E">
      <w:pPr>
        <w:pStyle w:val="Normal1"/>
        <w:pBdr>
          <w:top w:val="nil"/>
          <w:left w:val="nil"/>
          <w:bottom w:val="nil"/>
          <w:right w:val="nil"/>
          <w:between w:val="nil"/>
        </w:pBdr>
        <w:spacing w:after="120"/>
        <w:ind w:left="1008" w:hanging="504"/>
        <w:rPr>
          <w:color w:val="000000"/>
        </w:rPr>
      </w:pPr>
      <w:r>
        <w:rPr>
          <w:color w:val="000000"/>
        </w:rPr>
        <w:lastRenderedPageBreak/>
        <w:t>e.</w:t>
      </w:r>
      <w:r>
        <w:rPr>
          <w:color w:val="000000"/>
        </w:rPr>
        <w:tab/>
        <w:t xml:space="preserve">If </w:t>
      </w:r>
      <w:r w:rsidR="00D954F7">
        <w:rPr>
          <w:color w:val="000000"/>
        </w:rPr>
        <w:t>PA is sought for</w:t>
      </w:r>
      <w:r>
        <w:rPr>
          <w:color w:val="000000"/>
        </w:rPr>
        <w:t xml:space="preserve"> a replacement device, document the cost to repair the existing device or software, and compare to the cost of the recommended replacement </w:t>
      </w:r>
      <w:proofErr w:type="gramStart"/>
      <w:r>
        <w:rPr>
          <w:color w:val="000000"/>
        </w:rPr>
        <w:t>device</w:t>
      </w:r>
      <w:r w:rsidR="00964188">
        <w:rPr>
          <w:color w:val="000000"/>
        </w:rPr>
        <w:t>;</w:t>
      </w:r>
      <w:proofErr w:type="gramEnd"/>
      <w:r>
        <w:rPr>
          <w:color w:val="000000"/>
        </w:rPr>
        <w:t xml:space="preserve"> </w:t>
      </w:r>
    </w:p>
    <w:p w14:paraId="280A9249" w14:textId="1C7702CD" w:rsidR="00777350" w:rsidRDefault="00523C0C" w:rsidP="0028067E">
      <w:pPr>
        <w:pStyle w:val="Normal1"/>
        <w:pBdr>
          <w:top w:val="nil"/>
          <w:left w:val="nil"/>
          <w:bottom w:val="nil"/>
          <w:right w:val="nil"/>
          <w:between w:val="nil"/>
        </w:pBdr>
        <w:spacing w:after="120"/>
        <w:ind w:left="1008" w:hanging="504"/>
        <w:rPr>
          <w:color w:val="000000"/>
        </w:rPr>
      </w:pPr>
      <w:r>
        <w:rPr>
          <w:color w:val="000000"/>
        </w:rPr>
        <w:t>f.</w:t>
      </w:r>
      <w:r>
        <w:rPr>
          <w:color w:val="000000"/>
        </w:rPr>
        <w:tab/>
        <w:t>Indicate the criteria that will be used to measure progress toward both short- and long-term goals</w:t>
      </w:r>
      <w:r w:rsidR="00964188">
        <w:rPr>
          <w:color w:val="000000"/>
        </w:rPr>
        <w:t>; and</w:t>
      </w:r>
    </w:p>
    <w:p w14:paraId="280A924A" w14:textId="77777777" w:rsidR="00777350" w:rsidRDefault="00523C0C">
      <w:pPr>
        <w:pStyle w:val="Normal1"/>
        <w:pBdr>
          <w:top w:val="nil"/>
          <w:left w:val="nil"/>
          <w:bottom w:val="nil"/>
          <w:right w:val="nil"/>
          <w:between w:val="nil"/>
        </w:pBdr>
        <w:ind w:left="1008" w:hanging="504"/>
        <w:rPr>
          <w:color w:val="000000"/>
        </w:rPr>
      </w:pPr>
      <w:r>
        <w:rPr>
          <w:color w:val="000000"/>
        </w:rPr>
        <w:t>g.</w:t>
      </w:r>
      <w:r>
        <w:rPr>
          <w:color w:val="000000"/>
        </w:rPr>
        <w:tab/>
        <w:t xml:space="preserve">Outline the training plan that will be used to maximize the use of the device or software, including plans for maintaining the system and implementing programming updates and modifications to accommodate changes in needs due to progression of the medical condition over time. </w:t>
      </w:r>
    </w:p>
    <w:p w14:paraId="77444F95" w14:textId="3BF2A15F" w:rsidR="007A29C2" w:rsidRPr="002A08BD" w:rsidRDefault="00523C0C" w:rsidP="00397AAB">
      <w:pPr>
        <w:pStyle w:val="Heading3"/>
      </w:pPr>
      <w:r>
        <w:t xml:space="preserve">B. Instructions for Submission of </w:t>
      </w:r>
      <w:r w:rsidR="00964188">
        <w:t>PA</w:t>
      </w:r>
      <w:r>
        <w:t xml:space="preserve"> Requests</w:t>
      </w:r>
    </w:p>
    <w:p w14:paraId="280A924C" w14:textId="4CCED037" w:rsidR="00777350" w:rsidRPr="005D35A7" w:rsidRDefault="0034706D" w:rsidP="002A08BD">
      <w:pPr>
        <w:pStyle w:val="Normal1"/>
        <w:numPr>
          <w:ilvl w:val="0"/>
          <w:numId w:val="15"/>
        </w:numPr>
        <w:rPr>
          <w:bCs/>
        </w:rPr>
      </w:pPr>
      <w:r w:rsidRPr="00E56D41">
        <w:rPr>
          <w:bCs/>
          <w:i/>
          <w:iCs/>
        </w:rPr>
        <w:t xml:space="preserve">For </w:t>
      </w:r>
      <w:r w:rsidR="00964188" w:rsidRPr="00E56D41">
        <w:rPr>
          <w:bCs/>
          <w:i/>
          <w:iCs/>
        </w:rPr>
        <w:t>dedicated SGDs</w:t>
      </w:r>
      <w:r w:rsidRPr="00E56D41">
        <w:rPr>
          <w:bCs/>
        </w:rPr>
        <w:t>, a</w:t>
      </w:r>
      <w:r w:rsidR="00523C0C" w:rsidRPr="00E56D41">
        <w:rPr>
          <w:bCs/>
        </w:rPr>
        <w:t xml:space="preserve"> </w:t>
      </w:r>
      <w:r w:rsidR="00964188" w:rsidRPr="00E56D41">
        <w:rPr>
          <w:bCs/>
        </w:rPr>
        <w:t>durable medical equipment (DME)</w:t>
      </w:r>
      <w:r w:rsidRPr="00E56D41">
        <w:rPr>
          <w:bCs/>
        </w:rPr>
        <w:t xml:space="preserve"> </w:t>
      </w:r>
      <w:r w:rsidR="00523C0C" w:rsidRPr="00E56D41">
        <w:rPr>
          <w:bCs/>
        </w:rPr>
        <w:t xml:space="preserve">PA </w:t>
      </w:r>
      <w:r w:rsidRPr="00E56D41">
        <w:rPr>
          <w:bCs/>
        </w:rPr>
        <w:t xml:space="preserve">must </w:t>
      </w:r>
      <w:r w:rsidR="00523C0C" w:rsidRPr="00E56D41">
        <w:rPr>
          <w:bCs/>
        </w:rPr>
        <w:t xml:space="preserve">be </w:t>
      </w:r>
      <w:r w:rsidRPr="00E56D41">
        <w:rPr>
          <w:bCs/>
        </w:rPr>
        <w:t xml:space="preserve">submitted </w:t>
      </w:r>
      <w:r w:rsidR="00523C0C" w:rsidRPr="00E56D41">
        <w:rPr>
          <w:bCs/>
        </w:rPr>
        <w:t>by the MassHealth</w:t>
      </w:r>
      <w:r w:rsidR="00871A1B" w:rsidRPr="00E56D41">
        <w:rPr>
          <w:bCs/>
        </w:rPr>
        <w:t>-e</w:t>
      </w:r>
      <w:r w:rsidR="00523C0C" w:rsidRPr="00E56D41">
        <w:rPr>
          <w:bCs/>
        </w:rPr>
        <w:t xml:space="preserve">nrolled DME </w:t>
      </w:r>
      <w:r w:rsidR="00871A1B" w:rsidRPr="00E56D41">
        <w:rPr>
          <w:bCs/>
        </w:rPr>
        <w:t>p</w:t>
      </w:r>
      <w:r w:rsidR="00523C0C" w:rsidRPr="00E56D41">
        <w:rPr>
          <w:bCs/>
        </w:rPr>
        <w:t>rovider</w:t>
      </w:r>
      <w:r w:rsidRPr="00E56D41">
        <w:rPr>
          <w:bCs/>
        </w:rPr>
        <w:t>.</w:t>
      </w:r>
    </w:p>
    <w:p w14:paraId="248571A9" w14:textId="5AF1FB70" w:rsidR="000D2E2D" w:rsidRDefault="00523C0C" w:rsidP="00A47FFB">
      <w:pPr>
        <w:pStyle w:val="Normal1"/>
        <w:spacing w:after="0"/>
        <w:ind w:left="360"/>
      </w:pPr>
      <w:r>
        <w:rPr>
          <w:i/>
        </w:rPr>
        <w:t>Providers are strongly encouraged to submit PA requests electronically.</w:t>
      </w:r>
      <w:r>
        <w:t xml:space="preserve"> </w:t>
      </w:r>
      <w:r w:rsidR="00CD77EA" w:rsidRPr="00D70738">
        <w:rPr>
          <w:rFonts w:asciiTheme="majorHAnsi" w:hAnsiTheme="majorHAnsi" w:cstheme="majorHAnsi"/>
          <w:iCs/>
          <w:lang w:eastAsia="x-none"/>
        </w:rPr>
        <w:t>The DME provider is required to follow PA requirements as identified on the</w:t>
      </w:r>
      <w:r w:rsidR="006A706B">
        <w:rPr>
          <w:rFonts w:asciiTheme="majorHAnsi" w:hAnsiTheme="majorHAnsi" w:cstheme="majorHAnsi"/>
          <w:iCs/>
          <w:lang w:eastAsia="x-none"/>
        </w:rPr>
        <w:t xml:space="preserve"> </w:t>
      </w:r>
      <w:hyperlink r:id="rId11" w:history="1">
        <w:r w:rsidR="006A706B">
          <w:rPr>
            <w:rStyle w:val="Hyperlink"/>
          </w:rPr>
          <w:t>MassHealth Payment and Coverage Guideline Tools</w:t>
        </w:r>
      </w:hyperlink>
      <w:r w:rsidR="006A706B">
        <w:t xml:space="preserve">  </w:t>
      </w:r>
      <w:r>
        <w:t>DME providers must submit with the PA request the following documentation and any additional clinical documentation, containing the elements described in Section III.A. above and supporting medical necessity:</w:t>
      </w:r>
    </w:p>
    <w:p w14:paraId="280A9250" w14:textId="339355F3" w:rsidR="00777350" w:rsidRDefault="00F67E48" w:rsidP="0021400F">
      <w:pPr>
        <w:pStyle w:val="Normal1"/>
        <w:pBdr>
          <w:top w:val="nil"/>
          <w:left w:val="nil"/>
          <w:bottom w:val="nil"/>
          <w:right w:val="nil"/>
          <w:between w:val="nil"/>
        </w:pBdr>
        <w:spacing w:before="200" w:after="0" w:line="240" w:lineRule="auto"/>
        <w:ind w:left="1008" w:hanging="504"/>
        <w:rPr>
          <w:color w:val="211D1E"/>
        </w:rPr>
      </w:pPr>
      <w:r>
        <w:rPr>
          <w:color w:val="000000"/>
        </w:rPr>
        <w:t>a</w:t>
      </w:r>
      <w:r w:rsidR="00523C0C">
        <w:rPr>
          <w:color w:val="000000"/>
        </w:rPr>
        <w:t>.</w:t>
      </w:r>
      <w:r w:rsidR="0021400F">
        <w:rPr>
          <w:color w:val="000000"/>
        </w:rPr>
        <w:tab/>
      </w:r>
      <w:r w:rsidR="00523C0C">
        <w:rPr>
          <w:color w:val="211D1E"/>
        </w:rPr>
        <w:t xml:space="preserve">a written prescription signed by the member’s </w:t>
      </w:r>
      <w:r w:rsidR="00373B15">
        <w:rPr>
          <w:color w:val="211D1E"/>
        </w:rPr>
        <w:t xml:space="preserve">ordering practitioner </w:t>
      </w:r>
      <w:r w:rsidR="00523C0C">
        <w:rPr>
          <w:color w:val="211D1E"/>
        </w:rPr>
        <w:t xml:space="preserve">as per Section III.A.1. </w:t>
      </w:r>
      <w:bookmarkStart w:id="1" w:name="_Hlk55223152"/>
      <w:r w:rsidR="00523C0C">
        <w:rPr>
          <w:color w:val="211D1E"/>
        </w:rPr>
        <w:t xml:space="preserve">or </w:t>
      </w:r>
      <w:r w:rsidR="00481AB4">
        <w:rPr>
          <w:color w:val="211D1E"/>
        </w:rPr>
        <w:t>a</w:t>
      </w:r>
      <w:r w:rsidR="0021400F">
        <w:rPr>
          <w:color w:val="211D1E"/>
        </w:rPr>
        <w:t xml:space="preserve"> </w:t>
      </w:r>
      <w:r w:rsidR="00523C0C">
        <w:rPr>
          <w:color w:val="211D1E"/>
        </w:rPr>
        <w:t xml:space="preserve">completed </w:t>
      </w:r>
      <w:r w:rsidR="00523C0C">
        <w:rPr>
          <w:color w:val="000000"/>
        </w:rPr>
        <w:t xml:space="preserve">MassHealth Prescription and Medical Necessity Review Form for DME </w:t>
      </w:r>
      <w:bookmarkEnd w:id="1"/>
      <w:r w:rsidR="00523C0C">
        <w:rPr>
          <w:color w:val="000000"/>
        </w:rPr>
        <w:t xml:space="preserve">at </w:t>
      </w:r>
      <w:hyperlink r:id="rId12" w:history="1">
        <w:r w:rsidR="006A706B" w:rsidRPr="00514030">
          <w:rPr>
            <w:rStyle w:val="Hyperlink"/>
          </w:rPr>
          <w:t>MassHealth DME Prescription and Medical Necessity Review Form</w:t>
        </w:r>
      </w:hyperlink>
      <w:r w:rsidR="00523C0C">
        <w:rPr>
          <w:color w:val="000000"/>
        </w:rPr>
        <w:t xml:space="preserve">, for this purpose. </w:t>
      </w:r>
    </w:p>
    <w:p w14:paraId="280A9251" w14:textId="720E1BE6" w:rsidR="00777350" w:rsidRDefault="00F67E48" w:rsidP="00C90EB2">
      <w:pPr>
        <w:pStyle w:val="Normal1"/>
        <w:pBdr>
          <w:top w:val="nil"/>
          <w:left w:val="nil"/>
          <w:bottom w:val="nil"/>
          <w:right w:val="nil"/>
          <w:between w:val="nil"/>
        </w:pBdr>
        <w:spacing w:before="200" w:after="0" w:line="240" w:lineRule="auto"/>
        <w:ind w:left="1008" w:hanging="504"/>
        <w:rPr>
          <w:color w:val="211D1E"/>
        </w:rPr>
      </w:pPr>
      <w:r>
        <w:rPr>
          <w:color w:val="211D1E"/>
        </w:rPr>
        <w:t>b</w:t>
      </w:r>
      <w:r w:rsidR="00523C0C">
        <w:rPr>
          <w:color w:val="211D1E"/>
        </w:rPr>
        <w:t xml:space="preserve">.   </w:t>
      </w:r>
      <w:r w:rsidR="00451A63">
        <w:rPr>
          <w:color w:val="211D1E"/>
        </w:rPr>
        <w:tab/>
      </w:r>
      <w:r w:rsidR="00523C0C">
        <w:rPr>
          <w:color w:val="211D1E"/>
        </w:rPr>
        <w:t>a</w:t>
      </w:r>
      <w:r w:rsidR="00FD40DD">
        <w:rPr>
          <w:color w:val="211D1E"/>
        </w:rPr>
        <w:t xml:space="preserve"> formal</w:t>
      </w:r>
      <w:r w:rsidR="00523C0C">
        <w:rPr>
          <w:color w:val="211D1E"/>
        </w:rPr>
        <w:t xml:space="preserve"> evaluation</w:t>
      </w:r>
      <w:r w:rsidR="00FD40DD">
        <w:rPr>
          <w:color w:val="211D1E"/>
        </w:rPr>
        <w:t xml:space="preserve"> and a</w:t>
      </w:r>
      <w:r w:rsidR="00033F99">
        <w:rPr>
          <w:color w:val="211D1E"/>
        </w:rPr>
        <w:t>ssessment</w:t>
      </w:r>
      <w:r w:rsidR="00523C0C">
        <w:rPr>
          <w:color w:val="211D1E"/>
        </w:rPr>
        <w:t xml:space="preserve"> by a speech language pathologist experienced in AAC service delivery, as per Section III.A.2.</w:t>
      </w:r>
    </w:p>
    <w:p w14:paraId="363C3DE6" w14:textId="7F08683E" w:rsidR="003A65C0" w:rsidRPr="002A08BD" w:rsidRDefault="00F67E48" w:rsidP="00C90EB2">
      <w:pPr>
        <w:pStyle w:val="Normal1"/>
        <w:pBdr>
          <w:top w:val="nil"/>
          <w:left w:val="nil"/>
          <w:bottom w:val="nil"/>
          <w:right w:val="nil"/>
          <w:between w:val="nil"/>
        </w:pBdr>
        <w:spacing w:before="200" w:after="0" w:line="240" w:lineRule="auto"/>
        <w:ind w:left="1008" w:hanging="504"/>
        <w:rPr>
          <w:rFonts w:ascii="Times New Roman" w:eastAsia="Times New Roman" w:hAnsi="Times New Roman" w:cs="Times New Roman"/>
          <w:color w:val="000000"/>
          <w:sz w:val="24"/>
          <w:szCs w:val="24"/>
        </w:rPr>
      </w:pPr>
      <w:r>
        <w:rPr>
          <w:color w:val="000000"/>
        </w:rPr>
        <w:t>c</w:t>
      </w:r>
      <w:r w:rsidR="00523C0C">
        <w:rPr>
          <w:color w:val="000000"/>
        </w:rPr>
        <w:t xml:space="preserve">. </w:t>
      </w:r>
      <w:r w:rsidR="00C90EB2">
        <w:rPr>
          <w:color w:val="000000"/>
        </w:rPr>
        <w:tab/>
      </w:r>
      <w:r w:rsidR="0034706D">
        <w:rPr>
          <w:color w:val="000000"/>
        </w:rPr>
        <w:t xml:space="preserve">a </w:t>
      </w:r>
      <w:r w:rsidR="00523C0C">
        <w:rPr>
          <w:color w:val="000000"/>
        </w:rPr>
        <w:t xml:space="preserve">DME provider’s attestation that the requested device or software is dedicated—limited to or configured to limit use to the purpose of communication. The DME provider meets the attestation by </w:t>
      </w:r>
      <w:proofErr w:type="gramStart"/>
      <w:r w:rsidR="00523C0C">
        <w:rPr>
          <w:color w:val="000000"/>
        </w:rPr>
        <w:t>signing</w:t>
      </w:r>
      <w:r w:rsidR="00B26214">
        <w:rPr>
          <w:color w:val="000000"/>
        </w:rPr>
        <w:t xml:space="preserve"> </w:t>
      </w:r>
      <w:r w:rsidR="00523C0C">
        <w:rPr>
          <w:color w:val="000000"/>
        </w:rPr>
        <w:t xml:space="preserve"> the</w:t>
      </w:r>
      <w:proofErr w:type="gramEnd"/>
      <w:r w:rsidR="00523C0C">
        <w:rPr>
          <w:color w:val="000000"/>
        </w:rPr>
        <w:t xml:space="preserve"> MassHealth Prescription and Medical Necessity Review Form for DME.</w:t>
      </w:r>
      <w:bookmarkStart w:id="2" w:name="_Hlk96933323"/>
    </w:p>
    <w:p w14:paraId="1052BAB6" w14:textId="77777777" w:rsidR="001F2044" w:rsidRDefault="001F2044" w:rsidP="008F12F0">
      <w:pPr>
        <w:pStyle w:val="Normal1"/>
        <w:spacing w:after="0"/>
        <w:rPr>
          <w:color w:val="000000"/>
        </w:rPr>
      </w:pPr>
    </w:p>
    <w:bookmarkEnd w:id="2"/>
    <w:p w14:paraId="280A9256" w14:textId="24BD41F5" w:rsidR="00777350" w:rsidRPr="005D35A7" w:rsidRDefault="0034706D" w:rsidP="00CC12F0">
      <w:pPr>
        <w:pStyle w:val="Normal1"/>
        <w:numPr>
          <w:ilvl w:val="0"/>
          <w:numId w:val="15"/>
        </w:numPr>
        <w:rPr>
          <w:bCs/>
          <w:color w:val="211D1E"/>
        </w:rPr>
      </w:pPr>
      <w:r w:rsidRPr="00EC0889">
        <w:rPr>
          <w:bCs/>
          <w:i/>
          <w:iCs/>
        </w:rPr>
        <w:t xml:space="preserve">For </w:t>
      </w:r>
      <w:r w:rsidR="00500A3C" w:rsidRPr="00EC0889">
        <w:rPr>
          <w:bCs/>
          <w:i/>
          <w:iCs/>
        </w:rPr>
        <w:t xml:space="preserve">non-dedicated </w:t>
      </w:r>
      <w:r w:rsidR="00EA38B3" w:rsidRPr="00EC0889">
        <w:rPr>
          <w:bCs/>
          <w:i/>
          <w:iCs/>
        </w:rPr>
        <w:t>SGDs</w:t>
      </w:r>
      <w:r w:rsidR="00357DEA" w:rsidRPr="00EC0889">
        <w:rPr>
          <w:bCs/>
          <w:i/>
          <w:iCs/>
        </w:rPr>
        <w:t xml:space="preserve"> for</w:t>
      </w:r>
      <w:r w:rsidR="00523C0C" w:rsidRPr="00EC0889">
        <w:rPr>
          <w:bCs/>
          <w:i/>
          <w:iCs/>
        </w:rPr>
        <w:t xml:space="preserve"> </w:t>
      </w:r>
      <w:r w:rsidR="00EA38B3" w:rsidRPr="00EC0889">
        <w:rPr>
          <w:bCs/>
          <w:i/>
          <w:iCs/>
        </w:rPr>
        <w:t>m</w:t>
      </w:r>
      <w:r w:rsidR="00D53901" w:rsidRPr="00EC0889">
        <w:rPr>
          <w:bCs/>
          <w:i/>
          <w:iCs/>
        </w:rPr>
        <w:t xml:space="preserve">embers </w:t>
      </w:r>
      <w:r w:rsidR="00EA38B3" w:rsidRPr="00EC0889">
        <w:rPr>
          <w:bCs/>
          <w:i/>
          <w:iCs/>
        </w:rPr>
        <w:t>y</w:t>
      </w:r>
      <w:r w:rsidR="009346B2" w:rsidRPr="00EC0889">
        <w:rPr>
          <w:bCs/>
          <w:i/>
          <w:iCs/>
        </w:rPr>
        <w:t xml:space="preserve">ounger than </w:t>
      </w:r>
      <w:r w:rsidR="00523C0C" w:rsidRPr="00EC0889">
        <w:rPr>
          <w:bCs/>
          <w:i/>
          <w:iCs/>
        </w:rPr>
        <w:t xml:space="preserve">21 </w:t>
      </w:r>
      <w:r w:rsidR="00EA38B3" w:rsidRPr="00EC0889">
        <w:rPr>
          <w:bCs/>
          <w:i/>
          <w:iCs/>
        </w:rPr>
        <w:t>years of age with autism spectrum disorder</w:t>
      </w:r>
      <w:r w:rsidRPr="00E56D41">
        <w:rPr>
          <w:bCs/>
        </w:rPr>
        <w:t>, a</w:t>
      </w:r>
      <w:r w:rsidR="00523C0C" w:rsidRPr="00E56D41">
        <w:rPr>
          <w:bCs/>
        </w:rPr>
        <w:t xml:space="preserve"> PA </w:t>
      </w:r>
      <w:r w:rsidRPr="00E56D41">
        <w:rPr>
          <w:bCs/>
        </w:rPr>
        <w:t>m</w:t>
      </w:r>
      <w:r w:rsidR="00523C0C" w:rsidRPr="00E56D41">
        <w:rPr>
          <w:bCs/>
        </w:rPr>
        <w:t xml:space="preserve">ust be </w:t>
      </w:r>
      <w:r w:rsidRPr="00E56D41">
        <w:rPr>
          <w:bCs/>
        </w:rPr>
        <w:t xml:space="preserve">submitted </w:t>
      </w:r>
      <w:r w:rsidR="00523C0C" w:rsidRPr="00E56D41">
        <w:rPr>
          <w:bCs/>
        </w:rPr>
        <w:t xml:space="preserve">by </w:t>
      </w:r>
      <w:r w:rsidR="00523C0C" w:rsidRPr="00E56D41">
        <w:rPr>
          <w:bCs/>
          <w:i/>
          <w:iCs/>
        </w:rPr>
        <w:t xml:space="preserve">a </w:t>
      </w:r>
      <w:r w:rsidR="00EA38B3" w:rsidRPr="00E56D41">
        <w:rPr>
          <w:bCs/>
          <w:i/>
          <w:iCs/>
        </w:rPr>
        <w:t xml:space="preserve">speech language pathologist </w:t>
      </w:r>
      <w:r w:rsidR="00D37144" w:rsidRPr="00E56D41">
        <w:rPr>
          <w:bCs/>
          <w:i/>
          <w:iCs/>
        </w:rPr>
        <w:t xml:space="preserve">(SLP) </w:t>
      </w:r>
      <w:r w:rsidR="00D565BA" w:rsidRPr="00E56D41">
        <w:rPr>
          <w:bCs/>
          <w:i/>
          <w:iCs/>
        </w:rPr>
        <w:t>enrolled in MassHealth</w:t>
      </w:r>
      <w:r w:rsidR="005D7D12" w:rsidRPr="00E56D41">
        <w:rPr>
          <w:bCs/>
          <w:i/>
          <w:iCs/>
        </w:rPr>
        <w:t xml:space="preserve"> or affiliated with a MassHealth </w:t>
      </w:r>
      <w:r w:rsidR="00EA38B3" w:rsidRPr="00E56D41">
        <w:rPr>
          <w:bCs/>
          <w:i/>
          <w:iCs/>
        </w:rPr>
        <w:t xml:space="preserve">provider (e.g., outpatient clinic or hospital outpatient department). </w:t>
      </w:r>
    </w:p>
    <w:p w14:paraId="280A9257" w14:textId="52975F30" w:rsidR="00777350" w:rsidRPr="005D7D12" w:rsidRDefault="002608FF" w:rsidP="00A47FFB">
      <w:pPr>
        <w:pStyle w:val="Normal1"/>
        <w:ind w:left="360"/>
        <w:rPr>
          <w:iCs/>
        </w:rPr>
      </w:pPr>
      <w:r>
        <w:rPr>
          <w:i/>
        </w:rPr>
        <w:t>SLPs are</w:t>
      </w:r>
      <w:r w:rsidR="00523C0C">
        <w:rPr>
          <w:i/>
        </w:rPr>
        <w:t xml:space="preserve"> strongly encouraged to submit PA requests electronically.</w:t>
      </w:r>
      <w:r w:rsidR="00523C0C">
        <w:t xml:space="preserve"> </w:t>
      </w:r>
      <w:r w:rsidR="00464812" w:rsidRPr="00D53901">
        <w:rPr>
          <w:iCs/>
        </w:rPr>
        <w:t>SLPs</w:t>
      </w:r>
      <w:r w:rsidR="00464812">
        <w:t xml:space="preserve"> </w:t>
      </w:r>
      <w:r w:rsidR="00523C0C">
        <w:t>must submit with the PA request the following documentation and any additional clinical documentation, containing the elements described in Section III.A. and supporting medical necessity:</w:t>
      </w:r>
    </w:p>
    <w:p w14:paraId="280A9259" w14:textId="16687552" w:rsidR="00777350" w:rsidRDefault="00D325B6" w:rsidP="00E56D41">
      <w:pPr>
        <w:pStyle w:val="Normal1"/>
        <w:numPr>
          <w:ilvl w:val="0"/>
          <w:numId w:val="16"/>
        </w:numPr>
        <w:spacing w:after="120" w:line="240" w:lineRule="auto"/>
      </w:pPr>
      <w:r>
        <w:t xml:space="preserve">a </w:t>
      </w:r>
      <w:r w:rsidR="00523C0C">
        <w:t xml:space="preserve">primary medical diagnosis corresponding to the speech impairment, </w:t>
      </w:r>
      <w:r w:rsidR="002608FF">
        <w:t>and a</w:t>
      </w:r>
      <w:r w:rsidR="00523C0C">
        <w:t xml:space="preserve"> secondary medical diagnosis corresponding to autism spectrum disorder by a licensed physician or licensed </w:t>
      </w:r>
      <w:proofErr w:type="gramStart"/>
      <w:r w:rsidR="00523C0C">
        <w:t>psychologist</w:t>
      </w:r>
      <w:r w:rsidR="00192709">
        <w:t>;</w:t>
      </w:r>
      <w:proofErr w:type="gramEnd"/>
      <w:r w:rsidR="00523C0C">
        <w:t xml:space="preserve"> </w:t>
      </w:r>
    </w:p>
    <w:p w14:paraId="63DE4F45" w14:textId="43C8A4DF" w:rsidR="004723A0" w:rsidRDefault="00D325B6" w:rsidP="00E56D41">
      <w:pPr>
        <w:pStyle w:val="Normal1"/>
        <w:numPr>
          <w:ilvl w:val="0"/>
          <w:numId w:val="16"/>
        </w:numPr>
        <w:spacing w:after="120" w:line="240" w:lineRule="auto"/>
      </w:pPr>
      <w:r>
        <w:lastRenderedPageBreak/>
        <w:t xml:space="preserve">for </w:t>
      </w:r>
      <w:r w:rsidR="00D53901">
        <w:t>members for whom</w:t>
      </w:r>
      <w:r w:rsidR="00481AB4">
        <w:t xml:space="preserve"> MassHealth is not the primary health coverage, a</w:t>
      </w:r>
      <w:r w:rsidR="004723A0">
        <w:t xml:space="preserve"> copy of </w:t>
      </w:r>
      <w:r w:rsidR="00D53901">
        <w:t xml:space="preserve">a </w:t>
      </w:r>
      <w:r w:rsidR="00B7644E">
        <w:t xml:space="preserve">denial letter from </w:t>
      </w:r>
      <w:r w:rsidR="00481AB4">
        <w:t xml:space="preserve">the member’s </w:t>
      </w:r>
      <w:r w:rsidR="00B7644E">
        <w:t xml:space="preserve">primary health insurance </w:t>
      </w:r>
      <w:r w:rsidR="00B26214">
        <w:t>or written evidence of policy coverage</w:t>
      </w:r>
      <w:r w:rsidR="00285D7C">
        <w:t xml:space="preserve"> criteria</w:t>
      </w:r>
      <w:r w:rsidR="00B26214">
        <w:t xml:space="preserve"> </w:t>
      </w:r>
      <w:r w:rsidR="001F386A">
        <w:t>indicating non-coverage of the requested non-dedicated</w:t>
      </w:r>
      <w:r w:rsidR="00193C50">
        <w:t xml:space="preserve"> </w:t>
      </w:r>
      <w:proofErr w:type="gramStart"/>
      <w:r w:rsidR="00193C50">
        <w:t>device</w:t>
      </w:r>
      <w:r w:rsidR="00EA38B3">
        <w:t>;</w:t>
      </w:r>
      <w:proofErr w:type="gramEnd"/>
    </w:p>
    <w:p w14:paraId="280A925C" w14:textId="69FA4C72" w:rsidR="00777350" w:rsidRPr="00192709" w:rsidRDefault="00523C0C" w:rsidP="00E56D41">
      <w:pPr>
        <w:pStyle w:val="ListParagraph"/>
        <w:numPr>
          <w:ilvl w:val="0"/>
          <w:numId w:val="16"/>
        </w:numPr>
        <w:pBdr>
          <w:top w:val="nil"/>
          <w:left w:val="nil"/>
          <w:bottom w:val="nil"/>
          <w:right w:val="nil"/>
          <w:between w:val="nil"/>
        </w:pBdr>
        <w:spacing w:before="200" w:after="0" w:line="240" w:lineRule="auto"/>
        <w:rPr>
          <w:color w:val="211D1E"/>
        </w:rPr>
      </w:pPr>
      <w:r w:rsidRPr="00192709">
        <w:rPr>
          <w:color w:val="211D1E"/>
        </w:rPr>
        <w:t xml:space="preserve">a written prescription signed by the member’s </w:t>
      </w:r>
      <w:r w:rsidR="00B35BF0" w:rsidRPr="00192709">
        <w:rPr>
          <w:color w:val="211D1E"/>
        </w:rPr>
        <w:t>prescribing provider</w:t>
      </w:r>
      <w:r w:rsidRPr="00192709">
        <w:rPr>
          <w:color w:val="211D1E"/>
        </w:rPr>
        <w:t xml:space="preserve"> as per Section III.A.1. </w:t>
      </w:r>
      <w:r w:rsidR="00481AB4" w:rsidRPr="00192709">
        <w:rPr>
          <w:color w:val="211D1E"/>
        </w:rPr>
        <w:t xml:space="preserve">or a completed MassHealth Prescription and Medical Necessity Review Form for DME at http://www.mass.gov/eohhs/gov/departments/masshealth/masshealth-provider-forms.html, for this </w:t>
      </w:r>
      <w:proofErr w:type="gramStart"/>
      <w:r w:rsidR="00481AB4" w:rsidRPr="00192709">
        <w:rPr>
          <w:color w:val="211D1E"/>
        </w:rPr>
        <w:t>purpose</w:t>
      </w:r>
      <w:r w:rsidR="00EA38B3">
        <w:rPr>
          <w:color w:val="211D1E"/>
        </w:rPr>
        <w:t>;</w:t>
      </w:r>
      <w:proofErr w:type="gramEnd"/>
      <w:r w:rsidR="00481AB4" w:rsidRPr="00192709">
        <w:rPr>
          <w:color w:val="211D1E"/>
        </w:rPr>
        <w:t xml:space="preserve"> </w:t>
      </w:r>
      <w:r w:rsidRPr="00192709">
        <w:rPr>
          <w:color w:val="211D1E"/>
        </w:rPr>
        <w:t xml:space="preserve"> </w:t>
      </w:r>
    </w:p>
    <w:p w14:paraId="280A925D" w14:textId="425392BF" w:rsidR="00777350" w:rsidRPr="003F5E0A" w:rsidRDefault="00523C0C" w:rsidP="00E56D41">
      <w:pPr>
        <w:pStyle w:val="Normal1"/>
        <w:numPr>
          <w:ilvl w:val="0"/>
          <w:numId w:val="16"/>
        </w:numPr>
        <w:pBdr>
          <w:top w:val="nil"/>
          <w:left w:val="nil"/>
          <w:bottom w:val="nil"/>
          <w:right w:val="nil"/>
          <w:between w:val="nil"/>
        </w:pBdr>
        <w:spacing w:before="200" w:after="0" w:line="240" w:lineRule="auto"/>
        <w:rPr>
          <w:color w:val="211D1E"/>
        </w:rPr>
      </w:pPr>
      <w:r>
        <w:rPr>
          <w:color w:val="211D1E"/>
        </w:rPr>
        <w:t xml:space="preserve">an evaluation by a speech language pathologist experienced in AAC service delivery, as required </w:t>
      </w:r>
      <w:r w:rsidRPr="003F5E0A">
        <w:rPr>
          <w:color w:val="211D1E"/>
        </w:rPr>
        <w:t>by Section III.A.</w:t>
      </w:r>
      <w:proofErr w:type="gramStart"/>
      <w:r w:rsidRPr="003F5E0A">
        <w:rPr>
          <w:color w:val="211D1E"/>
        </w:rPr>
        <w:t>2</w:t>
      </w:r>
      <w:r w:rsidR="00EA38B3">
        <w:rPr>
          <w:color w:val="211D1E"/>
        </w:rPr>
        <w:t>;</w:t>
      </w:r>
      <w:proofErr w:type="gramEnd"/>
    </w:p>
    <w:p w14:paraId="1A2D5A24" w14:textId="555A9374" w:rsidR="006E2F24" w:rsidRPr="00D70738" w:rsidRDefault="00D325B6" w:rsidP="00E56D41">
      <w:pPr>
        <w:pStyle w:val="Normal1"/>
        <w:numPr>
          <w:ilvl w:val="0"/>
          <w:numId w:val="16"/>
        </w:numPr>
        <w:pBdr>
          <w:top w:val="nil"/>
          <w:left w:val="nil"/>
          <w:bottom w:val="nil"/>
          <w:right w:val="nil"/>
          <w:between w:val="nil"/>
        </w:pBdr>
        <w:spacing w:before="200" w:after="0" w:line="240" w:lineRule="auto"/>
        <w:rPr>
          <w:rFonts w:asciiTheme="majorHAnsi" w:hAnsiTheme="majorHAnsi" w:cstheme="majorHAnsi"/>
          <w:color w:val="211D1E"/>
        </w:rPr>
      </w:pPr>
      <w:r>
        <w:rPr>
          <w:rFonts w:asciiTheme="majorHAnsi" w:hAnsiTheme="majorHAnsi" w:cstheme="majorHAnsi"/>
          <w:iCs/>
          <w:lang w:eastAsia="x-none"/>
        </w:rPr>
        <w:t>indication from the</w:t>
      </w:r>
      <w:r w:rsidRPr="00D70738">
        <w:rPr>
          <w:rFonts w:asciiTheme="majorHAnsi" w:hAnsiTheme="majorHAnsi" w:cstheme="majorHAnsi"/>
          <w:iCs/>
          <w:lang w:eastAsia="x-none"/>
        </w:rPr>
        <w:t xml:space="preserve"> </w:t>
      </w:r>
      <w:r w:rsidR="006E2F24" w:rsidRPr="00D70738">
        <w:rPr>
          <w:rFonts w:asciiTheme="majorHAnsi" w:hAnsiTheme="majorHAnsi" w:cstheme="majorHAnsi"/>
          <w:lang w:eastAsia="x-none"/>
        </w:rPr>
        <w:t>SLP</w:t>
      </w:r>
      <w:r w:rsidR="006E2F24" w:rsidRPr="00D70738">
        <w:rPr>
          <w:rFonts w:asciiTheme="majorHAnsi" w:hAnsiTheme="majorHAnsi" w:cstheme="majorHAnsi"/>
          <w:lang w:val="x-none" w:eastAsia="x-none"/>
        </w:rPr>
        <w:t xml:space="preserve"> </w:t>
      </w:r>
      <w:r>
        <w:rPr>
          <w:rFonts w:asciiTheme="majorHAnsi" w:hAnsiTheme="majorHAnsi" w:cstheme="majorHAnsi"/>
          <w:iCs/>
          <w:lang w:eastAsia="x-none"/>
        </w:rPr>
        <w:t>of</w:t>
      </w:r>
      <w:r w:rsidR="006E2F24" w:rsidRPr="00D70738">
        <w:rPr>
          <w:rFonts w:asciiTheme="majorHAnsi" w:hAnsiTheme="majorHAnsi" w:cstheme="majorHAnsi"/>
          <w:iCs/>
          <w:lang w:eastAsia="x-none"/>
        </w:rPr>
        <w:t xml:space="preserve"> the specific device</w:t>
      </w:r>
      <w:r>
        <w:rPr>
          <w:rFonts w:asciiTheme="majorHAnsi" w:hAnsiTheme="majorHAnsi" w:cstheme="majorHAnsi"/>
          <w:iCs/>
          <w:lang w:eastAsia="x-none"/>
        </w:rPr>
        <w:t>, software application, and protective case and accessories</w:t>
      </w:r>
      <w:r w:rsidR="006E2F24" w:rsidRPr="00D70738">
        <w:rPr>
          <w:rFonts w:asciiTheme="majorHAnsi" w:hAnsiTheme="majorHAnsi" w:cstheme="majorHAnsi"/>
          <w:iCs/>
          <w:lang w:eastAsia="x-none"/>
        </w:rPr>
        <w:t xml:space="preserve"> being requested</w:t>
      </w:r>
      <w:r w:rsidR="009C22E4">
        <w:rPr>
          <w:rFonts w:asciiTheme="majorHAnsi" w:hAnsiTheme="majorHAnsi" w:cstheme="majorHAnsi"/>
          <w:iCs/>
          <w:lang w:eastAsia="x-none"/>
        </w:rPr>
        <w:t>,</w:t>
      </w:r>
      <w:r w:rsidR="00D62A65">
        <w:rPr>
          <w:rFonts w:asciiTheme="majorHAnsi" w:hAnsiTheme="majorHAnsi" w:cstheme="majorHAnsi"/>
          <w:iCs/>
          <w:lang w:eastAsia="x-none"/>
        </w:rPr>
        <w:t xml:space="preserve"> </w:t>
      </w:r>
      <w:r w:rsidR="006E2F24" w:rsidRPr="00D70738">
        <w:rPr>
          <w:rFonts w:asciiTheme="majorHAnsi" w:hAnsiTheme="majorHAnsi" w:cstheme="majorHAnsi"/>
          <w:iCs/>
          <w:lang w:eastAsia="x-none"/>
        </w:rPr>
        <w:t>as appropriate</w:t>
      </w:r>
      <w:r w:rsidR="00EA38B3">
        <w:rPr>
          <w:rFonts w:asciiTheme="majorHAnsi" w:hAnsiTheme="majorHAnsi" w:cstheme="majorHAnsi"/>
          <w:iCs/>
          <w:lang w:eastAsia="x-none"/>
        </w:rPr>
        <w:t>; and</w:t>
      </w:r>
      <w:r w:rsidR="006E2F24" w:rsidRPr="00D70738">
        <w:rPr>
          <w:rFonts w:asciiTheme="majorHAnsi" w:hAnsiTheme="majorHAnsi" w:cstheme="majorHAnsi"/>
          <w:iCs/>
          <w:lang w:eastAsia="x-none"/>
        </w:rPr>
        <w:t xml:space="preserve">  </w:t>
      </w:r>
    </w:p>
    <w:p w14:paraId="280A925F" w14:textId="017D49E5" w:rsidR="00777350" w:rsidRPr="00D70738" w:rsidRDefault="00D325B6" w:rsidP="00E56D41">
      <w:pPr>
        <w:pStyle w:val="Normal1"/>
        <w:numPr>
          <w:ilvl w:val="0"/>
          <w:numId w:val="16"/>
        </w:numPr>
        <w:pBdr>
          <w:top w:val="nil"/>
          <w:left w:val="nil"/>
          <w:bottom w:val="nil"/>
          <w:right w:val="nil"/>
          <w:between w:val="nil"/>
        </w:pBdr>
        <w:spacing w:before="200" w:after="0" w:line="240" w:lineRule="auto"/>
        <w:rPr>
          <w:color w:val="211D1E"/>
        </w:rPr>
      </w:pPr>
      <w:r w:rsidRPr="00192709">
        <w:rPr>
          <w:iCs/>
          <w:color w:val="000000"/>
        </w:rPr>
        <w:t xml:space="preserve">supporting </w:t>
      </w:r>
      <w:r w:rsidR="00523C0C" w:rsidRPr="00192709">
        <w:rPr>
          <w:iCs/>
          <w:color w:val="000000"/>
        </w:rPr>
        <w:t>documentation</w:t>
      </w:r>
      <w:r w:rsidR="00523C0C" w:rsidRPr="006E2F24">
        <w:rPr>
          <w:i/>
          <w:color w:val="000000"/>
        </w:rPr>
        <w:t> </w:t>
      </w:r>
      <w:r w:rsidR="00523C0C" w:rsidRPr="006E2F24">
        <w:rPr>
          <w:color w:val="000000"/>
        </w:rPr>
        <w:t xml:space="preserve">signed by the submitting </w:t>
      </w:r>
      <w:r>
        <w:rPr>
          <w:color w:val="000000"/>
        </w:rPr>
        <w:t>SLP</w:t>
      </w:r>
      <w:r w:rsidR="00523C0C" w:rsidRPr="006E2F24">
        <w:rPr>
          <w:color w:val="000000"/>
        </w:rPr>
        <w:t xml:space="preserve"> </w:t>
      </w:r>
      <w:r w:rsidR="00523C0C" w:rsidRPr="00192709">
        <w:rPr>
          <w:iCs/>
          <w:color w:val="000000"/>
        </w:rPr>
        <w:t>attesting</w:t>
      </w:r>
      <w:r w:rsidR="00523C0C" w:rsidRPr="006E2F24">
        <w:rPr>
          <w:i/>
          <w:color w:val="000000"/>
        </w:rPr>
        <w:t xml:space="preserve"> </w:t>
      </w:r>
      <w:r w:rsidR="00523C0C" w:rsidRPr="006E2F24">
        <w:rPr>
          <w:color w:val="000000"/>
        </w:rPr>
        <w:t>that the recommended device or software is to be used for the purpose of communication.</w:t>
      </w:r>
    </w:p>
    <w:p w14:paraId="73A63306" w14:textId="1047E802" w:rsidR="00BD1CDD" w:rsidRDefault="00BD1CDD" w:rsidP="00BD1CDD">
      <w:pPr>
        <w:pStyle w:val="Normal1"/>
        <w:pBdr>
          <w:top w:val="nil"/>
          <w:left w:val="nil"/>
          <w:bottom w:val="nil"/>
          <w:right w:val="nil"/>
          <w:between w:val="nil"/>
        </w:pBdr>
        <w:spacing w:before="200" w:after="0" w:line="240" w:lineRule="auto"/>
        <w:ind w:left="360"/>
        <w:rPr>
          <w:rFonts w:asciiTheme="majorHAnsi" w:hAnsiTheme="majorHAnsi" w:cstheme="majorHAnsi"/>
          <w:iCs/>
          <w:lang w:eastAsia="x-none"/>
        </w:rPr>
      </w:pPr>
      <w:r w:rsidRPr="00192709">
        <w:rPr>
          <w:rStyle w:val="Emphasis"/>
        </w:rPr>
        <w:t>Please note</w:t>
      </w:r>
      <w:r w:rsidRPr="00C00297">
        <w:rPr>
          <w:rFonts w:asciiTheme="majorHAnsi" w:hAnsiTheme="majorHAnsi" w:cstheme="majorHAnsi"/>
          <w:iCs/>
          <w:lang w:eastAsia="x-none"/>
        </w:rPr>
        <w:t>:</w:t>
      </w:r>
      <w:r w:rsidRPr="00D70738">
        <w:rPr>
          <w:rFonts w:asciiTheme="majorHAnsi" w:hAnsiTheme="majorHAnsi" w:cstheme="majorHAnsi"/>
          <w:iCs/>
          <w:lang w:eastAsia="x-none"/>
        </w:rPr>
        <w:t xml:space="preserve"> The SLP will </w:t>
      </w:r>
      <w:r w:rsidRPr="00D70738">
        <w:rPr>
          <w:rFonts w:asciiTheme="majorHAnsi" w:hAnsiTheme="majorHAnsi" w:cstheme="majorHAnsi"/>
          <w:iCs/>
          <w:lang w:val="x-none" w:eastAsia="x-none"/>
        </w:rPr>
        <w:t xml:space="preserve">coordinate with </w:t>
      </w:r>
      <w:r w:rsidR="0068699D">
        <w:rPr>
          <w:rFonts w:asciiTheme="majorHAnsi" w:hAnsiTheme="majorHAnsi" w:cstheme="majorHAnsi"/>
          <w:iCs/>
          <w:lang w:eastAsia="x-none"/>
        </w:rPr>
        <w:t>a</w:t>
      </w:r>
      <w:r w:rsidR="0068699D" w:rsidRPr="00D70738">
        <w:rPr>
          <w:rFonts w:asciiTheme="majorHAnsi" w:hAnsiTheme="majorHAnsi" w:cstheme="majorHAnsi"/>
          <w:iCs/>
          <w:lang w:val="x-none" w:eastAsia="x-none"/>
        </w:rPr>
        <w:t xml:space="preserve"> </w:t>
      </w:r>
      <w:r w:rsidRPr="00D70738">
        <w:rPr>
          <w:rFonts w:asciiTheme="majorHAnsi" w:hAnsiTheme="majorHAnsi" w:cstheme="majorHAnsi"/>
          <w:iCs/>
          <w:lang w:eastAsia="x-none"/>
        </w:rPr>
        <w:t>MassHealth DME provider</w:t>
      </w:r>
      <w:r w:rsidRPr="00D70738">
        <w:rPr>
          <w:rFonts w:asciiTheme="majorHAnsi" w:hAnsiTheme="majorHAnsi" w:cstheme="majorHAnsi"/>
          <w:iCs/>
          <w:lang w:val="x-none" w:eastAsia="x-none"/>
        </w:rPr>
        <w:t xml:space="preserve"> to</w:t>
      </w:r>
      <w:r w:rsidRPr="00D70738">
        <w:rPr>
          <w:rFonts w:asciiTheme="majorHAnsi" w:hAnsiTheme="majorHAnsi" w:cstheme="majorHAnsi"/>
          <w:iCs/>
          <w:lang w:eastAsia="x-none"/>
        </w:rPr>
        <w:t xml:space="preserve"> obtain additional DME needed to operate the non-dedicated </w:t>
      </w:r>
      <w:r w:rsidR="00D153E9">
        <w:rPr>
          <w:rFonts w:asciiTheme="majorHAnsi" w:hAnsiTheme="majorHAnsi" w:cstheme="majorHAnsi"/>
          <w:iCs/>
          <w:lang w:eastAsia="x-none"/>
        </w:rPr>
        <w:t>SGD</w:t>
      </w:r>
      <w:r w:rsidRPr="00D70738">
        <w:rPr>
          <w:rFonts w:asciiTheme="majorHAnsi" w:hAnsiTheme="majorHAnsi" w:cstheme="majorHAnsi"/>
          <w:iCs/>
          <w:lang w:eastAsia="x-none"/>
        </w:rPr>
        <w:t xml:space="preserve"> device </w:t>
      </w:r>
      <w:r w:rsidR="00C24096">
        <w:rPr>
          <w:rFonts w:asciiTheme="majorHAnsi" w:hAnsiTheme="majorHAnsi" w:cstheme="majorHAnsi"/>
          <w:iCs/>
          <w:lang w:eastAsia="x-none"/>
        </w:rPr>
        <w:t>with</w:t>
      </w:r>
      <w:r w:rsidRPr="00D70738">
        <w:rPr>
          <w:rFonts w:asciiTheme="majorHAnsi" w:hAnsiTheme="majorHAnsi" w:cstheme="majorHAnsi"/>
          <w:iCs/>
          <w:lang w:eastAsia="x-none"/>
        </w:rPr>
        <w:t xml:space="preserve"> applicable HCPC</w:t>
      </w:r>
      <w:r w:rsidR="009C22E4">
        <w:rPr>
          <w:rFonts w:asciiTheme="majorHAnsi" w:hAnsiTheme="majorHAnsi" w:cstheme="majorHAnsi"/>
          <w:iCs/>
          <w:lang w:eastAsia="x-none"/>
        </w:rPr>
        <w:t>S</w:t>
      </w:r>
      <w:r w:rsidRPr="00D70738">
        <w:rPr>
          <w:rFonts w:asciiTheme="majorHAnsi" w:hAnsiTheme="majorHAnsi" w:cstheme="majorHAnsi"/>
          <w:iCs/>
          <w:lang w:eastAsia="x-none"/>
        </w:rPr>
        <w:t xml:space="preserve"> coding. This may include</w:t>
      </w:r>
      <w:r w:rsidR="00C24096">
        <w:rPr>
          <w:rFonts w:asciiTheme="majorHAnsi" w:hAnsiTheme="majorHAnsi" w:cstheme="majorHAnsi"/>
          <w:iCs/>
          <w:lang w:eastAsia="x-none"/>
        </w:rPr>
        <w:t>,</w:t>
      </w:r>
      <w:r w:rsidRPr="00D70738">
        <w:rPr>
          <w:rFonts w:asciiTheme="majorHAnsi" w:hAnsiTheme="majorHAnsi" w:cstheme="majorHAnsi"/>
          <w:iCs/>
          <w:lang w:eastAsia="x-none"/>
        </w:rPr>
        <w:t xml:space="preserve"> but </w:t>
      </w:r>
      <w:r w:rsidR="00C24096">
        <w:rPr>
          <w:rFonts w:asciiTheme="majorHAnsi" w:hAnsiTheme="majorHAnsi" w:cstheme="majorHAnsi"/>
          <w:iCs/>
          <w:lang w:eastAsia="x-none"/>
        </w:rPr>
        <w:t xml:space="preserve">is </w:t>
      </w:r>
      <w:r w:rsidRPr="00D70738">
        <w:rPr>
          <w:rFonts w:asciiTheme="majorHAnsi" w:hAnsiTheme="majorHAnsi" w:cstheme="majorHAnsi"/>
          <w:iCs/>
          <w:lang w:eastAsia="x-none"/>
        </w:rPr>
        <w:t>not limited to</w:t>
      </w:r>
      <w:r w:rsidR="00C24096">
        <w:rPr>
          <w:rFonts w:asciiTheme="majorHAnsi" w:hAnsiTheme="majorHAnsi" w:cstheme="majorHAnsi"/>
          <w:iCs/>
          <w:lang w:eastAsia="x-none"/>
        </w:rPr>
        <w:t>,</w:t>
      </w:r>
      <w:r w:rsidRPr="00D70738">
        <w:rPr>
          <w:rFonts w:asciiTheme="majorHAnsi" w:hAnsiTheme="majorHAnsi" w:cstheme="majorHAnsi"/>
          <w:iCs/>
          <w:lang w:eastAsia="x-none"/>
        </w:rPr>
        <w:t xml:space="preserve"> items such as wheelchair mounting devices. The DME provider is required to follow PA requirements as identified on the </w:t>
      </w:r>
      <w:hyperlink r:id="rId13" w:history="1">
        <w:r w:rsidR="006A706B">
          <w:rPr>
            <w:rStyle w:val="Hyperlink"/>
          </w:rPr>
          <w:t>MassHealth Payment and Coverage Guideline Tools</w:t>
        </w:r>
        <w:r w:rsidR="006443F7" w:rsidRPr="000572A1">
          <w:rPr>
            <w:rStyle w:val="Hyperlink"/>
            <w:color w:val="auto"/>
            <w:u w:val="none"/>
          </w:rPr>
          <w:t>.</w:t>
        </w:r>
      </w:hyperlink>
      <w:r w:rsidRPr="00D70738">
        <w:rPr>
          <w:rFonts w:asciiTheme="majorHAnsi" w:hAnsiTheme="majorHAnsi" w:cstheme="majorHAnsi"/>
          <w:iCs/>
          <w:lang w:eastAsia="x-none"/>
        </w:rPr>
        <w:t xml:space="preserve">  </w:t>
      </w:r>
    </w:p>
    <w:p w14:paraId="1DE94E1D" w14:textId="44C833C8" w:rsidR="00CC12F0" w:rsidRPr="00192709" w:rsidRDefault="009913DF" w:rsidP="0028067E">
      <w:pPr>
        <w:pStyle w:val="Normal1"/>
        <w:numPr>
          <w:ilvl w:val="0"/>
          <w:numId w:val="15"/>
        </w:numPr>
        <w:pBdr>
          <w:top w:val="nil"/>
          <w:left w:val="nil"/>
          <w:bottom w:val="nil"/>
          <w:right w:val="nil"/>
          <w:between w:val="nil"/>
        </w:pBdr>
        <w:spacing w:before="200" w:after="120" w:line="240" w:lineRule="auto"/>
        <w:rPr>
          <w:rFonts w:asciiTheme="majorHAnsi" w:hAnsiTheme="majorHAnsi" w:cstheme="majorHAnsi"/>
          <w:b/>
          <w:bCs/>
          <w:iCs/>
          <w:lang w:eastAsia="x-none"/>
        </w:rPr>
      </w:pPr>
      <w:r w:rsidRPr="00192709">
        <w:rPr>
          <w:rFonts w:asciiTheme="majorHAnsi" w:hAnsiTheme="majorHAnsi" w:cstheme="majorHAnsi"/>
          <w:b/>
          <w:bCs/>
          <w:iCs/>
          <w:lang w:eastAsia="x-none"/>
        </w:rPr>
        <w:t xml:space="preserve">Prior Authorization Submission Instructions  </w:t>
      </w:r>
    </w:p>
    <w:p w14:paraId="522B0D5D" w14:textId="0B8022DC" w:rsidR="00CC12F0" w:rsidRPr="00541668" w:rsidRDefault="00CC12F0" w:rsidP="0028067E">
      <w:pPr>
        <w:pStyle w:val="Normal1"/>
        <w:numPr>
          <w:ilvl w:val="1"/>
          <w:numId w:val="5"/>
        </w:numPr>
        <w:spacing w:after="120"/>
      </w:pPr>
      <w:r w:rsidRPr="00CD77EA">
        <w:rPr>
          <w:color w:val="000000"/>
        </w:rPr>
        <w:t>Providers must submit all information</w:t>
      </w:r>
      <w:r w:rsidR="00AA53FD">
        <w:rPr>
          <w:color w:val="000000"/>
        </w:rPr>
        <w:t xml:space="preserve">, </w:t>
      </w:r>
      <w:r w:rsidRPr="00CD77EA">
        <w:rPr>
          <w:color w:val="000000"/>
        </w:rPr>
        <w:t>related to the request</w:t>
      </w:r>
      <w:r w:rsidR="00AA53FD">
        <w:rPr>
          <w:color w:val="000000"/>
        </w:rPr>
        <w:t>,</w:t>
      </w:r>
      <w:r w:rsidRPr="00CD77EA">
        <w:rPr>
          <w:color w:val="000000"/>
        </w:rPr>
        <w:t xml:space="preserve"> </w:t>
      </w:r>
      <w:r w:rsidR="00D23C63">
        <w:rPr>
          <w:color w:val="000000"/>
        </w:rPr>
        <w:t xml:space="preserve">electronically </w:t>
      </w:r>
      <w:r w:rsidRPr="00CD77EA">
        <w:rPr>
          <w:color w:val="000000"/>
        </w:rPr>
        <w:t xml:space="preserve">through the </w:t>
      </w:r>
      <w:r w:rsidRPr="00541668">
        <w:rPr>
          <w:color w:val="000000"/>
        </w:rPr>
        <w:t>Long-Term Services and Supports Management System (LTMS) or</w:t>
      </w:r>
      <w:r w:rsidR="00E34AF7">
        <w:rPr>
          <w:color w:val="000000"/>
        </w:rPr>
        <w:t xml:space="preserve">, if </w:t>
      </w:r>
      <w:r w:rsidR="004B5325">
        <w:rPr>
          <w:color w:val="000000"/>
        </w:rPr>
        <w:t>submitted</w:t>
      </w:r>
      <w:r w:rsidRPr="00541668">
        <w:rPr>
          <w:color w:val="000000"/>
        </w:rPr>
        <w:t xml:space="preserve"> by mail</w:t>
      </w:r>
      <w:r w:rsidR="00D23C63">
        <w:rPr>
          <w:color w:val="000000"/>
        </w:rPr>
        <w:t>, by</w:t>
      </w:r>
      <w:r w:rsidRPr="00541668">
        <w:rPr>
          <w:color w:val="000000"/>
        </w:rPr>
        <w:t xml:space="preserve"> completing a MassHealth Prior Authorization Request form (PA-1) and attaching supporting documentation. If submitting a non-electronic request, the provider should mail the PA-1 form and any supporting documentation to the address on the back of the PA-1 form. Providers </w:t>
      </w:r>
      <w:r w:rsidR="00AA53FD">
        <w:rPr>
          <w:color w:val="000000"/>
        </w:rPr>
        <w:t>can call</w:t>
      </w:r>
      <w:r w:rsidRPr="00541668">
        <w:rPr>
          <w:color w:val="000000"/>
        </w:rPr>
        <w:t xml:space="preserve"> the MassHealth LTSS Provider Service Center </w:t>
      </w:r>
      <w:proofErr w:type="gramStart"/>
      <w:r w:rsidRPr="00541668">
        <w:rPr>
          <w:color w:val="000000"/>
        </w:rPr>
        <w:t xml:space="preserve">at  </w:t>
      </w:r>
      <w:r w:rsidR="00AA53FD">
        <w:rPr>
          <w:color w:val="000000"/>
        </w:rPr>
        <w:t>(</w:t>
      </w:r>
      <w:proofErr w:type="gramEnd"/>
      <w:r w:rsidRPr="00541668">
        <w:rPr>
          <w:color w:val="000000"/>
        </w:rPr>
        <w:t>844</w:t>
      </w:r>
      <w:r w:rsidR="00AA53FD">
        <w:rPr>
          <w:color w:val="000000"/>
        </w:rPr>
        <w:t xml:space="preserve">) </w:t>
      </w:r>
      <w:r w:rsidRPr="00541668">
        <w:rPr>
          <w:color w:val="000000"/>
        </w:rPr>
        <w:t xml:space="preserve">368-5184 </w:t>
      </w:r>
      <w:r w:rsidR="00AA53FD" w:rsidRPr="00541668">
        <w:rPr>
          <w:color w:val="000000"/>
        </w:rPr>
        <w:t xml:space="preserve">with any questions about LTMS </w:t>
      </w:r>
      <w:r w:rsidR="00AA53FD">
        <w:rPr>
          <w:color w:val="000000"/>
        </w:rPr>
        <w:t>access</w:t>
      </w:r>
      <w:r w:rsidRPr="00541668">
        <w:rPr>
          <w:color w:val="000000"/>
        </w:rPr>
        <w:t>.</w:t>
      </w:r>
    </w:p>
    <w:p w14:paraId="58AC78E2" w14:textId="20DB57EA" w:rsidR="00CC12F0" w:rsidRPr="00A47FFB" w:rsidRDefault="00CC12F0" w:rsidP="002A08BD">
      <w:pPr>
        <w:pStyle w:val="Normal1"/>
        <w:numPr>
          <w:ilvl w:val="1"/>
          <w:numId w:val="5"/>
        </w:numPr>
        <w:spacing w:after="0"/>
        <w:rPr>
          <w:spacing w:val="-2"/>
        </w:rPr>
      </w:pPr>
      <w:r w:rsidRPr="00EC0889">
        <w:rPr>
          <w:i/>
          <w:iCs/>
          <w:spacing w:val="-2"/>
        </w:rPr>
        <w:t xml:space="preserve">Community Case Management (CCM) </w:t>
      </w:r>
      <w:r w:rsidR="00EA38B3" w:rsidRPr="00EC0889">
        <w:rPr>
          <w:i/>
          <w:iCs/>
          <w:spacing w:val="-2"/>
        </w:rPr>
        <w:t>m</w:t>
      </w:r>
      <w:r w:rsidRPr="00EC0889">
        <w:rPr>
          <w:i/>
          <w:iCs/>
          <w:spacing w:val="-2"/>
        </w:rPr>
        <w:t>embers</w:t>
      </w:r>
      <w:r w:rsidRPr="00A47FFB">
        <w:rPr>
          <w:spacing w:val="-2"/>
        </w:rPr>
        <w:t>: When submitting PA requests for CCM members, all information related to the request should be submitted using the Provider Online Service Center (POSC) or</w:t>
      </w:r>
      <w:r w:rsidR="001C237E" w:rsidRPr="00A47FFB">
        <w:rPr>
          <w:spacing w:val="-2"/>
        </w:rPr>
        <w:t>,</w:t>
      </w:r>
      <w:r w:rsidRPr="00A47FFB">
        <w:rPr>
          <w:spacing w:val="-2"/>
        </w:rPr>
        <w:t xml:space="preserve"> </w:t>
      </w:r>
      <w:r w:rsidR="002B3E2C" w:rsidRPr="00A47FFB">
        <w:rPr>
          <w:spacing w:val="-2"/>
        </w:rPr>
        <w:t xml:space="preserve">if submitting </w:t>
      </w:r>
      <w:r w:rsidRPr="00A47FFB">
        <w:rPr>
          <w:spacing w:val="-2"/>
        </w:rPr>
        <w:t>by mail</w:t>
      </w:r>
      <w:r w:rsidR="001C237E" w:rsidRPr="00A47FFB">
        <w:rPr>
          <w:spacing w:val="-2"/>
        </w:rPr>
        <w:t>,</w:t>
      </w:r>
      <w:r w:rsidRPr="00A47FFB">
        <w:rPr>
          <w:spacing w:val="-2"/>
        </w:rPr>
        <w:t xml:space="preserve"> </w:t>
      </w:r>
      <w:r w:rsidR="001C237E" w:rsidRPr="00A47FFB">
        <w:rPr>
          <w:spacing w:val="-2"/>
        </w:rPr>
        <w:t>c</w:t>
      </w:r>
      <w:r w:rsidR="00F414C8" w:rsidRPr="00A47FFB">
        <w:rPr>
          <w:spacing w:val="-2"/>
        </w:rPr>
        <w:t xml:space="preserve">omplete </w:t>
      </w:r>
      <w:r w:rsidRPr="00A47FFB">
        <w:rPr>
          <w:spacing w:val="-2"/>
        </w:rPr>
        <w:t xml:space="preserve">a </w:t>
      </w:r>
      <w:r w:rsidRPr="00A47FFB">
        <w:rPr>
          <w:iCs/>
          <w:spacing w:val="-2"/>
        </w:rPr>
        <w:t>MassHealth Prior Authorization Request form</w:t>
      </w:r>
      <w:r w:rsidRPr="00A47FFB">
        <w:rPr>
          <w:spacing w:val="-2"/>
        </w:rPr>
        <w:t xml:space="preserve"> (PA-1) and attach</w:t>
      </w:r>
      <w:r w:rsidR="00F414C8" w:rsidRPr="00A47FFB">
        <w:rPr>
          <w:spacing w:val="-2"/>
        </w:rPr>
        <w:t xml:space="preserve"> any</w:t>
      </w:r>
      <w:r w:rsidRPr="00A47FFB">
        <w:rPr>
          <w:spacing w:val="-2"/>
        </w:rPr>
        <w:t xml:space="preserve"> supporting documentation. If submitting a non-electronic request, the provider should mail the PA-1 form and any supporting documentation to the address on the back of the PA-1 form. Providers </w:t>
      </w:r>
      <w:r w:rsidR="00F414C8" w:rsidRPr="00A47FFB">
        <w:rPr>
          <w:spacing w:val="-2"/>
        </w:rPr>
        <w:t>can call</w:t>
      </w:r>
      <w:r w:rsidRPr="00A47FFB">
        <w:rPr>
          <w:spacing w:val="-2"/>
        </w:rPr>
        <w:t xml:space="preserve"> the MassHealth Customer Service Center at </w:t>
      </w:r>
      <w:r w:rsidR="00F414C8" w:rsidRPr="00A47FFB">
        <w:rPr>
          <w:spacing w:val="-2"/>
        </w:rPr>
        <w:t>(</w:t>
      </w:r>
      <w:r w:rsidRPr="00A47FFB">
        <w:rPr>
          <w:spacing w:val="-2"/>
        </w:rPr>
        <w:t>800</w:t>
      </w:r>
      <w:r w:rsidR="00F414C8" w:rsidRPr="00A47FFB">
        <w:rPr>
          <w:spacing w:val="-2"/>
        </w:rPr>
        <w:t xml:space="preserve">) </w:t>
      </w:r>
      <w:r w:rsidRPr="00A47FFB">
        <w:rPr>
          <w:spacing w:val="-2"/>
        </w:rPr>
        <w:t>841-2900</w:t>
      </w:r>
      <w:r w:rsidR="00F414C8" w:rsidRPr="00A47FFB">
        <w:rPr>
          <w:spacing w:val="-2"/>
        </w:rPr>
        <w:t xml:space="preserve"> with any questions about POSC access</w:t>
      </w:r>
      <w:r w:rsidRPr="00A47FFB">
        <w:rPr>
          <w:spacing w:val="-2"/>
        </w:rPr>
        <w:t xml:space="preserve">. </w:t>
      </w:r>
    </w:p>
    <w:p w14:paraId="68AB6DAD" w14:textId="77777777" w:rsidR="003C02D8" w:rsidRDefault="003C02D8">
      <w:pPr>
        <w:pStyle w:val="Normal1"/>
        <w:spacing w:after="0"/>
      </w:pPr>
    </w:p>
    <w:p w14:paraId="354042BE" w14:textId="06B62B51" w:rsidR="003C02D8" w:rsidRPr="0049165A" w:rsidRDefault="002A08BD" w:rsidP="0049165A">
      <w:pPr>
        <w:pStyle w:val="Normal1"/>
        <w:numPr>
          <w:ilvl w:val="0"/>
          <w:numId w:val="15"/>
        </w:numPr>
        <w:pBdr>
          <w:top w:val="nil"/>
          <w:left w:val="nil"/>
          <w:bottom w:val="nil"/>
          <w:right w:val="nil"/>
          <w:between w:val="nil"/>
        </w:pBdr>
        <w:spacing w:before="200" w:after="0" w:line="240" w:lineRule="auto"/>
        <w:rPr>
          <w:rFonts w:asciiTheme="majorHAnsi" w:hAnsiTheme="majorHAnsi" w:cstheme="majorHAnsi"/>
          <w:b/>
          <w:bCs/>
          <w:iCs/>
          <w:lang w:eastAsia="x-none"/>
        </w:rPr>
      </w:pPr>
      <w:r w:rsidRPr="0049165A">
        <w:rPr>
          <w:rFonts w:asciiTheme="majorHAnsi" w:hAnsiTheme="majorHAnsi" w:cstheme="majorHAnsi"/>
          <w:b/>
          <w:bCs/>
          <w:iCs/>
          <w:lang w:eastAsia="x-none"/>
        </w:rPr>
        <w:t xml:space="preserve"> </w:t>
      </w:r>
      <w:r w:rsidR="009C22E4" w:rsidRPr="0049165A">
        <w:rPr>
          <w:rFonts w:asciiTheme="majorHAnsi" w:hAnsiTheme="majorHAnsi" w:cstheme="majorHAnsi"/>
          <w:b/>
          <w:bCs/>
          <w:iCs/>
          <w:lang w:eastAsia="x-none"/>
        </w:rPr>
        <w:t xml:space="preserve">Non-Dedicated </w:t>
      </w:r>
      <w:r w:rsidR="00EA38B3" w:rsidRPr="0049165A">
        <w:rPr>
          <w:rFonts w:asciiTheme="majorHAnsi" w:hAnsiTheme="majorHAnsi" w:cstheme="majorHAnsi"/>
          <w:b/>
          <w:bCs/>
          <w:iCs/>
          <w:lang w:eastAsia="x-none"/>
        </w:rPr>
        <w:t>SGD</w:t>
      </w:r>
      <w:r w:rsidR="003C02D8" w:rsidRPr="0049165A">
        <w:rPr>
          <w:rFonts w:asciiTheme="majorHAnsi" w:hAnsiTheme="majorHAnsi" w:cstheme="majorHAnsi"/>
          <w:b/>
          <w:bCs/>
          <w:iCs/>
          <w:lang w:eastAsia="x-none"/>
        </w:rPr>
        <w:t xml:space="preserve"> Procedure Codes and Modifier</w:t>
      </w:r>
      <w:r w:rsidR="00EA38B3" w:rsidRPr="0049165A">
        <w:rPr>
          <w:rFonts w:asciiTheme="majorHAnsi" w:hAnsiTheme="majorHAnsi" w:cstheme="majorHAnsi"/>
          <w:b/>
          <w:bCs/>
          <w:iCs/>
          <w:lang w:eastAsia="x-none"/>
        </w:rPr>
        <w:t>s</w:t>
      </w:r>
    </w:p>
    <w:p w14:paraId="27597920" w14:textId="77777777" w:rsidR="003C02D8" w:rsidRPr="00CA7891" w:rsidRDefault="003C02D8" w:rsidP="003C02D8">
      <w:pPr>
        <w:pStyle w:val="Normal1"/>
        <w:spacing w:after="0"/>
        <w:rPr>
          <w:color w:val="000000"/>
        </w:rPr>
      </w:pPr>
    </w:p>
    <w:tbl>
      <w:tblPr>
        <w:tblStyle w:val="TableGridLight"/>
        <w:tblW w:w="8830" w:type="dxa"/>
        <w:tblInd w:w="715" w:type="dxa"/>
        <w:tblLayout w:type="fixed"/>
        <w:tblLook w:val="0020" w:firstRow="1" w:lastRow="0" w:firstColumn="0" w:lastColumn="0" w:noHBand="0" w:noVBand="0"/>
      </w:tblPr>
      <w:tblGrid>
        <w:gridCol w:w="1260"/>
        <w:gridCol w:w="1260"/>
        <w:gridCol w:w="2340"/>
        <w:gridCol w:w="1174"/>
        <w:gridCol w:w="1267"/>
        <w:gridCol w:w="1529"/>
      </w:tblGrid>
      <w:tr w:rsidR="00D62A65" w14:paraId="2EA3FFEF" w14:textId="77777777" w:rsidTr="00646F33">
        <w:tc>
          <w:tcPr>
            <w:tcW w:w="1260" w:type="dxa"/>
          </w:tcPr>
          <w:p w14:paraId="4E5D70AC" w14:textId="77777777" w:rsidR="003C02D8" w:rsidRDefault="00D62A65" w:rsidP="00F81037">
            <w:pPr>
              <w:pStyle w:val="NoSpacing"/>
              <w:jc w:val="center"/>
            </w:pPr>
            <w:r w:rsidRPr="003C02D8">
              <w:t>Authorized</w:t>
            </w:r>
          </w:p>
          <w:p w14:paraId="462ADA9E" w14:textId="77777777" w:rsidR="003C02D8" w:rsidRDefault="00D62A65" w:rsidP="00F81037">
            <w:pPr>
              <w:pStyle w:val="NoSpacing"/>
              <w:jc w:val="center"/>
            </w:pPr>
            <w:r w:rsidRPr="003C02D8">
              <w:t>Provider</w:t>
            </w:r>
          </w:p>
          <w:p w14:paraId="3C1C81B1" w14:textId="49A956D3" w:rsidR="00D62A65" w:rsidRPr="003C02D8" w:rsidRDefault="00D62A65" w:rsidP="00F81037">
            <w:pPr>
              <w:pStyle w:val="NoSpacing"/>
              <w:jc w:val="center"/>
            </w:pPr>
            <w:r w:rsidRPr="003C02D8">
              <w:t>Type</w:t>
            </w:r>
          </w:p>
        </w:tc>
        <w:tc>
          <w:tcPr>
            <w:tcW w:w="1260" w:type="dxa"/>
          </w:tcPr>
          <w:p w14:paraId="2CA82889" w14:textId="77777777" w:rsidR="00D62A65" w:rsidRPr="003C02D8" w:rsidRDefault="00D62A65" w:rsidP="00F81037">
            <w:pPr>
              <w:pStyle w:val="NoSpacing"/>
              <w:jc w:val="center"/>
            </w:pPr>
            <w:r w:rsidRPr="003C02D8">
              <w:t>Description of Service</w:t>
            </w:r>
          </w:p>
        </w:tc>
        <w:tc>
          <w:tcPr>
            <w:tcW w:w="2340" w:type="dxa"/>
          </w:tcPr>
          <w:p w14:paraId="4A27E350" w14:textId="77777777" w:rsidR="00D62A65" w:rsidRPr="003C02D8" w:rsidRDefault="00D62A65" w:rsidP="00F81037">
            <w:pPr>
              <w:jc w:val="center"/>
              <w:rPr>
                <w:rFonts w:asciiTheme="majorHAnsi" w:eastAsia="Georgia" w:hAnsiTheme="majorHAnsi" w:cs="Georgia"/>
                <w:bCs/>
              </w:rPr>
            </w:pPr>
            <w:r w:rsidRPr="003C02D8">
              <w:rPr>
                <w:rFonts w:asciiTheme="majorHAnsi" w:eastAsia="Georgia" w:hAnsiTheme="majorHAnsi" w:cs="Georgia"/>
                <w:bCs/>
              </w:rPr>
              <w:t>Procedure Code</w:t>
            </w:r>
          </w:p>
        </w:tc>
        <w:tc>
          <w:tcPr>
            <w:tcW w:w="1174" w:type="dxa"/>
          </w:tcPr>
          <w:p w14:paraId="77486234" w14:textId="77777777" w:rsidR="00D62A65" w:rsidRPr="003C02D8" w:rsidRDefault="00D62A65" w:rsidP="00F81037">
            <w:pPr>
              <w:jc w:val="center"/>
              <w:rPr>
                <w:rFonts w:asciiTheme="majorHAnsi" w:eastAsia="Georgia" w:hAnsiTheme="majorHAnsi" w:cs="Georgia"/>
                <w:bCs/>
              </w:rPr>
            </w:pPr>
            <w:r w:rsidRPr="003C02D8">
              <w:rPr>
                <w:rFonts w:asciiTheme="majorHAnsi" w:eastAsia="Georgia" w:hAnsiTheme="majorHAnsi" w:cs="Georgia"/>
                <w:bCs/>
              </w:rPr>
              <w:t>Modifier</w:t>
            </w:r>
          </w:p>
        </w:tc>
        <w:tc>
          <w:tcPr>
            <w:tcW w:w="1267" w:type="dxa"/>
          </w:tcPr>
          <w:p w14:paraId="2EEC658B" w14:textId="77777777" w:rsidR="00D62A65" w:rsidRPr="003C02D8" w:rsidRDefault="00D62A65" w:rsidP="00F81037">
            <w:pPr>
              <w:pStyle w:val="NoSpacing"/>
              <w:jc w:val="center"/>
            </w:pPr>
            <w:r w:rsidRPr="003C02D8">
              <w:t>Billed Amount</w:t>
            </w:r>
          </w:p>
        </w:tc>
        <w:tc>
          <w:tcPr>
            <w:tcW w:w="1529" w:type="dxa"/>
          </w:tcPr>
          <w:p w14:paraId="3E005AB1" w14:textId="77777777" w:rsidR="00D62A65" w:rsidRPr="003C02D8" w:rsidRDefault="00D62A65" w:rsidP="00F81037">
            <w:pPr>
              <w:jc w:val="center"/>
              <w:rPr>
                <w:rFonts w:asciiTheme="majorHAnsi" w:eastAsia="Georgia" w:hAnsiTheme="majorHAnsi" w:cs="Georgia"/>
                <w:bCs/>
              </w:rPr>
            </w:pPr>
            <w:r w:rsidRPr="003C02D8">
              <w:rPr>
                <w:rFonts w:asciiTheme="majorHAnsi" w:eastAsia="Georgia" w:hAnsiTheme="majorHAnsi" w:cs="Georgia"/>
                <w:bCs/>
              </w:rPr>
              <w:t>Comments</w:t>
            </w:r>
          </w:p>
        </w:tc>
      </w:tr>
      <w:tr w:rsidR="003C02D8" w14:paraId="2840FBC3" w14:textId="77777777" w:rsidTr="00646F33">
        <w:tc>
          <w:tcPr>
            <w:tcW w:w="1260" w:type="dxa"/>
          </w:tcPr>
          <w:p w14:paraId="2EBCB4CE" w14:textId="526AB547" w:rsidR="003C02D8" w:rsidRPr="003C02D8" w:rsidRDefault="003C02D8" w:rsidP="0049165A">
            <w:pPr>
              <w:pStyle w:val="NoSpacing"/>
            </w:pPr>
            <w:r w:rsidRPr="003C02D8">
              <w:lastRenderedPageBreak/>
              <w:t xml:space="preserve">Speech </w:t>
            </w:r>
            <w:r w:rsidR="00EA38B3" w:rsidRPr="003C02D8">
              <w:t xml:space="preserve">language </w:t>
            </w:r>
            <w:r w:rsidR="0049165A">
              <w:t>pathologist</w:t>
            </w:r>
          </w:p>
        </w:tc>
        <w:tc>
          <w:tcPr>
            <w:tcW w:w="1260" w:type="dxa"/>
          </w:tcPr>
          <w:p w14:paraId="4535383A" w14:textId="782038F6" w:rsidR="003C02D8" w:rsidRPr="003C02D8" w:rsidRDefault="00EA38B3" w:rsidP="003C02D8">
            <w:pPr>
              <w:pStyle w:val="NoSpacing"/>
            </w:pPr>
            <w:r>
              <w:t>N</w:t>
            </w:r>
            <w:r w:rsidR="00C42C02" w:rsidRPr="00C42C02">
              <w:t xml:space="preserve">on-dedicated </w:t>
            </w:r>
            <w:r>
              <w:t>SGD</w:t>
            </w:r>
          </w:p>
          <w:p w14:paraId="25BAF14C" w14:textId="77777777" w:rsidR="003C02D8" w:rsidRPr="003C02D8" w:rsidRDefault="003C02D8" w:rsidP="003C02D8">
            <w:pPr>
              <w:pStyle w:val="NoSpacing"/>
            </w:pPr>
          </w:p>
          <w:p w14:paraId="0FC7BD7D" w14:textId="77777777" w:rsidR="003C02D8" w:rsidRPr="003C02D8" w:rsidRDefault="003C02D8" w:rsidP="003C02D8">
            <w:pPr>
              <w:pStyle w:val="NoSpacing"/>
            </w:pPr>
          </w:p>
        </w:tc>
        <w:tc>
          <w:tcPr>
            <w:tcW w:w="2340" w:type="dxa"/>
          </w:tcPr>
          <w:p w14:paraId="7CBD25D2" w14:textId="6EA1B420" w:rsidR="003C02D8" w:rsidRPr="003C02D8" w:rsidRDefault="003C02D8" w:rsidP="00F81037">
            <w:pPr>
              <w:rPr>
                <w:rFonts w:asciiTheme="majorHAnsi" w:eastAsia="Georgia" w:hAnsiTheme="majorHAnsi" w:cs="Georgia"/>
                <w:bCs/>
              </w:rPr>
            </w:pPr>
            <w:r w:rsidRPr="003C02D8">
              <w:rPr>
                <w:rFonts w:asciiTheme="majorHAnsi" w:eastAsia="Georgia" w:hAnsiTheme="majorHAnsi" w:cs="Georgia"/>
                <w:bCs/>
              </w:rPr>
              <w:t>E2510 - Speech generating device, synthesized speech, permitting multiple methods of message formulation and multiple methods of device access (MassHealth usage of this code with modifier is for non-dedicated speech generating device</w:t>
            </w:r>
            <w:r w:rsidR="005A442D">
              <w:rPr>
                <w:rFonts w:asciiTheme="majorHAnsi" w:eastAsia="Georgia" w:hAnsiTheme="majorHAnsi" w:cs="Georgia"/>
                <w:bCs/>
              </w:rPr>
              <w:t>.</w:t>
            </w:r>
            <w:r w:rsidRPr="003C02D8">
              <w:rPr>
                <w:rFonts w:asciiTheme="majorHAnsi" w:eastAsia="Georgia" w:hAnsiTheme="majorHAnsi" w:cs="Georgia"/>
                <w:bCs/>
              </w:rPr>
              <w:t>)</w:t>
            </w:r>
          </w:p>
        </w:tc>
        <w:tc>
          <w:tcPr>
            <w:tcW w:w="1174" w:type="dxa"/>
          </w:tcPr>
          <w:p w14:paraId="7F60D914" w14:textId="223B2D8F" w:rsidR="003C02D8" w:rsidRPr="003C02D8" w:rsidRDefault="003C02D8" w:rsidP="009D760B">
            <w:pPr>
              <w:jc w:val="center"/>
              <w:rPr>
                <w:rFonts w:asciiTheme="majorHAnsi" w:eastAsia="Georgia" w:hAnsiTheme="majorHAnsi" w:cs="Georgia"/>
                <w:bCs/>
              </w:rPr>
            </w:pPr>
            <w:r w:rsidRPr="003C02D8">
              <w:rPr>
                <w:rFonts w:asciiTheme="majorHAnsi" w:eastAsia="Georgia" w:hAnsiTheme="majorHAnsi" w:cs="Georgia"/>
                <w:bCs/>
              </w:rPr>
              <w:t>TW</w:t>
            </w:r>
          </w:p>
        </w:tc>
        <w:tc>
          <w:tcPr>
            <w:tcW w:w="1267" w:type="dxa"/>
          </w:tcPr>
          <w:p w14:paraId="4174D4C5" w14:textId="77777777" w:rsidR="003C02D8" w:rsidRPr="003C02D8" w:rsidRDefault="003C02D8" w:rsidP="009D760B">
            <w:pPr>
              <w:pStyle w:val="NoSpacing"/>
              <w:jc w:val="center"/>
            </w:pPr>
            <w:r w:rsidRPr="003C02D8">
              <w:t>$0</w:t>
            </w:r>
          </w:p>
        </w:tc>
        <w:tc>
          <w:tcPr>
            <w:tcW w:w="1529" w:type="dxa"/>
          </w:tcPr>
          <w:p w14:paraId="3A1350D3" w14:textId="3407CBD3" w:rsidR="003C02D8" w:rsidRPr="003C02D8" w:rsidRDefault="003C02D8" w:rsidP="00F81037">
            <w:pPr>
              <w:rPr>
                <w:rFonts w:asciiTheme="majorHAnsi" w:eastAsia="Georgia" w:hAnsiTheme="majorHAnsi" w:cs="Georgia"/>
                <w:bCs/>
              </w:rPr>
            </w:pPr>
            <w:r w:rsidRPr="003C02D8">
              <w:rPr>
                <w:rFonts w:asciiTheme="majorHAnsi" w:eastAsia="Georgia" w:hAnsiTheme="majorHAnsi" w:cs="Georgia"/>
                <w:bCs/>
              </w:rPr>
              <w:t xml:space="preserve">MassHealth will purchase the </w:t>
            </w:r>
            <w:r w:rsidR="006D3CE1" w:rsidRPr="006D3CE1">
              <w:rPr>
                <w:rFonts w:asciiTheme="majorHAnsi" w:eastAsia="Georgia" w:hAnsiTheme="majorHAnsi" w:cs="Georgia"/>
                <w:bCs/>
              </w:rPr>
              <w:t xml:space="preserve">non-dedicated </w:t>
            </w:r>
            <w:r w:rsidR="00EA38B3">
              <w:rPr>
                <w:rFonts w:asciiTheme="majorHAnsi" w:eastAsia="Georgia" w:hAnsiTheme="majorHAnsi" w:cs="Georgia"/>
                <w:bCs/>
              </w:rPr>
              <w:t>SGD</w:t>
            </w:r>
            <w:r w:rsidRPr="003C02D8">
              <w:rPr>
                <w:rFonts w:asciiTheme="majorHAnsi" w:eastAsia="Georgia" w:hAnsiTheme="majorHAnsi" w:cs="Georgia"/>
                <w:bCs/>
              </w:rPr>
              <w:t xml:space="preserve"> and will </w:t>
            </w:r>
            <w:r w:rsidR="005A442D">
              <w:rPr>
                <w:rFonts w:asciiTheme="majorHAnsi" w:eastAsia="Georgia" w:hAnsiTheme="majorHAnsi" w:cs="Georgia"/>
                <w:bCs/>
              </w:rPr>
              <w:t>provide</w:t>
            </w:r>
            <w:r w:rsidRPr="003C02D8">
              <w:rPr>
                <w:rFonts w:asciiTheme="majorHAnsi" w:eastAsia="Georgia" w:hAnsiTheme="majorHAnsi" w:cs="Georgia"/>
                <w:bCs/>
              </w:rPr>
              <w:t xml:space="preserve"> the </w:t>
            </w:r>
            <w:r w:rsidR="005A442D">
              <w:rPr>
                <w:rFonts w:asciiTheme="majorHAnsi" w:eastAsia="Georgia" w:hAnsiTheme="majorHAnsi" w:cs="Georgia"/>
                <w:bCs/>
              </w:rPr>
              <w:t>t</w:t>
            </w:r>
            <w:r w:rsidR="005A442D" w:rsidRPr="003C02D8">
              <w:rPr>
                <w:rFonts w:asciiTheme="majorHAnsi" w:eastAsia="Georgia" w:hAnsiTheme="majorHAnsi" w:cs="Georgia"/>
                <w:bCs/>
              </w:rPr>
              <w:t xml:space="preserve">herapist </w:t>
            </w:r>
            <w:r w:rsidRPr="003C02D8">
              <w:rPr>
                <w:rFonts w:asciiTheme="majorHAnsi" w:eastAsia="Georgia" w:hAnsiTheme="majorHAnsi" w:cs="Georgia"/>
                <w:bCs/>
              </w:rPr>
              <w:t xml:space="preserve">with the </w:t>
            </w:r>
            <w:r w:rsidR="006D3CE1">
              <w:rPr>
                <w:rFonts w:asciiTheme="majorHAnsi" w:eastAsia="Georgia" w:hAnsiTheme="majorHAnsi" w:cs="Georgia"/>
                <w:bCs/>
              </w:rPr>
              <w:t>device</w:t>
            </w:r>
            <w:r w:rsidRPr="003C02D8">
              <w:rPr>
                <w:rFonts w:asciiTheme="majorHAnsi" w:eastAsia="Georgia" w:hAnsiTheme="majorHAnsi" w:cs="Georgia"/>
                <w:bCs/>
              </w:rPr>
              <w:t xml:space="preserve"> for delivery to the member</w:t>
            </w:r>
            <w:r w:rsidR="005A442D">
              <w:rPr>
                <w:rFonts w:asciiTheme="majorHAnsi" w:eastAsia="Georgia" w:hAnsiTheme="majorHAnsi" w:cs="Georgia"/>
                <w:bCs/>
              </w:rPr>
              <w:t>.</w:t>
            </w:r>
          </w:p>
        </w:tc>
      </w:tr>
      <w:tr w:rsidR="003C02D8" w14:paraId="0F10AAA9" w14:textId="77777777" w:rsidTr="00646F33">
        <w:tc>
          <w:tcPr>
            <w:tcW w:w="1260" w:type="dxa"/>
          </w:tcPr>
          <w:p w14:paraId="198A2CA2" w14:textId="2A2325F6" w:rsidR="003C02D8" w:rsidRPr="003C02D8" w:rsidRDefault="003C02D8" w:rsidP="003C02D8">
            <w:pPr>
              <w:pStyle w:val="NoSpacing"/>
            </w:pPr>
            <w:r w:rsidRPr="003C02D8">
              <w:t xml:space="preserve">Speech </w:t>
            </w:r>
            <w:r w:rsidR="00EA38B3" w:rsidRPr="003C02D8">
              <w:t xml:space="preserve">language </w:t>
            </w:r>
            <w:r w:rsidR="0049165A">
              <w:t>pathologist</w:t>
            </w:r>
          </w:p>
          <w:p w14:paraId="137EDC2D" w14:textId="77777777" w:rsidR="003C02D8" w:rsidRPr="003C02D8" w:rsidRDefault="003C02D8" w:rsidP="003C02D8">
            <w:pPr>
              <w:pStyle w:val="NoSpacing"/>
            </w:pPr>
          </w:p>
        </w:tc>
        <w:tc>
          <w:tcPr>
            <w:tcW w:w="1260" w:type="dxa"/>
          </w:tcPr>
          <w:p w14:paraId="04D16D56" w14:textId="7C185A63" w:rsidR="003C02D8" w:rsidRPr="003C02D8" w:rsidRDefault="00EA38B3" w:rsidP="003C02D8">
            <w:pPr>
              <w:pStyle w:val="NoSpacing"/>
            </w:pPr>
            <w:r>
              <w:t>N</w:t>
            </w:r>
            <w:r w:rsidR="00C42C02" w:rsidRPr="00C42C02">
              <w:t xml:space="preserve">on-dedicated </w:t>
            </w:r>
            <w:r>
              <w:t>SGD</w:t>
            </w:r>
            <w:r w:rsidR="00C42C02" w:rsidRPr="00C42C02">
              <w:t xml:space="preserve"> </w:t>
            </w:r>
            <w:r w:rsidR="003C02D8" w:rsidRPr="003C02D8">
              <w:t>software</w:t>
            </w:r>
          </w:p>
        </w:tc>
        <w:tc>
          <w:tcPr>
            <w:tcW w:w="2340" w:type="dxa"/>
          </w:tcPr>
          <w:p w14:paraId="715C3E8D" w14:textId="77777777" w:rsidR="003C02D8" w:rsidRPr="003C02D8" w:rsidRDefault="003C02D8" w:rsidP="00F81037">
            <w:pPr>
              <w:rPr>
                <w:rFonts w:asciiTheme="majorHAnsi" w:eastAsia="Georgia" w:hAnsiTheme="majorHAnsi" w:cs="Georgia"/>
                <w:bCs/>
              </w:rPr>
            </w:pPr>
            <w:r w:rsidRPr="003C02D8">
              <w:rPr>
                <w:rFonts w:asciiTheme="majorHAnsi" w:eastAsia="Georgia" w:hAnsiTheme="majorHAnsi" w:cs="Georgia"/>
                <w:bCs/>
              </w:rPr>
              <w:t xml:space="preserve">E2511 – Speech generating software program </w:t>
            </w:r>
          </w:p>
        </w:tc>
        <w:tc>
          <w:tcPr>
            <w:tcW w:w="1174" w:type="dxa"/>
          </w:tcPr>
          <w:p w14:paraId="7AD89DE8" w14:textId="77777777" w:rsidR="003C02D8" w:rsidRPr="003C02D8" w:rsidRDefault="003C02D8" w:rsidP="009D760B">
            <w:pPr>
              <w:jc w:val="center"/>
              <w:rPr>
                <w:rFonts w:asciiTheme="majorHAnsi" w:eastAsia="Georgia" w:hAnsiTheme="majorHAnsi" w:cs="Georgia"/>
                <w:bCs/>
              </w:rPr>
            </w:pPr>
            <w:r w:rsidRPr="003C02D8">
              <w:rPr>
                <w:rFonts w:asciiTheme="majorHAnsi" w:eastAsia="Georgia" w:hAnsiTheme="majorHAnsi" w:cs="Georgia"/>
                <w:bCs/>
              </w:rPr>
              <w:t>TW</w:t>
            </w:r>
          </w:p>
        </w:tc>
        <w:tc>
          <w:tcPr>
            <w:tcW w:w="1267" w:type="dxa"/>
          </w:tcPr>
          <w:p w14:paraId="632EC2B1" w14:textId="77777777" w:rsidR="003C02D8" w:rsidRPr="003C02D8" w:rsidRDefault="003C02D8" w:rsidP="009D760B">
            <w:pPr>
              <w:pStyle w:val="NoSpacing"/>
              <w:jc w:val="center"/>
            </w:pPr>
            <w:r w:rsidRPr="003C02D8">
              <w:t>$0</w:t>
            </w:r>
          </w:p>
        </w:tc>
        <w:tc>
          <w:tcPr>
            <w:tcW w:w="1529" w:type="dxa"/>
          </w:tcPr>
          <w:p w14:paraId="13EFF26B" w14:textId="44E7744A" w:rsidR="003C02D8" w:rsidRPr="003C02D8" w:rsidRDefault="003C02D8" w:rsidP="00F81037">
            <w:pPr>
              <w:rPr>
                <w:rFonts w:asciiTheme="majorHAnsi" w:eastAsia="Georgia" w:hAnsiTheme="majorHAnsi" w:cs="Georgia"/>
                <w:bCs/>
              </w:rPr>
            </w:pPr>
            <w:r w:rsidRPr="003C02D8">
              <w:rPr>
                <w:rFonts w:asciiTheme="majorHAnsi" w:eastAsia="Georgia" w:hAnsiTheme="majorHAnsi" w:cs="Georgia"/>
                <w:bCs/>
              </w:rPr>
              <w:t xml:space="preserve">MassHealth will purchase the </w:t>
            </w:r>
            <w:r w:rsidR="006D3CE1" w:rsidRPr="006D3CE1">
              <w:rPr>
                <w:rFonts w:asciiTheme="majorHAnsi" w:eastAsia="Georgia" w:hAnsiTheme="majorHAnsi" w:cs="Georgia"/>
                <w:bCs/>
              </w:rPr>
              <w:t xml:space="preserve">non-dedicated </w:t>
            </w:r>
            <w:r w:rsidR="00EA38B3">
              <w:rPr>
                <w:rFonts w:asciiTheme="majorHAnsi" w:eastAsia="Georgia" w:hAnsiTheme="majorHAnsi" w:cs="Georgia"/>
                <w:bCs/>
              </w:rPr>
              <w:t>SGD</w:t>
            </w:r>
            <w:r w:rsidRPr="003C02D8">
              <w:rPr>
                <w:rFonts w:asciiTheme="majorHAnsi" w:eastAsia="Georgia" w:hAnsiTheme="majorHAnsi" w:cs="Georgia"/>
                <w:bCs/>
              </w:rPr>
              <w:t xml:space="preserve"> and will </w:t>
            </w:r>
            <w:r w:rsidR="005A442D">
              <w:rPr>
                <w:rFonts w:asciiTheme="majorHAnsi" w:eastAsia="Georgia" w:hAnsiTheme="majorHAnsi" w:cs="Georgia"/>
                <w:bCs/>
              </w:rPr>
              <w:t>provide</w:t>
            </w:r>
            <w:r w:rsidRPr="003C02D8">
              <w:rPr>
                <w:rFonts w:asciiTheme="majorHAnsi" w:eastAsia="Georgia" w:hAnsiTheme="majorHAnsi" w:cs="Georgia"/>
                <w:bCs/>
              </w:rPr>
              <w:t xml:space="preserve"> the </w:t>
            </w:r>
            <w:r w:rsidR="005A442D">
              <w:rPr>
                <w:rFonts w:asciiTheme="majorHAnsi" w:eastAsia="Georgia" w:hAnsiTheme="majorHAnsi" w:cs="Georgia"/>
                <w:bCs/>
              </w:rPr>
              <w:t>t</w:t>
            </w:r>
            <w:r w:rsidR="005A442D" w:rsidRPr="003C02D8">
              <w:rPr>
                <w:rFonts w:asciiTheme="majorHAnsi" w:eastAsia="Georgia" w:hAnsiTheme="majorHAnsi" w:cs="Georgia"/>
                <w:bCs/>
              </w:rPr>
              <w:t xml:space="preserve">herapist </w:t>
            </w:r>
            <w:r w:rsidRPr="003C02D8">
              <w:rPr>
                <w:rFonts w:asciiTheme="majorHAnsi" w:eastAsia="Georgia" w:hAnsiTheme="majorHAnsi" w:cs="Georgia"/>
                <w:bCs/>
              </w:rPr>
              <w:t xml:space="preserve">with the </w:t>
            </w:r>
            <w:r w:rsidR="006D3CE1">
              <w:rPr>
                <w:rFonts w:asciiTheme="majorHAnsi" w:eastAsia="Georgia" w:hAnsiTheme="majorHAnsi" w:cs="Georgia"/>
                <w:bCs/>
              </w:rPr>
              <w:t>device</w:t>
            </w:r>
            <w:r w:rsidRPr="003C02D8">
              <w:rPr>
                <w:rFonts w:asciiTheme="majorHAnsi" w:eastAsia="Georgia" w:hAnsiTheme="majorHAnsi" w:cs="Georgia"/>
                <w:bCs/>
              </w:rPr>
              <w:t xml:space="preserve"> for delivery to the member</w:t>
            </w:r>
            <w:r w:rsidR="005A442D">
              <w:rPr>
                <w:rFonts w:asciiTheme="majorHAnsi" w:eastAsia="Georgia" w:hAnsiTheme="majorHAnsi" w:cs="Georgia"/>
                <w:bCs/>
              </w:rPr>
              <w:t>.</w:t>
            </w:r>
          </w:p>
        </w:tc>
      </w:tr>
      <w:tr w:rsidR="003C02D8" w14:paraId="471897DE" w14:textId="77777777" w:rsidTr="00646F33">
        <w:tc>
          <w:tcPr>
            <w:tcW w:w="1260" w:type="dxa"/>
          </w:tcPr>
          <w:p w14:paraId="48B1F3C1" w14:textId="356B9D16" w:rsidR="003C02D8" w:rsidRPr="003C02D8" w:rsidRDefault="003C02D8" w:rsidP="003C02D8">
            <w:pPr>
              <w:pStyle w:val="NoSpacing"/>
            </w:pPr>
            <w:r w:rsidRPr="003C02D8">
              <w:t xml:space="preserve">Speech </w:t>
            </w:r>
            <w:r w:rsidR="00EA38B3" w:rsidRPr="003C02D8">
              <w:t>language</w:t>
            </w:r>
            <w:r w:rsidR="009D760B">
              <w:t xml:space="preserve"> </w:t>
            </w:r>
            <w:r w:rsidR="0049165A">
              <w:t>pathologist</w:t>
            </w:r>
          </w:p>
          <w:p w14:paraId="08BDE816" w14:textId="77777777" w:rsidR="003C02D8" w:rsidRPr="003C02D8" w:rsidRDefault="003C02D8" w:rsidP="003C02D8">
            <w:pPr>
              <w:pStyle w:val="NoSpacing"/>
            </w:pPr>
          </w:p>
        </w:tc>
        <w:tc>
          <w:tcPr>
            <w:tcW w:w="1260" w:type="dxa"/>
          </w:tcPr>
          <w:p w14:paraId="787D3FD2" w14:textId="7A289CB6" w:rsidR="003C02D8" w:rsidRPr="003C02D8" w:rsidRDefault="003C02D8" w:rsidP="003C02D8">
            <w:pPr>
              <w:pStyle w:val="NoSpacing"/>
            </w:pPr>
            <w:r w:rsidRPr="003C02D8">
              <w:t xml:space="preserve">Protective </w:t>
            </w:r>
            <w:r w:rsidR="00EA38B3">
              <w:t>c</w:t>
            </w:r>
            <w:r w:rsidRPr="003C02D8">
              <w:t>ase</w:t>
            </w:r>
          </w:p>
        </w:tc>
        <w:tc>
          <w:tcPr>
            <w:tcW w:w="2340" w:type="dxa"/>
          </w:tcPr>
          <w:p w14:paraId="78066574" w14:textId="54C8E623" w:rsidR="003C02D8" w:rsidRPr="003C02D8" w:rsidRDefault="003C02D8" w:rsidP="00F81037">
            <w:pPr>
              <w:rPr>
                <w:rFonts w:asciiTheme="majorHAnsi" w:eastAsia="Georgia" w:hAnsiTheme="majorHAnsi" w:cs="Georgia"/>
                <w:bCs/>
              </w:rPr>
            </w:pPr>
            <w:r w:rsidRPr="003C02D8">
              <w:rPr>
                <w:rFonts w:asciiTheme="majorHAnsi" w:eastAsia="Georgia" w:hAnsiTheme="majorHAnsi" w:cs="Georgia"/>
                <w:bCs/>
              </w:rPr>
              <w:t>E2599 - Accessory for speech generating device, not otherwise classified (protective case)</w:t>
            </w:r>
          </w:p>
          <w:p w14:paraId="286F113F" w14:textId="77777777" w:rsidR="003C02D8" w:rsidRPr="003C02D8" w:rsidRDefault="003C02D8" w:rsidP="00F81037">
            <w:pPr>
              <w:rPr>
                <w:rFonts w:asciiTheme="majorHAnsi" w:eastAsia="Georgia" w:hAnsiTheme="majorHAnsi" w:cs="Georgia"/>
                <w:bCs/>
              </w:rPr>
            </w:pPr>
          </w:p>
          <w:p w14:paraId="47F56C56" w14:textId="77777777" w:rsidR="003C02D8" w:rsidRPr="003C02D8" w:rsidRDefault="003C02D8" w:rsidP="00F81037">
            <w:pPr>
              <w:rPr>
                <w:rFonts w:asciiTheme="majorHAnsi" w:eastAsia="Georgia" w:hAnsiTheme="majorHAnsi" w:cs="Georgia"/>
                <w:bCs/>
              </w:rPr>
            </w:pPr>
          </w:p>
        </w:tc>
        <w:tc>
          <w:tcPr>
            <w:tcW w:w="1174" w:type="dxa"/>
          </w:tcPr>
          <w:p w14:paraId="2D49FFE7" w14:textId="77777777" w:rsidR="003C02D8" w:rsidRPr="003C02D8" w:rsidRDefault="003C02D8" w:rsidP="00310210">
            <w:pPr>
              <w:jc w:val="center"/>
              <w:rPr>
                <w:rFonts w:asciiTheme="majorHAnsi" w:eastAsia="Georgia" w:hAnsiTheme="majorHAnsi" w:cs="Georgia"/>
                <w:bCs/>
              </w:rPr>
            </w:pPr>
            <w:r w:rsidRPr="003C02D8">
              <w:rPr>
                <w:rFonts w:asciiTheme="majorHAnsi" w:eastAsia="Georgia" w:hAnsiTheme="majorHAnsi" w:cs="Georgia"/>
                <w:bCs/>
              </w:rPr>
              <w:t>TW</w:t>
            </w:r>
          </w:p>
        </w:tc>
        <w:tc>
          <w:tcPr>
            <w:tcW w:w="1267" w:type="dxa"/>
          </w:tcPr>
          <w:p w14:paraId="0AEB0089" w14:textId="77777777" w:rsidR="003C02D8" w:rsidRPr="003C02D8" w:rsidRDefault="003C02D8" w:rsidP="003C02D8">
            <w:pPr>
              <w:pStyle w:val="NoSpacing"/>
            </w:pPr>
            <w:r w:rsidRPr="003C02D8">
              <w:t>$0</w:t>
            </w:r>
          </w:p>
        </w:tc>
        <w:tc>
          <w:tcPr>
            <w:tcW w:w="1529" w:type="dxa"/>
          </w:tcPr>
          <w:p w14:paraId="74804369" w14:textId="38CBCC8A" w:rsidR="003C02D8" w:rsidRPr="003C02D8" w:rsidRDefault="003C02D8" w:rsidP="00F81037">
            <w:pPr>
              <w:rPr>
                <w:rFonts w:asciiTheme="majorHAnsi" w:eastAsia="Georgia" w:hAnsiTheme="majorHAnsi" w:cs="Georgia"/>
                <w:bCs/>
              </w:rPr>
            </w:pPr>
            <w:r w:rsidRPr="003C02D8">
              <w:rPr>
                <w:rFonts w:asciiTheme="majorHAnsi" w:eastAsia="Georgia" w:hAnsiTheme="majorHAnsi" w:cs="Georgia"/>
                <w:bCs/>
              </w:rPr>
              <w:t xml:space="preserve">MassHealth will purchase the </w:t>
            </w:r>
            <w:r w:rsidR="001C3ED9">
              <w:rPr>
                <w:rFonts w:asciiTheme="majorHAnsi" w:eastAsia="Georgia" w:hAnsiTheme="majorHAnsi" w:cs="Georgia"/>
                <w:bCs/>
              </w:rPr>
              <w:t>protective case</w:t>
            </w:r>
            <w:r w:rsidRPr="003C02D8">
              <w:rPr>
                <w:rFonts w:asciiTheme="majorHAnsi" w:eastAsia="Georgia" w:hAnsiTheme="majorHAnsi" w:cs="Georgia"/>
                <w:bCs/>
              </w:rPr>
              <w:t xml:space="preserve"> and will </w:t>
            </w:r>
            <w:r w:rsidR="005A442D">
              <w:rPr>
                <w:rFonts w:asciiTheme="majorHAnsi" w:eastAsia="Georgia" w:hAnsiTheme="majorHAnsi" w:cs="Georgia"/>
                <w:bCs/>
              </w:rPr>
              <w:t>provide</w:t>
            </w:r>
            <w:r w:rsidRPr="003C02D8">
              <w:rPr>
                <w:rFonts w:asciiTheme="majorHAnsi" w:eastAsia="Georgia" w:hAnsiTheme="majorHAnsi" w:cs="Georgia"/>
                <w:bCs/>
              </w:rPr>
              <w:t xml:space="preserve"> the </w:t>
            </w:r>
            <w:r w:rsidR="005A442D">
              <w:rPr>
                <w:rFonts w:asciiTheme="majorHAnsi" w:eastAsia="Georgia" w:hAnsiTheme="majorHAnsi" w:cs="Georgia"/>
                <w:bCs/>
              </w:rPr>
              <w:t>t</w:t>
            </w:r>
            <w:r w:rsidR="005A442D" w:rsidRPr="003C02D8">
              <w:rPr>
                <w:rFonts w:asciiTheme="majorHAnsi" w:eastAsia="Georgia" w:hAnsiTheme="majorHAnsi" w:cs="Georgia"/>
                <w:bCs/>
              </w:rPr>
              <w:t xml:space="preserve">herapist </w:t>
            </w:r>
            <w:r w:rsidRPr="003C02D8">
              <w:rPr>
                <w:rFonts w:asciiTheme="majorHAnsi" w:eastAsia="Georgia" w:hAnsiTheme="majorHAnsi" w:cs="Georgia"/>
                <w:bCs/>
              </w:rPr>
              <w:t xml:space="preserve">with the </w:t>
            </w:r>
            <w:r w:rsidR="007A7472">
              <w:rPr>
                <w:rFonts w:asciiTheme="majorHAnsi" w:eastAsia="Georgia" w:hAnsiTheme="majorHAnsi" w:cs="Georgia"/>
                <w:bCs/>
              </w:rPr>
              <w:t xml:space="preserve">device </w:t>
            </w:r>
            <w:r w:rsidRPr="003C02D8">
              <w:rPr>
                <w:rFonts w:asciiTheme="majorHAnsi" w:eastAsia="Georgia" w:hAnsiTheme="majorHAnsi" w:cs="Georgia"/>
                <w:bCs/>
              </w:rPr>
              <w:t>for delivery to the member</w:t>
            </w:r>
            <w:r w:rsidR="005A442D">
              <w:rPr>
                <w:rFonts w:asciiTheme="majorHAnsi" w:eastAsia="Georgia" w:hAnsiTheme="majorHAnsi" w:cs="Georgia"/>
                <w:bCs/>
              </w:rPr>
              <w:t>.</w:t>
            </w:r>
          </w:p>
        </w:tc>
      </w:tr>
      <w:tr w:rsidR="003C02D8" w14:paraId="6A3AD1D4" w14:textId="77777777" w:rsidTr="00646F33">
        <w:tc>
          <w:tcPr>
            <w:tcW w:w="1260" w:type="dxa"/>
          </w:tcPr>
          <w:p w14:paraId="4BE0D04B" w14:textId="7D7297E8" w:rsidR="003C02D8" w:rsidRPr="003C02D8" w:rsidRDefault="003C02D8" w:rsidP="003C02D8">
            <w:pPr>
              <w:pStyle w:val="NoSpacing"/>
            </w:pPr>
            <w:r w:rsidRPr="003C02D8">
              <w:t xml:space="preserve">DME </w:t>
            </w:r>
            <w:r w:rsidR="00EA38B3">
              <w:t>p</w:t>
            </w:r>
            <w:r w:rsidRPr="003C02D8">
              <w:t>rovider</w:t>
            </w:r>
          </w:p>
        </w:tc>
        <w:tc>
          <w:tcPr>
            <w:tcW w:w="1260" w:type="dxa"/>
          </w:tcPr>
          <w:p w14:paraId="0AA39F5F" w14:textId="57328340" w:rsidR="003C02D8" w:rsidRPr="003C02D8" w:rsidRDefault="003C02D8" w:rsidP="003C02D8">
            <w:pPr>
              <w:pStyle w:val="NoSpacing"/>
            </w:pPr>
            <w:r w:rsidRPr="003C02D8">
              <w:t>Accessories</w:t>
            </w:r>
            <w:r w:rsidR="00187991">
              <w:t xml:space="preserve"> </w:t>
            </w:r>
            <w:r w:rsidR="00EA38B3">
              <w:t>other than protective case</w:t>
            </w:r>
            <w:r w:rsidR="00EA38B3" w:rsidRPr="003C02D8">
              <w:t xml:space="preserve"> </w:t>
            </w:r>
            <w:r w:rsidRPr="003C02D8">
              <w:t>(e</w:t>
            </w:r>
            <w:r w:rsidR="005A442D">
              <w:t>.g.,</w:t>
            </w:r>
            <w:r w:rsidRPr="003C02D8">
              <w:t xml:space="preserve"> </w:t>
            </w:r>
            <w:r w:rsidR="005A442D">
              <w:t>m</w:t>
            </w:r>
            <w:r w:rsidR="005A442D" w:rsidRPr="003C02D8">
              <w:t xml:space="preserve">ounting </w:t>
            </w:r>
            <w:r w:rsidRPr="003C02D8">
              <w:t>systems, speakers</w:t>
            </w:r>
            <w:r w:rsidR="005A442D">
              <w:t>,</w:t>
            </w:r>
            <w:r w:rsidRPr="003C02D8">
              <w:t xml:space="preserve"> etc.)</w:t>
            </w:r>
          </w:p>
        </w:tc>
        <w:tc>
          <w:tcPr>
            <w:tcW w:w="2340" w:type="dxa"/>
          </w:tcPr>
          <w:p w14:paraId="4225B5FC" w14:textId="77777777" w:rsidR="003C02D8" w:rsidRPr="003C02D8" w:rsidRDefault="003C02D8" w:rsidP="009D760B">
            <w:pPr>
              <w:spacing w:after="120"/>
              <w:rPr>
                <w:rFonts w:asciiTheme="majorHAnsi" w:eastAsia="Georgia" w:hAnsiTheme="majorHAnsi" w:cs="Georgia"/>
                <w:bCs/>
              </w:rPr>
            </w:pPr>
            <w:r w:rsidRPr="003C02D8">
              <w:rPr>
                <w:rFonts w:asciiTheme="majorHAnsi" w:eastAsia="Georgia" w:hAnsiTheme="majorHAnsi" w:cs="Georgia"/>
                <w:bCs/>
              </w:rPr>
              <w:t>E2512 - Accessory for speech generating device, mounting system</w:t>
            </w:r>
          </w:p>
          <w:p w14:paraId="51566A25" w14:textId="477826A1" w:rsidR="003C02D8" w:rsidRPr="003C02D8" w:rsidRDefault="003C02D8" w:rsidP="00F81037">
            <w:pPr>
              <w:rPr>
                <w:rFonts w:asciiTheme="majorHAnsi" w:eastAsia="Georgia" w:hAnsiTheme="majorHAnsi" w:cs="Georgia"/>
                <w:bCs/>
              </w:rPr>
            </w:pPr>
            <w:r w:rsidRPr="003C02D8">
              <w:rPr>
                <w:rFonts w:asciiTheme="majorHAnsi" w:eastAsia="Georgia" w:hAnsiTheme="majorHAnsi" w:cs="Georgia"/>
                <w:bCs/>
              </w:rPr>
              <w:t xml:space="preserve">E2599 - Accessory for speech generating device, not otherwise classified </w:t>
            </w:r>
            <w:r w:rsidR="005A442D">
              <w:rPr>
                <w:rFonts w:asciiTheme="majorHAnsi" w:eastAsia="Georgia" w:hAnsiTheme="majorHAnsi" w:cs="Georgia"/>
                <w:bCs/>
              </w:rPr>
              <w:t>(</w:t>
            </w:r>
            <w:r w:rsidRPr="003C02D8">
              <w:rPr>
                <w:rFonts w:asciiTheme="majorHAnsi" w:eastAsia="Georgia" w:hAnsiTheme="majorHAnsi" w:cs="Georgia"/>
                <w:bCs/>
              </w:rPr>
              <w:t>not covered if used as a modification to home internet or phone services</w:t>
            </w:r>
            <w:r w:rsidR="005A442D">
              <w:rPr>
                <w:rFonts w:asciiTheme="majorHAnsi" w:eastAsia="Georgia" w:hAnsiTheme="majorHAnsi" w:cs="Georgia"/>
                <w:bCs/>
              </w:rPr>
              <w:t>)</w:t>
            </w:r>
          </w:p>
        </w:tc>
        <w:tc>
          <w:tcPr>
            <w:tcW w:w="1174" w:type="dxa"/>
          </w:tcPr>
          <w:p w14:paraId="7B32EAA6" w14:textId="16DF1E73" w:rsidR="003C02D8" w:rsidRPr="003C02D8" w:rsidRDefault="003C02D8" w:rsidP="00310210">
            <w:pPr>
              <w:jc w:val="center"/>
              <w:rPr>
                <w:rFonts w:asciiTheme="majorHAnsi" w:eastAsia="Georgia" w:hAnsiTheme="majorHAnsi" w:cs="Georgia"/>
                <w:bCs/>
              </w:rPr>
            </w:pPr>
            <w:r>
              <w:rPr>
                <w:rFonts w:asciiTheme="majorHAnsi" w:eastAsia="Georgia" w:hAnsiTheme="majorHAnsi" w:cs="Georgia"/>
                <w:bCs/>
              </w:rPr>
              <w:t>NU</w:t>
            </w:r>
          </w:p>
        </w:tc>
        <w:tc>
          <w:tcPr>
            <w:tcW w:w="1267" w:type="dxa"/>
          </w:tcPr>
          <w:p w14:paraId="6B60E102" w14:textId="676ED5F6" w:rsidR="003C02D8" w:rsidRPr="003C02D8" w:rsidRDefault="00166FD9" w:rsidP="003C02D8">
            <w:pPr>
              <w:pStyle w:val="NoSpacing"/>
            </w:pPr>
            <w:r>
              <w:t xml:space="preserve">DME provider’s billed amount is </w:t>
            </w:r>
            <w:r w:rsidR="005A068B">
              <w:t>set forth in 101 CMR 322.00</w:t>
            </w:r>
            <w:r w:rsidR="005A442D">
              <w:t>.</w:t>
            </w:r>
          </w:p>
        </w:tc>
        <w:tc>
          <w:tcPr>
            <w:tcW w:w="1529" w:type="dxa"/>
          </w:tcPr>
          <w:p w14:paraId="7EA4E98E" w14:textId="221338A7" w:rsidR="003C02D8" w:rsidRPr="003C02D8" w:rsidRDefault="003C02D8" w:rsidP="00F81037">
            <w:pPr>
              <w:rPr>
                <w:rFonts w:asciiTheme="majorHAnsi" w:eastAsia="Georgia" w:hAnsiTheme="majorHAnsi" w:cs="Georgia"/>
                <w:bCs/>
              </w:rPr>
            </w:pPr>
            <w:r w:rsidRPr="003C02D8">
              <w:rPr>
                <w:rFonts w:asciiTheme="majorHAnsi" w:eastAsia="Georgia" w:hAnsiTheme="majorHAnsi" w:cs="Georgia"/>
                <w:bCs/>
              </w:rPr>
              <w:t xml:space="preserve">DME </w:t>
            </w:r>
            <w:r w:rsidR="005A442D">
              <w:rPr>
                <w:rFonts w:asciiTheme="majorHAnsi" w:eastAsia="Georgia" w:hAnsiTheme="majorHAnsi" w:cs="Georgia"/>
                <w:bCs/>
              </w:rPr>
              <w:t>p</w:t>
            </w:r>
            <w:r w:rsidR="005A442D" w:rsidRPr="003C02D8">
              <w:rPr>
                <w:rFonts w:asciiTheme="majorHAnsi" w:eastAsia="Georgia" w:hAnsiTheme="majorHAnsi" w:cs="Georgia"/>
                <w:bCs/>
              </w:rPr>
              <w:t xml:space="preserve">roviders </w:t>
            </w:r>
            <w:r w:rsidRPr="003C02D8">
              <w:rPr>
                <w:rFonts w:asciiTheme="majorHAnsi" w:eastAsia="Georgia" w:hAnsiTheme="majorHAnsi" w:cs="Georgia"/>
                <w:bCs/>
              </w:rPr>
              <w:t>should continue to follow current MassHealth billing protocol when billing for DME accessories</w:t>
            </w:r>
            <w:r w:rsidR="00B5540C">
              <w:rPr>
                <w:rFonts w:asciiTheme="majorHAnsi" w:eastAsia="Georgia" w:hAnsiTheme="majorHAnsi" w:cs="Georgia"/>
                <w:bCs/>
              </w:rPr>
              <w:t xml:space="preserve"> other than protective case</w:t>
            </w:r>
            <w:r w:rsidR="005A442D">
              <w:rPr>
                <w:rFonts w:asciiTheme="majorHAnsi" w:eastAsia="Georgia" w:hAnsiTheme="majorHAnsi" w:cs="Georgia"/>
                <w:bCs/>
              </w:rPr>
              <w:t>.</w:t>
            </w:r>
          </w:p>
        </w:tc>
      </w:tr>
    </w:tbl>
    <w:p w14:paraId="723BC1A6" w14:textId="69737299" w:rsidR="00E71064" w:rsidRDefault="00523C0C" w:rsidP="00F43A16">
      <w:pPr>
        <w:pStyle w:val="Heading2"/>
      </w:pPr>
      <w:r w:rsidRPr="0049165A">
        <w:lastRenderedPageBreak/>
        <w:t>S</w:t>
      </w:r>
      <w:r w:rsidR="00E71064" w:rsidRPr="0049165A">
        <w:t>ection</w:t>
      </w:r>
      <w:r w:rsidRPr="0049165A">
        <w:t xml:space="preserve"> IV.  </w:t>
      </w:r>
      <w:r w:rsidR="00644777" w:rsidRPr="0049165A">
        <w:t xml:space="preserve">Dedicated and </w:t>
      </w:r>
      <w:r w:rsidR="00E71064" w:rsidRPr="0049165A">
        <w:t>Non-dedicated Devices—Speech Language Pathologist Follow-</w:t>
      </w:r>
      <w:r w:rsidR="005D35A7">
        <w:t>u</w:t>
      </w:r>
      <w:r w:rsidR="00E71064" w:rsidRPr="0049165A">
        <w:t>p Office Visit</w:t>
      </w:r>
      <w:r w:rsidR="002A08BD">
        <w:t xml:space="preserve"> </w:t>
      </w:r>
    </w:p>
    <w:p w14:paraId="5E385998" w14:textId="4620C53E" w:rsidR="004B7FDB" w:rsidRPr="00CC12F0" w:rsidRDefault="004B7FDB" w:rsidP="00CC12F0">
      <w:pPr>
        <w:pStyle w:val="Normal1"/>
      </w:pPr>
      <w:r>
        <w:t xml:space="preserve">Follow up visits for training should be governed by appropriate standards of care and applicable MassHealth regulations.   </w:t>
      </w:r>
    </w:p>
    <w:p w14:paraId="2CB151B9" w14:textId="77777777" w:rsidR="00C87ECC" w:rsidRDefault="00C87ECC">
      <w:pPr>
        <w:pStyle w:val="Normal1"/>
      </w:pPr>
    </w:p>
    <w:p w14:paraId="280A926D" w14:textId="6E00B875" w:rsidR="00777350" w:rsidRDefault="00523C0C">
      <w:pPr>
        <w:pStyle w:val="Normal1"/>
      </w:pPr>
      <w:r>
        <w:t>Select References</w:t>
      </w:r>
    </w:p>
    <w:p w14:paraId="280A926E" w14:textId="319C52EB" w:rsidR="00777350" w:rsidRDefault="00523C0C">
      <w:pPr>
        <w:pStyle w:val="Normal1"/>
        <w:pBdr>
          <w:top w:val="nil"/>
          <w:left w:val="nil"/>
          <w:bottom w:val="nil"/>
          <w:right w:val="nil"/>
          <w:between w:val="nil"/>
        </w:pBdr>
        <w:ind w:left="504" w:hanging="504"/>
        <w:rPr>
          <w:color w:val="000000"/>
        </w:rPr>
      </w:pPr>
      <w:r>
        <w:rPr>
          <w:color w:val="000000"/>
        </w:rPr>
        <w:t>1.</w:t>
      </w:r>
      <w:r>
        <w:rPr>
          <w:color w:val="000000"/>
        </w:rPr>
        <w:tab/>
        <w:t xml:space="preserve">What is augmentative and alternative communication? Available at: </w:t>
      </w:r>
      <w:hyperlink r:id="rId14" w:history="1">
        <w:r w:rsidR="002A5B2A" w:rsidRPr="00D73FD9">
          <w:rPr>
            <w:rStyle w:val="Hyperlink"/>
          </w:rPr>
          <w:t>What Is AAC? - AAC &amp; Speech Devices from PRC (prentrom.com)</w:t>
        </w:r>
      </w:hyperlink>
      <w:r>
        <w:rPr>
          <w:color w:val="000000"/>
        </w:rPr>
        <w:t>. Accessed February 12, 2016.</w:t>
      </w:r>
    </w:p>
    <w:p w14:paraId="598AA4BA" w14:textId="5525D211" w:rsidR="003D2A12" w:rsidRDefault="00523C0C">
      <w:pPr>
        <w:pStyle w:val="Normal1"/>
        <w:pBdr>
          <w:top w:val="nil"/>
          <w:left w:val="nil"/>
          <w:bottom w:val="nil"/>
          <w:right w:val="nil"/>
          <w:between w:val="nil"/>
        </w:pBdr>
        <w:ind w:left="504" w:hanging="504"/>
        <w:rPr>
          <w:color w:val="000000"/>
        </w:rPr>
      </w:pPr>
      <w:r>
        <w:rPr>
          <w:color w:val="000000"/>
        </w:rPr>
        <w:t>2.</w:t>
      </w:r>
      <w:r>
        <w:rPr>
          <w:color w:val="000000"/>
        </w:rPr>
        <w:tab/>
        <w:t xml:space="preserve">Who benefits from augmentative and alternative communication? Available at: </w:t>
      </w:r>
      <w:hyperlink r:id="rId15" w:history="1">
        <w:r w:rsidR="00F52853">
          <w:rPr>
            <w:rStyle w:val="Hyperlink"/>
          </w:rPr>
          <w:t>ISAAC – Who benefits? (isaac-online.org)</w:t>
        </w:r>
      </w:hyperlink>
      <w:r w:rsidR="006443F7" w:rsidRPr="000572A1">
        <w:rPr>
          <w:rStyle w:val="Hyperlink"/>
          <w:color w:val="auto"/>
          <w:u w:val="none"/>
        </w:rPr>
        <w:t xml:space="preserve">. </w:t>
      </w:r>
      <w:r>
        <w:rPr>
          <w:color w:val="000000"/>
        </w:rPr>
        <w:t xml:space="preserve">Accessed February 12, 2016. </w:t>
      </w:r>
    </w:p>
    <w:p w14:paraId="280A926F" w14:textId="582C256B" w:rsidR="00777350" w:rsidRDefault="003D2A12">
      <w:pPr>
        <w:pStyle w:val="Normal1"/>
        <w:pBdr>
          <w:top w:val="nil"/>
          <w:left w:val="nil"/>
          <w:bottom w:val="nil"/>
          <w:right w:val="nil"/>
          <w:between w:val="nil"/>
        </w:pBdr>
        <w:ind w:left="504" w:hanging="504"/>
        <w:rPr>
          <w:color w:val="000000"/>
        </w:rPr>
      </w:pPr>
      <w:r>
        <w:rPr>
          <w:color w:val="000000"/>
        </w:rPr>
        <w:t>3.</w:t>
      </w:r>
      <w:r>
        <w:rPr>
          <w:color w:val="000000"/>
        </w:rPr>
        <w:tab/>
      </w:r>
      <w:r w:rsidR="00523C0C">
        <w:rPr>
          <w:color w:val="000000"/>
        </w:rPr>
        <w:t xml:space="preserve">American Speech-Language-Hearing Association (ASHA) </w:t>
      </w:r>
      <w:r w:rsidR="009D02BC">
        <w:rPr>
          <w:color w:val="000000"/>
        </w:rPr>
        <w:t>Augmentative and Alternative Communication</w:t>
      </w:r>
      <w:r>
        <w:rPr>
          <w:color w:val="000000"/>
        </w:rPr>
        <w:t>.</w:t>
      </w:r>
      <w:r w:rsidR="00523C0C">
        <w:rPr>
          <w:color w:val="000000"/>
        </w:rPr>
        <w:t xml:space="preserve"> Available at: </w:t>
      </w:r>
      <w:hyperlink r:id="rId16" w:history="1">
        <w:r w:rsidR="00285D7C" w:rsidRPr="007E7C28">
          <w:rPr>
            <w:rStyle w:val="Hyperlink"/>
          </w:rPr>
          <w:t>https://www.asha.org/practice-portal/professional-issues/augmentative-and-alternative-communication/</w:t>
        </w:r>
      </w:hyperlink>
      <w:r w:rsidR="006443F7">
        <w:rPr>
          <w:color w:val="000000"/>
        </w:rPr>
        <w:t xml:space="preserve">. </w:t>
      </w:r>
      <w:r w:rsidR="00285D7C">
        <w:t xml:space="preserve"> </w:t>
      </w:r>
      <w:r w:rsidR="009D02BC" w:rsidDel="009D02BC">
        <w:rPr>
          <w:color w:val="000000"/>
        </w:rPr>
        <w:t xml:space="preserve"> </w:t>
      </w:r>
      <w:r w:rsidR="009D02BC">
        <w:rPr>
          <w:color w:val="000000"/>
        </w:rPr>
        <w:t xml:space="preserve"> </w:t>
      </w:r>
      <w:r w:rsidR="00523C0C">
        <w:rPr>
          <w:color w:val="000000"/>
        </w:rPr>
        <w:t xml:space="preserve"> </w:t>
      </w:r>
    </w:p>
    <w:p w14:paraId="280A9270" w14:textId="59EFF1E2" w:rsidR="00777350" w:rsidRDefault="003D2A12">
      <w:pPr>
        <w:pStyle w:val="Normal1"/>
        <w:pBdr>
          <w:top w:val="nil"/>
          <w:left w:val="nil"/>
          <w:bottom w:val="nil"/>
          <w:right w:val="nil"/>
          <w:between w:val="nil"/>
        </w:pBdr>
        <w:ind w:left="504" w:hanging="504"/>
        <w:rPr>
          <w:color w:val="000000"/>
        </w:rPr>
      </w:pPr>
      <w:r>
        <w:rPr>
          <w:color w:val="000000"/>
        </w:rPr>
        <w:t>4</w:t>
      </w:r>
      <w:r w:rsidR="00523C0C">
        <w:rPr>
          <w:color w:val="000000"/>
        </w:rPr>
        <w:t>.</w:t>
      </w:r>
      <w:r w:rsidR="00523C0C">
        <w:rPr>
          <w:color w:val="000000"/>
        </w:rPr>
        <w:tab/>
        <w:t xml:space="preserve">United States Society for Augmentative and Alternative Communication. Available at: </w:t>
      </w:r>
      <w:hyperlink r:id="rId17" w:history="1">
        <w:r w:rsidR="00523C0C" w:rsidRPr="00C17DED">
          <w:rPr>
            <w:rStyle w:val="Hyperlink"/>
          </w:rPr>
          <w:t>http://ussaac.org/about</w:t>
        </w:r>
        <w:r w:rsidR="006920A5" w:rsidRPr="00C17DED">
          <w:rPr>
            <w:rStyle w:val="Hyperlink"/>
          </w:rPr>
          <w:t xml:space="preserve"> -us</w:t>
        </w:r>
        <w:r w:rsidR="006A706B" w:rsidRPr="00C17DED">
          <w:rPr>
            <w:rStyle w:val="Hyperlink"/>
          </w:rPr>
          <w:t>/</w:t>
        </w:r>
      </w:hyperlink>
      <w:r w:rsidR="00523C0C">
        <w:rPr>
          <w:color w:val="000000"/>
        </w:rPr>
        <w:t>.</w:t>
      </w:r>
      <w:r w:rsidR="006A706B">
        <w:rPr>
          <w:color w:val="000000"/>
        </w:rPr>
        <w:t xml:space="preserve">  </w:t>
      </w:r>
      <w:r w:rsidR="00523C0C">
        <w:rPr>
          <w:color w:val="000000"/>
        </w:rPr>
        <w:t xml:space="preserve">Accessed February 12, 2016. </w:t>
      </w:r>
    </w:p>
    <w:p w14:paraId="280A9271" w14:textId="5FDEB052" w:rsidR="00777350" w:rsidRDefault="003D2A12">
      <w:pPr>
        <w:pStyle w:val="Normal1"/>
        <w:pBdr>
          <w:top w:val="nil"/>
          <w:left w:val="nil"/>
          <w:bottom w:val="nil"/>
          <w:right w:val="nil"/>
          <w:between w:val="nil"/>
        </w:pBdr>
        <w:ind w:left="504" w:hanging="504"/>
        <w:rPr>
          <w:color w:val="000000"/>
        </w:rPr>
      </w:pPr>
      <w:r>
        <w:rPr>
          <w:color w:val="000000"/>
        </w:rPr>
        <w:t>5</w:t>
      </w:r>
      <w:r w:rsidR="00523C0C">
        <w:rPr>
          <w:color w:val="000000"/>
        </w:rPr>
        <w:t>.</w:t>
      </w:r>
      <w:r w:rsidR="00523C0C">
        <w:rPr>
          <w:color w:val="000000"/>
        </w:rPr>
        <w:tab/>
        <w:t>American Speech-Language-Hearing Association (ASHA) Speech-Language Pathology Medical Review Guidelines</w:t>
      </w:r>
      <w:r w:rsidR="005A442D">
        <w:rPr>
          <w:color w:val="000000"/>
        </w:rPr>
        <w:t>.</w:t>
      </w:r>
      <w:r w:rsidR="00523C0C">
        <w:rPr>
          <w:color w:val="000000"/>
        </w:rPr>
        <w:t xml:space="preserve"> Available at: </w:t>
      </w:r>
      <w:hyperlink r:id="rId18" w:history="1">
        <w:r w:rsidR="00523C0C" w:rsidRPr="00C17DED">
          <w:rPr>
            <w:rStyle w:val="Hyperlink"/>
          </w:rPr>
          <w:t>http://www.asha.org/uploadedFiles/SLP-Medical-Review-Guidelines.pdf</w:t>
        </w:r>
      </w:hyperlink>
      <w:r w:rsidR="00523C0C">
        <w:rPr>
          <w:color w:val="000000"/>
        </w:rPr>
        <w:t xml:space="preserve">. Accessed February 12, 2016. </w:t>
      </w:r>
    </w:p>
    <w:p w14:paraId="280A9272" w14:textId="045A5D2A" w:rsidR="00777350" w:rsidRDefault="003D2A12">
      <w:pPr>
        <w:pStyle w:val="Normal1"/>
        <w:pBdr>
          <w:top w:val="nil"/>
          <w:left w:val="nil"/>
          <w:bottom w:val="nil"/>
          <w:right w:val="nil"/>
          <w:between w:val="nil"/>
        </w:pBdr>
        <w:ind w:left="504" w:hanging="504"/>
        <w:rPr>
          <w:color w:val="000000"/>
        </w:rPr>
      </w:pPr>
      <w:r>
        <w:rPr>
          <w:color w:val="000000"/>
        </w:rPr>
        <w:t>6</w:t>
      </w:r>
      <w:r w:rsidR="00523C0C">
        <w:rPr>
          <w:color w:val="000000"/>
        </w:rPr>
        <w:t>.</w:t>
      </w:r>
      <w:r w:rsidR="00523C0C">
        <w:rPr>
          <w:color w:val="000000"/>
        </w:rPr>
        <w:tab/>
        <w:t xml:space="preserve">Drager, K, </w:t>
      </w:r>
      <w:proofErr w:type="spellStart"/>
      <w:r w:rsidR="00523C0C">
        <w:rPr>
          <w:color w:val="000000"/>
        </w:rPr>
        <w:t>Reichle</w:t>
      </w:r>
      <w:proofErr w:type="spellEnd"/>
      <w:r w:rsidR="00523C0C">
        <w:rPr>
          <w:color w:val="000000"/>
        </w:rPr>
        <w:t xml:space="preserve">, J, </w:t>
      </w:r>
      <w:proofErr w:type="spellStart"/>
      <w:r w:rsidR="00523C0C">
        <w:rPr>
          <w:color w:val="000000"/>
        </w:rPr>
        <w:t>Pinkoski</w:t>
      </w:r>
      <w:proofErr w:type="spellEnd"/>
      <w:r w:rsidR="00523C0C">
        <w:rPr>
          <w:color w:val="000000"/>
        </w:rPr>
        <w:t>, C. Synthesized Speech Output and Children: A Scoping Review. American Journal of Speech-Language Pathology. 2010 Aug; 19: 259-273. doi:10.1044/1058-0360(2010/09-0024)</w:t>
      </w:r>
    </w:p>
    <w:p w14:paraId="280A9273" w14:textId="03A5A2C9" w:rsidR="00777350" w:rsidRDefault="003D2A12">
      <w:pPr>
        <w:pStyle w:val="Normal1"/>
        <w:pBdr>
          <w:top w:val="nil"/>
          <w:left w:val="nil"/>
          <w:bottom w:val="nil"/>
          <w:right w:val="nil"/>
          <w:between w:val="nil"/>
        </w:pBdr>
        <w:ind w:left="504" w:hanging="504"/>
        <w:rPr>
          <w:color w:val="000000"/>
        </w:rPr>
      </w:pPr>
      <w:r>
        <w:rPr>
          <w:color w:val="000000"/>
        </w:rPr>
        <w:t>7</w:t>
      </w:r>
      <w:r w:rsidR="00523C0C">
        <w:rPr>
          <w:color w:val="000000"/>
        </w:rPr>
        <w:t>.</w:t>
      </w:r>
      <w:r w:rsidR="00523C0C">
        <w:rPr>
          <w:color w:val="000000"/>
        </w:rPr>
        <w:tab/>
        <w:t xml:space="preserve">Ratcliff, A, </w:t>
      </w:r>
      <w:proofErr w:type="spellStart"/>
      <w:r w:rsidR="00523C0C">
        <w:rPr>
          <w:color w:val="000000"/>
        </w:rPr>
        <w:t>Koul</w:t>
      </w:r>
      <w:proofErr w:type="spellEnd"/>
      <w:r w:rsidR="00523C0C">
        <w:rPr>
          <w:color w:val="000000"/>
        </w:rPr>
        <w:t>, R, Lloyd, L. Preparation in Augmentative and Alternative Communication: An Update for Speech-Language Pathology Training. American Journal of Speech-Language Pathology, 2008 Feb; 17: 48-59. doi:10.1044/1058-0360(2008/005)</w:t>
      </w:r>
    </w:p>
    <w:p w14:paraId="280A9274" w14:textId="0462AE4D" w:rsidR="00777350" w:rsidRDefault="003D2A12">
      <w:pPr>
        <w:pStyle w:val="Normal1"/>
        <w:pBdr>
          <w:top w:val="nil"/>
          <w:left w:val="nil"/>
          <w:bottom w:val="nil"/>
          <w:right w:val="nil"/>
          <w:between w:val="nil"/>
        </w:pBdr>
        <w:ind w:left="504" w:hanging="504"/>
        <w:rPr>
          <w:color w:val="000000"/>
        </w:rPr>
      </w:pPr>
      <w:r>
        <w:rPr>
          <w:color w:val="000000"/>
        </w:rPr>
        <w:t>8</w:t>
      </w:r>
      <w:r w:rsidR="00523C0C">
        <w:rPr>
          <w:color w:val="000000"/>
        </w:rPr>
        <w:t>.</w:t>
      </w:r>
      <w:r w:rsidR="00523C0C">
        <w:rPr>
          <w:color w:val="000000"/>
        </w:rPr>
        <w:tab/>
        <w:t xml:space="preserve">Schlosser, R, Wendt, O. Effects of Augmentative and Alternative Communication Intervention on Speech Production in Children </w:t>
      </w:r>
      <w:proofErr w:type="gramStart"/>
      <w:r w:rsidR="00523C0C">
        <w:rPr>
          <w:color w:val="000000"/>
        </w:rPr>
        <w:t>With</w:t>
      </w:r>
      <w:proofErr w:type="gramEnd"/>
      <w:r w:rsidR="00523C0C">
        <w:rPr>
          <w:color w:val="000000"/>
        </w:rPr>
        <w:t xml:space="preserve"> Autism: A Systematic Review. American Journal of Speech-Language Pathology, 2008 Aug; 17: 212-230. doi:10.1044/1058-0360(2008/021)</w:t>
      </w:r>
    </w:p>
    <w:p w14:paraId="280A9275" w14:textId="4A27F85B" w:rsidR="00777350" w:rsidRDefault="00523C0C">
      <w:pPr>
        <w:pStyle w:val="Normal1"/>
      </w:pPr>
      <w:r>
        <w:t xml:space="preserve">These </w:t>
      </w:r>
      <w:r w:rsidR="005A442D">
        <w:t xml:space="preserve">guidelines </w:t>
      </w:r>
      <w:r>
        <w:t xml:space="preserve">are based on review of the medical literature and current practice in Augmented and Alternative Communication (AAC). MassHealth reserves the right to review and update the contents of these </w:t>
      </w:r>
      <w:r w:rsidR="005A442D">
        <w:t xml:space="preserve">guidelines </w:t>
      </w:r>
      <w:r>
        <w:t xml:space="preserve">and cited references as new clinical evidence and medical technology emerge. </w:t>
      </w:r>
    </w:p>
    <w:p w14:paraId="7A6F851F" w14:textId="2352F87D" w:rsidR="00BA1588" w:rsidRDefault="00BA1588">
      <w:pPr>
        <w:pStyle w:val="Normal1"/>
      </w:pPr>
    </w:p>
    <w:p w14:paraId="4113A190" w14:textId="77777777" w:rsidR="00BA1588" w:rsidRDefault="00BA1588">
      <w:pPr>
        <w:pStyle w:val="Normal1"/>
      </w:pPr>
    </w:p>
    <w:p w14:paraId="280A9276" w14:textId="235A8628" w:rsidR="00777350" w:rsidRDefault="00523C0C">
      <w:pPr>
        <w:pStyle w:val="Normal1"/>
      </w:pPr>
      <w:r>
        <w:lastRenderedPageBreak/>
        <w:t xml:space="preserve">This document was prepared for medical professionals to assist them in submitting documentation supporting the medical necessity of the proposed treatment, products, or services. Some language used in this communication may be unfamiliar to other readers; in this case, </w:t>
      </w:r>
      <w:r w:rsidR="00E71064">
        <w:t>such readers should contact their</w:t>
      </w:r>
      <w:r>
        <w:t xml:space="preserve"> health care provider for guidanc</w:t>
      </w:r>
      <w:r w:rsidR="00251C01">
        <w:t>e</w:t>
      </w:r>
      <w:r>
        <w:t xml:space="preserve"> or explanation. </w:t>
      </w:r>
    </w:p>
    <w:p w14:paraId="280A9278" w14:textId="14F22C8E" w:rsidR="00777350" w:rsidRDefault="00523C0C">
      <w:pPr>
        <w:pStyle w:val="Normal1"/>
      </w:pPr>
      <w:r>
        <w:t xml:space="preserve">Policy </w:t>
      </w:r>
      <w:r w:rsidR="00251C01">
        <w:t>Revi</w:t>
      </w:r>
      <w:r w:rsidR="00CF4BA5">
        <w:t>sion Effective</w:t>
      </w:r>
      <w:r w:rsidR="00251C01">
        <w:t xml:space="preserve"> Date:</w:t>
      </w:r>
      <w:r w:rsidR="00606432">
        <w:t xml:space="preserve">  </w:t>
      </w:r>
      <w:r w:rsidR="00C35774">
        <w:t xml:space="preserve">March 9, </w:t>
      </w:r>
      <w:proofErr w:type="gramStart"/>
      <w:r w:rsidR="00C35774">
        <w:t>2023</w:t>
      </w:r>
      <w:proofErr w:type="gramEnd"/>
      <w:r>
        <w:t xml:space="preserve">     </w:t>
      </w:r>
      <w:r w:rsidR="00251C01">
        <w:t xml:space="preserve"> </w:t>
      </w:r>
      <w:r>
        <w:t xml:space="preserve">  </w:t>
      </w:r>
      <w:r w:rsidR="00606432">
        <w:t xml:space="preserve">           </w:t>
      </w:r>
      <w:r>
        <w:t xml:space="preserve">Approved by </w:t>
      </w:r>
      <w:r w:rsidR="00AE104F" w:rsidRPr="00AE104F">
        <w:rPr>
          <w:u w:val="single"/>
        </w:rPr>
        <w:t xml:space="preserve">(Signed by </w:t>
      </w:r>
      <w:proofErr w:type="spellStart"/>
      <w:r w:rsidR="00AE104F" w:rsidRPr="00AE104F">
        <w:rPr>
          <w:u w:val="single"/>
        </w:rPr>
        <w:t>Jatin</w:t>
      </w:r>
      <w:proofErr w:type="spellEnd"/>
      <w:r w:rsidR="00AE104F" w:rsidRPr="00AE104F">
        <w:rPr>
          <w:u w:val="single"/>
        </w:rPr>
        <w:t xml:space="preserve"> K. Dave, MD, MPH)</w:t>
      </w:r>
      <w:r w:rsidRPr="00AE104F">
        <w:rPr>
          <w:u w:val="single"/>
        </w:rPr>
        <w:t xml:space="preserve">  </w:t>
      </w:r>
    </w:p>
    <w:p w14:paraId="280A9279" w14:textId="64604C3E" w:rsidR="00777350" w:rsidRDefault="00523C0C">
      <w:pPr>
        <w:pStyle w:val="Normal1"/>
        <w:spacing w:after="120" w:line="240" w:lineRule="auto"/>
      </w:pPr>
      <w:r>
        <w:t xml:space="preserve"> </w:t>
      </w:r>
      <w:r>
        <w:tab/>
      </w:r>
      <w:r>
        <w:tab/>
      </w:r>
      <w:r>
        <w:tab/>
      </w:r>
      <w:r>
        <w:tab/>
      </w:r>
      <w:r>
        <w:tab/>
      </w:r>
      <w:r>
        <w:tab/>
      </w:r>
      <w:r w:rsidR="00CF4BA5">
        <w:tab/>
      </w:r>
      <w:proofErr w:type="spellStart"/>
      <w:r w:rsidR="00CA7891">
        <w:t>Jatin</w:t>
      </w:r>
      <w:proofErr w:type="spellEnd"/>
      <w:r w:rsidR="00CA7891">
        <w:t xml:space="preserve"> K. Dave MD, MPH </w:t>
      </w:r>
    </w:p>
    <w:p w14:paraId="280A927A" w14:textId="5D59CCA6" w:rsidR="00777350" w:rsidRDefault="00523C0C">
      <w:pPr>
        <w:pStyle w:val="Normal1"/>
      </w:pPr>
      <w:r>
        <w:tab/>
      </w:r>
      <w:r>
        <w:tab/>
      </w:r>
      <w:r>
        <w:tab/>
      </w:r>
      <w:r>
        <w:tab/>
      </w:r>
      <w:r>
        <w:tab/>
      </w:r>
      <w:r>
        <w:tab/>
      </w:r>
      <w:r w:rsidR="00CF4BA5">
        <w:tab/>
      </w:r>
      <w:r>
        <w:t>Chief Medical Officer, MassHealth</w:t>
      </w:r>
    </w:p>
    <w:p w14:paraId="72407927" w14:textId="0C853681" w:rsidR="00251C01" w:rsidRDefault="00251C01">
      <w:pPr>
        <w:pStyle w:val="Normal1"/>
      </w:pPr>
      <w:r>
        <w:t xml:space="preserve">Policy Effective Date:  </w:t>
      </w:r>
      <w:r w:rsidR="00606432">
        <w:t>March 1, 2017</w:t>
      </w:r>
    </w:p>
    <w:sectPr w:rsidR="00251C01" w:rsidSect="00EC088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A09F" w14:textId="77777777" w:rsidR="002E5586" w:rsidRDefault="002E5586" w:rsidP="00777350">
      <w:pPr>
        <w:spacing w:after="0" w:line="240" w:lineRule="auto"/>
      </w:pPr>
      <w:r>
        <w:separator/>
      </w:r>
    </w:p>
  </w:endnote>
  <w:endnote w:type="continuationSeparator" w:id="0">
    <w:p w14:paraId="5F8A9047" w14:textId="77777777" w:rsidR="002E5586" w:rsidRDefault="002E5586" w:rsidP="0077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867E" w14:textId="77777777" w:rsidR="00F80FE8" w:rsidRDefault="00F80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51880"/>
      <w:docPartObj>
        <w:docPartGallery w:val="Page Numbers (Bottom of Page)"/>
        <w:docPartUnique/>
      </w:docPartObj>
    </w:sdtPr>
    <w:sdtEndPr>
      <w:rPr>
        <w:noProof/>
      </w:rPr>
    </w:sdtEndPr>
    <w:sdtContent>
      <w:p w14:paraId="69DC1B8C" w14:textId="0C3A9352" w:rsidR="00CE6956" w:rsidRDefault="00CE69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0A9288" w14:textId="3A0F1D0A" w:rsidR="00777350" w:rsidRDefault="00777350">
    <w:pPr>
      <w:pStyle w:val="Normal1"/>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50EA" w14:textId="7685E9B4" w:rsidR="00F80FE8" w:rsidRDefault="00CE6956">
    <w:pPr>
      <w:pStyle w:val="Footer"/>
    </w:pPr>
    <w:r>
      <w:t>MGD-</w:t>
    </w:r>
    <w:r w:rsidR="008F278F">
      <w:t>AAC</w:t>
    </w:r>
    <w:r>
      <w:t xml:space="preserve"> (Rev. 03-23)</w:t>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C601C" w14:textId="77777777" w:rsidR="002E5586" w:rsidRDefault="002E5586" w:rsidP="00777350">
      <w:pPr>
        <w:spacing w:after="0" w:line="240" w:lineRule="auto"/>
      </w:pPr>
      <w:r>
        <w:separator/>
      </w:r>
    </w:p>
  </w:footnote>
  <w:footnote w:type="continuationSeparator" w:id="0">
    <w:p w14:paraId="7F6C601D" w14:textId="77777777" w:rsidR="002E5586" w:rsidRDefault="002E5586" w:rsidP="0077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2491" w14:textId="77777777" w:rsidR="00F80FE8" w:rsidRDefault="00F80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F473" w14:textId="1E21DA56" w:rsidR="00F80FE8" w:rsidRDefault="00F80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30FA" w14:textId="77777777" w:rsidR="00F80FE8" w:rsidRDefault="00F80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6BAB"/>
    <w:multiLevelType w:val="hybridMultilevel"/>
    <w:tmpl w:val="D144B5B6"/>
    <w:lvl w:ilvl="0" w:tplc="69A2F69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280B3B"/>
    <w:multiLevelType w:val="hybridMultilevel"/>
    <w:tmpl w:val="C0561E9C"/>
    <w:lvl w:ilvl="0" w:tplc="9F505B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F4790"/>
    <w:multiLevelType w:val="hybridMultilevel"/>
    <w:tmpl w:val="AEE63CF8"/>
    <w:lvl w:ilvl="0" w:tplc="F35A58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F5CD1"/>
    <w:multiLevelType w:val="hybridMultilevel"/>
    <w:tmpl w:val="97DC4D5E"/>
    <w:lvl w:ilvl="0" w:tplc="CB121FCE">
      <w:start w:val="3"/>
      <w:numFmt w:val="bullet"/>
      <w:lvlText w:val=""/>
      <w:lvlJc w:val="left"/>
      <w:pPr>
        <w:ind w:left="720" w:hanging="360"/>
      </w:pPr>
      <w:rPr>
        <w:rFonts w:ascii="Symbol" w:eastAsia="Calibri"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C345D"/>
    <w:multiLevelType w:val="multilevel"/>
    <w:tmpl w:val="FFAE5A3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3341040E"/>
    <w:multiLevelType w:val="hybridMultilevel"/>
    <w:tmpl w:val="F798406E"/>
    <w:lvl w:ilvl="0" w:tplc="04090019">
      <w:start w:val="1"/>
      <w:numFmt w:val="low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6" w15:restartNumberingAfterBreak="0">
    <w:nsid w:val="34EA2DA2"/>
    <w:multiLevelType w:val="multilevel"/>
    <w:tmpl w:val="9AAE935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49563189"/>
    <w:multiLevelType w:val="multilevel"/>
    <w:tmpl w:val="03D07FB0"/>
    <w:lvl w:ilvl="0">
      <w:start w:val="1"/>
      <w:numFmt w:val="lowerLetter"/>
      <w:lvlText w:val="%1."/>
      <w:lvlJc w:val="left"/>
      <w:pPr>
        <w:ind w:left="720" w:hanging="360"/>
      </w:pPr>
      <w:rPr>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55032C21"/>
    <w:multiLevelType w:val="multilevel"/>
    <w:tmpl w:val="505645EA"/>
    <w:lvl w:ilvl="0">
      <w:start w:val="1"/>
      <w:numFmt w:val="bullet"/>
      <w:lvlText w:val="▪"/>
      <w:lvlJc w:val="left"/>
      <w:pPr>
        <w:ind w:left="1447" w:hanging="360"/>
      </w:pPr>
      <w:rPr>
        <w:rFonts w:ascii="Noto Sans Symbols" w:eastAsia="Noto Sans Symbols" w:hAnsi="Noto Sans Symbols" w:cs="Noto Sans Symbols"/>
        <w:vertAlign w:val="baseline"/>
      </w:rPr>
    </w:lvl>
    <w:lvl w:ilvl="1">
      <w:start w:val="1"/>
      <w:numFmt w:val="bullet"/>
      <w:lvlText w:val="o"/>
      <w:lvlJc w:val="left"/>
      <w:pPr>
        <w:ind w:left="2167" w:hanging="360"/>
      </w:pPr>
      <w:rPr>
        <w:rFonts w:ascii="Courier New" w:eastAsia="Courier New" w:hAnsi="Courier New" w:cs="Courier New"/>
        <w:vertAlign w:val="baseline"/>
      </w:rPr>
    </w:lvl>
    <w:lvl w:ilvl="2">
      <w:start w:val="1"/>
      <w:numFmt w:val="bullet"/>
      <w:lvlText w:val="▪"/>
      <w:lvlJc w:val="left"/>
      <w:pPr>
        <w:ind w:left="2887" w:hanging="360"/>
      </w:pPr>
      <w:rPr>
        <w:rFonts w:ascii="Noto Sans Symbols" w:eastAsia="Noto Sans Symbols" w:hAnsi="Noto Sans Symbols" w:cs="Noto Sans Symbols"/>
        <w:vertAlign w:val="baseline"/>
      </w:rPr>
    </w:lvl>
    <w:lvl w:ilvl="3">
      <w:start w:val="1"/>
      <w:numFmt w:val="bullet"/>
      <w:lvlText w:val="●"/>
      <w:lvlJc w:val="left"/>
      <w:pPr>
        <w:ind w:left="3607" w:hanging="360"/>
      </w:pPr>
      <w:rPr>
        <w:rFonts w:ascii="Noto Sans Symbols" w:eastAsia="Noto Sans Symbols" w:hAnsi="Noto Sans Symbols" w:cs="Noto Sans Symbols"/>
        <w:vertAlign w:val="baseline"/>
      </w:rPr>
    </w:lvl>
    <w:lvl w:ilvl="4">
      <w:start w:val="1"/>
      <w:numFmt w:val="bullet"/>
      <w:lvlText w:val="o"/>
      <w:lvlJc w:val="left"/>
      <w:pPr>
        <w:ind w:left="4327" w:hanging="360"/>
      </w:pPr>
      <w:rPr>
        <w:rFonts w:ascii="Courier New" w:eastAsia="Courier New" w:hAnsi="Courier New" w:cs="Courier New"/>
        <w:vertAlign w:val="baseline"/>
      </w:rPr>
    </w:lvl>
    <w:lvl w:ilvl="5">
      <w:start w:val="1"/>
      <w:numFmt w:val="bullet"/>
      <w:lvlText w:val="▪"/>
      <w:lvlJc w:val="left"/>
      <w:pPr>
        <w:ind w:left="5047" w:hanging="360"/>
      </w:pPr>
      <w:rPr>
        <w:rFonts w:ascii="Noto Sans Symbols" w:eastAsia="Noto Sans Symbols" w:hAnsi="Noto Sans Symbols" w:cs="Noto Sans Symbols"/>
        <w:vertAlign w:val="baseline"/>
      </w:rPr>
    </w:lvl>
    <w:lvl w:ilvl="6">
      <w:start w:val="1"/>
      <w:numFmt w:val="bullet"/>
      <w:lvlText w:val="●"/>
      <w:lvlJc w:val="left"/>
      <w:pPr>
        <w:ind w:left="5767" w:hanging="360"/>
      </w:pPr>
      <w:rPr>
        <w:rFonts w:ascii="Noto Sans Symbols" w:eastAsia="Noto Sans Symbols" w:hAnsi="Noto Sans Symbols" w:cs="Noto Sans Symbols"/>
        <w:vertAlign w:val="baseline"/>
      </w:rPr>
    </w:lvl>
    <w:lvl w:ilvl="7">
      <w:start w:val="1"/>
      <w:numFmt w:val="bullet"/>
      <w:lvlText w:val="o"/>
      <w:lvlJc w:val="left"/>
      <w:pPr>
        <w:ind w:left="6487" w:hanging="360"/>
      </w:pPr>
      <w:rPr>
        <w:rFonts w:ascii="Courier New" w:eastAsia="Courier New" w:hAnsi="Courier New" w:cs="Courier New"/>
        <w:vertAlign w:val="baseline"/>
      </w:rPr>
    </w:lvl>
    <w:lvl w:ilvl="8">
      <w:start w:val="1"/>
      <w:numFmt w:val="bullet"/>
      <w:lvlText w:val="▪"/>
      <w:lvlJc w:val="left"/>
      <w:pPr>
        <w:ind w:left="7207" w:hanging="360"/>
      </w:pPr>
      <w:rPr>
        <w:rFonts w:ascii="Noto Sans Symbols" w:eastAsia="Noto Sans Symbols" w:hAnsi="Noto Sans Symbols" w:cs="Noto Sans Symbols"/>
        <w:vertAlign w:val="baseline"/>
      </w:rPr>
    </w:lvl>
  </w:abstractNum>
  <w:abstractNum w:abstractNumId="9" w15:restartNumberingAfterBreak="0">
    <w:nsid w:val="57180E62"/>
    <w:multiLevelType w:val="multilevel"/>
    <w:tmpl w:val="09DC9B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9B8352D"/>
    <w:multiLevelType w:val="hybridMultilevel"/>
    <w:tmpl w:val="DCFEB8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2D6F58"/>
    <w:multiLevelType w:val="hybridMultilevel"/>
    <w:tmpl w:val="BA388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D439EE"/>
    <w:multiLevelType w:val="hybridMultilevel"/>
    <w:tmpl w:val="300EEEC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660F22B3"/>
    <w:multiLevelType w:val="hybridMultilevel"/>
    <w:tmpl w:val="5D76E01E"/>
    <w:lvl w:ilvl="0" w:tplc="11FEB9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191F"/>
    <w:multiLevelType w:val="hybridMultilevel"/>
    <w:tmpl w:val="C868E452"/>
    <w:lvl w:ilvl="0" w:tplc="AC887C62">
      <w:start w:val="1"/>
      <w:numFmt w:val="lowerLetter"/>
      <w:lvlText w:val="%1."/>
      <w:lvlJc w:val="left"/>
      <w:pPr>
        <w:ind w:left="936" w:hanging="360"/>
      </w:pPr>
      <w:rPr>
        <w:sz w:val="20"/>
        <w:szCs w:val="20"/>
      </w:rPr>
    </w:lvl>
    <w:lvl w:ilvl="1" w:tplc="0409001B">
      <w:start w:val="1"/>
      <w:numFmt w:val="lowerRoman"/>
      <w:lvlText w:val="%2."/>
      <w:lvlJc w:val="righ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5" w15:restartNumberingAfterBreak="0">
    <w:nsid w:val="7BC75EC0"/>
    <w:multiLevelType w:val="hybridMultilevel"/>
    <w:tmpl w:val="FCCE38D4"/>
    <w:lvl w:ilvl="0" w:tplc="0FA0C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FC31D7"/>
    <w:multiLevelType w:val="multilevel"/>
    <w:tmpl w:val="A03A7A76"/>
    <w:lvl w:ilvl="0">
      <w:start w:val="1"/>
      <w:numFmt w:val="lowerRoman"/>
      <w:lvlText w:val="%1."/>
      <w:lvlJc w:val="right"/>
      <w:pPr>
        <w:ind w:left="1440" w:hanging="360"/>
      </w:pPr>
      <w:rPr>
        <w:vertAlign w:val="baseline"/>
      </w:rPr>
    </w:lvl>
    <w:lvl w:ilvl="1">
      <w:start w:val="1"/>
      <w:numFmt w:val="lowerRoman"/>
      <w:lvlText w:val="%2."/>
      <w:lvlJc w:val="right"/>
      <w:pPr>
        <w:ind w:left="2160" w:hanging="360"/>
      </w:pPr>
      <w:rPr>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7" w15:restartNumberingAfterBreak="0">
    <w:nsid w:val="7D3E142B"/>
    <w:multiLevelType w:val="hybridMultilevel"/>
    <w:tmpl w:val="DA6851A4"/>
    <w:lvl w:ilvl="0" w:tplc="2A64C3F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0774531">
    <w:abstractNumId w:val="6"/>
  </w:num>
  <w:num w:numId="2" w16cid:durableId="19865932">
    <w:abstractNumId w:val="9"/>
  </w:num>
  <w:num w:numId="3" w16cid:durableId="1376200182">
    <w:abstractNumId w:val="4"/>
  </w:num>
  <w:num w:numId="4" w16cid:durableId="1544780982">
    <w:abstractNumId w:val="8"/>
  </w:num>
  <w:num w:numId="5" w16cid:durableId="1287932843">
    <w:abstractNumId w:val="7"/>
  </w:num>
  <w:num w:numId="6" w16cid:durableId="394863600">
    <w:abstractNumId w:val="16"/>
  </w:num>
  <w:num w:numId="7" w16cid:durableId="1611425174">
    <w:abstractNumId w:val="14"/>
  </w:num>
  <w:num w:numId="8" w16cid:durableId="1694071741">
    <w:abstractNumId w:val="11"/>
  </w:num>
  <w:num w:numId="9" w16cid:durableId="1322470047">
    <w:abstractNumId w:val="10"/>
  </w:num>
  <w:num w:numId="10" w16cid:durableId="499394206">
    <w:abstractNumId w:val="15"/>
  </w:num>
  <w:num w:numId="11" w16cid:durableId="523518985">
    <w:abstractNumId w:val="0"/>
  </w:num>
  <w:num w:numId="12" w16cid:durableId="32272014">
    <w:abstractNumId w:val="3"/>
  </w:num>
  <w:num w:numId="13" w16cid:durableId="113714553">
    <w:abstractNumId w:val="1"/>
  </w:num>
  <w:num w:numId="14" w16cid:durableId="232083205">
    <w:abstractNumId w:val="13"/>
  </w:num>
  <w:num w:numId="15" w16cid:durableId="1258825049">
    <w:abstractNumId w:val="17"/>
  </w:num>
  <w:num w:numId="16" w16cid:durableId="721176915">
    <w:abstractNumId w:val="2"/>
  </w:num>
  <w:num w:numId="17" w16cid:durableId="2012368986">
    <w:abstractNumId w:val="12"/>
  </w:num>
  <w:num w:numId="18" w16cid:durableId="855272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50"/>
    <w:rsid w:val="00011C0E"/>
    <w:rsid w:val="000237BE"/>
    <w:rsid w:val="00024D37"/>
    <w:rsid w:val="00026A71"/>
    <w:rsid w:val="000308BD"/>
    <w:rsid w:val="00030A02"/>
    <w:rsid w:val="00031E79"/>
    <w:rsid w:val="00033F99"/>
    <w:rsid w:val="00042879"/>
    <w:rsid w:val="000447D8"/>
    <w:rsid w:val="00050CC2"/>
    <w:rsid w:val="00055FF8"/>
    <w:rsid w:val="000572A1"/>
    <w:rsid w:val="00060328"/>
    <w:rsid w:val="00066703"/>
    <w:rsid w:val="00071665"/>
    <w:rsid w:val="000804BD"/>
    <w:rsid w:val="00083E4B"/>
    <w:rsid w:val="0008427E"/>
    <w:rsid w:val="00085E3E"/>
    <w:rsid w:val="00096FDA"/>
    <w:rsid w:val="000A48BE"/>
    <w:rsid w:val="000A4C9F"/>
    <w:rsid w:val="000A55DB"/>
    <w:rsid w:val="000B57A6"/>
    <w:rsid w:val="000B758A"/>
    <w:rsid w:val="000C6119"/>
    <w:rsid w:val="000C7392"/>
    <w:rsid w:val="000D2E2D"/>
    <w:rsid w:val="000D2EFD"/>
    <w:rsid w:val="000E1C15"/>
    <w:rsid w:val="000E4058"/>
    <w:rsid w:val="000E5CCB"/>
    <w:rsid w:val="000E7221"/>
    <w:rsid w:val="000F09CA"/>
    <w:rsid w:val="000F2D8E"/>
    <w:rsid w:val="000F4139"/>
    <w:rsid w:val="000F4701"/>
    <w:rsid w:val="000F5659"/>
    <w:rsid w:val="000F78B8"/>
    <w:rsid w:val="00100C73"/>
    <w:rsid w:val="00123635"/>
    <w:rsid w:val="00126FC6"/>
    <w:rsid w:val="00132431"/>
    <w:rsid w:val="00136CC0"/>
    <w:rsid w:val="00146E42"/>
    <w:rsid w:val="001572BD"/>
    <w:rsid w:val="00160689"/>
    <w:rsid w:val="00165429"/>
    <w:rsid w:val="00166FD9"/>
    <w:rsid w:val="00170DC5"/>
    <w:rsid w:val="00183838"/>
    <w:rsid w:val="00187991"/>
    <w:rsid w:val="00187C34"/>
    <w:rsid w:val="00187E6A"/>
    <w:rsid w:val="001914F2"/>
    <w:rsid w:val="00192709"/>
    <w:rsid w:val="00192901"/>
    <w:rsid w:val="00193C50"/>
    <w:rsid w:val="00196CD1"/>
    <w:rsid w:val="00197BEC"/>
    <w:rsid w:val="001C237E"/>
    <w:rsid w:val="001C3ED9"/>
    <w:rsid w:val="001D6022"/>
    <w:rsid w:val="001E1B8C"/>
    <w:rsid w:val="001E1DBB"/>
    <w:rsid w:val="001E26E2"/>
    <w:rsid w:val="001E36BC"/>
    <w:rsid w:val="001E45D3"/>
    <w:rsid w:val="001E7323"/>
    <w:rsid w:val="001F1C09"/>
    <w:rsid w:val="001F1C0E"/>
    <w:rsid w:val="001F2044"/>
    <w:rsid w:val="001F2B7F"/>
    <w:rsid w:val="001F32DC"/>
    <w:rsid w:val="001F386A"/>
    <w:rsid w:val="001F578A"/>
    <w:rsid w:val="001F5FD8"/>
    <w:rsid w:val="001F6D7B"/>
    <w:rsid w:val="00200C30"/>
    <w:rsid w:val="002026D4"/>
    <w:rsid w:val="002055AA"/>
    <w:rsid w:val="0021400F"/>
    <w:rsid w:val="00216053"/>
    <w:rsid w:val="00217A2F"/>
    <w:rsid w:val="00222285"/>
    <w:rsid w:val="002277DC"/>
    <w:rsid w:val="00235D18"/>
    <w:rsid w:val="00251C01"/>
    <w:rsid w:val="002608FF"/>
    <w:rsid w:val="00261F45"/>
    <w:rsid w:val="002757ED"/>
    <w:rsid w:val="00276F99"/>
    <w:rsid w:val="0028067E"/>
    <w:rsid w:val="00280AA7"/>
    <w:rsid w:val="002849FF"/>
    <w:rsid w:val="00285D7C"/>
    <w:rsid w:val="00291F40"/>
    <w:rsid w:val="002A08BD"/>
    <w:rsid w:val="002A1175"/>
    <w:rsid w:val="002A5B2A"/>
    <w:rsid w:val="002B0685"/>
    <w:rsid w:val="002B3E2C"/>
    <w:rsid w:val="002B6225"/>
    <w:rsid w:val="002C2374"/>
    <w:rsid w:val="002E5586"/>
    <w:rsid w:val="002F7A3D"/>
    <w:rsid w:val="00300CA9"/>
    <w:rsid w:val="00311586"/>
    <w:rsid w:val="00312535"/>
    <w:rsid w:val="003136C6"/>
    <w:rsid w:val="00327B33"/>
    <w:rsid w:val="003345FE"/>
    <w:rsid w:val="003352A6"/>
    <w:rsid w:val="00336A52"/>
    <w:rsid w:val="003409F0"/>
    <w:rsid w:val="00346770"/>
    <w:rsid w:val="00346CB4"/>
    <w:rsid w:val="0034706D"/>
    <w:rsid w:val="00347EB9"/>
    <w:rsid w:val="003526F5"/>
    <w:rsid w:val="0035584E"/>
    <w:rsid w:val="00355B63"/>
    <w:rsid w:val="00357DEA"/>
    <w:rsid w:val="00372B18"/>
    <w:rsid w:val="00373B15"/>
    <w:rsid w:val="003763FC"/>
    <w:rsid w:val="00383607"/>
    <w:rsid w:val="00384923"/>
    <w:rsid w:val="00387097"/>
    <w:rsid w:val="003901B5"/>
    <w:rsid w:val="00392773"/>
    <w:rsid w:val="00394341"/>
    <w:rsid w:val="00397AAB"/>
    <w:rsid w:val="003A4C25"/>
    <w:rsid w:val="003A506E"/>
    <w:rsid w:val="003A65C0"/>
    <w:rsid w:val="003A692C"/>
    <w:rsid w:val="003B2792"/>
    <w:rsid w:val="003C02D8"/>
    <w:rsid w:val="003C1435"/>
    <w:rsid w:val="003D07E5"/>
    <w:rsid w:val="003D2A12"/>
    <w:rsid w:val="003E5A1B"/>
    <w:rsid w:val="003F45F6"/>
    <w:rsid w:val="003F5E0A"/>
    <w:rsid w:val="003F734D"/>
    <w:rsid w:val="00400924"/>
    <w:rsid w:val="00407764"/>
    <w:rsid w:val="0042327B"/>
    <w:rsid w:val="004246FA"/>
    <w:rsid w:val="0042612E"/>
    <w:rsid w:val="00427E31"/>
    <w:rsid w:val="0043009F"/>
    <w:rsid w:val="00431AF9"/>
    <w:rsid w:val="00431DBF"/>
    <w:rsid w:val="004321F9"/>
    <w:rsid w:val="00433E93"/>
    <w:rsid w:val="00434612"/>
    <w:rsid w:val="004444BD"/>
    <w:rsid w:val="004445CA"/>
    <w:rsid w:val="004448A0"/>
    <w:rsid w:val="00451A63"/>
    <w:rsid w:val="00451E88"/>
    <w:rsid w:val="00464812"/>
    <w:rsid w:val="00467A34"/>
    <w:rsid w:val="004723A0"/>
    <w:rsid w:val="00473249"/>
    <w:rsid w:val="0047567B"/>
    <w:rsid w:val="00481AB4"/>
    <w:rsid w:val="004861A4"/>
    <w:rsid w:val="0049165A"/>
    <w:rsid w:val="00491B28"/>
    <w:rsid w:val="0049473E"/>
    <w:rsid w:val="0049694C"/>
    <w:rsid w:val="004A1172"/>
    <w:rsid w:val="004A4B1C"/>
    <w:rsid w:val="004B2E33"/>
    <w:rsid w:val="004B5325"/>
    <w:rsid w:val="004B7B8A"/>
    <w:rsid w:val="004B7E23"/>
    <w:rsid w:val="004B7FDB"/>
    <w:rsid w:val="004D6B59"/>
    <w:rsid w:val="004F1F08"/>
    <w:rsid w:val="004F79D4"/>
    <w:rsid w:val="00500A3C"/>
    <w:rsid w:val="00500E77"/>
    <w:rsid w:val="005036A7"/>
    <w:rsid w:val="00507F88"/>
    <w:rsid w:val="00510D0B"/>
    <w:rsid w:val="00514030"/>
    <w:rsid w:val="005140D9"/>
    <w:rsid w:val="00515800"/>
    <w:rsid w:val="00517870"/>
    <w:rsid w:val="00520FC2"/>
    <w:rsid w:val="00523C0C"/>
    <w:rsid w:val="00532640"/>
    <w:rsid w:val="005339B6"/>
    <w:rsid w:val="005353D0"/>
    <w:rsid w:val="00536087"/>
    <w:rsid w:val="00553621"/>
    <w:rsid w:val="00556F30"/>
    <w:rsid w:val="00567D0B"/>
    <w:rsid w:val="00571ADD"/>
    <w:rsid w:val="00585216"/>
    <w:rsid w:val="00587D13"/>
    <w:rsid w:val="00594146"/>
    <w:rsid w:val="005963D3"/>
    <w:rsid w:val="00597B87"/>
    <w:rsid w:val="005A068B"/>
    <w:rsid w:val="005A14F3"/>
    <w:rsid w:val="005A2DCF"/>
    <w:rsid w:val="005A442D"/>
    <w:rsid w:val="005A44F7"/>
    <w:rsid w:val="005B65B0"/>
    <w:rsid w:val="005D14D6"/>
    <w:rsid w:val="005D3155"/>
    <w:rsid w:val="005D35A7"/>
    <w:rsid w:val="005D45F0"/>
    <w:rsid w:val="005D4957"/>
    <w:rsid w:val="005D7D12"/>
    <w:rsid w:val="005E006D"/>
    <w:rsid w:val="005E18B2"/>
    <w:rsid w:val="005E3B4A"/>
    <w:rsid w:val="005F0008"/>
    <w:rsid w:val="005F32CA"/>
    <w:rsid w:val="0060054A"/>
    <w:rsid w:val="00600A58"/>
    <w:rsid w:val="00601D7A"/>
    <w:rsid w:val="0060342F"/>
    <w:rsid w:val="006037E8"/>
    <w:rsid w:val="00606432"/>
    <w:rsid w:val="00611989"/>
    <w:rsid w:val="00611C37"/>
    <w:rsid w:val="00613739"/>
    <w:rsid w:val="0061730E"/>
    <w:rsid w:val="00622AB9"/>
    <w:rsid w:val="00624CAC"/>
    <w:rsid w:val="00627F3B"/>
    <w:rsid w:val="0063062D"/>
    <w:rsid w:val="006308C4"/>
    <w:rsid w:val="00630C11"/>
    <w:rsid w:val="00631D71"/>
    <w:rsid w:val="006443F7"/>
    <w:rsid w:val="00644777"/>
    <w:rsid w:val="00646F33"/>
    <w:rsid w:val="00651D52"/>
    <w:rsid w:val="00662753"/>
    <w:rsid w:val="00671C87"/>
    <w:rsid w:val="0067203B"/>
    <w:rsid w:val="0067316E"/>
    <w:rsid w:val="00680695"/>
    <w:rsid w:val="00684A33"/>
    <w:rsid w:val="00686653"/>
    <w:rsid w:val="0068699D"/>
    <w:rsid w:val="00691CEB"/>
    <w:rsid w:val="006920A5"/>
    <w:rsid w:val="006932A1"/>
    <w:rsid w:val="00693AFE"/>
    <w:rsid w:val="006940A6"/>
    <w:rsid w:val="0069495B"/>
    <w:rsid w:val="006A0BA6"/>
    <w:rsid w:val="006A10BA"/>
    <w:rsid w:val="006A3D0D"/>
    <w:rsid w:val="006A706B"/>
    <w:rsid w:val="006B0318"/>
    <w:rsid w:val="006B573C"/>
    <w:rsid w:val="006C7D96"/>
    <w:rsid w:val="006D3CE1"/>
    <w:rsid w:val="006D4CC0"/>
    <w:rsid w:val="006D6804"/>
    <w:rsid w:val="006E20F0"/>
    <w:rsid w:val="006E2F24"/>
    <w:rsid w:val="006F13DB"/>
    <w:rsid w:val="006F20CE"/>
    <w:rsid w:val="006F66B3"/>
    <w:rsid w:val="00700286"/>
    <w:rsid w:val="007004A9"/>
    <w:rsid w:val="007020BA"/>
    <w:rsid w:val="00713071"/>
    <w:rsid w:val="00713DD8"/>
    <w:rsid w:val="007207A4"/>
    <w:rsid w:val="00721DE4"/>
    <w:rsid w:val="007230ED"/>
    <w:rsid w:val="0072334D"/>
    <w:rsid w:val="00730E67"/>
    <w:rsid w:val="007437BD"/>
    <w:rsid w:val="007452E6"/>
    <w:rsid w:val="00745768"/>
    <w:rsid w:val="0075569D"/>
    <w:rsid w:val="007556A0"/>
    <w:rsid w:val="00761E7E"/>
    <w:rsid w:val="00763617"/>
    <w:rsid w:val="007700C5"/>
    <w:rsid w:val="007748D6"/>
    <w:rsid w:val="00774C01"/>
    <w:rsid w:val="007766D6"/>
    <w:rsid w:val="007767FD"/>
    <w:rsid w:val="00777350"/>
    <w:rsid w:val="00781E66"/>
    <w:rsid w:val="00782D1A"/>
    <w:rsid w:val="0079232E"/>
    <w:rsid w:val="0079545C"/>
    <w:rsid w:val="007A1982"/>
    <w:rsid w:val="007A29C2"/>
    <w:rsid w:val="007A7472"/>
    <w:rsid w:val="007B1E13"/>
    <w:rsid w:val="007B3394"/>
    <w:rsid w:val="007D20A4"/>
    <w:rsid w:val="007D6F26"/>
    <w:rsid w:val="007E223A"/>
    <w:rsid w:val="007E6011"/>
    <w:rsid w:val="007F087A"/>
    <w:rsid w:val="007F5B70"/>
    <w:rsid w:val="007F6CD0"/>
    <w:rsid w:val="007F72E6"/>
    <w:rsid w:val="008063FE"/>
    <w:rsid w:val="00811A34"/>
    <w:rsid w:val="0081454B"/>
    <w:rsid w:val="00821C42"/>
    <w:rsid w:val="00822732"/>
    <w:rsid w:val="00823D4A"/>
    <w:rsid w:val="00827141"/>
    <w:rsid w:val="0082750C"/>
    <w:rsid w:val="0082758C"/>
    <w:rsid w:val="008304C7"/>
    <w:rsid w:val="00834C2B"/>
    <w:rsid w:val="008352A7"/>
    <w:rsid w:val="00835725"/>
    <w:rsid w:val="00835E65"/>
    <w:rsid w:val="00840945"/>
    <w:rsid w:val="008458EA"/>
    <w:rsid w:val="008523F0"/>
    <w:rsid w:val="008539E6"/>
    <w:rsid w:val="00853BC1"/>
    <w:rsid w:val="00855BB5"/>
    <w:rsid w:val="0085776C"/>
    <w:rsid w:val="008643AA"/>
    <w:rsid w:val="00871A1B"/>
    <w:rsid w:val="00872FEB"/>
    <w:rsid w:val="00877329"/>
    <w:rsid w:val="008854AD"/>
    <w:rsid w:val="00887380"/>
    <w:rsid w:val="008A560B"/>
    <w:rsid w:val="008E2752"/>
    <w:rsid w:val="008E5383"/>
    <w:rsid w:val="008F12F0"/>
    <w:rsid w:val="008F278F"/>
    <w:rsid w:val="008F6597"/>
    <w:rsid w:val="008F712A"/>
    <w:rsid w:val="00900787"/>
    <w:rsid w:val="0090433B"/>
    <w:rsid w:val="00904997"/>
    <w:rsid w:val="00907599"/>
    <w:rsid w:val="009125E2"/>
    <w:rsid w:val="0091479D"/>
    <w:rsid w:val="00923704"/>
    <w:rsid w:val="00925DC0"/>
    <w:rsid w:val="009346B2"/>
    <w:rsid w:val="009357B7"/>
    <w:rsid w:val="00936B32"/>
    <w:rsid w:val="00947453"/>
    <w:rsid w:val="00961B55"/>
    <w:rsid w:val="00964188"/>
    <w:rsid w:val="009724AE"/>
    <w:rsid w:val="00975EAF"/>
    <w:rsid w:val="00977811"/>
    <w:rsid w:val="009821E5"/>
    <w:rsid w:val="009912B7"/>
    <w:rsid w:val="009913DF"/>
    <w:rsid w:val="00991808"/>
    <w:rsid w:val="0099678C"/>
    <w:rsid w:val="009A0DEE"/>
    <w:rsid w:val="009A6956"/>
    <w:rsid w:val="009B0064"/>
    <w:rsid w:val="009B57C0"/>
    <w:rsid w:val="009B58EE"/>
    <w:rsid w:val="009C22E4"/>
    <w:rsid w:val="009D02BC"/>
    <w:rsid w:val="009D482C"/>
    <w:rsid w:val="009D760B"/>
    <w:rsid w:val="009E235B"/>
    <w:rsid w:val="009E4874"/>
    <w:rsid w:val="009E5818"/>
    <w:rsid w:val="009F0EEB"/>
    <w:rsid w:val="009F389E"/>
    <w:rsid w:val="00A0027B"/>
    <w:rsid w:val="00A05D1B"/>
    <w:rsid w:val="00A05DCC"/>
    <w:rsid w:val="00A10B87"/>
    <w:rsid w:val="00A15A08"/>
    <w:rsid w:val="00A260F7"/>
    <w:rsid w:val="00A35A56"/>
    <w:rsid w:val="00A47FFB"/>
    <w:rsid w:val="00A54A59"/>
    <w:rsid w:val="00A57F5E"/>
    <w:rsid w:val="00A62C36"/>
    <w:rsid w:val="00A63AD4"/>
    <w:rsid w:val="00A65D2B"/>
    <w:rsid w:val="00A809CE"/>
    <w:rsid w:val="00A853B9"/>
    <w:rsid w:val="00A86622"/>
    <w:rsid w:val="00A92A3A"/>
    <w:rsid w:val="00A94093"/>
    <w:rsid w:val="00A977E6"/>
    <w:rsid w:val="00AA0707"/>
    <w:rsid w:val="00AA260D"/>
    <w:rsid w:val="00AA53FD"/>
    <w:rsid w:val="00AA76EC"/>
    <w:rsid w:val="00AB1485"/>
    <w:rsid w:val="00AC28E8"/>
    <w:rsid w:val="00AC2D2B"/>
    <w:rsid w:val="00AC48FD"/>
    <w:rsid w:val="00AC6A7E"/>
    <w:rsid w:val="00AC6DF0"/>
    <w:rsid w:val="00AD77DA"/>
    <w:rsid w:val="00AE104F"/>
    <w:rsid w:val="00AF0186"/>
    <w:rsid w:val="00AF1195"/>
    <w:rsid w:val="00AF3D38"/>
    <w:rsid w:val="00B02DF0"/>
    <w:rsid w:val="00B10772"/>
    <w:rsid w:val="00B10A6E"/>
    <w:rsid w:val="00B129C0"/>
    <w:rsid w:val="00B1596F"/>
    <w:rsid w:val="00B249EB"/>
    <w:rsid w:val="00B261B9"/>
    <w:rsid w:val="00B26214"/>
    <w:rsid w:val="00B27C47"/>
    <w:rsid w:val="00B30027"/>
    <w:rsid w:val="00B32742"/>
    <w:rsid w:val="00B35BF0"/>
    <w:rsid w:val="00B3721D"/>
    <w:rsid w:val="00B37A91"/>
    <w:rsid w:val="00B435E4"/>
    <w:rsid w:val="00B46C33"/>
    <w:rsid w:val="00B50E20"/>
    <w:rsid w:val="00B5540C"/>
    <w:rsid w:val="00B61335"/>
    <w:rsid w:val="00B65253"/>
    <w:rsid w:val="00B6689D"/>
    <w:rsid w:val="00B70646"/>
    <w:rsid w:val="00B71662"/>
    <w:rsid w:val="00B73223"/>
    <w:rsid w:val="00B74D9F"/>
    <w:rsid w:val="00B7644E"/>
    <w:rsid w:val="00B82E41"/>
    <w:rsid w:val="00B92A11"/>
    <w:rsid w:val="00B93864"/>
    <w:rsid w:val="00B9707A"/>
    <w:rsid w:val="00BA10FC"/>
    <w:rsid w:val="00BA1588"/>
    <w:rsid w:val="00BB24B9"/>
    <w:rsid w:val="00BB6C39"/>
    <w:rsid w:val="00BC3FB0"/>
    <w:rsid w:val="00BD0842"/>
    <w:rsid w:val="00BD1CDD"/>
    <w:rsid w:val="00BE18EC"/>
    <w:rsid w:val="00BE6B31"/>
    <w:rsid w:val="00BF0583"/>
    <w:rsid w:val="00BF7045"/>
    <w:rsid w:val="00C00297"/>
    <w:rsid w:val="00C0376D"/>
    <w:rsid w:val="00C06C46"/>
    <w:rsid w:val="00C06CDE"/>
    <w:rsid w:val="00C1268D"/>
    <w:rsid w:val="00C1350F"/>
    <w:rsid w:val="00C13E3C"/>
    <w:rsid w:val="00C14955"/>
    <w:rsid w:val="00C15EB9"/>
    <w:rsid w:val="00C16291"/>
    <w:rsid w:val="00C17A69"/>
    <w:rsid w:val="00C17DED"/>
    <w:rsid w:val="00C20A98"/>
    <w:rsid w:val="00C20F70"/>
    <w:rsid w:val="00C22AD0"/>
    <w:rsid w:val="00C24096"/>
    <w:rsid w:val="00C35403"/>
    <w:rsid w:val="00C35774"/>
    <w:rsid w:val="00C360C1"/>
    <w:rsid w:val="00C42C02"/>
    <w:rsid w:val="00C42CC8"/>
    <w:rsid w:val="00C4332A"/>
    <w:rsid w:val="00C43A70"/>
    <w:rsid w:val="00C5433D"/>
    <w:rsid w:val="00C631B2"/>
    <w:rsid w:val="00C87ECC"/>
    <w:rsid w:val="00C90618"/>
    <w:rsid w:val="00C90EB2"/>
    <w:rsid w:val="00C91851"/>
    <w:rsid w:val="00C946D0"/>
    <w:rsid w:val="00C97B82"/>
    <w:rsid w:val="00CA6A14"/>
    <w:rsid w:val="00CA7891"/>
    <w:rsid w:val="00CC12F0"/>
    <w:rsid w:val="00CC5B2F"/>
    <w:rsid w:val="00CC5D6C"/>
    <w:rsid w:val="00CD01E0"/>
    <w:rsid w:val="00CD77EA"/>
    <w:rsid w:val="00CE226D"/>
    <w:rsid w:val="00CE4A9F"/>
    <w:rsid w:val="00CE55DC"/>
    <w:rsid w:val="00CE6956"/>
    <w:rsid w:val="00CE7C02"/>
    <w:rsid w:val="00CF4BA5"/>
    <w:rsid w:val="00CF4C79"/>
    <w:rsid w:val="00CF6914"/>
    <w:rsid w:val="00CF6DCA"/>
    <w:rsid w:val="00D00BE4"/>
    <w:rsid w:val="00D01851"/>
    <w:rsid w:val="00D03F53"/>
    <w:rsid w:val="00D07A62"/>
    <w:rsid w:val="00D153E9"/>
    <w:rsid w:val="00D20A47"/>
    <w:rsid w:val="00D23C63"/>
    <w:rsid w:val="00D24720"/>
    <w:rsid w:val="00D320C7"/>
    <w:rsid w:val="00D325B6"/>
    <w:rsid w:val="00D37144"/>
    <w:rsid w:val="00D431FA"/>
    <w:rsid w:val="00D46498"/>
    <w:rsid w:val="00D47A3E"/>
    <w:rsid w:val="00D525DB"/>
    <w:rsid w:val="00D53901"/>
    <w:rsid w:val="00D565BA"/>
    <w:rsid w:val="00D61D7D"/>
    <w:rsid w:val="00D62A65"/>
    <w:rsid w:val="00D66BA7"/>
    <w:rsid w:val="00D70738"/>
    <w:rsid w:val="00D84298"/>
    <w:rsid w:val="00D84347"/>
    <w:rsid w:val="00D844A6"/>
    <w:rsid w:val="00D84616"/>
    <w:rsid w:val="00D87BFC"/>
    <w:rsid w:val="00D87F86"/>
    <w:rsid w:val="00D954F7"/>
    <w:rsid w:val="00DA03D8"/>
    <w:rsid w:val="00DA0661"/>
    <w:rsid w:val="00DA207A"/>
    <w:rsid w:val="00DA273C"/>
    <w:rsid w:val="00DB2169"/>
    <w:rsid w:val="00DB3610"/>
    <w:rsid w:val="00DB5E6E"/>
    <w:rsid w:val="00DC730C"/>
    <w:rsid w:val="00DE0ABB"/>
    <w:rsid w:val="00DE4091"/>
    <w:rsid w:val="00DF241D"/>
    <w:rsid w:val="00DF5370"/>
    <w:rsid w:val="00E012D5"/>
    <w:rsid w:val="00E01912"/>
    <w:rsid w:val="00E01EDC"/>
    <w:rsid w:val="00E0402F"/>
    <w:rsid w:val="00E04ACB"/>
    <w:rsid w:val="00E10711"/>
    <w:rsid w:val="00E2201E"/>
    <w:rsid w:val="00E26E07"/>
    <w:rsid w:val="00E27361"/>
    <w:rsid w:val="00E34AF7"/>
    <w:rsid w:val="00E36DD7"/>
    <w:rsid w:val="00E44276"/>
    <w:rsid w:val="00E47AE3"/>
    <w:rsid w:val="00E50EDD"/>
    <w:rsid w:val="00E50F71"/>
    <w:rsid w:val="00E512C0"/>
    <w:rsid w:val="00E52350"/>
    <w:rsid w:val="00E52675"/>
    <w:rsid w:val="00E56D41"/>
    <w:rsid w:val="00E57E5E"/>
    <w:rsid w:val="00E60F5E"/>
    <w:rsid w:val="00E6764B"/>
    <w:rsid w:val="00E67DE8"/>
    <w:rsid w:val="00E67E14"/>
    <w:rsid w:val="00E71064"/>
    <w:rsid w:val="00E7305A"/>
    <w:rsid w:val="00E761BF"/>
    <w:rsid w:val="00EA04E7"/>
    <w:rsid w:val="00EA310F"/>
    <w:rsid w:val="00EA38B3"/>
    <w:rsid w:val="00EA6EE1"/>
    <w:rsid w:val="00EA7579"/>
    <w:rsid w:val="00EA7821"/>
    <w:rsid w:val="00EB6B81"/>
    <w:rsid w:val="00EB767E"/>
    <w:rsid w:val="00EC0889"/>
    <w:rsid w:val="00EC2DB5"/>
    <w:rsid w:val="00EC53E7"/>
    <w:rsid w:val="00ED41F6"/>
    <w:rsid w:val="00EE0D8D"/>
    <w:rsid w:val="00EE1CA7"/>
    <w:rsid w:val="00EE1FAD"/>
    <w:rsid w:val="00EE4DF4"/>
    <w:rsid w:val="00EF4E26"/>
    <w:rsid w:val="00EF7AD1"/>
    <w:rsid w:val="00F053B6"/>
    <w:rsid w:val="00F17929"/>
    <w:rsid w:val="00F2221A"/>
    <w:rsid w:val="00F22979"/>
    <w:rsid w:val="00F273D2"/>
    <w:rsid w:val="00F36600"/>
    <w:rsid w:val="00F37F93"/>
    <w:rsid w:val="00F414C8"/>
    <w:rsid w:val="00F438D2"/>
    <w:rsid w:val="00F43A16"/>
    <w:rsid w:val="00F52853"/>
    <w:rsid w:val="00F5475C"/>
    <w:rsid w:val="00F65A1F"/>
    <w:rsid w:val="00F67E48"/>
    <w:rsid w:val="00F744F8"/>
    <w:rsid w:val="00F75573"/>
    <w:rsid w:val="00F80FE8"/>
    <w:rsid w:val="00F81037"/>
    <w:rsid w:val="00F83AB2"/>
    <w:rsid w:val="00F8668C"/>
    <w:rsid w:val="00F92B56"/>
    <w:rsid w:val="00F93918"/>
    <w:rsid w:val="00F97A0D"/>
    <w:rsid w:val="00FA0920"/>
    <w:rsid w:val="00FA17D4"/>
    <w:rsid w:val="00FA4407"/>
    <w:rsid w:val="00FA659E"/>
    <w:rsid w:val="00FA6DF0"/>
    <w:rsid w:val="00FC1480"/>
    <w:rsid w:val="00FC4CCE"/>
    <w:rsid w:val="00FC7777"/>
    <w:rsid w:val="00FD40DD"/>
    <w:rsid w:val="00FE3B2D"/>
    <w:rsid w:val="00FE690F"/>
    <w:rsid w:val="00FF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1EA"/>
  <w15:docId w15:val="{01E5FB47-0914-4440-8FE4-3FB34145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EE1"/>
  </w:style>
  <w:style w:type="paragraph" w:styleId="Heading1">
    <w:name w:val="heading 1"/>
    <w:basedOn w:val="Title"/>
    <w:next w:val="Normal1"/>
    <w:rsid w:val="00187C34"/>
    <w:pPr>
      <w:outlineLvl w:val="0"/>
    </w:pPr>
  </w:style>
  <w:style w:type="paragraph" w:styleId="Heading2">
    <w:name w:val="heading 2"/>
    <w:basedOn w:val="Normal1"/>
    <w:next w:val="Normal1"/>
    <w:rsid w:val="00F43A16"/>
    <w:pPr>
      <w:keepNext/>
      <w:spacing w:before="240" w:after="60"/>
      <w:outlineLvl w:val="1"/>
    </w:pPr>
    <w:rPr>
      <w:rFonts w:ascii="Cambria" w:eastAsia="Cambria" w:hAnsi="Cambria" w:cs="Cambria"/>
      <w:b/>
      <w:iCs/>
      <w:sz w:val="28"/>
      <w:szCs w:val="28"/>
    </w:rPr>
  </w:style>
  <w:style w:type="paragraph" w:styleId="Heading3">
    <w:name w:val="heading 3"/>
    <w:basedOn w:val="Normal1"/>
    <w:next w:val="Normal1"/>
    <w:rsid w:val="00397AAB"/>
    <w:pPr>
      <w:outlineLvl w:val="2"/>
    </w:pPr>
    <w:rPr>
      <w:b/>
    </w:rPr>
  </w:style>
  <w:style w:type="paragraph" w:styleId="Heading4">
    <w:name w:val="heading 4"/>
    <w:basedOn w:val="Normal1"/>
    <w:next w:val="Normal1"/>
    <w:rsid w:val="00777350"/>
    <w:pPr>
      <w:keepNext/>
      <w:keepLines/>
      <w:spacing w:before="240" w:after="40"/>
      <w:outlineLvl w:val="3"/>
    </w:pPr>
    <w:rPr>
      <w:b/>
      <w:sz w:val="24"/>
      <w:szCs w:val="24"/>
    </w:rPr>
  </w:style>
  <w:style w:type="paragraph" w:styleId="Heading5">
    <w:name w:val="heading 5"/>
    <w:basedOn w:val="Normal1"/>
    <w:next w:val="Normal1"/>
    <w:rsid w:val="00777350"/>
    <w:pPr>
      <w:keepNext/>
      <w:keepLines/>
      <w:spacing w:before="220" w:after="40"/>
      <w:outlineLvl w:val="4"/>
    </w:pPr>
    <w:rPr>
      <w:b/>
    </w:rPr>
  </w:style>
  <w:style w:type="paragraph" w:styleId="Heading6">
    <w:name w:val="heading 6"/>
    <w:basedOn w:val="Normal1"/>
    <w:next w:val="Normal1"/>
    <w:rsid w:val="0077735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77350"/>
  </w:style>
  <w:style w:type="paragraph" w:styleId="Title">
    <w:name w:val="Title"/>
    <w:basedOn w:val="Normal1"/>
    <w:next w:val="Normal1"/>
    <w:rsid w:val="00777350"/>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1"/>
    <w:next w:val="Normal1"/>
    <w:rsid w:val="00777350"/>
    <w:rPr>
      <w:rFonts w:ascii="Cambria" w:eastAsia="Cambria" w:hAnsi="Cambria" w:cs="Cambria"/>
      <w:i/>
      <w:color w:val="4F81BD"/>
      <w:sz w:val="24"/>
      <w:szCs w:val="24"/>
    </w:rPr>
  </w:style>
  <w:style w:type="paragraph" w:styleId="CommentText">
    <w:name w:val="annotation text"/>
    <w:basedOn w:val="Normal"/>
    <w:link w:val="CommentTextChar"/>
    <w:uiPriority w:val="99"/>
    <w:unhideWhenUsed/>
    <w:rsid w:val="00777350"/>
    <w:pPr>
      <w:spacing w:line="240" w:lineRule="auto"/>
    </w:pPr>
    <w:rPr>
      <w:sz w:val="20"/>
      <w:szCs w:val="20"/>
    </w:rPr>
  </w:style>
  <w:style w:type="character" w:customStyle="1" w:styleId="CommentTextChar">
    <w:name w:val="Comment Text Char"/>
    <w:basedOn w:val="DefaultParagraphFont"/>
    <w:link w:val="CommentText"/>
    <w:uiPriority w:val="99"/>
    <w:rsid w:val="00777350"/>
    <w:rPr>
      <w:sz w:val="20"/>
      <w:szCs w:val="20"/>
    </w:rPr>
  </w:style>
  <w:style w:type="character" w:styleId="CommentReference">
    <w:name w:val="annotation reference"/>
    <w:basedOn w:val="DefaultParagraphFont"/>
    <w:uiPriority w:val="99"/>
    <w:semiHidden/>
    <w:unhideWhenUsed/>
    <w:rsid w:val="00777350"/>
    <w:rPr>
      <w:sz w:val="16"/>
      <w:szCs w:val="16"/>
    </w:rPr>
  </w:style>
  <w:style w:type="paragraph" w:styleId="BalloonText">
    <w:name w:val="Balloon Text"/>
    <w:basedOn w:val="Normal"/>
    <w:link w:val="BalloonTextChar"/>
    <w:uiPriority w:val="99"/>
    <w:semiHidden/>
    <w:unhideWhenUsed/>
    <w:rsid w:val="00C20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F7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00E77"/>
    <w:rPr>
      <w:b/>
      <w:bCs/>
    </w:rPr>
  </w:style>
  <w:style w:type="character" w:customStyle="1" w:styleId="CommentSubjectChar">
    <w:name w:val="Comment Subject Char"/>
    <w:basedOn w:val="CommentTextChar"/>
    <w:link w:val="CommentSubject"/>
    <w:uiPriority w:val="99"/>
    <w:semiHidden/>
    <w:rsid w:val="00500E77"/>
    <w:rPr>
      <w:b/>
      <w:bCs/>
      <w:sz w:val="20"/>
      <w:szCs w:val="20"/>
    </w:rPr>
  </w:style>
  <w:style w:type="paragraph" w:styleId="ListParagraph">
    <w:name w:val="List Paragraph"/>
    <w:basedOn w:val="Normal"/>
    <w:uiPriority w:val="34"/>
    <w:qFormat/>
    <w:rsid w:val="00481AB4"/>
    <w:pPr>
      <w:ind w:left="720"/>
      <w:contextualSpacing/>
    </w:pPr>
  </w:style>
  <w:style w:type="paragraph" w:styleId="Revision">
    <w:name w:val="Revision"/>
    <w:hidden/>
    <w:uiPriority w:val="99"/>
    <w:semiHidden/>
    <w:rsid w:val="005B65B0"/>
    <w:pPr>
      <w:spacing w:after="0" w:line="240" w:lineRule="auto"/>
    </w:pPr>
  </w:style>
  <w:style w:type="table" w:styleId="TableGrid">
    <w:name w:val="Table Grid"/>
    <w:basedOn w:val="TableNormal"/>
    <w:uiPriority w:val="59"/>
    <w:rsid w:val="00D62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2D8"/>
    <w:pPr>
      <w:spacing w:after="0" w:line="240" w:lineRule="auto"/>
    </w:pPr>
  </w:style>
  <w:style w:type="character" w:styleId="Strong">
    <w:name w:val="Strong"/>
    <w:basedOn w:val="DefaultParagraphFont"/>
    <w:uiPriority w:val="22"/>
    <w:qFormat/>
    <w:rsid w:val="00887380"/>
    <w:rPr>
      <w:b/>
      <w:bCs/>
    </w:rPr>
  </w:style>
  <w:style w:type="paragraph" w:styleId="Header">
    <w:name w:val="header"/>
    <w:basedOn w:val="Normal"/>
    <w:link w:val="HeaderChar"/>
    <w:uiPriority w:val="99"/>
    <w:unhideWhenUsed/>
    <w:rsid w:val="00390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1B5"/>
  </w:style>
  <w:style w:type="paragraph" w:styleId="Footer">
    <w:name w:val="footer"/>
    <w:basedOn w:val="Normal"/>
    <w:link w:val="FooterChar"/>
    <w:uiPriority w:val="99"/>
    <w:unhideWhenUsed/>
    <w:rsid w:val="00390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1B5"/>
  </w:style>
  <w:style w:type="character" w:styleId="Hyperlink">
    <w:name w:val="Hyperlink"/>
    <w:basedOn w:val="DefaultParagraphFont"/>
    <w:uiPriority w:val="99"/>
    <w:unhideWhenUsed/>
    <w:rsid w:val="00532640"/>
    <w:rPr>
      <w:color w:val="0000FF" w:themeColor="hyperlink"/>
      <w:u w:val="single"/>
    </w:rPr>
  </w:style>
  <w:style w:type="character" w:styleId="UnresolvedMention">
    <w:name w:val="Unresolved Mention"/>
    <w:basedOn w:val="DefaultParagraphFont"/>
    <w:uiPriority w:val="99"/>
    <w:semiHidden/>
    <w:unhideWhenUsed/>
    <w:rsid w:val="00532640"/>
    <w:rPr>
      <w:color w:val="605E5C"/>
      <w:shd w:val="clear" w:color="auto" w:fill="E1DFDD"/>
    </w:rPr>
  </w:style>
  <w:style w:type="character" w:styleId="Emphasis">
    <w:name w:val="Emphasis"/>
    <w:basedOn w:val="DefaultParagraphFont"/>
    <w:uiPriority w:val="20"/>
    <w:qFormat/>
    <w:rsid w:val="00D00BE4"/>
    <w:rPr>
      <w:i/>
      <w:iCs/>
    </w:rPr>
  </w:style>
  <w:style w:type="character" w:styleId="FollowedHyperlink">
    <w:name w:val="FollowedHyperlink"/>
    <w:basedOn w:val="DefaultParagraphFont"/>
    <w:uiPriority w:val="99"/>
    <w:semiHidden/>
    <w:unhideWhenUsed/>
    <w:rsid w:val="00160689"/>
    <w:rPr>
      <w:color w:val="800080" w:themeColor="followedHyperlink"/>
      <w:u w:val="single"/>
    </w:rPr>
  </w:style>
  <w:style w:type="table" w:styleId="TableGridLight">
    <w:name w:val="Grid Table Light"/>
    <w:basedOn w:val="TableNormal"/>
    <w:uiPriority w:val="40"/>
    <w:rsid w:val="00F810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ss.gov/regulations/130-CMR-409000-durable-medical-equipment-services" TargetMode="External"/><Relationship Id="rId13" Type="http://schemas.openxmlformats.org/officeDocument/2006/relationships/hyperlink" Target="https://www.mass.gov/info-details/masshealth-payment-and-coverage-guideline-tools" TargetMode="External"/><Relationship Id="rId18" Type="http://schemas.openxmlformats.org/officeDocument/2006/relationships/hyperlink" Target="http://www.asha.org/uploadedFiles/SLP-Medical-Review-Guidelin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doc/medical-necessity-review-form-for-durable-medical-equipment-and-medical-supplies-general/download?_ga=2.154852732.571139920.1673970334-1124585952.1669642517" TargetMode="External"/><Relationship Id="rId17" Type="http://schemas.openxmlformats.org/officeDocument/2006/relationships/hyperlink" Target="http://ussaac.org/about%20-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sha.org/practice-portal/professional-issues/augmentative-and-alternative-communic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masshealth-payment-and-coverage-guideline-tool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saac-online.org/english/what-is-aac/who-benefits/" TargetMode="External"/><Relationship Id="rId23" Type="http://schemas.openxmlformats.org/officeDocument/2006/relationships/header" Target="header3.xml"/><Relationship Id="rId10" Type="http://schemas.openxmlformats.org/officeDocument/2006/relationships/hyperlink" Target="https://www.mass.gov/doc/medical-necessity-review-form-for-durable-medical-equipment-and-medical-supplies-general/download?_ga=2.154852732.571139920.1673970334-1124585952.166964251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info-details/masshealth-payment-and-coverage-guideline-tools" TargetMode="External"/><Relationship Id="rId14" Type="http://schemas.openxmlformats.org/officeDocument/2006/relationships/hyperlink" Target="https://www.prentrom.com/caregivers/what-is-augmentative-and-alternative-communication-aa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5E8BC-BAA9-4ABE-A52C-1B9C08C1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4141</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Almas</dc:creator>
  <cp:lastModifiedBy>Finn, Jonathan F. (EHS)</cp:lastModifiedBy>
  <cp:revision>9</cp:revision>
  <cp:lastPrinted>2023-01-25T20:42:00Z</cp:lastPrinted>
  <dcterms:created xsi:type="dcterms:W3CDTF">2023-03-08T16:25:00Z</dcterms:created>
  <dcterms:modified xsi:type="dcterms:W3CDTF">2023-03-09T20:48:00Z</dcterms:modified>
</cp:coreProperties>
</file>