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D5301E" w14:textId="2793291C" w:rsidR="00C21D5D" w:rsidRPr="000C4608" w:rsidRDefault="00D66657" w:rsidP="004C2AF9">
      <w:pPr>
        <w:pStyle w:val="Title"/>
        <w:rPr>
          <w:spacing w:val="0"/>
        </w:rPr>
      </w:pPr>
      <w:r w:rsidRPr="000C4608">
        <w:rPr>
          <w:spacing w:val="0"/>
        </w:rPr>
        <w:t xml:space="preserve">Guidelines for Medical Necessity Determination for </w:t>
      </w:r>
      <w:r w:rsidR="008531F2">
        <w:rPr>
          <w:spacing w:val="0"/>
        </w:rPr>
        <w:br/>
      </w:r>
      <w:r w:rsidRPr="000C4608">
        <w:rPr>
          <w:spacing w:val="0"/>
        </w:rPr>
        <w:t>Chromosomal Microarray</w:t>
      </w:r>
      <w:r w:rsidR="004C2AF9" w:rsidRPr="000C4608">
        <w:rPr>
          <w:spacing w:val="0"/>
        </w:rPr>
        <w:t xml:space="preserve"> </w:t>
      </w:r>
      <w:r w:rsidRPr="000C4608">
        <w:rPr>
          <w:spacing w:val="0"/>
        </w:rPr>
        <w:t>Analysis</w:t>
      </w:r>
      <w:r w:rsidRPr="000C4608">
        <w:rPr>
          <w:spacing w:val="0"/>
        </w:rPr>
        <w:tab/>
      </w:r>
    </w:p>
    <w:p w14:paraId="65A3BA33" w14:textId="77777777" w:rsidR="00C21D5D" w:rsidRPr="000C4608" w:rsidRDefault="00D66657" w:rsidP="005A1C74">
      <w:r w:rsidRPr="000C4608">
        <w:t xml:space="preserve">These </w:t>
      </w:r>
      <w:r w:rsidRPr="000C4608">
        <w:rPr>
          <w:i/>
        </w:rPr>
        <w:t xml:space="preserve">Guidelines for Medical Necessity Determination </w:t>
      </w:r>
      <w:r w:rsidRPr="000C4608">
        <w:t>(Guidelines) identify the clinical information that MassHealth needs to determine medical necessity for chromosomal microarray analysis. These Guidelines are based on generally accepted standards of practice, review of the medical literature, and federal and state policies and laws applicable to Medicaid programs.</w:t>
      </w:r>
    </w:p>
    <w:p w14:paraId="552B256C" w14:textId="0671FFF4" w:rsidR="00C21D5D" w:rsidRPr="009D0573" w:rsidRDefault="00D66657" w:rsidP="004C2AF9">
      <w:pPr>
        <w:rPr>
          <w:rFonts w:cstheme="minorHAnsi"/>
          <w:color w:val="231F20"/>
        </w:rPr>
      </w:pPr>
      <w:r w:rsidRPr="009D0573">
        <w:rPr>
          <w:rFonts w:cstheme="minorHAnsi"/>
          <w:color w:val="231F20"/>
        </w:rPr>
        <w:t xml:space="preserve">Providers should consult MassHealth regulations at </w:t>
      </w:r>
      <w:hyperlink r:id="rId10">
        <w:r w:rsidRPr="00616122">
          <w:rPr>
            <w:rFonts w:cstheme="minorHAnsi"/>
            <w:color w:val="005795"/>
            <w:u w:val="single" w:color="0082C3"/>
          </w:rPr>
          <w:t>130 CMR 433.000</w:t>
        </w:r>
        <w:r w:rsidRPr="00616122">
          <w:rPr>
            <w:rFonts w:cstheme="minorHAnsi"/>
            <w:color w:val="005795"/>
          </w:rPr>
          <w:t xml:space="preserve"> </w:t>
        </w:r>
      </w:hyperlink>
      <w:r w:rsidRPr="009D0573">
        <w:rPr>
          <w:rFonts w:cstheme="minorHAnsi"/>
          <w:color w:val="231F20"/>
        </w:rPr>
        <w:t xml:space="preserve">and </w:t>
      </w:r>
      <w:hyperlink r:id="rId11">
        <w:r w:rsidRPr="00616122">
          <w:rPr>
            <w:rFonts w:cstheme="minorHAnsi"/>
            <w:color w:val="005795"/>
            <w:u w:val="single" w:color="0082C3"/>
          </w:rPr>
          <w:t>130 CMR 450.000</w:t>
        </w:r>
        <w:r w:rsidRPr="00616122">
          <w:rPr>
            <w:rFonts w:cstheme="minorHAnsi"/>
            <w:color w:val="005795"/>
          </w:rPr>
          <w:t xml:space="preserve"> </w:t>
        </w:r>
      </w:hyperlink>
      <w:r w:rsidRPr="009D0573">
        <w:rPr>
          <w:rFonts w:cstheme="minorHAnsi"/>
          <w:color w:val="231F20"/>
        </w:rPr>
        <w:t xml:space="preserve">and Subchapter 6 of the </w:t>
      </w:r>
      <w:hyperlink r:id="rId12">
        <w:r w:rsidRPr="00616122">
          <w:rPr>
            <w:rFonts w:cstheme="minorHAnsi"/>
            <w:i/>
            <w:color w:val="005795"/>
            <w:u w:val="single" w:color="0082C3"/>
          </w:rPr>
          <w:t>Physician Manual</w:t>
        </w:r>
        <w:r w:rsidRPr="00616122">
          <w:rPr>
            <w:rFonts w:cstheme="minorHAnsi"/>
            <w:i/>
            <w:color w:val="005795"/>
          </w:rPr>
          <w:t xml:space="preserve"> </w:t>
        </w:r>
      </w:hyperlink>
      <w:r w:rsidRPr="009D0573">
        <w:rPr>
          <w:rFonts w:cstheme="minorHAnsi"/>
          <w:color w:val="231F20"/>
        </w:rPr>
        <w:t>for information about coverage, limitations, service conditions, and prior-authorization (PA) requirements.</w:t>
      </w:r>
    </w:p>
    <w:p w14:paraId="4460745D" w14:textId="77777777" w:rsidR="005B73C4" w:rsidRPr="009D0573" w:rsidRDefault="005B73C4" w:rsidP="00593764">
      <w:pPr>
        <w:rPr>
          <w:rFonts w:eastAsia="Book Antiqua" w:cstheme="minorHAnsi"/>
        </w:rPr>
      </w:pPr>
      <w:r w:rsidRPr="009D0573">
        <w:rPr>
          <w:rFonts w:eastAsia="Book Antiqua" w:cstheme="minorHAnsi"/>
        </w:rPr>
        <w:t>Providers</w:t>
      </w:r>
      <w:r w:rsidRPr="009D0573">
        <w:rPr>
          <w:rFonts w:eastAsia="Book Antiqua" w:cstheme="minorHAnsi"/>
          <w:spacing w:val="-5"/>
        </w:rPr>
        <w:t xml:space="preserve"> </w:t>
      </w:r>
      <w:r w:rsidRPr="009D0573">
        <w:rPr>
          <w:rFonts w:eastAsia="Book Antiqua" w:cstheme="minorHAnsi"/>
        </w:rPr>
        <w:t>serving</w:t>
      </w:r>
      <w:r w:rsidRPr="009D0573">
        <w:rPr>
          <w:rFonts w:eastAsia="Book Antiqua" w:cstheme="minorHAnsi"/>
          <w:spacing w:val="-2"/>
        </w:rPr>
        <w:t xml:space="preserve"> </w:t>
      </w:r>
      <w:r w:rsidRPr="009D0573">
        <w:rPr>
          <w:rFonts w:eastAsia="Book Antiqua" w:cstheme="minorHAnsi"/>
        </w:rPr>
        <w:t>members</w:t>
      </w:r>
      <w:r w:rsidRPr="009D0573">
        <w:rPr>
          <w:rFonts w:eastAsia="Book Antiqua" w:cstheme="minorHAnsi"/>
          <w:spacing w:val="-2"/>
        </w:rPr>
        <w:t xml:space="preserve"> </w:t>
      </w:r>
      <w:r w:rsidRPr="009D0573">
        <w:rPr>
          <w:rFonts w:eastAsia="Book Antiqua" w:cstheme="minorHAnsi"/>
        </w:rPr>
        <w:t>enrolled</w:t>
      </w:r>
      <w:r w:rsidRPr="009D0573">
        <w:rPr>
          <w:rFonts w:eastAsia="Book Antiqua" w:cstheme="minorHAnsi"/>
          <w:spacing w:val="-3"/>
        </w:rPr>
        <w:t xml:space="preserve"> </w:t>
      </w:r>
      <w:r w:rsidRPr="009D0573">
        <w:rPr>
          <w:rFonts w:eastAsia="Book Antiqua" w:cstheme="minorHAnsi"/>
        </w:rPr>
        <w:t>in</w:t>
      </w:r>
      <w:r w:rsidRPr="009D0573">
        <w:rPr>
          <w:rFonts w:eastAsia="Book Antiqua" w:cstheme="minorHAnsi"/>
          <w:spacing w:val="-5"/>
        </w:rPr>
        <w:t xml:space="preserve"> </w:t>
      </w:r>
      <w:r w:rsidRPr="009D0573">
        <w:rPr>
          <w:rFonts w:eastAsia="Book Antiqua" w:cstheme="minorHAnsi"/>
        </w:rPr>
        <w:t>a</w:t>
      </w:r>
      <w:r w:rsidRPr="009D0573">
        <w:rPr>
          <w:rFonts w:eastAsia="Book Antiqua" w:cstheme="minorHAnsi"/>
          <w:spacing w:val="-3"/>
        </w:rPr>
        <w:t xml:space="preserve"> </w:t>
      </w:r>
      <w:r w:rsidRPr="009D0573">
        <w:rPr>
          <w:rFonts w:eastAsia="Book Antiqua" w:cstheme="minorHAnsi"/>
        </w:rPr>
        <w:t>MassHealth-contracted</w:t>
      </w:r>
      <w:r w:rsidRPr="009D0573">
        <w:rPr>
          <w:rFonts w:eastAsia="Book Antiqua" w:cstheme="minorHAnsi"/>
          <w:spacing w:val="-3"/>
        </w:rPr>
        <w:t xml:space="preserve"> </w:t>
      </w:r>
      <w:r w:rsidRPr="009D0573">
        <w:rPr>
          <w:rFonts w:eastAsia="Book Antiqua" w:cstheme="minorHAnsi"/>
        </w:rPr>
        <w:t>accountable</w:t>
      </w:r>
      <w:r w:rsidRPr="009D0573">
        <w:rPr>
          <w:rFonts w:eastAsia="Book Antiqua" w:cstheme="minorHAnsi"/>
          <w:spacing w:val="-3"/>
        </w:rPr>
        <w:t xml:space="preserve"> </w:t>
      </w:r>
      <w:r w:rsidRPr="009D0573">
        <w:rPr>
          <w:rFonts w:eastAsia="Book Antiqua" w:cstheme="minorHAnsi"/>
        </w:rPr>
        <w:t>care</w:t>
      </w:r>
      <w:r w:rsidRPr="009D0573">
        <w:rPr>
          <w:rFonts w:eastAsia="Book Antiqua" w:cstheme="minorHAnsi"/>
          <w:spacing w:val="-3"/>
        </w:rPr>
        <w:t xml:space="preserve"> </w:t>
      </w:r>
      <w:r w:rsidRPr="009D0573">
        <w:rPr>
          <w:rFonts w:eastAsia="Book Antiqua" w:cstheme="minorHAnsi"/>
        </w:rPr>
        <w:t>partnership</w:t>
      </w:r>
      <w:r w:rsidRPr="009D0573">
        <w:rPr>
          <w:rFonts w:eastAsia="Book Antiqua" w:cstheme="minorHAnsi"/>
          <w:spacing w:val="-4"/>
        </w:rPr>
        <w:t xml:space="preserve"> </w:t>
      </w:r>
      <w:r w:rsidRPr="009D0573">
        <w:rPr>
          <w:rFonts w:eastAsia="Book Antiqua" w:cstheme="minorHAnsi"/>
        </w:rPr>
        <w:t>plan</w:t>
      </w:r>
      <w:r w:rsidRPr="009D0573">
        <w:rPr>
          <w:rFonts w:eastAsia="Book Antiqua" w:cstheme="minorHAnsi"/>
          <w:spacing w:val="-5"/>
        </w:rPr>
        <w:t xml:space="preserve"> </w:t>
      </w:r>
      <w:r w:rsidRPr="009D0573">
        <w:rPr>
          <w:rFonts w:eastAsia="Book Antiqua" w:cstheme="minorHAnsi"/>
        </w:rPr>
        <w:t>(ACPP), managed</w:t>
      </w:r>
      <w:r w:rsidRPr="009D0573">
        <w:rPr>
          <w:rFonts w:eastAsia="Book Antiqua" w:cstheme="minorHAnsi"/>
          <w:spacing w:val="-1"/>
        </w:rPr>
        <w:t xml:space="preserve"> </w:t>
      </w:r>
      <w:r w:rsidRPr="009D0573">
        <w:rPr>
          <w:rFonts w:eastAsia="Book Antiqua" w:cstheme="minorHAnsi"/>
        </w:rPr>
        <w:t>care</w:t>
      </w:r>
      <w:r w:rsidRPr="009D0573">
        <w:rPr>
          <w:rFonts w:eastAsia="Book Antiqua" w:cstheme="minorHAnsi"/>
          <w:spacing w:val="-2"/>
        </w:rPr>
        <w:t xml:space="preserve"> </w:t>
      </w:r>
      <w:r w:rsidRPr="009D0573">
        <w:rPr>
          <w:rFonts w:eastAsia="Book Antiqua" w:cstheme="minorHAnsi"/>
        </w:rPr>
        <w:t>organization</w:t>
      </w:r>
      <w:r w:rsidRPr="009D0573">
        <w:rPr>
          <w:rFonts w:eastAsia="Book Antiqua" w:cstheme="minorHAnsi"/>
          <w:spacing w:val="-3"/>
        </w:rPr>
        <w:t xml:space="preserve"> </w:t>
      </w:r>
      <w:r w:rsidRPr="009D0573">
        <w:rPr>
          <w:rFonts w:eastAsia="Book Antiqua" w:cstheme="minorHAnsi"/>
        </w:rPr>
        <w:t>(MCO),</w:t>
      </w:r>
      <w:r w:rsidRPr="009D0573">
        <w:rPr>
          <w:rFonts w:eastAsia="Book Antiqua" w:cstheme="minorHAnsi"/>
          <w:spacing w:val="-1"/>
        </w:rPr>
        <w:t xml:space="preserve"> </w:t>
      </w:r>
      <w:r w:rsidRPr="009D0573">
        <w:rPr>
          <w:rFonts w:eastAsia="Book Antiqua" w:cstheme="minorHAnsi"/>
        </w:rPr>
        <w:t>One Care</w:t>
      </w:r>
      <w:r w:rsidRPr="009D0573">
        <w:rPr>
          <w:rFonts w:eastAsia="Book Antiqua" w:cstheme="minorHAnsi"/>
          <w:spacing w:val="-1"/>
        </w:rPr>
        <w:t xml:space="preserve"> </w:t>
      </w:r>
      <w:r w:rsidRPr="009D0573">
        <w:rPr>
          <w:rFonts w:eastAsia="Book Antiqua" w:cstheme="minorHAnsi"/>
        </w:rPr>
        <w:t>Organization,</w:t>
      </w:r>
      <w:r w:rsidRPr="009D0573">
        <w:rPr>
          <w:rFonts w:eastAsia="Book Antiqua" w:cstheme="minorHAnsi"/>
          <w:spacing w:val="-1"/>
        </w:rPr>
        <w:t xml:space="preserve"> </w:t>
      </w:r>
      <w:r w:rsidRPr="009D0573">
        <w:rPr>
          <w:rFonts w:eastAsia="Book Antiqua" w:cstheme="minorHAnsi"/>
        </w:rPr>
        <w:t>Senior</w:t>
      </w:r>
      <w:r w:rsidRPr="009D0573">
        <w:rPr>
          <w:rFonts w:eastAsia="Book Antiqua" w:cstheme="minorHAnsi"/>
          <w:spacing w:val="-1"/>
        </w:rPr>
        <w:t xml:space="preserve"> </w:t>
      </w:r>
      <w:r w:rsidRPr="009D0573">
        <w:rPr>
          <w:rFonts w:eastAsia="Book Antiqua" w:cstheme="minorHAnsi"/>
        </w:rPr>
        <w:t>Care</w:t>
      </w:r>
      <w:r w:rsidRPr="009D0573">
        <w:rPr>
          <w:rFonts w:eastAsia="Book Antiqua" w:cstheme="minorHAnsi"/>
          <w:spacing w:val="-1"/>
        </w:rPr>
        <w:t xml:space="preserve"> </w:t>
      </w:r>
      <w:r w:rsidRPr="009D0573">
        <w:rPr>
          <w:rFonts w:eastAsia="Book Antiqua" w:cstheme="minorHAnsi"/>
        </w:rPr>
        <w:t>Options</w:t>
      </w:r>
      <w:r w:rsidRPr="009D0573">
        <w:rPr>
          <w:rFonts w:eastAsia="Book Antiqua" w:cstheme="minorHAnsi"/>
          <w:spacing w:val="-3"/>
        </w:rPr>
        <w:t xml:space="preserve"> </w:t>
      </w:r>
      <w:r w:rsidRPr="009D0573">
        <w:rPr>
          <w:rFonts w:eastAsia="Book Antiqua" w:cstheme="minorHAnsi"/>
        </w:rPr>
        <w:t>(SCO) plan,</w:t>
      </w:r>
      <w:r w:rsidRPr="009D0573">
        <w:rPr>
          <w:rFonts w:eastAsia="Book Antiqua" w:cstheme="minorHAnsi"/>
          <w:spacing w:val="-1"/>
        </w:rPr>
        <w:t xml:space="preserve"> </w:t>
      </w:r>
      <w:r w:rsidRPr="009D0573">
        <w:rPr>
          <w:rFonts w:eastAsia="Book Antiqua" w:cstheme="minorHAnsi"/>
        </w:rPr>
        <w:t>or</w:t>
      </w:r>
      <w:r w:rsidRPr="009D0573">
        <w:rPr>
          <w:rFonts w:eastAsia="Book Antiqua" w:cstheme="minorHAnsi"/>
          <w:spacing w:val="-1"/>
        </w:rPr>
        <w:t xml:space="preserve"> </w:t>
      </w:r>
      <w:r w:rsidRPr="009D0573">
        <w:rPr>
          <w:rFonts w:eastAsia="Book Antiqua" w:cstheme="minorHAnsi"/>
        </w:rPr>
        <w:t>a</w:t>
      </w:r>
      <w:r w:rsidRPr="009D0573">
        <w:rPr>
          <w:rFonts w:eastAsia="Book Antiqua" w:cstheme="minorHAnsi"/>
          <w:spacing w:val="-1"/>
        </w:rPr>
        <w:t xml:space="preserve"> </w:t>
      </w:r>
      <w:r w:rsidRPr="009D0573">
        <w:rPr>
          <w:rFonts w:eastAsia="Book Antiqua" w:cstheme="minorHAnsi"/>
        </w:rPr>
        <w:t xml:space="preserve">Program of All-inclusive Care for the Elderly (PACE) should refer to the ACPP’s, MCO’s, One Care organization’s, SCO’s, or PACE’s medical policies, respectively, for covered services. </w:t>
      </w:r>
    </w:p>
    <w:p w14:paraId="172607F5" w14:textId="77777777" w:rsidR="00C21D5D" w:rsidRPr="000C4608" w:rsidRDefault="00D66657" w:rsidP="004C2AF9">
      <w:r w:rsidRPr="000C4608">
        <w:t xml:space="preserve">MassHealth requires PA for chromosomal microarray analysis and reviews PA requests </w:t>
      </w:r>
      <w:proofErr w:type="gramStart"/>
      <w:r w:rsidRPr="000C4608">
        <w:t>on the basis of</w:t>
      </w:r>
      <w:proofErr w:type="gramEnd"/>
      <w:r w:rsidRPr="000C4608">
        <w:t xml:space="preserve"> medical necessity. If MassHealth approves the request, payment is still subject to all general conditions of MassHealth, including member eligibility, other insurance, and program restrictions.</w:t>
      </w:r>
    </w:p>
    <w:p w14:paraId="290C0691" w14:textId="77777777" w:rsidR="00C21D5D" w:rsidRPr="000C4608" w:rsidRDefault="00D66657" w:rsidP="004C2AF9">
      <w:pPr>
        <w:pStyle w:val="Heading1"/>
      </w:pPr>
      <w:r w:rsidRPr="000C4608">
        <w:t>Section I. General Information</w:t>
      </w:r>
    </w:p>
    <w:p w14:paraId="4D64A3DE" w14:textId="77777777" w:rsidR="00C21D5D" w:rsidRPr="000C4608" w:rsidRDefault="00D66657" w:rsidP="005A1C74">
      <w:r w:rsidRPr="000C4608">
        <w:t>Chromosomal microarray analysis (CMA) is a technique used to detect chromosomal abnormalities, such as deletions or duplications, with a high sensitivity for submicroscopic abnormalities as small as 10-20 kb, which are typically too small to detect by karyotyping. Conventional karyotyping requires a labor-intensive process where the cells are cultured, and chromosomes in the metaphase are prepared on slides and examined by light microscopy. While this test is useful in the detection of balanced chromosome rearrangements, whole chromosome, or large segments of deletion and duplication,</w:t>
      </w:r>
      <w:r w:rsidR="004C2AF9" w:rsidRPr="000C4608">
        <w:t xml:space="preserve"> </w:t>
      </w:r>
      <w:r w:rsidRPr="000C4608">
        <w:rPr>
          <w:color w:val="231F20"/>
        </w:rPr>
        <w:t>it does not consistently identify genomic defects that are submicroscopic or smaller than are visible under a light microscope.</w:t>
      </w:r>
    </w:p>
    <w:p w14:paraId="28EF6885" w14:textId="15444943" w:rsidR="00C21D5D" w:rsidRPr="000C4608" w:rsidRDefault="00D66657" w:rsidP="005A1C74">
      <w:r w:rsidRPr="000C4608">
        <w:t>CMA, also referred to as array comparative genomic hybridization (</w:t>
      </w:r>
      <w:proofErr w:type="spellStart"/>
      <w:r w:rsidRPr="000C4608">
        <w:t>aCGH</w:t>
      </w:r>
      <w:proofErr w:type="spellEnd"/>
      <w:r w:rsidRPr="000C4608">
        <w:t>) or molecular karyotyping, is done by hybridizing or binding the DNA obtained from a sample specimen to an array platform consisting of DNA probes on a microscope slide, silicon chip, or nylon membrane. Both the sample specimen and the DNA probes are fluorescently labelled with different dyes</w:t>
      </w:r>
      <w:r w:rsidR="007901B6">
        <w:t>,</w:t>
      </w:r>
      <w:r w:rsidRPr="000C4608">
        <w:t xml:space="preserve"> and the fluorescence</w:t>
      </w:r>
      <w:r w:rsidR="004C2AF9" w:rsidRPr="000C4608">
        <w:t xml:space="preserve"> </w:t>
      </w:r>
      <w:r w:rsidRPr="000C4608">
        <w:rPr>
          <w:color w:val="231F20"/>
        </w:rPr>
        <w:t>ratio of the test and reference signals after hybridization is determined at different positions along the genome. The resulting fluorescent ratios are measured and plotted relative to each clone’s position in the genome. This provides information on the relative copy number of sequences or copy number variants (CNV) present.</w:t>
      </w:r>
    </w:p>
    <w:p w14:paraId="03898D3D" w14:textId="115B4A37" w:rsidR="00C21D5D" w:rsidRPr="000C4608" w:rsidRDefault="00D66657" w:rsidP="002F73CC">
      <w:r w:rsidRPr="000C4608">
        <w:lastRenderedPageBreak/>
        <w:t xml:space="preserve">The CNV revealed by CMA in the prenatal and postnatal setting </w:t>
      </w:r>
      <w:proofErr w:type="gramStart"/>
      <w:r w:rsidRPr="000C4608">
        <w:t>enable</w:t>
      </w:r>
      <w:proofErr w:type="gramEnd"/>
      <w:r w:rsidRPr="000C4608">
        <w:t xml:space="preserve"> the detection of pathologic microdeletions or duplications that may identify the cause of</w:t>
      </w:r>
      <w:r w:rsidR="00853059">
        <w:t xml:space="preserve"> </w:t>
      </w:r>
      <w:r w:rsidRPr="000C4608">
        <w:t>neurodevelopmental disorders and congenital anomalies. Advantages of CMA include increased sensitivity and faster availability of results than karyotyping, since DNA can be obtained from uncultured specimens for CMA. Drawbacks of CMA include the detection of chromosomal variants of unknown clinical significance and the inability to detect balanced chromosomal rearrangements (translocations or inversions</w:t>
      </w:r>
      <w:r w:rsidR="007901B6" w:rsidRPr="000C4608">
        <w:t>)</w:t>
      </w:r>
      <w:r w:rsidR="007901B6">
        <w:t>;</w:t>
      </w:r>
      <w:r w:rsidR="007901B6" w:rsidRPr="000C4608">
        <w:t xml:space="preserve"> </w:t>
      </w:r>
      <w:r w:rsidRPr="000C4608">
        <w:t>some instances of mosaicism</w:t>
      </w:r>
      <w:r w:rsidR="007901B6">
        <w:t>;</w:t>
      </w:r>
      <w:r w:rsidR="007901B6" w:rsidRPr="000C4608">
        <w:t xml:space="preserve"> </w:t>
      </w:r>
      <w:r w:rsidRPr="000C4608">
        <w:t>point mutations</w:t>
      </w:r>
      <w:r w:rsidR="007901B6">
        <w:t xml:space="preserve">; </w:t>
      </w:r>
      <w:r w:rsidRPr="000C4608">
        <w:t>or tiny duplications or deletions within a single gene.</w:t>
      </w:r>
    </w:p>
    <w:p w14:paraId="4EFC053F" w14:textId="4A89D8C5" w:rsidR="00C21D5D" w:rsidRPr="000C4608" w:rsidRDefault="00D66657" w:rsidP="002F73CC">
      <w:r w:rsidRPr="000C4608">
        <w:t xml:space="preserve">All genetic testing should be accompanied by comprehensive pre-test and post-test genetic </w:t>
      </w:r>
      <w:r w:rsidR="00521C5C">
        <w:t xml:space="preserve">counseling </w:t>
      </w:r>
      <w:r w:rsidRPr="000C4608">
        <w:t>by a geneticist who can explain the limitations and significance of genetic testing. Informed</w:t>
      </w:r>
      <w:r w:rsidR="002F73CC" w:rsidRPr="000C4608">
        <w:t xml:space="preserve"> </w:t>
      </w:r>
      <w:r w:rsidRPr="000C4608">
        <w:rPr>
          <w:color w:val="231F20"/>
        </w:rPr>
        <w:t>consent should be obtained</w:t>
      </w:r>
      <w:r w:rsidR="00521C5C">
        <w:rPr>
          <w:color w:val="231F20"/>
        </w:rPr>
        <w:t xml:space="preserve"> and should include</w:t>
      </w:r>
      <w:r w:rsidRPr="000C4608">
        <w:rPr>
          <w:color w:val="231F20"/>
        </w:rPr>
        <w:t xml:space="preserve"> a discussion of the potential to identify variants of unknown significance, non-paternity, consanguinity, and disease.</w:t>
      </w:r>
    </w:p>
    <w:p w14:paraId="3562228C" w14:textId="77777777" w:rsidR="00C21D5D" w:rsidRPr="000C4608" w:rsidRDefault="00D66657" w:rsidP="002F73CC">
      <w:r w:rsidRPr="000C4608">
        <w:t>MassHealth considers approval for coverage of CMA on an individual, case-by-case basis, in accordance with 130 CMR 433.000 and 130 CMR 450.000.</w:t>
      </w:r>
    </w:p>
    <w:p w14:paraId="10D4147A" w14:textId="77777777" w:rsidR="00C21D5D" w:rsidRPr="000C4608" w:rsidRDefault="00D66657" w:rsidP="002F73CC">
      <w:pPr>
        <w:pStyle w:val="Heading2"/>
      </w:pPr>
      <w:r w:rsidRPr="000C4608">
        <w:t>Prenatal CMA Testing</w:t>
      </w:r>
    </w:p>
    <w:p w14:paraId="332247F7" w14:textId="0D4E285A" w:rsidR="00C21D5D" w:rsidRPr="000C4608" w:rsidRDefault="00D66657" w:rsidP="002F73CC">
      <w:r w:rsidRPr="000C4608">
        <w:t xml:space="preserve">Prenatal CMA </w:t>
      </w:r>
      <w:r w:rsidR="00925EE3">
        <w:t xml:space="preserve">testing </w:t>
      </w:r>
      <w:r w:rsidRPr="000C4608">
        <w:t>is recommended in place of karyotyping for its increased sensitivity, detection of clinically relevant genomic imbalances, and decreased turnaround times in a fetus with one or more major structural abnormalities identified on ultrasonographic examination and/or who is undergoing invasive prenatal testing, such as amniocentesis or chorionic villus sampling (CVS). Most genetic changes identified by CMA but not on standard karyotype are not associated with maternal age.</w:t>
      </w:r>
    </w:p>
    <w:p w14:paraId="452F98AF" w14:textId="620F6014" w:rsidR="00C21D5D" w:rsidRPr="000C4608" w:rsidRDefault="00D66657" w:rsidP="002F73CC">
      <w:r w:rsidRPr="000C4608">
        <w:t>The prevalence of significant abnormalities identified by CMA in cases of normal karyotype and normal ultrasound was 1</w:t>
      </w:r>
      <w:r w:rsidR="000850B3">
        <w:t xml:space="preserve"> in </w:t>
      </w:r>
      <w:r w:rsidRPr="000C4608">
        <w:t>60 (1.7</w:t>
      </w:r>
      <w:r w:rsidR="000850B3">
        <w:t xml:space="preserve"> percent</w:t>
      </w:r>
      <w:r w:rsidRPr="000C4608">
        <w:t>). For this reason, the choice of CMA or conventional karyotyping can be offered to a woman who has a normal obstetric ultrasound but is undergoing invasive CVS, after discussing the benefits and limitations of both CMA and conventional karyotyping. CMA is unable</w:t>
      </w:r>
      <w:r w:rsidR="002F73CC" w:rsidRPr="000C4608">
        <w:t xml:space="preserve"> </w:t>
      </w:r>
      <w:r w:rsidRPr="000C4608">
        <w:rPr>
          <w:color w:val="231F20"/>
        </w:rPr>
        <w:t xml:space="preserve">to detect balanced chromosome rearrangements, but these are unlikely to be clinically significant. An accurate diagnosis is essential to providing an appropriate care plan, prognosis, risk of complications, and genetic </w:t>
      </w:r>
      <w:r w:rsidR="000850B3">
        <w:rPr>
          <w:color w:val="231F20"/>
        </w:rPr>
        <w:t>counseling</w:t>
      </w:r>
      <w:r w:rsidRPr="000C4608">
        <w:rPr>
          <w:color w:val="231F20"/>
        </w:rPr>
        <w:t xml:space="preserve"> for future pregnancies.</w:t>
      </w:r>
    </w:p>
    <w:p w14:paraId="4E015621" w14:textId="0F813C06" w:rsidR="00C21D5D" w:rsidRPr="000C4608" w:rsidRDefault="00D66657" w:rsidP="002F73CC">
      <w:r w:rsidRPr="000C4608">
        <w:t>Miscarriages mostly occur within the first trimester and can occur in 10-15 percent of all recognized pregnancies. Chromosomal abnormalities account for about half of these miscarriages, the</w:t>
      </w:r>
      <w:r w:rsidR="002F73CC" w:rsidRPr="000C4608">
        <w:t xml:space="preserve"> </w:t>
      </w:r>
      <w:r w:rsidRPr="000C4608">
        <w:rPr>
          <w:color w:val="231F20"/>
        </w:rPr>
        <w:t xml:space="preserve">majority of which are aneuploidies (abnormal number of chromosomes), such as </w:t>
      </w:r>
      <w:proofErr w:type="spellStart"/>
      <w:r w:rsidRPr="000C4608">
        <w:rPr>
          <w:color w:val="231F20"/>
        </w:rPr>
        <w:t>trisomies</w:t>
      </w:r>
      <w:proofErr w:type="spellEnd"/>
      <w:r w:rsidRPr="000C4608">
        <w:rPr>
          <w:color w:val="231F20"/>
        </w:rPr>
        <w:t xml:space="preserve"> (one extra chromosome) or polyploidies (extra complete set of chromosomes). CMA of fetal tissue is</w:t>
      </w:r>
      <w:r w:rsidR="002F73CC" w:rsidRPr="000C4608">
        <w:rPr>
          <w:color w:val="231F20"/>
        </w:rPr>
        <w:t xml:space="preserve"> </w:t>
      </w:r>
      <w:r w:rsidRPr="000C4608">
        <w:rPr>
          <w:color w:val="231F20"/>
        </w:rPr>
        <w:t xml:space="preserve">recommended over conventional karyotyping in the evaluation of intrauterine fetal demise ≥ 20 weeks (including stillbirth) because of its increased sensitivity. It is recommended for intrauterine fetal demise less than 20 weeks with associated structural abnormalities on ultrasound. An accurate diagnosis is essential to providing an appropriate care plan and genetic </w:t>
      </w:r>
      <w:r w:rsidR="000850B3">
        <w:rPr>
          <w:color w:val="231F20"/>
        </w:rPr>
        <w:t>counseling</w:t>
      </w:r>
      <w:r w:rsidRPr="000C4608">
        <w:rPr>
          <w:color w:val="231F20"/>
        </w:rPr>
        <w:t xml:space="preserve"> for future pregnancies.</w:t>
      </w:r>
    </w:p>
    <w:p w14:paraId="245200B0" w14:textId="198030F8" w:rsidR="00C21D5D" w:rsidRPr="000C4608" w:rsidRDefault="00D66657" w:rsidP="002F73CC">
      <w:r w:rsidRPr="00E90809">
        <w:t>There is insufficient data to support the clinical use and cost effectiveness of CMA testing of fetal tissue at less than 20 weeks of gestation in cases of a single miscarriage.</w:t>
      </w:r>
    </w:p>
    <w:p w14:paraId="78F12B76" w14:textId="77777777" w:rsidR="00C21D5D" w:rsidRPr="000C4608" w:rsidRDefault="00D66657" w:rsidP="002F73CC">
      <w:r w:rsidRPr="000C4608">
        <w:lastRenderedPageBreak/>
        <w:t>Preimplantation genetic testing and diagnosis is considered infertility treatment, which is not a covered MassHealth service. See 130 CMR 433.404(C) and 433.451(B).</w:t>
      </w:r>
    </w:p>
    <w:p w14:paraId="571D51AA" w14:textId="77777777" w:rsidR="00C21D5D" w:rsidRPr="000C4608" w:rsidRDefault="00D66657" w:rsidP="007550E2">
      <w:pPr>
        <w:pStyle w:val="Heading2"/>
      </w:pPr>
      <w:r w:rsidRPr="000C4608">
        <w:t xml:space="preserve">Postnatal CMA Testing in the Evaluation of Global Developmental Delay, Intellectual Disabilities, Multiple Congenital Anomalies, and </w:t>
      </w:r>
      <w:proofErr w:type="gramStart"/>
      <w:r w:rsidRPr="000C4608">
        <w:t>Autism Spectrum Disorders</w:t>
      </w:r>
      <w:proofErr w:type="gramEnd"/>
      <w:r w:rsidRPr="000C4608">
        <w:t xml:space="preserve"> in Children</w:t>
      </w:r>
    </w:p>
    <w:p w14:paraId="1AD2D415" w14:textId="77777777" w:rsidR="00C21D5D" w:rsidRPr="000C4608" w:rsidRDefault="00D66657" w:rsidP="002F73CC">
      <w:r w:rsidRPr="000C4608">
        <w:t>The term “intellectual disability” (ID) is defined by the American Association on Intellectual and Developmental Disability as a disability originating before 18 years of age, characterized by significant limitations in both intellectual functioning and in adaptive behavior, expressed in many everyday social and practical skills. Adaptive behavior includes conceptual, social, and practical skills. Intellectual functioning includes mental capacity such as learning, reasoning, and problem solving.</w:t>
      </w:r>
    </w:p>
    <w:p w14:paraId="251EDDA2" w14:textId="77777777" w:rsidR="00C21D5D" w:rsidRPr="000C4608" w:rsidRDefault="00D66657" w:rsidP="002F73CC">
      <w:r w:rsidRPr="000C4608">
        <w:t>“Global developmental delay” (GDD) is a significant delay in two or more developmental domains (gross or fine motor, speech/language, cognitive, social/personal, or activities of daily living) recorded by developmental specialists. GDD is the term used typically in younger children (generally under the age of five), and ID is used for older children. The incidence of GDD/ID is almost three percent in the general population.</w:t>
      </w:r>
    </w:p>
    <w:p w14:paraId="2C294594" w14:textId="77777777" w:rsidR="00C21D5D" w:rsidRPr="000C4608" w:rsidRDefault="00D66657" w:rsidP="002F73CC">
      <w:r w:rsidRPr="000C4608">
        <w:t xml:space="preserve">Congenital anomalies are also known as birth defects, congenital disorders, or congenital malformations, and can be common, affecting an estimated two-to-three infants in every 100 births. Congenital anomalies occur during intrauterine life and can be identified prenatally or at </w:t>
      </w:r>
      <w:proofErr w:type="gramStart"/>
      <w:r w:rsidRPr="000C4608">
        <w:t>birth,</w:t>
      </w:r>
      <w:r w:rsidR="002F73CC" w:rsidRPr="000C4608">
        <w:t xml:space="preserve"> </w:t>
      </w:r>
      <w:r w:rsidRPr="000C4608">
        <w:t>or</w:t>
      </w:r>
      <w:proofErr w:type="gramEnd"/>
      <w:r w:rsidRPr="000C4608">
        <w:t xml:space="preserve"> sometimes may be detected only postnatally. Examples of congenital anomalies include organ malformations or craniofacial malformations.</w:t>
      </w:r>
    </w:p>
    <w:p w14:paraId="465EFB4F" w14:textId="77777777" w:rsidR="00C21D5D" w:rsidRPr="000C4608" w:rsidRDefault="00D66657" w:rsidP="002F73CC">
      <w:proofErr w:type="gramStart"/>
      <w:r w:rsidRPr="000C4608">
        <w:t>The autism</w:t>
      </w:r>
      <w:proofErr w:type="gramEnd"/>
      <w:r w:rsidRPr="000C4608">
        <w:t xml:space="preserve"> spectrum disorders (ASD) include a collection of disorders that exhibit impaired socialization and communication, with stereotypic behaviors. The diagnosis of ASD is made by a developmental specialist (developmental pediatrician or pediatric neurologist). The diagnosis can be made using the Autism Diagnostic Interview—Revised and the Autism Diagnostic Observation</w:t>
      </w:r>
      <w:r w:rsidR="002F73CC" w:rsidRPr="000C4608">
        <w:t xml:space="preserve"> </w:t>
      </w:r>
      <w:r w:rsidRPr="000C4608">
        <w:t>Schedule. Developmental specialists may also use a series of standardized evaluation instruments. ASD affects one of every 150 individuals.</w:t>
      </w:r>
    </w:p>
    <w:p w14:paraId="44DBD68C" w14:textId="275FECCF" w:rsidR="00C21D5D" w:rsidRPr="000C4608" w:rsidRDefault="00D66657" w:rsidP="002F73CC">
      <w:r w:rsidRPr="000C4608">
        <w:t xml:space="preserve">An accurate diagnosis for children with GD/ID, multiple congenital anomalies, and ASD is essential to providing an appropriate care plan, a prognosis, an explanation of the risk of complications, and genetic </w:t>
      </w:r>
      <w:r w:rsidR="004463F2">
        <w:t>counseling</w:t>
      </w:r>
      <w:r w:rsidR="004463F2" w:rsidRPr="000C4608">
        <w:t xml:space="preserve"> </w:t>
      </w:r>
      <w:r w:rsidRPr="000C4608">
        <w:t>about future siblings. Work-up for children with any of these conditions should begin with a comprehensive history and exams, including</w:t>
      </w:r>
    </w:p>
    <w:p w14:paraId="40C29253" w14:textId="77777777" w:rsidR="00C21D5D" w:rsidRPr="000C4608" w:rsidRDefault="00D66657" w:rsidP="002F73CC">
      <w:pPr>
        <w:pStyle w:val="ListParagraph"/>
        <w:numPr>
          <w:ilvl w:val="0"/>
          <w:numId w:val="6"/>
        </w:numPr>
      </w:pPr>
      <w:r w:rsidRPr="000C4608">
        <w:t xml:space="preserve">prenatal and birth history, if </w:t>
      </w:r>
      <w:proofErr w:type="gramStart"/>
      <w:r w:rsidRPr="000C4608">
        <w:t>available;</w:t>
      </w:r>
      <w:proofErr w:type="gramEnd"/>
    </w:p>
    <w:p w14:paraId="03744F5A" w14:textId="77777777" w:rsidR="00C21D5D" w:rsidRPr="000C4608" w:rsidRDefault="00D66657" w:rsidP="002F73CC">
      <w:pPr>
        <w:pStyle w:val="ListParagraph"/>
        <w:numPr>
          <w:ilvl w:val="0"/>
          <w:numId w:val="6"/>
        </w:numPr>
      </w:pPr>
      <w:r w:rsidRPr="000C4608">
        <w:t xml:space="preserve">family history which, if available, includes a pedigree of three generations or </w:t>
      </w:r>
      <w:proofErr w:type="gramStart"/>
      <w:r w:rsidRPr="000C4608">
        <w:t>more;</w:t>
      </w:r>
      <w:proofErr w:type="gramEnd"/>
    </w:p>
    <w:p w14:paraId="2014D0F7" w14:textId="77777777" w:rsidR="00C21D5D" w:rsidRPr="000C4608" w:rsidRDefault="00D66657" w:rsidP="002F73CC">
      <w:pPr>
        <w:pStyle w:val="ListParagraph"/>
        <w:numPr>
          <w:ilvl w:val="0"/>
          <w:numId w:val="6"/>
        </w:numPr>
      </w:pPr>
      <w:r w:rsidRPr="000C4608">
        <w:t>a comprehensive physical, neurological, and behavioral exam; and</w:t>
      </w:r>
    </w:p>
    <w:p w14:paraId="59A16015" w14:textId="77777777" w:rsidR="00C21D5D" w:rsidRPr="000C4608" w:rsidRDefault="00D66657" w:rsidP="002F73CC">
      <w:pPr>
        <w:pStyle w:val="ListParagraph"/>
        <w:numPr>
          <w:ilvl w:val="0"/>
          <w:numId w:val="6"/>
        </w:numPr>
      </w:pPr>
      <w:r w:rsidRPr="000C4608">
        <w:t>laboratory testing, imaging, and consultations, if indicated by history and physical.</w:t>
      </w:r>
    </w:p>
    <w:p w14:paraId="1EEFE2FE" w14:textId="77777777" w:rsidR="00C21D5D" w:rsidRPr="000C4608" w:rsidRDefault="00D66657" w:rsidP="002F73CC">
      <w:r w:rsidRPr="000C4608">
        <w:t>The above exams may provide or suggest a syndrome or diagnosis. If, after the above exams, causal diagnosis is still unknown for GDD/ID, multiple congenital anomalies, or ASD, then CMA is appropriate.</w:t>
      </w:r>
    </w:p>
    <w:p w14:paraId="73E3EA2F" w14:textId="77777777" w:rsidR="00C21D5D" w:rsidRPr="000C4608" w:rsidRDefault="00D66657" w:rsidP="002F73CC">
      <w:r w:rsidRPr="000C4608">
        <w:t xml:space="preserve">CMA is now considered a first-tier genetic diagnostic test in all children with GDD/ID, multiple congenital anomalies, and autism spectrum disorder for whom a diagnosis is not known. However, without other evidence, children with isolated speech and language delay are not appropriate candidates for comprehensive genetic </w:t>
      </w:r>
      <w:r w:rsidRPr="000C4608">
        <w:lastRenderedPageBreak/>
        <w:t>evaluations such as CMA, as isolated speech and language delays are unlikely to be caused by a significant, identifiable genetic abnormality.</w:t>
      </w:r>
    </w:p>
    <w:p w14:paraId="099C0AF5" w14:textId="77777777" w:rsidR="00C21D5D" w:rsidRPr="000C4608" w:rsidRDefault="00D66657" w:rsidP="000C4608">
      <w:pPr>
        <w:pStyle w:val="Heading1"/>
      </w:pPr>
      <w:r w:rsidRPr="000C4608">
        <w:t>Section II. Clinical Guidelines</w:t>
      </w:r>
    </w:p>
    <w:p w14:paraId="425D1279" w14:textId="77777777" w:rsidR="00C21D5D" w:rsidRPr="000C4608" w:rsidRDefault="00D66657" w:rsidP="000C4608">
      <w:pPr>
        <w:pStyle w:val="Heading2"/>
      </w:pPr>
      <w:r w:rsidRPr="000C4608">
        <w:t>Clinical Coverage</w:t>
      </w:r>
    </w:p>
    <w:p w14:paraId="079A9203" w14:textId="77777777" w:rsidR="00C21D5D" w:rsidRPr="000C4608" w:rsidRDefault="00D66657" w:rsidP="000C4608">
      <w:r w:rsidRPr="000C4608">
        <w:t>MassHealth bases its determination of medical necessity for CMA on clinical data including, but not limited to, indicators that would affect the relative risks and benefits of the test. These criteria include, but are not limited to, the following.</w:t>
      </w:r>
    </w:p>
    <w:p w14:paraId="4FE03FB3" w14:textId="77777777" w:rsidR="00C21D5D" w:rsidRPr="000C4608" w:rsidRDefault="005268F3" w:rsidP="005268F3">
      <w:pPr>
        <w:pStyle w:val="Heading3"/>
      </w:pPr>
      <w:r>
        <w:t xml:space="preserve">1. </w:t>
      </w:r>
      <w:r w:rsidR="00D66657" w:rsidRPr="005268F3">
        <w:t>Prenatal</w:t>
      </w:r>
      <w:r w:rsidR="00D66657" w:rsidRPr="000C4608">
        <w:t xml:space="preserve"> CMA Testing</w:t>
      </w:r>
    </w:p>
    <w:p w14:paraId="68F8A239" w14:textId="236C06CA" w:rsidR="00C21D5D" w:rsidRPr="000C4608" w:rsidRDefault="00D66657" w:rsidP="005268F3">
      <w:r w:rsidRPr="000C4608">
        <w:t>Prenatal CMA testing is medically necessary when the following criteria are met</w:t>
      </w:r>
      <w:r w:rsidR="00A93B1B">
        <w:t>.</w:t>
      </w:r>
    </w:p>
    <w:p w14:paraId="2E310AB1" w14:textId="354B5A9F" w:rsidR="00CD7047" w:rsidRPr="000C4608" w:rsidRDefault="005268F3" w:rsidP="00A83DBC">
      <w:pPr>
        <w:pStyle w:val="NoSpacing"/>
        <w:spacing w:after="200"/>
        <w:ind w:left="360"/>
      </w:pPr>
      <w:r>
        <w:t>a</w:t>
      </w:r>
      <w:r w:rsidR="00D66657" w:rsidRPr="000C4608">
        <w:t>.</w:t>
      </w:r>
      <w:r>
        <w:t xml:space="preserve"> </w:t>
      </w:r>
      <w:r w:rsidR="00D66657" w:rsidRPr="000C4608">
        <w:t xml:space="preserve">A fetus is undergoing invasive prenatal testing (such as amniocentesis or chorionic </w:t>
      </w:r>
      <w:r w:rsidR="00D66657" w:rsidRPr="005268F3">
        <w:t>villus</w:t>
      </w:r>
      <w:r w:rsidRPr="005268F3">
        <w:t xml:space="preserve"> </w:t>
      </w:r>
      <w:r w:rsidR="00D66657" w:rsidRPr="005268F3">
        <w:t>sampling);</w:t>
      </w:r>
      <w:r w:rsidR="00A83DBC">
        <w:t xml:space="preserve"> </w:t>
      </w:r>
      <w:r w:rsidR="00171213">
        <w:t xml:space="preserve">or </w:t>
      </w:r>
      <w:r w:rsidR="00A83DBC">
        <w:t>t</w:t>
      </w:r>
      <w:r w:rsidR="00D66657" w:rsidRPr="000C4608">
        <w:t>here is intrauterine fetal demise</w:t>
      </w:r>
      <w:r w:rsidR="00A93B1B">
        <w:t xml:space="preserve"> after</w:t>
      </w:r>
      <w:r w:rsidR="00D66657" w:rsidRPr="000C4608">
        <w:t xml:space="preserve"> ≥ 20 weeks (including stillbirth</w:t>
      </w:r>
      <w:r w:rsidR="0030610B" w:rsidRPr="000C4608">
        <w:t>)</w:t>
      </w:r>
      <w:r w:rsidR="00A83DBC">
        <w:t xml:space="preserve">; </w:t>
      </w:r>
      <w:r w:rsidR="00CD7047" w:rsidRPr="00B07E03">
        <w:t xml:space="preserve">or </w:t>
      </w:r>
      <w:r w:rsidR="00A83DBC">
        <w:t xml:space="preserve">the pregnant person has had two or </w:t>
      </w:r>
      <w:r w:rsidR="00CD7047" w:rsidRPr="00B07E03">
        <w:t xml:space="preserve">more miscarriages </w:t>
      </w:r>
      <w:r w:rsidR="00A93B1B">
        <w:t xml:space="preserve">at </w:t>
      </w:r>
      <w:r w:rsidR="00CD7047" w:rsidRPr="00B07E03">
        <w:rPr>
          <w:rFonts w:cstheme="minorHAnsi"/>
        </w:rPr>
        <w:t>≤</w:t>
      </w:r>
      <w:r w:rsidR="00CD7047" w:rsidRPr="00B07E03">
        <w:t xml:space="preserve"> 20 </w:t>
      </w:r>
      <w:proofErr w:type="gramStart"/>
      <w:r w:rsidR="00CD7047" w:rsidRPr="00B07E03">
        <w:t>weeks</w:t>
      </w:r>
      <w:r w:rsidR="00A83DBC">
        <w:t>;</w:t>
      </w:r>
      <w:proofErr w:type="gramEnd"/>
      <w:r w:rsidR="00A83DBC">
        <w:t xml:space="preserve"> </w:t>
      </w:r>
    </w:p>
    <w:p w14:paraId="67D2326B" w14:textId="3E09C6A4" w:rsidR="00C21D5D" w:rsidRPr="000C4608" w:rsidRDefault="00D66657" w:rsidP="002B759E">
      <w:pPr>
        <w:ind w:left="360"/>
      </w:pPr>
      <w:r w:rsidRPr="005268F3">
        <w:t>AND</w:t>
      </w:r>
    </w:p>
    <w:p w14:paraId="05E5157B" w14:textId="2B197867" w:rsidR="00C21D5D" w:rsidRPr="000C4608" w:rsidRDefault="005268F3" w:rsidP="00A83DBC">
      <w:pPr>
        <w:ind w:left="360"/>
      </w:pPr>
      <w:r>
        <w:t xml:space="preserve">b. </w:t>
      </w:r>
      <w:r w:rsidR="00D66657" w:rsidRPr="000C4608">
        <w:t xml:space="preserve">Comprehensive genetic </w:t>
      </w:r>
      <w:r w:rsidR="00A93B1B">
        <w:t>counseling</w:t>
      </w:r>
      <w:r w:rsidR="00D66657" w:rsidRPr="000C4608">
        <w:t xml:space="preserve"> has been performed by a provider with genetics expertise (genetic </w:t>
      </w:r>
      <w:r w:rsidR="00A93B1B">
        <w:t>counselor</w:t>
      </w:r>
      <w:r w:rsidR="00D66657" w:rsidRPr="000C4608">
        <w:t>, geneticist, or developmental specialist).</w:t>
      </w:r>
    </w:p>
    <w:p w14:paraId="4075C4A8" w14:textId="77777777" w:rsidR="00C21D5D" w:rsidRPr="000C4608" w:rsidRDefault="005268F3" w:rsidP="005268F3">
      <w:pPr>
        <w:pStyle w:val="Heading3"/>
      </w:pPr>
      <w:r>
        <w:t xml:space="preserve">2. </w:t>
      </w:r>
      <w:r w:rsidR="00D66657" w:rsidRPr="000C4608">
        <w:t xml:space="preserve">Postnatal CMA </w:t>
      </w:r>
      <w:r w:rsidR="00D66657" w:rsidRPr="00A157D1">
        <w:t>Testing</w:t>
      </w:r>
    </w:p>
    <w:p w14:paraId="01064AFC" w14:textId="1A3012A9" w:rsidR="00C21D5D" w:rsidRPr="000C4608" w:rsidRDefault="00D66657" w:rsidP="005268F3">
      <w:r w:rsidRPr="000C4608">
        <w:t>Postnatal CMA testing is medically necessary for the detection of chromosomal abnormalities in the evaluation of GDD, ID, multiple congenital anomalies, and/or ASD in children when the following criteria are met</w:t>
      </w:r>
      <w:r w:rsidR="00F95FE0">
        <w:t>.</w:t>
      </w:r>
    </w:p>
    <w:p w14:paraId="697752E0" w14:textId="414893CB" w:rsidR="00C21D5D" w:rsidRPr="000C4608" w:rsidRDefault="005268F3" w:rsidP="00925634">
      <w:pPr>
        <w:ind w:left="360"/>
      </w:pPr>
      <w:r>
        <w:t xml:space="preserve">a. </w:t>
      </w:r>
      <w:r w:rsidR="00D66657" w:rsidRPr="000C4608">
        <w:t xml:space="preserve">A diagnosis of intellectual disability (ID) as defined by the American Association on Intellectual and Developmental Disability, made by a treating physician, which includes </w:t>
      </w:r>
      <w:proofErr w:type="gramStart"/>
      <w:r w:rsidR="00D66657" w:rsidRPr="000C4608">
        <w:t>ALL of</w:t>
      </w:r>
      <w:proofErr w:type="gramEnd"/>
      <w:r w:rsidR="00D66657" w:rsidRPr="000C4608">
        <w:t xml:space="preserve"> the following</w:t>
      </w:r>
      <w:r w:rsidR="00F95FE0">
        <w:t>.</w:t>
      </w:r>
    </w:p>
    <w:p w14:paraId="21B35776" w14:textId="4E0311B6" w:rsidR="00C21D5D" w:rsidRPr="000C4608" w:rsidRDefault="005268F3" w:rsidP="00925634">
      <w:pPr>
        <w:ind w:left="720"/>
      </w:pPr>
      <w:r>
        <w:t xml:space="preserve">i. </w:t>
      </w:r>
      <w:r w:rsidR="00F95FE0">
        <w:t>The child is younger</w:t>
      </w:r>
      <w:r w:rsidR="00D66657" w:rsidRPr="000C4608">
        <w:t xml:space="preserve"> than 18</w:t>
      </w:r>
      <w:r w:rsidR="00F95FE0">
        <w:t>.</w:t>
      </w:r>
    </w:p>
    <w:p w14:paraId="782F0103" w14:textId="185AA7A5" w:rsidR="00C21D5D" w:rsidRPr="000C4608" w:rsidRDefault="005268F3" w:rsidP="00925634">
      <w:pPr>
        <w:ind w:left="720"/>
      </w:pPr>
      <w:r>
        <w:t xml:space="preserve">ii. </w:t>
      </w:r>
      <w:r w:rsidR="00F95FE0">
        <w:t xml:space="preserve">The child has </w:t>
      </w:r>
      <w:r w:rsidR="00D66657" w:rsidRPr="000C4608">
        <w:t>significant limitations in intellectual functioning as determined by standardized testing (e.g., IQ less than 70)</w:t>
      </w:r>
      <w:r w:rsidR="00F95FE0">
        <w:t>.</w:t>
      </w:r>
    </w:p>
    <w:p w14:paraId="3E46C44E" w14:textId="68DE10B3" w:rsidR="00C21D5D" w:rsidRPr="000C4608" w:rsidRDefault="005268F3" w:rsidP="00925634">
      <w:pPr>
        <w:ind w:left="720"/>
      </w:pPr>
      <w:r>
        <w:t xml:space="preserve">iii. </w:t>
      </w:r>
      <w:r w:rsidR="00F95FE0">
        <w:t xml:space="preserve">The child has </w:t>
      </w:r>
      <w:r w:rsidR="00D66657" w:rsidRPr="000C4608">
        <w:t>significant limitations in adaptive behavior (conceptual, social, and practical skills) demonstrated on standardized testing</w:t>
      </w:r>
      <w:r w:rsidR="00F95FE0">
        <w:t>.</w:t>
      </w:r>
    </w:p>
    <w:p w14:paraId="3BE5B3B0" w14:textId="77777777" w:rsidR="00C21D5D" w:rsidRPr="000C4608" w:rsidRDefault="00D66657" w:rsidP="002B759E">
      <w:pPr>
        <w:ind w:left="360"/>
      </w:pPr>
      <w:r w:rsidRPr="000C4608">
        <w:t>OR</w:t>
      </w:r>
    </w:p>
    <w:p w14:paraId="762B281F" w14:textId="5E5A629A" w:rsidR="00C21D5D" w:rsidRPr="00616122" w:rsidRDefault="004B43BA" w:rsidP="00925634">
      <w:pPr>
        <w:tabs>
          <w:tab w:val="left" w:pos="360"/>
        </w:tabs>
        <w:spacing w:before="116" w:line="226" w:lineRule="auto"/>
        <w:ind w:left="360" w:right="288"/>
      </w:pPr>
      <w:r>
        <w:rPr>
          <w:color w:val="231F20"/>
        </w:rPr>
        <w:t xml:space="preserve">b. </w:t>
      </w:r>
      <w:r w:rsidR="00D66657" w:rsidRPr="004B43BA">
        <w:rPr>
          <w:color w:val="231F20"/>
        </w:rPr>
        <w:t>A diagnosis of global developmental delay (GDD)</w:t>
      </w:r>
      <w:r w:rsidR="00F95FE0" w:rsidRPr="004B43BA">
        <w:rPr>
          <w:color w:val="231F20"/>
        </w:rPr>
        <w:t>,</w:t>
      </w:r>
      <w:r w:rsidR="00D66657" w:rsidRPr="004B43BA">
        <w:rPr>
          <w:color w:val="231F20"/>
        </w:rPr>
        <w:t xml:space="preserve"> defined as a significant delay in two or more developmental domains thought to predict a future diagnosis of ID, including</w:t>
      </w:r>
      <w:r w:rsidR="00ED3D1F" w:rsidRPr="004B43BA">
        <w:rPr>
          <w:color w:val="231F20"/>
        </w:rPr>
        <w:t xml:space="preserve"> a</w:t>
      </w:r>
      <w:r w:rsidR="00521E01" w:rsidRPr="004B43BA">
        <w:rPr>
          <w:color w:val="231F20"/>
        </w:rPr>
        <w:t>ny of</w:t>
      </w:r>
      <w:r w:rsidR="00ED3D1F" w:rsidRPr="004B43BA">
        <w:rPr>
          <w:color w:val="231F20"/>
        </w:rPr>
        <w:t xml:space="preserve"> the following</w:t>
      </w:r>
      <w:r w:rsidR="00521E01" w:rsidRPr="004B43BA">
        <w:rPr>
          <w:color w:val="231F20"/>
        </w:rPr>
        <w:t xml:space="preserve"> developmental domains</w:t>
      </w:r>
      <w:r w:rsidR="00D66657" w:rsidRPr="004B43BA">
        <w:rPr>
          <w:color w:val="231F20"/>
        </w:rPr>
        <w:t>:</w:t>
      </w:r>
    </w:p>
    <w:p w14:paraId="70AF2E83" w14:textId="77777777" w:rsidR="00C21D5D" w:rsidRPr="00616122" w:rsidRDefault="00D66657" w:rsidP="00925634">
      <w:pPr>
        <w:pStyle w:val="ListParagraph"/>
        <w:numPr>
          <w:ilvl w:val="3"/>
          <w:numId w:val="4"/>
        </w:numPr>
        <w:tabs>
          <w:tab w:val="left" w:pos="360"/>
          <w:tab w:val="left" w:pos="2659"/>
          <w:tab w:val="left" w:pos="2661"/>
        </w:tabs>
        <w:spacing w:before="108"/>
        <w:ind w:left="1094" w:hanging="374"/>
      </w:pPr>
      <w:r w:rsidRPr="00616122">
        <w:rPr>
          <w:color w:val="231F20"/>
        </w:rPr>
        <w:t xml:space="preserve">gross or fine </w:t>
      </w:r>
      <w:proofErr w:type="gramStart"/>
      <w:r w:rsidRPr="00616122">
        <w:rPr>
          <w:color w:val="231F20"/>
        </w:rPr>
        <w:t>motor;</w:t>
      </w:r>
      <w:proofErr w:type="gramEnd"/>
    </w:p>
    <w:p w14:paraId="0B983E2C" w14:textId="77777777" w:rsidR="00C21D5D" w:rsidRPr="00616122" w:rsidRDefault="00D66657" w:rsidP="008E1D58">
      <w:pPr>
        <w:pStyle w:val="ListParagraph"/>
        <w:numPr>
          <w:ilvl w:val="3"/>
          <w:numId w:val="4"/>
        </w:numPr>
        <w:tabs>
          <w:tab w:val="left" w:pos="360"/>
          <w:tab w:val="left" w:pos="2661"/>
        </w:tabs>
        <w:ind w:left="1094" w:hanging="374"/>
      </w:pPr>
      <w:r w:rsidRPr="00616122">
        <w:rPr>
          <w:color w:val="231F20"/>
        </w:rPr>
        <w:t>speech/</w:t>
      </w:r>
      <w:proofErr w:type="gramStart"/>
      <w:r w:rsidRPr="00616122">
        <w:rPr>
          <w:color w:val="231F20"/>
        </w:rPr>
        <w:t>language;</w:t>
      </w:r>
      <w:proofErr w:type="gramEnd"/>
    </w:p>
    <w:p w14:paraId="6A95C4B8" w14:textId="77777777" w:rsidR="00C21D5D" w:rsidRPr="00616122" w:rsidRDefault="00D66657" w:rsidP="00925634">
      <w:pPr>
        <w:pStyle w:val="ListParagraph"/>
        <w:numPr>
          <w:ilvl w:val="3"/>
          <w:numId w:val="4"/>
        </w:numPr>
        <w:tabs>
          <w:tab w:val="left" w:pos="360"/>
          <w:tab w:val="left" w:pos="2661"/>
        </w:tabs>
        <w:ind w:left="1094" w:hanging="374"/>
      </w:pPr>
      <w:proofErr w:type="gramStart"/>
      <w:r w:rsidRPr="00616122">
        <w:rPr>
          <w:color w:val="231F20"/>
        </w:rPr>
        <w:t>cognitive;</w:t>
      </w:r>
      <w:proofErr w:type="gramEnd"/>
    </w:p>
    <w:p w14:paraId="0EA8C387" w14:textId="77777777" w:rsidR="00C21D5D" w:rsidRPr="00616122" w:rsidRDefault="00D66657" w:rsidP="00925634">
      <w:pPr>
        <w:pStyle w:val="ListParagraph"/>
        <w:numPr>
          <w:ilvl w:val="3"/>
          <w:numId w:val="4"/>
        </w:numPr>
        <w:tabs>
          <w:tab w:val="left" w:pos="360"/>
          <w:tab w:val="left" w:pos="2661"/>
        </w:tabs>
        <w:ind w:left="1094" w:hanging="374"/>
      </w:pPr>
      <w:r w:rsidRPr="00616122">
        <w:rPr>
          <w:color w:val="231F20"/>
        </w:rPr>
        <w:lastRenderedPageBreak/>
        <w:t>social/personal; and</w:t>
      </w:r>
    </w:p>
    <w:p w14:paraId="7B61CF1B" w14:textId="77777777" w:rsidR="00C21D5D" w:rsidRPr="00616122" w:rsidRDefault="00D66657" w:rsidP="00925634">
      <w:pPr>
        <w:pStyle w:val="ListParagraph"/>
        <w:numPr>
          <w:ilvl w:val="3"/>
          <w:numId w:val="4"/>
        </w:numPr>
        <w:tabs>
          <w:tab w:val="left" w:pos="360"/>
          <w:tab w:val="left" w:pos="2661"/>
        </w:tabs>
        <w:spacing w:before="103"/>
        <w:ind w:left="1094" w:hanging="374"/>
      </w:pPr>
      <w:r w:rsidRPr="00616122">
        <w:rPr>
          <w:color w:val="231F20"/>
        </w:rPr>
        <w:t>activities of daily living.</w:t>
      </w:r>
    </w:p>
    <w:p w14:paraId="4FD3F752" w14:textId="6B68D51A" w:rsidR="00933E58" w:rsidRPr="000C4608" w:rsidRDefault="00D66657" w:rsidP="00F46C78">
      <w:pPr>
        <w:ind w:left="720"/>
      </w:pPr>
      <w:r w:rsidRPr="000C4608">
        <w:t>The diagnosis must be made by an experienced developmental specialist (pediatric neurologist or developmental pediatrician), using norm-referenced and age-appropriate standardized measures of development;</w:t>
      </w:r>
    </w:p>
    <w:p w14:paraId="3AF25595" w14:textId="1395B0FE" w:rsidR="00933E58" w:rsidRDefault="00D66657" w:rsidP="00F46C78">
      <w:pPr>
        <w:ind w:left="720"/>
      </w:pPr>
      <w:r w:rsidRPr="000C4608">
        <w:t>OR</w:t>
      </w:r>
      <w:r w:rsidR="005B5BFB">
        <w:t xml:space="preserve"> </w:t>
      </w:r>
    </w:p>
    <w:p w14:paraId="5032D8F8" w14:textId="55DA8377" w:rsidR="00C21D5D" w:rsidRPr="000C4608" w:rsidRDefault="00D66657" w:rsidP="00F46C78">
      <w:pPr>
        <w:ind w:left="720"/>
      </w:pPr>
      <w:r w:rsidRPr="000C4608">
        <w:t>a diagnosis of multiple congenital anomalies, such as organ malformations or craniofacial malformations;</w:t>
      </w:r>
    </w:p>
    <w:p w14:paraId="3162E78D" w14:textId="3D0B8FFF" w:rsidR="00933E58" w:rsidRDefault="00D66657" w:rsidP="00F46C78">
      <w:pPr>
        <w:ind w:left="720"/>
      </w:pPr>
      <w:r w:rsidRPr="000C4608">
        <w:t>OR</w:t>
      </w:r>
      <w:r w:rsidR="005B5BFB">
        <w:t xml:space="preserve"> </w:t>
      </w:r>
    </w:p>
    <w:p w14:paraId="1156DB54" w14:textId="0C68F3F0" w:rsidR="00C21D5D" w:rsidRPr="000C4608" w:rsidRDefault="00D66657" w:rsidP="00F46C78">
      <w:pPr>
        <w:ind w:left="720"/>
      </w:pPr>
      <w:r w:rsidRPr="000C4608">
        <w:t>a diagnosis of ASD made by a licensed physician or psychologist experienced in the diagnosis and treatment of autism;</w:t>
      </w:r>
    </w:p>
    <w:p w14:paraId="4C28DED6" w14:textId="77777777" w:rsidR="00C21D5D" w:rsidRPr="000C4608" w:rsidRDefault="00D66657" w:rsidP="00F46C78">
      <w:pPr>
        <w:ind w:left="720"/>
      </w:pPr>
      <w:r w:rsidRPr="000C4608">
        <w:t>AND</w:t>
      </w:r>
    </w:p>
    <w:p w14:paraId="56F98FDB" w14:textId="7F9FED71" w:rsidR="00C21D5D" w:rsidRPr="000C4608" w:rsidRDefault="00D66657" w:rsidP="00F46C78">
      <w:pPr>
        <w:ind w:left="720"/>
      </w:pPr>
      <w:r w:rsidRPr="000C4608">
        <w:t>a comprehensive history and exams do not identify an obvious diagnosis, genetic disorder, or metabolic derangement responsible for the clinical findings. Such history and exams include</w:t>
      </w:r>
      <w:r w:rsidR="00F95FE0">
        <w:t>,</w:t>
      </w:r>
      <w:r w:rsidR="00521E01">
        <w:t xml:space="preserve"> but are not limited to</w:t>
      </w:r>
      <w:r w:rsidR="00F95FE0">
        <w:t>,</w:t>
      </w:r>
    </w:p>
    <w:p w14:paraId="3F10B5C7" w14:textId="75C9CBC2" w:rsidR="00C21D5D" w:rsidRPr="00616122" w:rsidRDefault="00F46C78" w:rsidP="00F46C78">
      <w:pPr>
        <w:pStyle w:val="ListParagraph"/>
        <w:tabs>
          <w:tab w:val="left" w:pos="540"/>
        </w:tabs>
        <w:spacing w:before="109"/>
        <w:ind w:left="1080"/>
      </w:pPr>
      <w:r>
        <w:rPr>
          <w:color w:val="231F20"/>
        </w:rPr>
        <w:t>1</w:t>
      </w:r>
      <w:r w:rsidR="005B5BFB">
        <w:rPr>
          <w:color w:val="231F20"/>
        </w:rPr>
        <w:t xml:space="preserve">. </w:t>
      </w:r>
      <w:proofErr w:type="gramStart"/>
      <w:r w:rsidR="00D66657" w:rsidRPr="00616122">
        <w:rPr>
          <w:color w:val="231F20"/>
        </w:rPr>
        <w:t>consultations;</w:t>
      </w:r>
      <w:proofErr w:type="gramEnd"/>
    </w:p>
    <w:p w14:paraId="7F1A5860" w14:textId="222FB025" w:rsidR="00C21D5D" w:rsidRPr="00616122" w:rsidRDefault="00F46C78" w:rsidP="00F46C78">
      <w:pPr>
        <w:pStyle w:val="ListParagraph"/>
        <w:tabs>
          <w:tab w:val="left" w:pos="540"/>
        </w:tabs>
        <w:spacing w:before="103"/>
        <w:ind w:left="1080"/>
      </w:pPr>
      <w:r>
        <w:rPr>
          <w:color w:val="231F20"/>
        </w:rPr>
        <w:t>2</w:t>
      </w:r>
      <w:r w:rsidR="005B5BFB">
        <w:rPr>
          <w:color w:val="231F20"/>
        </w:rPr>
        <w:t xml:space="preserve">. </w:t>
      </w:r>
      <w:r w:rsidR="00D66657" w:rsidRPr="00616122">
        <w:rPr>
          <w:color w:val="231F20"/>
        </w:rPr>
        <w:t xml:space="preserve">prenatal and birth history, if </w:t>
      </w:r>
      <w:proofErr w:type="gramStart"/>
      <w:r w:rsidR="00D66657" w:rsidRPr="00616122">
        <w:rPr>
          <w:color w:val="231F20"/>
        </w:rPr>
        <w:t>available;</w:t>
      </w:r>
      <w:proofErr w:type="gramEnd"/>
    </w:p>
    <w:p w14:paraId="30BD46D9" w14:textId="4F93AF29" w:rsidR="00C21D5D" w:rsidRPr="00616122" w:rsidRDefault="00F46C78" w:rsidP="00F46C78">
      <w:pPr>
        <w:pStyle w:val="ListParagraph"/>
        <w:tabs>
          <w:tab w:val="left" w:pos="540"/>
        </w:tabs>
        <w:ind w:left="1080"/>
      </w:pPr>
      <w:r>
        <w:rPr>
          <w:color w:val="231F20"/>
        </w:rPr>
        <w:t>3</w:t>
      </w:r>
      <w:r w:rsidR="005B5BFB">
        <w:rPr>
          <w:color w:val="231F20"/>
        </w:rPr>
        <w:t xml:space="preserve">. </w:t>
      </w:r>
      <w:r w:rsidR="00D66657" w:rsidRPr="00616122">
        <w:rPr>
          <w:color w:val="231F20"/>
        </w:rPr>
        <w:t xml:space="preserve">family history which, if available, includes a pedigree of three generations or </w:t>
      </w:r>
      <w:proofErr w:type="gramStart"/>
      <w:r w:rsidR="00D66657" w:rsidRPr="00616122">
        <w:rPr>
          <w:color w:val="231F20"/>
        </w:rPr>
        <w:t>more;</w:t>
      </w:r>
      <w:proofErr w:type="gramEnd"/>
    </w:p>
    <w:p w14:paraId="5F1253F5" w14:textId="6129A559" w:rsidR="00616122" w:rsidRPr="00616122" w:rsidRDefault="00F46C78" w:rsidP="00F46C78">
      <w:pPr>
        <w:pStyle w:val="ListParagraph"/>
        <w:tabs>
          <w:tab w:val="left" w:pos="540"/>
        </w:tabs>
        <w:ind w:left="1080"/>
      </w:pPr>
      <w:r>
        <w:rPr>
          <w:color w:val="231F20"/>
        </w:rPr>
        <w:t>4</w:t>
      </w:r>
      <w:r w:rsidR="005B5BFB">
        <w:rPr>
          <w:color w:val="231F20"/>
        </w:rPr>
        <w:t xml:space="preserve">. </w:t>
      </w:r>
      <w:r w:rsidR="00D66657" w:rsidRPr="00616122">
        <w:rPr>
          <w:color w:val="231F20"/>
        </w:rPr>
        <w:t xml:space="preserve">a comprehensive physical, neurological, and behavioral </w:t>
      </w:r>
      <w:proofErr w:type="gramStart"/>
      <w:r w:rsidR="00D66657" w:rsidRPr="00616122">
        <w:rPr>
          <w:color w:val="231F20"/>
        </w:rPr>
        <w:t>exam;</w:t>
      </w:r>
      <w:proofErr w:type="gramEnd"/>
      <w:r w:rsidR="00D66657" w:rsidRPr="00616122">
        <w:rPr>
          <w:color w:val="231F20"/>
        </w:rPr>
        <w:t xml:space="preserve"> </w:t>
      </w:r>
    </w:p>
    <w:p w14:paraId="38CA6C60" w14:textId="346DE65D" w:rsidR="00616122" w:rsidRPr="00616122" w:rsidRDefault="00F46C78" w:rsidP="00F46C78">
      <w:pPr>
        <w:pStyle w:val="ListParagraph"/>
        <w:tabs>
          <w:tab w:val="left" w:pos="540"/>
        </w:tabs>
        <w:ind w:left="1080"/>
      </w:pPr>
      <w:r>
        <w:rPr>
          <w:color w:val="231F20"/>
        </w:rPr>
        <w:t>5</w:t>
      </w:r>
      <w:r w:rsidR="005B5BFB">
        <w:rPr>
          <w:color w:val="231F20"/>
        </w:rPr>
        <w:t xml:space="preserve">. </w:t>
      </w:r>
      <w:r w:rsidR="00D66657" w:rsidRPr="00616122">
        <w:rPr>
          <w:color w:val="231F20"/>
        </w:rPr>
        <w:t xml:space="preserve">laboratory testing, imaging, and consultations, if indicated by history and physical; </w:t>
      </w:r>
      <w:r w:rsidR="00616122">
        <w:rPr>
          <w:color w:val="231F20"/>
        </w:rPr>
        <w:t>and</w:t>
      </w:r>
      <w:r w:rsidR="00616122" w:rsidRPr="00616122">
        <w:rPr>
          <w:color w:val="231F20"/>
        </w:rPr>
        <w:t xml:space="preserve"> </w:t>
      </w:r>
    </w:p>
    <w:p w14:paraId="2E4D7623" w14:textId="05819B57" w:rsidR="00C21D5D" w:rsidRPr="000C4608" w:rsidRDefault="00F46C78" w:rsidP="00F46C78">
      <w:pPr>
        <w:pStyle w:val="ListParagraph"/>
        <w:tabs>
          <w:tab w:val="left" w:pos="540"/>
        </w:tabs>
        <w:ind w:left="1080"/>
      </w:pPr>
      <w:r>
        <w:t>6</w:t>
      </w:r>
      <w:r w:rsidR="005B5BFB">
        <w:t xml:space="preserve">. </w:t>
      </w:r>
      <w:r w:rsidR="00D66657" w:rsidRPr="000C4608">
        <w:t xml:space="preserve">comprehensive genetic </w:t>
      </w:r>
      <w:r w:rsidR="00F95FE0">
        <w:t>counseling</w:t>
      </w:r>
      <w:r w:rsidR="00D66657" w:rsidRPr="000C4608">
        <w:t xml:space="preserve"> has been performed by a clinician with genetics expertise (genetic counsellor, geneticist, or developmental specialist).</w:t>
      </w:r>
    </w:p>
    <w:p w14:paraId="6CB9E0AC" w14:textId="77777777" w:rsidR="00C21D5D" w:rsidRPr="000C4608" w:rsidRDefault="00D66657" w:rsidP="005268F3">
      <w:pPr>
        <w:pStyle w:val="Heading2"/>
      </w:pPr>
      <w:r w:rsidRPr="000C4608">
        <w:t>Noncoverage</w:t>
      </w:r>
    </w:p>
    <w:p w14:paraId="31ED1D06" w14:textId="77777777" w:rsidR="00C21D5D" w:rsidRPr="000C4608" w:rsidRDefault="00D66657" w:rsidP="005268F3">
      <w:r w:rsidRPr="000C4608">
        <w:t>MassHealth does not consider CMA to be medically necessary under certain circumstances. Examples of such circumstances include, but are not limited to, the following.</w:t>
      </w:r>
    </w:p>
    <w:p w14:paraId="707F3071" w14:textId="19F5EF5D" w:rsidR="00C21D5D" w:rsidRPr="00197E42" w:rsidRDefault="007550E2" w:rsidP="005268F3">
      <w:pPr>
        <w:pStyle w:val="Heading3"/>
      </w:pPr>
      <w:r>
        <w:t xml:space="preserve">1. </w:t>
      </w:r>
      <w:r w:rsidR="00D66657" w:rsidRPr="00197E42">
        <w:t xml:space="preserve">Prenatal CMA </w:t>
      </w:r>
      <w:r w:rsidR="00D66657" w:rsidRPr="00A157D1">
        <w:t>Testing</w:t>
      </w:r>
    </w:p>
    <w:p w14:paraId="5A7240E8" w14:textId="34A15B7A" w:rsidR="00C21D5D" w:rsidRPr="000C4608" w:rsidRDefault="007A4640" w:rsidP="00F46C78">
      <w:pPr>
        <w:ind w:left="360"/>
      </w:pPr>
      <w:r w:rsidRPr="00197E42">
        <w:t xml:space="preserve">a.  </w:t>
      </w:r>
      <w:r w:rsidR="00D66657" w:rsidRPr="00197E42">
        <w:t>In cases of a single miscarriage with pregnancy loss at less than 20 weeks of gestation</w:t>
      </w:r>
      <w:r w:rsidR="00A05C5D">
        <w:t>,</w:t>
      </w:r>
      <w:r w:rsidR="00D66657" w:rsidRPr="00197E42">
        <w:t xml:space="preserve"> where the fetus is structurally normal, or pregnancy losses where structural condition of the pregnancy(</w:t>
      </w:r>
      <w:proofErr w:type="spellStart"/>
      <w:r w:rsidR="00D66657" w:rsidRPr="00197E42">
        <w:t>ies</w:t>
      </w:r>
      <w:proofErr w:type="spellEnd"/>
      <w:r w:rsidR="00D66657" w:rsidRPr="00197E42">
        <w:t>) is unknown.</w:t>
      </w:r>
    </w:p>
    <w:p w14:paraId="6C30E6CF" w14:textId="77777777" w:rsidR="00C21D5D" w:rsidRPr="000C4608" w:rsidRDefault="00D66657" w:rsidP="00F46C78">
      <w:pPr>
        <w:ind w:left="360"/>
      </w:pPr>
      <w:r w:rsidRPr="000C4608">
        <w:t>OR</w:t>
      </w:r>
    </w:p>
    <w:p w14:paraId="2B138DEF" w14:textId="6A8BB0F2" w:rsidR="00C21D5D" w:rsidRPr="00616122" w:rsidRDefault="005A1C74" w:rsidP="00F46C78">
      <w:pPr>
        <w:pStyle w:val="ListParagraph"/>
        <w:tabs>
          <w:tab w:val="left" w:pos="540"/>
        </w:tabs>
        <w:spacing w:before="115" w:line="226" w:lineRule="auto"/>
        <w:ind w:left="360"/>
      </w:pPr>
      <w:r>
        <w:rPr>
          <w:color w:val="231F20"/>
        </w:rPr>
        <w:t xml:space="preserve">b. </w:t>
      </w:r>
      <w:r w:rsidR="00D66657" w:rsidRPr="00616122">
        <w:rPr>
          <w:color w:val="231F20"/>
        </w:rPr>
        <w:t>An obvious diagnosis, genetic disorder, or metabolic derangement is responsible for the obstetric ultrasound findings or pregnancy loss (including stillbirth), based on a comprehensive history and exams, including</w:t>
      </w:r>
      <w:r w:rsidR="00BC4C33">
        <w:rPr>
          <w:color w:val="231F20"/>
        </w:rPr>
        <w:br/>
      </w:r>
    </w:p>
    <w:p w14:paraId="2838D1AF" w14:textId="0ED51169" w:rsidR="00C21D5D" w:rsidRPr="00616122" w:rsidRDefault="005A1C74" w:rsidP="00F46C78">
      <w:pPr>
        <w:pStyle w:val="ListParagraph"/>
        <w:tabs>
          <w:tab w:val="left" w:pos="540"/>
          <w:tab w:val="left" w:pos="1260"/>
        </w:tabs>
        <w:spacing w:before="108"/>
      </w:pPr>
      <w:r>
        <w:rPr>
          <w:color w:val="231F20"/>
        </w:rPr>
        <w:t xml:space="preserve">i. </w:t>
      </w:r>
      <w:r w:rsidR="00D66657" w:rsidRPr="00616122">
        <w:rPr>
          <w:color w:val="231F20"/>
        </w:rPr>
        <w:t xml:space="preserve">prenatal and birth history, if </w:t>
      </w:r>
      <w:proofErr w:type="gramStart"/>
      <w:r w:rsidR="00D66657" w:rsidRPr="00616122">
        <w:rPr>
          <w:color w:val="231F20"/>
        </w:rPr>
        <w:t>available;</w:t>
      </w:r>
      <w:proofErr w:type="gramEnd"/>
    </w:p>
    <w:p w14:paraId="26D0E178" w14:textId="0B1AA6FB" w:rsidR="00C21D5D" w:rsidRPr="00616122" w:rsidRDefault="005A1C74" w:rsidP="00F46C78">
      <w:pPr>
        <w:pStyle w:val="ListParagraph"/>
        <w:tabs>
          <w:tab w:val="left" w:pos="540"/>
          <w:tab w:val="left" w:pos="1260"/>
        </w:tabs>
      </w:pPr>
      <w:r>
        <w:rPr>
          <w:color w:val="231F20"/>
        </w:rPr>
        <w:t xml:space="preserve">ii. </w:t>
      </w:r>
      <w:r w:rsidR="00D66657" w:rsidRPr="00616122">
        <w:rPr>
          <w:color w:val="231F20"/>
        </w:rPr>
        <w:t xml:space="preserve">family history which, if available, includes a pedigree of three generations or </w:t>
      </w:r>
      <w:proofErr w:type="gramStart"/>
      <w:r w:rsidR="00D66657" w:rsidRPr="00616122">
        <w:rPr>
          <w:color w:val="231F20"/>
        </w:rPr>
        <w:t>more;</w:t>
      </w:r>
      <w:proofErr w:type="gramEnd"/>
    </w:p>
    <w:p w14:paraId="36668998" w14:textId="29F0EFCC" w:rsidR="00C21D5D" w:rsidRPr="00616122" w:rsidRDefault="005A1C74" w:rsidP="00F46C78">
      <w:pPr>
        <w:pStyle w:val="ListParagraph"/>
        <w:tabs>
          <w:tab w:val="left" w:pos="540"/>
          <w:tab w:val="left" w:pos="1260"/>
        </w:tabs>
      </w:pPr>
      <w:r>
        <w:rPr>
          <w:color w:val="231F20"/>
        </w:rPr>
        <w:lastRenderedPageBreak/>
        <w:t xml:space="preserve">iii. </w:t>
      </w:r>
      <w:r w:rsidR="00D66657" w:rsidRPr="00616122">
        <w:rPr>
          <w:color w:val="231F20"/>
        </w:rPr>
        <w:t>a comprehensive physical, neurological, and behavioral exam; and</w:t>
      </w:r>
    </w:p>
    <w:p w14:paraId="16B94D42" w14:textId="2B18E407" w:rsidR="00C21D5D" w:rsidRPr="00616122" w:rsidRDefault="005A1C74" w:rsidP="00F46C78">
      <w:pPr>
        <w:pStyle w:val="ListParagraph"/>
        <w:tabs>
          <w:tab w:val="left" w:pos="540"/>
          <w:tab w:val="left" w:pos="1260"/>
        </w:tabs>
      </w:pPr>
      <w:r>
        <w:rPr>
          <w:color w:val="231F20"/>
        </w:rPr>
        <w:t xml:space="preserve">iv. </w:t>
      </w:r>
      <w:r w:rsidR="00D66657" w:rsidRPr="00616122">
        <w:rPr>
          <w:color w:val="231F20"/>
        </w:rPr>
        <w:t>laboratory testing, imaging, and consultations, if indicated by history and physical.</w:t>
      </w:r>
    </w:p>
    <w:p w14:paraId="5DD5A9ED" w14:textId="77777777" w:rsidR="00C21D5D" w:rsidRPr="000C4608" w:rsidRDefault="007A4640" w:rsidP="007A4640">
      <w:pPr>
        <w:pStyle w:val="Heading3"/>
      </w:pPr>
      <w:r>
        <w:t xml:space="preserve">2. </w:t>
      </w:r>
      <w:r w:rsidR="00D66657" w:rsidRPr="000C4608">
        <w:t xml:space="preserve">Postnatal CMA </w:t>
      </w:r>
      <w:r w:rsidR="00D66657" w:rsidRPr="00A157D1">
        <w:t>Testing</w:t>
      </w:r>
    </w:p>
    <w:p w14:paraId="2621BAF4" w14:textId="77777777" w:rsidR="00A05C5D" w:rsidRDefault="00A05C5D" w:rsidP="007A4640">
      <w:r>
        <w:t>CMA is not considered medically necessary</w:t>
      </w:r>
    </w:p>
    <w:p w14:paraId="68E4D7D7" w14:textId="381DD0BD" w:rsidR="00C21D5D" w:rsidRPr="000C4608" w:rsidRDefault="007A4640" w:rsidP="00F46C78">
      <w:pPr>
        <w:ind w:left="360"/>
      </w:pPr>
      <w:r>
        <w:t xml:space="preserve">a.  </w:t>
      </w:r>
      <w:r w:rsidR="00A05C5D">
        <w:t>i</w:t>
      </w:r>
      <w:r w:rsidR="00D66657" w:rsidRPr="000C4608">
        <w:t>n children with isolated delays, such as in speech or motor</w:t>
      </w:r>
      <w:r w:rsidR="00BB5E5C">
        <w:t>;</w:t>
      </w:r>
      <w:r w:rsidR="00A05C5D">
        <w:t xml:space="preserve"> or</w:t>
      </w:r>
    </w:p>
    <w:p w14:paraId="2E393EC7" w14:textId="54A67B12" w:rsidR="00C21D5D" w:rsidRPr="000C4608" w:rsidRDefault="007A4640" w:rsidP="00F46C78">
      <w:pPr>
        <w:ind w:left="360"/>
      </w:pPr>
      <w:r>
        <w:t>b</w:t>
      </w:r>
      <w:r w:rsidR="002A5B91">
        <w:t>.</w:t>
      </w:r>
      <w:r w:rsidR="005B2B4D">
        <w:t xml:space="preserve"> </w:t>
      </w:r>
      <w:r w:rsidR="00A05C5D">
        <w:t>w</w:t>
      </w:r>
      <w:r w:rsidR="00D66657" w:rsidRPr="000C4608">
        <w:t>hen an obvious diagnosis, genetic disorder, or metabolic derangement is responsible for the clinical findings</w:t>
      </w:r>
      <w:r w:rsidR="00A05C5D">
        <w:t>,</w:t>
      </w:r>
      <w:r w:rsidR="00D66657" w:rsidRPr="000C4608">
        <w:t xml:space="preserve"> based on a comprehensive history and exams, including</w:t>
      </w:r>
    </w:p>
    <w:p w14:paraId="652A32CE" w14:textId="18E0870A" w:rsidR="00C21D5D" w:rsidRPr="00616122" w:rsidRDefault="005A1C74" w:rsidP="00F46C78">
      <w:pPr>
        <w:pStyle w:val="ListParagraph"/>
        <w:tabs>
          <w:tab w:val="left" w:pos="360"/>
          <w:tab w:val="left" w:pos="1080"/>
        </w:tabs>
        <w:spacing w:before="108"/>
      </w:pPr>
      <w:r>
        <w:rPr>
          <w:color w:val="231F20"/>
        </w:rPr>
        <w:t xml:space="preserve">i. </w:t>
      </w:r>
      <w:r w:rsidR="00D66657" w:rsidRPr="00616122">
        <w:rPr>
          <w:color w:val="231F20"/>
        </w:rPr>
        <w:t xml:space="preserve">prenatal and birth history, if </w:t>
      </w:r>
      <w:proofErr w:type="gramStart"/>
      <w:r w:rsidR="00D66657" w:rsidRPr="00616122">
        <w:rPr>
          <w:color w:val="231F20"/>
        </w:rPr>
        <w:t>available;</w:t>
      </w:r>
      <w:proofErr w:type="gramEnd"/>
    </w:p>
    <w:p w14:paraId="1EEBF2DD" w14:textId="212D2D3D" w:rsidR="00C21D5D" w:rsidRPr="00616122" w:rsidRDefault="005A1C74" w:rsidP="00F46C78">
      <w:pPr>
        <w:pStyle w:val="ListParagraph"/>
        <w:tabs>
          <w:tab w:val="left" w:pos="360"/>
          <w:tab w:val="left" w:pos="1080"/>
        </w:tabs>
      </w:pPr>
      <w:r>
        <w:rPr>
          <w:color w:val="231F20"/>
        </w:rPr>
        <w:t xml:space="preserve">ii. </w:t>
      </w:r>
      <w:r w:rsidR="00D66657" w:rsidRPr="00616122">
        <w:rPr>
          <w:color w:val="231F20"/>
        </w:rPr>
        <w:t xml:space="preserve">family history which, if available, includes a pedigree of three generations or </w:t>
      </w:r>
      <w:proofErr w:type="gramStart"/>
      <w:r w:rsidR="00D66657" w:rsidRPr="00616122">
        <w:rPr>
          <w:color w:val="231F20"/>
        </w:rPr>
        <w:t>more;</w:t>
      </w:r>
      <w:proofErr w:type="gramEnd"/>
    </w:p>
    <w:p w14:paraId="5CD0BC95" w14:textId="1308C400" w:rsidR="00C21D5D" w:rsidRPr="00616122" w:rsidRDefault="005A1C74" w:rsidP="00F46C78">
      <w:pPr>
        <w:pStyle w:val="ListParagraph"/>
        <w:tabs>
          <w:tab w:val="left" w:pos="360"/>
          <w:tab w:val="left" w:pos="1080"/>
        </w:tabs>
      </w:pPr>
      <w:r>
        <w:rPr>
          <w:color w:val="231F20"/>
        </w:rPr>
        <w:t xml:space="preserve">iii. </w:t>
      </w:r>
      <w:r w:rsidR="00D66657" w:rsidRPr="00616122">
        <w:rPr>
          <w:color w:val="231F20"/>
        </w:rPr>
        <w:t>a comprehensive physical, neurological, and behavioral exam; and</w:t>
      </w:r>
    </w:p>
    <w:p w14:paraId="4EDF9817" w14:textId="2E518538" w:rsidR="00C21D5D" w:rsidRPr="00616122" w:rsidRDefault="005A1C74" w:rsidP="00F46C78">
      <w:pPr>
        <w:pStyle w:val="ListParagraph"/>
        <w:tabs>
          <w:tab w:val="left" w:pos="360"/>
          <w:tab w:val="left" w:pos="1080"/>
        </w:tabs>
        <w:spacing w:before="103"/>
      </w:pPr>
      <w:r>
        <w:rPr>
          <w:color w:val="231F20"/>
        </w:rPr>
        <w:t xml:space="preserve">iv. </w:t>
      </w:r>
      <w:r w:rsidR="00D66657" w:rsidRPr="00616122">
        <w:rPr>
          <w:color w:val="231F20"/>
        </w:rPr>
        <w:t>laboratory testing, imaging and consultations, if indicated by history and physical.</w:t>
      </w:r>
    </w:p>
    <w:p w14:paraId="72DA7CC6" w14:textId="77777777" w:rsidR="00C21D5D" w:rsidRPr="000C4608" w:rsidRDefault="00D66657" w:rsidP="007A4640">
      <w:pPr>
        <w:pStyle w:val="Heading1"/>
      </w:pPr>
      <w:r w:rsidRPr="000C4608">
        <w:t>Section III. Submitting Clinical Documentation</w:t>
      </w:r>
    </w:p>
    <w:p w14:paraId="42F1B0A4" w14:textId="77777777" w:rsidR="00C21D5D" w:rsidRPr="000C4608" w:rsidRDefault="00D66657" w:rsidP="00853059">
      <w:r w:rsidRPr="000C4608">
        <w:t>Requests for PA for chromosomal microarray analysis must be submitted by the treating medical geneticist or physician and accompanied by clinical documentation that supports the medical necessity for this procedure.</w:t>
      </w:r>
    </w:p>
    <w:p w14:paraId="4D124F08" w14:textId="77777777" w:rsidR="00C21D5D" w:rsidRPr="000C4608" w:rsidRDefault="00D66657" w:rsidP="00853059">
      <w:r w:rsidRPr="000C4608">
        <w:t xml:space="preserve">Documentation of medical necessity must include </w:t>
      </w:r>
      <w:proofErr w:type="gramStart"/>
      <w:r w:rsidRPr="000C4608">
        <w:t>all of</w:t>
      </w:r>
      <w:proofErr w:type="gramEnd"/>
      <w:r w:rsidRPr="000C4608">
        <w:t xml:space="preserve"> the following.</w:t>
      </w:r>
    </w:p>
    <w:p w14:paraId="526EBC5F" w14:textId="6AEA36FC" w:rsidR="00C21D5D" w:rsidRPr="00616122" w:rsidRDefault="00D66657" w:rsidP="00F46C78">
      <w:pPr>
        <w:pStyle w:val="ListParagraph"/>
        <w:numPr>
          <w:ilvl w:val="0"/>
          <w:numId w:val="2"/>
        </w:numPr>
        <w:tabs>
          <w:tab w:val="left" w:pos="1080"/>
        </w:tabs>
        <w:spacing w:before="164"/>
        <w:ind w:left="1080" w:hanging="302"/>
      </w:pPr>
      <w:r w:rsidRPr="00616122">
        <w:rPr>
          <w:color w:val="231F20"/>
        </w:rPr>
        <w:t>Diagnoses</w:t>
      </w:r>
    </w:p>
    <w:p w14:paraId="7D3D79E0" w14:textId="364C492C" w:rsidR="00C21D5D" w:rsidRPr="00616122" w:rsidRDefault="00D66657" w:rsidP="005A1C74">
      <w:pPr>
        <w:pStyle w:val="ListParagraph"/>
        <w:numPr>
          <w:ilvl w:val="0"/>
          <w:numId w:val="2"/>
        </w:numPr>
        <w:tabs>
          <w:tab w:val="left" w:pos="1080"/>
        </w:tabs>
        <w:spacing w:before="115" w:line="225" w:lineRule="auto"/>
        <w:ind w:left="1080" w:right="454" w:hanging="300"/>
      </w:pPr>
      <w:r w:rsidRPr="00616122">
        <w:rPr>
          <w:color w:val="231F20"/>
        </w:rPr>
        <w:t xml:space="preserve">A comprehensive history and exams, including prenatal and birth history, if available, which </w:t>
      </w:r>
      <w:proofErr w:type="gramStart"/>
      <w:r w:rsidRPr="00616122">
        <w:rPr>
          <w:color w:val="231F20"/>
        </w:rPr>
        <w:t>includes</w:t>
      </w:r>
      <w:proofErr w:type="gramEnd"/>
      <w:r w:rsidRPr="00616122">
        <w:rPr>
          <w:color w:val="231F20"/>
        </w:rPr>
        <w:t xml:space="preserve"> a pedigree of three generations or more performed by a developmental specialist (pediatric neurologist or developmental pediatrician)</w:t>
      </w:r>
    </w:p>
    <w:p w14:paraId="3A797FC2" w14:textId="279FFEEB" w:rsidR="00C21D5D" w:rsidRPr="00616122" w:rsidRDefault="00D66657" w:rsidP="005A1C74">
      <w:pPr>
        <w:pStyle w:val="ListParagraph"/>
        <w:numPr>
          <w:ilvl w:val="0"/>
          <w:numId w:val="2"/>
        </w:numPr>
        <w:tabs>
          <w:tab w:val="left" w:pos="1080"/>
        </w:tabs>
        <w:spacing w:before="120" w:line="225" w:lineRule="auto"/>
        <w:ind w:left="1080" w:right="999" w:hanging="300"/>
      </w:pPr>
      <w:r w:rsidRPr="00616122">
        <w:rPr>
          <w:color w:val="231F20"/>
        </w:rPr>
        <w:t>A current comprehensive physical, neurological, and behavioral exam performed by a developmental specialist (pediatric neurologist or developmental pediatrician)</w:t>
      </w:r>
    </w:p>
    <w:p w14:paraId="62271934" w14:textId="4003405B" w:rsidR="00C21D5D" w:rsidRPr="00616122" w:rsidRDefault="00D66657" w:rsidP="005A1C74">
      <w:pPr>
        <w:pStyle w:val="ListParagraph"/>
        <w:numPr>
          <w:ilvl w:val="0"/>
          <w:numId w:val="2"/>
        </w:numPr>
        <w:tabs>
          <w:tab w:val="left" w:pos="1080"/>
        </w:tabs>
        <w:spacing w:before="120" w:line="225" w:lineRule="auto"/>
        <w:ind w:left="1080" w:right="778" w:hanging="300"/>
      </w:pPr>
      <w:r w:rsidRPr="00616122">
        <w:rPr>
          <w:color w:val="231F20"/>
        </w:rPr>
        <w:t xml:space="preserve">Results of laboratory testing, imaging, and consultations, </w:t>
      </w:r>
      <w:proofErr w:type="gramStart"/>
      <w:r w:rsidRPr="00616122">
        <w:rPr>
          <w:color w:val="231F20"/>
        </w:rPr>
        <w:t>where</w:t>
      </w:r>
      <w:proofErr w:type="gramEnd"/>
      <w:r w:rsidRPr="00616122">
        <w:rPr>
          <w:color w:val="231F20"/>
        </w:rPr>
        <w:t xml:space="preserve"> indicated by history and physical</w:t>
      </w:r>
    </w:p>
    <w:p w14:paraId="10FED708" w14:textId="57C8CBBB" w:rsidR="00C21D5D" w:rsidRPr="00616122" w:rsidRDefault="00D66657" w:rsidP="005A1C74">
      <w:pPr>
        <w:pStyle w:val="ListParagraph"/>
        <w:numPr>
          <w:ilvl w:val="0"/>
          <w:numId w:val="2"/>
        </w:numPr>
        <w:tabs>
          <w:tab w:val="left" w:pos="1080"/>
        </w:tabs>
        <w:spacing w:before="108"/>
        <w:ind w:left="1080" w:hanging="300"/>
      </w:pPr>
      <w:r w:rsidRPr="00616122">
        <w:rPr>
          <w:color w:val="231F20"/>
        </w:rPr>
        <w:t>Copies of all standardized testing performed and any accompanying report</w:t>
      </w:r>
    </w:p>
    <w:p w14:paraId="1B8BFA0B" w14:textId="4D3CBB9F" w:rsidR="00C21D5D" w:rsidRPr="00616122" w:rsidRDefault="00D66657" w:rsidP="005A1C74">
      <w:pPr>
        <w:pStyle w:val="ListParagraph"/>
        <w:numPr>
          <w:ilvl w:val="0"/>
          <w:numId w:val="2"/>
        </w:numPr>
        <w:tabs>
          <w:tab w:val="left" w:pos="1080"/>
        </w:tabs>
        <w:ind w:left="1080" w:hanging="300"/>
      </w:pPr>
      <w:r w:rsidRPr="00616122">
        <w:rPr>
          <w:color w:val="231F20"/>
        </w:rPr>
        <w:t>Documentation of genetic counselling performed by a provider with genetics expertise</w:t>
      </w:r>
    </w:p>
    <w:p w14:paraId="64042AF2" w14:textId="2DF691D0" w:rsidR="00C21D5D" w:rsidRPr="00616122" w:rsidRDefault="00D66657" w:rsidP="005A1C74">
      <w:pPr>
        <w:pStyle w:val="ListParagraph"/>
        <w:numPr>
          <w:ilvl w:val="0"/>
          <w:numId w:val="2"/>
        </w:numPr>
        <w:tabs>
          <w:tab w:val="left" w:pos="1080"/>
        </w:tabs>
        <w:spacing w:before="103"/>
        <w:ind w:left="1080" w:hanging="300"/>
      </w:pPr>
      <w:r w:rsidRPr="00616122">
        <w:rPr>
          <w:color w:val="231F20"/>
        </w:rPr>
        <w:t xml:space="preserve">A completed </w:t>
      </w:r>
      <w:r w:rsidRPr="00616122">
        <w:rPr>
          <w:i/>
          <w:color w:val="231F20"/>
        </w:rPr>
        <w:t xml:space="preserve">MassHealth Prior Authorization Request </w:t>
      </w:r>
      <w:r w:rsidRPr="00616122">
        <w:rPr>
          <w:color w:val="231F20"/>
        </w:rPr>
        <w:t>form signed by the ordering provider</w:t>
      </w:r>
    </w:p>
    <w:p w14:paraId="0EF0738A" w14:textId="6744A43D" w:rsidR="00C21D5D" w:rsidRPr="00616122" w:rsidRDefault="00D66657" w:rsidP="005A1C74">
      <w:pPr>
        <w:pStyle w:val="ListParagraph"/>
        <w:numPr>
          <w:ilvl w:val="0"/>
          <w:numId w:val="2"/>
        </w:numPr>
        <w:tabs>
          <w:tab w:val="left" w:pos="1080"/>
        </w:tabs>
        <w:ind w:left="1080" w:hanging="300"/>
      </w:pPr>
      <w:r w:rsidRPr="00616122">
        <w:rPr>
          <w:color w:val="231F20"/>
        </w:rPr>
        <w:t>Any other clinical information that MassHealth may request</w:t>
      </w:r>
    </w:p>
    <w:p w14:paraId="07D5A23C" w14:textId="63B3DAB9" w:rsidR="001F6BB5" w:rsidRPr="00616122" w:rsidRDefault="00D66657" w:rsidP="00F46C78">
      <w:pPr>
        <w:widowControl w:val="0"/>
        <w:tabs>
          <w:tab w:val="left" w:pos="495"/>
        </w:tabs>
        <w:autoSpaceDE w:val="0"/>
        <w:autoSpaceDN w:val="0"/>
        <w:spacing w:after="0" w:line="240" w:lineRule="auto"/>
        <w:ind w:right="414"/>
        <w:rPr>
          <w:rFonts w:eastAsia="Book Antiqua" w:cstheme="minorHAnsi"/>
        </w:rPr>
      </w:pPr>
      <w:r w:rsidRPr="00616122">
        <w:rPr>
          <w:rFonts w:cstheme="minorHAnsi"/>
        </w:rPr>
        <w:t xml:space="preserve">All </w:t>
      </w:r>
      <w:r w:rsidR="009438F2" w:rsidRPr="00616122">
        <w:rPr>
          <w:rFonts w:cstheme="minorHAnsi"/>
        </w:rPr>
        <w:t xml:space="preserve">PA </w:t>
      </w:r>
      <w:r w:rsidRPr="00616122">
        <w:rPr>
          <w:rFonts w:cstheme="minorHAnsi"/>
        </w:rPr>
        <w:t>requests must be submitted by a medical geneticist or physician.</w:t>
      </w:r>
      <w:r w:rsidR="001F6BB5" w:rsidRPr="00616122">
        <w:rPr>
          <w:rFonts w:eastAsia="Book Antiqua" w:cstheme="minorHAnsi"/>
          <w:b/>
        </w:rPr>
        <w:t xml:space="preserve"> </w:t>
      </w:r>
      <w:r w:rsidR="001F6BB5" w:rsidRPr="00616122">
        <w:rPr>
          <w:rFonts w:eastAsia="Book Antiqua" w:cstheme="minorHAnsi"/>
        </w:rPr>
        <w:t xml:space="preserve">Providers must electronically submit PA requests and all supporting documentation using the Provider Online Service Center (POSC), unless the provider has a currently approved electronic claims waiver (hereinafter, “waiver”). Please see </w:t>
      </w:r>
      <w:hyperlink r:id="rId13">
        <w:r w:rsidR="001F6BB5" w:rsidRPr="00616122">
          <w:rPr>
            <w:rFonts w:eastAsia="Book Antiqua" w:cstheme="minorHAnsi"/>
            <w:color w:val="0000FF"/>
            <w:u w:val="single" w:color="0000FF"/>
          </w:rPr>
          <w:t>All Provider Bulletin 369</w:t>
        </w:r>
      </w:hyperlink>
      <w:r w:rsidR="001F6BB5" w:rsidRPr="00616122">
        <w:rPr>
          <w:rFonts w:eastAsia="Book Antiqua" w:cstheme="minorHAnsi"/>
          <w:color w:val="0000FF"/>
        </w:rPr>
        <w:t xml:space="preserve"> </w:t>
      </w:r>
      <w:r w:rsidR="001F6BB5" w:rsidRPr="00616122">
        <w:rPr>
          <w:rFonts w:eastAsia="Book Antiqua" w:cstheme="minorHAnsi"/>
        </w:rPr>
        <w:t>for further waiver information. If you have questions about POSC access, please contact the MassHealth Customer Service Center at (800) 841-2900, TDD/TTY: 711.</w:t>
      </w:r>
    </w:p>
    <w:p w14:paraId="75DD6B8B" w14:textId="6ADDAD10" w:rsidR="00C21D5D" w:rsidRPr="000C4608" w:rsidRDefault="001F6BB5" w:rsidP="00F46C78">
      <w:pPr>
        <w:widowControl w:val="0"/>
        <w:autoSpaceDE w:val="0"/>
        <w:autoSpaceDN w:val="0"/>
        <w:spacing w:before="246" w:after="0" w:line="240" w:lineRule="auto"/>
        <w:ind w:right="226"/>
        <w:sectPr w:rsidR="00C21D5D" w:rsidRPr="000C4608" w:rsidSect="00853059">
          <w:footerReference w:type="default" r:id="rId14"/>
          <w:pgSz w:w="12240" w:h="15840"/>
          <w:pgMar w:top="1440" w:right="1080" w:bottom="1440" w:left="1080" w:header="0" w:footer="1300" w:gutter="0"/>
          <w:cols w:space="720"/>
          <w:docGrid w:linePitch="299"/>
        </w:sectPr>
      </w:pPr>
      <w:r w:rsidRPr="00616122">
        <w:rPr>
          <w:rFonts w:eastAsia="Book Antiqua" w:cstheme="minorHAnsi"/>
        </w:rPr>
        <w:t>For</w:t>
      </w:r>
      <w:r w:rsidRPr="00616122">
        <w:rPr>
          <w:rFonts w:eastAsia="Book Antiqua" w:cstheme="minorHAnsi"/>
          <w:spacing w:val="-2"/>
        </w:rPr>
        <w:t xml:space="preserve"> </w:t>
      </w:r>
      <w:r w:rsidRPr="00616122">
        <w:rPr>
          <w:rFonts w:eastAsia="Book Antiqua" w:cstheme="minorHAnsi"/>
        </w:rPr>
        <w:t>PA</w:t>
      </w:r>
      <w:r w:rsidRPr="00616122">
        <w:rPr>
          <w:rFonts w:eastAsia="Book Antiqua" w:cstheme="minorHAnsi"/>
          <w:spacing w:val="-2"/>
        </w:rPr>
        <w:t xml:space="preserve"> </w:t>
      </w:r>
      <w:r w:rsidRPr="00616122">
        <w:rPr>
          <w:rFonts w:eastAsia="Book Antiqua" w:cstheme="minorHAnsi"/>
        </w:rPr>
        <w:t>requests</w:t>
      </w:r>
      <w:r w:rsidRPr="00616122">
        <w:rPr>
          <w:rFonts w:eastAsia="Book Antiqua" w:cstheme="minorHAnsi"/>
          <w:spacing w:val="-4"/>
        </w:rPr>
        <w:t xml:space="preserve"> </w:t>
      </w:r>
      <w:r w:rsidRPr="00616122">
        <w:rPr>
          <w:rFonts w:eastAsia="Book Antiqua" w:cstheme="minorHAnsi"/>
        </w:rPr>
        <w:t>that</w:t>
      </w:r>
      <w:r w:rsidRPr="00616122">
        <w:rPr>
          <w:rFonts w:eastAsia="Book Antiqua" w:cstheme="minorHAnsi"/>
          <w:spacing w:val="-3"/>
        </w:rPr>
        <w:t xml:space="preserve"> </w:t>
      </w:r>
      <w:r w:rsidRPr="00616122">
        <w:rPr>
          <w:rFonts w:eastAsia="Book Antiqua" w:cstheme="minorHAnsi"/>
        </w:rPr>
        <w:t>are</w:t>
      </w:r>
      <w:r w:rsidRPr="00616122">
        <w:rPr>
          <w:rFonts w:eastAsia="Book Antiqua" w:cstheme="minorHAnsi"/>
          <w:spacing w:val="-2"/>
        </w:rPr>
        <w:t xml:space="preserve"> </w:t>
      </w:r>
      <w:r w:rsidRPr="00616122">
        <w:rPr>
          <w:rFonts w:eastAsia="Book Antiqua" w:cstheme="minorHAnsi"/>
        </w:rPr>
        <w:t>not</w:t>
      </w:r>
      <w:r w:rsidRPr="00616122">
        <w:rPr>
          <w:rFonts w:eastAsia="Book Antiqua" w:cstheme="minorHAnsi"/>
          <w:spacing w:val="-3"/>
        </w:rPr>
        <w:t xml:space="preserve"> </w:t>
      </w:r>
      <w:r w:rsidRPr="00616122">
        <w:rPr>
          <w:rFonts w:eastAsia="Book Antiqua" w:cstheme="minorHAnsi"/>
        </w:rPr>
        <w:t>submitted</w:t>
      </w:r>
      <w:r w:rsidRPr="00616122">
        <w:rPr>
          <w:rFonts w:eastAsia="Book Antiqua" w:cstheme="minorHAnsi"/>
          <w:spacing w:val="-2"/>
        </w:rPr>
        <w:t xml:space="preserve"> </w:t>
      </w:r>
      <w:r w:rsidRPr="00616122">
        <w:rPr>
          <w:rFonts w:eastAsia="Book Antiqua" w:cstheme="minorHAnsi"/>
        </w:rPr>
        <w:t>using</w:t>
      </w:r>
      <w:r w:rsidRPr="00616122">
        <w:rPr>
          <w:rFonts w:eastAsia="Book Antiqua" w:cstheme="minorHAnsi"/>
          <w:spacing w:val="-3"/>
        </w:rPr>
        <w:t xml:space="preserve"> </w:t>
      </w:r>
      <w:r w:rsidRPr="00616122">
        <w:rPr>
          <w:rFonts w:eastAsia="Book Antiqua" w:cstheme="minorHAnsi"/>
        </w:rPr>
        <w:t>the</w:t>
      </w:r>
      <w:r w:rsidRPr="00616122">
        <w:rPr>
          <w:rFonts w:eastAsia="Book Antiqua" w:cstheme="minorHAnsi"/>
          <w:spacing w:val="-2"/>
        </w:rPr>
        <w:t xml:space="preserve"> </w:t>
      </w:r>
      <w:r w:rsidRPr="00616122">
        <w:rPr>
          <w:rFonts w:eastAsia="Book Antiqua" w:cstheme="minorHAnsi"/>
        </w:rPr>
        <w:t>POSC,</w:t>
      </w:r>
      <w:r w:rsidRPr="00616122">
        <w:rPr>
          <w:rFonts w:eastAsia="Book Antiqua" w:cstheme="minorHAnsi"/>
          <w:spacing w:val="-2"/>
        </w:rPr>
        <w:t xml:space="preserve"> </w:t>
      </w:r>
      <w:r w:rsidRPr="00616122">
        <w:rPr>
          <w:rFonts w:eastAsia="Book Antiqua" w:cstheme="minorHAnsi"/>
        </w:rPr>
        <w:t>providers</w:t>
      </w:r>
      <w:r w:rsidRPr="00616122">
        <w:rPr>
          <w:rFonts w:eastAsia="Book Antiqua" w:cstheme="minorHAnsi"/>
          <w:spacing w:val="-4"/>
        </w:rPr>
        <w:t xml:space="preserve"> </w:t>
      </w:r>
      <w:r w:rsidRPr="00616122">
        <w:rPr>
          <w:rFonts w:eastAsia="Book Antiqua" w:cstheme="minorHAnsi"/>
        </w:rPr>
        <w:t>with</w:t>
      </w:r>
      <w:r w:rsidRPr="00616122">
        <w:rPr>
          <w:rFonts w:eastAsia="Book Antiqua" w:cstheme="minorHAnsi"/>
          <w:spacing w:val="-4"/>
        </w:rPr>
        <w:t xml:space="preserve"> </w:t>
      </w:r>
      <w:r w:rsidRPr="00616122">
        <w:rPr>
          <w:rFonts w:eastAsia="Book Antiqua" w:cstheme="minorHAnsi"/>
        </w:rPr>
        <w:t>currently</w:t>
      </w:r>
      <w:r w:rsidRPr="00616122">
        <w:rPr>
          <w:rFonts w:eastAsia="Book Antiqua" w:cstheme="minorHAnsi"/>
          <w:spacing w:val="-2"/>
        </w:rPr>
        <w:t xml:space="preserve"> </w:t>
      </w:r>
      <w:r w:rsidRPr="00616122">
        <w:rPr>
          <w:rFonts w:eastAsia="Book Antiqua" w:cstheme="minorHAnsi"/>
        </w:rPr>
        <w:t>approved</w:t>
      </w:r>
      <w:r w:rsidRPr="00616122">
        <w:rPr>
          <w:rFonts w:eastAsia="Book Antiqua" w:cstheme="minorHAnsi"/>
          <w:spacing w:val="-2"/>
        </w:rPr>
        <w:t xml:space="preserve"> </w:t>
      </w:r>
      <w:r w:rsidRPr="00616122">
        <w:rPr>
          <w:rFonts w:eastAsia="Book Antiqua" w:cstheme="minorHAnsi"/>
        </w:rPr>
        <w:t xml:space="preserve">waivers must include the MassHealth Prior Authorization Request (PA-1 Form) and all supporting documentation. The PA-1 Form can be found at </w:t>
      </w:r>
      <w:hyperlink r:id="rId15">
        <w:r w:rsidRPr="00616122">
          <w:rPr>
            <w:rFonts w:eastAsia="Book Antiqua" w:cstheme="minorHAnsi"/>
            <w:color w:val="0000FF"/>
            <w:u w:val="single" w:color="0000FF"/>
          </w:rPr>
          <w:t>mass.gov/prior-authorization-for-</w:t>
        </w:r>
        <w:proofErr w:type="spellStart"/>
        <w:r w:rsidRPr="00616122">
          <w:rPr>
            <w:rFonts w:eastAsia="Book Antiqua" w:cstheme="minorHAnsi"/>
            <w:color w:val="0000FF"/>
            <w:u w:val="single" w:color="0000FF"/>
          </w:rPr>
          <w:t>masshealth</w:t>
        </w:r>
        <w:proofErr w:type="spellEnd"/>
        <w:r w:rsidRPr="00616122">
          <w:rPr>
            <w:rFonts w:eastAsia="Book Antiqua" w:cstheme="minorHAnsi"/>
            <w:color w:val="0000FF"/>
            <w:u w:val="single" w:color="0000FF"/>
          </w:rPr>
          <w:t>-</w:t>
        </w:r>
      </w:hyperlink>
      <w:hyperlink r:id="rId16">
        <w:r w:rsidRPr="00616122">
          <w:rPr>
            <w:rFonts w:eastAsia="Book Antiqua" w:cstheme="minorHAnsi"/>
            <w:color w:val="0000FF"/>
            <w:spacing w:val="-2"/>
            <w:u w:val="single" w:color="0000FF"/>
          </w:rPr>
          <w:t>providers</w:t>
        </w:r>
        <w:r w:rsidRPr="00616122">
          <w:rPr>
            <w:rFonts w:eastAsia="Book Antiqua" w:cstheme="minorHAnsi"/>
            <w:spacing w:val="-2"/>
          </w:rPr>
          <w:t>.</w:t>
        </w:r>
      </w:hyperlink>
    </w:p>
    <w:tbl>
      <w:tblPr>
        <w:tblW w:w="0" w:type="auto"/>
        <w:tblInd w:w="63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1008"/>
        <w:gridCol w:w="7622"/>
      </w:tblGrid>
      <w:tr w:rsidR="00C21D5D" w:rsidRPr="000C4608" w14:paraId="77D955FA" w14:textId="77777777" w:rsidTr="00F73626">
        <w:trPr>
          <w:trHeight w:val="357"/>
        </w:trPr>
        <w:tc>
          <w:tcPr>
            <w:tcW w:w="1008" w:type="dxa"/>
            <w:shd w:val="clear" w:color="auto" w:fill="BEBEBE"/>
          </w:tcPr>
          <w:p w14:paraId="4A7397E6" w14:textId="77777777" w:rsidR="00C21D5D" w:rsidRPr="000C4608" w:rsidRDefault="00D66657" w:rsidP="00853059">
            <w:r w:rsidRPr="000C4608">
              <w:lastRenderedPageBreak/>
              <w:t>Code</w:t>
            </w:r>
          </w:p>
        </w:tc>
        <w:tc>
          <w:tcPr>
            <w:tcW w:w="7622" w:type="dxa"/>
            <w:shd w:val="clear" w:color="auto" w:fill="BEBEBE"/>
          </w:tcPr>
          <w:p w14:paraId="4F973BAE" w14:textId="77777777" w:rsidR="00C21D5D" w:rsidRPr="000C4608" w:rsidRDefault="00D66657" w:rsidP="00853059">
            <w:r w:rsidRPr="000C4608">
              <w:t>Definition</w:t>
            </w:r>
          </w:p>
        </w:tc>
      </w:tr>
      <w:tr w:rsidR="00C21D5D" w:rsidRPr="000C4608" w14:paraId="0253F551" w14:textId="77777777" w:rsidTr="00F73626">
        <w:trPr>
          <w:trHeight w:val="806"/>
        </w:trPr>
        <w:tc>
          <w:tcPr>
            <w:tcW w:w="1008" w:type="dxa"/>
          </w:tcPr>
          <w:p w14:paraId="67C45ADE" w14:textId="77777777" w:rsidR="00C21D5D" w:rsidRPr="000C4608" w:rsidRDefault="00C21D5D" w:rsidP="00853059"/>
          <w:p w14:paraId="72DEEB02" w14:textId="77777777" w:rsidR="00C21D5D" w:rsidRPr="000C4608" w:rsidRDefault="00D66657" w:rsidP="00853059">
            <w:r w:rsidRPr="000C4608">
              <w:t>81228</w:t>
            </w:r>
          </w:p>
        </w:tc>
        <w:tc>
          <w:tcPr>
            <w:tcW w:w="7622" w:type="dxa"/>
          </w:tcPr>
          <w:p w14:paraId="6CEAAF4C" w14:textId="77777777" w:rsidR="00C21D5D" w:rsidRPr="000C4608" w:rsidRDefault="00D66657" w:rsidP="00853059">
            <w:proofErr w:type="spellStart"/>
            <w:r w:rsidRPr="000C4608">
              <w:t>Cytogenomic</w:t>
            </w:r>
            <w:proofErr w:type="spellEnd"/>
            <w:r w:rsidRPr="000C4608">
              <w:t xml:space="preserve"> constitutional (genome-wide) microarray analysis; interrogation of genomic regions for copy number variants [e.g., bacterial artificial chromosome (BAC) or oligo-based comparative genomic hybridization (CGH) microarray analysis]</w:t>
            </w:r>
          </w:p>
        </w:tc>
      </w:tr>
      <w:tr w:rsidR="00C21D5D" w:rsidRPr="000C4608" w14:paraId="135C73A2" w14:textId="77777777" w:rsidTr="00F73626">
        <w:trPr>
          <w:trHeight w:val="806"/>
        </w:trPr>
        <w:tc>
          <w:tcPr>
            <w:tcW w:w="1008" w:type="dxa"/>
          </w:tcPr>
          <w:p w14:paraId="69F6DDE5" w14:textId="77777777" w:rsidR="00C21D5D" w:rsidRPr="000C4608" w:rsidRDefault="00C21D5D" w:rsidP="00853059"/>
          <w:p w14:paraId="3EAB803F" w14:textId="77777777" w:rsidR="00C21D5D" w:rsidRPr="000C4608" w:rsidRDefault="00D66657" w:rsidP="00853059">
            <w:r w:rsidRPr="000C4608">
              <w:t>81229</w:t>
            </w:r>
          </w:p>
        </w:tc>
        <w:tc>
          <w:tcPr>
            <w:tcW w:w="7622" w:type="dxa"/>
          </w:tcPr>
          <w:p w14:paraId="5463CA80" w14:textId="77777777" w:rsidR="00C21D5D" w:rsidRPr="000C4608" w:rsidRDefault="00D66657" w:rsidP="00853059">
            <w:proofErr w:type="spellStart"/>
            <w:r w:rsidRPr="000C4608">
              <w:t>Cytogenomic</w:t>
            </w:r>
            <w:proofErr w:type="spellEnd"/>
            <w:r w:rsidRPr="000C4608">
              <w:t xml:space="preserve"> constitutional (genome-wide) microarray analysis; interrogation of genomic regions for copy number and single nucleotide polymorphism (SNP) variants for chromosomal abnormalities</w:t>
            </w:r>
          </w:p>
        </w:tc>
      </w:tr>
    </w:tbl>
    <w:p w14:paraId="5CCCCD3D" w14:textId="77777777" w:rsidR="00C21D5D" w:rsidRPr="000C4608" w:rsidRDefault="00D66657" w:rsidP="00853059">
      <w:pPr>
        <w:pStyle w:val="Heading1"/>
      </w:pPr>
      <w:r w:rsidRPr="000C4608">
        <w:t>Select References</w:t>
      </w:r>
    </w:p>
    <w:p w14:paraId="57802E0B" w14:textId="46734398" w:rsidR="00C21D5D" w:rsidRPr="00616122" w:rsidRDefault="00D66657" w:rsidP="00D35550">
      <w:pPr>
        <w:pStyle w:val="ListParagraph"/>
        <w:numPr>
          <w:ilvl w:val="0"/>
          <w:numId w:val="1"/>
        </w:numPr>
        <w:tabs>
          <w:tab w:val="left" w:pos="900"/>
        </w:tabs>
        <w:spacing w:line="225" w:lineRule="auto"/>
        <w:ind w:left="900" w:right="284" w:hanging="300"/>
        <w:rPr>
          <w:rFonts w:cstheme="minorHAnsi"/>
        </w:rPr>
      </w:pPr>
      <w:r w:rsidRPr="00616122">
        <w:rPr>
          <w:rFonts w:cstheme="minorHAnsi"/>
          <w:color w:val="231F20"/>
        </w:rPr>
        <w:t xml:space="preserve">American Academy of Pediatrics. Initial medical Evaluation of a Child Diagnosed with an </w:t>
      </w:r>
      <w:proofErr w:type="gramStart"/>
      <w:r w:rsidRPr="00616122">
        <w:rPr>
          <w:rFonts w:cstheme="minorHAnsi"/>
          <w:color w:val="231F20"/>
        </w:rPr>
        <w:t>Autism Spectrum Disorder</w:t>
      </w:r>
      <w:proofErr w:type="gramEnd"/>
      <w:r w:rsidRPr="00616122">
        <w:rPr>
          <w:rFonts w:cstheme="minorHAnsi"/>
          <w:color w:val="231F20"/>
        </w:rPr>
        <w:t xml:space="preserve">. Autism. Caring for Children with Autism Spectrum Disorder: A </w:t>
      </w:r>
      <w:r w:rsidR="0082196B">
        <w:rPr>
          <w:rFonts w:cstheme="minorHAnsi"/>
          <w:color w:val="231F20"/>
        </w:rPr>
        <w:t>R</w:t>
      </w:r>
      <w:r w:rsidR="0082196B" w:rsidRPr="00616122">
        <w:rPr>
          <w:rFonts w:cstheme="minorHAnsi"/>
          <w:color w:val="231F20"/>
        </w:rPr>
        <w:t xml:space="preserve">esource </w:t>
      </w:r>
      <w:r w:rsidR="0082196B">
        <w:rPr>
          <w:rFonts w:cstheme="minorHAnsi"/>
          <w:color w:val="231F20"/>
        </w:rPr>
        <w:t>T</w:t>
      </w:r>
      <w:r w:rsidR="0082196B" w:rsidRPr="00616122">
        <w:rPr>
          <w:rFonts w:cstheme="minorHAnsi"/>
          <w:color w:val="231F20"/>
        </w:rPr>
        <w:t xml:space="preserve">oolkit </w:t>
      </w:r>
      <w:r w:rsidRPr="00616122">
        <w:rPr>
          <w:rFonts w:cstheme="minorHAnsi"/>
          <w:color w:val="231F20"/>
        </w:rPr>
        <w:t xml:space="preserve">for </w:t>
      </w:r>
      <w:r w:rsidR="0082196B">
        <w:rPr>
          <w:rFonts w:cstheme="minorHAnsi"/>
          <w:color w:val="231F20"/>
        </w:rPr>
        <w:t>C</w:t>
      </w:r>
      <w:r w:rsidR="0082196B" w:rsidRPr="00616122">
        <w:rPr>
          <w:rFonts w:cstheme="minorHAnsi"/>
          <w:color w:val="231F20"/>
        </w:rPr>
        <w:t>linicians</w:t>
      </w:r>
      <w:r w:rsidRPr="00616122">
        <w:rPr>
          <w:rFonts w:cstheme="minorHAnsi"/>
          <w:color w:val="231F20"/>
        </w:rPr>
        <w:t xml:space="preserve">. Second Edition. Clinician Fact Sheet. </w:t>
      </w:r>
    </w:p>
    <w:p w14:paraId="6B7341BF" w14:textId="31741097" w:rsidR="00C21D5D" w:rsidRPr="00D51423" w:rsidRDefault="00D66657" w:rsidP="00D35550">
      <w:pPr>
        <w:pStyle w:val="ListParagraph"/>
        <w:numPr>
          <w:ilvl w:val="0"/>
          <w:numId w:val="1"/>
        </w:numPr>
        <w:tabs>
          <w:tab w:val="left" w:pos="900"/>
        </w:tabs>
        <w:spacing w:line="225" w:lineRule="auto"/>
        <w:ind w:left="900" w:right="562" w:hanging="300"/>
        <w:rPr>
          <w:rFonts w:cstheme="minorHAnsi"/>
        </w:rPr>
      </w:pPr>
      <w:r w:rsidRPr="00616122">
        <w:rPr>
          <w:rFonts w:cstheme="minorHAnsi"/>
          <w:color w:val="231F20"/>
        </w:rPr>
        <w:t>American Association of Intellectual and Developmental Disabilities. Definition of Intellectual Disability. Retrieved on June 7, 2018</w:t>
      </w:r>
      <w:r w:rsidR="00D51423">
        <w:rPr>
          <w:rFonts w:cstheme="minorHAnsi"/>
          <w:color w:val="231F20"/>
        </w:rPr>
        <w:t>,</w:t>
      </w:r>
      <w:r w:rsidRPr="00616122">
        <w:rPr>
          <w:rFonts w:cstheme="minorHAnsi"/>
          <w:color w:val="231F20"/>
        </w:rPr>
        <w:t xml:space="preserve"> from</w:t>
      </w:r>
      <w:r w:rsidRPr="00616122">
        <w:rPr>
          <w:rFonts w:cstheme="minorHAnsi"/>
          <w:color w:val="0082C3"/>
        </w:rPr>
        <w:t xml:space="preserve"> </w:t>
      </w:r>
      <w:hyperlink r:id="rId17">
        <w:r w:rsidRPr="00616122">
          <w:rPr>
            <w:rFonts w:cstheme="minorHAnsi"/>
            <w:color w:val="005795"/>
            <w:u w:val="single" w:color="0082C3"/>
          </w:rPr>
          <w:t>http://aaidd.org/intellectual-disability/definition#.</w:t>
        </w:r>
      </w:hyperlink>
      <w:r w:rsidRPr="00616122">
        <w:rPr>
          <w:rFonts w:cstheme="minorHAnsi"/>
          <w:color w:val="005795"/>
          <w:u w:val="single" w:color="0082C3"/>
        </w:rPr>
        <w:t xml:space="preserve"> </w:t>
      </w:r>
      <w:proofErr w:type="spellStart"/>
      <w:r w:rsidRPr="00616122">
        <w:rPr>
          <w:rFonts w:cstheme="minorHAnsi"/>
          <w:color w:val="005795"/>
          <w:u w:val="single" w:color="0082C3"/>
        </w:rPr>
        <w:t>WxltWzQvyUk</w:t>
      </w:r>
      <w:proofErr w:type="spellEnd"/>
      <w:r w:rsidRPr="00616122">
        <w:rPr>
          <w:rFonts w:cstheme="minorHAnsi"/>
          <w:color w:val="231F20"/>
        </w:rPr>
        <w:t>.</w:t>
      </w:r>
    </w:p>
    <w:p w14:paraId="2A779EAC" w14:textId="77777777" w:rsidR="00D51423" w:rsidRPr="00616122" w:rsidRDefault="00D51423" w:rsidP="00D51423">
      <w:pPr>
        <w:pStyle w:val="ListParagraph"/>
        <w:numPr>
          <w:ilvl w:val="0"/>
          <w:numId w:val="1"/>
        </w:numPr>
        <w:tabs>
          <w:tab w:val="left" w:pos="900"/>
        </w:tabs>
        <w:spacing w:before="91" w:line="225" w:lineRule="auto"/>
        <w:ind w:left="900" w:right="1496" w:hanging="300"/>
        <w:rPr>
          <w:rFonts w:cstheme="minorHAnsi"/>
        </w:rPr>
      </w:pPr>
      <w:r w:rsidRPr="00616122">
        <w:rPr>
          <w:rFonts w:cstheme="minorHAnsi"/>
          <w:color w:val="231F20"/>
        </w:rPr>
        <w:t xml:space="preserve">Carter NP. Methods and strategies for analyzing copy number variation using DNA microarrays. </w:t>
      </w:r>
      <w:r w:rsidRPr="00616122">
        <w:rPr>
          <w:rFonts w:cstheme="minorHAnsi"/>
          <w:i/>
          <w:color w:val="231F20"/>
        </w:rPr>
        <w:t>Nature Genetics</w:t>
      </w:r>
      <w:r w:rsidRPr="00616122">
        <w:rPr>
          <w:rFonts w:cstheme="minorHAnsi"/>
          <w:color w:val="231F20"/>
        </w:rPr>
        <w:t xml:space="preserve">. 2007; 39 (7 Suppl): S16-S21. </w:t>
      </w:r>
      <w:proofErr w:type="spellStart"/>
      <w:r w:rsidRPr="00616122">
        <w:rPr>
          <w:rFonts w:cstheme="minorHAnsi"/>
          <w:color w:val="231F20"/>
        </w:rPr>
        <w:t>doi</w:t>
      </w:r>
      <w:proofErr w:type="spellEnd"/>
      <w:r w:rsidRPr="00616122">
        <w:rPr>
          <w:rFonts w:cstheme="minorHAnsi"/>
          <w:color w:val="231F20"/>
        </w:rPr>
        <w:t>: 10.1038/ng2028.</w:t>
      </w:r>
    </w:p>
    <w:p w14:paraId="33E64BC3" w14:textId="1D6C5E99" w:rsidR="00D51423" w:rsidRPr="00D51423" w:rsidRDefault="00D51423" w:rsidP="00D51423">
      <w:pPr>
        <w:pStyle w:val="ListParagraph"/>
        <w:numPr>
          <w:ilvl w:val="0"/>
          <w:numId w:val="1"/>
        </w:numPr>
        <w:tabs>
          <w:tab w:val="left" w:pos="900"/>
        </w:tabs>
        <w:spacing w:line="225" w:lineRule="auto"/>
        <w:ind w:left="900" w:right="338" w:hanging="300"/>
        <w:rPr>
          <w:rFonts w:cstheme="minorHAnsi"/>
        </w:rPr>
      </w:pPr>
      <w:r w:rsidRPr="00616122">
        <w:rPr>
          <w:rFonts w:cstheme="minorHAnsi"/>
          <w:color w:val="231F20"/>
        </w:rPr>
        <w:t xml:space="preserve">Dhillon R, Hillman S, Morris R, McMullan D, Williams D, Coomarasamy A, Kilby M. Additional information from chromosomal microarray analysis (CMA) over conventional karyotyping when diagnosing chromosomal abnormalities in miscarriage: a systematic review and meta- analysis. </w:t>
      </w:r>
      <w:r w:rsidRPr="00616122">
        <w:rPr>
          <w:rFonts w:cstheme="minorHAnsi"/>
          <w:i/>
          <w:color w:val="231F20"/>
        </w:rPr>
        <w:t xml:space="preserve">BJOG </w:t>
      </w:r>
      <w:r w:rsidRPr="00616122">
        <w:rPr>
          <w:rFonts w:cstheme="minorHAnsi"/>
          <w:color w:val="231F20"/>
        </w:rPr>
        <w:t>2014; 121:11–21.</w:t>
      </w:r>
    </w:p>
    <w:p w14:paraId="09DD8F84" w14:textId="6B3487D2" w:rsidR="00D51423" w:rsidRPr="00D51423" w:rsidRDefault="00D51423" w:rsidP="00D51423">
      <w:pPr>
        <w:pStyle w:val="ListParagraph"/>
        <w:numPr>
          <w:ilvl w:val="0"/>
          <w:numId w:val="1"/>
        </w:numPr>
        <w:tabs>
          <w:tab w:val="left" w:pos="900"/>
        </w:tabs>
        <w:spacing w:line="225" w:lineRule="auto"/>
        <w:ind w:left="900" w:right="117" w:hanging="300"/>
        <w:rPr>
          <w:rFonts w:cstheme="minorHAnsi"/>
        </w:rPr>
      </w:pPr>
      <w:proofErr w:type="spellStart"/>
      <w:r>
        <w:rPr>
          <w:rFonts w:cstheme="minorHAnsi"/>
          <w:color w:val="231F20"/>
        </w:rPr>
        <w:t>Dugoff</w:t>
      </w:r>
      <w:proofErr w:type="spellEnd"/>
      <w:r>
        <w:rPr>
          <w:rFonts w:cstheme="minorHAnsi"/>
          <w:color w:val="231F20"/>
        </w:rPr>
        <w:t xml:space="preserve"> L, Norton M, Kuller J.</w:t>
      </w:r>
      <w:r w:rsidRPr="00616122">
        <w:rPr>
          <w:rFonts w:cstheme="minorHAnsi"/>
          <w:color w:val="231F20"/>
        </w:rPr>
        <w:t xml:space="preserve"> The use of chromosomal </w:t>
      </w:r>
      <w:proofErr w:type="gramStart"/>
      <w:r w:rsidRPr="00616122">
        <w:rPr>
          <w:rFonts w:cstheme="minorHAnsi"/>
          <w:color w:val="231F20"/>
        </w:rPr>
        <w:t>microarray</w:t>
      </w:r>
      <w:proofErr w:type="gramEnd"/>
      <w:r w:rsidRPr="00616122">
        <w:rPr>
          <w:rFonts w:cstheme="minorHAnsi"/>
          <w:color w:val="231F20"/>
        </w:rPr>
        <w:t xml:space="preserve"> for prenatal diagnosis. Society for Maternal-Fetal Medicine Consult series #41. Retrieved on June 13, 2018</w:t>
      </w:r>
      <w:r>
        <w:rPr>
          <w:rFonts w:cstheme="minorHAnsi"/>
          <w:color w:val="231F20"/>
        </w:rPr>
        <w:t>,</w:t>
      </w:r>
      <w:r w:rsidRPr="00616122">
        <w:rPr>
          <w:rFonts w:cstheme="minorHAnsi"/>
          <w:color w:val="231F20"/>
        </w:rPr>
        <w:t xml:space="preserve"> from</w:t>
      </w:r>
      <w:hyperlink r:id="rId18">
        <w:r w:rsidRPr="00D51423">
          <w:rPr>
            <w:rFonts w:cstheme="minorHAnsi"/>
            <w:color w:val="005795"/>
            <w:u w:color="0082C3"/>
          </w:rPr>
          <w:t xml:space="preserve"> </w:t>
        </w:r>
        <w:r w:rsidRPr="00616122">
          <w:rPr>
            <w:rFonts w:cstheme="minorHAnsi"/>
            <w:color w:val="005795"/>
            <w:u w:val="single" w:color="0082C3"/>
          </w:rPr>
          <w:t>www.ajog.org/article/S0002-9378(16)30450-1/pdf?code=ymob-site</w:t>
        </w:r>
      </w:hyperlink>
      <w:r w:rsidRPr="00616122">
        <w:rPr>
          <w:rFonts w:cstheme="minorHAnsi"/>
          <w:color w:val="231F20"/>
        </w:rPr>
        <w:t>.</w:t>
      </w:r>
    </w:p>
    <w:p w14:paraId="61C3C897" w14:textId="77777777" w:rsidR="00D51423" w:rsidRPr="00616122" w:rsidRDefault="00D51423" w:rsidP="00D51423">
      <w:pPr>
        <w:pStyle w:val="ListParagraph"/>
        <w:numPr>
          <w:ilvl w:val="0"/>
          <w:numId w:val="1"/>
        </w:numPr>
        <w:tabs>
          <w:tab w:val="left" w:pos="900"/>
        </w:tabs>
        <w:spacing w:line="225" w:lineRule="auto"/>
        <w:ind w:left="900" w:right="129" w:hanging="300"/>
        <w:rPr>
          <w:rFonts w:cstheme="minorHAnsi"/>
        </w:rPr>
      </w:pPr>
      <w:r w:rsidRPr="00616122">
        <w:rPr>
          <w:rFonts w:cstheme="minorHAnsi"/>
          <w:color w:val="231F20"/>
        </w:rPr>
        <w:t xml:space="preserve">Hillman SC, McMullan DJ, Hall G, Togneri FS, James N, Maher EJ, Meller CH, Williams D, Wapner RJ, Maher ER, Kilby MD. Use of prenatal chromosomal microarray: prospective cohort study and systematic review and meta-analysis. Ultrasound in Obstetrics and Gynecology: </w:t>
      </w:r>
      <w:proofErr w:type="gramStart"/>
      <w:r w:rsidRPr="00616122">
        <w:rPr>
          <w:rFonts w:cstheme="minorHAnsi"/>
          <w:color w:val="231F20"/>
        </w:rPr>
        <w:t>the</w:t>
      </w:r>
      <w:proofErr w:type="gramEnd"/>
      <w:r w:rsidRPr="00616122">
        <w:rPr>
          <w:rFonts w:cstheme="minorHAnsi"/>
          <w:color w:val="231F20"/>
        </w:rPr>
        <w:t xml:space="preserve"> Official Journal of the International Society if Ultrasound in Obstetrics and Gynecology. 2013; 41 (6): 610-6210.</w:t>
      </w:r>
    </w:p>
    <w:p w14:paraId="59CEEA21" w14:textId="77777777" w:rsidR="00D51423" w:rsidRPr="00616122" w:rsidRDefault="00D51423" w:rsidP="00D51423">
      <w:pPr>
        <w:pStyle w:val="ListParagraph"/>
        <w:numPr>
          <w:ilvl w:val="0"/>
          <w:numId w:val="1"/>
        </w:numPr>
        <w:tabs>
          <w:tab w:val="left" w:pos="900"/>
        </w:tabs>
        <w:spacing w:line="225" w:lineRule="auto"/>
        <w:ind w:left="900" w:right="672" w:hanging="300"/>
        <w:jc w:val="both"/>
        <w:rPr>
          <w:rFonts w:cstheme="minorHAnsi"/>
        </w:rPr>
      </w:pPr>
      <w:r w:rsidRPr="00616122">
        <w:rPr>
          <w:rFonts w:cstheme="minorHAnsi"/>
          <w:color w:val="231F20"/>
        </w:rPr>
        <w:t xml:space="preserve">Lu X, Shaw CA, Patel A, Li J, Cooper ML, Wells WR, et al. (2007) Clinical Implementation of Chromosomal Microarray Analysis: Summary of 2513 Postnatal Cases. </w:t>
      </w:r>
      <w:proofErr w:type="spellStart"/>
      <w:r w:rsidRPr="00616122">
        <w:rPr>
          <w:rFonts w:cstheme="minorHAnsi"/>
          <w:color w:val="231F20"/>
        </w:rPr>
        <w:t>PLoS</w:t>
      </w:r>
      <w:proofErr w:type="spellEnd"/>
      <w:r w:rsidRPr="00616122">
        <w:rPr>
          <w:rFonts w:cstheme="minorHAnsi"/>
          <w:color w:val="231F20"/>
        </w:rPr>
        <w:t xml:space="preserve"> ONE 2(3): e327 Retrieved on June 13, 2018</w:t>
      </w:r>
      <w:r>
        <w:rPr>
          <w:rFonts w:cstheme="minorHAnsi"/>
          <w:color w:val="231F20"/>
        </w:rPr>
        <w:t>,</w:t>
      </w:r>
      <w:r w:rsidRPr="00616122">
        <w:rPr>
          <w:rFonts w:cstheme="minorHAnsi"/>
          <w:color w:val="231F20"/>
        </w:rPr>
        <w:t xml:space="preserve"> from</w:t>
      </w:r>
      <w:r w:rsidRPr="00616122">
        <w:rPr>
          <w:rFonts w:cstheme="minorHAnsi"/>
          <w:color w:val="0082C3"/>
        </w:rPr>
        <w:t xml:space="preserve"> </w:t>
      </w:r>
      <w:hyperlink r:id="rId19">
        <w:r w:rsidRPr="00616122">
          <w:rPr>
            <w:rFonts w:cstheme="minorHAnsi"/>
            <w:color w:val="005795"/>
            <w:u w:val="single" w:color="0082C3"/>
          </w:rPr>
          <w:t>https://doi.org/10.1371/journal.pone.0000327</w:t>
        </w:r>
      </w:hyperlink>
      <w:r w:rsidRPr="00616122">
        <w:rPr>
          <w:rFonts w:cstheme="minorHAnsi"/>
          <w:color w:val="231F20"/>
        </w:rPr>
        <w:t>.</w:t>
      </w:r>
    </w:p>
    <w:p w14:paraId="1B71F930" w14:textId="77777777" w:rsidR="00D51423" w:rsidRPr="00D51423" w:rsidRDefault="00D51423" w:rsidP="00D51423">
      <w:pPr>
        <w:pStyle w:val="ListParagraph"/>
        <w:numPr>
          <w:ilvl w:val="0"/>
          <w:numId w:val="1"/>
        </w:numPr>
        <w:tabs>
          <w:tab w:val="left" w:pos="900"/>
        </w:tabs>
        <w:spacing w:before="207" w:line="225" w:lineRule="auto"/>
        <w:ind w:left="900" w:right="396" w:hanging="300"/>
        <w:rPr>
          <w:rFonts w:cstheme="minorHAnsi"/>
        </w:rPr>
      </w:pPr>
      <w:r w:rsidRPr="00616122">
        <w:rPr>
          <w:rFonts w:cstheme="minorHAnsi"/>
          <w:color w:val="231F20"/>
        </w:rPr>
        <w:t xml:space="preserve">Miller, David T. et al. “Consensus Statement: Chromosomal Microarray Is </w:t>
      </w:r>
      <w:r>
        <w:rPr>
          <w:rFonts w:cstheme="minorHAnsi"/>
          <w:color w:val="231F20"/>
        </w:rPr>
        <w:t>a</w:t>
      </w:r>
      <w:r w:rsidRPr="00616122">
        <w:rPr>
          <w:rFonts w:cstheme="minorHAnsi"/>
          <w:color w:val="231F20"/>
        </w:rPr>
        <w:t xml:space="preserve"> First-Tier Clinical Diagnostic Test </w:t>
      </w:r>
      <w:r>
        <w:rPr>
          <w:rFonts w:cstheme="minorHAnsi"/>
          <w:color w:val="231F20"/>
        </w:rPr>
        <w:t>f</w:t>
      </w:r>
      <w:r w:rsidRPr="00616122">
        <w:rPr>
          <w:rFonts w:cstheme="minorHAnsi"/>
          <w:color w:val="231F20"/>
        </w:rPr>
        <w:t xml:space="preserve">or Individuals </w:t>
      </w:r>
      <w:r>
        <w:rPr>
          <w:rFonts w:cstheme="minorHAnsi"/>
          <w:color w:val="231F20"/>
        </w:rPr>
        <w:t>w</w:t>
      </w:r>
      <w:r w:rsidRPr="00616122">
        <w:rPr>
          <w:rFonts w:cstheme="minorHAnsi"/>
          <w:color w:val="231F20"/>
        </w:rPr>
        <w:t xml:space="preserve">ith Developmental Disabilities </w:t>
      </w:r>
      <w:r>
        <w:rPr>
          <w:rFonts w:cstheme="minorHAnsi"/>
          <w:color w:val="231F20"/>
        </w:rPr>
        <w:t>o</w:t>
      </w:r>
      <w:r w:rsidRPr="00616122">
        <w:rPr>
          <w:rFonts w:cstheme="minorHAnsi"/>
          <w:color w:val="231F20"/>
        </w:rPr>
        <w:t xml:space="preserve">r Congenital Anomalies.” </w:t>
      </w:r>
      <w:r w:rsidRPr="00616122">
        <w:rPr>
          <w:rFonts w:cstheme="minorHAnsi"/>
          <w:i/>
          <w:color w:val="231F20"/>
        </w:rPr>
        <w:t xml:space="preserve">The American Journal of Human Genetics </w:t>
      </w:r>
      <w:r w:rsidRPr="00616122">
        <w:rPr>
          <w:rFonts w:cstheme="minorHAnsi"/>
          <w:color w:val="231F20"/>
        </w:rPr>
        <w:t>86.5 (2010): 749-764. Web.</w:t>
      </w:r>
    </w:p>
    <w:p w14:paraId="68771D9D" w14:textId="48918AB9" w:rsidR="00D51423" w:rsidRPr="00616122" w:rsidRDefault="00D51423" w:rsidP="00D51423">
      <w:pPr>
        <w:pStyle w:val="ListParagraph"/>
        <w:numPr>
          <w:ilvl w:val="0"/>
          <w:numId w:val="1"/>
        </w:numPr>
        <w:tabs>
          <w:tab w:val="left" w:pos="900"/>
        </w:tabs>
        <w:spacing w:line="225" w:lineRule="auto"/>
        <w:ind w:left="900" w:right="741" w:hanging="300"/>
        <w:rPr>
          <w:rFonts w:cstheme="minorHAnsi"/>
        </w:rPr>
      </w:pPr>
      <w:proofErr w:type="spellStart"/>
      <w:r w:rsidRPr="00616122">
        <w:rPr>
          <w:rFonts w:cstheme="minorHAnsi"/>
          <w:color w:val="231F20"/>
        </w:rPr>
        <w:t>Moeschler</w:t>
      </w:r>
      <w:proofErr w:type="spellEnd"/>
      <w:r w:rsidRPr="00616122">
        <w:rPr>
          <w:rFonts w:cstheme="minorHAnsi"/>
          <w:color w:val="231F20"/>
        </w:rPr>
        <w:t xml:space="preserve"> JB, Shevell M. Comprehensive Evaluation of the Child with Intellectual Disability or Global Developmental Delays, Committee on Genetics, Pediatrics. 2014; 134 (3): e903-e918; </w:t>
      </w:r>
      <w:r w:rsidRPr="00616122">
        <w:rPr>
          <w:rFonts w:cstheme="minorHAnsi"/>
          <w:b/>
          <w:color w:val="231F20"/>
        </w:rPr>
        <w:t xml:space="preserve">DOI: </w:t>
      </w:r>
      <w:r w:rsidRPr="00616122">
        <w:rPr>
          <w:rFonts w:cstheme="minorHAnsi"/>
          <w:color w:val="231F20"/>
        </w:rPr>
        <w:t>10.1542/peds. 2014-1839</w:t>
      </w:r>
      <w:r w:rsidR="005A1C74">
        <w:rPr>
          <w:rFonts w:cstheme="minorHAnsi"/>
          <w:color w:val="231F20"/>
        </w:rPr>
        <w:t>.</w:t>
      </w:r>
    </w:p>
    <w:p w14:paraId="6E9DD72D" w14:textId="09A791B3" w:rsidR="00D51423" w:rsidRPr="00D51423" w:rsidRDefault="00D51423" w:rsidP="00D51423">
      <w:pPr>
        <w:pStyle w:val="ListParagraph"/>
        <w:numPr>
          <w:ilvl w:val="0"/>
          <w:numId w:val="1"/>
        </w:numPr>
        <w:tabs>
          <w:tab w:val="left" w:pos="900"/>
        </w:tabs>
        <w:spacing w:line="225" w:lineRule="auto"/>
        <w:ind w:left="900" w:right="283" w:hanging="300"/>
        <w:rPr>
          <w:sz w:val="21"/>
        </w:rPr>
      </w:pPr>
      <w:r w:rsidRPr="00616122">
        <w:rPr>
          <w:rFonts w:cstheme="minorHAnsi"/>
          <w:color w:val="231F20"/>
        </w:rPr>
        <w:t xml:space="preserve">Schaefer GB, Mendelsohn NJ. Clinical Genetics Evaluation in Identifying the Etiology of Autism Spectrum Disorders: 2013 Guideline Revisions. </w:t>
      </w:r>
      <w:r w:rsidRPr="00616122">
        <w:rPr>
          <w:rFonts w:cstheme="minorHAnsi"/>
          <w:i/>
          <w:color w:val="231F20"/>
        </w:rPr>
        <w:t xml:space="preserve">Genetics in Medicine </w:t>
      </w:r>
      <w:r w:rsidRPr="00616122">
        <w:rPr>
          <w:rFonts w:cstheme="minorHAnsi"/>
          <w:color w:val="231F20"/>
        </w:rPr>
        <w:t>2013: 15(5): 399–407</w:t>
      </w:r>
      <w:r>
        <w:rPr>
          <w:rFonts w:cstheme="minorHAnsi"/>
          <w:color w:val="231F20"/>
        </w:rPr>
        <w:t>.</w:t>
      </w:r>
    </w:p>
    <w:p w14:paraId="5C03CB31" w14:textId="77777777" w:rsidR="00D51423" w:rsidRPr="0076753D" w:rsidRDefault="00D51423" w:rsidP="00D51423">
      <w:pPr>
        <w:pStyle w:val="ListParagraph"/>
        <w:numPr>
          <w:ilvl w:val="0"/>
          <w:numId w:val="1"/>
        </w:numPr>
        <w:tabs>
          <w:tab w:val="left" w:pos="900"/>
        </w:tabs>
        <w:spacing w:line="225" w:lineRule="auto"/>
        <w:ind w:left="900" w:right="126" w:hanging="300"/>
        <w:rPr>
          <w:rFonts w:cstheme="minorHAnsi"/>
        </w:rPr>
        <w:sectPr w:rsidR="00D51423" w:rsidRPr="0076753D" w:rsidSect="00D51423">
          <w:pgSz w:w="12240" w:h="15840"/>
          <w:pgMar w:top="1440" w:right="1080" w:bottom="1440" w:left="1080" w:header="0" w:footer="1300" w:gutter="0"/>
          <w:cols w:space="720"/>
          <w:docGrid w:linePitch="299"/>
        </w:sectPr>
      </w:pPr>
      <w:r w:rsidRPr="0076753D">
        <w:rPr>
          <w:rFonts w:cstheme="minorHAnsi"/>
          <w:color w:val="231F20"/>
        </w:rPr>
        <w:t>The American College of Obstetricians and Gynecologists (2015). Committee Opinion No 640. Cell free DNA Screening for Fetal Aneuploidy. Retrieved on June 13, 2018</w:t>
      </w:r>
      <w:r>
        <w:rPr>
          <w:rFonts w:cstheme="minorHAnsi"/>
          <w:color w:val="231F20"/>
        </w:rPr>
        <w:t>,</w:t>
      </w:r>
      <w:r w:rsidRPr="0076753D">
        <w:rPr>
          <w:rFonts w:cstheme="minorHAnsi"/>
          <w:color w:val="231F20"/>
        </w:rPr>
        <w:t xml:space="preserve"> from</w:t>
      </w:r>
      <w:r w:rsidRPr="008E1D58">
        <w:rPr>
          <w:rFonts w:cstheme="minorHAnsi"/>
          <w:color w:val="005795"/>
        </w:rPr>
        <w:t xml:space="preserve"> </w:t>
      </w:r>
      <w:hyperlink r:id="rId20" w:history="1">
        <w:r w:rsidRPr="008E1D58">
          <w:rPr>
            <w:rStyle w:val="Hyperlink"/>
            <w:rFonts w:cstheme="minorHAnsi"/>
            <w:color w:val="005795"/>
          </w:rPr>
          <w:t>https://journals.lww.com/greenjournal/fulltext/2015/09000/committee_opinion_no__640__cell_free_dna_screening.51.aspx</w:t>
        </w:r>
      </w:hyperlink>
      <w:r>
        <w:t>.</w:t>
      </w:r>
      <w:r>
        <w:rPr>
          <w:rFonts w:cstheme="minorHAnsi"/>
          <w:color w:val="0082C3"/>
        </w:rPr>
        <w:t xml:space="preserve"> </w:t>
      </w:r>
      <w:r w:rsidRPr="0082196B" w:rsidDel="0082196B">
        <w:rPr>
          <w:rFonts w:cstheme="minorHAnsi"/>
          <w:color w:val="0082C3"/>
        </w:rPr>
        <w:t xml:space="preserve"> </w:t>
      </w:r>
      <w:r w:rsidRPr="0076753D" w:rsidDel="0076753D">
        <w:rPr>
          <w:rFonts w:cstheme="minorHAnsi"/>
          <w:color w:val="0082C3"/>
        </w:rPr>
        <w:t xml:space="preserve"> </w:t>
      </w:r>
    </w:p>
    <w:p w14:paraId="6D7D4642" w14:textId="77777777" w:rsidR="00D51423" w:rsidRPr="00616122" w:rsidRDefault="00D51423" w:rsidP="00D51423">
      <w:pPr>
        <w:pStyle w:val="ListParagraph"/>
        <w:tabs>
          <w:tab w:val="left" w:pos="900"/>
        </w:tabs>
        <w:spacing w:line="225" w:lineRule="auto"/>
        <w:ind w:left="900" w:right="562"/>
        <w:rPr>
          <w:rFonts w:cstheme="minorHAnsi"/>
        </w:rPr>
      </w:pPr>
    </w:p>
    <w:p w14:paraId="3FAE2FDA" w14:textId="5C87EBCF" w:rsidR="00C21D5D" w:rsidRPr="00616122" w:rsidRDefault="00D66657" w:rsidP="00D35550">
      <w:pPr>
        <w:pStyle w:val="ListParagraph"/>
        <w:numPr>
          <w:ilvl w:val="0"/>
          <w:numId w:val="1"/>
        </w:numPr>
        <w:tabs>
          <w:tab w:val="left" w:pos="900"/>
        </w:tabs>
        <w:spacing w:before="1" w:line="225" w:lineRule="auto"/>
        <w:ind w:left="900" w:right="117" w:hanging="300"/>
        <w:rPr>
          <w:rFonts w:cstheme="minorHAnsi"/>
        </w:rPr>
      </w:pPr>
      <w:r w:rsidRPr="00616122">
        <w:rPr>
          <w:rFonts w:cstheme="minorHAnsi"/>
          <w:color w:val="231F20"/>
        </w:rPr>
        <w:t>The American College of Obstetricians and Gynecologists (2016). Microarrays and Next-generation Sequencing Technology: The Use of advanced Genetic Tools in Obstetrics and Gynecology. Committee Opinion No 682. Retrieved on June 13, 2018</w:t>
      </w:r>
      <w:r w:rsidR="00D51423">
        <w:rPr>
          <w:rFonts w:cstheme="minorHAnsi"/>
          <w:color w:val="231F20"/>
        </w:rPr>
        <w:t>,</w:t>
      </w:r>
      <w:r w:rsidRPr="00616122">
        <w:rPr>
          <w:rFonts w:cstheme="minorHAnsi"/>
          <w:color w:val="231F20"/>
        </w:rPr>
        <w:t xml:space="preserve"> from</w:t>
      </w:r>
      <w:r w:rsidRPr="00616122">
        <w:rPr>
          <w:rFonts w:cstheme="minorHAnsi"/>
          <w:color w:val="0082C3"/>
        </w:rPr>
        <w:t xml:space="preserve"> </w:t>
      </w:r>
      <w:hyperlink r:id="rId21" w:history="1">
        <w:r w:rsidR="00A157D1" w:rsidRPr="008E1D58">
          <w:rPr>
            <w:rStyle w:val="Hyperlink"/>
            <w:color w:val="005795"/>
          </w:rPr>
          <w:t>https://www.acog.org/clinical/clinical-guidance/committee-opinion/articles/2016/12/microarrays-and-next-generation-sequencing-technology-the-use-of-advanced-genetic-diagnostic-tools-in-obstetrics-and-gynecology</w:t>
        </w:r>
      </w:hyperlink>
      <w:r w:rsidR="00A157D1">
        <w:t xml:space="preserve">. </w:t>
      </w:r>
    </w:p>
    <w:p w14:paraId="51A67DCD" w14:textId="77777777" w:rsidR="00C21D5D" w:rsidRPr="000C4608" w:rsidRDefault="00D66657" w:rsidP="00853059">
      <w:r w:rsidRPr="000C4608">
        <w:t>These Guidelines are based on review of the medical literature and current practice in chromosomal microarray analysis. MassHealth reserves the right to review and update the contents of these Guidelines and cited references as new clinical evidence and medical technology emerge.</w:t>
      </w:r>
    </w:p>
    <w:p w14:paraId="7B34FB15" w14:textId="77777777" w:rsidR="00C21D5D" w:rsidRPr="000C4608" w:rsidRDefault="00D66657" w:rsidP="005A1C74">
      <w:r w:rsidRPr="000C4608">
        <w:t>This document was prepared for medical professionals to assist them in submitting documentation supporting the medical necessity of the proposed treatment, products, or services. Some language used in this communication may be unfamiliar to other readers; such readers are encouraged to contact their health care provider for guidance or explanation.</w:t>
      </w:r>
    </w:p>
    <w:p w14:paraId="2236809A" w14:textId="554526D0" w:rsidR="00363E4D" w:rsidRPr="00616122" w:rsidRDefault="00363E4D" w:rsidP="00363E4D">
      <w:pPr>
        <w:widowControl w:val="0"/>
        <w:tabs>
          <w:tab w:val="left" w:pos="4794"/>
        </w:tabs>
        <w:autoSpaceDE w:val="0"/>
        <w:autoSpaceDN w:val="0"/>
        <w:spacing w:after="0" w:line="240" w:lineRule="auto"/>
        <w:ind w:left="135"/>
        <w:rPr>
          <w:rFonts w:ascii="Calibri" w:eastAsia="Palatino Linotype" w:hAnsi="Calibri" w:cs="Calibri"/>
          <w:color w:val="231F20"/>
          <w:u w:val="single" w:color="221E1F"/>
        </w:rPr>
      </w:pPr>
      <w:r w:rsidRPr="00616122">
        <w:rPr>
          <w:rFonts w:ascii="Calibri" w:eastAsia="Book Antiqua" w:hAnsi="Calibri" w:cs="Calibri"/>
        </w:rPr>
        <w:t>Policy</w:t>
      </w:r>
      <w:r w:rsidRPr="00616122">
        <w:rPr>
          <w:rFonts w:ascii="Calibri" w:eastAsia="Book Antiqua" w:hAnsi="Calibri" w:cs="Calibri"/>
          <w:spacing w:val="-6"/>
        </w:rPr>
        <w:t xml:space="preserve"> </w:t>
      </w:r>
      <w:r w:rsidRPr="00616122">
        <w:rPr>
          <w:rFonts w:ascii="Calibri" w:eastAsia="Book Antiqua" w:hAnsi="Calibri" w:cs="Calibri"/>
        </w:rPr>
        <w:t xml:space="preserve">Revision Effective Date: </w:t>
      </w:r>
      <w:r w:rsidR="0045578F">
        <w:rPr>
          <w:rFonts w:ascii="Calibri" w:eastAsia="Book Antiqua" w:hAnsi="Calibri" w:cs="Calibri"/>
        </w:rPr>
        <w:t>05/14/2025</w:t>
      </w:r>
      <w:r w:rsidRPr="00616122">
        <w:rPr>
          <w:rFonts w:ascii="Calibri" w:eastAsia="Book Antiqua" w:hAnsi="Calibri" w:cs="Calibri"/>
        </w:rPr>
        <w:tab/>
      </w:r>
      <w:r w:rsidRPr="00616122">
        <w:rPr>
          <w:rFonts w:ascii="Calibri" w:eastAsia="Book Antiqua" w:hAnsi="Calibri" w:cs="Calibri"/>
          <w:spacing w:val="-4"/>
        </w:rPr>
        <w:t xml:space="preserve"> </w:t>
      </w:r>
      <w:r w:rsidRPr="00616122">
        <w:rPr>
          <w:rFonts w:ascii="Calibri" w:eastAsia="Book Antiqua" w:hAnsi="Calibri" w:cs="Calibri"/>
          <w:spacing w:val="-4"/>
        </w:rPr>
        <w:tab/>
      </w:r>
      <w:r w:rsidRPr="00616122">
        <w:rPr>
          <w:rFonts w:ascii="Calibri" w:eastAsia="Book Antiqua" w:hAnsi="Calibri" w:cs="Calibri"/>
          <w:spacing w:val="-4"/>
        </w:rPr>
        <w:tab/>
      </w:r>
      <w:r w:rsidRPr="00616122">
        <w:rPr>
          <w:rFonts w:ascii="Calibri" w:eastAsia="Palatino Linotype" w:hAnsi="Calibri" w:cs="Calibri"/>
          <w:color w:val="231F20"/>
        </w:rPr>
        <w:t>Approved by: [signature of Clara Filice]</w:t>
      </w:r>
      <w:r w:rsidRPr="00616122">
        <w:rPr>
          <w:rFonts w:ascii="Calibri" w:eastAsia="Palatino Linotype" w:hAnsi="Calibri" w:cs="Calibri"/>
          <w:color w:val="231F20"/>
        </w:rPr>
        <w:tab/>
      </w:r>
    </w:p>
    <w:p w14:paraId="1FF05A9B" w14:textId="77777777" w:rsidR="00363E4D" w:rsidRPr="00616122" w:rsidRDefault="00363E4D" w:rsidP="00363E4D">
      <w:pPr>
        <w:widowControl w:val="0"/>
        <w:tabs>
          <w:tab w:val="left" w:pos="6199"/>
          <w:tab w:val="left" w:pos="10504"/>
        </w:tabs>
        <w:autoSpaceDE w:val="0"/>
        <w:autoSpaceDN w:val="0"/>
        <w:spacing w:after="0" w:line="240" w:lineRule="auto"/>
        <w:ind w:left="7200" w:right="133" w:hanging="1440"/>
        <w:rPr>
          <w:rFonts w:ascii="Calibri" w:eastAsia="Palatino Linotype" w:hAnsi="Calibri" w:cs="Calibri"/>
        </w:rPr>
      </w:pPr>
      <w:r w:rsidRPr="00616122">
        <w:rPr>
          <w:rFonts w:ascii="Calibri" w:eastAsia="Palatino Linotype" w:hAnsi="Calibri" w:cs="Calibri"/>
          <w:color w:val="231F20"/>
        </w:rPr>
        <w:t>Clara</w:t>
      </w:r>
      <w:r w:rsidRPr="00616122">
        <w:rPr>
          <w:rFonts w:ascii="Calibri" w:eastAsia="Palatino Linotype" w:hAnsi="Calibri" w:cs="Calibri"/>
          <w:color w:val="231F20"/>
          <w:spacing w:val="-14"/>
        </w:rPr>
        <w:t xml:space="preserve"> </w:t>
      </w:r>
      <w:r w:rsidRPr="00616122">
        <w:rPr>
          <w:rFonts w:ascii="Calibri" w:eastAsia="Palatino Linotype" w:hAnsi="Calibri" w:cs="Calibri"/>
          <w:color w:val="231F20"/>
        </w:rPr>
        <w:t>Filice,</w:t>
      </w:r>
      <w:r w:rsidRPr="00616122">
        <w:rPr>
          <w:rFonts w:ascii="Calibri" w:eastAsia="Palatino Linotype" w:hAnsi="Calibri" w:cs="Calibri"/>
          <w:color w:val="231F20"/>
          <w:spacing w:val="-13"/>
        </w:rPr>
        <w:t xml:space="preserve"> </w:t>
      </w:r>
      <w:r w:rsidRPr="00616122">
        <w:rPr>
          <w:rFonts w:ascii="Calibri" w:eastAsia="Palatino Linotype" w:hAnsi="Calibri" w:cs="Calibri"/>
          <w:color w:val="231F20"/>
        </w:rPr>
        <w:t>MD,</w:t>
      </w:r>
      <w:r w:rsidRPr="00616122">
        <w:rPr>
          <w:rFonts w:ascii="Calibri" w:eastAsia="Palatino Linotype" w:hAnsi="Calibri" w:cs="Calibri"/>
          <w:color w:val="231F20"/>
          <w:spacing w:val="-13"/>
        </w:rPr>
        <w:t xml:space="preserve"> </w:t>
      </w:r>
      <w:r w:rsidRPr="00616122">
        <w:rPr>
          <w:rFonts w:ascii="Calibri" w:eastAsia="Palatino Linotype" w:hAnsi="Calibri" w:cs="Calibri"/>
          <w:color w:val="231F20"/>
        </w:rPr>
        <w:t>MPH,</w:t>
      </w:r>
      <w:r w:rsidRPr="00616122">
        <w:rPr>
          <w:rFonts w:ascii="Calibri" w:eastAsia="Palatino Linotype" w:hAnsi="Calibri" w:cs="Calibri"/>
          <w:color w:val="231F20"/>
          <w:spacing w:val="-13"/>
        </w:rPr>
        <w:t xml:space="preserve"> </w:t>
      </w:r>
      <w:r w:rsidRPr="00616122">
        <w:rPr>
          <w:rFonts w:ascii="Calibri" w:eastAsia="Palatino Linotype" w:hAnsi="Calibri" w:cs="Calibri"/>
          <w:color w:val="231F20"/>
        </w:rPr>
        <w:t>MHS</w:t>
      </w:r>
    </w:p>
    <w:p w14:paraId="62D0AACC" w14:textId="530941E9" w:rsidR="00363E4D" w:rsidRPr="00616122" w:rsidRDefault="00363E4D" w:rsidP="00363E4D">
      <w:pPr>
        <w:widowControl w:val="0"/>
        <w:autoSpaceDE w:val="0"/>
        <w:autoSpaceDN w:val="0"/>
        <w:spacing w:after="0" w:line="240" w:lineRule="auto"/>
        <w:ind w:left="5760"/>
        <w:rPr>
          <w:rFonts w:ascii="Calibri" w:eastAsia="Palatino Linotype" w:hAnsi="Calibri" w:cs="Calibri"/>
        </w:rPr>
      </w:pPr>
      <w:r w:rsidRPr="00616122">
        <w:rPr>
          <w:rFonts w:ascii="Calibri" w:eastAsia="Palatino Linotype" w:hAnsi="Calibri" w:cs="Calibri"/>
          <w:color w:val="231F20"/>
          <w:w w:val="90"/>
        </w:rPr>
        <w:t>Chief</w:t>
      </w:r>
      <w:r w:rsidRPr="00616122">
        <w:rPr>
          <w:rFonts w:ascii="Calibri" w:eastAsia="Palatino Linotype" w:hAnsi="Calibri" w:cs="Calibri"/>
          <w:color w:val="231F20"/>
          <w:spacing w:val="-4"/>
          <w:w w:val="90"/>
        </w:rPr>
        <w:t xml:space="preserve"> </w:t>
      </w:r>
      <w:r w:rsidRPr="00616122">
        <w:rPr>
          <w:rFonts w:ascii="Calibri" w:eastAsia="Palatino Linotype" w:hAnsi="Calibri" w:cs="Calibri"/>
          <w:color w:val="231F20"/>
          <w:w w:val="90"/>
        </w:rPr>
        <w:t>Medical</w:t>
      </w:r>
      <w:r w:rsidRPr="00616122">
        <w:rPr>
          <w:rFonts w:ascii="Calibri" w:eastAsia="Palatino Linotype" w:hAnsi="Calibri" w:cs="Calibri"/>
          <w:color w:val="231F20"/>
          <w:spacing w:val="-4"/>
          <w:w w:val="90"/>
        </w:rPr>
        <w:t xml:space="preserve"> </w:t>
      </w:r>
      <w:r w:rsidRPr="00616122">
        <w:rPr>
          <w:rFonts w:ascii="Calibri" w:eastAsia="Palatino Linotype" w:hAnsi="Calibri" w:cs="Calibri"/>
          <w:color w:val="231F20"/>
          <w:w w:val="90"/>
        </w:rPr>
        <w:t>Officer,</w:t>
      </w:r>
      <w:r w:rsidRPr="00616122">
        <w:rPr>
          <w:rFonts w:ascii="Calibri" w:eastAsia="Palatino Linotype" w:hAnsi="Calibri" w:cs="Calibri"/>
          <w:color w:val="231F20"/>
          <w:spacing w:val="-3"/>
          <w:w w:val="90"/>
        </w:rPr>
        <w:t xml:space="preserve"> </w:t>
      </w:r>
      <w:r w:rsidRPr="00616122">
        <w:rPr>
          <w:rFonts w:ascii="Calibri" w:eastAsia="Palatino Linotype" w:hAnsi="Calibri" w:cs="Calibri"/>
          <w:color w:val="231F20"/>
          <w:spacing w:val="-2"/>
          <w:w w:val="90"/>
        </w:rPr>
        <w:t>MassHealth</w:t>
      </w:r>
    </w:p>
    <w:p w14:paraId="7A3540AD" w14:textId="77777777" w:rsidR="00363E4D" w:rsidRPr="00616122" w:rsidRDefault="00363E4D" w:rsidP="00363E4D">
      <w:pPr>
        <w:widowControl w:val="0"/>
        <w:tabs>
          <w:tab w:val="left" w:pos="4794"/>
        </w:tabs>
        <w:autoSpaceDE w:val="0"/>
        <w:autoSpaceDN w:val="0"/>
        <w:spacing w:before="1" w:after="0" w:line="240" w:lineRule="auto"/>
        <w:ind w:left="135"/>
        <w:rPr>
          <w:rFonts w:ascii="Calibri" w:eastAsia="Book Antiqua" w:hAnsi="Calibri" w:cs="Calibri"/>
          <w:spacing w:val="-4"/>
        </w:rPr>
      </w:pPr>
    </w:p>
    <w:p w14:paraId="67FF349E" w14:textId="77777777" w:rsidR="00363E4D" w:rsidRPr="00616122" w:rsidRDefault="00363E4D" w:rsidP="00363E4D">
      <w:pPr>
        <w:widowControl w:val="0"/>
        <w:tabs>
          <w:tab w:val="left" w:pos="4794"/>
        </w:tabs>
        <w:autoSpaceDE w:val="0"/>
        <w:autoSpaceDN w:val="0"/>
        <w:spacing w:before="1" w:after="0" w:line="240" w:lineRule="auto"/>
        <w:ind w:left="135"/>
        <w:rPr>
          <w:rFonts w:ascii="Calibri" w:eastAsia="Book Antiqua" w:hAnsi="Calibri" w:cs="Calibri"/>
        </w:rPr>
      </w:pPr>
    </w:p>
    <w:p w14:paraId="44927055" w14:textId="649EE708" w:rsidR="00363E4D" w:rsidRPr="00616122" w:rsidRDefault="00363E4D" w:rsidP="00363E4D">
      <w:pPr>
        <w:widowControl w:val="0"/>
        <w:autoSpaceDE w:val="0"/>
        <w:autoSpaceDN w:val="0"/>
        <w:spacing w:before="1" w:after="0" w:line="240" w:lineRule="auto"/>
        <w:ind w:left="130"/>
        <w:rPr>
          <w:rFonts w:ascii="Calibri" w:eastAsia="Book Antiqua" w:hAnsi="Calibri" w:cs="Calibri"/>
        </w:rPr>
      </w:pPr>
      <w:r w:rsidRPr="00616122">
        <w:rPr>
          <w:rFonts w:ascii="Calibri" w:eastAsia="Book Antiqua" w:hAnsi="Calibri" w:cs="Calibri"/>
        </w:rPr>
        <w:t xml:space="preserve">Policy Effective Date: </w:t>
      </w:r>
      <w:r w:rsidR="00810DF1" w:rsidRPr="00616122">
        <w:rPr>
          <w:rFonts w:ascii="Calibri" w:eastAsia="Book Antiqua" w:hAnsi="Calibri" w:cs="Calibri"/>
        </w:rPr>
        <w:t>10/7/2019</w:t>
      </w:r>
    </w:p>
    <w:p w14:paraId="3B5AD617" w14:textId="77777777" w:rsidR="00363E4D" w:rsidRDefault="00363E4D" w:rsidP="00853059"/>
    <w:p w14:paraId="6BAC628B" w14:textId="77777777" w:rsidR="00363E4D" w:rsidRDefault="00363E4D" w:rsidP="00853059"/>
    <w:p w14:paraId="40EB9DF9" w14:textId="77777777" w:rsidR="00363E4D" w:rsidRDefault="00363E4D" w:rsidP="00853059"/>
    <w:p w14:paraId="6ACC0FCD" w14:textId="77777777" w:rsidR="00363E4D" w:rsidRDefault="00363E4D" w:rsidP="00853059"/>
    <w:p w14:paraId="1DA74027" w14:textId="77777777" w:rsidR="00363E4D" w:rsidRDefault="00363E4D" w:rsidP="00853059"/>
    <w:p w14:paraId="7BFABA58" w14:textId="77777777" w:rsidR="00363E4D" w:rsidRDefault="00363E4D" w:rsidP="00853059"/>
    <w:p w14:paraId="32ADDE65" w14:textId="77777777" w:rsidR="00363E4D" w:rsidRDefault="00363E4D" w:rsidP="00853059"/>
    <w:p w14:paraId="079E99E2" w14:textId="77777777" w:rsidR="00363E4D" w:rsidRDefault="00363E4D" w:rsidP="00853059"/>
    <w:p w14:paraId="74168EF1" w14:textId="77777777" w:rsidR="00853059" w:rsidRDefault="00853059" w:rsidP="00853059"/>
    <w:p w14:paraId="2076A55E" w14:textId="34C95D9F" w:rsidR="00853059" w:rsidRPr="000C4608" w:rsidRDefault="00853059" w:rsidP="00853059">
      <w:r w:rsidRPr="00853059">
        <w:t>MNG-CMA</w:t>
      </w:r>
      <w:r w:rsidR="00616122">
        <w:t>_2025-05</w:t>
      </w:r>
    </w:p>
    <w:sectPr w:rsidR="00853059" w:rsidRPr="000C4608" w:rsidSect="00853059">
      <w:pgSz w:w="12240" w:h="15840"/>
      <w:pgMar w:top="1440" w:right="1080" w:bottom="1440" w:left="1080" w:header="0" w:footer="130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E9E56A" w14:textId="77777777" w:rsidR="00F2596E" w:rsidRDefault="00F2596E">
      <w:pPr>
        <w:spacing w:after="0" w:line="240" w:lineRule="auto"/>
      </w:pPr>
      <w:r>
        <w:separator/>
      </w:r>
    </w:p>
  </w:endnote>
  <w:endnote w:type="continuationSeparator" w:id="0">
    <w:p w14:paraId="14DA21F8" w14:textId="77777777" w:rsidR="00F2596E" w:rsidRDefault="00F2596E">
      <w:pPr>
        <w:spacing w:after="0" w:line="240" w:lineRule="auto"/>
      </w:pPr>
      <w:r>
        <w:continuationSeparator/>
      </w:r>
    </w:p>
  </w:endnote>
  <w:endnote w:type="continuationNotice" w:id="1">
    <w:p w14:paraId="6CDF9700" w14:textId="77777777" w:rsidR="00F2596E" w:rsidRDefault="00F2596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inion Pro">
    <w:altName w:val="Cambria"/>
    <w:panose1 w:val="00000000000000000000"/>
    <w:charset w:val="00"/>
    <w:family w:val="roman"/>
    <w:notTrueType/>
    <w:pitch w:val="variable"/>
    <w:sig w:usb0="E00002AF" w:usb1="5000607B" w:usb2="00000000" w:usb3="00000000" w:csb0="0000009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inion Pro Cond">
    <w:altName w:val="Cambria"/>
    <w:panose1 w:val="00000000000000000000"/>
    <w:charset w:val="00"/>
    <w:family w:val="roman"/>
    <w:notTrueType/>
    <w:pitch w:val="variable"/>
    <w:sig w:usb0="E00002AF" w:usb1="5000607B" w:usb2="00000000" w:usb3="00000000" w:csb0="0000009F" w:csb1="00000000"/>
  </w:font>
  <w:font w:name="Minion Pro Capt">
    <w:altName w:val="Cambria"/>
    <w:panose1 w:val="00000000000000000000"/>
    <w:charset w:val="00"/>
    <w:family w:val="roman"/>
    <w:notTrueType/>
    <w:pitch w:val="variable"/>
    <w:sig w:usb0="E00002AF" w:usb1="5000607B"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7AF26" w14:textId="77777777" w:rsidR="00C21D5D" w:rsidRDefault="00C21D5D">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20A640" w14:textId="77777777" w:rsidR="00F2596E" w:rsidRDefault="00F2596E">
      <w:pPr>
        <w:spacing w:after="0" w:line="240" w:lineRule="auto"/>
      </w:pPr>
      <w:r>
        <w:separator/>
      </w:r>
    </w:p>
  </w:footnote>
  <w:footnote w:type="continuationSeparator" w:id="0">
    <w:p w14:paraId="045F5E62" w14:textId="77777777" w:rsidR="00F2596E" w:rsidRDefault="00F2596E">
      <w:pPr>
        <w:spacing w:after="0" w:line="240" w:lineRule="auto"/>
      </w:pPr>
      <w:r>
        <w:continuationSeparator/>
      </w:r>
    </w:p>
  </w:footnote>
  <w:footnote w:type="continuationNotice" w:id="1">
    <w:p w14:paraId="7DC7D843" w14:textId="77777777" w:rsidR="00F2596E" w:rsidRDefault="00F2596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65AFB"/>
    <w:multiLevelType w:val="hybridMultilevel"/>
    <w:tmpl w:val="48BA8114"/>
    <w:lvl w:ilvl="0" w:tplc="5D8C1958">
      <w:start w:val="1"/>
      <w:numFmt w:val="lowerLetter"/>
      <w:lvlText w:val="%1."/>
      <w:lvlJc w:val="left"/>
      <w:pPr>
        <w:ind w:left="720" w:hanging="360"/>
      </w:pPr>
    </w:lvl>
    <w:lvl w:ilvl="1" w:tplc="86E0CDA0">
      <w:start w:val="1"/>
      <w:numFmt w:val="lowerLetter"/>
      <w:lvlText w:val="%2."/>
      <w:lvlJc w:val="left"/>
      <w:pPr>
        <w:ind w:left="720" w:hanging="360"/>
      </w:pPr>
    </w:lvl>
    <w:lvl w:ilvl="2" w:tplc="EE560490">
      <w:start w:val="1"/>
      <w:numFmt w:val="lowerLetter"/>
      <w:lvlText w:val="%3."/>
      <w:lvlJc w:val="left"/>
      <w:pPr>
        <w:ind w:left="720" w:hanging="360"/>
      </w:pPr>
    </w:lvl>
    <w:lvl w:ilvl="3" w:tplc="7D6C1A14">
      <w:start w:val="1"/>
      <w:numFmt w:val="lowerLetter"/>
      <w:lvlText w:val="%4."/>
      <w:lvlJc w:val="left"/>
      <w:pPr>
        <w:ind w:left="720" w:hanging="360"/>
      </w:pPr>
    </w:lvl>
    <w:lvl w:ilvl="4" w:tplc="BB10CCE2">
      <w:start w:val="1"/>
      <w:numFmt w:val="lowerLetter"/>
      <w:lvlText w:val="%5."/>
      <w:lvlJc w:val="left"/>
      <w:pPr>
        <w:ind w:left="720" w:hanging="360"/>
      </w:pPr>
    </w:lvl>
    <w:lvl w:ilvl="5" w:tplc="B7F4A1FC">
      <w:start w:val="1"/>
      <w:numFmt w:val="lowerLetter"/>
      <w:lvlText w:val="%6."/>
      <w:lvlJc w:val="left"/>
      <w:pPr>
        <w:ind w:left="720" w:hanging="360"/>
      </w:pPr>
    </w:lvl>
    <w:lvl w:ilvl="6" w:tplc="D10692DE">
      <w:start w:val="1"/>
      <w:numFmt w:val="lowerLetter"/>
      <w:lvlText w:val="%7."/>
      <w:lvlJc w:val="left"/>
      <w:pPr>
        <w:ind w:left="720" w:hanging="360"/>
      </w:pPr>
    </w:lvl>
    <w:lvl w:ilvl="7" w:tplc="B128FD2A">
      <w:start w:val="1"/>
      <w:numFmt w:val="lowerLetter"/>
      <w:lvlText w:val="%8."/>
      <w:lvlJc w:val="left"/>
      <w:pPr>
        <w:ind w:left="720" w:hanging="360"/>
      </w:pPr>
    </w:lvl>
    <w:lvl w:ilvl="8" w:tplc="D5E075AC">
      <w:start w:val="1"/>
      <w:numFmt w:val="lowerLetter"/>
      <w:lvlText w:val="%9."/>
      <w:lvlJc w:val="left"/>
      <w:pPr>
        <w:ind w:left="720" w:hanging="360"/>
      </w:pPr>
    </w:lvl>
  </w:abstractNum>
  <w:abstractNum w:abstractNumId="1" w15:restartNumberingAfterBreak="0">
    <w:nsid w:val="0FE204BC"/>
    <w:multiLevelType w:val="hybridMultilevel"/>
    <w:tmpl w:val="82161F4A"/>
    <w:lvl w:ilvl="0" w:tplc="C054D48E">
      <w:start w:val="1"/>
      <w:numFmt w:val="lowerLetter"/>
      <w:lvlText w:val="%1."/>
      <w:lvlJc w:val="left"/>
      <w:pPr>
        <w:ind w:left="720" w:hanging="360"/>
      </w:pPr>
    </w:lvl>
    <w:lvl w:ilvl="1" w:tplc="D1203A5E">
      <w:start w:val="1"/>
      <w:numFmt w:val="lowerLetter"/>
      <w:lvlText w:val="%2."/>
      <w:lvlJc w:val="left"/>
      <w:pPr>
        <w:ind w:left="720" w:hanging="360"/>
      </w:pPr>
    </w:lvl>
    <w:lvl w:ilvl="2" w:tplc="70BA1146">
      <w:start w:val="1"/>
      <w:numFmt w:val="lowerLetter"/>
      <w:lvlText w:val="%3."/>
      <w:lvlJc w:val="left"/>
      <w:pPr>
        <w:ind w:left="720" w:hanging="360"/>
      </w:pPr>
    </w:lvl>
    <w:lvl w:ilvl="3" w:tplc="282096D0">
      <w:start w:val="1"/>
      <w:numFmt w:val="lowerLetter"/>
      <w:lvlText w:val="%4."/>
      <w:lvlJc w:val="left"/>
      <w:pPr>
        <w:ind w:left="720" w:hanging="360"/>
      </w:pPr>
    </w:lvl>
    <w:lvl w:ilvl="4" w:tplc="30024A26">
      <w:start w:val="1"/>
      <w:numFmt w:val="lowerLetter"/>
      <w:lvlText w:val="%5."/>
      <w:lvlJc w:val="left"/>
      <w:pPr>
        <w:ind w:left="720" w:hanging="360"/>
      </w:pPr>
    </w:lvl>
    <w:lvl w:ilvl="5" w:tplc="179881CA">
      <w:start w:val="1"/>
      <w:numFmt w:val="lowerLetter"/>
      <w:lvlText w:val="%6."/>
      <w:lvlJc w:val="left"/>
      <w:pPr>
        <w:ind w:left="720" w:hanging="360"/>
      </w:pPr>
    </w:lvl>
    <w:lvl w:ilvl="6" w:tplc="89028634">
      <w:start w:val="1"/>
      <w:numFmt w:val="lowerLetter"/>
      <w:lvlText w:val="%7."/>
      <w:lvlJc w:val="left"/>
      <w:pPr>
        <w:ind w:left="720" w:hanging="360"/>
      </w:pPr>
    </w:lvl>
    <w:lvl w:ilvl="7" w:tplc="FFC0F146">
      <w:start w:val="1"/>
      <w:numFmt w:val="lowerLetter"/>
      <w:lvlText w:val="%8."/>
      <w:lvlJc w:val="left"/>
      <w:pPr>
        <w:ind w:left="720" w:hanging="360"/>
      </w:pPr>
    </w:lvl>
    <w:lvl w:ilvl="8" w:tplc="D1E857EA">
      <w:start w:val="1"/>
      <w:numFmt w:val="lowerLetter"/>
      <w:lvlText w:val="%9."/>
      <w:lvlJc w:val="left"/>
      <w:pPr>
        <w:ind w:left="720" w:hanging="360"/>
      </w:pPr>
    </w:lvl>
  </w:abstractNum>
  <w:abstractNum w:abstractNumId="2" w15:restartNumberingAfterBreak="0">
    <w:nsid w:val="102469D1"/>
    <w:multiLevelType w:val="multilevel"/>
    <w:tmpl w:val="93D041AE"/>
    <w:lvl w:ilvl="0">
      <w:start w:val="1"/>
      <w:numFmt w:val="lowerLetter"/>
      <w:lvlText w:val="%1."/>
      <w:lvlJc w:val="left"/>
      <w:pPr>
        <w:ind w:left="630" w:hanging="360"/>
      </w:pPr>
      <w:rPr>
        <w:rFonts w:hint="default"/>
        <w:color w:val="231F20"/>
        <w:spacing w:val="-21"/>
        <w:w w:val="100"/>
        <w:sz w:val="21"/>
        <w:szCs w:val="21"/>
        <w:lang w:val="en-US" w:eastAsia="en-US" w:bidi="en-US"/>
      </w:rPr>
    </w:lvl>
    <w:lvl w:ilvl="1">
      <w:numFmt w:val="bullet"/>
      <w:lvlText w:val="•"/>
      <w:lvlJc w:val="left"/>
      <w:pPr>
        <w:ind w:left="3540" w:hanging="360"/>
      </w:pPr>
      <w:rPr>
        <w:rFonts w:hint="default"/>
        <w:lang w:val="en-US" w:eastAsia="en-US" w:bidi="en-US"/>
      </w:rPr>
    </w:lvl>
    <w:lvl w:ilvl="2">
      <w:numFmt w:val="bullet"/>
      <w:lvlText w:val="•"/>
      <w:lvlJc w:val="left"/>
      <w:pPr>
        <w:ind w:left="4320" w:hanging="360"/>
      </w:pPr>
      <w:rPr>
        <w:rFonts w:hint="default"/>
        <w:lang w:val="en-US" w:eastAsia="en-US" w:bidi="en-US"/>
      </w:rPr>
    </w:lvl>
    <w:lvl w:ilvl="3">
      <w:numFmt w:val="bullet"/>
      <w:lvlText w:val="•"/>
      <w:lvlJc w:val="left"/>
      <w:pPr>
        <w:ind w:left="5100" w:hanging="360"/>
      </w:pPr>
      <w:rPr>
        <w:rFonts w:hint="default"/>
        <w:lang w:val="en-US" w:eastAsia="en-US" w:bidi="en-US"/>
      </w:rPr>
    </w:lvl>
    <w:lvl w:ilvl="4">
      <w:numFmt w:val="bullet"/>
      <w:lvlText w:val="•"/>
      <w:lvlJc w:val="left"/>
      <w:pPr>
        <w:ind w:left="5880" w:hanging="360"/>
      </w:pPr>
      <w:rPr>
        <w:rFonts w:hint="default"/>
        <w:lang w:val="en-US" w:eastAsia="en-US" w:bidi="en-US"/>
      </w:rPr>
    </w:lvl>
    <w:lvl w:ilvl="5">
      <w:numFmt w:val="bullet"/>
      <w:lvlText w:val="•"/>
      <w:lvlJc w:val="left"/>
      <w:pPr>
        <w:ind w:left="6660" w:hanging="360"/>
      </w:pPr>
      <w:rPr>
        <w:rFonts w:hint="default"/>
        <w:lang w:val="en-US" w:eastAsia="en-US" w:bidi="en-US"/>
      </w:rPr>
    </w:lvl>
    <w:lvl w:ilvl="6">
      <w:numFmt w:val="bullet"/>
      <w:lvlText w:val="•"/>
      <w:lvlJc w:val="left"/>
      <w:pPr>
        <w:ind w:left="7440" w:hanging="360"/>
      </w:pPr>
      <w:rPr>
        <w:rFonts w:hint="default"/>
        <w:lang w:val="en-US" w:eastAsia="en-US" w:bidi="en-US"/>
      </w:rPr>
    </w:lvl>
    <w:lvl w:ilvl="7">
      <w:numFmt w:val="bullet"/>
      <w:lvlText w:val="•"/>
      <w:lvlJc w:val="left"/>
      <w:pPr>
        <w:ind w:left="8220" w:hanging="360"/>
      </w:pPr>
      <w:rPr>
        <w:rFonts w:hint="default"/>
        <w:lang w:val="en-US" w:eastAsia="en-US" w:bidi="en-US"/>
      </w:rPr>
    </w:lvl>
    <w:lvl w:ilvl="8">
      <w:numFmt w:val="bullet"/>
      <w:lvlText w:val="•"/>
      <w:lvlJc w:val="left"/>
      <w:pPr>
        <w:ind w:left="9000" w:hanging="360"/>
      </w:pPr>
      <w:rPr>
        <w:rFonts w:hint="default"/>
        <w:lang w:val="en-US" w:eastAsia="en-US" w:bidi="en-US"/>
      </w:rPr>
    </w:lvl>
  </w:abstractNum>
  <w:abstractNum w:abstractNumId="3" w15:restartNumberingAfterBreak="0">
    <w:nsid w:val="18C3148B"/>
    <w:multiLevelType w:val="hybridMultilevel"/>
    <w:tmpl w:val="8B48E65E"/>
    <w:lvl w:ilvl="0" w:tplc="38D6F9E4">
      <w:numFmt w:val="bullet"/>
      <w:lvlText w:val="•"/>
      <w:lvlJc w:val="left"/>
      <w:pPr>
        <w:ind w:left="2340" w:hanging="241"/>
      </w:pPr>
      <w:rPr>
        <w:rFonts w:ascii="Minion Pro" w:eastAsia="Minion Pro" w:hAnsi="Minion Pro" w:cs="Minion Pro" w:hint="default"/>
        <w:color w:val="231F20"/>
        <w:spacing w:val="-16"/>
        <w:w w:val="100"/>
        <w:sz w:val="21"/>
        <w:szCs w:val="21"/>
        <w:lang w:val="en-US" w:eastAsia="en-US" w:bidi="en-US"/>
      </w:rPr>
    </w:lvl>
    <w:lvl w:ilvl="1" w:tplc="46189E10">
      <w:numFmt w:val="bullet"/>
      <w:lvlText w:val="•"/>
      <w:lvlJc w:val="left"/>
      <w:pPr>
        <w:ind w:left="3162" w:hanging="241"/>
      </w:pPr>
      <w:rPr>
        <w:rFonts w:hint="default"/>
        <w:lang w:val="en-US" w:eastAsia="en-US" w:bidi="en-US"/>
      </w:rPr>
    </w:lvl>
    <w:lvl w:ilvl="2" w:tplc="49BAE9F6">
      <w:numFmt w:val="bullet"/>
      <w:lvlText w:val="•"/>
      <w:lvlJc w:val="left"/>
      <w:pPr>
        <w:ind w:left="3984" w:hanging="241"/>
      </w:pPr>
      <w:rPr>
        <w:rFonts w:hint="default"/>
        <w:lang w:val="en-US" w:eastAsia="en-US" w:bidi="en-US"/>
      </w:rPr>
    </w:lvl>
    <w:lvl w:ilvl="3" w:tplc="339C67E6">
      <w:numFmt w:val="bullet"/>
      <w:lvlText w:val="•"/>
      <w:lvlJc w:val="left"/>
      <w:pPr>
        <w:ind w:left="4806" w:hanging="241"/>
      </w:pPr>
      <w:rPr>
        <w:rFonts w:hint="default"/>
        <w:lang w:val="en-US" w:eastAsia="en-US" w:bidi="en-US"/>
      </w:rPr>
    </w:lvl>
    <w:lvl w:ilvl="4" w:tplc="4CFCF118">
      <w:numFmt w:val="bullet"/>
      <w:lvlText w:val="•"/>
      <w:lvlJc w:val="left"/>
      <w:pPr>
        <w:ind w:left="5628" w:hanging="241"/>
      </w:pPr>
      <w:rPr>
        <w:rFonts w:hint="default"/>
        <w:lang w:val="en-US" w:eastAsia="en-US" w:bidi="en-US"/>
      </w:rPr>
    </w:lvl>
    <w:lvl w:ilvl="5" w:tplc="CC22BBDA">
      <w:numFmt w:val="bullet"/>
      <w:lvlText w:val="•"/>
      <w:lvlJc w:val="left"/>
      <w:pPr>
        <w:ind w:left="6450" w:hanging="241"/>
      </w:pPr>
      <w:rPr>
        <w:rFonts w:hint="default"/>
        <w:lang w:val="en-US" w:eastAsia="en-US" w:bidi="en-US"/>
      </w:rPr>
    </w:lvl>
    <w:lvl w:ilvl="6" w:tplc="300A642A">
      <w:numFmt w:val="bullet"/>
      <w:lvlText w:val="•"/>
      <w:lvlJc w:val="left"/>
      <w:pPr>
        <w:ind w:left="7272" w:hanging="241"/>
      </w:pPr>
      <w:rPr>
        <w:rFonts w:hint="default"/>
        <w:lang w:val="en-US" w:eastAsia="en-US" w:bidi="en-US"/>
      </w:rPr>
    </w:lvl>
    <w:lvl w:ilvl="7" w:tplc="361633EA">
      <w:numFmt w:val="bullet"/>
      <w:lvlText w:val="•"/>
      <w:lvlJc w:val="left"/>
      <w:pPr>
        <w:ind w:left="8094" w:hanging="241"/>
      </w:pPr>
      <w:rPr>
        <w:rFonts w:hint="default"/>
        <w:lang w:val="en-US" w:eastAsia="en-US" w:bidi="en-US"/>
      </w:rPr>
    </w:lvl>
    <w:lvl w:ilvl="8" w:tplc="F3FE1FF0">
      <w:numFmt w:val="bullet"/>
      <w:lvlText w:val="•"/>
      <w:lvlJc w:val="left"/>
      <w:pPr>
        <w:ind w:left="8916" w:hanging="241"/>
      </w:pPr>
      <w:rPr>
        <w:rFonts w:hint="default"/>
        <w:lang w:val="en-US" w:eastAsia="en-US" w:bidi="en-US"/>
      </w:rPr>
    </w:lvl>
  </w:abstractNum>
  <w:abstractNum w:abstractNumId="4" w15:restartNumberingAfterBreak="0">
    <w:nsid w:val="234D0883"/>
    <w:multiLevelType w:val="hybridMultilevel"/>
    <w:tmpl w:val="D90C5602"/>
    <w:lvl w:ilvl="0" w:tplc="14AEDE38">
      <w:start w:val="1"/>
      <w:numFmt w:val="decimal"/>
      <w:lvlText w:val="%1."/>
      <w:lvlJc w:val="left"/>
      <w:pPr>
        <w:ind w:left="2100" w:hanging="301"/>
      </w:pPr>
      <w:rPr>
        <w:rFonts w:asciiTheme="minorHAnsi" w:eastAsia="Minion Pro" w:hAnsiTheme="minorHAnsi" w:cstheme="minorHAnsi" w:hint="default"/>
        <w:color w:val="231F20"/>
        <w:spacing w:val="-29"/>
        <w:w w:val="94"/>
        <w:sz w:val="22"/>
        <w:szCs w:val="22"/>
        <w:lang w:val="en-US" w:eastAsia="en-US" w:bidi="en-US"/>
      </w:rPr>
    </w:lvl>
    <w:lvl w:ilvl="1" w:tplc="1CBE0A7A">
      <w:numFmt w:val="bullet"/>
      <w:lvlText w:val="•"/>
      <w:lvlJc w:val="left"/>
      <w:pPr>
        <w:ind w:left="2946" w:hanging="301"/>
      </w:pPr>
      <w:rPr>
        <w:rFonts w:hint="default"/>
        <w:lang w:val="en-US" w:eastAsia="en-US" w:bidi="en-US"/>
      </w:rPr>
    </w:lvl>
    <w:lvl w:ilvl="2" w:tplc="414A3F96">
      <w:numFmt w:val="bullet"/>
      <w:lvlText w:val="•"/>
      <w:lvlJc w:val="left"/>
      <w:pPr>
        <w:ind w:left="3792" w:hanging="301"/>
      </w:pPr>
      <w:rPr>
        <w:rFonts w:hint="default"/>
        <w:lang w:val="en-US" w:eastAsia="en-US" w:bidi="en-US"/>
      </w:rPr>
    </w:lvl>
    <w:lvl w:ilvl="3" w:tplc="BDC6E5CC">
      <w:numFmt w:val="bullet"/>
      <w:lvlText w:val="•"/>
      <w:lvlJc w:val="left"/>
      <w:pPr>
        <w:ind w:left="4638" w:hanging="301"/>
      </w:pPr>
      <w:rPr>
        <w:rFonts w:hint="default"/>
        <w:lang w:val="en-US" w:eastAsia="en-US" w:bidi="en-US"/>
      </w:rPr>
    </w:lvl>
    <w:lvl w:ilvl="4" w:tplc="83165DF4">
      <w:numFmt w:val="bullet"/>
      <w:lvlText w:val="•"/>
      <w:lvlJc w:val="left"/>
      <w:pPr>
        <w:ind w:left="5484" w:hanging="301"/>
      </w:pPr>
      <w:rPr>
        <w:rFonts w:hint="default"/>
        <w:lang w:val="en-US" w:eastAsia="en-US" w:bidi="en-US"/>
      </w:rPr>
    </w:lvl>
    <w:lvl w:ilvl="5" w:tplc="F54E799C">
      <w:numFmt w:val="bullet"/>
      <w:lvlText w:val="•"/>
      <w:lvlJc w:val="left"/>
      <w:pPr>
        <w:ind w:left="6330" w:hanging="301"/>
      </w:pPr>
      <w:rPr>
        <w:rFonts w:hint="default"/>
        <w:lang w:val="en-US" w:eastAsia="en-US" w:bidi="en-US"/>
      </w:rPr>
    </w:lvl>
    <w:lvl w:ilvl="6" w:tplc="B2EE0610">
      <w:numFmt w:val="bullet"/>
      <w:lvlText w:val="•"/>
      <w:lvlJc w:val="left"/>
      <w:pPr>
        <w:ind w:left="7176" w:hanging="301"/>
      </w:pPr>
      <w:rPr>
        <w:rFonts w:hint="default"/>
        <w:lang w:val="en-US" w:eastAsia="en-US" w:bidi="en-US"/>
      </w:rPr>
    </w:lvl>
    <w:lvl w:ilvl="7" w:tplc="0EA8BEBE">
      <w:numFmt w:val="bullet"/>
      <w:lvlText w:val="•"/>
      <w:lvlJc w:val="left"/>
      <w:pPr>
        <w:ind w:left="8022" w:hanging="301"/>
      </w:pPr>
      <w:rPr>
        <w:rFonts w:hint="default"/>
        <w:lang w:val="en-US" w:eastAsia="en-US" w:bidi="en-US"/>
      </w:rPr>
    </w:lvl>
    <w:lvl w:ilvl="8" w:tplc="29481302">
      <w:numFmt w:val="bullet"/>
      <w:lvlText w:val="•"/>
      <w:lvlJc w:val="left"/>
      <w:pPr>
        <w:ind w:left="8868" w:hanging="301"/>
      </w:pPr>
      <w:rPr>
        <w:rFonts w:hint="default"/>
        <w:lang w:val="en-US" w:eastAsia="en-US" w:bidi="en-US"/>
      </w:rPr>
    </w:lvl>
  </w:abstractNum>
  <w:abstractNum w:abstractNumId="5" w15:restartNumberingAfterBreak="0">
    <w:nsid w:val="290D00F7"/>
    <w:multiLevelType w:val="hybridMultilevel"/>
    <w:tmpl w:val="822C6A28"/>
    <w:lvl w:ilvl="0" w:tplc="0A5016D4">
      <w:start w:val="1"/>
      <w:numFmt w:val="lowerLetter"/>
      <w:lvlText w:val="%1."/>
      <w:lvlJc w:val="left"/>
      <w:pPr>
        <w:ind w:left="1020" w:hanging="360"/>
      </w:pPr>
    </w:lvl>
    <w:lvl w:ilvl="1" w:tplc="45D2E768">
      <w:start w:val="1"/>
      <w:numFmt w:val="lowerLetter"/>
      <w:lvlText w:val="%2."/>
      <w:lvlJc w:val="left"/>
      <w:pPr>
        <w:ind w:left="1020" w:hanging="360"/>
      </w:pPr>
    </w:lvl>
    <w:lvl w:ilvl="2" w:tplc="34BEC1CE">
      <w:start w:val="1"/>
      <w:numFmt w:val="lowerLetter"/>
      <w:lvlText w:val="%3."/>
      <w:lvlJc w:val="left"/>
      <w:pPr>
        <w:ind w:left="1020" w:hanging="360"/>
      </w:pPr>
    </w:lvl>
    <w:lvl w:ilvl="3" w:tplc="9404C064">
      <w:start w:val="1"/>
      <w:numFmt w:val="lowerLetter"/>
      <w:lvlText w:val="%4."/>
      <w:lvlJc w:val="left"/>
      <w:pPr>
        <w:ind w:left="1020" w:hanging="360"/>
      </w:pPr>
    </w:lvl>
    <w:lvl w:ilvl="4" w:tplc="45960EB2">
      <w:start w:val="1"/>
      <w:numFmt w:val="lowerLetter"/>
      <w:lvlText w:val="%5."/>
      <w:lvlJc w:val="left"/>
      <w:pPr>
        <w:ind w:left="1020" w:hanging="360"/>
      </w:pPr>
    </w:lvl>
    <w:lvl w:ilvl="5" w:tplc="33025314">
      <w:start w:val="1"/>
      <w:numFmt w:val="lowerLetter"/>
      <w:lvlText w:val="%6."/>
      <w:lvlJc w:val="left"/>
      <w:pPr>
        <w:ind w:left="1020" w:hanging="360"/>
      </w:pPr>
    </w:lvl>
    <w:lvl w:ilvl="6" w:tplc="995872AA">
      <w:start w:val="1"/>
      <w:numFmt w:val="lowerLetter"/>
      <w:lvlText w:val="%7."/>
      <w:lvlJc w:val="left"/>
      <w:pPr>
        <w:ind w:left="1020" w:hanging="360"/>
      </w:pPr>
    </w:lvl>
    <w:lvl w:ilvl="7" w:tplc="85929A46">
      <w:start w:val="1"/>
      <w:numFmt w:val="lowerLetter"/>
      <w:lvlText w:val="%8."/>
      <w:lvlJc w:val="left"/>
      <w:pPr>
        <w:ind w:left="1020" w:hanging="360"/>
      </w:pPr>
    </w:lvl>
    <w:lvl w:ilvl="8" w:tplc="E3DE5188">
      <w:start w:val="1"/>
      <w:numFmt w:val="lowerLetter"/>
      <w:lvlText w:val="%9."/>
      <w:lvlJc w:val="left"/>
      <w:pPr>
        <w:ind w:left="1020" w:hanging="360"/>
      </w:pPr>
    </w:lvl>
  </w:abstractNum>
  <w:abstractNum w:abstractNumId="6" w15:restartNumberingAfterBreak="0">
    <w:nsid w:val="2DC462DD"/>
    <w:multiLevelType w:val="hybridMultilevel"/>
    <w:tmpl w:val="1AE63FF4"/>
    <w:lvl w:ilvl="0" w:tplc="C6D09818">
      <w:start w:val="1"/>
      <w:numFmt w:val="lowerLetter"/>
      <w:lvlText w:val="%1."/>
      <w:lvlJc w:val="left"/>
      <w:pPr>
        <w:ind w:left="720" w:hanging="360"/>
      </w:pPr>
    </w:lvl>
    <w:lvl w:ilvl="1" w:tplc="74824402">
      <w:start w:val="1"/>
      <w:numFmt w:val="lowerLetter"/>
      <w:lvlText w:val="%2."/>
      <w:lvlJc w:val="left"/>
      <w:pPr>
        <w:ind w:left="720" w:hanging="360"/>
      </w:pPr>
    </w:lvl>
    <w:lvl w:ilvl="2" w:tplc="723012E4">
      <w:start w:val="1"/>
      <w:numFmt w:val="lowerLetter"/>
      <w:lvlText w:val="%3."/>
      <w:lvlJc w:val="left"/>
      <w:pPr>
        <w:ind w:left="720" w:hanging="360"/>
      </w:pPr>
    </w:lvl>
    <w:lvl w:ilvl="3" w:tplc="0A06E1C2">
      <w:start w:val="1"/>
      <w:numFmt w:val="lowerLetter"/>
      <w:lvlText w:val="%4."/>
      <w:lvlJc w:val="left"/>
      <w:pPr>
        <w:ind w:left="720" w:hanging="360"/>
      </w:pPr>
    </w:lvl>
    <w:lvl w:ilvl="4" w:tplc="76FE4FDA">
      <w:start w:val="1"/>
      <w:numFmt w:val="lowerLetter"/>
      <w:lvlText w:val="%5."/>
      <w:lvlJc w:val="left"/>
      <w:pPr>
        <w:ind w:left="720" w:hanging="360"/>
      </w:pPr>
    </w:lvl>
    <w:lvl w:ilvl="5" w:tplc="F3187ACE">
      <w:start w:val="1"/>
      <w:numFmt w:val="lowerLetter"/>
      <w:lvlText w:val="%6."/>
      <w:lvlJc w:val="left"/>
      <w:pPr>
        <w:ind w:left="720" w:hanging="360"/>
      </w:pPr>
    </w:lvl>
    <w:lvl w:ilvl="6" w:tplc="9FA03628">
      <w:start w:val="1"/>
      <w:numFmt w:val="lowerLetter"/>
      <w:lvlText w:val="%7."/>
      <w:lvlJc w:val="left"/>
      <w:pPr>
        <w:ind w:left="720" w:hanging="360"/>
      </w:pPr>
    </w:lvl>
    <w:lvl w:ilvl="7" w:tplc="FBAE0EDE">
      <w:start w:val="1"/>
      <w:numFmt w:val="lowerLetter"/>
      <w:lvlText w:val="%8."/>
      <w:lvlJc w:val="left"/>
      <w:pPr>
        <w:ind w:left="720" w:hanging="360"/>
      </w:pPr>
    </w:lvl>
    <w:lvl w:ilvl="8" w:tplc="D1B225D0">
      <w:start w:val="1"/>
      <w:numFmt w:val="lowerLetter"/>
      <w:lvlText w:val="%9."/>
      <w:lvlJc w:val="left"/>
      <w:pPr>
        <w:ind w:left="720" w:hanging="360"/>
      </w:pPr>
    </w:lvl>
  </w:abstractNum>
  <w:abstractNum w:abstractNumId="7" w15:restartNumberingAfterBreak="0">
    <w:nsid w:val="2EA81F57"/>
    <w:multiLevelType w:val="hybridMultilevel"/>
    <w:tmpl w:val="D11234DA"/>
    <w:lvl w:ilvl="0" w:tplc="120E0D72">
      <w:start w:val="1"/>
      <w:numFmt w:val="upperLetter"/>
      <w:lvlText w:val="%1."/>
      <w:lvlJc w:val="left"/>
      <w:pPr>
        <w:ind w:left="496" w:hanging="360"/>
      </w:pPr>
      <w:rPr>
        <w:rFonts w:ascii="Book Antiqua" w:eastAsia="Times New Roman" w:hAnsi="Book Antiqua" w:cs="Tahoma" w:hint="default"/>
        <w:b/>
        <w:bCs/>
        <w:i w:val="0"/>
        <w:iCs w:val="0"/>
        <w:spacing w:val="-1"/>
        <w:w w:val="100"/>
        <w:sz w:val="24"/>
        <w:szCs w:val="24"/>
        <w:lang w:val="en-US" w:eastAsia="en-US" w:bidi="ar-SA"/>
      </w:rPr>
    </w:lvl>
    <w:lvl w:ilvl="1" w:tplc="511C0068">
      <w:start w:val="1"/>
      <w:numFmt w:val="decimal"/>
      <w:lvlText w:val="%2."/>
      <w:lvlJc w:val="left"/>
      <w:pPr>
        <w:ind w:left="855" w:hanging="360"/>
      </w:pPr>
      <w:rPr>
        <w:rFonts w:hint="default"/>
        <w:spacing w:val="0"/>
        <w:w w:val="99"/>
        <w:lang w:val="en-US" w:eastAsia="en-US" w:bidi="ar-SA"/>
      </w:rPr>
    </w:lvl>
    <w:lvl w:ilvl="2" w:tplc="01209DA0">
      <w:numFmt w:val="bullet"/>
      <w:lvlText w:val="•"/>
      <w:lvlJc w:val="left"/>
      <w:pPr>
        <w:ind w:left="1866" w:hanging="360"/>
      </w:pPr>
      <w:rPr>
        <w:rFonts w:hint="default"/>
        <w:lang w:val="en-US" w:eastAsia="en-US" w:bidi="ar-SA"/>
      </w:rPr>
    </w:lvl>
    <w:lvl w:ilvl="3" w:tplc="9C2CB9BE">
      <w:numFmt w:val="bullet"/>
      <w:lvlText w:val="•"/>
      <w:lvlJc w:val="left"/>
      <w:pPr>
        <w:ind w:left="2873" w:hanging="360"/>
      </w:pPr>
      <w:rPr>
        <w:rFonts w:hint="default"/>
        <w:lang w:val="en-US" w:eastAsia="en-US" w:bidi="ar-SA"/>
      </w:rPr>
    </w:lvl>
    <w:lvl w:ilvl="4" w:tplc="53D213F0">
      <w:numFmt w:val="bullet"/>
      <w:lvlText w:val="•"/>
      <w:lvlJc w:val="left"/>
      <w:pPr>
        <w:ind w:left="3880" w:hanging="360"/>
      </w:pPr>
      <w:rPr>
        <w:rFonts w:hint="default"/>
        <w:lang w:val="en-US" w:eastAsia="en-US" w:bidi="ar-SA"/>
      </w:rPr>
    </w:lvl>
    <w:lvl w:ilvl="5" w:tplc="5964B698">
      <w:numFmt w:val="bullet"/>
      <w:lvlText w:val="•"/>
      <w:lvlJc w:val="left"/>
      <w:pPr>
        <w:ind w:left="4886" w:hanging="360"/>
      </w:pPr>
      <w:rPr>
        <w:rFonts w:hint="default"/>
        <w:lang w:val="en-US" w:eastAsia="en-US" w:bidi="ar-SA"/>
      </w:rPr>
    </w:lvl>
    <w:lvl w:ilvl="6" w:tplc="717E4898">
      <w:numFmt w:val="bullet"/>
      <w:lvlText w:val="•"/>
      <w:lvlJc w:val="left"/>
      <w:pPr>
        <w:ind w:left="5893" w:hanging="360"/>
      </w:pPr>
      <w:rPr>
        <w:rFonts w:hint="default"/>
        <w:lang w:val="en-US" w:eastAsia="en-US" w:bidi="ar-SA"/>
      </w:rPr>
    </w:lvl>
    <w:lvl w:ilvl="7" w:tplc="6510B0E4">
      <w:numFmt w:val="bullet"/>
      <w:lvlText w:val="•"/>
      <w:lvlJc w:val="left"/>
      <w:pPr>
        <w:ind w:left="6900" w:hanging="360"/>
      </w:pPr>
      <w:rPr>
        <w:rFonts w:hint="default"/>
        <w:lang w:val="en-US" w:eastAsia="en-US" w:bidi="ar-SA"/>
      </w:rPr>
    </w:lvl>
    <w:lvl w:ilvl="8" w:tplc="C18A7F3E">
      <w:numFmt w:val="bullet"/>
      <w:lvlText w:val="•"/>
      <w:lvlJc w:val="left"/>
      <w:pPr>
        <w:ind w:left="7906" w:hanging="360"/>
      </w:pPr>
      <w:rPr>
        <w:rFonts w:hint="default"/>
        <w:lang w:val="en-US" w:eastAsia="en-US" w:bidi="ar-SA"/>
      </w:rPr>
    </w:lvl>
  </w:abstractNum>
  <w:abstractNum w:abstractNumId="8" w15:restartNumberingAfterBreak="0">
    <w:nsid w:val="381C586A"/>
    <w:multiLevelType w:val="hybridMultilevel"/>
    <w:tmpl w:val="93D041AE"/>
    <w:lvl w:ilvl="0" w:tplc="04090019">
      <w:start w:val="1"/>
      <w:numFmt w:val="lowerLetter"/>
      <w:lvlText w:val="%1."/>
      <w:lvlJc w:val="left"/>
      <w:pPr>
        <w:ind w:left="630" w:hanging="360"/>
      </w:pPr>
      <w:rPr>
        <w:rFonts w:hint="default"/>
        <w:color w:val="231F20"/>
        <w:spacing w:val="-21"/>
        <w:w w:val="100"/>
        <w:sz w:val="21"/>
        <w:szCs w:val="21"/>
        <w:lang w:val="en-US" w:eastAsia="en-US" w:bidi="en-US"/>
      </w:rPr>
    </w:lvl>
    <w:lvl w:ilvl="1" w:tplc="4AC02062">
      <w:numFmt w:val="bullet"/>
      <w:lvlText w:val="•"/>
      <w:lvlJc w:val="left"/>
      <w:pPr>
        <w:ind w:left="3540" w:hanging="360"/>
      </w:pPr>
      <w:rPr>
        <w:rFonts w:hint="default"/>
        <w:lang w:val="en-US" w:eastAsia="en-US" w:bidi="en-US"/>
      </w:rPr>
    </w:lvl>
    <w:lvl w:ilvl="2" w:tplc="90A22664">
      <w:numFmt w:val="bullet"/>
      <w:lvlText w:val="•"/>
      <w:lvlJc w:val="left"/>
      <w:pPr>
        <w:ind w:left="4320" w:hanging="360"/>
      </w:pPr>
      <w:rPr>
        <w:rFonts w:hint="default"/>
        <w:lang w:val="en-US" w:eastAsia="en-US" w:bidi="en-US"/>
      </w:rPr>
    </w:lvl>
    <w:lvl w:ilvl="3" w:tplc="21AE8356">
      <w:numFmt w:val="bullet"/>
      <w:lvlText w:val="•"/>
      <w:lvlJc w:val="left"/>
      <w:pPr>
        <w:ind w:left="5100" w:hanging="360"/>
      </w:pPr>
      <w:rPr>
        <w:rFonts w:hint="default"/>
        <w:lang w:val="en-US" w:eastAsia="en-US" w:bidi="en-US"/>
      </w:rPr>
    </w:lvl>
    <w:lvl w:ilvl="4" w:tplc="E28246D4">
      <w:numFmt w:val="bullet"/>
      <w:lvlText w:val="•"/>
      <w:lvlJc w:val="left"/>
      <w:pPr>
        <w:ind w:left="5880" w:hanging="360"/>
      </w:pPr>
      <w:rPr>
        <w:rFonts w:hint="default"/>
        <w:lang w:val="en-US" w:eastAsia="en-US" w:bidi="en-US"/>
      </w:rPr>
    </w:lvl>
    <w:lvl w:ilvl="5" w:tplc="C69AB2E6">
      <w:numFmt w:val="bullet"/>
      <w:lvlText w:val="•"/>
      <w:lvlJc w:val="left"/>
      <w:pPr>
        <w:ind w:left="6660" w:hanging="360"/>
      </w:pPr>
      <w:rPr>
        <w:rFonts w:hint="default"/>
        <w:lang w:val="en-US" w:eastAsia="en-US" w:bidi="en-US"/>
      </w:rPr>
    </w:lvl>
    <w:lvl w:ilvl="6" w:tplc="AB36E610">
      <w:numFmt w:val="bullet"/>
      <w:lvlText w:val="•"/>
      <w:lvlJc w:val="left"/>
      <w:pPr>
        <w:ind w:left="7440" w:hanging="360"/>
      </w:pPr>
      <w:rPr>
        <w:rFonts w:hint="default"/>
        <w:lang w:val="en-US" w:eastAsia="en-US" w:bidi="en-US"/>
      </w:rPr>
    </w:lvl>
    <w:lvl w:ilvl="7" w:tplc="A5AA175E">
      <w:numFmt w:val="bullet"/>
      <w:lvlText w:val="•"/>
      <w:lvlJc w:val="left"/>
      <w:pPr>
        <w:ind w:left="8220" w:hanging="360"/>
      </w:pPr>
      <w:rPr>
        <w:rFonts w:hint="default"/>
        <w:lang w:val="en-US" w:eastAsia="en-US" w:bidi="en-US"/>
      </w:rPr>
    </w:lvl>
    <w:lvl w:ilvl="8" w:tplc="B52A9CA4">
      <w:numFmt w:val="bullet"/>
      <w:lvlText w:val="•"/>
      <w:lvlJc w:val="left"/>
      <w:pPr>
        <w:ind w:left="9000" w:hanging="360"/>
      </w:pPr>
      <w:rPr>
        <w:rFonts w:hint="default"/>
        <w:lang w:val="en-US" w:eastAsia="en-US" w:bidi="en-US"/>
      </w:rPr>
    </w:lvl>
  </w:abstractNum>
  <w:abstractNum w:abstractNumId="9" w15:restartNumberingAfterBreak="0">
    <w:nsid w:val="4E607C74"/>
    <w:multiLevelType w:val="hybridMultilevel"/>
    <w:tmpl w:val="9D6E0A58"/>
    <w:lvl w:ilvl="0" w:tplc="C32E57B0">
      <w:start w:val="1"/>
      <w:numFmt w:val="upperLetter"/>
      <w:lvlText w:val="%1."/>
      <w:lvlJc w:val="left"/>
      <w:pPr>
        <w:ind w:left="2109" w:hanging="310"/>
      </w:pPr>
      <w:rPr>
        <w:rFonts w:ascii="Minion Pro Cond" w:eastAsia="Minion Pro Cond" w:hAnsi="Minion Pro Cond" w:cs="Minion Pro Cond" w:hint="default"/>
        <w:color w:val="231F20"/>
        <w:spacing w:val="0"/>
        <w:w w:val="97"/>
        <w:sz w:val="28"/>
        <w:szCs w:val="28"/>
        <w:lang w:val="en-US" w:eastAsia="en-US" w:bidi="en-US"/>
      </w:rPr>
    </w:lvl>
    <w:lvl w:ilvl="1" w:tplc="6DA00460">
      <w:start w:val="1"/>
      <w:numFmt w:val="decimal"/>
      <w:lvlText w:val="%2."/>
      <w:lvlJc w:val="left"/>
      <w:pPr>
        <w:ind w:left="2099" w:hanging="300"/>
      </w:pPr>
      <w:rPr>
        <w:rFonts w:ascii="Minion Pro Capt" w:eastAsia="Minion Pro Capt" w:hAnsi="Minion Pro Capt" w:cs="Minion Pro Capt" w:hint="default"/>
        <w:b/>
        <w:bCs/>
        <w:color w:val="231F20"/>
        <w:w w:val="103"/>
        <w:sz w:val="23"/>
        <w:szCs w:val="23"/>
        <w:lang w:val="en-US" w:eastAsia="en-US" w:bidi="en-US"/>
      </w:rPr>
    </w:lvl>
    <w:lvl w:ilvl="2" w:tplc="2508183C">
      <w:start w:val="1"/>
      <w:numFmt w:val="lowerLetter"/>
      <w:lvlText w:val="%3."/>
      <w:lvlJc w:val="left"/>
      <w:pPr>
        <w:ind w:left="2400" w:hanging="301"/>
      </w:pPr>
      <w:rPr>
        <w:rFonts w:ascii="Minion Pro" w:eastAsia="Minion Pro" w:hAnsi="Minion Pro" w:cs="Minion Pro" w:hint="default"/>
        <w:color w:val="231F20"/>
        <w:spacing w:val="-6"/>
        <w:w w:val="100"/>
        <w:sz w:val="21"/>
        <w:szCs w:val="21"/>
        <w:lang w:val="en-US" w:eastAsia="en-US" w:bidi="en-US"/>
      </w:rPr>
    </w:lvl>
    <w:lvl w:ilvl="3" w:tplc="04090001">
      <w:start w:val="1"/>
      <w:numFmt w:val="bullet"/>
      <w:lvlText w:val=""/>
      <w:lvlJc w:val="left"/>
      <w:pPr>
        <w:ind w:left="2660" w:hanging="301"/>
      </w:pPr>
      <w:rPr>
        <w:rFonts w:ascii="Symbol" w:hAnsi="Symbol" w:hint="default"/>
        <w:color w:val="231F20"/>
        <w:spacing w:val="-3"/>
        <w:w w:val="100"/>
        <w:sz w:val="21"/>
        <w:szCs w:val="21"/>
        <w:lang w:val="en-US" w:eastAsia="en-US" w:bidi="en-US"/>
      </w:rPr>
    </w:lvl>
    <w:lvl w:ilvl="4" w:tplc="AD7AB942">
      <w:numFmt w:val="bullet"/>
      <w:lvlText w:val="•"/>
      <w:lvlJc w:val="left"/>
      <w:pPr>
        <w:ind w:left="2760" w:hanging="301"/>
      </w:pPr>
      <w:rPr>
        <w:rFonts w:hint="default"/>
        <w:lang w:val="en-US" w:eastAsia="en-US" w:bidi="en-US"/>
      </w:rPr>
    </w:lvl>
    <w:lvl w:ilvl="5" w:tplc="C0A036BE">
      <w:numFmt w:val="bullet"/>
      <w:lvlText w:val="•"/>
      <w:lvlJc w:val="left"/>
      <w:pPr>
        <w:ind w:left="4060" w:hanging="301"/>
      </w:pPr>
      <w:rPr>
        <w:rFonts w:hint="default"/>
        <w:lang w:val="en-US" w:eastAsia="en-US" w:bidi="en-US"/>
      </w:rPr>
    </w:lvl>
    <w:lvl w:ilvl="6" w:tplc="7636807A">
      <w:numFmt w:val="bullet"/>
      <w:lvlText w:val="•"/>
      <w:lvlJc w:val="left"/>
      <w:pPr>
        <w:ind w:left="5360" w:hanging="301"/>
      </w:pPr>
      <w:rPr>
        <w:rFonts w:hint="default"/>
        <w:lang w:val="en-US" w:eastAsia="en-US" w:bidi="en-US"/>
      </w:rPr>
    </w:lvl>
    <w:lvl w:ilvl="7" w:tplc="2A4AA636">
      <w:numFmt w:val="bullet"/>
      <w:lvlText w:val="•"/>
      <w:lvlJc w:val="left"/>
      <w:pPr>
        <w:ind w:left="6660" w:hanging="301"/>
      </w:pPr>
      <w:rPr>
        <w:rFonts w:hint="default"/>
        <w:lang w:val="en-US" w:eastAsia="en-US" w:bidi="en-US"/>
      </w:rPr>
    </w:lvl>
    <w:lvl w:ilvl="8" w:tplc="FBBAD036">
      <w:numFmt w:val="bullet"/>
      <w:lvlText w:val="•"/>
      <w:lvlJc w:val="left"/>
      <w:pPr>
        <w:ind w:left="7960" w:hanging="301"/>
      </w:pPr>
      <w:rPr>
        <w:rFonts w:hint="default"/>
        <w:lang w:val="en-US" w:eastAsia="en-US" w:bidi="en-US"/>
      </w:rPr>
    </w:lvl>
  </w:abstractNum>
  <w:abstractNum w:abstractNumId="10" w15:restartNumberingAfterBreak="0">
    <w:nsid w:val="560B26D3"/>
    <w:multiLevelType w:val="hybridMultilevel"/>
    <w:tmpl w:val="1B9C9F98"/>
    <w:lvl w:ilvl="0" w:tplc="C32E57B0">
      <w:start w:val="1"/>
      <w:numFmt w:val="upperLetter"/>
      <w:lvlText w:val="%1."/>
      <w:lvlJc w:val="left"/>
      <w:pPr>
        <w:ind w:left="2109" w:hanging="310"/>
      </w:pPr>
      <w:rPr>
        <w:rFonts w:ascii="Minion Pro Cond" w:eastAsia="Minion Pro Cond" w:hAnsi="Minion Pro Cond" w:cs="Minion Pro Cond" w:hint="default"/>
        <w:color w:val="231F20"/>
        <w:spacing w:val="0"/>
        <w:w w:val="97"/>
        <w:sz w:val="28"/>
        <w:szCs w:val="28"/>
        <w:lang w:val="en-US" w:eastAsia="en-US" w:bidi="en-US"/>
      </w:rPr>
    </w:lvl>
    <w:lvl w:ilvl="1" w:tplc="6DA00460">
      <w:start w:val="1"/>
      <w:numFmt w:val="decimal"/>
      <w:lvlText w:val="%2."/>
      <w:lvlJc w:val="left"/>
      <w:pPr>
        <w:ind w:left="2099" w:hanging="300"/>
      </w:pPr>
      <w:rPr>
        <w:rFonts w:ascii="Minion Pro Capt" w:eastAsia="Minion Pro Capt" w:hAnsi="Minion Pro Capt" w:cs="Minion Pro Capt" w:hint="default"/>
        <w:b/>
        <w:bCs/>
        <w:color w:val="231F20"/>
        <w:w w:val="103"/>
        <w:sz w:val="23"/>
        <w:szCs w:val="23"/>
        <w:lang w:val="en-US" w:eastAsia="en-US" w:bidi="en-US"/>
      </w:rPr>
    </w:lvl>
    <w:lvl w:ilvl="2" w:tplc="2390BDF0">
      <w:start w:val="1"/>
      <w:numFmt w:val="lowerLetter"/>
      <w:lvlText w:val="%3."/>
      <w:lvlJc w:val="left"/>
      <w:pPr>
        <w:ind w:left="2400" w:hanging="301"/>
      </w:pPr>
      <w:rPr>
        <w:rFonts w:ascii="Calibri" w:eastAsia="Minion Pro" w:hAnsi="Calibri" w:cs="Calibri" w:hint="default"/>
        <w:color w:val="231F20"/>
        <w:spacing w:val="-6"/>
        <w:w w:val="100"/>
        <w:sz w:val="22"/>
        <w:szCs w:val="22"/>
        <w:lang w:val="en-US" w:eastAsia="en-US" w:bidi="en-US"/>
      </w:rPr>
    </w:lvl>
    <w:lvl w:ilvl="3" w:tplc="6F86FC0C">
      <w:start w:val="1"/>
      <w:numFmt w:val="lowerRoman"/>
      <w:lvlText w:val="%4."/>
      <w:lvlJc w:val="left"/>
      <w:pPr>
        <w:ind w:left="2660" w:hanging="301"/>
      </w:pPr>
      <w:rPr>
        <w:rFonts w:asciiTheme="minorHAnsi" w:eastAsia="Minion Pro" w:hAnsiTheme="minorHAnsi" w:cstheme="minorHAnsi" w:hint="default"/>
        <w:color w:val="231F20"/>
        <w:spacing w:val="-3"/>
        <w:w w:val="100"/>
        <w:sz w:val="22"/>
        <w:szCs w:val="22"/>
        <w:lang w:val="en-US" w:eastAsia="en-US" w:bidi="en-US"/>
      </w:rPr>
    </w:lvl>
    <w:lvl w:ilvl="4" w:tplc="AD7AB942">
      <w:numFmt w:val="bullet"/>
      <w:lvlText w:val="•"/>
      <w:lvlJc w:val="left"/>
      <w:pPr>
        <w:ind w:left="2760" w:hanging="301"/>
      </w:pPr>
      <w:rPr>
        <w:rFonts w:hint="default"/>
        <w:lang w:val="en-US" w:eastAsia="en-US" w:bidi="en-US"/>
      </w:rPr>
    </w:lvl>
    <w:lvl w:ilvl="5" w:tplc="C0A036BE">
      <w:numFmt w:val="bullet"/>
      <w:lvlText w:val="•"/>
      <w:lvlJc w:val="left"/>
      <w:pPr>
        <w:ind w:left="4060" w:hanging="301"/>
      </w:pPr>
      <w:rPr>
        <w:rFonts w:hint="default"/>
        <w:lang w:val="en-US" w:eastAsia="en-US" w:bidi="en-US"/>
      </w:rPr>
    </w:lvl>
    <w:lvl w:ilvl="6" w:tplc="7636807A">
      <w:numFmt w:val="bullet"/>
      <w:lvlText w:val="•"/>
      <w:lvlJc w:val="left"/>
      <w:pPr>
        <w:ind w:left="5360" w:hanging="301"/>
      </w:pPr>
      <w:rPr>
        <w:rFonts w:hint="default"/>
        <w:lang w:val="en-US" w:eastAsia="en-US" w:bidi="en-US"/>
      </w:rPr>
    </w:lvl>
    <w:lvl w:ilvl="7" w:tplc="2A4AA636">
      <w:numFmt w:val="bullet"/>
      <w:lvlText w:val="•"/>
      <w:lvlJc w:val="left"/>
      <w:pPr>
        <w:ind w:left="6660" w:hanging="301"/>
      </w:pPr>
      <w:rPr>
        <w:rFonts w:hint="default"/>
        <w:lang w:val="en-US" w:eastAsia="en-US" w:bidi="en-US"/>
      </w:rPr>
    </w:lvl>
    <w:lvl w:ilvl="8" w:tplc="FBBAD036">
      <w:numFmt w:val="bullet"/>
      <w:lvlText w:val="•"/>
      <w:lvlJc w:val="left"/>
      <w:pPr>
        <w:ind w:left="7960" w:hanging="301"/>
      </w:pPr>
      <w:rPr>
        <w:rFonts w:hint="default"/>
        <w:lang w:val="en-US" w:eastAsia="en-US" w:bidi="en-US"/>
      </w:rPr>
    </w:lvl>
  </w:abstractNum>
  <w:abstractNum w:abstractNumId="11" w15:restartNumberingAfterBreak="0">
    <w:nsid w:val="5B4D58BD"/>
    <w:multiLevelType w:val="hybridMultilevel"/>
    <w:tmpl w:val="26AAD13C"/>
    <w:lvl w:ilvl="0" w:tplc="6DBC39B8">
      <w:start w:val="1"/>
      <w:numFmt w:val="decimal"/>
      <w:lvlText w:val="%1."/>
      <w:lvlJc w:val="left"/>
      <w:pPr>
        <w:ind w:left="2400" w:hanging="301"/>
      </w:pPr>
      <w:rPr>
        <w:rFonts w:ascii="Calibri" w:eastAsia="Minion Pro" w:hAnsi="Calibri" w:cs="Calibri" w:hint="default"/>
        <w:color w:val="231F20"/>
        <w:spacing w:val="-2"/>
        <w:w w:val="100"/>
        <w:sz w:val="22"/>
        <w:szCs w:val="22"/>
        <w:lang w:val="en-US" w:eastAsia="en-US" w:bidi="en-US"/>
      </w:rPr>
    </w:lvl>
    <w:lvl w:ilvl="1" w:tplc="4FBC3126">
      <w:numFmt w:val="bullet"/>
      <w:lvlText w:val="•"/>
      <w:lvlJc w:val="left"/>
      <w:pPr>
        <w:ind w:left="3216" w:hanging="301"/>
      </w:pPr>
      <w:rPr>
        <w:rFonts w:hint="default"/>
        <w:lang w:val="en-US" w:eastAsia="en-US" w:bidi="en-US"/>
      </w:rPr>
    </w:lvl>
    <w:lvl w:ilvl="2" w:tplc="D21E6634">
      <w:numFmt w:val="bullet"/>
      <w:lvlText w:val="•"/>
      <w:lvlJc w:val="left"/>
      <w:pPr>
        <w:ind w:left="4032" w:hanging="301"/>
      </w:pPr>
      <w:rPr>
        <w:rFonts w:hint="default"/>
        <w:lang w:val="en-US" w:eastAsia="en-US" w:bidi="en-US"/>
      </w:rPr>
    </w:lvl>
    <w:lvl w:ilvl="3" w:tplc="5F22342C">
      <w:numFmt w:val="bullet"/>
      <w:lvlText w:val="•"/>
      <w:lvlJc w:val="left"/>
      <w:pPr>
        <w:ind w:left="4848" w:hanging="301"/>
      </w:pPr>
      <w:rPr>
        <w:rFonts w:hint="default"/>
        <w:lang w:val="en-US" w:eastAsia="en-US" w:bidi="en-US"/>
      </w:rPr>
    </w:lvl>
    <w:lvl w:ilvl="4" w:tplc="08F043E0">
      <w:numFmt w:val="bullet"/>
      <w:lvlText w:val="•"/>
      <w:lvlJc w:val="left"/>
      <w:pPr>
        <w:ind w:left="5664" w:hanging="301"/>
      </w:pPr>
      <w:rPr>
        <w:rFonts w:hint="default"/>
        <w:lang w:val="en-US" w:eastAsia="en-US" w:bidi="en-US"/>
      </w:rPr>
    </w:lvl>
    <w:lvl w:ilvl="5" w:tplc="3F122372">
      <w:numFmt w:val="bullet"/>
      <w:lvlText w:val="•"/>
      <w:lvlJc w:val="left"/>
      <w:pPr>
        <w:ind w:left="6480" w:hanging="301"/>
      </w:pPr>
      <w:rPr>
        <w:rFonts w:hint="default"/>
        <w:lang w:val="en-US" w:eastAsia="en-US" w:bidi="en-US"/>
      </w:rPr>
    </w:lvl>
    <w:lvl w:ilvl="6" w:tplc="1864269A">
      <w:numFmt w:val="bullet"/>
      <w:lvlText w:val="•"/>
      <w:lvlJc w:val="left"/>
      <w:pPr>
        <w:ind w:left="7296" w:hanging="301"/>
      </w:pPr>
      <w:rPr>
        <w:rFonts w:hint="default"/>
        <w:lang w:val="en-US" w:eastAsia="en-US" w:bidi="en-US"/>
      </w:rPr>
    </w:lvl>
    <w:lvl w:ilvl="7" w:tplc="4F76C7F0">
      <w:numFmt w:val="bullet"/>
      <w:lvlText w:val="•"/>
      <w:lvlJc w:val="left"/>
      <w:pPr>
        <w:ind w:left="8112" w:hanging="301"/>
      </w:pPr>
      <w:rPr>
        <w:rFonts w:hint="default"/>
        <w:lang w:val="en-US" w:eastAsia="en-US" w:bidi="en-US"/>
      </w:rPr>
    </w:lvl>
    <w:lvl w:ilvl="8" w:tplc="C8C22F36">
      <w:numFmt w:val="bullet"/>
      <w:lvlText w:val="•"/>
      <w:lvlJc w:val="left"/>
      <w:pPr>
        <w:ind w:left="8928" w:hanging="301"/>
      </w:pPr>
      <w:rPr>
        <w:rFonts w:hint="default"/>
        <w:lang w:val="en-US" w:eastAsia="en-US" w:bidi="en-US"/>
      </w:rPr>
    </w:lvl>
  </w:abstractNum>
  <w:abstractNum w:abstractNumId="12" w15:restartNumberingAfterBreak="0">
    <w:nsid w:val="6BE746AF"/>
    <w:multiLevelType w:val="hybridMultilevel"/>
    <w:tmpl w:val="E556AC0C"/>
    <w:lvl w:ilvl="0" w:tplc="C3644DBC">
      <w:start w:val="1"/>
      <w:numFmt w:val="decimal"/>
      <w:lvlText w:val="%1."/>
      <w:lvlJc w:val="left"/>
      <w:pPr>
        <w:ind w:left="1020" w:hanging="360"/>
      </w:pPr>
    </w:lvl>
    <w:lvl w:ilvl="1" w:tplc="8AEE3F48">
      <w:start w:val="1"/>
      <w:numFmt w:val="decimal"/>
      <w:lvlText w:val="%2."/>
      <w:lvlJc w:val="left"/>
      <w:pPr>
        <w:ind w:left="1020" w:hanging="360"/>
      </w:pPr>
    </w:lvl>
    <w:lvl w:ilvl="2" w:tplc="3326A8D4">
      <w:start w:val="1"/>
      <w:numFmt w:val="decimal"/>
      <w:lvlText w:val="%3."/>
      <w:lvlJc w:val="left"/>
      <w:pPr>
        <w:ind w:left="1020" w:hanging="360"/>
      </w:pPr>
    </w:lvl>
    <w:lvl w:ilvl="3" w:tplc="3F16A706">
      <w:start w:val="1"/>
      <w:numFmt w:val="decimal"/>
      <w:lvlText w:val="%4."/>
      <w:lvlJc w:val="left"/>
      <w:pPr>
        <w:ind w:left="1020" w:hanging="360"/>
      </w:pPr>
    </w:lvl>
    <w:lvl w:ilvl="4" w:tplc="4510F862">
      <w:start w:val="1"/>
      <w:numFmt w:val="decimal"/>
      <w:lvlText w:val="%5."/>
      <w:lvlJc w:val="left"/>
      <w:pPr>
        <w:ind w:left="1020" w:hanging="360"/>
      </w:pPr>
    </w:lvl>
    <w:lvl w:ilvl="5" w:tplc="68609878">
      <w:start w:val="1"/>
      <w:numFmt w:val="decimal"/>
      <w:lvlText w:val="%6."/>
      <w:lvlJc w:val="left"/>
      <w:pPr>
        <w:ind w:left="1020" w:hanging="360"/>
      </w:pPr>
    </w:lvl>
    <w:lvl w:ilvl="6" w:tplc="D32614D6">
      <w:start w:val="1"/>
      <w:numFmt w:val="decimal"/>
      <w:lvlText w:val="%7."/>
      <w:lvlJc w:val="left"/>
      <w:pPr>
        <w:ind w:left="1020" w:hanging="360"/>
      </w:pPr>
    </w:lvl>
    <w:lvl w:ilvl="7" w:tplc="D7CE8968">
      <w:start w:val="1"/>
      <w:numFmt w:val="decimal"/>
      <w:lvlText w:val="%8."/>
      <w:lvlJc w:val="left"/>
      <w:pPr>
        <w:ind w:left="1020" w:hanging="360"/>
      </w:pPr>
    </w:lvl>
    <w:lvl w:ilvl="8" w:tplc="FA2E7E44">
      <w:start w:val="1"/>
      <w:numFmt w:val="decimal"/>
      <w:lvlText w:val="%9."/>
      <w:lvlJc w:val="left"/>
      <w:pPr>
        <w:ind w:left="1020" w:hanging="360"/>
      </w:pPr>
    </w:lvl>
  </w:abstractNum>
  <w:abstractNum w:abstractNumId="13" w15:restartNumberingAfterBreak="0">
    <w:nsid w:val="78147057"/>
    <w:multiLevelType w:val="hybridMultilevel"/>
    <w:tmpl w:val="01AA21BA"/>
    <w:lvl w:ilvl="0" w:tplc="C32E57B0">
      <w:start w:val="1"/>
      <w:numFmt w:val="upperLetter"/>
      <w:lvlText w:val="%1."/>
      <w:lvlJc w:val="left"/>
      <w:pPr>
        <w:ind w:left="2109" w:hanging="310"/>
      </w:pPr>
      <w:rPr>
        <w:rFonts w:ascii="Minion Pro Cond" w:eastAsia="Minion Pro Cond" w:hAnsi="Minion Pro Cond" w:cs="Minion Pro Cond" w:hint="default"/>
        <w:color w:val="231F20"/>
        <w:spacing w:val="0"/>
        <w:w w:val="97"/>
        <w:sz w:val="28"/>
        <w:szCs w:val="28"/>
        <w:lang w:val="en-US" w:eastAsia="en-US" w:bidi="en-US"/>
      </w:rPr>
    </w:lvl>
    <w:lvl w:ilvl="1" w:tplc="6DA00460">
      <w:start w:val="1"/>
      <w:numFmt w:val="decimal"/>
      <w:lvlText w:val="%2."/>
      <w:lvlJc w:val="left"/>
      <w:pPr>
        <w:ind w:left="2099" w:hanging="300"/>
      </w:pPr>
      <w:rPr>
        <w:rFonts w:ascii="Minion Pro Capt" w:eastAsia="Minion Pro Capt" w:hAnsi="Minion Pro Capt" w:cs="Minion Pro Capt" w:hint="default"/>
        <w:b/>
        <w:bCs/>
        <w:color w:val="231F20"/>
        <w:w w:val="103"/>
        <w:sz w:val="23"/>
        <w:szCs w:val="23"/>
        <w:lang w:val="en-US" w:eastAsia="en-US" w:bidi="en-US"/>
      </w:rPr>
    </w:lvl>
    <w:lvl w:ilvl="2" w:tplc="2508183C">
      <w:start w:val="1"/>
      <w:numFmt w:val="lowerLetter"/>
      <w:lvlText w:val="%3."/>
      <w:lvlJc w:val="left"/>
      <w:pPr>
        <w:ind w:left="2400" w:hanging="301"/>
      </w:pPr>
      <w:rPr>
        <w:rFonts w:ascii="Minion Pro" w:eastAsia="Minion Pro" w:hAnsi="Minion Pro" w:cs="Minion Pro" w:hint="default"/>
        <w:color w:val="231F20"/>
        <w:spacing w:val="-6"/>
        <w:w w:val="100"/>
        <w:sz w:val="21"/>
        <w:szCs w:val="21"/>
        <w:lang w:val="en-US" w:eastAsia="en-US" w:bidi="en-US"/>
      </w:rPr>
    </w:lvl>
    <w:lvl w:ilvl="3" w:tplc="04090001">
      <w:start w:val="1"/>
      <w:numFmt w:val="bullet"/>
      <w:lvlText w:val=""/>
      <w:lvlJc w:val="left"/>
      <w:pPr>
        <w:ind w:left="2660" w:hanging="301"/>
      </w:pPr>
      <w:rPr>
        <w:rFonts w:ascii="Symbol" w:hAnsi="Symbol" w:hint="default"/>
        <w:color w:val="231F20"/>
        <w:spacing w:val="-3"/>
        <w:w w:val="100"/>
        <w:sz w:val="21"/>
        <w:szCs w:val="21"/>
        <w:lang w:val="en-US" w:eastAsia="en-US" w:bidi="en-US"/>
      </w:rPr>
    </w:lvl>
    <w:lvl w:ilvl="4" w:tplc="AD7AB942">
      <w:numFmt w:val="bullet"/>
      <w:lvlText w:val="•"/>
      <w:lvlJc w:val="left"/>
      <w:pPr>
        <w:ind w:left="2760" w:hanging="301"/>
      </w:pPr>
      <w:rPr>
        <w:rFonts w:hint="default"/>
        <w:lang w:val="en-US" w:eastAsia="en-US" w:bidi="en-US"/>
      </w:rPr>
    </w:lvl>
    <w:lvl w:ilvl="5" w:tplc="C0A036BE">
      <w:numFmt w:val="bullet"/>
      <w:lvlText w:val="•"/>
      <w:lvlJc w:val="left"/>
      <w:pPr>
        <w:ind w:left="4060" w:hanging="301"/>
      </w:pPr>
      <w:rPr>
        <w:rFonts w:hint="default"/>
        <w:lang w:val="en-US" w:eastAsia="en-US" w:bidi="en-US"/>
      </w:rPr>
    </w:lvl>
    <w:lvl w:ilvl="6" w:tplc="7636807A">
      <w:numFmt w:val="bullet"/>
      <w:lvlText w:val="•"/>
      <w:lvlJc w:val="left"/>
      <w:pPr>
        <w:ind w:left="5360" w:hanging="301"/>
      </w:pPr>
      <w:rPr>
        <w:rFonts w:hint="default"/>
        <w:lang w:val="en-US" w:eastAsia="en-US" w:bidi="en-US"/>
      </w:rPr>
    </w:lvl>
    <w:lvl w:ilvl="7" w:tplc="2A4AA636">
      <w:numFmt w:val="bullet"/>
      <w:lvlText w:val="•"/>
      <w:lvlJc w:val="left"/>
      <w:pPr>
        <w:ind w:left="6660" w:hanging="301"/>
      </w:pPr>
      <w:rPr>
        <w:rFonts w:hint="default"/>
        <w:lang w:val="en-US" w:eastAsia="en-US" w:bidi="en-US"/>
      </w:rPr>
    </w:lvl>
    <w:lvl w:ilvl="8" w:tplc="FBBAD036">
      <w:numFmt w:val="bullet"/>
      <w:lvlText w:val="•"/>
      <w:lvlJc w:val="left"/>
      <w:pPr>
        <w:ind w:left="7960" w:hanging="301"/>
      </w:pPr>
      <w:rPr>
        <w:rFonts w:hint="default"/>
        <w:lang w:val="en-US" w:eastAsia="en-US" w:bidi="en-US"/>
      </w:rPr>
    </w:lvl>
  </w:abstractNum>
  <w:abstractNum w:abstractNumId="14" w15:restartNumberingAfterBreak="0">
    <w:nsid w:val="7AD93066"/>
    <w:multiLevelType w:val="hybridMultilevel"/>
    <w:tmpl w:val="F10CDD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386296464">
    <w:abstractNumId w:val="4"/>
  </w:num>
  <w:num w:numId="2" w16cid:durableId="1137382632">
    <w:abstractNumId w:val="11"/>
  </w:num>
  <w:num w:numId="3" w16cid:durableId="426191685">
    <w:abstractNumId w:val="8"/>
  </w:num>
  <w:num w:numId="4" w16cid:durableId="2054108624">
    <w:abstractNumId w:val="10"/>
  </w:num>
  <w:num w:numId="5" w16cid:durableId="380859426">
    <w:abstractNumId w:val="3"/>
  </w:num>
  <w:num w:numId="6" w16cid:durableId="719324565">
    <w:abstractNumId w:val="14"/>
  </w:num>
  <w:num w:numId="7" w16cid:durableId="2039381136">
    <w:abstractNumId w:val="9"/>
  </w:num>
  <w:num w:numId="8" w16cid:durableId="152569151">
    <w:abstractNumId w:val="13"/>
  </w:num>
  <w:num w:numId="9" w16cid:durableId="1949582142">
    <w:abstractNumId w:val="7"/>
  </w:num>
  <w:num w:numId="10" w16cid:durableId="756362299">
    <w:abstractNumId w:val="5"/>
  </w:num>
  <w:num w:numId="11" w16cid:durableId="1441991969">
    <w:abstractNumId w:val="0"/>
  </w:num>
  <w:num w:numId="12" w16cid:durableId="249125336">
    <w:abstractNumId w:val="6"/>
  </w:num>
  <w:num w:numId="13" w16cid:durableId="560605340">
    <w:abstractNumId w:val="1"/>
  </w:num>
  <w:num w:numId="14" w16cid:durableId="450636603">
    <w:abstractNumId w:val="2"/>
  </w:num>
  <w:num w:numId="15" w16cid:durableId="7786447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D5D"/>
    <w:rsid w:val="00012002"/>
    <w:rsid w:val="000200A4"/>
    <w:rsid w:val="000574C0"/>
    <w:rsid w:val="000850B3"/>
    <w:rsid w:val="000B373D"/>
    <w:rsid w:val="000B63EE"/>
    <w:rsid w:val="000C4608"/>
    <w:rsid w:val="000D509D"/>
    <w:rsid w:val="000E2BA8"/>
    <w:rsid w:val="00102915"/>
    <w:rsid w:val="001115D6"/>
    <w:rsid w:val="00117F64"/>
    <w:rsid w:val="00171213"/>
    <w:rsid w:val="0018319B"/>
    <w:rsid w:val="001912FA"/>
    <w:rsid w:val="0019781A"/>
    <w:rsid w:val="00197E42"/>
    <w:rsid w:val="001D62D8"/>
    <w:rsid w:val="001F6BB5"/>
    <w:rsid w:val="00204221"/>
    <w:rsid w:val="00227B94"/>
    <w:rsid w:val="002338A2"/>
    <w:rsid w:val="00235A5E"/>
    <w:rsid w:val="00242380"/>
    <w:rsid w:val="002428C9"/>
    <w:rsid w:val="00267AB6"/>
    <w:rsid w:val="002A5B91"/>
    <w:rsid w:val="002B2194"/>
    <w:rsid w:val="002B759E"/>
    <w:rsid w:val="002F73CC"/>
    <w:rsid w:val="0030610B"/>
    <w:rsid w:val="00317137"/>
    <w:rsid w:val="00344A96"/>
    <w:rsid w:val="00356D69"/>
    <w:rsid w:val="00363D16"/>
    <w:rsid w:val="00363E4D"/>
    <w:rsid w:val="003748FE"/>
    <w:rsid w:val="00381CED"/>
    <w:rsid w:val="00384BA3"/>
    <w:rsid w:val="0039051F"/>
    <w:rsid w:val="00397712"/>
    <w:rsid w:val="003A011E"/>
    <w:rsid w:val="003B6788"/>
    <w:rsid w:val="003C38F1"/>
    <w:rsid w:val="003F37F3"/>
    <w:rsid w:val="00421A1B"/>
    <w:rsid w:val="004462BD"/>
    <w:rsid w:val="004463F2"/>
    <w:rsid w:val="00451886"/>
    <w:rsid w:val="004555F0"/>
    <w:rsid w:val="0045578F"/>
    <w:rsid w:val="004726A2"/>
    <w:rsid w:val="0047310C"/>
    <w:rsid w:val="00482092"/>
    <w:rsid w:val="004823DE"/>
    <w:rsid w:val="00490EFA"/>
    <w:rsid w:val="004931C0"/>
    <w:rsid w:val="00495841"/>
    <w:rsid w:val="004B1A15"/>
    <w:rsid w:val="004B43BA"/>
    <w:rsid w:val="004B7EEB"/>
    <w:rsid w:val="004C2AF9"/>
    <w:rsid w:val="004D2D09"/>
    <w:rsid w:val="004F33F9"/>
    <w:rsid w:val="00521C5C"/>
    <w:rsid w:val="00521E01"/>
    <w:rsid w:val="005268F3"/>
    <w:rsid w:val="00585BEA"/>
    <w:rsid w:val="005879E1"/>
    <w:rsid w:val="00593764"/>
    <w:rsid w:val="005A1C74"/>
    <w:rsid w:val="005A7C10"/>
    <w:rsid w:val="005B2B4D"/>
    <w:rsid w:val="005B5BFB"/>
    <w:rsid w:val="005B5E3C"/>
    <w:rsid w:val="005B73C4"/>
    <w:rsid w:val="005D0F93"/>
    <w:rsid w:val="005F234E"/>
    <w:rsid w:val="005F6E8B"/>
    <w:rsid w:val="005F7616"/>
    <w:rsid w:val="00603A1E"/>
    <w:rsid w:val="0061078C"/>
    <w:rsid w:val="00616122"/>
    <w:rsid w:val="00617D24"/>
    <w:rsid w:val="00661D6C"/>
    <w:rsid w:val="006957CD"/>
    <w:rsid w:val="006A1D9C"/>
    <w:rsid w:val="006A5EFE"/>
    <w:rsid w:val="006A5F54"/>
    <w:rsid w:val="006D5727"/>
    <w:rsid w:val="006D5F14"/>
    <w:rsid w:val="006F3038"/>
    <w:rsid w:val="006F4BF6"/>
    <w:rsid w:val="00715499"/>
    <w:rsid w:val="007165DB"/>
    <w:rsid w:val="007201E7"/>
    <w:rsid w:val="0073048A"/>
    <w:rsid w:val="0073441D"/>
    <w:rsid w:val="007534A9"/>
    <w:rsid w:val="007550E2"/>
    <w:rsid w:val="00760FD8"/>
    <w:rsid w:val="0076753D"/>
    <w:rsid w:val="007901B6"/>
    <w:rsid w:val="007956FC"/>
    <w:rsid w:val="007A4640"/>
    <w:rsid w:val="007C102A"/>
    <w:rsid w:val="007C265D"/>
    <w:rsid w:val="007F2F88"/>
    <w:rsid w:val="00805AE9"/>
    <w:rsid w:val="00810DF1"/>
    <w:rsid w:val="0082196B"/>
    <w:rsid w:val="008224B2"/>
    <w:rsid w:val="0083094A"/>
    <w:rsid w:val="00834121"/>
    <w:rsid w:val="00853059"/>
    <w:rsid w:val="00853180"/>
    <w:rsid w:val="008531F2"/>
    <w:rsid w:val="00854504"/>
    <w:rsid w:val="0086414A"/>
    <w:rsid w:val="0086685A"/>
    <w:rsid w:val="00872286"/>
    <w:rsid w:val="00896C77"/>
    <w:rsid w:val="008B0106"/>
    <w:rsid w:val="008C3547"/>
    <w:rsid w:val="008E1D58"/>
    <w:rsid w:val="008E45EE"/>
    <w:rsid w:val="00925634"/>
    <w:rsid w:val="00925EE3"/>
    <w:rsid w:val="00933E58"/>
    <w:rsid w:val="009438F2"/>
    <w:rsid w:val="00973C97"/>
    <w:rsid w:val="0098476D"/>
    <w:rsid w:val="00991627"/>
    <w:rsid w:val="00994023"/>
    <w:rsid w:val="009A3837"/>
    <w:rsid w:val="009B01CA"/>
    <w:rsid w:val="009C5274"/>
    <w:rsid w:val="009D0573"/>
    <w:rsid w:val="009F73CC"/>
    <w:rsid w:val="00A01F4E"/>
    <w:rsid w:val="00A05C5D"/>
    <w:rsid w:val="00A157D1"/>
    <w:rsid w:val="00A2112D"/>
    <w:rsid w:val="00A31DD4"/>
    <w:rsid w:val="00A35119"/>
    <w:rsid w:val="00A40E66"/>
    <w:rsid w:val="00A71FAE"/>
    <w:rsid w:val="00A83DBC"/>
    <w:rsid w:val="00A93B1B"/>
    <w:rsid w:val="00AA1301"/>
    <w:rsid w:val="00AA1DE0"/>
    <w:rsid w:val="00AD0CA1"/>
    <w:rsid w:val="00AD0D8B"/>
    <w:rsid w:val="00B07E03"/>
    <w:rsid w:val="00B66E06"/>
    <w:rsid w:val="00B73845"/>
    <w:rsid w:val="00B7504E"/>
    <w:rsid w:val="00B77504"/>
    <w:rsid w:val="00BB30F3"/>
    <w:rsid w:val="00BB396D"/>
    <w:rsid w:val="00BB5E5C"/>
    <w:rsid w:val="00BC4C33"/>
    <w:rsid w:val="00BE6588"/>
    <w:rsid w:val="00BF6907"/>
    <w:rsid w:val="00C21D5D"/>
    <w:rsid w:val="00C328C8"/>
    <w:rsid w:val="00C47063"/>
    <w:rsid w:val="00C803E1"/>
    <w:rsid w:val="00C90602"/>
    <w:rsid w:val="00C96FAB"/>
    <w:rsid w:val="00CA0AE9"/>
    <w:rsid w:val="00CC3E35"/>
    <w:rsid w:val="00CC57EA"/>
    <w:rsid w:val="00CD7047"/>
    <w:rsid w:val="00CE0783"/>
    <w:rsid w:val="00D30A21"/>
    <w:rsid w:val="00D35550"/>
    <w:rsid w:val="00D4092A"/>
    <w:rsid w:val="00D453B3"/>
    <w:rsid w:val="00D51423"/>
    <w:rsid w:val="00D66657"/>
    <w:rsid w:val="00DB61BC"/>
    <w:rsid w:val="00DC574E"/>
    <w:rsid w:val="00DC72E0"/>
    <w:rsid w:val="00DE3130"/>
    <w:rsid w:val="00DE570D"/>
    <w:rsid w:val="00DE7A21"/>
    <w:rsid w:val="00DE7F84"/>
    <w:rsid w:val="00E16B4F"/>
    <w:rsid w:val="00E278A2"/>
    <w:rsid w:val="00E32FFC"/>
    <w:rsid w:val="00E40F09"/>
    <w:rsid w:val="00E54645"/>
    <w:rsid w:val="00E703A7"/>
    <w:rsid w:val="00E73E65"/>
    <w:rsid w:val="00E779BC"/>
    <w:rsid w:val="00E80B30"/>
    <w:rsid w:val="00E90809"/>
    <w:rsid w:val="00EB77C0"/>
    <w:rsid w:val="00EC03E0"/>
    <w:rsid w:val="00ED22B7"/>
    <w:rsid w:val="00ED3D1F"/>
    <w:rsid w:val="00EF07AF"/>
    <w:rsid w:val="00EF73EB"/>
    <w:rsid w:val="00F14FBE"/>
    <w:rsid w:val="00F2596E"/>
    <w:rsid w:val="00F46C78"/>
    <w:rsid w:val="00F504FC"/>
    <w:rsid w:val="00F73626"/>
    <w:rsid w:val="00F855F2"/>
    <w:rsid w:val="00F95FE0"/>
    <w:rsid w:val="00FD09B0"/>
    <w:rsid w:val="00FE6CD8"/>
    <w:rsid w:val="00FF20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A15C1F"/>
  <w15:docId w15:val="{D474B7F5-4FB2-494B-9E5B-42C2FBAE0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2AF9"/>
  </w:style>
  <w:style w:type="paragraph" w:styleId="Heading1">
    <w:name w:val="heading 1"/>
    <w:basedOn w:val="Normal"/>
    <w:next w:val="Normal"/>
    <w:link w:val="Heading1Char"/>
    <w:uiPriority w:val="9"/>
    <w:qFormat/>
    <w:rsid w:val="004C2AF9"/>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2F73CC"/>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4C2AF9"/>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4C2AF9"/>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4C2AF9"/>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4C2AF9"/>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4C2AF9"/>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4C2AF9"/>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4C2AF9"/>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rPr>
      <w:rFonts w:ascii="Minion Pro" w:eastAsia="Minion Pro" w:hAnsi="Minion Pro" w:cs="Minion Pro"/>
      <w:sz w:val="21"/>
      <w:szCs w:val="21"/>
      <w:lang w:bidi="en-US"/>
    </w:rPr>
  </w:style>
  <w:style w:type="paragraph" w:styleId="ListParagraph">
    <w:name w:val="List Paragraph"/>
    <w:basedOn w:val="Normal"/>
    <w:uiPriority w:val="34"/>
    <w:qFormat/>
    <w:rsid w:val="004C2AF9"/>
    <w:pPr>
      <w:ind w:left="720"/>
      <w:contextualSpacing/>
    </w:pPr>
  </w:style>
  <w:style w:type="paragraph" w:customStyle="1" w:styleId="TableParagraph">
    <w:name w:val="Table Paragraph"/>
    <w:basedOn w:val="Normal"/>
    <w:uiPriority w:val="1"/>
    <w:pPr>
      <w:ind w:left="80"/>
    </w:pPr>
    <w:rPr>
      <w:rFonts w:ascii="Minion Pro" w:eastAsia="Minion Pro" w:hAnsi="Minion Pro" w:cs="Minion Pro"/>
      <w:lang w:bidi="en-US"/>
    </w:rPr>
  </w:style>
  <w:style w:type="paragraph" w:styleId="BalloonText">
    <w:name w:val="Balloon Text"/>
    <w:basedOn w:val="Normal"/>
    <w:link w:val="BalloonTextChar"/>
    <w:uiPriority w:val="99"/>
    <w:semiHidden/>
    <w:unhideWhenUsed/>
    <w:rsid w:val="004C2AF9"/>
    <w:rPr>
      <w:rFonts w:ascii="Tahoma" w:hAnsi="Tahoma" w:cs="Tahoma"/>
      <w:sz w:val="16"/>
      <w:szCs w:val="16"/>
    </w:rPr>
  </w:style>
  <w:style w:type="character" w:customStyle="1" w:styleId="BalloonTextChar">
    <w:name w:val="Balloon Text Char"/>
    <w:basedOn w:val="DefaultParagraphFont"/>
    <w:link w:val="BalloonText"/>
    <w:uiPriority w:val="99"/>
    <w:semiHidden/>
    <w:rsid w:val="004C2AF9"/>
    <w:rPr>
      <w:rFonts w:ascii="Tahoma" w:eastAsia="Minion Pro" w:hAnsi="Tahoma" w:cs="Tahoma"/>
      <w:sz w:val="16"/>
      <w:szCs w:val="16"/>
      <w:lang w:bidi="en-US"/>
    </w:rPr>
  </w:style>
  <w:style w:type="paragraph" w:styleId="Title">
    <w:name w:val="Title"/>
    <w:basedOn w:val="Normal"/>
    <w:next w:val="Normal"/>
    <w:link w:val="TitleChar"/>
    <w:uiPriority w:val="10"/>
    <w:qFormat/>
    <w:rsid w:val="004C2AF9"/>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4C2AF9"/>
    <w:rPr>
      <w:rFonts w:asciiTheme="majorHAnsi" w:eastAsiaTheme="majorEastAsia" w:hAnsiTheme="majorHAnsi" w:cstheme="majorBidi"/>
      <w:spacing w:val="5"/>
      <w:sz w:val="52"/>
      <w:szCs w:val="52"/>
    </w:rPr>
  </w:style>
  <w:style w:type="character" w:customStyle="1" w:styleId="Heading5Char">
    <w:name w:val="Heading 5 Char"/>
    <w:basedOn w:val="DefaultParagraphFont"/>
    <w:link w:val="Heading5"/>
    <w:uiPriority w:val="9"/>
    <w:rsid w:val="004C2AF9"/>
    <w:rPr>
      <w:rFonts w:asciiTheme="majorHAnsi" w:eastAsiaTheme="majorEastAsia" w:hAnsiTheme="majorHAnsi" w:cstheme="majorBidi"/>
      <w:b/>
      <w:bCs/>
      <w:color w:val="7F7F7F" w:themeColor="text1" w:themeTint="80"/>
    </w:rPr>
  </w:style>
  <w:style w:type="character" w:customStyle="1" w:styleId="Heading1Char">
    <w:name w:val="Heading 1 Char"/>
    <w:basedOn w:val="DefaultParagraphFont"/>
    <w:link w:val="Heading1"/>
    <w:uiPriority w:val="9"/>
    <w:rsid w:val="004C2AF9"/>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2F73CC"/>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4C2AF9"/>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4C2AF9"/>
    <w:rPr>
      <w:rFonts w:asciiTheme="majorHAnsi" w:eastAsiaTheme="majorEastAsia" w:hAnsiTheme="majorHAnsi" w:cstheme="majorBidi"/>
      <w:b/>
      <w:bCs/>
      <w:i/>
      <w:iCs/>
    </w:rPr>
  </w:style>
  <w:style w:type="character" w:customStyle="1" w:styleId="Heading6Char">
    <w:name w:val="Heading 6 Char"/>
    <w:basedOn w:val="DefaultParagraphFont"/>
    <w:link w:val="Heading6"/>
    <w:uiPriority w:val="9"/>
    <w:semiHidden/>
    <w:rsid w:val="004C2AF9"/>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4C2AF9"/>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4C2AF9"/>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4C2AF9"/>
    <w:rPr>
      <w:rFonts w:asciiTheme="majorHAnsi" w:eastAsiaTheme="majorEastAsia" w:hAnsiTheme="majorHAnsi" w:cstheme="majorBidi"/>
      <w:i/>
      <w:iCs/>
      <w:spacing w:val="5"/>
      <w:sz w:val="20"/>
      <w:szCs w:val="20"/>
    </w:rPr>
  </w:style>
  <w:style w:type="paragraph" w:styleId="Subtitle">
    <w:name w:val="Subtitle"/>
    <w:basedOn w:val="Normal"/>
    <w:next w:val="Normal"/>
    <w:link w:val="SubtitleChar"/>
    <w:uiPriority w:val="11"/>
    <w:qFormat/>
    <w:rsid w:val="004C2AF9"/>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4C2AF9"/>
    <w:rPr>
      <w:rFonts w:asciiTheme="majorHAnsi" w:eastAsiaTheme="majorEastAsia" w:hAnsiTheme="majorHAnsi" w:cstheme="majorBidi"/>
      <w:i/>
      <w:iCs/>
      <w:spacing w:val="13"/>
      <w:sz w:val="24"/>
      <w:szCs w:val="24"/>
    </w:rPr>
  </w:style>
  <w:style w:type="character" w:styleId="Strong">
    <w:name w:val="Strong"/>
    <w:uiPriority w:val="22"/>
    <w:qFormat/>
    <w:rsid w:val="004C2AF9"/>
    <w:rPr>
      <w:b/>
      <w:bCs/>
    </w:rPr>
  </w:style>
  <w:style w:type="character" w:styleId="Emphasis">
    <w:name w:val="Emphasis"/>
    <w:uiPriority w:val="20"/>
    <w:qFormat/>
    <w:rsid w:val="004C2AF9"/>
    <w:rPr>
      <w:b/>
      <w:bCs/>
      <w:i/>
      <w:iCs/>
      <w:spacing w:val="10"/>
      <w:bdr w:val="none" w:sz="0" w:space="0" w:color="auto"/>
      <w:shd w:val="clear" w:color="auto" w:fill="auto"/>
    </w:rPr>
  </w:style>
  <w:style w:type="paragraph" w:styleId="NoSpacing">
    <w:name w:val="No Spacing"/>
    <w:basedOn w:val="Normal"/>
    <w:uiPriority w:val="1"/>
    <w:qFormat/>
    <w:rsid w:val="004C2AF9"/>
    <w:pPr>
      <w:spacing w:after="0" w:line="240" w:lineRule="auto"/>
    </w:pPr>
  </w:style>
  <w:style w:type="paragraph" w:styleId="Quote">
    <w:name w:val="Quote"/>
    <w:basedOn w:val="Normal"/>
    <w:next w:val="Normal"/>
    <w:link w:val="QuoteChar"/>
    <w:uiPriority w:val="29"/>
    <w:qFormat/>
    <w:rsid w:val="004C2AF9"/>
    <w:pPr>
      <w:spacing w:before="200" w:after="0"/>
      <w:ind w:left="360" w:right="360"/>
    </w:pPr>
    <w:rPr>
      <w:i/>
      <w:iCs/>
    </w:rPr>
  </w:style>
  <w:style w:type="character" w:customStyle="1" w:styleId="QuoteChar">
    <w:name w:val="Quote Char"/>
    <w:basedOn w:val="DefaultParagraphFont"/>
    <w:link w:val="Quote"/>
    <w:uiPriority w:val="29"/>
    <w:rsid w:val="004C2AF9"/>
    <w:rPr>
      <w:i/>
      <w:iCs/>
    </w:rPr>
  </w:style>
  <w:style w:type="paragraph" w:styleId="IntenseQuote">
    <w:name w:val="Intense Quote"/>
    <w:basedOn w:val="Normal"/>
    <w:next w:val="Normal"/>
    <w:link w:val="IntenseQuoteChar"/>
    <w:uiPriority w:val="30"/>
    <w:qFormat/>
    <w:rsid w:val="004C2AF9"/>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C2AF9"/>
    <w:rPr>
      <w:b/>
      <w:bCs/>
      <w:i/>
      <w:iCs/>
    </w:rPr>
  </w:style>
  <w:style w:type="character" w:styleId="SubtleEmphasis">
    <w:name w:val="Subtle Emphasis"/>
    <w:uiPriority w:val="19"/>
    <w:qFormat/>
    <w:rsid w:val="004C2AF9"/>
    <w:rPr>
      <w:i/>
      <w:iCs/>
    </w:rPr>
  </w:style>
  <w:style w:type="character" w:styleId="IntenseEmphasis">
    <w:name w:val="Intense Emphasis"/>
    <w:uiPriority w:val="21"/>
    <w:qFormat/>
    <w:rsid w:val="004C2AF9"/>
    <w:rPr>
      <w:b/>
      <w:bCs/>
    </w:rPr>
  </w:style>
  <w:style w:type="character" w:styleId="SubtleReference">
    <w:name w:val="Subtle Reference"/>
    <w:uiPriority w:val="31"/>
    <w:qFormat/>
    <w:rsid w:val="004C2AF9"/>
    <w:rPr>
      <w:smallCaps/>
    </w:rPr>
  </w:style>
  <w:style w:type="character" w:styleId="IntenseReference">
    <w:name w:val="Intense Reference"/>
    <w:uiPriority w:val="32"/>
    <w:qFormat/>
    <w:rsid w:val="004C2AF9"/>
    <w:rPr>
      <w:smallCaps/>
      <w:spacing w:val="5"/>
      <w:u w:val="single"/>
    </w:rPr>
  </w:style>
  <w:style w:type="character" w:styleId="BookTitle">
    <w:name w:val="Book Title"/>
    <w:uiPriority w:val="33"/>
    <w:qFormat/>
    <w:rsid w:val="004C2AF9"/>
    <w:rPr>
      <w:i/>
      <w:iCs/>
      <w:smallCaps/>
      <w:spacing w:val="5"/>
    </w:rPr>
  </w:style>
  <w:style w:type="paragraph" w:styleId="TOCHeading">
    <w:name w:val="TOC Heading"/>
    <w:basedOn w:val="Heading1"/>
    <w:next w:val="Normal"/>
    <w:uiPriority w:val="39"/>
    <w:semiHidden/>
    <w:unhideWhenUsed/>
    <w:qFormat/>
    <w:rsid w:val="004C2AF9"/>
    <w:pPr>
      <w:outlineLvl w:val="9"/>
    </w:pPr>
    <w:rPr>
      <w:lang w:bidi="en-US"/>
    </w:rPr>
  </w:style>
  <w:style w:type="paragraph" w:styleId="Header">
    <w:name w:val="header"/>
    <w:basedOn w:val="Normal"/>
    <w:link w:val="HeaderChar"/>
    <w:uiPriority w:val="99"/>
    <w:unhideWhenUsed/>
    <w:rsid w:val="002F73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73CC"/>
  </w:style>
  <w:style w:type="paragraph" w:styleId="Footer">
    <w:name w:val="footer"/>
    <w:basedOn w:val="Normal"/>
    <w:link w:val="FooterChar"/>
    <w:uiPriority w:val="99"/>
    <w:unhideWhenUsed/>
    <w:rsid w:val="002F73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73CC"/>
  </w:style>
  <w:style w:type="paragraph" w:styleId="Revision">
    <w:name w:val="Revision"/>
    <w:hidden/>
    <w:uiPriority w:val="99"/>
    <w:semiHidden/>
    <w:rsid w:val="00C328C8"/>
    <w:pPr>
      <w:spacing w:after="0" w:line="240" w:lineRule="auto"/>
    </w:pPr>
  </w:style>
  <w:style w:type="character" w:styleId="CommentReference">
    <w:name w:val="annotation reference"/>
    <w:basedOn w:val="DefaultParagraphFont"/>
    <w:uiPriority w:val="99"/>
    <w:semiHidden/>
    <w:unhideWhenUsed/>
    <w:rsid w:val="00BB30F3"/>
    <w:rPr>
      <w:sz w:val="16"/>
      <w:szCs w:val="16"/>
    </w:rPr>
  </w:style>
  <w:style w:type="paragraph" w:styleId="CommentText">
    <w:name w:val="annotation text"/>
    <w:basedOn w:val="Normal"/>
    <w:link w:val="CommentTextChar"/>
    <w:uiPriority w:val="99"/>
    <w:unhideWhenUsed/>
    <w:rsid w:val="00BB30F3"/>
    <w:pPr>
      <w:spacing w:line="240" w:lineRule="auto"/>
    </w:pPr>
    <w:rPr>
      <w:sz w:val="20"/>
      <w:szCs w:val="20"/>
    </w:rPr>
  </w:style>
  <w:style w:type="character" w:customStyle="1" w:styleId="CommentTextChar">
    <w:name w:val="Comment Text Char"/>
    <w:basedOn w:val="DefaultParagraphFont"/>
    <w:link w:val="CommentText"/>
    <w:uiPriority w:val="99"/>
    <w:rsid w:val="00BB30F3"/>
    <w:rPr>
      <w:sz w:val="20"/>
      <w:szCs w:val="20"/>
    </w:rPr>
  </w:style>
  <w:style w:type="paragraph" w:styleId="CommentSubject">
    <w:name w:val="annotation subject"/>
    <w:basedOn w:val="CommentText"/>
    <w:next w:val="CommentText"/>
    <w:link w:val="CommentSubjectChar"/>
    <w:uiPriority w:val="99"/>
    <w:semiHidden/>
    <w:unhideWhenUsed/>
    <w:rsid w:val="00BB30F3"/>
    <w:rPr>
      <w:b/>
      <w:bCs/>
    </w:rPr>
  </w:style>
  <w:style w:type="character" w:customStyle="1" w:styleId="CommentSubjectChar">
    <w:name w:val="Comment Subject Char"/>
    <w:basedOn w:val="CommentTextChar"/>
    <w:link w:val="CommentSubject"/>
    <w:uiPriority w:val="99"/>
    <w:semiHidden/>
    <w:rsid w:val="00BB30F3"/>
    <w:rPr>
      <w:b/>
      <w:bCs/>
      <w:sz w:val="20"/>
      <w:szCs w:val="20"/>
    </w:rPr>
  </w:style>
  <w:style w:type="character" w:styleId="Hyperlink">
    <w:name w:val="Hyperlink"/>
    <w:basedOn w:val="DefaultParagraphFont"/>
    <w:uiPriority w:val="99"/>
    <w:unhideWhenUsed/>
    <w:rsid w:val="00521C5C"/>
    <w:rPr>
      <w:color w:val="0000FF" w:themeColor="hyperlink"/>
      <w:u w:val="single"/>
    </w:rPr>
  </w:style>
  <w:style w:type="character" w:styleId="UnresolvedMention">
    <w:name w:val="Unresolved Mention"/>
    <w:basedOn w:val="DefaultParagraphFont"/>
    <w:uiPriority w:val="99"/>
    <w:semiHidden/>
    <w:unhideWhenUsed/>
    <w:rsid w:val="00521C5C"/>
    <w:rPr>
      <w:color w:val="605E5C"/>
      <w:shd w:val="clear" w:color="auto" w:fill="E1DFDD"/>
    </w:rPr>
  </w:style>
  <w:style w:type="character" w:styleId="FollowedHyperlink">
    <w:name w:val="FollowedHyperlink"/>
    <w:basedOn w:val="DefaultParagraphFont"/>
    <w:uiPriority w:val="99"/>
    <w:semiHidden/>
    <w:unhideWhenUsed/>
    <w:rsid w:val="0082196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4081412">
      <w:bodyDiv w:val="1"/>
      <w:marLeft w:val="0"/>
      <w:marRight w:val="0"/>
      <w:marTop w:val="0"/>
      <w:marBottom w:val="0"/>
      <w:divBdr>
        <w:top w:val="none" w:sz="0" w:space="0" w:color="auto"/>
        <w:left w:val="none" w:sz="0" w:space="0" w:color="auto"/>
        <w:bottom w:val="none" w:sz="0" w:space="0" w:color="auto"/>
        <w:right w:val="none" w:sz="0" w:space="0" w:color="auto"/>
      </w:divBdr>
      <w:divsChild>
        <w:div w:id="759571661">
          <w:marLeft w:val="0"/>
          <w:marRight w:val="0"/>
          <w:marTop w:val="0"/>
          <w:marBottom w:val="0"/>
          <w:divBdr>
            <w:top w:val="none" w:sz="0" w:space="0" w:color="auto"/>
            <w:left w:val="none" w:sz="0" w:space="0" w:color="auto"/>
            <w:bottom w:val="none" w:sz="0" w:space="0" w:color="auto"/>
            <w:right w:val="none" w:sz="0" w:space="0" w:color="auto"/>
          </w:divBdr>
          <w:divsChild>
            <w:div w:id="680427373">
              <w:marLeft w:val="0"/>
              <w:marRight w:val="0"/>
              <w:marTop w:val="0"/>
              <w:marBottom w:val="0"/>
              <w:divBdr>
                <w:top w:val="single" w:sz="4" w:space="2" w:color="auto"/>
                <w:left w:val="single" w:sz="4" w:space="2" w:color="auto"/>
                <w:bottom w:val="single" w:sz="4" w:space="2" w:color="auto"/>
                <w:right w:val="single" w:sz="4" w:space="2" w:color="auto"/>
              </w:divBdr>
              <w:divsChild>
                <w:div w:id="26712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mass.gov/lists/400-through-300" TargetMode="External"/><Relationship Id="rId18" Type="http://schemas.openxmlformats.org/officeDocument/2006/relationships/hyperlink" Target="http://www.ajog.org/article/S0002-9378(16)30450-1/pdf?code=ymob-site" TargetMode="External"/><Relationship Id="rId3" Type="http://schemas.openxmlformats.org/officeDocument/2006/relationships/customXml" Target="../customXml/item3.xml"/><Relationship Id="rId21" Type="http://schemas.openxmlformats.org/officeDocument/2006/relationships/hyperlink" Target="https://www.acog.org/clinical/clinical-guidance/committee-opinion/articles/2016/12/microarrays-and-next-generation-sequencing-technology-the-use-of-advanced-genetic-diagnostic-tools-in-obstetrics-and-gynecology" TargetMode="External"/><Relationship Id="rId7" Type="http://schemas.openxmlformats.org/officeDocument/2006/relationships/webSettings" Target="webSettings.xml"/><Relationship Id="rId12" Type="http://schemas.openxmlformats.org/officeDocument/2006/relationships/hyperlink" Target="https://www.mass.gov/lists/physician-manual-for-masshealth-providers" TargetMode="External"/><Relationship Id="rId17" Type="http://schemas.openxmlformats.org/officeDocument/2006/relationships/hyperlink" Target="http://aaidd.org/intellectual-disability/definition" TargetMode="External"/><Relationship Id="rId2" Type="http://schemas.openxmlformats.org/officeDocument/2006/relationships/customXml" Target="../customXml/item2.xml"/><Relationship Id="rId16" Type="http://schemas.openxmlformats.org/officeDocument/2006/relationships/hyperlink" Target="https://www.mass.gov/prior-authorization-for-masshealth-providers" TargetMode="External"/><Relationship Id="rId20" Type="http://schemas.openxmlformats.org/officeDocument/2006/relationships/hyperlink" Target="https://journals.lww.com/greenjournal/fulltext/2015/09000/committee_opinion_no__640__cell_free_dna_screening.51.aspx"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ass.gov/regulations/130-CMR-450000-administrative-and-billing-regulations" TargetMode="External"/><Relationship Id="rId5" Type="http://schemas.openxmlformats.org/officeDocument/2006/relationships/styles" Target="styles.xml"/><Relationship Id="rId15" Type="http://schemas.openxmlformats.org/officeDocument/2006/relationships/hyperlink" Target="https://www.mass.gov/prior-authorization-for-masshealth-providers" TargetMode="External"/><Relationship Id="rId23" Type="http://schemas.openxmlformats.org/officeDocument/2006/relationships/theme" Target="theme/theme1.xml"/><Relationship Id="rId10" Type="http://schemas.openxmlformats.org/officeDocument/2006/relationships/hyperlink" Target="https://www.mass.gov/regulations/130-CMR-433000-physician-services" TargetMode="External"/><Relationship Id="rId19" Type="http://schemas.openxmlformats.org/officeDocument/2006/relationships/hyperlink" Target="https://doi.org/10.1371/journal.pone.0000327"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E5B1B55FDC6F46992CBD8D384DCF63" ma:contentTypeVersion="15" ma:contentTypeDescription="Create a new document." ma:contentTypeScope="" ma:versionID="83811afd2ce910a86b260e85478a13d1">
  <xsd:schema xmlns:xsd="http://www.w3.org/2001/XMLSchema" xmlns:xs="http://www.w3.org/2001/XMLSchema" xmlns:p="http://schemas.microsoft.com/office/2006/metadata/properties" xmlns:ns2="79499340-b9cf-4458-9368-33036c1b4dc9" xmlns:ns3="a2187807-d16b-4f26-8c23-1ecdc31f3e2b" targetNamespace="http://schemas.microsoft.com/office/2006/metadata/properties" ma:root="true" ma:fieldsID="3cc38bc362932e7b91796fa025d96ac5" ns2:_="" ns3:_="">
    <xsd:import namespace="79499340-b9cf-4458-9368-33036c1b4dc9"/>
    <xsd:import namespace="a2187807-d16b-4f26-8c23-1ecdc31f3e2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499340-b9cf-4458-9368-33036c1b4d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187807-d16b-4f26-8c23-1ecdc31f3e2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b8501fd-0dfa-42b5-a723-a0ee6a9bfe9b}" ma:internalName="TaxCatchAll" ma:showField="CatchAllData" ma:web="a2187807-d16b-4f26-8c23-1ecdc31f3e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9499340-b9cf-4458-9368-33036c1b4dc9">
      <Terms xmlns="http://schemas.microsoft.com/office/infopath/2007/PartnerControls"/>
    </lcf76f155ced4ddcb4097134ff3c332f>
    <TaxCatchAll xmlns="a2187807-d16b-4f26-8c23-1ecdc31f3e2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AA39D4-2DAC-4425-8F97-97201F0445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499340-b9cf-4458-9368-33036c1b4dc9"/>
    <ds:schemaRef ds:uri="a2187807-d16b-4f26-8c23-1ecdc31f3e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22AF15-6CD4-4D98-B03E-92EACE9C5A06}">
  <ds:schemaRefs>
    <ds:schemaRef ds:uri="http://schemas.microsoft.com/office/2006/metadata/properties"/>
    <ds:schemaRef ds:uri="http://schemas.microsoft.com/office/infopath/2007/PartnerControls"/>
    <ds:schemaRef ds:uri="79499340-b9cf-4458-9368-33036c1b4dc9"/>
    <ds:schemaRef ds:uri="a2187807-d16b-4f26-8c23-1ecdc31f3e2b"/>
  </ds:schemaRefs>
</ds:datastoreItem>
</file>

<file path=customXml/itemProps3.xml><?xml version="1.0" encoding="utf-8"?>
<ds:datastoreItem xmlns:ds="http://schemas.openxmlformats.org/officeDocument/2006/customXml" ds:itemID="{1E749DD5-B344-4CD4-BB65-987773A5CF37}">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2</TotalTime>
  <Pages>8</Pages>
  <Words>3238</Words>
  <Characters>18457</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21652</CharactersWithSpaces>
  <SharedDoc>false</SharedDoc>
  <HLinks>
    <vt:vector size="96" baseType="variant">
      <vt:variant>
        <vt:i4>1769539</vt:i4>
      </vt:variant>
      <vt:variant>
        <vt:i4>45</vt:i4>
      </vt:variant>
      <vt:variant>
        <vt:i4>0</vt:i4>
      </vt:variant>
      <vt:variant>
        <vt:i4>5</vt:i4>
      </vt:variant>
      <vt:variant>
        <vt:lpwstr>https://www.acog.org/Clinical-Guidance-and-Publications/Committee-Opinions/Committee-on-Genetics/Cell-free-DNA-Screening-for-Fetal-Aneuploidy</vt:lpwstr>
      </vt:variant>
      <vt:variant>
        <vt:lpwstr/>
      </vt:variant>
      <vt:variant>
        <vt:i4>1769539</vt:i4>
      </vt:variant>
      <vt:variant>
        <vt:i4>42</vt:i4>
      </vt:variant>
      <vt:variant>
        <vt:i4>0</vt:i4>
      </vt:variant>
      <vt:variant>
        <vt:i4>5</vt:i4>
      </vt:variant>
      <vt:variant>
        <vt:lpwstr>https://www.acog.org/Clinical-Guidance-and-Publications/Committee-Opinions/Committee-on-Genetics/Cell-free-DNA-Screening-for-Fetal-Aneuploidy</vt:lpwstr>
      </vt:variant>
      <vt:variant>
        <vt:lpwstr/>
      </vt:variant>
      <vt:variant>
        <vt:i4>1769539</vt:i4>
      </vt:variant>
      <vt:variant>
        <vt:i4>39</vt:i4>
      </vt:variant>
      <vt:variant>
        <vt:i4>0</vt:i4>
      </vt:variant>
      <vt:variant>
        <vt:i4>5</vt:i4>
      </vt:variant>
      <vt:variant>
        <vt:lpwstr>https://www.acog.org/Clinical-Guidance-and-Publications/Committee-Opinions/Committee-on-Genetics/Cell-free-DNA-Screening-for-Fetal-Aneuploidy</vt:lpwstr>
      </vt:variant>
      <vt:variant>
        <vt:lpwstr/>
      </vt:variant>
      <vt:variant>
        <vt:i4>4063288</vt:i4>
      </vt:variant>
      <vt:variant>
        <vt:i4>36</vt:i4>
      </vt:variant>
      <vt:variant>
        <vt:i4>0</vt:i4>
      </vt:variant>
      <vt:variant>
        <vt:i4>5</vt:i4>
      </vt:variant>
      <vt:variant>
        <vt:lpwstr>https://www.acog.org/Clinical-Guidance-and-Publications/Committee-Opinions/Committee-on-Genetics/Microarrays-and-Next-Generation-Sequencing-Technology</vt:lpwstr>
      </vt:variant>
      <vt:variant>
        <vt:lpwstr/>
      </vt:variant>
      <vt:variant>
        <vt:i4>4063288</vt:i4>
      </vt:variant>
      <vt:variant>
        <vt:i4>33</vt:i4>
      </vt:variant>
      <vt:variant>
        <vt:i4>0</vt:i4>
      </vt:variant>
      <vt:variant>
        <vt:i4>5</vt:i4>
      </vt:variant>
      <vt:variant>
        <vt:lpwstr>https://www.acog.org/Clinical-Guidance-and-Publications/Committee-Opinions/Committee-on-Genetics/Microarrays-and-Next-Generation-Sequencing-Technology</vt:lpwstr>
      </vt:variant>
      <vt:variant>
        <vt:lpwstr/>
      </vt:variant>
      <vt:variant>
        <vt:i4>4063288</vt:i4>
      </vt:variant>
      <vt:variant>
        <vt:i4>30</vt:i4>
      </vt:variant>
      <vt:variant>
        <vt:i4>0</vt:i4>
      </vt:variant>
      <vt:variant>
        <vt:i4>5</vt:i4>
      </vt:variant>
      <vt:variant>
        <vt:lpwstr>https://www.acog.org/Clinical-Guidance-and-Publications/Committee-Opinions/Committee-on-Genetics/Microarrays-and-Next-Generation-Sequencing-Technology</vt:lpwstr>
      </vt:variant>
      <vt:variant>
        <vt:lpwstr/>
      </vt:variant>
      <vt:variant>
        <vt:i4>6619180</vt:i4>
      </vt:variant>
      <vt:variant>
        <vt:i4>27</vt:i4>
      </vt:variant>
      <vt:variant>
        <vt:i4>0</vt:i4>
      </vt:variant>
      <vt:variant>
        <vt:i4>5</vt:i4>
      </vt:variant>
      <vt:variant>
        <vt:lpwstr>http://aaidd.org/intellectual-disability/definition</vt:lpwstr>
      </vt:variant>
      <vt:variant>
        <vt:lpwstr/>
      </vt:variant>
      <vt:variant>
        <vt:i4>8126536</vt:i4>
      </vt:variant>
      <vt:variant>
        <vt:i4>24</vt:i4>
      </vt:variant>
      <vt:variant>
        <vt:i4>0</vt:i4>
      </vt:variant>
      <vt:variant>
        <vt:i4>5</vt:i4>
      </vt:variant>
      <vt:variant>
        <vt:lpwstr>https://www.aap.org/en-us/Documents/cocd_fact_sheet_initialmedicine.pdf</vt:lpwstr>
      </vt:variant>
      <vt:variant>
        <vt:lpwstr/>
      </vt:variant>
      <vt:variant>
        <vt:i4>4718663</vt:i4>
      </vt:variant>
      <vt:variant>
        <vt:i4>21</vt:i4>
      </vt:variant>
      <vt:variant>
        <vt:i4>0</vt:i4>
      </vt:variant>
      <vt:variant>
        <vt:i4>5</vt:i4>
      </vt:variant>
      <vt:variant>
        <vt:lpwstr>https://doi.org/10.1371/journal.pone.0000327</vt:lpwstr>
      </vt:variant>
      <vt:variant>
        <vt:lpwstr/>
      </vt:variant>
      <vt:variant>
        <vt:i4>5308421</vt:i4>
      </vt:variant>
      <vt:variant>
        <vt:i4>18</vt:i4>
      </vt:variant>
      <vt:variant>
        <vt:i4>0</vt:i4>
      </vt:variant>
      <vt:variant>
        <vt:i4>5</vt:i4>
      </vt:variant>
      <vt:variant>
        <vt:lpwstr>http://www.ajog.org/article/S0002-9378(16)30450-1/pdf?code=ymob-site</vt:lpwstr>
      </vt:variant>
      <vt:variant>
        <vt:lpwstr/>
      </vt:variant>
      <vt:variant>
        <vt:i4>1900545</vt:i4>
      </vt:variant>
      <vt:variant>
        <vt:i4>15</vt:i4>
      </vt:variant>
      <vt:variant>
        <vt:i4>0</vt:i4>
      </vt:variant>
      <vt:variant>
        <vt:i4>5</vt:i4>
      </vt:variant>
      <vt:variant>
        <vt:lpwstr>https://www.mass.gov/prior-authorization-for-masshealth-providers</vt:lpwstr>
      </vt:variant>
      <vt:variant>
        <vt:lpwstr/>
      </vt:variant>
      <vt:variant>
        <vt:i4>1900545</vt:i4>
      </vt:variant>
      <vt:variant>
        <vt:i4>12</vt:i4>
      </vt:variant>
      <vt:variant>
        <vt:i4>0</vt:i4>
      </vt:variant>
      <vt:variant>
        <vt:i4>5</vt:i4>
      </vt:variant>
      <vt:variant>
        <vt:lpwstr>https://www.mass.gov/prior-authorization-for-masshealth-providers</vt:lpwstr>
      </vt:variant>
      <vt:variant>
        <vt:lpwstr/>
      </vt:variant>
      <vt:variant>
        <vt:i4>3866722</vt:i4>
      </vt:variant>
      <vt:variant>
        <vt:i4>9</vt:i4>
      </vt:variant>
      <vt:variant>
        <vt:i4>0</vt:i4>
      </vt:variant>
      <vt:variant>
        <vt:i4>5</vt:i4>
      </vt:variant>
      <vt:variant>
        <vt:lpwstr>https://www.mass.gov/lists/400-through-300</vt:lpwstr>
      </vt:variant>
      <vt:variant>
        <vt:lpwstr/>
      </vt:variant>
      <vt:variant>
        <vt:i4>393310</vt:i4>
      </vt:variant>
      <vt:variant>
        <vt:i4>6</vt:i4>
      </vt:variant>
      <vt:variant>
        <vt:i4>0</vt:i4>
      </vt:variant>
      <vt:variant>
        <vt:i4>5</vt:i4>
      </vt:variant>
      <vt:variant>
        <vt:lpwstr>https://www.mass.gov/guides/physician-phy-manual</vt:lpwstr>
      </vt:variant>
      <vt:variant>
        <vt:lpwstr/>
      </vt:variant>
      <vt:variant>
        <vt:i4>3801149</vt:i4>
      </vt:variant>
      <vt:variant>
        <vt:i4>3</vt:i4>
      </vt:variant>
      <vt:variant>
        <vt:i4>0</vt:i4>
      </vt:variant>
      <vt:variant>
        <vt:i4>5</vt:i4>
      </vt:variant>
      <vt:variant>
        <vt:lpwstr>https://www.mass.gov/regulations/130-CMR-450000-administrative-and-billing-regulations</vt:lpwstr>
      </vt:variant>
      <vt:variant>
        <vt:lpwstr/>
      </vt:variant>
      <vt:variant>
        <vt:i4>6750318</vt:i4>
      </vt:variant>
      <vt:variant>
        <vt:i4>0</vt:i4>
      </vt:variant>
      <vt:variant>
        <vt:i4>0</vt:i4>
      </vt:variant>
      <vt:variant>
        <vt:i4>5</vt:i4>
      </vt:variant>
      <vt:variant>
        <vt:lpwstr>https://www.mass.gov/regulations/130-CMR-433000-physician-services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Colella-Yantosca, Lucia (EHS)</dc:creator>
  <cp:keywords/>
  <cp:lastModifiedBy>Kovach, Karen E (EHS)</cp:lastModifiedBy>
  <cp:revision>3</cp:revision>
  <cp:lastPrinted>2025-04-24T18:32:00Z</cp:lastPrinted>
  <dcterms:created xsi:type="dcterms:W3CDTF">2025-05-14T17:54:00Z</dcterms:created>
  <dcterms:modified xsi:type="dcterms:W3CDTF">2025-05-14T17:56:00Z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2019-10-07T00:00:00Z</vt:filetime>
  </property>
  <property fmtid="{D5CDD505-2E9C-101B-9397-08002B2CF9AE}" pid="3" name="Creator">
    <vt:lpwstr>Adobe InDesign CC 13.1 (Windows)</vt:lpwstr>
  </property>
  <property fmtid="{D5CDD505-2E9C-101B-9397-08002B2CF9AE}" pid="4" name="LastSaved">
    <vt:filetime>2019-10-07T00:00:00Z</vt:filetime>
  </property>
  <property fmtid="{D5CDD505-2E9C-101B-9397-08002B2CF9AE}" pid="5" name="ContentTypeId">
    <vt:lpwstr>0x010100CCE5B1B55FDC6F46992CBD8D384DCF63</vt:lpwstr>
  </property>
  <property fmtid="{D5CDD505-2E9C-101B-9397-08002B2CF9AE}" pid="6" name="MediaServiceImageTags">
    <vt:lpwstr/>
  </property>
</Properties>
</file>